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418074" w:displacedByCustomXml="next"/>
    <w:bookmarkEnd w:id="0" w:displacedByCustomXml="next"/>
    <w:sdt>
      <w:sdtPr>
        <w:rPr>
          <w:rStyle w:val="TitleChar"/>
        </w:rPr>
        <w:alias w:val="Form.ProjectName"/>
        <w:tag w:val="{&quot;templafy&quot;:{&quot;id&quot;:&quot;3b5b432e-0647-4442-b586-0533b9c5a878&quot;}}"/>
        <w:id w:val="-552618719"/>
        <w:placeholder>
          <w:docPart w:val="61B641B040D3415FA4B98A287548464A"/>
        </w:placeholder>
      </w:sdtPr>
      <w:sdtEndPr>
        <w:rPr>
          <w:rStyle w:val="DefaultParagraphFont"/>
        </w:rPr>
      </w:sdtEndPr>
      <w:sdtContent>
        <w:p w14:paraId="1D640B37" w14:textId="053C886B" w:rsidR="00267809" w:rsidRDefault="00376649">
          <w:pPr>
            <w:pStyle w:val="Title"/>
          </w:pPr>
          <w:r>
            <w:rPr>
              <w:rStyle w:val="TitleChar"/>
            </w:rPr>
            <w:t>Ba</w:t>
          </w:r>
          <w:bookmarkStart w:id="1" w:name="_GoBack"/>
          <w:bookmarkEnd w:id="1"/>
          <w:r>
            <w:rPr>
              <w:rStyle w:val="TitleChar"/>
            </w:rPr>
            <w:t>rwon Darling Water Quality</w:t>
          </w:r>
          <w:r w:rsidR="00A032BA">
            <w:rPr>
              <w:rStyle w:val="TitleChar"/>
            </w:rPr>
            <w:t xml:space="preserve"> during the Northern Fish Flow March-August 2019</w:t>
          </w:r>
        </w:p>
      </w:sdtContent>
    </w:sdt>
    <w:sdt>
      <w:sdtPr>
        <w:alias w:val="Form.ClientName"/>
        <w:tag w:val="{&quot;templafy&quot;:{&quot;id&quot;:&quot;acb299e6-8b68-4327-bfb9-58aeaae78760&quot;}}"/>
        <w:id w:val="1914347385"/>
        <w:placeholder>
          <w:docPart w:val="AECBE27273334F8C9830761C13AB40F1"/>
        </w:placeholder>
      </w:sdtPr>
      <w:sdtContent>
        <w:p w14:paraId="220EF507" w14:textId="77777777" w:rsidR="00267809" w:rsidRDefault="00294C21">
          <w:pPr>
            <w:pStyle w:val="Subtitle"/>
          </w:pPr>
          <w:r>
            <w:t>Commonwealth Environmental Water Office</w:t>
          </w:r>
        </w:p>
      </w:sdtContent>
    </w:sdt>
    <w:p w14:paraId="32DAE24A" w14:textId="77777777" w:rsidR="00BF2EF3" w:rsidRDefault="00BF2EF3" w:rsidP="00602B2E">
      <w:pPr>
        <w:pStyle w:val="Proposal"/>
        <w:numPr>
          <w:ilvl w:val="0"/>
          <w:numId w:val="0"/>
        </w:numPr>
      </w:pPr>
    </w:p>
    <w:p w14:paraId="1227F512" w14:textId="77777777" w:rsidR="00602B2E" w:rsidRDefault="00602B2E" w:rsidP="00602B2E">
      <w:pPr>
        <w:sectPr w:rsidR="00602B2E" w:rsidSect="00BF2EF3">
          <w:headerReference w:type="even" r:id="rId7"/>
          <w:headerReference w:type="default" r:id="rId8"/>
          <w:footerReference w:type="even" r:id="rId9"/>
          <w:footerReference w:type="default" r:id="rId10"/>
          <w:headerReference w:type="first" r:id="rId11"/>
          <w:footerReference w:type="first" r:id="rId12"/>
          <w:pgSz w:w="11906" w:h="16838" w:code="9"/>
          <w:pgMar w:top="1814" w:right="907" w:bottom="907" w:left="1814" w:header="680" w:footer="397" w:gutter="0"/>
          <w:cols w:space="708"/>
          <w:docGrid w:linePitch="360"/>
        </w:sectPr>
      </w:pPr>
    </w:p>
    <w:tbl>
      <w:tblPr>
        <w:tblStyle w:val="TableGrid"/>
        <w:tblpPr w:leftFromText="181" w:rightFromText="181" w:tblpYSpec="bottom"/>
        <w:tblOverlap w:val="never"/>
        <w:tblW w:w="0" w:type="auto"/>
        <w:tblLook w:val="0700" w:firstRow="0" w:lastRow="0" w:firstColumn="0" w:lastColumn="1" w:noHBand="1" w:noVBand="1"/>
      </w:tblPr>
      <w:tblGrid>
        <w:gridCol w:w="1667"/>
        <w:gridCol w:w="7318"/>
        <w:gridCol w:w="222"/>
      </w:tblGrid>
      <w:tr w:rsidR="009D2747" w:rsidRPr="009350B0" w14:paraId="42AA6E9D" w14:textId="77777777" w:rsidTr="00F81912">
        <w:trPr>
          <w:trHeight w:val="170"/>
        </w:trPr>
        <w:tc>
          <w:tcPr>
            <w:tcW w:w="8985" w:type="dxa"/>
            <w:gridSpan w:val="2"/>
            <w:shd w:val="clear" w:color="auto" w:fill="auto"/>
            <w:noWrap/>
            <w:tcMar>
              <w:left w:w="0" w:type="dxa"/>
              <w:right w:w="0" w:type="dxa"/>
            </w:tcMar>
          </w:tcPr>
          <w:p w14:paraId="21F17242" w14:textId="77777777" w:rsidR="009D2747" w:rsidRPr="00A94ACF" w:rsidRDefault="009D2747" w:rsidP="00F81912">
            <w:pPr>
              <w:rPr>
                <w:b/>
                <w:sz w:val="22"/>
                <w:szCs w:val="22"/>
              </w:rPr>
            </w:pPr>
            <w:r w:rsidRPr="00A94ACF">
              <w:rPr>
                <w:b/>
                <w:color w:val="00853F" w:themeColor="accent1"/>
                <w:sz w:val="22"/>
                <w:szCs w:val="22"/>
              </w:rPr>
              <w:lastRenderedPageBreak/>
              <w:t>DOCUMENT TRACKING</w:t>
            </w:r>
          </w:p>
        </w:tc>
        <w:tc>
          <w:tcPr>
            <w:cnfStyle w:val="000100000000" w:firstRow="0" w:lastRow="0" w:firstColumn="0" w:lastColumn="1" w:oddVBand="0" w:evenVBand="0" w:oddHBand="0" w:evenHBand="0" w:firstRowFirstColumn="0" w:firstRowLastColumn="0" w:lastRowFirstColumn="0" w:lastRowLastColumn="0"/>
            <w:tcW w:w="222" w:type="dxa"/>
          </w:tcPr>
          <w:p w14:paraId="46B902BA" w14:textId="77777777" w:rsidR="009D2747" w:rsidRPr="00581530" w:rsidRDefault="009D2747" w:rsidP="009D2747">
            <w:pPr>
              <w:jc w:val="left"/>
              <w:rPr>
                <w:color w:val="00853F" w:themeColor="accent1"/>
              </w:rPr>
            </w:pPr>
          </w:p>
        </w:tc>
      </w:tr>
      <w:tr w:rsidR="009D2747" w:rsidRPr="009350B0" w14:paraId="42B72F33" w14:textId="77777777" w:rsidTr="00BE7534">
        <w:trPr>
          <w:trHeight w:val="170"/>
        </w:trPr>
        <w:tc>
          <w:tcPr>
            <w:tcW w:w="1667" w:type="dxa"/>
            <w:noWrap/>
          </w:tcPr>
          <w:p w14:paraId="1F625D18" w14:textId="77777777" w:rsidR="009D2747" w:rsidRPr="00A94ACF" w:rsidRDefault="009D2747" w:rsidP="00F81912">
            <w:pPr>
              <w:rPr>
                <w:b/>
              </w:rPr>
            </w:pPr>
            <w:r w:rsidRPr="00A94ACF">
              <w:rPr>
                <w:b/>
              </w:rPr>
              <w:t>Project Name</w:t>
            </w:r>
          </w:p>
        </w:tc>
        <w:tc>
          <w:tcPr>
            <w:tcW w:w="7318" w:type="dxa"/>
            <w:tcBorders>
              <w:bottom w:val="single" w:sz="4" w:space="0" w:color="D1D3D4" w:themeColor="background2"/>
            </w:tcBorders>
            <w:noWrap/>
          </w:tcPr>
          <w:sdt>
            <w:sdtPr>
              <w:rPr>
                <w:b/>
              </w:rPr>
              <w:alias w:val="Form.ProjectName"/>
              <w:tag w:val="{&quot;templafy&quot;:{&quot;id&quot;:&quot;97379774-9807-4ceb-8e1d-18f4b0a1b0b9&quot;}}"/>
              <w:id w:val="-1350939219"/>
              <w:placeholder>
                <w:docPart w:val="F4B131BE0CA54F629B0C838716D42132"/>
              </w:placeholder>
            </w:sdtPr>
            <w:sdtContent>
              <w:p w14:paraId="1B9A3651" w14:textId="77777777" w:rsidR="00267809" w:rsidRDefault="00294C21">
                <w:pPr>
                  <w:numPr>
                    <w:ilvl w:val="0"/>
                    <w:numId w:val="0"/>
                  </w:numPr>
                  <w:rPr>
                    <w:b/>
                  </w:rPr>
                </w:pPr>
                <w:r>
                  <w:t>CEWO Barwon-Darling WQ sampling</w:t>
                </w:r>
              </w:p>
            </w:sdtContent>
          </w:sdt>
          <w:p w14:paraId="062277AD" w14:textId="77777777" w:rsidR="009D2747" w:rsidRPr="00A94ACF" w:rsidRDefault="009D2747" w:rsidP="00F81912">
            <w:pPr>
              <w:numPr>
                <w:ilvl w:val="0"/>
                <w:numId w:val="0"/>
              </w:numPr>
              <w:rPr>
                <w:b/>
              </w:rPr>
            </w:pPr>
          </w:p>
        </w:tc>
        <w:tc>
          <w:tcPr>
            <w:cnfStyle w:val="000100000000" w:firstRow="0" w:lastRow="0" w:firstColumn="0" w:lastColumn="1" w:oddVBand="0" w:evenVBand="0" w:oddHBand="0" w:evenHBand="0" w:firstRowFirstColumn="0" w:firstRowLastColumn="0" w:lastRowFirstColumn="0" w:lastRowLastColumn="0"/>
            <w:tcW w:w="222" w:type="dxa"/>
          </w:tcPr>
          <w:p w14:paraId="7355EECD" w14:textId="77777777" w:rsidR="009D2747" w:rsidRDefault="009D2747" w:rsidP="00F81912">
            <w:pPr>
              <w:numPr>
                <w:ilvl w:val="0"/>
                <w:numId w:val="0"/>
              </w:numPr>
            </w:pPr>
          </w:p>
        </w:tc>
      </w:tr>
      <w:tr w:rsidR="009D2747" w:rsidRPr="009350B0" w14:paraId="64C788EC" w14:textId="77777777" w:rsidTr="00BE7534">
        <w:trPr>
          <w:trHeight w:val="170"/>
        </w:trPr>
        <w:tc>
          <w:tcPr>
            <w:tcW w:w="1667" w:type="dxa"/>
            <w:noWrap/>
          </w:tcPr>
          <w:p w14:paraId="089A93C5" w14:textId="77777777" w:rsidR="009D2747" w:rsidRPr="00A94ACF" w:rsidRDefault="009D2747" w:rsidP="00F81912">
            <w:pPr>
              <w:rPr>
                <w:b/>
              </w:rPr>
            </w:pPr>
            <w:r w:rsidRPr="00A94ACF">
              <w:rPr>
                <w:b/>
              </w:rPr>
              <w:t>Project Number</w:t>
            </w:r>
          </w:p>
        </w:tc>
        <w:sdt>
          <w:sdtPr>
            <w:rPr>
              <w:b/>
              <w:szCs w:val="18"/>
            </w:rPr>
            <w:alias w:val="Form.OurRef"/>
            <w:tag w:val="{&quot;templafy&quot;:{&quot;id&quot;:&quot;3b5f11fa-ca16-450c-aa7c-9ef78478c361&quot;}}"/>
            <w:id w:val="994532243"/>
            <w:placeholder>
              <w:docPart w:val="38CEA0EA8E6B4AB9B39FB19AF44130C2"/>
            </w:placeholder>
          </w:sdtPr>
          <w:sdtContent>
            <w:tc>
              <w:tcPr>
                <w:tcW w:w="0" w:type="auto"/>
              </w:tcPr>
              <w:p w14:paraId="2D2390AF" w14:textId="77777777" w:rsidR="00267809" w:rsidRDefault="00294C21">
                <w:pPr>
                  <w:rPr>
                    <w:b/>
                    <w:szCs w:val="18"/>
                  </w:rPr>
                </w:pPr>
                <w:r>
                  <w:t>12559</w:t>
                </w:r>
              </w:p>
            </w:tc>
          </w:sdtContent>
        </w:sdt>
        <w:tc>
          <w:tcPr>
            <w:cnfStyle w:val="000100000000" w:firstRow="0" w:lastRow="0" w:firstColumn="0" w:lastColumn="1" w:oddVBand="0" w:evenVBand="0" w:oddHBand="0" w:evenHBand="0" w:firstRowFirstColumn="0" w:firstRowLastColumn="0" w:lastRowFirstColumn="0" w:lastRowLastColumn="0"/>
            <w:tcW w:w="222" w:type="dxa"/>
          </w:tcPr>
          <w:p w14:paraId="4872522E" w14:textId="77777777" w:rsidR="009D2747" w:rsidRDefault="009D2747" w:rsidP="009D2747">
            <w:pPr>
              <w:jc w:val="left"/>
              <w:rPr>
                <w:szCs w:val="18"/>
              </w:rPr>
            </w:pPr>
          </w:p>
        </w:tc>
      </w:tr>
      <w:tr w:rsidR="009D2747" w:rsidRPr="009350B0" w14:paraId="606FB9A8" w14:textId="77777777" w:rsidTr="00BE7534">
        <w:trPr>
          <w:trHeight w:val="170"/>
        </w:trPr>
        <w:tc>
          <w:tcPr>
            <w:tcW w:w="1667" w:type="dxa"/>
            <w:noWrap/>
          </w:tcPr>
          <w:p w14:paraId="55DCBA3F" w14:textId="77777777" w:rsidR="009D2747" w:rsidRPr="00A94ACF" w:rsidRDefault="009D2747" w:rsidP="00F81912">
            <w:pPr>
              <w:rPr>
                <w:b/>
              </w:rPr>
            </w:pPr>
            <w:r w:rsidRPr="00A94ACF">
              <w:rPr>
                <w:b/>
              </w:rPr>
              <w:t>Project Manager</w:t>
            </w:r>
          </w:p>
        </w:tc>
        <w:sdt>
          <w:sdtPr>
            <w:rPr>
              <w:b/>
              <w:szCs w:val="18"/>
            </w:rPr>
            <w:id w:val="352538740"/>
            <w:placeholder>
              <w:docPart w:val="AFEEE5746B7A4D75A0178864EAB89964"/>
            </w:placeholder>
          </w:sdtPr>
          <w:sdtContent>
            <w:sdt>
              <w:sdtPr>
                <w:rPr>
                  <w:b/>
                  <w:szCs w:val="18"/>
                </w:rPr>
                <w:alias w:val="Form.ProjectManager"/>
                <w:tag w:val="{&quot;templafy&quot;:{&quot;id&quot;:&quot;69223501-be88-4bdf-956d-b420d8530420&quot;}}"/>
                <w:id w:val="-1982915603"/>
                <w:placeholder>
                  <w:docPart w:val="38CEA0EA8E6B4AB9B39FB19AF44130C2"/>
                </w:placeholder>
              </w:sdtPr>
              <w:sdtContent>
                <w:tc>
                  <w:tcPr>
                    <w:tcW w:w="0" w:type="auto"/>
                  </w:tcPr>
                  <w:p w14:paraId="0FE1EE0A" w14:textId="77777777" w:rsidR="00267809" w:rsidRDefault="00294C21">
                    <w:pPr>
                      <w:rPr>
                        <w:b/>
                        <w:szCs w:val="18"/>
                      </w:rPr>
                    </w:pPr>
                    <w:r>
                      <w:t>Mark Southwell</w:t>
                    </w:r>
                  </w:p>
                </w:tc>
              </w:sdtContent>
            </w:sdt>
          </w:sdtContent>
        </w:sdt>
        <w:tc>
          <w:tcPr>
            <w:cnfStyle w:val="000100000000" w:firstRow="0" w:lastRow="0" w:firstColumn="0" w:lastColumn="1" w:oddVBand="0" w:evenVBand="0" w:oddHBand="0" w:evenHBand="0" w:firstRowFirstColumn="0" w:firstRowLastColumn="0" w:lastRowFirstColumn="0" w:lastRowLastColumn="0"/>
            <w:tcW w:w="222" w:type="dxa"/>
          </w:tcPr>
          <w:p w14:paraId="69759F5E" w14:textId="77777777" w:rsidR="009D2747" w:rsidRDefault="009D2747" w:rsidP="009D2747">
            <w:pPr>
              <w:jc w:val="left"/>
              <w:rPr>
                <w:szCs w:val="18"/>
              </w:rPr>
            </w:pPr>
          </w:p>
        </w:tc>
      </w:tr>
      <w:tr w:rsidR="009D2747" w:rsidRPr="009350B0" w14:paraId="30941A17" w14:textId="77777777" w:rsidTr="00BE7534">
        <w:trPr>
          <w:trHeight w:val="170"/>
        </w:trPr>
        <w:tc>
          <w:tcPr>
            <w:tcW w:w="1667" w:type="dxa"/>
            <w:noWrap/>
          </w:tcPr>
          <w:p w14:paraId="39323A13" w14:textId="77777777" w:rsidR="009D2747" w:rsidRPr="00A94ACF" w:rsidRDefault="009D2747" w:rsidP="00F81912">
            <w:pPr>
              <w:rPr>
                <w:b/>
              </w:rPr>
            </w:pPr>
            <w:r w:rsidRPr="00A94ACF">
              <w:rPr>
                <w:b/>
              </w:rPr>
              <w:t>Prepared by</w:t>
            </w:r>
          </w:p>
        </w:tc>
        <w:sdt>
          <w:sdtPr>
            <w:alias w:val="Form.PreparedBy"/>
            <w:tag w:val="{&quot;templafy&quot;:{&quot;id&quot;:&quot;0cf7f968-cae8-43c0-a39b-7a477cb1fb55&quot;}}"/>
            <w:id w:val="1143003025"/>
            <w:placeholder>
              <w:docPart w:val="38CEA0EA8E6B4AB9B39FB19AF44130C2"/>
            </w:placeholder>
          </w:sdtPr>
          <w:sdtContent>
            <w:tc>
              <w:tcPr>
                <w:tcW w:w="0" w:type="auto"/>
              </w:tcPr>
              <w:p w14:paraId="56EAAEC9" w14:textId="2E7AF8CB" w:rsidR="00267809" w:rsidRPr="00294C21" w:rsidRDefault="007F7DDE" w:rsidP="007F7DDE">
                <w:r>
                  <w:t xml:space="preserve">Mark Southwell, Darren Ryder, Ronnie Hill, </w:t>
                </w:r>
                <w:r w:rsidR="00AA57F3">
                  <w:t xml:space="preserve">Matthew </w:t>
                </w:r>
                <w:proofErr w:type="spellStart"/>
                <w:r w:rsidR="00AA57F3">
                  <w:t>Elsely</w:t>
                </w:r>
                <w:proofErr w:type="spellEnd"/>
              </w:p>
            </w:tc>
          </w:sdtContent>
        </w:sdt>
        <w:tc>
          <w:tcPr>
            <w:cnfStyle w:val="000100000000" w:firstRow="0" w:lastRow="0" w:firstColumn="0" w:lastColumn="1" w:oddVBand="0" w:evenVBand="0" w:oddHBand="0" w:evenHBand="0" w:firstRowFirstColumn="0" w:firstRowLastColumn="0" w:lastRowFirstColumn="0" w:lastRowLastColumn="0"/>
            <w:tcW w:w="222" w:type="dxa"/>
          </w:tcPr>
          <w:p w14:paraId="04404497" w14:textId="77777777" w:rsidR="009D2747" w:rsidRDefault="009D2747" w:rsidP="009D2747">
            <w:pPr>
              <w:jc w:val="left"/>
              <w:rPr>
                <w:szCs w:val="18"/>
              </w:rPr>
            </w:pPr>
          </w:p>
        </w:tc>
      </w:tr>
      <w:tr w:rsidR="009D2747" w:rsidRPr="009350B0" w14:paraId="2890B18C" w14:textId="77777777" w:rsidTr="00BE7534">
        <w:trPr>
          <w:trHeight w:val="170"/>
        </w:trPr>
        <w:tc>
          <w:tcPr>
            <w:tcW w:w="1667" w:type="dxa"/>
            <w:noWrap/>
          </w:tcPr>
          <w:p w14:paraId="3CB9B7E7" w14:textId="77777777" w:rsidR="009D2747" w:rsidRPr="00A94ACF" w:rsidRDefault="009D2747" w:rsidP="00F81912">
            <w:pPr>
              <w:rPr>
                <w:b/>
              </w:rPr>
            </w:pPr>
            <w:r w:rsidRPr="00A94ACF">
              <w:rPr>
                <w:b/>
              </w:rPr>
              <w:t>Reviewed by</w:t>
            </w:r>
          </w:p>
        </w:tc>
        <w:sdt>
          <w:sdtPr>
            <w:rPr>
              <w:b/>
            </w:rPr>
            <w:alias w:val="Form.ReviewedBy"/>
            <w:tag w:val="{&quot;templafy&quot;:{&quot;id&quot;:&quot;7f9df6d8-1461-4eca-a941-0199abf54ebb&quot;}}"/>
            <w:id w:val="-1095626857"/>
            <w:placeholder>
              <w:docPart w:val="38CEA0EA8E6B4AB9B39FB19AF44130C2"/>
            </w:placeholder>
          </w:sdtPr>
          <w:sdtContent>
            <w:tc>
              <w:tcPr>
                <w:tcW w:w="0" w:type="auto"/>
              </w:tcPr>
              <w:p w14:paraId="3BD0E0B3" w14:textId="7F7AF51F" w:rsidR="00267809" w:rsidRDefault="007F7DDE" w:rsidP="007F7DDE">
                <w:pPr>
                  <w:numPr>
                    <w:ilvl w:val="0"/>
                    <w:numId w:val="0"/>
                  </w:numPr>
                  <w:rPr>
                    <w:b/>
                  </w:rPr>
                </w:pPr>
                <w:r>
                  <w:rPr>
                    <w:b/>
                  </w:rPr>
                  <w:t>Darren Ryder</w:t>
                </w:r>
              </w:p>
            </w:tc>
          </w:sdtContent>
        </w:sdt>
        <w:tc>
          <w:tcPr>
            <w:cnfStyle w:val="000100000000" w:firstRow="0" w:lastRow="0" w:firstColumn="0" w:lastColumn="1" w:oddVBand="0" w:evenVBand="0" w:oddHBand="0" w:evenHBand="0" w:firstRowFirstColumn="0" w:firstRowLastColumn="0" w:lastRowFirstColumn="0" w:lastRowLastColumn="0"/>
            <w:tcW w:w="222" w:type="dxa"/>
          </w:tcPr>
          <w:p w14:paraId="57490D51" w14:textId="77777777" w:rsidR="009D2747" w:rsidRDefault="009D2747" w:rsidP="00F81912">
            <w:pPr>
              <w:numPr>
                <w:ilvl w:val="0"/>
                <w:numId w:val="0"/>
              </w:numPr>
              <w:rPr>
                <w:szCs w:val="18"/>
              </w:rPr>
            </w:pPr>
          </w:p>
        </w:tc>
      </w:tr>
      <w:tr w:rsidR="009D2747" w:rsidRPr="009350B0" w14:paraId="20B977F8" w14:textId="77777777" w:rsidTr="00BE7534">
        <w:trPr>
          <w:trHeight w:val="170"/>
        </w:trPr>
        <w:tc>
          <w:tcPr>
            <w:tcW w:w="1667" w:type="dxa"/>
            <w:noWrap/>
          </w:tcPr>
          <w:p w14:paraId="51F80886" w14:textId="77777777" w:rsidR="009D2747" w:rsidRPr="00A94ACF" w:rsidRDefault="009D2747" w:rsidP="00F81912">
            <w:pPr>
              <w:rPr>
                <w:b/>
              </w:rPr>
            </w:pPr>
            <w:r w:rsidRPr="00A94ACF">
              <w:rPr>
                <w:b/>
              </w:rPr>
              <w:t>Approved by</w:t>
            </w:r>
          </w:p>
        </w:tc>
        <w:sdt>
          <w:sdtPr>
            <w:rPr>
              <w:b/>
            </w:rPr>
            <w:alias w:val="Form.ApprovedBy"/>
            <w:tag w:val="{&quot;templafy&quot;:{&quot;id&quot;:&quot;7b4c1939-fffb-4731-ad15-ed6913fe766f&quot;}}"/>
            <w:id w:val="1267266427"/>
            <w:placeholder>
              <w:docPart w:val="38CEA0EA8E6B4AB9B39FB19AF44130C2"/>
            </w:placeholder>
          </w:sdtPr>
          <w:sdtContent>
            <w:tc>
              <w:tcPr>
                <w:tcW w:w="0" w:type="auto"/>
              </w:tcPr>
              <w:p w14:paraId="336BCD27" w14:textId="39EAC714" w:rsidR="00267809" w:rsidRDefault="00AA57F3" w:rsidP="00AA57F3">
                <w:pPr>
                  <w:rPr>
                    <w:b/>
                  </w:rPr>
                </w:pPr>
                <w:r>
                  <w:rPr>
                    <w:b/>
                  </w:rPr>
                  <w:t>Mark Southwell</w:t>
                </w:r>
              </w:p>
            </w:tc>
          </w:sdtContent>
        </w:sdt>
        <w:tc>
          <w:tcPr>
            <w:cnfStyle w:val="000100000000" w:firstRow="0" w:lastRow="0" w:firstColumn="0" w:lastColumn="1" w:oddVBand="0" w:evenVBand="0" w:oddHBand="0" w:evenHBand="0" w:firstRowFirstColumn="0" w:firstRowLastColumn="0" w:lastRowFirstColumn="0" w:lastRowLastColumn="0"/>
            <w:tcW w:w="222" w:type="dxa"/>
          </w:tcPr>
          <w:p w14:paraId="49AA2E27" w14:textId="77777777" w:rsidR="009D2747" w:rsidRDefault="009D2747" w:rsidP="009D2747">
            <w:pPr>
              <w:jc w:val="left"/>
              <w:rPr>
                <w:szCs w:val="18"/>
              </w:rPr>
            </w:pPr>
          </w:p>
        </w:tc>
      </w:tr>
      <w:tr w:rsidR="009D2747" w:rsidRPr="009350B0" w14:paraId="259E37EE" w14:textId="77777777" w:rsidTr="00BE7534">
        <w:trPr>
          <w:trHeight w:val="170"/>
        </w:trPr>
        <w:tc>
          <w:tcPr>
            <w:tcW w:w="1667" w:type="dxa"/>
            <w:noWrap/>
          </w:tcPr>
          <w:p w14:paraId="063C2ADB" w14:textId="77777777" w:rsidR="009D2747" w:rsidRPr="00A94ACF" w:rsidRDefault="009D2747" w:rsidP="00F81912">
            <w:pPr>
              <w:rPr>
                <w:b/>
              </w:rPr>
            </w:pPr>
            <w:r w:rsidRPr="00A94ACF">
              <w:rPr>
                <w:b/>
              </w:rPr>
              <w:t>Status</w:t>
            </w:r>
          </w:p>
        </w:tc>
        <w:tc>
          <w:tcPr>
            <w:tcW w:w="7318" w:type="dxa"/>
            <w:tcBorders>
              <w:top w:val="single" w:sz="4" w:space="0" w:color="D1D3D4" w:themeColor="background2"/>
            </w:tcBorders>
            <w:shd w:val="clear" w:color="auto" w:fill="FFFFFF"/>
            <w:noWrap/>
          </w:tcPr>
          <w:p w14:paraId="4D44CB28" w14:textId="22F16320" w:rsidR="009D2747" w:rsidRPr="00A94ACF" w:rsidRDefault="003E421B" w:rsidP="00F81912">
            <w:pPr>
              <w:rPr>
                <w:b/>
              </w:rPr>
            </w:pPr>
            <w:sdt>
              <w:sdtPr>
                <w:rPr>
                  <w:b/>
                  <w:szCs w:val="18"/>
                </w:rPr>
                <w:alias w:val="Status"/>
                <w:tag w:val="Status"/>
                <w:id w:val="-1225531500"/>
                <w:placeholder>
                  <w:docPart w:val="5FAFB663FA7A45CE9E5C02C306AAEE58"/>
                </w:placeholder>
                <w:dropDownList>
                  <w:listItem w:displayText="Draft" w:value="Draft"/>
                  <w:listItem w:displayText="Final" w:value="Final"/>
                </w:dropDownList>
              </w:sdtPr>
              <w:sdtContent>
                <w:r w:rsidR="00145C0B">
                  <w:rPr>
                    <w:b/>
                    <w:szCs w:val="18"/>
                  </w:rPr>
                  <w:t>Draft</w:t>
                </w:r>
              </w:sdtContent>
            </w:sdt>
          </w:p>
        </w:tc>
        <w:tc>
          <w:tcPr>
            <w:cnfStyle w:val="000100000000" w:firstRow="0" w:lastRow="0" w:firstColumn="0" w:lastColumn="1" w:oddVBand="0" w:evenVBand="0" w:oddHBand="0" w:evenHBand="0" w:firstRowFirstColumn="0" w:firstRowLastColumn="0" w:lastRowFirstColumn="0" w:lastRowLastColumn="0"/>
            <w:tcW w:w="222" w:type="dxa"/>
          </w:tcPr>
          <w:p w14:paraId="63328ED4" w14:textId="77777777" w:rsidR="009D2747" w:rsidRDefault="009D2747" w:rsidP="009D2747">
            <w:pPr>
              <w:jc w:val="left"/>
              <w:rPr>
                <w:szCs w:val="18"/>
              </w:rPr>
            </w:pPr>
          </w:p>
        </w:tc>
      </w:tr>
      <w:tr w:rsidR="009D2747" w:rsidRPr="009350B0" w14:paraId="1E64109F" w14:textId="77777777" w:rsidTr="00BE7534">
        <w:trPr>
          <w:trHeight w:val="170"/>
        </w:trPr>
        <w:tc>
          <w:tcPr>
            <w:tcW w:w="1667" w:type="dxa"/>
            <w:noWrap/>
          </w:tcPr>
          <w:p w14:paraId="41D461EE" w14:textId="77777777" w:rsidR="009D2747" w:rsidRPr="00A94ACF" w:rsidRDefault="009D2747" w:rsidP="00F81912">
            <w:pPr>
              <w:rPr>
                <w:b/>
              </w:rPr>
            </w:pPr>
            <w:r w:rsidRPr="00A94ACF">
              <w:rPr>
                <w:b/>
              </w:rPr>
              <w:t>Version Number</w:t>
            </w:r>
          </w:p>
        </w:tc>
        <w:tc>
          <w:tcPr>
            <w:tcW w:w="7318" w:type="dxa"/>
            <w:tcBorders>
              <w:top w:val="single" w:sz="4" w:space="0" w:color="D1D3D4" w:themeColor="background2"/>
            </w:tcBorders>
            <w:shd w:val="clear" w:color="auto" w:fill="FFFFFF"/>
            <w:noWrap/>
          </w:tcPr>
          <w:p w14:paraId="0BBDB158" w14:textId="77777777" w:rsidR="009D2747" w:rsidRPr="00A94ACF" w:rsidRDefault="003E421B" w:rsidP="00F81912">
            <w:pPr>
              <w:rPr>
                <w:b/>
              </w:rPr>
            </w:pPr>
            <w:sdt>
              <w:sdtPr>
                <w:rPr>
                  <w:b/>
                  <w:szCs w:val="18"/>
                </w:rPr>
                <w:id w:val="-1837530538"/>
                <w:placeholder>
                  <w:docPart w:val="E2879D9BF8BE405294EAEB5A7A001987"/>
                </w:placeholder>
              </w:sdtPr>
              <w:sdtContent>
                <w:r w:rsidR="00294C21">
                  <w:rPr>
                    <w:b/>
                    <w:szCs w:val="18"/>
                  </w:rPr>
                  <w:t>1</w:t>
                </w:r>
              </w:sdtContent>
            </w:sdt>
          </w:p>
        </w:tc>
        <w:tc>
          <w:tcPr>
            <w:cnfStyle w:val="000100000000" w:firstRow="0" w:lastRow="0" w:firstColumn="0" w:lastColumn="1" w:oddVBand="0" w:evenVBand="0" w:oddHBand="0" w:evenHBand="0" w:firstRowFirstColumn="0" w:firstRowLastColumn="0" w:lastRowFirstColumn="0" w:lastRowLastColumn="0"/>
            <w:tcW w:w="222" w:type="dxa"/>
          </w:tcPr>
          <w:p w14:paraId="07493432" w14:textId="77777777" w:rsidR="009D2747" w:rsidRDefault="009D2747" w:rsidP="009D2747">
            <w:pPr>
              <w:jc w:val="left"/>
              <w:rPr>
                <w:szCs w:val="18"/>
              </w:rPr>
            </w:pPr>
          </w:p>
        </w:tc>
      </w:tr>
      <w:tr w:rsidR="009D2747" w:rsidRPr="009350B0" w14:paraId="5F2C579B" w14:textId="77777777" w:rsidTr="00F81912">
        <w:trPr>
          <w:trHeight w:val="170"/>
        </w:trPr>
        <w:tc>
          <w:tcPr>
            <w:tcW w:w="1667" w:type="dxa"/>
            <w:noWrap/>
          </w:tcPr>
          <w:p w14:paraId="7FDE6EE9" w14:textId="77777777" w:rsidR="009D2747" w:rsidRPr="00A94ACF" w:rsidRDefault="009D2747" w:rsidP="00F81912">
            <w:pPr>
              <w:rPr>
                <w:b/>
              </w:rPr>
            </w:pPr>
            <w:r w:rsidRPr="00A94ACF">
              <w:rPr>
                <w:b/>
              </w:rPr>
              <w:t>Last saved on</w:t>
            </w:r>
          </w:p>
        </w:tc>
        <w:tc>
          <w:tcPr>
            <w:tcW w:w="7318" w:type="dxa"/>
            <w:shd w:val="clear" w:color="auto" w:fill="auto"/>
            <w:noWrap/>
          </w:tcPr>
          <w:p w14:paraId="1351E7F8" w14:textId="2DAD265F" w:rsidR="009D2747" w:rsidRPr="00A94ACF" w:rsidRDefault="009D2747" w:rsidP="00F81912">
            <w:pPr>
              <w:rPr>
                <w:b/>
              </w:rPr>
            </w:pPr>
            <w:r w:rsidRPr="00A94ACF">
              <w:rPr>
                <w:b/>
              </w:rPr>
              <w:fldChar w:fldCharType="begin"/>
            </w:r>
            <w:r w:rsidRPr="00A94ACF">
              <w:rPr>
                <w:b/>
              </w:rPr>
              <w:instrText xml:space="preserve"> DATE \@ "d MMMM yyyy" </w:instrText>
            </w:r>
            <w:r w:rsidRPr="00A94ACF">
              <w:rPr>
                <w:b/>
              </w:rPr>
              <w:fldChar w:fldCharType="separate"/>
            </w:r>
            <w:r w:rsidR="003E421B">
              <w:rPr>
                <w:b/>
                <w:noProof/>
              </w:rPr>
              <w:t>7 May 2020</w:t>
            </w:r>
            <w:r w:rsidRPr="00A94ACF">
              <w:rPr>
                <w:b/>
              </w:rPr>
              <w:fldChar w:fldCharType="end"/>
            </w:r>
          </w:p>
        </w:tc>
        <w:tc>
          <w:tcPr>
            <w:cnfStyle w:val="000100000000" w:firstRow="0" w:lastRow="0" w:firstColumn="0" w:lastColumn="1" w:oddVBand="0" w:evenVBand="0" w:oddHBand="0" w:evenHBand="0" w:firstRowFirstColumn="0" w:firstRowLastColumn="0" w:lastRowFirstColumn="0" w:lastRowLastColumn="0"/>
            <w:tcW w:w="222" w:type="dxa"/>
          </w:tcPr>
          <w:p w14:paraId="483CCA5E" w14:textId="77777777" w:rsidR="009D2747" w:rsidRPr="003E3163" w:rsidRDefault="009D2747" w:rsidP="009D2747">
            <w:pPr>
              <w:jc w:val="left"/>
            </w:pPr>
          </w:p>
        </w:tc>
      </w:tr>
      <w:tr w:rsidR="009D2747" w:rsidRPr="009350B0" w14:paraId="0FBF21ED" w14:textId="77777777" w:rsidTr="009D2747">
        <w:trPr>
          <w:trHeight w:val="170"/>
        </w:trPr>
        <w:tc>
          <w:tcPr>
            <w:cnfStyle w:val="000100000000" w:firstRow="0" w:lastRow="0" w:firstColumn="0" w:lastColumn="1" w:oddVBand="0" w:evenVBand="0" w:oddHBand="0" w:evenHBand="0" w:firstRowFirstColumn="0" w:firstRowLastColumn="0" w:lastRowFirstColumn="0" w:lastRowLastColumn="0"/>
            <w:tcW w:w="9207" w:type="dxa"/>
            <w:gridSpan w:val="3"/>
            <w:tcBorders>
              <w:bottom w:val="nil"/>
            </w:tcBorders>
            <w:noWrap/>
            <w:tcMar>
              <w:left w:w="0" w:type="dxa"/>
              <w:right w:w="0" w:type="dxa"/>
            </w:tcMar>
          </w:tcPr>
          <w:p w14:paraId="4329BEE2" w14:textId="59235714" w:rsidR="009D2747" w:rsidRPr="00A032BA" w:rsidRDefault="009D2747" w:rsidP="009D2747">
            <w:pPr>
              <w:numPr>
                <w:ilvl w:val="0"/>
                <w:numId w:val="0"/>
              </w:numPr>
              <w:jc w:val="left"/>
              <w:rPr>
                <w:b/>
                <w:color w:val="auto"/>
                <w:szCs w:val="22"/>
              </w:rPr>
            </w:pPr>
            <w:r w:rsidRPr="003F42C8">
              <w:rPr>
                <w:szCs w:val="22"/>
              </w:rPr>
              <w:t xml:space="preserve">This report should be cited as ‘Eco Logical </w:t>
            </w:r>
            <w:r w:rsidRPr="00A032BA">
              <w:rPr>
                <w:rFonts w:asciiTheme="minorHAnsi" w:hAnsiTheme="minorHAnsi" w:cstheme="minorHAnsi"/>
                <w:szCs w:val="18"/>
              </w:rPr>
              <w:t xml:space="preserve">Australia </w:t>
            </w:r>
            <w:sdt>
              <w:sdtPr>
                <w:rPr>
                  <w:rFonts w:asciiTheme="minorHAnsi" w:hAnsiTheme="minorHAnsi" w:cstheme="minorHAnsi"/>
                  <w:szCs w:val="18"/>
                </w:rPr>
                <w:id w:val="504329033"/>
                <w:placeholder>
                  <w:docPart w:val="7D0C367D0E8F43FCA19904AB5A445197"/>
                </w:placeholder>
                <w:date w:fullDate="2020-04-27T00:00:00Z">
                  <w:dateFormat w:val="yyyy"/>
                  <w:lid w:val="en-AU"/>
                  <w:storeMappedDataAs w:val="dateTime"/>
                  <w:calendar w:val="gregorian"/>
                </w:date>
              </w:sdtPr>
              <w:sdtContent>
                <w:r w:rsidR="007F7DDE">
                  <w:rPr>
                    <w:rFonts w:asciiTheme="minorHAnsi" w:hAnsiTheme="minorHAnsi" w:cstheme="minorHAnsi"/>
                    <w:szCs w:val="18"/>
                  </w:rPr>
                  <w:t>2020</w:t>
                </w:r>
              </w:sdtContent>
            </w:sdt>
            <w:r w:rsidR="00315F0A" w:rsidRPr="00A032BA">
              <w:rPr>
                <w:rFonts w:asciiTheme="minorHAnsi" w:hAnsiTheme="minorHAnsi" w:cstheme="minorHAnsi"/>
                <w:szCs w:val="18"/>
              </w:rPr>
              <w:t>.</w:t>
            </w:r>
            <w:r w:rsidR="00093A72" w:rsidRPr="00A032BA">
              <w:rPr>
                <w:rFonts w:asciiTheme="minorHAnsi" w:hAnsiTheme="minorHAnsi" w:cstheme="minorHAnsi"/>
                <w:szCs w:val="18"/>
              </w:rPr>
              <w:t xml:space="preserve"> </w:t>
            </w:r>
            <w:sdt>
              <w:sdtPr>
                <w:rPr>
                  <w:rStyle w:val="ItalicCharacter"/>
                  <w:rFonts w:asciiTheme="minorHAnsi" w:hAnsiTheme="minorHAnsi" w:cstheme="minorHAnsi"/>
                  <w:szCs w:val="18"/>
                </w:rPr>
                <w:alias w:val="Form.ProjectName"/>
                <w:tag w:val="{&quot;templafy&quot;:{&quot;id&quot;:&quot;b1544648-808e-4c44-b5b7-ecb57a6a9fba&quot;}}"/>
                <w:id w:val="-2041734436"/>
                <w:placeholder>
                  <w:docPart w:val="38CEA0EA8E6B4AB9B39FB19AF44130C2"/>
                </w:placeholder>
              </w:sdtPr>
              <w:sdtEndPr>
                <w:rPr>
                  <w:rStyle w:val="DefaultParagraphFont"/>
                  <w:i w:val="0"/>
                </w:rPr>
              </w:sdtEndPr>
              <w:sdtContent>
                <w:r w:rsidR="00A032BA" w:rsidRPr="00A032BA">
                  <w:rPr>
                    <w:rStyle w:val="TitleChar"/>
                    <w:rFonts w:asciiTheme="minorHAnsi" w:hAnsiTheme="minorHAnsi" w:cstheme="minorHAnsi"/>
                    <w:color w:val="auto"/>
                    <w:sz w:val="18"/>
                    <w:szCs w:val="18"/>
                  </w:rPr>
                  <w:t xml:space="preserve"> </w:t>
                </w:r>
                <w:sdt>
                  <w:sdtPr>
                    <w:rPr>
                      <w:rStyle w:val="TitleChar"/>
                      <w:rFonts w:asciiTheme="minorHAnsi" w:hAnsiTheme="minorHAnsi" w:cstheme="minorHAnsi"/>
                      <w:color w:val="auto"/>
                      <w:sz w:val="18"/>
                      <w:szCs w:val="18"/>
                    </w:rPr>
                    <w:alias w:val="Form.ProjectName"/>
                    <w:tag w:val="{&quot;templafy&quot;:{&quot;id&quot;:&quot;3b5b432e-0647-4442-b586-0533b9c5a878&quot;}}"/>
                    <w:id w:val="1946112309"/>
                    <w:placeholder>
                      <w:docPart w:val="0C0DFA2F02134256B5A971ADD2011F82"/>
                    </w:placeholder>
                  </w:sdtPr>
                  <w:sdtEndPr>
                    <w:rPr>
                      <w:rStyle w:val="DefaultParagraphFont"/>
                      <w:rFonts w:eastAsiaTheme="minorHAnsi"/>
                      <w:color w:val="231F20" w:themeColor="text1"/>
                    </w:rPr>
                  </w:sdtEndPr>
                  <w:sdtContent>
                    <w:r w:rsidR="00A032BA" w:rsidRPr="00A032BA">
                      <w:rPr>
                        <w:rStyle w:val="TitleChar"/>
                        <w:rFonts w:asciiTheme="minorHAnsi" w:hAnsiTheme="minorHAnsi" w:cstheme="minorHAnsi"/>
                        <w:color w:val="auto"/>
                        <w:sz w:val="18"/>
                        <w:szCs w:val="18"/>
                      </w:rPr>
                      <w:t>Barwon Darling Water Quality during the Northern Fish Flow March-August 2019</w:t>
                    </w:r>
                  </w:sdtContent>
                </w:sdt>
                <w:r w:rsidR="00A032BA" w:rsidRPr="00A032BA">
                  <w:rPr>
                    <w:rFonts w:asciiTheme="minorHAnsi" w:hAnsiTheme="minorHAnsi" w:cstheme="minorHAnsi"/>
                    <w:color w:val="auto"/>
                    <w:szCs w:val="18"/>
                  </w:rPr>
                  <w:t xml:space="preserve"> </w:t>
                </w:r>
              </w:sdtContent>
            </w:sdt>
            <w:r w:rsidRPr="00A032BA">
              <w:rPr>
                <w:rFonts w:asciiTheme="minorHAnsi" w:hAnsiTheme="minorHAnsi" w:cstheme="minorHAnsi"/>
                <w:color w:val="auto"/>
                <w:szCs w:val="18"/>
              </w:rPr>
              <w:t xml:space="preserve">. </w:t>
            </w:r>
            <w:r w:rsidR="00093A72" w:rsidRPr="00A032BA">
              <w:rPr>
                <w:rFonts w:asciiTheme="minorHAnsi" w:hAnsiTheme="minorHAnsi" w:cstheme="minorHAnsi"/>
                <w:color w:val="auto"/>
                <w:szCs w:val="18"/>
              </w:rPr>
              <w:t xml:space="preserve"> </w:t>
            </w:r>
            <w:r w:rsidRPr="00A032BA">
              <w:rPr>
                <w:rFonts w:asciiTheme="minorHAnsi" w:hAnsiTheme="minorHAnsi" w:cstheme="minorHAnsi"/>
                <w:color w:val="auto"/>
                <w:szCs w:val="18"/>
              </w:rPr>
              <w:t>Prepared for</w:t>
            </w:r>
            <w:r w:rsidR="008E641C" w:rsidRPr="00A032BA">
              <w:rPr>
                <w:rFonts w:asciiTheme="minorHAnsi" w:hAnsiTheme="minorHAnsi" w:cstheme="minorHAnsi"/>
                <w:color w:val="auto"/>
                <w:szCs w:val="18"/>
              </w:rPr>
              <w:t xml:space="preserve"> </w:t>
            </w:r>
            <w:sdt>
              <w:sdtPr>
                <w:rPr>
                  <w:rFonts w:asciiTheme="minorHAnsi" w:hAnsiTheme="minorHAnsi" w:cstheme="minorHAnsi"/>
                  <w:szCs w:val="18"/>
                </w:rPr>
                <w:alias w:val="Form.ClientName"/>
                <w:tag w:val="{&quot;templafy&quot;:{&quot;id&quot;:&quot;22aee8ae-cdcb-4a9a-9f6e-b5d587c3add8&quot;}}"/>
                <w:id w:val="1987966062"/>
                <w:placeholder>
                  <w:docPart w:val="38CEA0EA8E6B4AB9B39FB19AF44130C2"/>
                </w:placeholder>
              </w:sdtPr>
              <w:sdtContent>
                <w:r w:rsidRPr="00A032BA">
                  <w:rPr>
                    <w:rFonts w:asciiTheme="minorHAnsi" w:hAnsiTheme="minorHAnsi" w:cstheme="minorHAnsi"/>
                    <w:color w:val="auto"/>
                    <w:szCs w:val="18"/>
                  </w:rPr>
                  <w:t>Commonwealth Environmental Water Office</w:t>
                </w:r>
              </w:sdtContent>
            </w:sdt>
            <w:r w:rsidRPr="00A032BA">
              <w:rPr>
                <w:color w:val="auto"/>
                <w:szCs w:val="22"/>
              </w:rPr>
              <w:t>.’</w:t>
            </w:r>
          </w:p>
          <w:p w14:paraId="338CBB52" w14:textId="77777777" w:rsidR="009D2747" w:rsidRPr="00A94ACF" w:rsidRDefault="009D2747" w:rsidP="009D2747">
            <w:pPr>
              <w:pStyle w:val="SubHeading"/>
              <w:jc w:val="left"/>
              <w:rPr>
                <w:b/>
                <w:szCs w:val="22"/>
              </w:rPr>
            </w:pPr>
            <w:r w:rsidRPr="00A94ACF">
              <w:rPr>
                <w:b/>
                <w:szCs w:val="22"/>
              </w:rPr>
              <w:t>Acknowledgements</w:t>
            </w:r>
          </w:p>
          <w:p w14:paraId="38FAFCC0" w14:textId="0D46C5BD" w:rsidR="009D2747" w:rsidRPr="003F42C8" w:rsidRDefault="009D2747" w:rsidP="009D2747">
            <w:pPr>
              <w:numPr>
                <w:ilvl w:val="0"/>
                <w:numId w:val="0"/>
              </w:numPr>
              <w:jc w:val="left"/>
            </w:pPr>
            <w:r w:rsidRPr="003F42C8">
              <w:rPr>
                <w:szCs w:val="22"/>
              </w:rPr>
              <w:t>This document has been prepared by Eco Logical Australia Pty Ltd with support from</w:t>
            </w:r>
            <w:r w:rsidR="00294C21">
              <w:rPr>
                <w:szCs w:val="22"/>
              </w:rPr>
              <w:t xml:space="preserve"> DPI Fisheries</w:t>
            </w:r>
            <w:r w:rsidR="00421670">
              <w:rPr>
                <w:szCs w:val="22"/>
              </w:rPr>
              <w:t xml:space="preserve"> and</w:t>
            </w:r>
            <w:r w:rsidR="00294C21">
              <w:rPr>
                <w:szCs w:val="22"/>
              </w:rPr>
              <w:t xml:space="preserve"> Darren Ryder at the University of New England.</w:t>
            </w:r>
            <w:r w:rsidRPr="003F42C8">
              <w:rPr>
                <w:szCs w:val="22"/>
              </w:rPr>
              <w:t xml:space="preserve"> </w:t>
            </w:r>
            <w:sdt>
              <w:sdtPr>
                <w:alias w:val="Form.Acknowledgements"/>
                <w:tag w:val="{&quot;templafy&quot;:{&quot;id&quot;:&quot;229c182f-4572-41f2-93b1-88254cd88b9a&quot;}}"/>
                <w:id w:val="-1665852935"/>
                <w:placeholder>
                  <w:docPart w:val="38CEA0EA8E6B4AB9B39FB19AF44130C2"/>
                </w:placeholder>
              </w:sdtPr>
              <w:sdtContent>
                <w:r>
                  <w:t xml:space="preserve"> </w:t>
                </w:r>
              </w:sdtContent>
            </w:sdt>
          </w:p>
        </w:tc>
      </w:tr>
      <w:tr w:rsidR="009D2747" w:rsidRPr="009350B0" w14:paraId="51747CDE" w14:textId="77777777" w:rsidTr="00F81912">
        <w:trPr>
          <w:trHeight w:val="170"/>
        </w:trPr>
        <w:tc>
          <w:tcPr>
            <w:tcW w:w="8985" w:type="dxa"/>
            <w:gridSpan w:val="2"/>
            <w:tcBorders>
              <w:top w:val="nil"/>
              <w:bottom w:val="nil"/>
            </w:tcBorders>
            <w:noWrap/>
            <w:tcMar>
              <w:left w:w="0" w:type="dxa"/>
              <w:right w:w="0" w:type="dxa"/>
            </w:tcMar>
          </w:tcPr>
          <w:p w14:paraId="32854236" w14:textId="1F42D6F7" w:rsidR="009D2747" w:rsidRPr="00581530" w:rsidRDefault="009D2747" w:rsidP="00294C21">
            <w:pPr>
              <w:pStyle w:val="Discalimer"/>
            </w:pPr>
            <w:r w:rsidRPr="00A94ACF">
              <w:t>Disclaimer</w:t>
            </w:r>
            <w:r w:rsidRPr="003F6D36">
              <w:br/>
            </w:r>
            <w:r w:rsidR="008C46A2">
              <w:t xml:space="preserve">This document may only be used for the purpose for which it was commissioned and in accordance with the contract between Eco Logical Australia Pty Ltd and </w:t>
            </w:r>
            <w:sdt>
              <w:sdtPr>
                <w:alias w:val="Form.ClientName"/>
                <w:tag w:val="{&quot;templafy&quot;:{&quot;id&quot;:&quot;efb69157-21f5-469d-ae27-8aaa51fa6f0c&quot;}}"/>
                <w:id w:val="-2091379773"/>
                <w:placeholder>
                  <w:docPart w:val="38CEA0EA8E6B4AB9B39FB19AF44130C2"/>
                </w:placeholder>
              </w:sdtPr>
              <w:sdtContent>
                <w:r>
                  <w:t>Commonwealth Environmental Water Office</w:t>
                </w:r>
              </w:sdtContent>
            </w:sdt>
            <w:r w:rsidR="008C46A2">
              <w:t xml:space="preserve">.  The scope of services was defined in consultation with </w:t>
            </w:r>
            <w:sdt>
              <w:sdtPr>
                <w:alias w:val="Form.ClientName"/>
                <w:tag w:val="{&quot;templafy&quot;:{&quot;id&quot;:&quot;a5db11f5-7b40-4868-8168-c81a0ae6c8f5&quot;}}"/>
                <w:id w:val="-1271081406"/>
                <w:placeholder>
                  <w:docPart w:val="38CEA0EA8E6B4AB9B39FB19AF44130C2"/>
                </w:placeholder>
              </w:sdtPr>
              <w:sdtContent>
                <w:r>
                  <w:t>Commonwealth Environmental Water Office</w:t>
                </w:r>
              </w:sdtContent>
            </w:sdt>
            <w:r w:rsidR="008C46A2">
              <w:t xml:space="preserve">, by time and budgetary </w:t>
            </w:r>
            <w:r w:rsidR="00035C56">
              <w:t>constraints</w:t>
            </w:r>
            <w:r w:rsidR="008C46A2">
              <w:t xml:space="preserve"> imposed by the client, and the availability of reports and other data on the subject area.  Changes to available information, legislation and schedules are made on an ongoing basis and readers should obtain up to date information.  Eco Logical Australia Pty Ltd accepts no liability or responsibility whatsoever for or in respect of any use of or reliance upon this report and its supporting material by any third party.  Information provided is not intended to be a substitute for site specific assessment or legal advice in relation to any matter.  Unauthorised use of this report in any form is prohibited.</w:t>
            </w:r>
          </w:p>
          <w:p w14:paraId="3D49E58A" w14:textId="77777777" w:rsidR="009D2747" w:rsidRPr="00DE383E" w:rsidRDefault="009D2747" w:rsidP="00F81912">
            <w:pPr>
              <w:pStyle w:val="Template"/>
              <w:rPr>
                <w:b/>
              </w:rPr>
            </w:pPr>
            <w:r w:rsidRPr="00DE383E">
              <w:t xml:space="preserve">Template </w:t>
            </w:r>
            <w:r w:rsidR="00A54F67">
              <w:t>2.8.1</w:t>
            </w:r>
          </w:p>
          <w:p w14:paraId="56F7A364" w14:textId="77777777" w:rsidR="009D2747" w:rsidRPr="003E3163" w:rsidRDefault="009D2747" w:rsidP="00F81912">
            <w:pPr>
              <w:numPr>
                <w:ilvl w:val="0"/>
                <w:numId w:val="0"/>
              </w:numPr>
            </w:pPr>
          </w:p>
        </w:tc>
        <w:tc>
          <w:tcPr>
            <w:cnfStyle w:val="000100000000" w:firstRow="0" w:lastRow="0" w:firstColumn="0" w:lastColumn="1" w:oddVBand="0" w:evenVBand="0" w:oddHBand="0" w:evenHBand="0" w:firstRowFirstColumn="0" w:firstRowLastColumn="0" w:lastRowFirstColumn="0" w:lastRowLastColumn="0"/>
            <w:tcW w:w="222" w:type="dxa"/>
            <w:tcBorders>
              <w:top w:val="nil"/>
              <w:bottom w:val="nil"/>
            </w:tcBorders>
          </w:tcPr>
          <w:p w14:paraId="75441F5F" w14:textId="77777777" w:rsidR="009D2747" w:rsidRPr="003F6D36" w:rsidRDefault="009D2747" w:rsidP="009D2747">
            <w:pPr>
              <w:pStyle w:val="Discalimer"/>
              <w:pBdr>
                <w:top w:val="none" w:sz="0" w:space="0" w:color="auto"/>
                <w:bottom w:val="none" w:sz="0" w:space="0" w:color="auto"/>
              </w:pBdr>
              <w:jc w:val="left"/>
              <w:rPr>
                <w:i w:val="0"/>
              </w:rPr>
            </w:pPr>
          </w:p>
        </w:tc>
      </w:tr>
    </w:tbl>
    <w:p w14:paraId="7CE72623" w14:textId="77777777" w:rsidR="00271559" w:rsidRPr="00271559" w:rsidRDefault="00271559" w:rsidP="00AF1CDD"/>
    <w:p w14:paraId="4AAF1695" w14:textId="77777777" w:rsidR="00271559" w:rsidRDefault="00271559">
      <w:pPr>
        <w:numPr>
          <w:ilvl w:val="0"/>
          <w:numId w:val="0"/>
        </w:numPr>
        <w:rPr>
          <w:rFonts w:asciiTheme="majorHAnsi" w:eastAsiaTheme="majorEastAsia" w:hAnsiTheme="majorHAnsi" w:cstheme="majorBidi"/>
          <w:bCs/>
          <w:color w:val="00853F" w:themeColor="accent1"/>
          <w:sz w:val="32"/>
          <w:szCs w:val="28"/>
        </w:rPr>
      </w:pPr>
      <w:r>
        <w:br w:type="page"/>
      </w:r>
    </w:p>
    <w:p w14:paraId="3A02345C" w14:textId="77777777" w:rsidR="006625C7" w:rsidRPr="005557E5" w:rsidRDefault="005557E5" w:rsidP="005557E5">
      <w:pPr>
        <w:pStyle w:val="TOCHeading"/>
      </w:pPr>
      <w:r>
        <w:lastRenderedPageBreak/>
        <w:t>Contents</w:t>
      </w:r>
    </w:p>
    <w:p w14:paraId="04DCE6A0" w14:textId="00B8561A" w:rsidR="00D17D0F" w:rsidRDefault="001246BE">
      <w:pPr>
        <w:pStyle w:val="TOC1"/>
        <w:rPr>
          <w:rFonts w:asciiTheme="minorHAnsi" w:eastAsiaTheme="minorEastAsia" w:hAnsiTheme="minorHAnsi"/>
          <w:b w:val="0"/>
          <w:lang w:eastAsia="en-AU"/>
        </w:rPr>
      </w:pPr>
      <w:r>
        <w:fldChar w:fldCharType="begin"/>
      </w:r>
      <w:r>
        <w:instrText xml:space="preserve"> TOC \o "1-3" \h \z \u </w:instrText>
      </w:r>
      <w:r>
        <w:fldChar w:fldCharType="separate"/>
      </w:r>
      <w:hyperlink w:anchor="_Toc38889732" w:history="1">
        <w:r w:rsidR="00D17D0F" w:rsidRPr="008178C2">
          <w:rPr>
            <w:rStyle w:val="Hyperlink"/>
            <w:noProof/>
          </w:rPr>
          <w:t>1. Introduction</w:t>
        </w:r>
        <w:r w:rsidR="00D17D0F">
          <w:rPr>
            <w:webHidden/>
          </w:rPr>
          <w:tab/>
        </w:r>
        <w:r w:rsidR="00D17D0F">
          <w:rPr>
            <w:webHidden/>
          </w:rPr>
          <w:fldChar w:fldCharType="begin"/>
        </w:r>
        <w:r w:rsidR="00D17D0F">
          <w:rPr>
            <w:webHidden/>
          </w:rPr>
          <w:instrText xml:space="preserve"> PAGEREF _Toc38889732 \h </w:instrText>
        </w:r>
        <w:r w:rsidR="00D17D0F">
          <w:rPr>
            <w:webHidden/>
          </w:rPr>
        </w:r>
        <w:r w:rsidR="00D17D0F">
          <w:rPr>
            <w:webHidden/>
          </w:rPr>
          <w:fldChar w:fldCharType="separate"/>
        </w:r>
        <w:r w:rsidR="006567A5">
          <w:rPr>
            <w:webHidden/>
          </w:rPr>
          <w:t>5</w:t>
        </w:r>
        <w:r w:rsidR="00D17D0F">
          <w:rPr>
            <w:webHidden/>
          </w:rPr>
          <w:fldChar w:fldCharType="end"/>
        </w:r>
      </w:hyperlink>
    </w:p>
    <w:p w14:paraId="29882A25" w14:textId="38C1B041" w:rsidR="00D17D0F" w:rsidRDefault="003E421B">
      <w:pPr>
        <w:pStyle w:val="TOC1"/>
        <w:rPr>
          <w:rFonts w:asciiTheme="minorHAnsi" w:eastAsiaTheme="minorEastAsia" w:hAnsiTheme="minorHAnsi"/>
          <w:b w:val="0"/>
          <w:lang w:eastAsia="en-AU"/>
        </w:rPr>
      </w:pPr>
      <w:hyperlink w:anchor="_Toc38889733" w:history="1">
        <w:r w:rsidR="00D17D0F" w:rsidRPr="008178C2">
          <w:rPr>
            <w:rStyle w:val="Hyperlink"/>
            <w:noProof/>
          </w:rPr>
          <w:t>2. The Northern Fish Flow</w:t>
        </w:r>
        <w:r w:rsidR="00D17D0F">
          <w:rPr>
            <w:webHidden/>
          </w:rPr>
          <w:tab/>
        </w:r>
        <w:r w:rsidR="00D17D0F">
          <w:rPr>
            <w:webHidden/>
          </w:rPr>
          <w:fldChar w:fldCharType="begin"/>
        </w:r>
        <w:r w:rsidR="00D17D0F">
          <w:rPr>
            <w:webHidden/>
          </w:rPr>
          <w:instrText xml:space="preserve"> PAGEREF _Toc38889733 \h </w:instrText>
        </w:r>
        <w:r w:rsidR="00D17D0F">
          <w:rPr>
            <w:webHidden/>
          </w:rPr>
        </w:r>
        <w:r w:rsidR="00D17D0F">
          <w:rPr>
            <w:webHidden/>
          </w:rPr>
          <w:fldChar w:fldCharType="separate"/>
        </w:r>
        <w:r w:rsidR="006567A5">
          <w:rPr>
            <w:webHidden/>
          </w:rPr>
          <w:t>5</w:t>
        </w:r>
        <w:r w:rsidR="00D17D0F">
          <w:rPr>
            <w:webHidden/>
          </w:rPr>
          <w:fldChar w:fldCharType="end"/>
        </w:r>
      </w:hyperlink>
    </w:p>
    <w:p w14:paraId="67C592BF" w14:textId="29BDB5F7" w:rsidR="00D17D0F" w:rsidRDefault="003E421B">
      <w:pPr>
        <w:pStyle w:val="TOC1"/>
        <w:rPr>
          <w:rFonts w:asciiTheme="minorHAnsi" w:eastAsiaTheme="minorEastAsia" w:hAnsiTheme="minorHAnsi"/>
          <w:b w:val="0"/>
          <w:lang w:eastAsia="en-AU"/>
        </w:rPr>
      </w:pPr>
      <w:hyperlink w:anchor="_Toc38889734" w:history="1">
        <w:r w:rsidR="00D17D0F" w:rsidRPr="008178C2">
          <w:rPr>
            <w:rStyle w:val="Hyperlink"/>
            <w:noProof/>
          </w:rPr>
          <w:t>3. Methods and study sites</w:t>
        </w:r>
        <w:r w:rsidR="00D17D0F">
          <w:rPr>
            <w:webHidden/>
          </w:rPr>
          <w:tab/>
        </w:r>
        <w:r w:rsidR="00D17D0F">
          <w:rPr>
            <w:webHidden/>
          </w:rPr>
          <w:fldChar w:fldCharType="begin"/>
        </w:r>
        <w:r w:rsidR="00D17D0F">
          <w:rPr>
            <w:webHidden/>
          </w:rPr>
          <w:instrText xml:space="preserve"> PAGEREF _Toc38889734 \h </w:instrText>
        </w:r>
        <w:r w:rsidR="00D17D0F">
          <w:rPr>
            <w:webHidden/>
          </w:rPr>
        </w:r>
        <w:r w:rsidR="00D17D0F">
          <w:rPr>
            <w:webHidden/>
          </w:rPr>
          <w:fldChar w:fldCharType="separate"/>
        </w:r>
        <w:r w:rsidR="006567A5">
          <w:rPr>
            <w:webHidden/>
          </w:rPr>
          <w:t>6</w:t>
        </w:r>
        <w:r w:rsidR="00D17D0F">
          <w:rPr>
            <w:webHidden/>
          </w:rPr>
          <w:fldChar w:fldCharType="end"/>
        </w:r>
      </w:hyperlink>
    </w:p>
    <w:p w14:paraId="219BAA44" w14:textId="3E244C71" w:rsidR="00D17D0F" w:rsidRDefault="003E421B">
      <w:pPr>
        <w:pStyle w:val="TOC2"/>
        <w:rPr>
          <w:rFonts w:asciiTheme="minorHAnsi" w:eastAsiaTheme="minorEastAsia" w:hAnsiTheme="minorHAnsi" w:cstheme="minorBidi"/>
          <w:bCs w:val="0"/>
          <w:lang w:eastAsia="en-AU"/>
        </w:rPr>
      </w:pPr>
      <w:hyperlink w:anchor="_Toc38889735" w:history="1">
        <w:r w:rsidR="00D17D0F" w:rsidRPr="008178C2">
          <w:rPr>
            <w:rStyle w:val="Hyperlink"/>
            <w:noProof/>
          </w:rPr>
          <w:t>3.1 Pre event water quality and algal sampling</w:t>
        </w:r>
        <w:r w:rsidR="00D17D0F">
          <w:rPr>
            <w:webHidden/>
          </w:rPr>
          <w:tab/>
        </w:r>
        <w:r w:rsidR="00D17D0F">
          <w:rPr>
            <w:webHidden/>
          </w:rPr>
          <w:fldChar w:fldCharType="begin"/>
        </w:r>
        <w:r w:rsidR="00D17D0F">
          <w:rPr>
            <w:webHidden/>
          </w:rPr>
          <w:instrText xml:space="preserve"> PAGEREF _Toc38889735 \h </w:instrText>
        </w:r>
        <w:r w:rsidR="00D17D0F">
          <w:rPr>
            <w:webHidden/>
          </w:rPr>
        </w:r>
        <w:r w:rsidR="00D17D0F">
          <w:rPr>
            <w:webHidden/>
          </w:rPr>
          <w:fldChar w:fldCharType="separate"/>
        </w:r>
        <w:r w:rsidR="006567A5">
          <w:rPr>
            <w:webHidden/>
          </w:rPr>
          <w:t>6</w:t>
        </w:r>
        <w:r w:rsidR="00D17D0F">
          <w:rPr>
            <w:webHidden/>
          </w:rPr>
          <w:fldChar w:fldCharType="end"/>
        </w:r>
      </w:hyperlink>
    </w:p>
    <w:p w14:paraId="6BDFB65C" w14:textId="2B12D317" w:rsidR="00D17D0F" w:rsidRDefault="003E421B">
      <w:pPr>
        <w:pStyle w:val="TOC2"/>
        <w:rPr>
          <w:rFonts w:asciiTheme="minorHAnsi" w:eastAsiaTheme="minorEastAsia" w:hAnsiTheme="minorHAnsi" w:cstheme="minorBidi"/>
          <w:bCs w:val="0"/>
          <w:lang w:eastAsia="en-AU"/>
        </w:rPr>
      </w:pPr>
      <w:hyperlink w:anchor="_Toc38889736" w:history="1">
        <w:r w:rsidR="00D17D0F" w:rsidRPr="008178C2">
          <w:rPr>
            <w:rStyle w:val="Hyperlink"/>
            <w:noProof/>
          </w:rPr>
          <w:t>3.2 Longer term monitoring</w:t>
        </w:r>
        <w:r w:rsidR="00D17D0F">
          <w:rPr>
            <w:webHidden/>
          </w:rPr>
          <w:tab/>
        </w:r>
        <w:r w:rsidR="00D17D0F">
          <w:rPr>
            <w:webHidden/>
          </w:rPr>
          <w:fldChar w:fldCharType="begin"/>
        </w:r>
        <w:r w:rsidR="00D17D0F">
          <w:rPr>
            <w:webHidden/>
          </w:rPr>
          <w:instrText xml:space="preserve"> PAGEREF _Toc38889736 \h </w:instrText>
        </w:r>
        <w:r w:rsidR="00D17D0F">
          <w:rPr>
            <w:webHidden/>
          </w:rPr>
        </w:r>
        <w:r w:rsidR="00D17D0F">
          <w:rPr>
            <w:webHidden/>
          </w:rPr>
          <w:fldChar w:fldCharType="separate"/>
        </w:r>
        <w:r w:rsidR="006567A5">
          <w:rPr>
            <w:webHidden/>
          </w:rPr>
          <w:t>11</w:t>
        </w:r>
        <w:r w:rsidR="00D17D0F">
          <w:rPr>
            <w:webHidden/>
          </w:rPr>
          <w:fldChar w:fldCharType="end"/>
        </w:r>
      </w:hyperlink>
    </w:p>
    <w:p w14:paraId="0063E874" w14:textId="7AE00FFF" w:rsidR="00D17D0F" w:rsidRDefault="003E421B">
      <w:pPr>
        <w:pStyle w:val="TOC1"/>
        <w:rPr>
          <w:rFonts w:asciiTheme="minorHAnsi" w:eastAsiaTheme="minorEastAsia" w:hAnsiTheme="minorHAnsi"/>
          <w:b w:val="0"/>
          <w:lang w:eastAsia="en-AU"/>
        </w:rPr>
      </w:pPr>
      <w:hyperlink w:anchor="_Toc38889737" w:history="1">
        <w:r w:rsidR="00D17D0F" w:rsidRPr="008178C2">
          <w:rPr>
            <w:rStyle w:val="Hyperlink"/>
            <w:noProof/>
          </w:rPr>
          <w:t>4. Findings</w:t>
        </w:r>
        <w:r w:rsidR="00D17D0F">
          <w:rPr>
            <w:webHidden/>
          </w:rPr>
          <w:tab/>
        </w:r>
        <w:r w:rsidR="00D17D0F">
          <w:rPr>
            <w:webHidden/>
          </w:rPr>
          <w:fldChar w:fldCharType="begin"/>
        </w:r>
        <w:r w:rsidR="00D17D0F">
          <w:rPr>
            <w:webHidden/>
          </w:rPr>
          <w:instrText xml:space="preserve"> PAGEREF _Toc38889737 \h </w:instrText>
        </w:r>
        <w:r w:rsidR="00D17D0F">
          <w:rPr>
            <w:webHidden/>
          </w:rPr>
        </w:r>
        <w:r w:rsidR="00D17D0F">
          <w:rPr>
            <w:webHidden/>
          </w:rPr>
          <w:fldChar w:fldCharType="separate"/>
        </w:r>
        <w:r w:rsidR="006567A5">
          <w:rPr>
            <w:webHidden/>
          </w:rPr>
          <w:t>12</w:t>
        </w:r>
        <w:r w:rsidR="00D17D0F">
          <w:rPr>
            <w:webHidden/>
          </w:rPr>
          <w:fldChar w:fldCharType="end"/>
        </w:r>
      </w:hyperlink>
    </w:p>
    <w:p w14:paraId="13D95587" w14:textId="29BC9208" w:rsidR="00D17D0F" w:rsidRDefault="003E421B">
      <w:pPr>
        <w:pStyle w:val="TOC2"/>
        <w:rPr>
          <w:rFonts w:asciiTheme="minorHAnsi" w:eastAsiaTheme="minorEastAsia" w:hAnsiTheme="minorHAnsi" w:cstheme="minorBidi"/>
          <w:bCs w:val="0"/>
          <w:lang w:eastAsia="en-AU"/>
        </w:rPr>
      </w:pPr>
      <w:hyperlink w:anchor="_Toc38889738" w:history="1">
        <w:r w:rsidR="00D17D0F" w:rsidRPr="008178C2">
          <w:rPr>
            <w:rStyle w:val="Hyperlink"/>
            <w:noProof/>
          </w:rPr>
          <w:t>4.1 Pre event water quality and algal sampling</w:t>
        </w:r>
        <w:r w:rsidR="00D17D0F">
          <w:rPr>
            <w:webHidden/>
          </w:rPr>
          <w:tab/>
        </w:r>
        <w:r w:rsidR="00D17D0F">
          <w:rPr>
            <w:webHidden/>
          </w:rPr>
          <w:fldChar w:fldCharType="begin"/>
        </w:r>
        <w:r w:rsidR="00D17D0F">
          <w:rPr>
            <w:webHidden/>
          </w:rPr>
          <w:instrText xml:space="preserve"> PAGEREF _Toc38889738 \h </w:instrText>
        </w:r>
        <w:r w:rsidR="00D17D0F">
          <w:rPr>
            <w:webHidden/>
          </w:rPr>
        </w:r>
        <w:r w:rsidR="00D17D0F">
          <w:rPr>
            <w:webHidden/>
          </w:rPr>
          <w:fldChar w:fldCharType="separate"/>
        </w:r>
        <w:r w:rsidR="006567A5">
          <w:rPr>
            <w:webHidden/>
          </w:rPr>
          <w:t>12</w:t>
        </w:r>
        <w:r w:rsidR="00D17D0F">
          <w:rPr>
            <w:webHidden/>
          </w:rPr>
          <w:fldChar w:fldCharType="end"/>
        </w:r>
      </w:hyperlink>
    </w:p>
    <w:p w14:paraId="13B2D60B" w14:textId="6C60C309" w:rsidR="00D17D0F" w:rsidRDefault="003E421B">
      <w:pPr>
        <w:pStyle w:val="TOC3"/>
        <w:rPr>
          <w:rFonts w:asciiTheme="minorHAnsi" w:eastAsiaTheme="minorEastAsia" w:hAnsiTheme="minorHAnsi"/>
          <w:noProof/>
          <w:sz w:val="22"/>
          <w:lang w:eastAsia="en-AU"/>
        </w:rPr>
      </w:pPr>
      <w:hyperlink w:anchor="_Toc38889739" w:history="1">
        <w:r w:rsidR="00D17D0F" w:rsidRPr="008178C2">
          <w:rPr>
            <w:rStyle w:val="Hyperlink"/>
            <w:noProof/>
          </w:rPr>
          <w:t>4.1.1 Mungindi</w:t>
        </w:r>
        <w:r w:rsidR="00D17D0F">
          <w:rPr>
            <w:noProof/>
            <w:webHidden/>
          </w:rPr>
          <w:tab/>
        </w:r>
        <w:r w:rsidR="00D17D0F">
          <w:rPr>
            <w:noProof/>
            <w:webHidden/>
          </w:rPr>
          <w:fldChar w:fldCharType="begin"/>
        </w:r>
        <w:r w:rsidR="00D17D0F">
          <w:rPr>
            <w:noProof/>
            <w:webHidden/>
          </w:rPr>
          <w:instrText xml:space="preserve"> PAGEREF _Toc38889739 \h </w:instrText>
        </w:r>
        <w:r w:rsidR="00D17D0F">
          <w:rPr>
            <w:noProof/>
            <w:webHidden/>
          </w:rPr>
        </w:r>
        <w:r w:rsidR="00D17D0F">
          <w:rPr>
            <w:noProof/>
            <w:webHidden/>
          </w:rPr>
          <w:fldChar w:fldCharType="separate"/>
        </w:r>
        <w:r w:rsidR="006567A5">
          <w:rPr>
            <w:noProof/>
            <w:webHidden/>
          </w:rPr>
          <w:t>12</w:t>
        </w:r>
        <w:r w:rsidR="00D17D0F">
          <w:rPr>
            <w:noProof/>
            <w:webHidden/>
          </w:rPr>
          <w:fldChar w:fldCharType="end"/>
        </w:r>
      </w:hyperlink>
    </w:p>
    <w:p w14:paraId="4ECA161B" w14:textId="1572C405" w:rsidR="00D17D0F" w:rsidRDefault="003E421B">
      <w:pPr>
        <w:pStyle w:val="TOC3"/>
        <w:rPr>
          <w:rFonts w:asciiTheme="minorHAnsi" w:eastAsiaTheme="minorEastAsia" w:hAnsiTheme="minorHAnsi"/>
          <w:noProof/>
          <w:sz w:val="22"/>
          <w:lang w:eastAsia="en-AU"/>
        </w:rPr>
      </w:pPr>
      <w:hyperlink w:anchor="_Toc38889740" w:history="1">
        <w:r w:rsidR="00D17D0F" w:rsidRPr="008178C2">
          <w:rPr>
            <w:rStyle w:val="Hyperlink"/>
            <w:noProof/>
          </w:rPr>
          <w:t>4.1.2 Collarenebri and surrounding waterholes</w:t>
        </w:r>
        <w:r w:rsidR="00D17D0F">
          <w:rPr>
            <w:noProof/>
            <w:webHidden/>
          </w:rPr>
          <w:tab/>
        </w:r>
        <w:r w:rsidR="00D17D0F">
          <w:rPr>
            <w:noProof/>
            <w:webHidden/>
          </w:rPr>
          <w:fldChar w:fldCharType="begin"/>
        </w:r>
        <w:r w:rsidR="00D17D0F">
          <w:rPr>
            <w:noProof/>
            <w:webHidden/>
          </w:rPr>
          <w:instrText xml:space="preserve"> PAGEREF _Toc38889740 \h </w:instrText>
        </w:r>
        <w:r w:rsidR="00D17D0F">
          <w:rPr>
            <w:noProof/>
            <w:webHidden/>
          </w:rPr>
        </w:r>
        <w:r w:rsidR="00D17D0F">
          <w:rPr>
            <w:noProof/>
            <w:webHidden/>
          </w:rPr>
          <w:fldChar w:fldCharType="separate"/>
        </w:r>
        <w:r w:rsidR="006567A5">
          <w:rPr>
            <w:noProof/>
            <w:webHidden/>
          </w:rPr>
          <w:t>12</w:t>
        </w:r>
        <w:r w:rsidR="00D17D0F">
          <w:rPr>
            <w:noProof/>
            <w:webHidden/>
          </w:rPr>
          <w:fldChar w:fldCharType="end"/>
        </w:r>
      </w:hyperlink>
    </w:p>
    <w:p w14:paraId="39BED8FD" w14:textId="3DA5C55B" w:rsidR="00D17D0F" w:rsidRDefault="003E421B">
      <w:pPr>
        <w:pStyle w:val="TOC3"/>
        <w:rPr>
          <w:rFonts w:asciiTheme="minorHAnsi" w:eastAsiaTheme="minorEastAsia" w:hAnsiTheme="minorHAnsi"/>
          <w:noProof/>
          <w:sz w:val="22"/>
          <w:lang w:eastAsia="en-AU"/>
        </w:rPr>
      </w:pPr>
      <w:hyperlink w:anchor="_Toc38889741" w:history="1">
        <w:r w:rsidR="00D17D0F" w:rsidRPr="008178C2">
          <w:rPr>
            <w:rStyle w:val="Hyperlink"/>
            <w:noProof/>
          </w:rPr>
          <w:t>4.1.3 Brewarrina</w:t>
        </w:r>
        <w:r w:rsidR="00D17D0F">
          <w:rPr>
            <w:noProof/>
            <w:webHidden/>
          </w:rPr>
          <w:tab/>
        </w:r>
        <w:r w:rsidR="00D17D0F">
          <w:rPr>
            <w:noProof/>
            <w:webHidden/>
          </w:rPr>
          <w:fldChar w:fldCharType="begin"/>
        </w:r>
        <w:r w:rsidR="00D17D0F">
          <w:rPr>
            <w:noProof/>
            <w:webHidden/>
          </w:rPr>
          <w:instrText xml:space="preserve"> PAGEREF _Toc38889741 \h </w:instrText>
        </w:r>
        <w:r w:rsidR="00D17D0F">
          <w:rPr>
            <w:noProof/>
            <w:webHidden/>
          </w:rPr>
        </w:r>
        <w:r w:rsidR="00D17D0F">
          <w:rPr>
            <w:noProof/>
            <w:webHidden/>
          </w:rPr>
          <w:fldChar w:fldCharType="separate"/>
        </w:r>
        <w:r w:rsidR="006567A5">
          <w:rPr>
            <w:noProof/>
            <w:webHidden/>
          </w:rPr>
          <w:t>14</w:t>
        </w:r>
        <w:r w:rsidR="00D17D0F">
          <w:rPr>
            <w:noProof/>
            <w:webHidden/>
          </w:rPr>
          <w:fldChar w:fldCharType="end"/>
        </w:r>
      </w:hyperlink>
    </w:p>
    <w:p w14:paraId="69974364" w14:textId="264AC82D" w:rsidR="00D17D0F" w:rsidRDefault="003E421B">
      <w:pPr>
        <w:pStyle w:val="TOC3"/>
        <w:rPr>
          <w:rFonts w:asciiTheme="minorHAnsi" w:eastAsiaTheme="minorEastAsia" w:hAnsiTheme="minorHAnsi"/>
          <w:noProof/>
          <w:sz w:val="22"/>
          <w:lang w:eastAsia="en-AU"/>
        </w:rPr>
      </w:pPr>
      <w:hyperlink w:anchor="_Toc38889742" w:history="1">
        <w:r w:rsidR="00D17D0F" w:rsidRPr="008178C2">
          <w:rPr>
            <w:rStyle w:val="Hyperlink"/>
            <w:noProof/>
          </w:rPr>
          <w:t>4.1.4 Walgett</w:t>
        </w:r>
        <w:r w:rsidR="00D17D0F">
          <w:rPr>
            <w:noProof/>
            <w:webHidden/>
          </w:rPr>
          <w:tab/>
        </w:r>
        <w:r w:rsidR="00D17D0F">
          <w:rPr>
            <w:noProof/>
            <w:webHidden/>
          </w:rPr>
          <w:fldChar w:fldCharType="begin"/>
        </w:r>
        <w:r w:rsidR="00D17D0F">
          <w:rPr>
            <w:noProof/>
            <w:webHidden/>
          </w:rPr>
          <w:instrText xml:space="preserve"> PAGEREF _Toc38889742 \h </w:instrText>
        </w:r>
        <w:r w:rsidR="00D17D0F">
          <w:rPr>
            <w:noProof/>
            <w:webHidden/>
          </w:rPr>
        </w:r>
        <w:r w:rsidR="00D17D0F">
          <w:rPr>
            <w:noProof/>
            <w:webHidden/>
          </w:rPr>
          <w:fldChar w:fldCharType="separate"/>
        </w:r>
        <w:r w:rsidR="006567A5">
          <w:rPr>
            <w:noProof/>
            <w:webHidden/>
          </w:rPr>
          <w:t>15</w:t>
        </w:r>
        <w:r w:rsidR="00D17D0F">
          <w:rPr>
            <w:noProof/>
            <w:webHidden/>
          </w:rPr>
          <w:fldChar w:fldCharType="end"/>
        </w:r>
      </w:hyperlink>
    </w:p>
    <w:p w14:paraId="6B01393A" w14:textId="57B9C7C4" w:rsidR="00D17D0F" w:rsidRDefault="003E421B">
      <w:pPr>
        <w:pStyle w:val="TOC3"/>
        <w:rPr>
          <w:rFonts w:asciiTheme="minorHAnsi" w:eastAsiaTheme="minorEastAsia" w:hAnsiTheme="minorHAnsi"/>
          <w:noProof/>
          <w:sz w:val="22"/>
          <w:lang w:eastAsia="en-AU"/>
        </w:rPr>
      </w:pPr>
      <w:hyperlink w:anchor="_Toc38889743" w:history="1">
        <w:r w:rsidR="00D17D0F" w:rsidRPr="008178C2">
          <w:rPr>
            <w:rStyle w:val="Hyperlink"/>
            <w:noProof/>
          </w:rPr>
          <w:t>4.1.5 Bourke</w:t>
        </w:r>
        <w:r w:rsidR="00D17D0F">
          <w:rPr>
            <w:noProof/>
            <w:webHidden/>
          </w:rPr>
          <w:tab/>
        </w:r>
        <w:r w:rsidR="00D17D0F">
          <w:rPr>
            <w:noProof/>
            <w:webHidden/>
          </w:rPr>
          <w:fldChar w:fldCharType="begin"/>
        </w:r>
        <w:r w:rsidR="00D17D0F">
          <w:rPr>
            <w:noProof/>
            <w:webHidden/>
          </w:rPr>
          <w:instrText xml:space="preserve"> PAGEREF _Toc38889743 \h </w:instrText>
        </w:r>
        <w:r w:rsidR="00D17D0F">
          <w:rPr>
            <w:noProof/>
            <w:webHidden/>
          </w:rPr>
        </w:r>
        <w:r w:rsidR="00D17D0F">
          <w:rPr>
            <w:noProof/>
            <w:webHidden/>
          </w:rPr>
          <w:fldChar w:fldCharType="separate"/>
        </w:r>
        <w:r w:rsidR="006567A5">
          <w:rPr>
            <w:noProof/>
            <w:webHidden/>
          </w:rPr>
          <w:t>15</w:t>
        </w:r>
        <w:r w:rsidR="00D17D0F">
          <w:rPr>
            <w:noProof/>
            <w:webHidden/>
          </w:rPr>
          <w:fldChar w:fldCharType="end"/>
        </w:r>
      </w:hyperlink>
    </w:p>
    <w:p w14:paraId="28FD6779" w14:textId="3ECEB53D" w:rsidR="00D17D0F" w:rsidRDefault="003E421B">
      <w:pPr>
        <w:pStyle w:val="TOC3"/>
        <w:rPr>
          <w:rFonts w:asciiTheme="minorHAnsi" w:eastAsiaTheme="minorEastAsia" w:hAnsiTheme="minorHAnsi"/>
          <w:noProof/>
          <w:sz w:val="22"/>
          <w:lang w:eastAsia="en-AU"/>
        </w:rPr>
      </w:pPr>
      <w:hyperlink w:anchor="_Toc38889744" w:history="1">
        <w:r w:rsidR="00D17D0F" w:rsidRPr="008178C2">
          <w:rPr>
            <w:rStyle w:val="Hyperlink"/>
            <w:noProof/>
          </w:rPr>
          <w:t>4.1.6 Depth and water volume in Collarenebri weir pool</w:t>
        </w:r>
        <w:r w:rsidR="00D17D0F">
          <w:rPr>
            <w:noProof/>
            <w:webHidden/>
          </w:rPr>
          <w:tab/>
        </w:r>
        <w:r w:rsidR="00D17D0F">
          <w:rPr>
            <w:noProof/>
            <w:webHidden/>
          </w:rPr>
          <w:fldChar w:fldCharType="begin"/>
        </w:r>
        <w:r w:rsidR="00D17D0F">
          <w:rPr>
            <w:noProof/>
            <w:webHidden/>
          </w:rPr>
          <w:instrText xml:space="preserve"> PAGEREF _Toc38889744 \h </w:instrText>
        </w:r>
        <w:r w:rsidR="00D17D0F">
          <w:rPr>
            <w:noProof/>
            <w:webHidden/>
          </w:rPr>
        </w:r>
        <w:r w:rsidR="00D17D0F">
          <w:rPr>
            <w:noProof/>
            <w:webHidden/>
          </w:rPr>
          <w:fldChar w:fldCharType="separate"/>
        </w:r>
        <w:r w:rsidR="006567A5">
          <w:rPr>
            <w:noProof/>
            <w:webHidden/>
          </w:rPr>
          <w:t>16</w:t>
        </w:r>
        <w:r w:rsidR="00D17D0F">
          <w:rPr>
            <w:noProof/>
            <w:webHidden/>
          </w:rPr>
          <w:fldChar w:fldCharType="end"/>
        </w:r>
      </w:hyperlink>
    </w:p>
    <w:p w14:paraId="1C775B1C" w14:textId="2C4F38D0" w:rsidR="00D17D0F" w:rsidRDefault="003E421B">
      <w:pPr>
        <w:pStyle w:val="TOC3"/>
        <w:rPr>
          <w:rFonts w:asciiTheme="minorHAnsi" w:eastAsiaTheme="minorEastAsia" w:hAnsiTheme="minorHAnsi"/>
          <w:noProof/>
          <w:sz w:val="22"/>
          <w:lang w:eastAsia="en-AU"/>
        </w:rPr>
      </w:pPr>
      <w:hyperlink w:anchor="_Toc38889745" w:history="1">
        <w:r w:rsidR="00D17D0F" w:rsidRPr="008178C2">
          <w:rPr>
            <w:rStyle w:val="Hyperlink"/>
            <w:noProof/>
          </w:rPr>
          <w:t>4.1.7 Summary of pre event sampling</w:t>
        </w:r>
        <w:r w:rsidR="00D17D0F">
          <w:rPr>
            <w:noProof/>
            <w:webHidden/>
          </w:rPr>
          <w:tab/>
        </w:r>
        <w:r w:rsidR="00D17D0F">
          <w:rPr>
            <w:noProof/>
            <w:webHidden/>
          </w:rPr>
          <w:fldChar w:fldCharType="begin"/>
        </w:r>
        <w:r w:rsidR="00D17D0F">
          <w:rPr>
            <w:noProof/>
            <w:webHidden/>
          </w:rPr>
          <w:instrText xml:space="preserve"> PAGEREF _Toc38889745 \h </w:instrText>
        </w:r>
        <w:r w:rsidR="00D17D0F">
          <w:rPr>
            <w:noProof/>
            <w:webHidden/>
          </w:rPr>
        </w:r>
        <w:r w:rsidR="00D17D0F">
          <w:rPr>
            <w:noProof/>
            <w:webHidden/>
          </w:rPr>
          <w:fldChar w:fldCharType="separate"/>
        </w:r>
        <w:r w:rsidR="006567A5">
          <w:rPr>
            <w:noProof/>
            <w:webHidden/>
          </w:rPr>
          <w:t>18</w:t>
        </w:r>
        <w:r w:rsidR="00D17D0F">
          <w:rPr>
            <w:noProof/>
            <w:webHidden/>
          </w:rPr>
          <w:fldChar w:fldCharType="end"/>
        </w:r>
      </w:hyperlink>
    </w:p>
    <w:p w14:paraId="29EF05F5" w14:textId="0E15F01D" w:rsidR="00D17D0F" w:rsidRDefault="003E421B">
      <w:pPr>
        <w:pStyle w:val="TOC2"/>
        <w:rPr>
          <w:rFonts w:asciiTheme="minorHAnsi" w:eastAsiaTheme="minorEastAsia" w:hAnsiTheme="minorHAnsi" w:cstheme="minorBidi"/>
          <w:bCs w:val="0"/>
          <w:lang w:eastAsia="en-AU"/>
        </w:rPr>
      </w:pPr>
      <w:hyperlink w:anchor="_Toc38889746" w:history="1">
        <w:r w:rsidR="00D17D0F" w:rsidRPr="008178C2">
          <w:rPr>
            <w:rStyle w:val="Hyperlink"/>
            <w:noProof/>
          </w:rPr>
          <w:t>4.2 Water Quality Spot measures over time</w:t>
        </w:r>
        <w:r w:rsidR="00D17D0F">
          <w:rPr>
            <w:webHidden/>
          </w:rPr>
          <w:tab/>
        </w:r>
        <w:r w:rsidR="00D17D0F">
          <w:rPr>
            <w:webHidden/>
          </w:rPr>
          <w:fldChar w:fldCharType="begin"/>
        </w:r>
        <w:r w:rsidR="00D17D0F">
          <w:rPr>
            <w:webHidden/>
          </w:rPr>
          <w:instrText xml:space="preserve"> PAGEREF _Toc38889746 \h </w:instrText>
        </w:r>
        <w:r w:rsidR="00D17D0F">
          <w:rPr>
            <w:webHidden/>
          </w:rPr>
        </w:r>
        <w:r w:rsidR="00D17D0F">
          <w:rPr>
            <w:webHidden/>
          </w:rPr>
          <w:fldChar w:fldCharType="separate"/>
        </w:r>
        <w:r w:rsidR="006567A5">
          <w:rPr>
            <w:webHidden/>
          </w:rPr>
          <w:t>18</w:t>
        </w:r>
        <w:r w:rsidR="00D17D0F">
          <w:rPr>
            <w:webHidden/>
          </w:rPr>
          <w:fldChar w:fldCharType="end"/>
        </w:r>
      </w:hyperlink>
    </w:p>
    <w:p w14:paraId="51C4581A" w14:textId="4CB76B00" w:rsidR="00D17D0F" w:rsidRDefault="003E421B">
      <w:pPr>
        <w:pStyle w:val="TOC2"/>
        <w:rPr>
          <w:rFonts w:asciiTheme="minorHAnsi" w:eastAsiaTheme="minorEastAsia" w:hAnsiTheme="minorHAnsi" w:cstheme="minorBidi"/>
          <w:bCs w:val="0"/>
          <w:lang w:eastAsia="en-AU"/>
        </w:rPr>
      </w:pPr>
      <w:hyperlink w:anchor="_Toc38889747" w:history="1">
        <w:r w:rsidR="00D17D0F" w:rsidRPr="008178C2">
          <w:rPr>
            <w:rStyle w:val="Hyperlink"/>
            <w:noProof/>
          </w:rPr>
          <w:t>4.3 July Algal sampling</w:t>
        </w:r>
        <w:r w:rsidR="00D17D0F">
          <w:rPr>
            <w:webHidden/>
          </w:rPr>
          <w:tab/>
        </w:r>
        <w:r w:rsidR="00D17D0F">
          <w:rPr>
            <w:webHidden/>
          </w:rPr>
          <w:fldChar w:fldCharType="begin"/>
        </w:r>
        <w:r w:rsidR="00D17D0F">
          <w:rPr>
            <w:webHidden/>
          </w:rPr>
          <w:instrText xml:space="preserve"> PAGEREF _Toc38889747 \h </w:instrText>
        </w:r>
        <w:r w:rsidR="00D17D0F">
          <w:rPr>
            <w:webHidden/>
          </w:rPr>
        </w:r>
        <w:r w:rsidR="00D17D0F">
          <w:rPr>
            <w:webHidden/>
          </w:rPr>
          <w:fldChar w:fldCharType="separate"/>
        </w:r>
        <w:r w:rsidR="006567A5">
          <w:rPr>
            <w:webHidden/>
          </w:rPr>
          <w:t>24</w:t>
        </w:r>
        <w:r w:rsidR="00D17D0F">
          <w:rPr>
            <w:webHidden/>
          </w:rPr>
          <w:fldChar w:fldCharType="end"/>
        </w:r>
      </w:hyperlink>
    </w:p>
    <w:p w14:paraId="7474BDF3" w14:textId="4FE7FA9B" w:rsidR="00D17D0F" w:rsidRDefault="003E421B">
      <w:pPr>
        <w:pStyle w:val="TOC2"/>
        <w:rPr>
          <w:rFonts w:asciiTheme="minorHAnsi" w:eastAsiaTheme="minorEastAsia" w:hAnsiTheme="minorHAnsi" w:cstheme="minorBidi"/>
          <w:bCs w:val="0"/>
          <w:lang w:eastAsia="en-AU"/>
        </w:rPr>
      </w:pPr>
      <w:hyperlink w:anchor="_Toc38889748" w:history="1">
        <w:r w:rsidR="00D17D0F" w:rsidRPr="008178C2">
          <w:rPr>
            <w:rStyle w:val="Hyperlink"/>
            <w:noProof/>
          </w:rPr>
          <w:t>4.4 Temperature and Dissolved Oxygen Loggers</w:t>
        </w:r>
        <w:r w:rsidR="00D17D0F">
          <w:rPr>
            <w:webHidden/>
          </w:rPr>
          <w:tab/>
        </w:r>
        <w:r w:rsidR="00D17D0F">
          <w:rPr>
            <w:webHidden/>
          </w:rPr>
          <w:fldChar w:fldCharType="begin"/>
        </w:r>
        <w:r w:rsidR="00D17D0F">
          <w:rPr>
            <w:webHidden/>
          </w:rPr>
          <w:instrText xml:space="preserve"> PAGEREF _Toc38889748 \h </w:instrText>
        </w:r>
        <w:r w:rsidR="00D17D0F">
          <w:rPr>
            <w:webHidden/>
          </w:rPr>
        </w:r>
        <w:r w:rsidR="00D17D0F">
          <w:rPr>
            <w:webHidden/>
          </w:rPr>
          <w:fldChar w:fldCharType="separate"/>
        </w:r>
        <w:r w:rsidR="006567A5">
          <w:rPr>
            <w:webHidden/>
          </w:rPr>
          <w:t>24</w:t>
        </w:r>
        <w:r w:rsidR="00D17D0F">
          <w:rPr>
            <w:webHidden/>
          </w:rPr>
          <w:fldChar w:fldCharType="end"/>
        </w:r>
      </w:hyperlink>
    </w:p>
    <w:p w14:paraId="3DA811AF" w14:textId="5C61A8DE" w:rsidR="00D17D0F" w:rsidRDefault="003E421B">
      <w:pPr>
        <w:pStyle w:val="TOC2"/>
        <w:rPr>
          <w:rFonts w:asciiTheme="minorHAnsi" w:eastAsiaTheme="minorEastAsia" w:hAnsiTheme="minorHAnsi" w:cstheme="minorBidi"/>
          <w:bCs w:val="0"/>
          <w:lang w:eastAsia="en-AU"/>
        </w:rPr>
      </w:pPr>
      <w:hyperlink w:anchor="_Toc38889749" w:history="1">
        <w:r w:rsidR="00D17D0F" w:rsidRPr="008178C2">
          <w:rPr>
            <w:rStyle w:val="Hyperlink"/>
            <w:noProof/>
          </w:rPr>
          <w:t>4.5 Summary of longer term water quality monitoring</w:t>
        </w:r>
        <w:r w:rsidR="00D17D0F">
          <w:rPr>
            <w:webHidden/>
          </w:rPr>
          <w:tab/>
        </w:r>
        <w:r w:rsidR="00D17D0F">
          <w:rPr>
            <w:webHidden/>
          </w:rPr>
          <w:fldChar w:fldCharType="begin"/>
        </w:r>
        <w:r w:rsidR="00D17D0F">
          <w:rPr>
            <w:webHidden/>
          </w:rPr>
          <w:instrText xml:space="preserve"> PAGEREF _Toc38889749 \h </w:instrText>
        </w:r>
        <w:r w:rsidR="00D17D0F">
          <w:rPr>
            <w:webHidden/>
          </w:rPr>
        </w:r>
        <w:r w:rsidR="00D17D0F">
          <w:rPr>
            <w:webHidden/>
          </w:rPr>
          <w:fldChar w:fldCharType="separate"/>
        </w:r>
        <w:r w:rsidR="006567A5">
          <w:rPr>
            <w:webHidden/>
          </w:rPr>
          <w:t>35</w:t>
        </w:r>
        <w:r w:rsidR="00D17D0F">
          <w:rPr>
            <w:webHidden/>
          </w:rPr>
          <w:fldChar w:fldCharType="end"/>
        </w:r>
      </w:hyperlink>
    </w:p>
    <w:p w14:paraId="73BB2A88" w14:textId="4E84CA03" w:rsidR="00D17D0F" w:rsidRDefault="003E421B">
      <w:pPr>
        <w:pStyle w:val="TOC1"/>
        <w:rPr>
          <w:rFonts w:asciiTheme="minorHAnsi" w:eastAsiaTheme="minorEastAsia" w:hAnsiTheme="minorHAnsi"/>
          <w:b w:val="0"/>
          <w:lang w:eastAsia="en-AU"/>
        </w:rPr>
      </w:pPr>
      <w:hyperlink w:anchor="_Toc38889750" w:history="1">
        <w:r w:rsidR="00D17D0F" w:rsidRPr="008178C2">
          <w:rPr>
            <w:rStyle w:val="Hyperlink"/>
            <w:noProof/>
          </w:rPr>
          <w:t>5. Conclusions and recommendations</w:t>
        </w:r>
        <w:r w:rsidR="00D17D0F">
          <w:rPr>
            <w:webHidden/>
          </w:rPr>
          <w:tab/>
        </w:r>
        <w:r w:rsidR="00D17D0F">
          <w:rPr>
            <w:webHidden/>
          </w:rPr>
          <w:fldChar w:fldCharType="begin"/>
        </w:r>
        <w:r w:rsidR="00D17D0F">
          <w:rPr>
            <w:webHidden/>
          </w:rPr>
          <w:instrText xml:space="preserve"> PAGEREF _Toc38889750 \h </w:instrText>
        </w:r>
        <w:r w:rsidR="00D17D0F">
          <w:rPr>
            <w:webHidden/>
          </w:rPr>
        </w:r>
        <w:r w:rsidR="00D17D0F">
          <w:rPr>
            <w:webHidden/>
          </w:rPr>
          <w:fldChar w:fldCharType="separate"/>
        </w:r>
        <w:r w:rsidR="006567A5">
          <w:rPr>
            <w:webHidden/>
          </w:rPr>
          <w:t>36</w:t>
        </w:r>
        <w:r w:rsidR="00D17D0F">
          <w:rPr>
            <w:webHidden/>
          </w:rPr>
          <w:fldChar w:fldCharType="end"/>
        </w:r>
      </w:hyperlink>
    </w:p>
    <w:p w14:paraId="6E5B99F1" w14:textId="4C97FECE" w:rsidR="00D17D0F" w:rsidRDefault="003E421B">
      <w:pPr>
        <w:pStyle w:val="TOC1"/>
        <w:rPr>
          <w:rFonts w:asciiTheme="minorHAnsi" w:eastAsiaTheme="minorEastAsia" w:hAnsiTheme="minorHAnsi"/>
          <w:b w:val="0"/>
          <w:lang w:eastAsia="en-AU"/>
        </w:rPr>
      </w:pPr>
      <w:hyperlink w:anchor="_Toc38889751" w:history="1">
        <w:r w:rsidR="00D17D0F" w:rsidRPr="008178C2">
          <w:rPr>
            <w:rStyle w:val="Hyperlink"/>
            <w:noProof/>
          </w:rPr>
          <w:t>6. References</w:t>
        </w:r>
        <w:r w:rsidR="00D17D0F">
          <w:rPr>
            <w:webHidden/>
          </w:rPr>
          <w:tab/>
        </w:r>
        <w:r w:rsidR="00D17D0F">
          <w:rPr>
            <w:webHidden/>
          </w:rPr>
          <w:fldChar w:fldCharType="begin"/>
        </w:r>
        <w:r w:rsidR="00D17D0F">
          <w:rPr>
            <w:webHidden/>
          </w:rPr>
          <w:instrText xml:space="preserve"> PAGEREF _Toc38889751 \h </w:instrText>
        </w:r>
        <w:r w:rsidR="00D17D0F">
          <w:rPr>
            <w:webHidden/>
          </w:rPr>
        </w:r>
        <w:r w:rsidR="00D17D0F">
          <w:rPr>
            <w:webHidden/>
          </w:rPr>
          <w:fldChar w:fldCharType="separate"/>
        </w:r>
        <w:r w:rsidR="006567A5">
          <w:rPr>
            <w:webHidden/>
          </w:rPr>
          <w:t>37</w:t>
        </w:r>
        <w:r w:rsidR="00D17D0F">
          <w:rPr>
            <w:webHidden/>
          </w:rPr>
          <w:fldChar w:fldCharType="end"/>
        </w:r>
      </w:hyperlink>
    </w:p>
    <w:p w14:paraId="59664214" w14:textId="6A9C2FA6" w:rsidR="006625C7" w:rsidRDefault="001246BE" w:rsidP="005557E5">
      <w:pPr>
        <w:numPr>
          <w:ilvl w:val="0"/>
          <w:numId w:val="0"/>
        </w:numPr>
      </w:pPr>
      <w:r>
        <w:rPr>
          <w:noProof/>
        </w:rPr>
        <w:fldChar w:fldCharType="end"/>
      </w:r>
    </w:p>
    <w:p w14:paraId="4301DC8C" w14:textId="77777777" w:rsidR="005557E5" w:rsidRDefault="005557E5" w:rsidP="005557E5">
      <w:pPr>
        <w:pStyle w:val="TOCHeading"/>
      </w:pPr>
      <w:r>
        <w:t>List of Figures</w:t>
      </w:r>
    </w:p>
    <w:p w14:paraId="34B9A99D" w14:textId="562BE260" w:rsidR="00D17D0F" w:rsidRDefault="00B019E6">
      <w:pPr>
        <w:pStyle w:val="TableofFigures"/>
        <w:rPr>
          <w:rFonts w:asciiTheme="minorHAnsi" w:eastAsiaTheme="minorEastAsia" w:hAnsiTheme="minorHAnsi"/>
          <w:noProof/>
          <w:lang w:eastAsia="en-AU"/>
        </w:rPr>
      </w:pPr>
      <w:r>
        <w:fldChar w:fldCharType="begin"/>
      </w:r>
      <w:r>
        <w:instrText xml:space="preserve"> TOC \h \z \c "Figure" </w:instrText>
      </w:r>
      <w:r>
        <w:fldChar w:fldCharType="separate"/>
      </w:r>
      <w:hyperlink w:anchor="_Toc38889752" w:history="1">
        <w:r w:rsidR="00D17D0F" w:rsidRPr="00226C35">
          <w:rPr>
            <w:rStyle w:val="Hyperlink"/>
            <w:noProof/>
          </w:rPr>
          <w:t>Figure 1: Discharge rates (ML/d) of the Barwon and Darling Rivers at various stations during the Northern Fish Flow identified by the green arrow.</w:t>
        </w:r>
        <w:r w:rsidR="00D17D0F">
          <w:rPr>
            <w:noProof/>
            <w:webHidden/>
          </w:rPr>
          <w:tab/>
        </w:r>
        <w:r w:rsidR="00D17D0F">
          <w:rPr>
            <w:noProof/>
            <w:webHidden/>
          </w:rPr>
          <w:fldChar w:fldCharType="begin"/>
        </w:r>
        <w:r w:rsidR="00D17D0F">
          <w:rPr>
            <w:noProof/>
            <w:webHidden/>
          </w:rPr>
          <w:instrText xml:space="preserve"> PAGEREF _Toc38889752 \h </w:instrText>
        </w:r>
        <w:r w:rsidR="00D17D0F">
          <w:rPr>
            <w:noProof/>
            <w:webHidden/>
          </w:rPr>
        </w:r>
        <w:r w:rsidR="00D17D0F">
          <w:rPr>
            <w:noProof/>
            <w:webHidden/>
          </w:rPr>
          <w:fldChar w:fldCharType="separate"/>
        </w:r>
        <w:r w:rsidR="006567A5">
          <w:rPr>
            <w:noProof/>
            <w:webHidden/>
          </w:rPr>
          <w:t>6</w:t>
        </w:r>
        <w:r w:rsidR="00D17D0F">
          <w:rPr>
            <w:noProof/>
            <w:webHidden/>
          </w:rPr>
          <w:fldChar w:fldCharType="end"/>
        </w:r>
      </w:hyperlink>
    </w:p>
    <w:p w14:paraId="51ACB8D6" w14:textId="2EE6D241" w:rsidR="00D17D0F" w:rsidRDefault="003E421B">
      <w:pPr>
        <w:pStyle w:val="TableofFigures"/>
        <w:rPr>
          <w:rFonts w:asciiTheme="minorHAnsi" w:eastAsiaTheme="minorEastAsia" w:hAnsiTheme="minorHAnsi"/>
          <w:noProof/>
          <w:lang w:eastAsia="en-AU"/>
        </w:rPr>
      </w:pPr>
      <w:hyperlink w:anchor="_Toc38889753" w:history="1">
        <w:r w:rsidR="00D17D0F" w:rsidRPr="00226C35">
          <w:rPr>
            <w:rStyle w:val="Hyperlink"/>
            <w:noProof/>
          </w:rPr>
          <w:t>Figure 2:  Map of sampling locations</w:t>
        </w:r>
        <w:r w:rsidR="00D17D0F">
          <w:rPr>
            <w:noProof/>
            <w:webHidden/>
          </w:rPr>
          <w:tab/>
        </w:r>
        <w:r w:rsidR="00D17D0F">
          <w:rPr>
            <w:noProof/>
            <w:webHidden/>
          </w:rPr>
          <w:fldChar w:fldCharType="begin"/>
        </w:r>
        <w:r w:rsidR="00D17D0F">
          <w:rPr>
            <w:noProof/>
            <w:webHidden/>
          </w:rPr>
          <w:instrText xml:space="preserve"> PAGEREF _Toc38889753 \h </w:instrText>
        </w:r>
        <w:r w:rsidR="00D17D0F">
          <w:rPr>
            <w:noProof/>
            <w:webHidden/>
          </w:rPr>
        </w:r>
        <w:r w:rsidR="00D17D0F">
          <w:rPr>
            <w:noProof/>
            <w:webHidden/>
          </w:rPr>
          <w:fldChar w:fldCharType="separate"/>
        </w:r>
        <w:r w:rsidR="006567A5">
          <w:rPr>
            <w:noProof/>
            <w:webHidden/>
          </w:rPr>
          <w:t>8</w:t>
        </w:r>
        <w:r w:rsidR="00D17D0F">
          <w:rPr>
            <w:noProof/>
            <w:webHidden/>
          </w:rPr>
          <w:fldChar w:fldCharType="end"/>
        </w:r>
      </w:hyperlink>
    </w:p>
    <w:p w14:paraId="6A3BCA8C" w14:textId="3256269D" w:rsidR="00D17D0F" w:rsidRDefault="003E421B">
      <w:pPr>
        <w:pStyle w:val="TableofFigures"/>
        <w:rPr>
          <w:rFonts w:asciiTheme="minorHAnsi" w:eastAsiaTheme="minorEastAsia" w:hAnsiTheme="minorHAnsi"/>
          <w:noProof/>
          <w:lang w:eastAsia="en-AU"/>
        </w:rPr>
      </w:pPr>
      <w:hyperlink w:anchor="_Toc38889754" w:history="1">
        <w:r w:rsidR="00D17D0F" w:rsidRPr="00226C35">
          <w:rPr>
            <w:rStyle w:val="Hyperlink"/>
            <w:noProof/>
          </w:rPr>
          <w:t>Figure 3: Installing temperature and dissolved oxygen loggers in the Bourke weir pool</w:t>
        </w:r>
        <w:r w:rsidR="00D17D0F">
          <w:rPr>
            <w:noProof/>
            <w:webHidden/>
          </w:rPr>
          <w:tab/>
        </w:r>
        <w:r w:rsidR="00D17D0F">
          <w:rPr>
            <w:noProof/>
            <w:webHidden/>
          </w:rPr>
          <w:fldChar w:fldCharType="begin"/>
        </w:r>
        <w:r w:rsidR="00D17D0F">
          <w:rPr>
            <w:noProof/>
            <w:webHidden/>
          </w:rPr>
          <w:instrText xml:space="preserve"> PAGEREF _Toc38889754 \h </w:instrText>
        </w:r>
        <w:r w:rsidR="00D17D0F">
          <w:rPr>
            <w:noProof/>
            <w:webHidden/>
          </w:rPr>
        </w:r>
        <w:r w:rsidR="00D17D0F">
          <w:rPr>
            <w:noProof/>
            <w:webHidden/>
          </w:rPr>
          <w:fldChar w:fldCharType="separate"/>
        </w:r>
        <w:r w:rsidR="006567A5">
          <w:rPr>
            <w:noProof/>
            <w:webHidden/>
          </w:rPr>
          <w:t>9</w:t>
        </w:r>
        <w:r w:rsidR="00D17D0F">
          <w:rPr>
            <w:noProof/>
            <w:webHidden/>
          </w:rPr>
          <w:fldChar w:fldCharType="end"/>
        </w:r>
      </w:hyperlink>
    </w:p>
    <w:p w14:paraId="12D650C7" w14:textId="5579EE84" w:rsidR="00D17D0F" w:rsidRDefault="003E421B">
      <w:pPr>
        <w:pStyle w:val="TableofFigures"/>
        <w:rPr>
          <w:rFonts w:asciiTheme="minorHAnsi" w:eastAsiaTheme="minorEastAsia" w:hAnsiTheme="minorHAnsi"/>
          <w:noProof/>
          <w:lang w:eastAsia="en-AU"/>
        </w:rPr>
      </w:pPr>
      <w:hyperlink w:anchor="_Toc38889755" w:history="1">
        <w:r w:rsidR="00D17D0F" w:rsidRPr="00226C35">
          <w:rPr>
            <w:rStyle w:val="Hyperlink"/>
            <w:noProof/>
          </w:rPr>
          <w:t>Figure 4: Deploying loggers in the Darling River</w:t>
        </w:r>
        <w:r w:rsidR="00D17D0F">
          <w:rPr>
            <w:noProof/>
            <w:webHidden/>
          </w:rPr>
          <w:tab/>
        </w:r>
        <w:r w:rsidR="00D17D0F">
          <w:rPr>
            <w:noProof/>
            <w:webHidden/>
          </w:rPr>
          <w:fldChar w:fldCharType="begin"/>
        </w:r>
        <w:r w:rsidR="00D17D0F">
          <w:rPr>
            <w:noProof/>
            <w:webHidden/>
          </w:rPr>
          <w:instrText xml:space="preserve"> PAGEREF _Toc38889755 \h </w:instrText>
        </w:r>
        <w:r w:rsidR="00D17D0F">
          <w:rPr>
            <w:noProof/>
            <w:webHidden/>
          </w:rPr>
        </w:r>
        <w:r w:rsidR="00D17D0F">
          <w:rPr>
            <w:noProof/>
            <w:webHidden/>
          </w:rPr>
          <w:fldChar w:fldCharType="separate"/>
        </w:r>
        <w:r w:rsidR="006567A5">
          <w:rPr>
            <w:noProof/>
            <w:webHidden/>
          </w:rPr>
          <w:t>9</w:t>
        </w:r>
        <w:r w:rsidR="00D17D0F">
          <w:rPr>
            <w:noProof/>
            <w:webHidden/>
          </w:rPr>
          <w:fldChar w:fldCharType="end"/>
        </w:r>
      </w:hyperlink>
    </w:p>
    <w:p w14:paraId="42E595B2" w14:textId="00552452" w:rsidR="00D17D0F" w:rsidRDefault="003E421B">
      <w:pPr>
        <w:pStyle w:val="TableofFigures"/>
        <w:rPr>
          <w:rFonts w:asciiTheme="minorHAnsi" w:eastAsiaTheme="minorEastAsia" w:hAnsiTheme="minorHAnsi"/>
          <w:noProof/>
          <w:lang w:eastAsia="en-AU"/>
        </w:rPr>
      </w:pPr>
      <w:hyperlink w:anchor="_Toc38889756" w:history="1">
        <w:r w:rsidR="00D17D0F" w:rsidRPr="00226C35">
          <w:rPr>
            <w:rStyle w:val="Hyperlink"/>
            <w:noProof/>
          </w:rPr>
          <w:t>Figure 5: Locations for targeted sampling around Collarenebri in mid-March</w:t>
        </w:r>
        <w:r w:rsidR="00D17D0F">
          <w:rPr>
            <w:noProof/>
            <w:webHidden/>
          </w:rPr>
          <w:tab/>
        </w:r>
        <w:r w:rsidR="00D17D0F">
          <w:rPr>
            <w:noProof/>
            <w:webHidden/>
          </w:rPr>
          <w:fldChar w:fldCharType="begin"/>
        </w:r>
        <w:r w:rsidR="00D17D0F">
          <w:rPr>
            <w:noProof/>
            <w:webHidden/>
          </w:rPr>
          <w:instrText xml:space="preserve"> PAGEREF _Toc38889756 \h </w:instrText>
        </w:r>
        <w:r w:rsidR="00D17D0F">
          <w:rPr>
            <w:noProof/>
            <w:webHidden/>
          </w:rPr>
        </w:r>
        <w:r w:rsidR="00D17D0F">
          <w:rPr>
            <w:noProof/>
            <w:webHidden/>
          </w:rPr>
          <w:fldChar w:fldCharType="separate"/>
        </w:r>
        <w:r w:rsidR="006567A5">
          <w:rPr>
            <w:noProof/>
            <w:webHidden/>
          </w:rPr>
          <w:t>10</w:t>
        </w:r>
        <w:r w:rsidR="00D17D0F">
          <w:rPr>
            <w:noProof/>
            <w:webHidden/>
          </w:rPr>
          <w:fldChar w:fldCharType="end"/>
        </w:r>
      </w:hyperlink>
    </w:p>
    <w:p w14:paraId="7CAC985D" w14:textId="226877EA" w:rsidR="00D17D0F" w:rsidRDefault="003E421B">
      <w:pPr>
        <w:pStyle w:val="TableofFigures"/>
        <w:rPr>
          <w:rFonts w:asciiTheme="minorHAnsi" w:eastAsiaTheme="minorEastAsia" w:hAnsiTheme="minorHAnsi"/>
          <w:noProof/>
          <w:lang w:eastAsia="en-AU"/>
        </w:rPr>
      </w:pPr>
      <w:hyperlink w:anchor="_Toc38889757" w:history="1">
        <w:r w:rsidR="00D17D0F" w:rsidRPr="00226C35">
          <w:rPr>
            <w:rStyle w:val="Hyperlink"/>
            <w:noProof/>
          </w:rPr>
          <w:t>Figure 6:  Extent of Collarenebri weir pool during survey (14-15 March 2019) and the location of sampling sites.</w:t>
        </w:r>
        <w:r w:rsidR="00D17D0F">
          <w:rPr>
            <w:noProof/>
            <w:webHidden/>
          </w:rPr>
          <w:tab/>
        </w:r>
        <w:r w:rsidR="00D17D0F">
          <w:rPr>
            <w:noProof/>
            <w:webHidden/>
          </w:rPr>
          <w:fldChar w:fldCharType="begin"/>
        </w:r>
        <w:r w:rsidR="00D17D0F">
          <w:rPr>
            <w:noProof/>
            <w:webHidden/>
          </w:rPr>
          <w:instrText xml:space="preserve"> PAGEREF _Toc38889757 \h </w:instrText>
        </w:r>
        <w:r w:rsidR="00D17D0F">
          <w:rPr>
            <w:noProof/>
            <w:webHidden/>
          </w:rPr>
        </w:r>
        <w:r w:rsidR="00D17D0F">
          <w:rPr>
            <w:noProof/>
            <w:webHidden/>
          </w:rPr>
          <w:fldChar w:fldCharType="separate"/>
        </w:r>
        <w:r w:rsidR="006567A5">
          <w:rPr>
            <w:noProof/>
            <w:webHidden/>
          </w:rPr>
          <w:t>11</w:t>
        </w:r>
        <w:r w:rsidR="00D17D0F">
          <w:rPr>
            <w:noProof/>
            <w:webHidden/>
          </w:rPr>
          <w:fldChar w:fldCharType="end"/>
        </w:r>
      </w:hyperlink>
    </w:p>
    <w:p w14:paraId="045E2BAA" w14:textId="020CEBB8" w:rsidR="00D17D0F" w:rsidRDefault="003E421B">
      <w:pPr>
        <w:pStyle w:val="TableofFigures"/>
        <w:rPr>
          <w:rFonts w:asciiTheme="minorHAnsi" w:eastAsiaTheme="minorEastAsia" w:hAnsiTheme="minorHAnsi"/>
          <w:noProof/>
          <w:lang w:eastAsia="en-AU"/>
        </w:rPr>
      </w:pPr>
      <w:hyperlink w:anchor="_Toc38889758" w:history="1">
        <w:r w:rsidR="00D17D0F" w:rsidRPr="00226C35">
          <w:rPr>
            <w:rStyle w:val="Hyperlink"/>
            <w:noProof/>
          </w:rPr>
          <w:t>Figure 7: Dissolved Oxygen profiles at sites in Collarenebri weir pool. Shaded box represents DO levels dangerous to aquatic biota</w:t>
        </w:r>
        <w:r w:rsidR="00D17D0F">
          <w:rPr>
            <w:noProof/>
            <w:webHidden/>
          </w:rPr>
          <w:tab/>
        </w:r>
        <w:r w:rsidR="00D17D0F">
          <w:rPr>
            <w:noProof/>
            <w:webHidden/>
          </w:rPr>
          <w:fldChar w:fldCharType="begin"/>
        </w:r>
        <w:r w:rsidR="00D17D0F">
          <w:rPr>
            <w:noProof/>
            <w:webHidden/>
          </w:rPr>
          <w:instrText xml:space="preserve"> PAGEREF _Toc38889758 \h </w:instrText>
        </w:r>
        <w:r w:rsidR="00D17D0F">
          <w:rPr>
            <w:noProof/>
            <w:webHidden/>
          </w:rPr>
        </w:r>
        <w:r w:rsidR="00D17D0F">
          <w:rPr>
            <w:noProof/>
            <w:webHidden/>
          </w:rPr>
          <w:fldChar w:fldCharType="separate"/>
        </w:r>
        <w:r w:rsidR="006567A5">
          <w:rPr>
            <w:noProof/>
            <w:webHidden/>
          </w:rPr>
          <w:t>13</w:t>
        </w:r>
        <w:r w:rsidR="00D17D0F">
          <w:rPr>
            <w:noProof/>
            <w:webHidden/>
          </w:rPr>
          <w:fldChar w:fldCharType="end"/>
        </w:r>
      </w:hyperlink>
    </w:p>
    <w:p w14:paraId="2BBDC03F" w14:textId="6E23C810" w:rsidR="00D17D0F" w:rsidRDefault="003E421B">
      <w:pPr>
        <w:pStyle w:val="TableofFigures"/>
        <w:rPr>
          <w:rFonts w:asciiTheme="minorHAnsi" w:eastAsiaTheme="minorEastAsia" w:hAnsiTheme="minorHAnsi"/>
          <w:noProof/>
          <w:lang w:eastAsia="en-AU"/>
        </w:rPr>
      </w:pPr>
      <w:hyperlink w:anchor="_Toc38889759" w:history="1">
        <w:r w:rsidR="00D17D0F" w:rsidRPr="00226C35">
          <w:rPr>
            <w:rStyle w:val="Hyperlink"/>
            <w:noProof/>
          </w:rPr>
          <w:t>Figure 8: Average temperature (left) and dissolved oxygen (right) profiles for Devils hole and waterholes in the Barwon River below the Collarenebri weir</w:t>
        </w:r>
        <w:r w:rsidR="00D17D0F">
          <w:rPr>
            <w:noProof/>
            <w:webHidden/>
          </w:rPr>
          <w:tab/>
        </w:r>
        <w:r w:rsidR="00D17D0F">
          <w:rPr>
            <w:noProof/>
            <w:webHidden/>
          </w:rPr>
          <w:fldChar w:fldCharType="begin"/>
        </w:r>
        <w:r w:rsidR="00D17D0F">
          <w:rPr>
            <w:noProof/>
            <w:webHidden/>
          </w:rPr>
          <w:instrText xml:space="preserve"> PAGEREF _Toc38889759 \h </w:instrText>
        </w:r>
        <w:r w:rsidR="00D17D0F">
          <w:rPr>
            <w:noProof/>
            <w:webHidden/>
          </w:rPr>
        </w:r>
        <w:r w:rsidR="00D17D0F">
          <w:rPr>
            <w:noProof/>
            <w:webHidden/>
          </w:rPr>
          <w:fldChar w:fldCharType="separate"/>
        </w:r>
        <w:r w:rsidR="006567A5">
          <w:rPr>
            <w:noProof/>
            <w:webHidden/>
          </w:rPr>
          <w:t>14</w:t>
        </w:r>
        <w:r w:rsidR="00D17D0F">
          <w:rPr>
            <w:noProof/>
            <w:webHidden/>
          </w:rPr>
          <w:fldChar w:fldCharType="end"/>
        </w:r>
      </w:hyperlink>
    </w:p>
    <w:p w14:paraId="2985002A" w14:textId="552AA58B" w:rsidR="00D17D0F" w:rsidRDefault="003E421B">
      <w:pPr>
        <w:pStyle w:val="TableofFigures"/>
        <w:rPr>
          <w:rFonts w:asciiTheme="minorHAnsi" w:eastAsiaTheme="minorEastAsia" w:hAnsiTheme="minorHAnsi"/>
          <w:noProof/>
          <w:lang w:eastAsia="en-AU"/>
        </w:rPr>
      </w:pPr>
      <w:hyperlink w:anchor="_Toc38889760" w:history="1">
        <w:r w:rsidR="00D17D0F" w:rsidRPr="00226C35">
          <w:rPr>
            <w:rStyle w:val="Hyperlink"/>
            <w:noProof/>
          </w:rPr>
          <w:t>Figure 9: Dissolved oxygen profiles at sites within the Brewarrina weir pool. Shaded box represents DO levels dangerous to aquatic biota</w:t>
        </w:r>
        <w:r w:rsidR="00D17D0F">
          <w:rPr>
            <w:noProof/>
            <w:webHidden/>
          </w:rPr>
          <w:tab/>
        </w:r>
        <w:r w:rsidR="00D17D0F">
          <w:rPr>
            <w:noProof/>
            <w:webHidden/>
          </w:rPr>
          <w:fldChar w:fldCharType="begin"/>
        </w:r>
        <w:r w:rsidR="00D17D0F">
          <w:rPr>
            <w:noProof/>
            <w:webHidden/>
          </w:rPr>
          <w:instrText xml:space="preserve"> PAGEREF _Toc38889760 \h </w:instrText>
        </w:r>
        <w:r w:rsidR="00D17D0F">
          <w:rPr>
            <w:noProof/>
            <w:webHidden/>
          </w:rPr>
        </w:r>
        <w:r w:rsidR="00D17D0F">
          <w:rPr>
            <w:noProof/>
            <w:webHidden/>
          </w:rPr>
          <w:fldChar w:fldCharType="separate"/>
        </w:r>
        <w:r w:rsidR="006567A5">
          <w:rPr>
            <w:noProof/>
            <w:webHidden/>
          </w:rPr>
          <w:t>14</w:t>
        </w:r>
        <w:r w:rsidR="00D17D0F">
          <w:rPr>
            <w:noProof/>
            <w:webHidden/>
          </w:rPr>
          <w:fldChar w:fldCharType="end"/>
        </w:r>
      </w:hyperlink>
    </w:p>
    <w:p w14:paraId="6E640579" w14:textId="6AE0FEA3" w:rsidR="00D17D0F" w:rsidRDefault="003E421B">
      <w:pPr>
        <w:pStyle w:val="TableofFigures"/>
        <w:rPr>
          <w:rFonts w:asciiTheme="minorHAnsi" w:eastAsiaTheme="minorEastAsia" w:hAnsiTheme="minorHAnsi"/>
          <w:noProof/>
          <w:lang w:eastAsia="en-AU"/>
        </w:rPr>
      </w:pPr>
      <w:hyperlink w:anchor="_Toc38889761" w:history="1">
        <w:r w:rsidR="00D17D0F" w:rsidRPr="00226C35">
          <w:rPr>
            <w:rStyle w:val="Hyperlink"/>
            <w:noProof/>
          </w:rPr>
          <w:t>Figure 10: Rock bar at the upstream extent of Collarenebri weir pool</w:t>
        </w:r>
        <w:r w:rsidR="00D17D0F">
          <w:rPr>
            <w:noProof/>
            <w:webHidden/>
          </w:rPr>
          <w:tab/>
        </w:r>
        <w:r w:rsidR="00D17D0F">
          <w:rPr>
            <w:noProof/>
            <w:webHidden/>
          </w:rPr>
          <w:fldChar w:fldCharType="begin"/>
        </w:r>
        <w:r w:rsidR="00D17D0F">
          <w:rPr>
            <w:noProof/>
            <w:webHidden/>
          </w:rPr>
          <w:instrText xml:space="preserve"> PAGEREF _Toc38889761 \h </w:instrText>
        </w:r>
        <w:r w:rsidR="00D17D0F">
          <w:rPr>
            <w:noProof/>
            <w:webHidden/>
          </w:rPr>
        </w:r>
        <w:r w:rsidR="00D17D0F">
          <w:rPr>
            <w:noProof/>
            <w:webHidden/>
          </w:rPr>
          <w:fldChar w:fldCharType="separate"/>
        </w:r>
        <w:r w:rsidR="006567A5">
          <w:rPr>
            <w:noProof/>
            <w:webHidden/>
          </w:rPr>
          <w:t>17</w:t>
        </w:r>
        <w:r w:rsidR="00D17D0F">
          <w:rPr>
            <w:noProof/>
            <w:webHidden/>
          </w:rPr>
          <w:fldChar w:fldCharType="end"/>
        </w:r>
      </w:hyperlink>
    </w:p>
    <w:p w14:paraId="0E32F855" w14:textId="0B9E3DD0" w:rsidR="00D17D0F" w:rsidRDefault="003E421B">
      <w:pPr>
        <w:pStyle w:val="TableofFigures"/>
        <w:rPr>
          <w:rFonts w:asciiTheme="minorHAnsi" w:eastAsiaTheme="minorEastAsia" w:hAnsiTheme="minorHAnsi"/>
          <w:noProof/>
          <w:lang w:eastAsia="en-AU"/>
        </w:rPr>
      </w:pPr>
      <w:hyperlink w:anchor="_Toc38889762" w:history="1">
        <w:r w:rsidR="00D17D0F" w:rsidRPr="00226C35">
          <w:rPr>
            <w:rStyle w:val="Hyperlink"/>
            <w:noProof/>
          </w:rPr>
          <w:t>Figure 11: Long profile of Collarenebri weir pool measured 14/3/2019</w:t>
        </w:r>
        <w:r w:rsidR="00D17D0F">
          <w:rPr>
            <w:noProof/>
            <w:webHidden/>
          </w:rPr>
          <w:tab/>
        </w:r>
        <w:r w:rsidR="00D17D0F">
          <w:rPr>
            <w:noProof/>
            <w:webHidden/>
          </w:rPr>
          <w:fldChar w:fldCharType="begin"/>
        </w:r>
        <w:r w:rsidR="00D17D0F">
          <w:rPr>
            <w:noProof/>
            <w:webHidden/>
          </w:rPr>
          <w:instrText xml:space="preserve"> PAGEREF _Toc38889762 \h </w:instrText>
        </w:r>
        <w:r w:rsidR="00D17D0F">
          <w:rPr>
            <w:noProof/>
            <w:webHidden/>
          </w:rPr>
        </w:r>
        <w:r w:rsidR="00D17D0F">
          <w:rPr>
            <w:noProof/>
            <w:webHidden/>
          </w:rPr>
          <w:fldChar w:fldCharType="separate"/>
        </w:r>
        <w:r w:rsidR="006567A5">
          <w:rPr>
            <w:noProof/>
            <w:webHidden/>
          </w:rPr>
          <w:t>17</w:t>
        </w:r>
        <w:r w:rsidR="00D17D0F">
          <w:rPr>
            <w:noProof/>
            <w:webHidden/>
          </w:rPr>
          <w:fldChar w:fldCharType="end"/>
        </w:r>
      </w:hyperlink>
    </w:p>
    <w:p w14:paraId="546D94A4" w14:textId="75C07260" w:rsidR="00D17D0F" w:rsidRDefault="003E421B">
      <w:pPr>
        <w:pStyle w:val="TableofFigures"/>
        <w:rPr>
          <w:rFonts w:asciiTheme="minorHAnsi" w:eastAsiaTheme="minorEastAsia" w:hAnsiTheme="minorHAnsi"/>
          <w:noProof/>
          <w:lang w:eastAsia="en-AU"/>
        </w:rPr>
      </w:pPr>
      <w:hyperlink w:anchor="_Toc38889763" w:history="1">
        <w:r w:rsidR="00D17D0F" w:rsidRPr="00226C35">
          <w:rPr>
            <w:rStyle w:val="Hyperlink"/>
            <w:noProof/>
          </w:rPr>
          <w:t>Figure 12:  Spot temperature readings recorded at sites within weir pools along the Barwon-Darling River during 2019</w:t>
        </w:r>
        <w:r w:rsidR="00D17D0F">
          <w:rPr>
            <w:noProof/>
            <w:webHidden/>
          </w:rPr>
          <w:tab/>
        </w:r>
        <w:r w:rsidR="00D17D0F">
          <w:rPr>
            <w:noProof/>
            <w:webHidden/>
          </w:rPr>
          <w:fldChar w:fldCharType="begin"/>
        </w:r>
        <w:r w:rsidR="00D17D0F">
          <w:rPr>
            <w:noProof/>
            <w:webHidden/>
          </w:rPr>
          <w:instrText xml:space="preserve"> PAGEREF _Toc38889763 \h </w:instrText>
        </w:r>
        <w:r w:rsidR="00D17D0F">
          <w:rPr>
            <w:noProof/>
            <w:webHidden/>
          </w:rPr>
        </w:r>
        <w:r w:rsidR="00D17D0F">
          <w:rPr>
            <w:noProof/>
            <w:webHidden/>
          </w:rPr>
          <w:fldChar w:fldCharType="separate"/>
        </w:r>
        <w:r w:rsidR="006567A5">
          <w:rPr>
            <w:noProof/>
            <w:webHidden/>
          </w:rPr>
          <w:t>20</w:t>
        </w:r>
        <w:r w:rsidR="00D17D0F">
          <w:rPr>
            <w:noProof/>
            <w:webHidden/>
          </w:rPr>
          <w:fldChar w:fldCharType="end"/>
        </w:r>
      </w:hyperlink>
    </w:p>
    <w:p w14:paraId="0AEC4786" w14:textId="18FB80FB" w:rsidR="00D17D0F" w:rsidRDefault="003E421B">
      <w:pPr>
        <w:pStyle w:val="TableofFigures"/>
        <w:rPr>
          <w:rFonts w:asciiTheme="minorHAnsi" w:eastAsiaTheme="minorEastAsia" w:hAnsiTheme="minorHAnsi"/>
          <w:noProof/>
          <w:lang w:eastAsia="en-AU"/>
        </w:rPr>
      </w:pPr>
      <w:hyperlink w:anchor="_Toc38889764" w:history="1">
        <w:r w:rsidR="00D17D0F" w:rsidRPr="00226C35">
          <w:rPr>
            <w:rStyle w:val="Hyperlink"/>
            <w:noProof/>
          </w:rPr>
          <w:t>Figure 14:  Spot dissolved oxygen (DO) readings recorded at sites within weir pools along the Barwon-Darling River during 2019</w:t>
        </w:r>
        <w:r w:rsidR="00D17D0F">
          <w:rPr>
            <w:noProof/>
            <w:webHidden/>
          </w:rPr>
          <w:tab/>
        </w:r>
        <w:r w:rsidR="00D17D0F">
          <w:rPr>
            <w:noProof/>
            <w:webHidden/>
          </w:rPr>
          <w:fldChar w:fldCharType="begin"/>
        </w:r>
        <w:r w:rsidR="00D17D0F">
          <w:rPr>
            <w:noProof/>
            <w:webHidden/>
          </w:rPr>
          <w:instrText xml:space="preserve"> PAGEREF _Toc38889764 \h </w:instrText>
        </w:r>
        <w:r w:rsidR="00D17D0F">
          <w:rPr>
            <w:noProof/>
            <w:webHidden/>
          </w:rPr>
        </w:r>
        <w:r w:rsidR="00D17D0F">
          <w:rPr>
            <w:noProof/>
            <w:webHidden/>
          </w:rPr>
          <w:fldChar w:fldCharType="separate"/>
        </w:r>
        <w:r w:rsidR="006567A5">
          <w:rPr>
            <w:noProof/>
            <w:webHidden/>
          </w:rPr>
          <w:t>21</w:t>
        </w:r>
        <w:r w:rsidR="00D17D0F">
          <w:rPr>
            <w:noProof/>
            <w:webHidden/>
          </w:rPr>
          <w:fldChar w:fldCharType="end"/>
        </w:r>
      </w:hyperlink>
    </w:p>
    <w:p w14:paraId="2580A165" w14:textId="41611CC1" w:rsidR="00D17D0F" w:rsidRDefault="003E421B">
      <w:pPr>
        <w:pStyle w:val="TableofFigures"/>
        <w:rPr>
          <w:rFonts w:asciiTheme="minorHAnsi" w:eastAsiaTheme="minorEastAsia" w:hAnsiTheme="minorHAnsi"/>
          <w:noProof/>
          <w:lang w:eastAsia="en-AU"/>
        </w:rPr>
      </w:pPr>
      <w:hyperlink w:anchor="_Toc38889765" w:history="1">
        <w:r w:rsidR="00D17D0F" w:rsidRPr="00226C35">
          <w:rPr>
            <w:rStyle w:val="Hyperlink"/>
            <w:noProof/>
          </w:rPr>
          <w:t>Figure 15:  Spot pH readings recorded at sites within weir pools along the Barwon-Darling River during 2019</w:t>
        </w:r>
        <w:r w:rsidR="00D17D0F">
          <w:rPr>
            <w:noProof/>
            <w:webHidden/>
          </w:rPr>
          <w:tab/>
        </w:r>
        <w:r w:rsidR="00D17D0F">
          <w:rPr>
            <w:noProof/>
            <w:webHidden/>
          </w:rPr>
          <w:fldChar w:fldCharType="begin"/>
        </w:r>
        <w:r w:rsidR="00D17D0F">
          <w:rPr>
            <w:noProof/>
            <w:webHidden/>
          </w:rPr>
          <w:instrText xml:space="preserve"> PAGEREF _Toc38889765 \h </w:instrText>
        </w:r>
        <w:r w:rsidR="00D17D0F">
          <w:rPr>
            <w:noProof/>
            <w:webHidden/>
          </w:rPr>
        </w:r>
        <w:r w:rsidR="00D17D0F">
          <w:rPr>
            <w:noProof/>
            <w:webHidden/>
          </w:rPr>
          <w:fldChar w:fldCharType="separate"/>
        </w:r>
        <w:r w:rsidR="006567A5">
          <w:rPr>
            <w:noProof/>
            <w:webHidden/>
          </w:rPr>
          <w:t>22</w:t>
        </w:r>
        <w:r w:rsidR="00D17D0F">
          <w:rPr>
            <w:noProof/>
            <w:webHidden/>
          </w:rPr>
          <w:fldChar w:fldCharType="end"/>
        </w:r>
      </w:hyperlink>
    </w:p>
    <w:p w14:paraId="52BC5EA1" w14:textId="16563D06" w:rsidR="00D17D0F" w:rsidRDefault="003E421B">
      <w:pPr>
        <w:pStyle w:val="TableofFigures"/>
        <w:rPr>
          <w:rFonts w:asciiTheme="minorHAnsi" w:eastAsiaTheme="minorEastAsia" w:hAnsiTheme="minorHAnsi"/>
          <w:noProof/>
          <w:lang w:eastAsia="en-AU"/>
        </w:rPr>
      </w:pPr>
      <w:hyperlink w:anchor="_Toc38889766" w:history="1">
        <w:r w:rsidR="00D17D0F" w:rsidRPr="00226C35">
          <w:rPr>
            <w:rStyle w:val="Hyperlink"/>
            <w:noProof/>
          </w:rPr>
          <w:t>Figure 16:  Spot Electrical conductivity (EC) readings recorded at sites within weir pools along the Barwon-Darling River during 2019</w:t>
        </w:r>
        <w:r w:rsidR="00D17D0F">
          <w:rPr>
            <w:noProof/>
            <w:webHidden/>
          </w:rPr>
          <w:tab/>
        </w:r>
        <w:r w:rsidR="00D17D0F">
          <w:rPr>
            <w:noProof/>
            <w:webHidden/>
          </w:rPr>
          <w:fldChar w:fldCharType="begin"/>
        </w:r>
        <w:r w:rsidR="00D17D0F">
          <w:rPr>
            <w:noProof/>
            <w:webHidden/>
          </w:rPr>
          <w:instrText xml:space="preserve"> PAGEREF _Toc38889766 \h </w:instrText>
        </w:r>
        <w:r w:rsidR="00D17D0F">
          <w:rPr>
            <w:noProof/>
            <w:webHidden/>
          </w:rPr>
        </w:r>
        <w:r w:rsidR="00D17D0F">
          <w:rPr>
            <w:noProof/>
            <w:webHidden/>
          </w:rPr>
          <w:fldChar w:fldCharType="separate"/>
        </w:r>
        <w:r w:rsidR="006567A5">
          <w:rPr>
            <w:noProof/>
            <w:webHidden/>
          </w:rPr>
          <w:t>23</w:t>
        </w:r>
        <w:r w:rsidR="00D17D0F">
          <w:rPr>
            <w:noProof/>
            <w:webHidden/>
          </w:rPr>
          <w:fldChar w:fldCharType="end"/>
        </w:r>
      </w:hyperlink>
    </w:p>
    <w:p w14:paraId="1F873682" w14:textId="2DB35FE0" w:rsidR="00D17D0F" w:rsidRDefault="003E421B">
      <w:pPr>
        <w:pStyle w:val="TableofFigures"/>
        <w:rPr>
          <w:rFonts w:asciiTheme="minorHAnsi" w:eastAsiaTheme="minorEastAsia" w:hAnsiTheme="minorHAnsi"/>
          <w:noProof/>
          <w:lang w:eastAsia="en-AU"/>
        </w:rPr>
      </w:pPr>
      <w:hyperlink w:anchor="_Toc38889767" w:history="1">
        <w:r w:rsidR="00D17D0F" w:rsidRPr="00226C35">
          <w:rPr>
            <w:rStyle w:val="Hyperlink"/>
            <w:noProof/>
          </w:rPr>
          <w:t>Figure 17: Algal growth on dissolved oxygen sensor at Collarenebri weir pool</w:t>
        </w:r>
        <w:r w:rsidR="00D17D0F">
          <w:rPr>
            <w:noProof/>
            <w:webHidden/>
          </w:rPr>
          <w:tab/>
        </w:r>
        <w:r w:rsidR="00D17D0F">
          <w:rPr>
            <w:noProof/>
            <w:webHidden/>
          </w:rPr>
          <w:fldChar w:fldCharType="begin"/>
        </w:r>
        <w:r w:rsidR="00D17D0F">
          <w:rPr>
            <w:noProof/>
            <w:webHidden/>
          </w:rPr>
          <w:instrText xml:space="preserve"> PAGEREF _Toc38889767 \h </w:instrText>
        </w:r>
        <w:r w:rsidR="00D17D0F">
          <w:rPr>
            <w:noProof/>
            <w:webHidden/>
          </w:rPr>
        </w:r>
        <w:r w:rsidR="00D17D0F">
          <w:rPr>
            <w:noProof/>
            <w:webHidden/>
          </w:rPr>
          <w:fldChar w:fldCharType="separate"/>
        </w:r>
        <w:r w:rsidR="006567A5">
          <w:rPr>
            <w:noProof/>
            <w:webHidden/>
          </w:rPr>
          <w:t>25</w:t>
        </w:r>
        <w:r w:rsidR="00D17D0F">
          <w:rPr>
            <w:noProof/>
            <w:webHidden/>
          </w:rPr>
          <w:fldChar w:fldCharType="end"/>
        </w:r>
      </w:hyperlink>
    </w:p>
    <w:p w14:paraId="2142E1E9" w14:textId="0B236FD1" w:rsidR="00D17D0F" w:rsidRDefault="003E421B">
      <w:pPr>
        <w:pStyle w:val="TableofFigures"/>
        <w:rPr>
          <w:rFonts w:asciiTheme="minorHAnsi" w:eastAsiaTheme="minorEastAsia" w:hAnsiTheme="minorHAnsi"/>
          <w:noProof/>
          <w:lang w:eastAsia="en-AU"/>
        </w:rPr>
      </w:pPr>
      <w:hyperlink w:anchor="_Toc38889768" w:history="1">
        <w:r w:rsidR="00D17D0F" w:rsidRPr="00226C35">
          <w:rPr>
            <w:rStyle w:val="Hyperlink"/>
            <w:noProof/>
          </w:rPr>
          <w:t>Figure 18: Hourly water temperature (top), daily average dissolved oxygen (DO, middle) and daily air temperature (bottom) measured at the Mungindi 2 site during the study period. River flow data for the Barwon River @ Mungindi gauge also presented.</w:t>
        </w:r>
        <w:r w:rsidR="00D17D0F">
          <w:rPr>
            <w:noProof/>
            <w:webHidden/>
          </w:rPr>
          <w:tab/>
        </w:r>
        <w:r w:rsidR="00D17D0F">
          <w:rPr>
            <w:noProof/>
            <w:webHidden/>
          </w:rPr>
          <w:fldChar w:fldCharType="begin"/>
        </w:r>
        <w:r w:rsidR="00D17D0F">
          <w:rPr>
            <w:noProof/>
            <w:webHidden/>
          </w:rPr>
          <w:instrText xml:space="preserve"> PAGEREF _Toc38889768 \h </w:instrText>
        </w:r>
        <w:r w:rsidR="00D17D0F">
          <w:rPr>
            <w:noProof/>
            <w:webHidden/>
          </w:rPr>
        </w:r>
        <w:r w:rsidR="00D17D0F">
          <w:rPr>
            <w:noProof/>
            <w:webHidden/>
          </w:rPr>
          <w:fldChar w:fldCharType="separate"/>
        </w:r>
        <w:r w:rsidR="006567A5">
          <w:rPr>
            <w:noProof/>
            <w:webHidden/>
          </w:rPr>
          <w:t>28</w:t>
        </w:r>
        <w:r w:rsidR="00D17D0F">
          <w:rPr>
            <w:noProof/>
            <w:webHidden/>
          </w:rPr>
          <w:fldChar w:fldCharType="end"/>
        </w:r>
      </w:hyperlink>
    </w:p>
    <w:p w14:paraId="1DE16277" w14:textId="3BA8B893" w:rsidR="00D17D0F" w:rsidRDefault="003E421B">
      <w:pPr>
        <w:pStyle w:val="TableofFigures"/>
        <w:rPr>
          <w:rFonts w:asciiTheme="minorHAnsi" w:eastAsiaTheme="minorEastAsia" w:hAnsiTheme="minorHAnsi"/>
          <w:noProof/>
          <w:lang w:eastAsia="en-AU"/>
        </w:rPr>
      </w:pPr>
      <w:hyperlink w:anchor="_Toc38889769" w:history="1">
        <w:r w:rsidR="00D17D0F" w:rsidRPr="00226C35">
          <w:rPr>
            <w:rStyle w:val="Hyperlink"/>
            <w:noProof/>
          </w:rPr>
          <w:t>Figure 19:  Hourly water temperature (top), daily average dissolved oxygen (DO, middle) and daily air temperature (bottom) measured at the Collarenebri (Colli) 2 site during the study period. River flow data for the Barwon River @ Collarenebri gauge also presented.</w:t>
        </w:r>
        <w:r w:rsidR="00D17D0F">
          <w:rPr>
            <w:noProof/>
            <w:webHidden/>
          </w:rPr>
          <w:tab/>
        </w:r>
        <w:r w:rsidR="00D17D0F">
          <w:rPr>
            <w:noProof/>
            <w:webHidden/>
          </w:rPr>
          <w:fldChar w:fldCharType="begin"/>
        </w:r>
        <w:r w:rsidR="00D17D0F">
          <w:rPr>
            <w:noProof/>
            <w:webHidden/>
          </w:rPr>
          <w:instrText xml:space="preserve"> PAGEREF _Toc38889769 \h </w:instrText>
        </w:r>
        <w:r w:rsidR="00D17D0F">
          <w:rPr>
            <w:noProof/>
            <w:webHidden/>
          </w:rPr>
        </w:r>
        <w:r w:rsidR="00D17D0F">
          <w:rPr>
            <w:noProof/>
            <w:webHidden/>
          </w:rPr>
          <w:fldChar w:fldCharType="separate"/>
        </w:r>
        <w:r w:rsidR="006567A5">
          <w:rPr>
            <w:noProof/>
            <w:webHidden/>
          </w:rPr>
          <w:t>29</w:t>
        </w:r>
        <w:r w:rsidR="00D17D0F">
          <w:rPr>
            <w:noProof/>
            <w:webHidden/>
          </w:rPr>
          <w:fldChar w:fldCharType="end"/>
        </w:r>
      </w:hyperlink>
    </w:p>
    <w:p w14:paraId="6A8B3942" w14:textId="50EEAE6C" w:rsidR="00D17D0F" w:rsidRDefault="003E421B">
      <w:pPr>
        <w:pStyle w:val="TableofFigures"/>
        <w:rPr>
          <w:rFonts w:asciiTheme="minorHAnsi" w:eastAsiaTheme="minorEastAsia" w:hAnsiTheme="minorHAnsi"/>
          <w:noProof/>
          <w:lang w:eastAsia="en-AU"/>
        </w:rPr>
      </w:pPr>
      <w:hyperlink w:anchor="_Toc38889770" w:history="1">
        <w:r w:rsidR="00D17D0F" w:rsidRPr="00226C35">
          <w:rPr>
            <w:rStyle w:val="Hyperlink"/>
            <w:noProof/>
          </w:rPr>
          <w:t>Figure 20:  Hourly water temperature (top), daily average dissolved oxygen (DO, middle) and daily air temperature (bottom) measured at the Collarenebri (Colli) spot 3 site during the study period. River flow data for the Barwon River @ Collarenebri gauge also presented.</w:t>
        </w:r>
        <w:r w:rsidR="00D17D0F">
          <w:rPr>
            <w:noProof/>
            <w:webHidden/>
          </w:rPr>
          <w:tab/>
        </w:r>
        <w:r w:rsidR="00D17D0F">
          <w:rPr>
            <w:noProof/>
            <w:webHidden/>
          </w:rPr>
          <w:fldChar w:fldCharType="begin"/>
        </w:r>
        <w:r w:rsidR="00D17D0F">
          <w:rPr>
            <w:noProof/>
            <w:webHidden/>
          </w:rPr>
          <w:instrText xml:space="preserve"> PAGEREF _Toc38889770 \h </w:instrText>
        </w:r>
        <w:r w:rsidR="00D17D0F">
          <w:rPr>
            <w:noProof/>
            <w:webHidden/>
          </w:rPr>
        </w:r>
        <w:r w:rsidR="00D17D0F">
          <w:rPr>
            <w:noProof/>
            <w:webHidden/>
          </w:rPr>
          <w:fldChar w:fldCharType="separate"/>
        </w:r>
        <w:r w:rsidR="006567A5">
          <w:rPr>
            <w:noProof/>
            <w:webHidden/>
          </w:rPr>
          <w:t>30</w:t>
        </w:r>
        <w:r w:rsidR="00D17D0F">
          <w:rPr>
            <w:noProof/>
            <w:webHidden/>
          </w:rPr>
          <w:fldChar w:fldCharType="end"/>
        </w:r>
      </w:hyperlink>
    </w:p>
    <w:p w14:paraId="7A20847F" w14:textId="59557BFC" w:rsidR="00D17D0F" w:rsidRDefault="003E421B">
      <w:pPr>
        <w:pStyle w:val="TableofFigures"/>
        <w:rPr>
          <w:rFonts w:asciiTheme="minorHAnsi" w:eastAsiaTheme="minorEastAsia" w:hAnsiTheme="minorHAnsi"/>
          <w:noProof/>
          <w:lang w:eastAsia="en-AU"/>
        </w:rPr>
      </w:pPr>
      <w:hyperlink w:anchor="_Toc38889771" w:history="1">
        <w:r w:rsidR="00D17D0F" w:rsidRPr="00226C35">
          <w:rPr>
            <w:rStyle w:val="Hyperlink"/>
            <w:noProof/>
          </w:rPr>
          <w:t>Figure 21:  Hourly water temperature (top), daily average dissolved oxygen (DO, middle) and daily air temperature (bottom) measured at the Walgett site during the study period. River flow data for the Barwon River @ Dangar Bridge gauge also presented.</w:t>
        </w:r>
        <w:r w:rsidR="00D17D0F">
          <w:rPr>
            <w:noProof/>
            <w:webHidden/>
          </w:rPr>
          <w:tab/>
        </w:r>
        <w:r w:rsidR="00D17D0F">
          <w:rPr>
            <w:noProof/>
            <w:webHidden/>
          </w:rPr>
          <w:fldChar w:fldCharType="begin"/>
        </w:r>
        <w:r w:rsidR="00D17D0F">
          <w:rPr>
            <w:noProof/>
            <w:webHidden/>
          </w:rPr>
          <w:instrText xml:space="preserve"> PAGEREF _Toc38889771 \h </w:instrText>
        </w:r>
        <w:r w:rsidR="00D17D0F">
          <w:rPr>
            <w:noProof/>
            <w:webHidden/>
          </w:rPr>
        </w:r>
        <w:r w:rsidR="00D17D0F">
          <w:rPr>
            <w:noProof/>
            <w:webHidden/>
          </w:rPr>
          <w:fldChar w:fldCharType="separate"/>
        </w:r>
        <w:r w:rsidR="006567A5">
          <w:rPr>
            <w:noProof/>
            <w:webHidden/>
          </w:rPr>
          <w:t>31</w:t>
        </w:r>
        <w:r w:rsidR="00D17D0F">
          <w:rPr>
            <w:noProof/>
            <w:webHidden/>
          </w:rPr>
          <w:fldChar w:fldCharType="end"/>
        </w:r>
      </w:hyperlink>
    </w:p>
    <w:p w14:paraId="4C87EF14" w14:textId="06ECAA4B" w:rsidR="00D17D0F" w:rsidRDefault="003E421B">
      <w:pPr>
        <w:pStyle w:val="TableofFigures"/>
        <w:rPr>
          <w:rFonts w:asciiTheme="minorHAnsi" w:eastAsiaTheme="minorEastAsia" w:hAnsiTheme="minorHAnsi"/>
          <w:noProof/>
          <w:lang w:eastAsia="en-AU"/>
        </w:rPr>
      </w:pPr>
      <w:hyperlink w:anchor="_Toc38889772" w:history="1">
        <w:r w:rsidR="00D17D0F" w:rsidRPr="00226C35">
          <w:rPr>
            <w:rStyle w:val="Hyperlink"/>
            <w:noProof/>
          </w:rPr>
          <w:t>Figure 22:  Hourly water temperature (top), daily average dissolved oxygen (DO, middle) and daily air temperature (bottom) measured at the Brewarrina (Bre) 1 site during the study period. River flow data for the Barwon River @ Brewarrina gauge also presented.</w:t>
        </w:r>
        <w:r w:rsidR="00D17D0F">
          <w:rPr>
            <w:noProof/>
            <w:webHidden/>
          </w:rPr>
          <w:tab/>
        </w:r>
        <w:r w:rsidR="00D17D0F">
          <w:rPr>
            <w:noProof/>
            <w:webHidden/>
          </w:rPr>
          <w:fldChar w:fldCharType="begin"/>
        </w:r>
        <w:r w:rsidR="00D17D0F">
          <w:rPr>
            <w:noProof/>
            <w:webHidden/>
          </w:rPr>
          <w:instrText xml:space="preserve"> PAGEREF _Toc38889772 \h </w:instrText>
        </w:r>
        <w:r w:rsidR="00D17D0F">
          <w:rPr>
            <w:noProof/>
            <w:webHidden/>
          </w:rPr>
        </w:r>
        <w:r w:rsidR="00D17D0F">
          <w:rPr>
            <w:noProof/>
            <w:webHidden/>
          </w:rPr>
          <w:fldChar w:fldCharType="separate"/>
        </w:r>
        <w:r w:rsidR="006567A5">
          <w:rPr>
            <w:noProof/>
            <w:webHidden/>
          </w:rPr>
          <w:t>32</w:t>
        </w:r>
        <w:r w:rsidR="00D17D0F">
          <w:rPr>
            <w:noProof/>
            <w:webHidden/>
          </w:rPr>
          <w:fldChar w:fldCharType="end"/>
        </w:r>
      </w:hyperlink>
    </w:p>
    <w:p w14:paraId="15EB9E52" w14:textId="7F6C7946" w:rsidR="00D17D0F" w:rsidRDefault="003E421B">
      <w:pPr>
        <w:pStyle w:val="TableofFigures"/>
        <w:rPr>
          <w:rFonts w:asciiTheme="minorHAnsi" w:eastAsiaTheme="minorEastAsia" w:hAnsiTheme="minorHAnsi"/>
          <w:noProof/>
          <w:lang w:eastAsia="en-AU"/>
        </w:rPr>
      </w:pPr>
      <w:hyperlink w:anchor="_Toc38889773" w:history="1">
        <w:r w:rsidR="00D17D0F" w:rsidRPr="00226C35">
          <w:rPr>
            <w:rStyle w:val="Hyperlink"/>
            <w:noProof/>
          </w:rPr>
          <w:t>Figure 23:  Hourly water temperature (top), daily average dissolved oxygen (DO, middle) and daily air temperature (bottom) measured at the Bourke 1 site during the study period. River flow data for the Darling River @ Bourke town gauge also presented.</w:t>
        </w:r>
        <w:r w:rsidR="00D17D0F">
          <w:rPr>
            <w:noProof/>
            <w:webHidden/>
          </w:rPr>
          <w:tab/>
        </w:r>
        <w:r w:rsidR="00D17D0F">
          <w:rPr>
            <w:noProof/>
            <w:webHidden/>
          </w:rPr>
          <w:fldChar w:fldCharType="begin"/>
        </w:r>
        <w:r w:rsidR="00D17D0F">
          <w:rPr>
            <w:noProof/>
            <w:webHidden/>
          </w:rPr>
          <w:instrText xml:space="preserve"> PAGEREF _Toc38889773 \h </w:instrText>
        </w:r>
        <w:r w:rsidR="00D17D0F">
          <w:rPr>
            <w:noProof/>
            <w:webHidden/>
          </w:rPr>
        </w:r>
        <w:r w:rsidR="00D17D0F">
          <w:rPr>
            <w:noProof/>
            <w:webHidden/>
          </w:rPr>
          <w:fldChar w:fldCharType="separate"/>
        </w:r>
        <w:r w:rsidR="006567A5">
          <w:rPr>
            <w:noProof/>
            <w:webHidden/>
          </w:rPr>
          <w:t>33</w:t>
        </w:r>
        <w:r w:rsidR="00D17D0F">
          <w:rPr>
            <w:noProof/>
            <w:webHidden/>
          </w:rPr>
          <w:fldChar w:fldCharType="end"/>
        </w:r>
      </w:hyperlink>
    </w:p>
    <w:p w14:paraId="0B257148" w14:textId="55AA9A65" w:rsidR="00D17D0F" w:rsidRDefault="003E421B">
      <w:pPr>
        <w:pStyle w:val="TableofFigures"/>
        <w:rPr>
          <w:rFonts w:asciiTheme="minorHAnsi" w:eastAsiaTheme="minorEastAsia" w:hAnsiTheme="minorHAnsi"/>
          <w:noProof/>
          <w:lang w:eastAsia="en-AU"/>
        </w:rPr>
      </w:pPr>
      <w:hyperlink w:anchor="_Toc38889774" w:history="1">
        <w:r w:rsidR="00D17D0F" w:rsidRPr="00226C35">
          <w:rPr>
            <w:rStyle w:val="Hyperlink"/>
            <w:noProof/>
          </w:rPr>
          <w:t>Figure 24:  Hourly water temperature (top), daily average dissolved oxygen (DO, middle) and daily air temperature (bottom) measured at the Bourke 2 site during the study period. River flow data for the Darling River @ Bourke town gauge also presented.</w:t>
        </w:r>
        <w:r w:rsidR="00D17D0F">
          <w:rPr>
            <w:noProof/>
            <w:webHidden/>
          </w:rPr>
          <w:tab/>
        </w:r>
        <w:r w:rsidR="00D17D0F">
          <w:rPr>
            <w:noProof/>
            <w:webHidden/>
          </w:rPr>
          <w:fldChar w:fldCharType="begin"/>
        </w:r>
        <w:r w:rsidR="00D17D0F">
          <w:rPr>
            <w:noProof/>
            <w:webHidden/>
          </w:rPr>
          <w:instrText xml:space="preserve"> PAGEREF _Toc38889774 \h </w:instrText>
        </w:r>
        <w:r w:rsidR="00D17D0F">
          <w:rPr>
            <w:noProof/>
            <w:webHidden/>
          </w:rPr>
        </w:r>
        <w:r w:rsidR="00D17D0F">
          <w:rPr>
            <w:noProof/>
            <w:webHidden/>
          </w:rPr>
          <w:fldChar w:fldCharType="separate"/>
        </w:r>
        <w:r w:rsidR="006567A5">
          <w:rPr>
            <w:noProof/>
            <w:webHidden/>
          </w:rPr>
          <w:t>34</w:t>
        </w:r>
        <w:r w:rsidR="00D17D0F">
          <w:rPr>
            <w:noProof/>
            <w:webHidden/>
          </w:rPr>
          <w:fldChar w:fldCharType="end"/>
        </w:r>
      </w:hyperlink>
    </w:p>
    <w:p w14:paraId="0E79425A" w14:textId="207730C9" w:rsidR="005557E5" w:rsidRDefault="00B019E6" w:rsidP="005557E5">
      <w:pPr>
        <w:numPr>
          <w:ilvl w:val="0"/>
          <w:numId w:val="0"/>
        </w:numPr>
      </w:pPr>
      <w:r>
        <w:rPr>
          <w:b/>
          <w:bCs/>
          <w:noProof/>
          <w:lang w:val="en-US"/>
        </w:rPr>
        <w:fldChar w:fldCharType="end"/>
      </w:r>
    </w:p>
    <w:p w14:paraId="5CF33B67" w14:textId="77777777" w:rsidR="005557E5" w:rsidRDefault="005557E5" w:rsidP="005557E5">
      <w:pPr>
        <w:pStyle w:val="TOCHeading"/>
      </w:pPr>
      <w:r>
        <w:t>List of Tables</w:t>
      </w:r>
    </w:p>
    <w:p w14:paraId="39AC6932" w14:textId="37FCAD38" w:rsidR="00D17D0F" w:rsidRDefault="00006677">
      <w:pPr>
        <w:pStyle w:val="TableofFigures"/>
        <w:rPr>
          <w:rFonts w:asciiTheme="minorHAnsi" w:eastAsiaTheme="minorEastAsia" w:hAnsiTheme="minorHAnsi"/>
          <w:noProof/>
          <w:lang w:eastAsia="en-AU"/>
        </w:rPr>
      </w:pPr>
      <w:r>
        <w:fldChar w:fldCharType="begin"/>
      </w:r>
      <w:r>
        <w:instrText xml:space="preserve"> TOC \h \z \c "Table" </w:instrText>
      </w:r>
      <w:r>
        <w:fldChar w:fldCharType="separate"/>
      </w:r>
      <w:hyperlink w:anchor="_Toc38889775" w:history="1">
        <w:r w:rsidR="00D17D0F" w:rsidRPr="00A43583">
          <w:rPr>
            <w:rStyle w:val="Hyperlink"/>
            <w:noProof/>
          </w:rPr>
          <w:t>Table 1:  Site locations surveyed as part of the study along the Barwon-Darling River during 2019</w:t>
        </w:r>
        <w:r w:rsidR="00D17D0F">
          <w:rPr>
            <w:noProof/>
            <w:webHidden/>
          </w:rPr>
          <w:tab/>
        </w:r>
        <w:r w:rsidR="00D17D0F">
          <w:rPr>
            <w:noProof/>
            <w:webHidden/>
          </w:rPr>
          <w:fldChar w:fldCharType="begin"/>
        </w:r>
        <w:r w:rsidR="00D17D0F">
          <w:rPr>
            <w:noProof/>
            <w:webHidden/>
          </w:rPr>
          <w:instrText xml:space="preserve"> PAGEREF _Toc38889775 \h </w:instrText>
        </w:r>
        <w:r w:rsidR="00D17D0F">
          <w:rPr>
            <w:noProof/>
            <w:webHidden/>
          </w:rPr>
        </w:r>
        <w:r w:rsidR="00D17D0F">
          <w:rPr>
            <w:noProof/>
            <w:webHidden/>
          </w:rPr>
          <w:fldChar w:fldCharType="separate"/>
        </w:r>
        <w:r w:rsidR="006567A5">
          <w:rPr>
            <w:noProof/>
            <w:webHidden/>
          </w:rPr>
          <w:t>7</w:t>
        </w:r>
        <w:r w:rsidR="00D17D0F">
          <w:rPr>
            <w:noProof/>
            <w:webHidden/>
          </w:rPr>
          <w:fldChar w:fldCharType="end"/>
        </w:r>
      </w:hyperlink>
    </w:p>
    <w:p w14:paraId="264C871F" w14:textId="29CF1DC5" w:rsidR="00D17D0F" w:rsidRDefault="003E421B">
      <w:pPr>
        <w:pStyle w:val="TableofFigures"/>
        <w:rPr>
          <w:rFonts w:asciiTheme="minorHAnsi" w:eastAsiaTheme="minorEastAsia" w:hAnsiTheme="minorHAnsi"/>
          <w:noProof/>
          <w:lang w:eastAsia="en-AU"/>
        </w:rPr>
      </w:pPr>
      <w:hyperlink w:anchor="_Toc38889776" w:history="1">
        <w:r w:rsidR="00D17D0F" w:rsidRPr="00A43583">
          <w:rPr>
            <w:rStyle w:val="Hyperlink"/>
            <w:noProof/>
          </w:rPr>
          <w:t>Table 2: Estimated volumes within the Collarenebri weir pool and average dissolved oxygen and temperature for each 1m depth increment</w:t>
        </w:r>
        <w:r w:rsidR="00D17D0F">
          <w:rPr>
            <w:noProof/>
            <w:webHidden/>
          </w:rPr>
          <w:tab/>
        </w:r>
        <w:r w:rsidR="00D17D0F">
          <w:rPr>
            <w:noProof/>
            <w:webHidden/>
          </w:rPr>
          <w:fldChar w:fldCharType="begin"/>
        </w:r>
        <w:r w:rsidR="00D17D0F">
          <w:rPr>
            <w:noProof/>
            <w:webHidden/>
          </w:rPr>
          <w:instrText xml:space="preserve"> PAGEREF _Toc38889776 \h </w:instrText>
        </w:r>
        <w:r w:rsidR="00D17D0F">
          <w:rPr>
            <w:noProof/>
            <w:webHidden/>
          </w:rPr>
        </w:r>
        <w:r w:rsidR="00D17D0F">
          <w:rPr>
            <w:noProof/>
            <w:webHidden/>
          </w:rPr>
          <w:fldChar w:fldCharType="separate"/>
        </w:r>
        <w:r w:rsidR="006567A5">
          <w:rPr>
            <w:noProof/>
            <w:webHidden/>
          </w:rPr>
          <w:t>18</w:t>
        </w:r>
        <w:r w:rsidR="00D17D0F">
          <w:rPr>
            <w:noProof/>
            <w:webHidden/>
          </w:rPr>
          <w:fldChar w:fldCharType="end"/>
        </w:r>
      </w:hyperlink>
    </w:p>
    <w:p w14:paraId="68B37D2B" w14:textId="116A64DF" w:rsidR="005557E5" w:rsidRDefault="00006677" w:rsidP="005557E5">
      <w:pPr>
        <w:numPr>
          <w:ilvl w:val="0"/>
          <w:numId w:val="0"/>
        </w:numPr>
      </w:pPr>
      <w:r>
        <w:fldChar w:fldCharType="end"/>
      </w:r>
    </w:p>
    <w:p w14:paraId="403E134E" w14:textId="77777777" w:rsidR="00380415" w:rsidRDefault="00380415">
      <w:pPr>
        <w:numPr>
          <w:ilvl w:val="0"/>
          <w:numId w:val="0"/>
        </w:numPr>
      </w:pPr>
      <w:r>
        <w:br w:type="page"/>
      </w:r>
    </w:p>
    <w:p w14:paraId="28777167" w14:textId="77777777" w:rsidR="00380415" w:rsidRPr="00915CA3" w:rsidRDefault="00380415" w:rsidP="00380415">
      <w:pPr>
        <w:pStyle w:val="TOCHeading"/>
      </w:pPr>
      <w:r w:rsidRPr="00915CA3">
        <w:lastRenderedPageBreak/>
        <w:t>Executive Summary</w:t>
      </w:r>
    </w:p>
    <w:p w14:paraId="274E68C3" w14:textId="3A26F6A5" w:rsidR="005D587B" w:rsidRDefault="005D587B" w:rsidP="005D587B">
      <w:r w:rsidRPr="00AF6E9E">
        <w:t xml:space="preserve">In </w:t>
      </w:r>
      <w:r>
        <w:t>early</w:t>
      </w:r>
      <w:r w:rsidRPr="00AF6E9E">
        <w:t xml:space="preserve"> 2019, the northern Murray Darling Basin in southern QLD, northern NSW was in the grip of an extended drought. The Barwon-Darling River had ceased to flow along much of its length, with some weir pools, such as Bourke, being at their lowest levels in recorded history (nearly 50 years).</w:t>
      </w:r>
      <w:r>
        <w:t xml:space="preserve"> With significant poor water quality related fish kills already occurring in some southern areas of the system around Menindee, there were concerns that this may start to occur in other areas. </w:t>
      </w:r>
      <w:r w:rsidRPr="00AF6E9E">
        <w:t>In response, the Commonwealth Environmental Water Office</w:t>
      </w:r>
      <w:r>
        <w:t>, in consultation with the Gwydir ECAOAC</w:t>
      </w:r>
      <w:r w:rsidRPr="00AF6E9E">
        <w:t xml:space="preserve"> started planning for the delivery of a northern refuge replenishment flow</w:t>
      </w:r>
      <w:r>
        <w:t xml:space="preserve"> (named the Northern Fish Flow – NFF)</w:t>
      </w:r>
      <w:r w:rsidRPr="00AF6E9E">
        <w:t xml:space="preserve"> from the Macintyre and Gwydir River catchments. Eco logical Australia was engaged by the Commonwealth Environmental Water Office to undertake initial water quality monitoring to help a risk assessment surrounding the planning for </w:t>
      </w:r>
      <w:r>
        <w:t>the NFF</w:t>
      </w:r>
      <w:r w:rsidRPr="00AF6E9E">
        <w:t xml:space="preserve"> along the Macintyre, Barwon and Darling Rivers.</w:t>
      </w:r>
    </w:p>
    <w:p w14:paraId="0615D43D" w14:textId="2EE66479" w:rsidR="005D587B" w:rsidRDefault="005D587B" w:rsidP="005D587B">
      <w:r w:rsidRPr="00AF6E9E">
        <w:t>Findings</w:t>
      </w:r>
      <w:r>
        <w:t xml:space="preserve"> from the initial water quality monitoring found several risks associated with the release of the NFF including the mixing of anoxic (oxygen depleted) </w:t>
      </w:r>
      <w:r w:rsidR="00915CA3">
        <w:t xml:space="preserve">layers of </w:t>
      </w:r>
      <w:r>
        <w:t xml:space="preserve">water that had become </w:t>
      </w:r>
      <w:r w:rsidR="00915CA3">
        <w:t xml:space="preserve">established </w:t>
      </w:r>
      <w:r>
        <w:t>within several of the pools located above the weirs along the Barwon channel. In some of the deeper weir pools, anoxic layers of water could be found at depths below around 3m. However, given that</w:t>
      </w:r>
      <w:r w:rsidRPr="007612F0">
        <w:t xml:space="preserve"> the proportion of poor-qu</w:t>
      </w:r>
      <w:r>
        <w:t xml:space="preserve">ality water in each of the pools was </w:t>
      </w:r>
      <w:r w:rsidRPr="007612F0">
        <w:t>low, and that the quantity o</w:t>
      </w:r>
      <w:r>
        <w:t>f water in the planned release was</w:t>
      </w:r>
      <w:r w:rsidRPr="007612F0">
        <w:t xml:space="preserve"> relatively high</w:t>
      </w:r>
      <w:r>
        <w:t xml:space="preserve">, the risk of poor-quality water post flow would be low. </w:t>
      </w:r>
      <w:r w:rsidRPr="007612F0">
        <w:t>In addition,</w:t>
      </w:r>
      <w:r>
        <w:t xml:space="preserve"> it was determined that</w:t>
      </w:r>
      <w:r w:rsidRPr="007612F0">
        <w:t xml:space="preserve"> once the pools fill</w:t>
      </w:r>
      <w:r>
        <w:t>ed</w:t>
      </w:r>
      <w:r w:rsidRPr="007612F0">
        <w:t xml:space="preserve"> and water start</w:t>
      </w:r>
      <w:r>
        <w:t>ed</w:t>
      </w:r>
      <w:r w:rsidRPr="007612F0">
        <w:t xml:space="preserve"> to flow over the weirs and the downstream rock bars, mixing with the atmosphere </w:t>
      </w:r>
      <w:r>
        <w:t xml:space="preserve">would </w:t>
      </w:r>
      <w:r w:rsidRPr="007612F0">
        <w:t>increase dissolved oxygen levels of the water downstream.</w:t>
      </w:r>
      <w:r>
        <w:t xml:space="preserve"> </w:t>
      </w:r>
    </w:p>
    <w:p w14:paraId="0E7BE202" w14:textId="77777777" w:rsidR="005D587B" w:rsidRDefault="005D587B" w:rsidP="005D587B">
      <w:r>
        <w:t xml:space="preserve">The NFF occurred through the system during April-July 2019 with spot water quality sampling and in-situ loggers recorded data through to August 2019 at 5 locations along the river. This monitoring </w:t>
      </w:r>
      <w:r w:rsidRPr="005A3428">
        <w:t>suggested that the NFF was successful in replenishing the weir pools and improving their water quality. No negative effects were noted on water quality, and algal concentrations were reduced.</w:t>
      </w:r>
      <w:r>
        <w:t xml:space="preserve"> </w:t>
      </w:r>
    </w:p>
    <w:p w14:paraId="419A22E5" w14:textId="77777777" w:rsidR="005D587B" w:rsidRDefault="005D587B" w:rsidP="005D587B">
      <w:r>
        <w:t xml:space="preserve">Most weir pools monitored over the duration of the study showed some degree of stratification, driven by the prolonged period of no-flow in the system. As a result, dissolved oxygen concentrations also showed marked variation through the water column of these pools, with concentrations near the bed of most pools being anoxic and at dangerously low levels for aquatic biota. Monitoring clearly showed the benefit of the delivery of the NFF to water quality in the pools, especially to improving dissolved oxygen conditions of near bed water. </w:t>
      </w:r>
      <w:r w:rsidRPr="005A3428">
        <w:t>Interestingly, anoxic layers of water near the bed of the weir pools were relatively quick to re-establish</w:t>
      </w:r>
      <w:r>
        <w:t xml:space="preserve"> once flows ceased</w:t>
      </w:r>
      <w:r w:rsidRPr="005A3428">
        <w:t xml:space="preserve">, </w:t>
      </w:r>
      <w:r>
        <w:t xml:space="preserve">suggesting that these pools thermally stratify even under mild temperature conditions and that the </w:t>
      </w:r>
      <w:r w:rsidRPr="005A3428">
        <w:t>flow</w:t>
      </w:r>
      <w:r>
        <w:t>s delivered</w:t>
      </w:r>
      <w:r w:rsidRPr="005A3428">
        <w:t xml:space="preserve"> w</w:t>
      </w:r>
      <w:r>
        <w:t>ere</w:t>
      </w:r>
      <w:r w:rsidRPr="005A3428">
        <w:t xml:space="preserve"> of insufficient magnitude to transport the stores of organic material driving bacterial deoxygenation processes.</w:t>
      </w:r>
    </w:p>
    <w:p w14:paraId="6690DFE0" w14:textId="51397F8F" w:rsidR="00380415" w:rsidRDefault="005D587B" w:rsidP="005D587B">
      <w:pPr>
        <w:numPr>
          <w:ilvl w:val="0"/>
          <w:numId w:val="0"/>
        </w:numPr>
      </w:pPr>
      <w:r w:rsidRPr="005A3428">
        <w:t xml:space="preserve">The degree of stratification in these pools was also influenced by atmospheric conditions, with the occurrence of cold snaps appearing to reduce stratification. While this was not always reflected in an improvement of </w:t>
      </w:r>
      <w:r>
        <w:t>dissolved oxygen</w:t>
      </w:r>
      <w:r w:rsidRPr="005A3428">
        <w:t xml:space="preserve"> at depth, it does suggest that if flows are timed to coincide with cold fronts, then potentially less water might be needed to break the already weakened stratification and promote full water column mixing.</w:t>
      </w:r>
    </w:p>
    <w:p w14:paraId="5EE98A16" w14:textId="77777777" w:rsidR="00A7543C" w:rsidRDefault="00A7543C" w:rsidP="005557E5">
      <w:pPr>
        <w:numPr>
          <w:ilvl w:val="0"/>
          <w:numId w:val="0"/>
        </w:numPr>
        <w:sectPr w:rsidR="00A7543C" w:rsidSect="00721756">
          <w:headerReference w:type="default" r:id="rId13"/>
          <w:footerReference w:type="default" r:id="rId14"/>
          <w:pgSz w:w="11906" w:h="16838" w:code="9"/>
          <w:pgMar w:top="1508" w:right="1219" w:bottom="1457" w:left="1480" w:header="811" w:footer="306" w:gutter="0"/>
          <w:pgNumType w:fmt="lowerRoman" w:start="1"/>
          <w:cols w:space="708"/>
          <w:docGrid w:linePitch="360"/>
        </w:sectPr>
      </w:pPr>
    </w:p>
    <w:p w14:paraId="4063558B" w14:textId="77777777" w:rsidR="006625C7" w:rsidRDefault="00294C21" w:rsidP="00006677">
      <w:pPr>
        <w:pStyle w:val="Heading1"/>
      </w:pPr>
      <w:bookmarkStart w:id="2" w:name="_Toc38889732"/>
      <w:r>
        <w:lastRenderedPageBreak/>
        <w:t>Introduction</w:t>
      </w:r>
      <w:bookmarkEnd w:id="2"/>
    </w:p>
    <w:p w14:paraId="3DD59062" w14:textId="7E39270A" w:rsidR="00294C21" w:rsidRDefault="00294C21" w:rsidP="00294C21">
      <w:pPr>
        <w:rPr>
          <w:highlight w:val="yellow"/>
        </w:rPr>
      </w:pPr>
      <w:r w:rsidRPr="00AF6E9E">
        <w:t>In February</w:t>
      </w:r>
      <w:r w:rsidR="001A0645" w:rsidRPr="00AF6E9E">
        <w:t>/</w:t>
      </w:r>
      <w:r w:rsidRPr="00AF6E9E">
        <w:t>March</w:t>
      </w:r>
      <w:r w:rsidR="001A0645" w:rsidRPr="00AF6E9E">
        <w:t xml:space="preserve"> 2019</w:t>
      </w:r>
      <w:r w:rsidRPr="00AF6E9E">
        <w:t>, the northern Murray Darling Basin in southern QLD, northern NSW was in the grip of an extended drought. The Barwon-Darling River had ceased to flow along much of its length, with some weir pools, such as Bourke, being at their lowest levels in recorded history (</w:t>
      </w:r>
      <w:r w:rsidR="001A0645" w:rsidRPr="00AF6E9E">
        <w:t>nearly</w:t>
      </w:r>
      <w:r w:rsidRPr="00AF6E9E">
        <w:t xml:space="preserve"> 50 years). </w:t>
      </w:r>
      <w:r w:rsidR="001A0645" w:rsidRPr="00AF6E9E">
        <w:t xml:space="preserve">Many of the natural water holes in between weir pools had dried to very low levels or dried completely. </w:t>
      </w:r>
      <w:r w:rsidR="00133924">
        <w:t xml:space="preserve">In addition, significant fish kills had </w:t>
      </w:r>
      <w:proofErr w:type="spellStart"/>
      <w:r w:rsidR="00133924">
        <w:t>recenrly</w:t>
      </w:r>
      <w:proofErr w:type="spellEnd"/>
      <w:r w:rsidR="00133924">
        <w:t xml:space="preserve"> occurred in some waterholes near </w:t>
      </w:r>
      <w:proofErr w:type="spellStart"/>
      <w:r w:rsidR="00133924">
        <w:t>Minindee</w:t>
      </w:r>
      <w:proofErr w:type="spellEnd"/>
      <w:r w:rsidR="00133924">
        <w:t xml:space="preserve"> at the end of the Darling River, and so there were concerns that this may also happen in other waterholes throughout the system. </w:t>
      </w:r>
      <w:r w:rsidRPr="00AF6E9E">
        <w:t>In respon</w:t>
      </w:r>
      <w:r w:rsidR="001A0645" w:rsidRPr="00AF6E9E">
        <w:t>se, the Commonwealth Environmental Water Office</w:t>
      </w:r>
      <w:r w:rsidR="00133924">
        <w:t>, in consultation with the Gwydir ECAOAC</w:t>
      </w:r>
      <w:r w:rsidR="001A0645" w:rsidRPr="00AF6E9E">
        <w:t xml:space="preserve"> started planning for the delivery of a northern refuge replenishment flow</w:t>
      </w:r>
      <w:r w:rsidR="00344A81">
        <w:t xml:space="preserve"> (named the Northern Fish Flow – NFF)</w:t>
      </w:r>
      <w:r w:rsidR="001A0645" w:rsidRPr="00AF6E9E">
        <w:t xml:space="preserve"> from the Macintyre and Gwydir River catchments. </w:t>
      </w:r>
      <w:r w:rsidRPr="00AF6E9E">
        <w:t xml:space="preserve">Eco logical Australia was engaged by the Commonwealth Environmental Water Office to undertake </w:t>
      </w:r>
      <w:r w:rsidR="001A0645" w:rsidRPr="00AF6E9E">
        <w:t xml:space="preserve">initial </w:t>
      </w:r>
      <w:r w:rsidRPr="00AF6E9E">
        <w:t xml:space="preserve">water quality monitoring to help a risk assessment surrounding the planning for </w:t>
      </w:r>
      <w:r w:rsidR="00344A81">
        <w:t>the NFF</w:t>
      </w:r>
      <w:r w:rsidR="001F784B" w:rsidRPr="00AF6E9E">
        <w:t xml:space="preserve"> </w:t>
      </w:r>
      <w:r w:rsidRPr="00AF6E9E">
        <w:t>along the Macintyre, Barwon and Darling Rivers.</w:t>
      </w:r>
      <w:r w:rsidR="001A0645" w:rsidRPr="00752E00">
        <w:rPr>
          <w:highlight w:val="yellow"/>
        </w:rPr>
        <w:t xml:space="preserve"> </w:t>
      </w:r>
    </w:p>
    <w:p w14:paraId="7F23D86A" w14:textId="0BC60437" w:rsidR="00057B47" w:rsidRDefault="00AF6E9E" w:rsidP="007612F0">
      <w:r w:rsidRPr="00AF6E9E">
        <w:t>Findings</w:t>
      </w:r>
      <w:r>
        <w:t xml:space="preserve"> from the initial water quality monitoring found several risks associated with the release of the </w:t>
      </w:r>
      <w:r w:rsidR="00344A81">
        <w:t>NFF</w:t>
      </w:r>
      <w:r>
        <w:t xml:space="preserve"> including the mixing of anoxic water</w:t>
      </w:r>
      <w:r w:rsidR="007612F0">
        <w:t xml:space="preserve"> that had become stratified</w:t>
      </w:r>
      <w:r>
        <w:t xml:space="preserve"> within </w:t>
      </w:r>
      <w:r w:rsidR="007612F0">
        <w:t xml:space="preserve">several of </w:t>
      </w:r>
      <w:r>
        <w:t xml:space="preserve">the pools </w:t>
      </w:r>
      <w:r w:rsidR="007612F0">
        <w:t xml:space="preserve">located above the weirs along the Barwon channel. However, given </w:t>
      </w:r>
      <w:r>
        <w:t>that</w:t>
      </w:r>
      <w:r w:rsidR="007612F0" w:rsidRPr="007612F0">
        <w:t xml:space="preserve"> the proportion of poor-qu</w:t>
      </w:r>
      <w:r w:rsidR="00057B47">
        <w:t xml:space="preserve">ality water in each of the pool was </w:t>
      </w:r>
      <w:r w:rsidR="007612F0" w:rsidRPr="007612F0">
        <w:t>low, and that the quantity o</w:t>
      </w:r>
      <w:r w:rsidR="00057B47">
        <w:t>f water in the planned release was</w:t>
      </w:r>
      <w:r w:rsidR="007612F0" w:rsidRPr="007612F0">
        <w:t xml:space="preserve"> relatively high</w:t>
      </w:r>
      <w:r w:rsidR="00F95160">
        <w:t xml:space="preserve">, </w:t>
      </w:r>
      <w:r w:rsidR="007612F0">
        <w:t xml:space="preserve">the risk of poor-quality water post flow would be low. </w:t>
      </w:r>
      <w:r w:rsidR="007612F0" w:rsidRPr="007612F0">
        <w:t>In addition,</w:t>
      </w:r>
      <w:r w:rsidR="007612F0">
        <w:t xml:space="preserve"> it was determined that</w:t>
      </w:r>
      <w:r w:rsidR="007612F0" w:rsidRPr="007612F0">
        <w:t xml:space="preserve"> once the pools fill</w:t>
      </w:r>
      <w:r w:rsidR="00057B47">
        <w:t>ed</w:t>
      </w:r>
      <w:r w:rsidR="007612F0" w:rsidRPr="007612F0">
        <w:t xml:space="preserve"> and water start</w:t>
      </w:r>
      <w:r w:rsidR="00057B47">
        <w:t>ed</w:t>
      </w:r>
      <w:r w:rsidR="007612F0" w:rsidRPr="007612F0">
        <w:t xml:space="preserve"> to flow over the weirs and the downstream rock bars, mixing with the atmosphere </w:t>
      </w:r>
      <w:r w:rsidR="00057B47">
        <w:t xml:space="preserve">would </w:t>
      </w:r>
      <w:r w:rsidR="007612F0" w:rsidRPr="007612F0">
        <w:t>increase dissolved oxygen levels of the water downstream.</w:t>
      </w:r>
      <w:r w:rsidR="00057B47">
        <w:t xml:space="preserve"> </w:t>
      </w:r>
    </w:p>
    <w:p w14:paraId="3A5529A7" w14:textId="128D731B" w:rsidR="007612F0" w:rsidRDefault="00057B47" w:rsidP="007612F0">
      <w:r>
        <w:t xml:space="preserve">The </w:t>
      </w:r>
      <w:r w:rsidR="00344A81">
        <w:t>NFF</w:t>
      </w:r>
      <w:r>
        <w:t xml:space="preserve"> occurred through the system during April-July 2019 with spot water quality sampling and in-situ loggers recorded data through to August </w:t>
      </w:r>
      <w:r w:rsidR="00344A81">
        <w:t xml:space="preserve">at 5 </w:t>
      </w:r>
      <w:r>
        <w:t xml:space="preserve">locations along the river. </w:t>
      </w:r>
    </w:p>
    <w:p w14:paraId="5BE440A2" w14:textId="62328B92" w:rsidR="007612F0" w:rsidRPr="00AF6E9E" w:rsidRDefault="00057B47" w:rsidP="002575C6">
      <w:r>
        <w:t xml:space="preserve">This report outlines the findings of water quality monitoring undertaken within various weir-pools from Mungindi on the NSW-QLD border, downstream to Bourke in NW NSW. </w:t>
      </w:r>
      <w:r w:rsidR="007612F0">
        <w:t xml:space="preserve"> </w:t>
      </w:r>
      <w:r>
        <w:t xml:space="preserve">The aim of the monitoring was to initially assess the quality of water within a selection of waterholes and the risks to fish populations of the prevailing conditions, then to monitor the response of water quality to the delivery of the northern fish flow during and after the flow event moved through the system. </w:t>
      </w:r>
    </w:p>
    <w:p w14:paraId="70E24863" w14:textId="7FD02407" w:rsidR="000F1D64" w:rsidRDefault="000F1D64" w:rsidP="000F1D64">
      <w:pPr>
        <w:pStyle w:val="Heading1"/>
      </w:pPr>
      <w:bookmarkStart w:id="3" w:name="_Toc38889733"/>
      <w:r>
        <w:t>The Northern Fish Flow</w:t>
      </w:r>
      <w:bookmarkEnd w:id="3"/>
    </w:p>
    <w:p w14:paraId="7CF41553" w14:textId="4D92E936" w:rsidR="00C77B51" w:rsidRDefault="00C77B51" w:rsidP="00C77B51">
      <w:r>
        <w:t xml:space="preserve">As part of the </w:t>
      </w:r>
      <w:r w:rsidRPr="002575C6">
        <w:t>Northern</w:t>
      </w:r>
      <w:r w:rsidR="000F1D64" w:rsidRPr="002575C6">
        <w:t xml:space="preserve"> Fish Flow </w:t>
      </w:r>
      <w:r w:rsidR="002575C6" w:rsidRPr="002575C6">
        <w:t>7,400</w:t>
      </w:r>
      <w:r w:rsidRPr="002575C6">
        <w:t xml:space="preserve"> ML</w:t>
      </w:r>
      <w:r>
        <w:t xml:space="preserve"> of regulated flows were released form Glenlyon Dam into the Barwon River system on the </w:t>
      </w:r>
      <w:r w:rsidR="000F1D64">
        <w:t>24 April 2019</w:t>
      </w:r>
      <w:r>
        <w:t>. F</w:t>
      </w:r>
      <w:r w:rsidR="00FE6E8A">
        <w:t>ollowing</w:t>
      </w:r>
      <w:r>
        <w:t xml:space="preserve"> this</w:t>
      </w:r>
      <w:r w:rsidR="00FE6E8A">
        <w:t xml:space="preserve"> </w:t>
      </w:r>
      <w:r w:rsidR="001375E7">
        <w:t xml:space="preserve">28,600 ML </w:t>
      </w:r>
      <w:r w:rsidR="00133924">
        <w:t xml:space="preserve">of both state and </w:t>
      </w:r>
      <w:proofErr w:type="gramStart"/>
      <w:r w:rsidR="00133924">
        <w:t>Federally</w:t>
      </w:r>
      <w:proofErr w:type="gramEnd"/>
      <w:r w:rsidR="00133924">
        <w:t xml:space="preserve"> managed water </w:t>
      </w:r>
      <w:r w:rsidR="001375E7">
        <w:t xml:space="preserve">was released from Copeton dam of which </w:t>
      </w:r>
      <w:r w:rsidR="00FE6E8A">
        <w:t xml:space="preserve">25,883 ML </w:t>
      </w:r>
      <w:r w:rsidR="001375E7">
        <w:t>entered</w:t>
      </w:r>
      <w:r w:rsidR="00FE6E8A">
        <w:t xml:space="preserve"> the Mehi River Channel May 2019.</w:t>
      </w:r>
      <w:r>
        <w:t xml:space="preserve"> </w:t>
      </w:r>
      <w:r w:rsidRPr="00C77B51">
        <w:t>This flow reconnected the lower Mehi River</w:t>
      </w:r>
      <w:r>
        <w:t xml:space="preserve"> and </w:t>
      </w:r>
      <w:r w:rsidR="001375E7">
        <w:t xml:space="preserve">flowed into the Barwon River upstream of </w:t>
      </w:r>
      <w:r>
        <w:t>Collarenebri</w:t>
      </w:r>
      <w:r w:rsidR="001375E7">
        <w:t xml:space="preserve">. </w:t>
      </w:r>
      <w:r>
        <w:t>This f</w:t>
      </w:r>
      <w:r w:rsidRPr="00C77B51">
        <w:t>low</w:t>
      </w:r>
      <w:r>
        <w:t xml:space="preserve"> continued</w:t>
      </w:r>
      <w:r w:rsidRPr="00C77B51">
        <w:t xml:space="preserve"> downstream as far as the Culgoa River junction. </w:t>
      </w:r>
      <w:r w:rsidR="001375E7">
        <w:t>While the flow released from</w:t>
      </w:r>
      <w:r w:rsidR="00133924">
        <w:t xml:space="preserve"> Glenlyon Dam provided a flush in</w:t>
      </w:r>
      <w:r w:rsidR="001375E7">
        <w:t xml:space="preserve"> the Macintyre and Barwon Rivers above Collarenebri, due to high losses, the flow did not quite make Collarenebri weir pool, therefore it did not contribute to flows downstream</w:t>
      </w:r>
      <w:r w:rsidR="00133924">
        <w:t xml:space="preserve"> of this point</w:t>
      </w:r>
      <w:r w:rsidR="001375E7">
        <w:t>.</w:t>
      </w:r>
    </w:p>
    <w:p w14:paraId="0D5E6403" w14:textId="0F82D6DF" w:rsidR="007E0E24" w:rsidRDefault="00A35638" w:rsidP="00C77B51">
      <w:r>
        <w:t>T</w:t>
      </w:r>
      <w:r w:rsidR="00C77B51">
        <w:t xml:space="preserve">he Northern Fish flow peaked </w:t>
      </w:r>
      <w:r>
        <w:t>on 12 June 2019</w:t>
      </w:r>
      <w:r w:rsidR="007E0E24">
        <w:t>,</w:t>
      </w:r>
      <w:r>
        <w:t xml:space="preserve"> </w:t>
      </w:r>
      <w:r w:rsidR="00C77B51">
        <w:t>with</w:t>
      </w:r>
      <w:r w:rsidR="00C77B51" w:rsidRPr="00C77B51">
        <w:t> </w:t>
      </w:r>
      <w:r w:rsidR="00C77B51">
        <w:t>4</w:t>
      </w:r>
      <w:r>
        <w:t>89 ML/d passing Gauge 422003</w:t>
      </w:r>
      <w:r w:rsidR="007E0E24">
        <w:t xml:space="preserve"> at Collarenebri</w:t>
      </w:r>
      <w:r>
        <w:t>.</w:t>
      </w:r>
      <w:r w:rsidR="007E0E24">
        <w:t xml:space="preserve"> The flow continued above 300 ML/d for 30 days at Collarenebri, with stations downstream still peaking until the 10 July 2019 when Gauge 422002 at Brewarrina recorded a peak of 172 ML/d (</w:t>
      </w:r>
      <w:r w:rsidR="001375E7">
        <w:fldChar w:fldCharType="begin"/>
      </w:r>
      <w:r w:rsidR="001375E7">
        <w:instrText xml:space="preserve"> REF _Ref37945166 \h </w:instrText>
      </w:r>
      <w:r w:rsidR="001375E7">
        <w:fldChar w:fldCharType="separate"/>
      </w:r>
      <w:r w:rsidR="006567A5">
        <w:t xml:space="preserve">Figure </w:t>
      </w:r>
      <w:r w:rsidR="006567A5">
        <w:rPr>
          <w:noProof/>
        </w:rPr>
        <w:t>1</w:t>
      </w:r>
      <w:r w:rsidR="001375E7">
        <w:fldChar w:fldCharType="end"/>
      </w:r>
      <w:r w:rsidR="007E0E24">
        <w:t>).</w:t>
      </w:r>
    </w:p>
    <w:p w14:paraId="6F03271D" w14:textId="499E33BB" w:rsidR="000F1D64" w:rsidRPr="000F1D64" w:rsidRDefault="000F1D64" w:rsidP="000F1D64"/>
    <w:p w14:paraId="190B6CC9" w14:textId="77777777" w:rsidR="006E2FD2" w:rsidRDefault="00244D4B" w:rsidP="006E2FD2">
      <w:pPr>
        <w:keepNext/>
      </w:pPr>
      <w:r>
        <w:rPr>
          <w:noProof/>
          <w:lang w:eastAsia="en-AU"/>
        </w:rPr>
        <w:drawing>
          <wp:inline distT="0" distB="0" distL="0" distR="0" wp14:anchorId="4913ACFD" wp14:editId="2F606AB3">
            <wp:extent cx="5846445" cy="3354705"/>
            <wp:effectExtent l="0" t="0" r="1905" b="0"/>
            <wp:docPr id="23" name="Chart 2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DA85CB2-6979-47EF-9FAF-3EE2C823A5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3CBAC3" w14:textId="0D1FCE6E" w:rsidR="00E66472" w:rsidRDefault="006E2FD2" w:rsidP="006E2FD2">
      <w:pPr>
        <w:pStyle w:val="Caption"/>
      </w:pPr>
      <w:bookmarkStart w:id="4" w:name="_Ref37945166"/>
      <w:bookmarkStart w:id="5" w:name="_Toc38889752"/>
      <w:r>
        <w:t xml:space="preserve">Figure </w:t>
      </w:r>
      <w:r w:rsidR="003E421B">
        <w:rPr>
          <w:noProof/>
        </w:rPr>
        <w:fldChar w:fldCharType="begin"/>
      </w:r>
      <w:r w:rsidR="003E421B">
        <w:rPr>
          <w:noProof/>
        </w:rPr>
        <w:instrText xml:space="preserve"> SEQ Figure \* ARABIC </w:instrText>
      </w:r>
      <w:r w:rsidR="003E421B">
        <w:rPr>
          <w:noProof/>
        </w:rPr>
        <w:fldChar w:fldCharType="separate"/>
      </w:r>
      <w:r w:rsidR="006567A5">
        <w:rPr>
          <w:noProof/>
        </w:rPr>
        <w:t>1</w:t>
      </w:r>
      <w:r w:rsidR="003E421B">
        <w:rPr>
          <w:noProof/>
        </w:rPr>
        <w:fldChar w:fldCharType="end"/>
      </w:r>
      <w:bookmarkEnd w:id="4"/>
      <w:r>
        <w:t xml:space="preserve">: </w:t>
      </w:r>
      <w:r w:rsidRPr="00CD3B26">
        <w:t>Discharge rates (ML/d) of the Barwon and Darling Rivers at various stations during the Northern Fish Flow identified by the green arrow.</w:t>
      </w:r>
      <w:bookmarkEnd w:id="5"/>
    </w:p>
    <w:p w14:paraId="0A724242" w14:textId="77777777" w:rsidR="00035C56" w:rsidRPr="00035C56" w:rsidRDefault="00035C56" w:rsidP="00035C56"/>
    <w:p w14:paraId="4510E61A" w14:textId="77777777" w:rsidR="00F64631" w:rsidRDefault="00454428" w:rsidP="00454428">
      <w:pPr>
        <w:pStyle w:val="Heading1"/>
      </w:pPr>
      <w:bookmarkStart w:id="6" w:name="_Toc38889734"/>
      <w:r>
        <w:t>Methods and study sites</w:t>
      </w:r>
      <w:bookmarkEnd w:id="6"/>
    </w:p>
    <w:p w14:paraId="5E8ABC9B" w14:textId="299A121E" w:rsidR="008971B8" w:rsidRDefault="008971B8" w:rsidP="008971B8">
      <w:pPr>
        <w:pStyle w:val="Heading2"/>
      </w:pPr>
      <w:bookmarkStart w:id="7" w:name="_Toc38889735"/>
      <w:r>
        <w:t>Pre event water quality and algal sampling</w:t>
      </w:r>
      <w:bookmarkEnd w:id="7"/>
    </w:p>
    <w:p w14:paraId="49E2B64D" w14:textId="4094526A" w:rsidR="00105281" w:rsidRDefault="001F28CC" w:rsidP="00665E11">
      <w:r w:rsidRPr="002575C6">
        <w:t>W</w:t>
      </w:r>
      <w:r w:rsidR="00454428" w:rsidRPr="002575C6">
        <w:t xml:space="preserve">ater quality parameters were </w:t>
      </w:r>
      <w:r w:rsidR="008971B8" w:rsidRPr="002575C6">
        <w:t>measured</w:t>
      </w:r>
      <w:r w:rsidR="00454428" w:rsidRPr="002575C6">
        <w:t xml:space="preserve"> at 1</w:t>
      </w:r>
      <w:r w:rsidR="00C02A68" w:rsidRPr="002575C6">
        <w:t>0</w:t>
      </w:r>
      <w:r w:rsidR="00454428" w:rsidRPr="002575C6">
        <w:t xml:space="preserve"> locations within the Bourke, Brewarrina, Walgett, Collarenebri and Mungindi weir pools on the Barwon-Darling River </w:t>
      </w:r>
      <w:r w:rsidR="0025658E">
        <w:t>during 25-28</w:t>
      </w:r>
      <w:r w:rsidR="008971B8" w:rsidRPr="002575C6">
        <w:t xml:space="preserve"> </w:t>
      </w:r>
      <w:r w:rsidR="00674ED2">
        <w:t xml:space="preserve">February 2019 </w:t>
      </w:r>
      <w:r w:rsidR="008971B8" w:rsidRPr="002575C6">
        <w:t>to assess the water quality present in each weir pool</w:t>
      </w:r>
      <w:r w:rsidR="00454428" w:rsidRPr="002575C6">
        <w:t xml:space="preserve"> (</w:t>
      </w:r>
      <w:r w:rsidR="006E2FD2">
        <w:fldChar w:fldCharType="begin"/>
      </w:r>
      <w:r w:rsidR="006E2FD2">
        <w:instrText xml:space="preserve"> REF _Ref4666923 \h </w:instrText>
      </w:r>
      <w:r w:rsidR="006E2FD2">
        <w:fldChar w:fldCharType="separate"/>
      </w:r>
      <w:r w:rsidR="006567A5" w:rsidRPr="00287F0F">
        <w:t xml:space="preserve">Table </w:t>
      </w:r>
      <w:r w:rsidR="006567A5">
        <w:rPr>
          <w:noProof/>
        </w:rPr>
        <w:t>1</w:t>
      </w:r>
      <w:r w:rsidR="006E2FD2">
        <w:fldChar w:fldCharType="end"/>
      </w:r>
      <w:r w:rsidR="006E2FD2">
        <w:t xml:space="preserve">; </w:t>
      </w:r>
      <w:r w:rsidR="006E2FD2">
        <w:fldChar w:fldCharType="begin"/>
      </w:r>
      <w:r w:rsidR="006E2FD2">
        <w:instrText xml:space="preserve"> REF _Ref37945168 \h </w:instrText>
      </w:r>
      <w:r w:rsidR="006E2FD2">
        <w:fldChar w:fldCharType="separate"/>
      </w:r>
      <w:r w:rsidR="006567A5">
        <w:t xml:space="preserve">Figure </w:t>
      </w:r>
      <w:r w:rsidR="006567A5">
        <w:rPr>
          <w:noProof/>
        </w:rPr>
        <w:t>2</w:t>
      </w:r>
      <w:r w:rsidR="006E2FD2">
        <w:fldChar w:fldCharType="end"/>
      </w:r>
      <w:r w:rsidR="00454428">
        <w:t xml:space="preserve">). </w:t>
      </w:r>
      <w:r w:rsidR="009F5C4B">
        <w:t xml:space="preserve">Two sites were located within each weir pool – site 1 being towards the weir wall and site 2 further upstream, but still in the weir pool. </w:t>
      </w:r>
      <w:r w:rsidR="00454428">
        <w:t>Parameters including temperature, conductivity, dissolved oxygen and pH were</w:t>
      </w:r>
      <w:r w:rsidR="001F784B">
        <w:t xml:space="preserve"> directly</w:t>
      </w:r>
      <w:r w:rsidR="00454428">
        <w:t xml:space="preserve"> measured at the surface and 1m depth intervals </w:t>
      </w:r>
      <w:r w:rsidR="00581279">
        <w:t xml:space="preserve">down to 4m </w:t>
      </w:r>
      <w:r w:rsidR="00454428">
        <w:t>at each site</w:t>
      </w:r>
      <w:r w:rsidR="00105281">
        <w:t xml:space="preserve"> using </w:t>
      </w:r>
      <w:r w:rsidR="00035C56">
        <w:t>an</w:t>
      </w:r>
      <w:r w:rsidR="00105281">
        <w:t xml:space="preserve"> YSI 556 MPS multi-probe</w:t>
      </w:r>
      <w:r w:rsidR="00454428">
        <w:t>. In addition, turbidity was</w:t>
      </w:r>
      <w:r w:rsidR="001F784B">
        <w:t xml:space="preserve"> directly</w:t>
      </w:r>
      <w:r w:rsidR="00454428">
        <w:t xml:space="preserve"> measur</w:t>
      </w:r>
      <w:r w:rsidR="00105281">
        <w:t>ed at the surface at each site.</w:t>
      </w:r>
      <w:r w:rsidR="00674ED2">
        <w:t xml:space="preserve"> </w:t>
      </w:r>
    </w:p>
    <w:p w14:paraId="34585FDE" w14:textId="742ACC92" w:rsidR="00454428" w:rsidRDefault="00454428" w:rsidP="002575C6">
      <w:r>
        <w:t xml:space="preserve">At a selection of sites (denoted by a * in </w:t>
      </w:r>
      <w:r w:rsidR="00D17307">
        <w:fldChar w:fldCharType="begin"/>
      </w:r>
      <w:r w:rsidR="00D17307">
        <w:instrText xml:space="preserve"> REF _Ref4666923 \h </w:instrText>
      </w:r>
      <w:r w:rsidR="002575C6">
        <w:instrText xml:space="preserve"> \* MERGEFORMAT </w:instrText>
      </w:r>
      <w:r w:rsidR="00D17307">
        <w:fldChar w:fldCharType="separate"/>
      </w:r>
      <w:r w:rsidR="006567A5" w:rsidRPr="00287F0F">
        <w:t xml:space="preserve">Table </w:t>
      </w:r>
      <w:r w:rsidR="006567A5">
        <w:rPr>
          <w:noProof/>
        </w:rPr>
        <w:t>1</w:t>
      </w:r>
      <w:r w:rsidR="00D17307">
        <w:fldChar w:fldCharType="end"/>
      </w:r>
      <w:r>
        <w:t>), temperature and dissolved oxygen loggers were placed at various depths from the surface to within 1m of the bed</w:t>
      </w:r>
      <w:r w:rsidR="008B54D9">
        <w:t xml:space="preserve"> (</w:t>
      </w:r>
      <w:r w:rsidR="008B54D9">
        <w:fldChar w:fldCharType="begin"/>
      </w:r>
      <w:r w:rsidR="008B54D9">
        <w:instrText xml:space="preserve"> REF _Ref4493752 \h </w:instrText>
      </w:r>
      <w:r w:rsidR="008B54D9">
        <w:fldChar w:fldCharType="separate"/>
      </w:r>
      <w:r w:rsidR="006567A5">
        <w:t xml:space="preserve">Figure </w:t>
      </w:r>
      <w:r w:rsidR="006567A5">
        <w:rPr>
          <w:noProof/>
        </w:rPr>
        <w:t>3</w:t>
      </w:r>
      <w:r w:rsidR="008B54D9">
        <w:fldChar w:fldCharType="end"/>
      </w:r>
      <w:r w:rsidR="008B54D9">
        <w:t>)</w:t>
      </w:r>
      <w:r>
        <w:t xml:space="preserve">. These recorded measurements every 30 minutes, to allow tracking of diurnal </w:t>
      </w:r>
      <w:r w:rsidR="002D003B">
        <w:t xml:space="preserve">and </w:t>
      </w:r>
      <w:r w:rsidR="00DA38D5">
        <w:t>long-term</w:t>
      </w:r>
      <w:r w:rsidR="002D003B">
        <w:t xml:space="preserve"> </w:t>
      </w:r>
      <w:r>
        <w:t>changes in these parameters.</w:t>
      </w:r>
      <w:r w:rsidR="007B1A54">
        <w:t xml:space="preserve"> A mixture of </w:t>
      </w:r>
      <w:proofErr w:type="spellStart"/>
      <w:r w:rsidR="007B1A54">
        <w:t>D</w:t>
      </w:r>
      <w:r w:rsidR="00035C56">
        <w:t>e</w:t>
      </w:r>
      <w:r w:rsidR="007B1A54">
        <w:t>opto</w:t>
      </w:r>
      <w:proofErr w:type="spellEnd"/>
      <w:r w:rsidR="007B1A54">
        <w:t xml:space="preserve"> and Mini-Dot dissolved oxygen and temperature loggers were deployed at the surface and within 1m of the channel bed at each site</w:t>
      </w:r>
      <w:r w:rsidR="00105281">
        <w:t>. Between these, two</w:t>
      </w:r>
      <w:r w:rsidR="007B1A54">
        <w:t xml:space="preserve"> hobo temperature loggers were deployed at even intervals throughout the water column at each site. Loggers were suspended off </w:t>
      </w:r>
      <w:r w:rsidR="008971B8">
        <w:t>a</w:t>
      </w:r>
      <w:r w:rsidR="007B1A54">
        <w:t xml:space="preserve"> buoy using wire and were tethered to a </w:t>
      </w:r>
      <w:r w:rsidR="00035C56">
        <w:t>besser</w:t>
      </w:r>
      <w:r w:rsidR="007B1A54">
        <w:t xml:space="preserve"> block to keep them in place </w:t>
      </w:r>
      <w:r w:rsidR="00105281">
        <w:t>at each location. Enough slack was left in the wire during initial deployment to allow for variation in water levels over time.</w:t>
      </w:r>
    </w:p>
    <w:p w14:paraId="4A93BCE7" w14:textId="7F78B341" w:rsidR="00105281" w:rsidRDefault="00105281" w:rsidP="00105281">
      <w:r>
        <w:lastRenderedPageBreak/>
        <w:t xml:space="preserve">In addition to water quality parameters, algal samples were collected using an algal tow with samples preserved using a </w:t>
      </w:r>
      <w:proofErr w:type="spellStart"/>
      <w:r w:rsidR="00B458A3">
        <w:t>l</w:t>
      </w:r>
      <w:r w:rsidR="009F5C4B">
        <w:t>u</w:t>
      </w:r>
      <w:r w:rsidR="00B458A3">
        <w:t>gols</w:t>
      </w:r>
      <w:proofErr w:type="spellEnd"/>
      <w:r>
        <w:t xml:space="preserve"> solution. The net used to collect samples was approximately 300mm in diameter and a 5m tow was undertaken at each site.</w:t>
      </w:r>
      <w:r w:rsidR="008971B8">
        <w:t xml:space="preserve"> </w:t>
      </w:r>
      <w:r>
        <w:t>In the laboratory, either the first 500 cells, or the number of cells in 3mL for each concentrated sample were identified at 400x and 600x magnification by phase contrast microscopy. Cells were identified to genus level, where possible, and some common taxa to species level.</w:t>
      </w:r>
      <w:r w:rsidR="00024EAB">
        <w:t xml:space="preserve"> These samples yielded relative abundance and </w:t>
      </w:r>
      <w:r w:rsidR="00035C56">
        <w:t>taxonomic</w:t>
      </w:r>
      <w:r w:rsidR="00024EAB">
        <w:t xml:space="preserve"> Richness measures of the algal communities. Information of total concentrations of </w:t>
      </w:r>
      <w:r w:rsidR="00F400EA">
        <w:t>a</w:t>
      </w:r>
      <w:r w:rsidR="00024EAB">
        <w:t>lgae at sites during the project were gained from the routine Algal monitoring undertaken and reported by waterNSW (</w:t>
      </w:r>
      <w:hyperlink r:id="rId16" w:history="1">
        <w:r w:rsidR="00024EAB">
          <w:rPr>
            <w:rStyle w:val="Hyperlink"/>
          </w:rPr>
          <w:t>https://www.waternsw.com.au/water-quality/algae</w:t>
        </w:r>
      </w:hyperlink>
      <w:r w:rsidR="00024EAB">
        <w:t>).</w:t>
      </w:r>
    </w:p>
    <w:p w14:paraId="3D629B1E" w14:textId="1D937B17" w:rsidR="00454428" w:rsidRPr="00287F0F" w:rsidRDefault="00454428" w:rsidP="00454428">
      <w:pPr>
        <w:pStyle w:val="Caption"/>
        <w:rPr>
          <w:b w:val="0"/>
          <w:i/>
        </w:rPr>
      </w:pPr>
      <w:bookmarkStart w:id="8" w:name="_Ref4666923"/>
      <w:bookmarkStart w:id="9" w:name="_Ref5960603"/>
      <w:bookmarkStart w:id="10" w:name="_Toc38889775"/>
      <w:r w:rsidRPr="00287F0F">
        <w:t xml:space="preserve">Table </w:t>
      </w:r>
      <w:r w:rsidR="00BF372C">
        <w:rPr>
          <w:noProof/>
        </w:rPr>
        <w:fldChar w:fldCharType="begin"/>
      </w:r>
      <w:r w:rsidR="00BF372C">
        <w:rPr>
          <w:noProof/>
        </w:rPr>
        <w:instrText xml:space="preserve"> SEQ Table \* ARABIC </w:instrText>
      </w:r>
      <w:r w:rsidR="00BF372C">
        <w:rPr>
          <w:noProof/>
        </w:rPr>
        <w:fldChar w:fldCharType="separate"/>
      </w:r>
      <w:r w:rsidR="006567A5">
        <w:rPr>
          <w:noProof/>
        </w:rPr>
        <w:t>1</w:t>
      </w:r>
      <w:r w:rsidR="00BF372C">
        <w:rPr>
          <w:noProof/>
        </w:rPr>
        <w:fldChar w:fldCharType="end"/>
      </w:r>
      <w:bookmarkEnd w:id="8"/>
      <w:r w:rsidRPr="00287F0F">
        <w:t xml:space="preserve">:  </w:t>
      </w:r>
      <w:r w:rsidR="007B1A54">
        <w:t xml:space="preserve">Site locations surveyed as part of the study along the </w:t>
      </w:r>
      <w:r w:rsidRPr="00287F0F">
        <w:t xml:space="preserve">Barwon-Darling </w:t>
      </w:r>
      <w:r w:rsidR="00BE1EFF">
        <w:t>R</w:t>
      </w:r>
      <w:r w:rsidRPr="00287F0F">
        <w:t>iver</w:t>
      </w:r>
      <w:bookmarkEnd w:id="9"/>
      <w:r w:rsidR="007B1A54">
        <w:t xml:space="preserve"> during 2019</w:t>
      </w:r>
      <w:bookmarkEnd w:id="10"/>
    </w:p>
    <w:tbl>
      <w:tblPr>
        <w:tblStyle w:val="PlainTable2"/>
        <w:tblW w:w="5098" w:type="pct"/>
        <w:jc w:val="center"/>
        <w:tblLayout w:type="fixed"/>
        <w:tblLook w:val="04A0" w:firstRow="1" w:lastRow="0" w:firstColumn="1" w:lastColumn="0" w:noHBand="0" w:noVBand="1"/>
      </w:tblPr>
      <w:tblGrid>
        <w:gridCol w:w="238"/>
        <w:gridCol w:w="1080"/>
        <w:gridCol w:w="1232"/>
        <w:gridCol w:w="993"/>
        <w:gridCol w:w="1526"/>
        <w:gridCol w:w="1682"/>
        <w:gridCol w:w="655"/>
        <w:gridCol w:w="704"/>
        <w:gridCol w:w="565"/>
        <w:gridCol w:w="404"/>
        <w:gridCol w:w="308"/>
      </w:tblGrid>
      <w:tr w:rsidR="00BE1EFF" w:rsidRPr="00433856" w14:paraId="16450AD5" w14:textId="5595FB5A" w:rsidTr="00BE1EFF">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702" w:type="pct"/>
            <w:gridSpan w:val="2"/>
            <w:tcBorders>
              <w:top w:val="single" w:sz="4" w:space="0" w:color="96888C" w:themeColor="text1" w:themeTint="80"/>
              <w:right w:val="single" w:sz="4" w:space="0" w:color="auto"/>
            </w:tcBorders>
            <w:shd w:val="clear" w:color="auto" w:fill="D9D9D9" w:themeFill="background1" w:themeFillShade="D9"/>
            <w:noWrap/>
            <w:vAlign w:val="center"/>
            <w:hideMark/>
          </w:tcPr>
          <w:p w14:paraId="0AE5B514" w14:textId="1C6B7CDE" w:rsidR="00BE1EFF" w:rsidRPr="00433856" w:rsidRDefault="00BE1EFF" w:rsidP="00BE1EFF">
            <w:pPr>
              <w:spacing w:before="60" w:after="60"/>
              <w:jc w:val="center"/>
              <w:rPr>
                <w:rFonts w:ascii="Calibri" w:eastAsia="Times New Roman" w:hAnsi="Calibri" w:cs="Calibri"/>
                <w:color w:val="000000"/>
                <w:lang w:eastAsia="en-AU"/>
              </w:rPr>
            </w:pPr>
            <w:r>
              <w:rPr>
                <w:rFonts w:ascii="Calibri" w:eastAsia="Times New Roman" w:hAnsi="Calibri" w:cs="Calibri"/>
                <w:color w:val="000000"/>
                <w:lang w:eastAsia="en-AU"/>
              </w:rPr>
              <w:t>Location</w:t>
            </w:r>
          </w:p>
        </w:tc>
        <w:tc>
          <w:tcPr>
            <w:tcW w:w="656" w:type="pct"/>
            <w:tcBorders>
              <w:right w:val="single" w:sz="4" w:space="0" w:color="auto"/>
            </w:tcBorders>
            <w:shd w:val="clear" w:color="auto" w:fill="D9D9D9" w:themeFill="background1" w:themeFillShade="D9"/>
          </w:tcPr>
          <w:p w14:paraId="65D3B620" w14:textId="23C096B5" w:rsidR="00BE1EFF" w:rsidRPr="00433856" w:rsidRDefault="00BE1EFF" w:rsidP="00BE1EFF">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 xml:space="preserve">Site </w:t>
            </w:r>
          </w:p>
        </w:tc>
        <w:tc>
          <w:tcPr>
            <w:tcW w:w="529" w:type="pct"/>
            <w:tcBorders>
              <w:left w:val="single" w:sz="4" w:space="0" w:color="auto"/>
              <w:right w:val="single" w:sz="4" w:space="0" w:color="auto"/>
            </w:tcBorders>
            <w:shd w:val="clear" w:color="auto" w:fill="D9D9D9" w:themeFill="background1" w:themeFillShade="D9"/>
          </w:tcPr>
          <w:p w14:paraId="4D9707A6" w14:textId="45B29158" w:rsidR="00BE1EFF" w:rsidRPr="00433856" w:rsidRDefault="00BE1EFF" w:rsidP="00BE1EFF">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Site depth^</w:t>
            </w:r>
          </w:p>
        </w:tc>
        <w:tc>
          <w:tcPr>
            <w:tcW w:w="813" w:type="pct"/>
            <w:tcBorders>
              <w:left w:val="single" w:sz="4" w:space="0" w:color="auto"/>
              <w:right w:val="single" w:sz="4" w:space="0" w:color="auto"/>
            </w:tcBorders>
            <w:shd w:val="clear" w:color="auto" w:fill="D9D9D9" w:themeFill="background1" w:themeFillShade="D9"/>
            <w:vAlign w:val="center"/>
          </w:tcPr>
          <w:p w14:paraId="05470F31" w14:textId="49695C9D" w:rsidR="00BE1EFF" w:rsidRPr="00433856" w:rsidRDefault="00BE1EFF" w:rsidP="00BE1EFF">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AU"/>
              </w:rPr>
            </w:pPr>
            <w:r w:rsidRPr="00433856">
              <w:rPr>
                <w:rFonts w:ascii="Calibri" w:eastAsia="Times New Roman" w:hAnsi="Calibri" w:cs="Calibri"/>
                <w:color w:val="000000"/>
                <w:lang w:eastAsia="en-AU"/>
              </w:rPr>
              <w:t>Lat</w:t>
            </w:r>
            <w:r w:rsidR="00035C56">
              <w:rPr>
                <w:rFonts w:ascii="Calibri" w:eastAsia="Times New Roman" w:hAnsi="Calibri" w:cs="Calibri"/>
                <w:color w:val="000000"/>
                <w:lang w:eastAsia="en-AU"/>
              </w:rPr>
              <w:t>itude</w:t>
            </w:r>
          </w:p>
        </w:tc>
        <w:tc>
          <w:tcPr>
            <w:tcW w:w="896" w:type="pct"/>
            <w:tcBorders>
              <w:top w:val="single" w:sz="4" w:space="0" w:color="96888C" w:themeColor="text1" w:themeTint="80"/>
              <w:left w:val="single" w:sz="4" w:space="0" w:color="auto"/>
              <w:right w:val="single" w:sz="4" w:space="0" w:color="auto"/>
            </w:tcBorders>
            <w:shd w:val="clear" w:color="auto" w:fill="D9D9D9" w:themeFill="background1" w:themeFillShade="D9"/>
            <w:noWrap/>
            <w:vAlign w:val="center"/>
            <w:hideMark/>
          </w:tcPr>
          <w:p w14:paraId="74F469CE" w14:textId="3B6A3D2B" w:rsidR="00BE1EFF" w:rsidRPr="00433856" w:rsidRDefault="00BE1EFF" w:rsidP="00BE1EFF">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433856">
              <w:rPr>
                <w:rFonts w:ascii="Calibri" w:eastAsia="Times New Roman" w:hAnsi="Calibri" w:cs="Calibri"/>
                <w:color w:val="000000"/>
                <w:lang w:eastAsia="en-AU"/>
              </w:rPr>
              <w:t>Long</w:t>
            </w:r>
            <w:r w:rsidR="00035C56">
              <w:rPr>
                <w:rFonts w:ascii="Calibri" w:eastAsia="Times New Roman" w:hAnsi="Calibri" w:cs="Calibri"/>
                <w:color w:val="000000"/>
                <w:lang w:eastAsia="en-AU"/>
              </w:rPr>
              <w:t>itude</w:t>
            </w:r>
          </w:p>
        </w:tc>
        <w:tc>
          <w:tcPr>
            <w:tcW w:w="349" w:type="pct"/>
            <w:tcBorders>
              <w:left w:val="single" w:sz="4" w:space="0" w:color="auto"/>
            </w:tcBorders>
            <w:shd w:val="clear" w:color="auto" w:fill="D9D9D9" w:themeFill="background1" w:themeFillShade="D9"/>
          </w:tcPr>
          <w:p w14:paraId="1CAB3A1E" w14:textId="3A1E3218" w:rsidR="00BE1EFF" w:rsidRPr="00433856" w:rsidRDefault="00BE1EFF" w:rsidP="00BE1EFF">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Mar</w:t>
            </w:r>
          </w:p>
        </w:tc>
        <w:tc>
          <w:tcPr>
            <w:tcW w:w="375" w:type="pct"/>
            <w:tcBorders>
              <w:left w:val="single" w:sz="4" w:space="0" w:color="auto"/>
            </w:tcBorders>
            <w:shd w:val="clear" w:color="auto" w:fill="D9D9D9" w:themeFill="background1" w:themeFillShade="D9"/>
          </w:tcPr>
          <w:p w14:paraId="6FE15B26" w14:textId="571D0BF6" w:rsidR="00BE1EFF" w:rsidRPr="00433856" w:rsidRDefault="00BE1EFF" w:rsidP="00BE1EFF">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May</w:t>
            </w:r>
          </w:p>
        </w:tc>
        <w:tc>
          <w:tcPr>
            <w:tcW w:w="301" w:type="pct"/>
            <w:tcBorders>
              <w:left w:val="single" w:sz="4" w:space="0" w:color="auto"/>
            </w:tcBorders>
            <w:shd w:val="clear" w:color="auto" w:fill="D9D9D9" w:themeFill="background1" w:themeFillShade="D9"/>
          </w:tcPr>
          <w:p w14:paraId="3372C13C" w14:textId="4FFDAA4F" w:rsidR="00BE1EFF" w:rsidRPr="00433856" w:rsidRDefault="00BE1EFF" w:rsidP="00BE1EFF">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Jul</w:t>
            </w:r>
          </w:p>
        </w:tc>
        <w:tc>
          <w:tcPr>
            <w:tcW w:w="377" w:type="pct"/>
            <w:gridSpan w:val="2"/>
            <w:tcBorders>
              <w:left w:val="single" w:sz="4" w:space="0" w:color="auto"/>
            </w:tcBorders>
            <w:shd w:val="clear" w:color="auto" w:fill="D9D9D9" w:themeFill="background1" w:themeFillShade="D9"/>
          </w:tcPr>
          <w:p w14:paraId="546BDB29" w14:textId="58523A5A" w:rsidR="00BE1EFF" w:rsidRPr="00433856" w:rsidRDefault="00BE1EFF" w:rsidP="00BE1EFF">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Aug</w:t>
            </w:r>
          </w:p>
        </w:tc>
      </w:tr>
      <w:tr w:rsidR="00BE1EFF" w:rsidRPr="00433856" w14:paraId="463F1A66" w14:textId="77777777" w:rsidTr="00BE1EFF">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702" w:type="pct"/>
            <w:gridSpan w:val="2"/>
            <w:vMerge w:val="restart"/>
            <w:tcBorders>
              <w:right w:val="single" w:sz="4" w:space="0" w:color="auto"/>
            </w:tcBorders>
            <w:noWrap/>
            <w:vAlign w:val="center"/>
          </w:tcPr>
          <w:p w14:paraId="2035D43B" w14:textId="36C488B7" w:rsidR="00BE1EFF" w:rsidRPr="00433856" w:rsidRDefault="00BE1EFF" w:rsidP="00BE1EFF">
            <w:pPr>
              <w:spacing w:before="60" w:after="60"/>
              <w:jc w:val="center"/>
              <w:rPr>
                <w:rFonts w:ascii="Calibri" w:eastAsia="Times New Roman" w:hAnsi="Calibri" w:cs="Calibri"/>
                <w:b w:val="0"/>
                <w:color w:val="000000"/>
                <w:lang w:eastAsia="en-AU"/>
              </w:rPr>
            </w:pPr>
            <w:r>
              <w:rPr>
                <w:rFonts w:ascii="Calibri" w:eastAsia="Times New Roman" w:hAnsi="Calibri" w:cs="Calibri"/>
                <w:b w:val="0"/>
                <w:color w:val="000000"/>
                <w:lang w:eastAsia="en-AU"/>
              </w:rPr>
              <w:t>Mungindi weir pool</w:t>
            </w:r>
          </w:p>
        </w:tc>
        <w:tc>
          <w:tcPr>
            <w:tcW w:w="656" w:type="pct"/>
            <w:tcBorders>
              <w:right w:val="single" w:sz="4" w:space="0" w:color="auto"/>
            </w:tcBorders>
            <w:vAlign w:val="center"/>
          </w:tcPr>
          <w:p w14:paraId="4C1BB01A" w14:textId="77777777" w:rsidR="00BE1EFF" w:rsidRPr="00C02A68"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C02A68">
              <w:rPr>
                <w:rFonts w:ascii="Calibri" w:eastAsia="Times New Roman" w:hAnsi="Calibri" w:cs="Calibri"/>
                <w:color w:val="000000"/>
                <w:lang w:eastAsia="en-AU"/>
              </w:rPr>
              <w:t>Mung 1</w:t>
            </w:r>
          </w:p>
        </w:tc>
        <w:tc>
          <w:tcPr>
            <w:tcW w:w="529" w:type="pct"/>
            <w:tcBorders>
              <w:left w:val="single" w:sz="4" w:space="0" w:color="auto"/>
              <w:right w:val="single" w:sz="4" w:space="0" w:color="auto"/>
            </w:tcBorders>
          </w:tcPr>
          <w:p w14:paraId="387E12F5" w14:textId="0827E37E" w:rsidR="00BE1EFF" w:rsidRPr="00433856"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3.5m</w:t>
            </w:r>
          </w:p>
        </w:tc>
        <w:tc>
          <w:tcPr>
            <w:tcW w:w="813" w:type="pct"/>
            <w:tcBorders>
              <w:left w:val="single" w:sz="4" w:space="0" w:color="auto"/>
              <w:right w:val="single" w:sz="4" w:space="0" w:color="auto"/>
            </w:tcBorders>
            <w:vAlign w:val="center"/>
          </w:tcPr>
          <w:p w14:paraId="365B016A" w14:textId="56BE352D" w:rsidR="00BE1EFF" w:rsidRPr="00433856"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433856">
              <w:rPr>
                <w:rFonts w:ascii="Calibri" w:eastAsia="Times New Roman" w:hAnsi="Calibri" w:cs="Calibri"/>
                <w:color w:val="000000"/>
                <w:lang w:eastAsia="en-AU"/>
              </w:rPr>
              <w:t>28°58'32.82"S</w:t>
            </w:r>
          </w:p>
        </w:tc>
        <w:tc>
          <w:tcPr>
            <w:tcW w:w="896" w:type="pct"/>
            <w:tcBorders>
              <w:left w:val="single" w:sz="4" w:space="0" w:color="auto"/>
              <w:right w:val="single" w:sz="4" w:space="0" w:color="auto"/>
            </w:tcBorders>
            <w:noWrap/>
            <w:vAlign w:val="center"/>
            <w:hideMark/>
          </w:tcPr>
          <w:p w14:paraId="70AA0460" w14:textId="121E7AD5" w:rsidR="00BE1EFF" w:rsidRPr="00433856"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433856">
              <w:rPr>
                <w:rFonts w:ascii="Calibri" w:eastAsia="Times New Roman" w:hAnsi="Calibri" w:cs="Calibri"/>
                <w:color w:val="000000"/>
                <w:lang w:eastAsia="en-AU"/>
              </w:rPr>
              <w:t>148°58'55.82"E</w:t>
            </w:r>
          </w:p>
        </w:tc>
        <w:tc>
          <w:tcPr>
            <w:tcW w:w="349" w:type="pct"/>
            <w:tcBorders>
              <w:left w:val="single" w:sz="4" w:space="0" w:color="auto"/>
            </w:tcBorders>
          </w:tcPr>
          <w:p w14:paraId="4576D7FA" w14:textId="77777777"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75" w:type="pct"/>
            <w:tcBorders>
              <w:left w:val="single" w:sz="4" w:space="0" w:color="auto"/>
            </w:tcBorders>
          </w:tcPr>
          <w:p w14:paraId="7B486A75" w14:textId="77777777"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w:t>
            </w:r>
          </w:p>
        </w:tc>
        <w:tc>
          <w:tcPr>
            <w:tcW w:w="301" w:type="pct"/>
            <w:tcBorders>
              <w:left w:val="single" w:sz="4" w:space="0" w:color="auto"/>
            </w:tcBorders>
          </w:tcPr>
          <w:p w14:paraId="24290623" w14:textId="77777777"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77" w:type="pct"/>
            <w:gridSpan w:val="2"/>
            <w:tcBorders>
              <w:left w:val="single" w:sz="4" w:space="0" w:color="auto"/>
            </w:tcBorders>
          </w:tcPr>
          <w:p w14:paraId="54DD3B77" w14:textId="38CC7140"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r>
      <w:tr w:rsidR="00BE1EFF" w:rsidRPr="00433856" w14:paraId="71FE902B" w14:textId="77777777" w:rsidTr="00BE1EFF">
        <w:trPr>
          <w:trHeight w:val="249"/>
          <w:jc w:val="center"/>
        </w:trPr>
        <w:tc>
          <w:tcPr>
            <w:cnfStyle w:val="001000000000" w:firstRow="0" w:lastRow="0" w:firstColumn="1" w:lastColumn="0" w:oddVBand="0" w:evenVBand="0" w:oddHBand="0" w:evenHBand="0" w:firstRowFirstColumn="0" w:firstRowLastColumn="0" w:lastRowFirstColumn="0" w:lastRowLastColumn="0"/>
            <w:tcW w:w="702" w:type="pct"/>
            <w:gridSpan w:val="2"/>
            <w:vMerge/>
            <w:tcBorders>
              <w:right w:val="single" w:sz="4" w:space="0" w:color="auto"/>
            </w:tcBorders>
            <w:noWrap/>
            <w:vAlign w:val="center"/>
          </w:tcPr>
          <w:p w14:paraId="7DE4908B" w14:textId="77777777" w:rsidR="00BE1EFF" w:rsidRPr="00433856" w:rsidRDefault="00BE1EFF" w:rsidP="00BE1EFF">
            <w:pPr>
              <w:spacing w:before="60" w:after="60"/>
              <w:jc w:val="center"/>
              <w:rPr>
                <w:rFonts w:ascii="Calibri" w:eastAsia="Times New Roman" w:hAnsi="Calibri" w:cs="Calibri"/>
                <w:b w:val="0"/>
                <w:color w:val="000000"/>
                <w:lang w:eastAsia="en-AU"/>
              </w:rPr>
            </w:pPr>
          </w:p>
        </w:tc>
        <w:tc>
          <w:tcPr>
            <w:tcW w:w="656" w:type="pct"/>
            <w:tcBorders>
              <w:right w:val="single" w:sz="4" w:space="0" w:color="auto"/>
            </w:tcBorders>
            <w:vAlign w:val="center"/>
          </w:tcPr>
          <w:p w14:paraId="448A2E5D" w14:textId="77777777" w:rsidR="00BE1EFF" w:rsidRPr="00C02A68"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C02A68">
              <w:rPr>
                <w:rFonts w:ascii="Calibri" w:eastAsia="Times New Roman" w:hAnsi="Calibri" w:cs="Calibri"/>
                <w:color w:val="000000"/>
                <w:lang w:eastAsia="en-AU"/>
              </w:rPr>
              <w:t>Mung 2*</w:t>
            </w:r>
          </w:p>
        </w:tc>
        <w:tc>
          <w:tcPr>
            <w:tcW w:w="529" w:type="pct"/>
            <w:tcBorders>
              <w:left w:val="single" w:sz="4" w:space="0" w:color="auto"/>
              <w:right w:val="single" w:sz="4" w:space="0" w:color="auto"/>
            </w:tcBorders>
          </w:tcPr>
          <w:p w14:paraId="308D47E8" w14:textId="752034B6" w:rsidR="00BE1EFF" w:rsidRPr="00433856" w:rsidRDefault="007B1A54"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4m</w:t>
            </w:r>
          </w:p>
        </w:tc>
        <w:tc>
          <w:tcPr>
            <w:tcW w:w="813" w:type="pct"/>
            <w:tcBorders>
              <w:left w:val="single" w:sz="4" w:space="0" w:color="auto"/>
              <w:right w:val="single" w:sz="4" w:space="0" w:color="auto"/>
            </w:tcBorders>
            <w:vAlign w:val="center"/>
          </w:tcPr>
          <w:p w14:paraId="543BC1A9" w14:textId="5A0AEF70" w:rsidR="00BE1EFF" w:rsidRPr="00433856"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433856">
              <w:rPr>
                <w:rFonts w:ascii="Calibri" w:eastAsia="Times New Roman" w:hAnsi="Calibri" w:cs="Calibri"/>
                <w:color w:val="000000"/>
                <w:lang w:eastAsia="en-AU"/>
              </w:rPr>
              <w:t>28°57'57.28"S</w:t>
            </w:r>
          </w:p>
        </w:tc>
        <w:tc>
          <w:tcPr>
            <w:tcW w:w="896" w:type="pct"/>
            <w:tcBorders>
              <w:left w:val="single" w:sz="4" w:space="0" w:color="auto"/>
              <w:right w:val="single" w:sz="4" w:space="0" w:color="auto"/>
            </w:tcBorders>
            <w:noWrap/>
            <w:vAlign w:val="center"/>
            <w:hideMark/>
          </w:tcPr>
          <w:p w14:paraId="156BE051" w14:textId="5C5216A6" w:rsidR="00BE1EFF" w:rsidRPr="00433856"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433856">
              <w:rPr>
                <w:rFonts w:ascii="Calibri" w:eastAsia="Times New Roman" w:hAnsi="Calibri" w:cs="Calibri"/>
                <w:color w:val="000000"/>
                <w:lang w:eastAsia="en-AU"/>
              </w:rPr>
              <w:t>149° 0'17.41"E</w:t>
            </w:r>
          </w:p>
        </w:tc>
        <w:tc>
          <w:tcPr>
            <w:tcW w:w="349" w:type="pct"/>
            <w:tcBorders>
              <w:left w:val="single" w:sz="4" w:space="0" w:color="auto"/>
            </w:tcBorders>
          </w:tcPr>
          <w:p w14:paraId="66893540" w14:textId="77777777" w:rsidR="00BE1EFF" w:rsidRPr="00BF372C"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75" w:type="pct"/>
            <w:tcBorders>
              <w:left w:val="single" w:sz="4" w:space="0" w:color="auto"/>
            </w:tcBorders>
          </w:tcPr>
          <w:p w14:paraId="38CCD070" w14:textId="77777777" w:rsidR="00BE1EFF" w:rsidRPr="00BF372C"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01" w:type="pct"/>
            <w:tcBorders>
              <w:left w:val="single" w:sz="4" w:space="0" w:color="auto"/>
            </w:tcBorders>
          </w:tcPr>
          <w:p w14:paraId="246519A7" w14:textId="77777777" w:rsidR="00BE1EFF" w:rsidRPr="00BF372C"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77" w:type="pct"/>
            <w:gridSpan w:val="2"/>
            <w:tcBorders>
              <w:left w:val="single" w:sz="4" w:space="0" w:color="auto"/>
            </w:tcBorders>
          </w:tcPr>
          <w:p w14:paraId="5595E1A6" w14:textId="1621758D" w:rsidR="00BE1EFF" w:rsidRPr="00BF372C"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r>
      <w:tr w:rsidR="00BE1EFF" w:rsidRPr="00433856" w14:paraId="0A0803EB" w14:textId="77777777" w:rsidTr="00BE1EFF">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702" w:type="pct"/>
            <w:gridSpan w:val="2"/>
            <w:vMerge w:val="restart"/>
            <w:tcBorders>
              <w:right w:val="single" w:sz="4" w:space="0" w:color="auto"/>
            </w:tcBorders>
            <w:noWrap/>
            <w:vAlign w:val="center"/>
          </w:tcPr>
          <w:p w14:paraId="242D11DC" w14:textId="608022D8" w:rsidR="00BE1EFF" w:rsidRPr="00433856" w:rsidRDefault="00BE1EFF" w:rsidP="00BE1EFF">
            <w:pPr>
              <w:spacing w:before="60" w:after="60"/>
              <w:jc w:val="center"/>
              <w:rPr>
                <w:rFonts w:ascii="Calibri" w:eastAsia="Times New Roman" w:hAnsi="Calibri" w:cs="Calibri"/>
                <w:b w:val="0"/>
                <w:color w:val="000000"/>
                <w:lang w:eastAsia="en-AU"/>
              </w:rPr>
            </w:pPr>
            <w:r>
              <w:rPr>
                <w:rFonts w:ascii="Calibri" w:eastAsia="Times New Roman" w:hAnsi="Calibri" w:cs="Calibri"/>
                <w:b w:val="0"/>
                <w:color w:val="000000"/>
                <w:lang w:eastAsia="en-AU"/>
              </w:rPr>
              <w:t>Collarenebri weir pool</w:t>
            </w:r>
          </w:p>
        </w:tc>
        <w:tc>
          <w:tcPr>
            <w:tcW w:w="656" w:type="pct"/>
            <w:tcBorders>
              <w:right w:val="single" w:sz="4" w:space="0" w:color="auto"/>
            </w:tcBorders>
            <w:vAlign w:val="center"/>
          </w:tcPr>
          <w:p w14:paraId="7012E3DC" w14:textId="77777777" w:rsidR="00BE1EFF" w:rsidRPr="00C02A68"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C02A68">
              <w:rPr>
                <w:rFonts w:ascii="Calibri" w:eastAsia="Times New Roman" w:hAnsi="Calibri" w:cs="Calibri"/>
                <w:color w:val="000000"/>
                <w:lang w:eastAsia="en-AU"/>
              </w:rPr>
              <w:t>Colli 1</w:t>
            </w:r>
          </w:p>
        </w:tc>
        <w:tc>
          <w:tcPr>
            <w:tcW w:w="529" w:type="pct"/>
            <w:tcBorders>
              <w:left w:val="single" w:sz="4" w:space="0" w:color="auto"/>
              <w:right w:val="single" w:sz="4" w:space="0" w:color="auto"/>
            </w:tcBorders>
          </w:tcPr>
          <w:p w14:paraId="6E75069C" w14:textId="5787EDBE" w:rsidR="00BE1EFF" w:rsidRPr="00433856" w:rsidRDefault="007B1A54"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2m</w:t>
            </w:r>
          </w:p>
        </w:tc>
        <w:tc>
          <w:tcPr>
            <w:tcW w:w="813" w:type="pct"/>
            <w:tcBorders>
              <w:left w:val="single" w:sz="4" w:space="0" w:color="auto"/>
              <w:right w:val="single" w:sz="4" w:space="0" w:color="auto"/>
            </w:tcBorders>
            <w:vAlign w:val="center"/>
          </w:tcPr>
          <w:p w14:paraId="6134FB0A" w14:textId="709091B2" w:rsidR="00BE1EFF" w:rsidRPr="00433856"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433856">
              <w:rPr>
                <w:rFonts w:ascii="Calibri" w:eastAsia="Times New Roman" w:hAnsi="Calibri" w:cs="Calibri"/>
                <w:color w:val="000000"/>
                <w:lang w:eastAsia="en-AU"/>
              </w:rPr>
              <w:t>29°33'11.69"S</w:t>
            </w:r>
          </w:p>
        </w:tc>
        <w:tc>
          <w:tcPr>
            <w:tcW w:w="896" w:type="pct"/>
            <w:tcBorders>
              <w:left w:val="single" w:sz="4" w:space="0" w:color="auto"/>
              <w:right w:val="single" w:sz="4" w:space="0" w:color="auto"/>
            </w:tcBorders>
            <w:noWrap/>
            <w:vAlign w:val="center"/>
            <w:hideMark/>
          </w:tcPr>
          <w:p w14:paraId="18930C4F" w14:textId="138144B1" w:rsidR="00BE1EFF" w:rsidRPr="00433856"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433856">
              <w:rPr>
                <w:rFonts w:ascii="Calibri" w:eastAsia="Times New Roman" w:hAnsi="Calibri" w:cs="Calibri"/>
                <w:color w:val="000000"/>
                <w:lang w:eastAsia="en-AU"/>
              </w:rPr>
              <w:t>148°34'13.30"E</w:t>
            </w:r>
          </w:p>
        </w:tc>
        <w:tc>
          <w:tcPr>
            <w:tcW w:w="349" w:type="pct"/>
            <w:tcBorders>
              <w:left w:val="single" w:sz="4" w:space="0" w:color="auto"/>
            </w:tcBorders>
          </w:tcPr>
          <w:p w14:paraId="5C4BF47C" w14:textId="7271155B"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DD0ABA">
              <w:rPr>
                <w:rFonts w:eastAsia="Times New Roman" w:cs="Calibri"/>
                <w:color w:val="000000"/>
                <w:lang w:eastAsia="en-AU"/>
              </w:rPr>
              <w:t>X</w:t>
            </w:r>
          </w:p>
        </w:tc>
        <w:tc>
          <w:tcPr>
            <w:tcW w:w="375" w:type="pct"/>
            <w:tcBorders>
              <w:left w:val="single" w:sz="4" w:space="0" w:color="auto"/>
            </w:tcBorders>
          </w:tcPr>
          <w:p w14:paraId="68EF2551" w14:textId="77777777"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01" w:type="pct"/>
            <w:tcBorders>
              <w:left w:val="single" w:sz="4" w:space="0" w:color="auto"/>
            </w:tcBorders>
          </w:tcPr>
          <w:p w14:paraId="39778053" w14:textId="77777777"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77" w:type="pct"/>
            <w:gridSpan w:val="2"/>
            <w:tcBorders>
              <w:left w:val="single" w:sz="4" w:space="0" w:color="auto"/>
            </w:tcBorders>
          </w:tcPr>
          <w:p w14:paraId="3882B935" w14:textId="1CA758C6"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r>
      <w:tr w:rsidR="00BE1EFF" w:rsidRPr="00433856" w14:paraId="63E65CCA" w14:textId="77777777" w:rsidTr="00BE1EFF">
        <w:trPr>
          <w:trHeight w:val="304"/>
          <w:jc w:val="center"/>
        </w:trPr>
        <w:tc>
          <w:tcPr>
            <w:cnfStyle w:val="001000000000" w:firstRow="0" w:lastRow="0" w:firstColumn="1" w:lastColumn="0" w:oddVBand="0" w:evenVBand="0" w:oddHBand="0" w:evenHBand="0" w:firstRowFirstColumn="0" w:firstRowLastColumn="0" w:lastRowFirstColumn="0" w:lastRowLastColumn="0"/>
            <w:tcW w:w="702" w:type="pct"/>
            <w:gridSpan w:val="2"/>
            <w:vMerge/>
            <w:tcBorders>
              <w:right w:val="single" w:sz="4" w:space="0" w:color="auto"/>
            </w:tcBorders>
            <w:noWrap/>
            <w:vAlign w:val="center"/>
          </w:tcPr>
          <w:p w14:paraId="708B03CB" w14:textId="77777777" w:rsidR="00BE1EFF" w:rsidRPr="00433856" w:rsidRDefault="00BE1EFF" w:rsidP="00BE1EFF">
            <w:pPr>
              <w:spacing w:before="60" w:after="60"/>
              <w:jc w:val="center"/>
              <w:rPr>
                <w:rFonts w:ascii="Calibri" w:eastAsia="Times New Roman" w:hAnsi="Calibri" w:cs="Calibri"/>
                <w:b w:val="0"/>
                <w:color w:val="000000"/>
                <w:lang w:eastAsia="en-AU"/>
              </w:rPr>
            </w:pPr>
          </w:p>
        </w:tc>
        <w:tc>
          <w:tcPr>
            <w:tcW w:w="656" w:type="pct"/>
            <w:tcBorders>
              <w:right w:val="single" w:sz="4" w:space="0" w:color="auto"/>
            </w:tcBorders>
            <w:vAlign w:val="center"/>
          </w:tcPr>
          <w:p w14:paraId="201D7025" w14:textId="77777777" w:rsidR="00BE1EFF" w:rsidRPr="00C02A68"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C02A68">
              <w:rPr>
                <w:rFonts w:ascii="Calibri" w:eastAsia="Times New Roman" w:hAnsi="Calibri" w:cs="Calibri"/>
                <w:color w:val="000000"/>
                <w:lang w:eastAsia="en-AU"/>
              </w:rPr>
              <w:t>Colli 2*</w:t>
            </w:r>
          </w:p>
        </w:tc>
        <w:tc>
          <w:tcPr>
            <w:tcW w:w="529" w:type="pct"/>
            <w:tcBorders>
              <w:left w:val="single" w:sz="4" w:space="0" w:color="auto"/>
              <w:right w:val="single" w:sz="4" w:space="0" w:color="auto"/>
            </w:tcBorders>
          </w:tcPr>
          <w:p w14:paraId="73B91E5D" w14:textId="45161C89" w:rsidR="00BE1EFF" w:rsidRPr="00433856" w:rsidRDefault="007B1A54"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5m</w:t>
            </w:r>
          </w:p>
        </w:tc>
        <w:tc>
          <w:tcPr>
            <w:tcW w:w="813" w:type="pct"/>
            <w:tcBorders>
              <w:left w:val="single" w:sz="4" w:space="0" w:color="auto"/>
              <w:right w:val="single" w:sz="4" w:space="0" w:color="auto"/>
            </w:tcBorders>
            <w:vAlign w:val="center"/>
          </w:tcPr>
          <w:p w14:paraId="45175FC4" w14:textId="75325D16" w:rsidR="00BE1EFF" w:rsidRPr="00433856"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433856">
              <w:rPr>
                <w:rFonts w:ascii="Calibri" w:eastAsia="Times New Roman" w:hAnsi="Calibri" w:cs="Calibri"/>
                <w:color w:val="000000"/>
                <w:lang w:eastAsia="en-AU"/>
              </w:rPr>
              <w:t>29°33'7.75"S</w:t>
            </w:r>
          </w:p>
        </w:tc>
        <w:tc>
          <w:tcPr>
            <w:tcW w:w="896" w:type="pct"/>
            <w:tcBorders>
              <w:left w:val="single" w:sz="4" w:space="0" w:color="auto"/>
              <w:right w:val="single" w:sz="4" w:space="0" w:color="auto"/>
            </w:tcBorders>
            <w:noWrap/>
            <w:vAlign w:val="center"/>
            <w:hideMark/>
          </w:tcPr>
          <w:p w14:paraId="29F0F21D" w14:textId="488F8613" w:rsidR="00BE1EFF" w:rsidRPr="00433856"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433856">
              <w:rPr>
                <w:rFonts w:ascii="Calibri" w:eastAsia="Times New Roman" w:hAnsi="Calibri" w:cs="Calibri"/>
                <w:color w:val="000000"/>
                <w:lang w:eastAsia="en-AU"/>
              </w:rPr>
              <w:t>148°37'18.82"E</w:t>
            </w:r>
          </w:p>
        </w:tc>
        <w:tc>
          <w:tcPr>
            <w:tcW w:w="349" w:type="pct"/>
            <w:tcBorders>
              <w:left w:val="single" w:sz="4" w:space="0" w:color="auto"/>
            </w:tcBorders>
          </w:tcPr>
          <w:p w14:paraId="1B84FF74" w14:textId="6B4BE3FB" w:rsidR="00BE1EFF" w:rsidRPr="00BF372C"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DD0ABA">
              <w:rPr>
                <w:rFonts w:eastAsia="Times New Roman" w:cs="Calibri"/>
                <w:color w:val="000000"/>
                <w:lang w:eastAsia="en-AU"/>
              </w:rPr>
              <w:t>X</w:t>
            </w:r>
          </w:p>
        </w:tc>
        <w:tc>
          <w:tcPr>
            <w:tcW w:w="375" w:type="pct"/>
            <w:tcBorders>
              <w:left w:val="single" w:sz="4" w:space="0" w:color="auto"/>
            </w:tcBorders>
          </w:tcPr>
          <w:p w14:paraId="5848D277" w14:textId="77777777" w:rsidR="00BE1EFF" w:rsidRPr="00BF372C"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01" w:type="pct"/>
            <w:tcBorders>
              <w:left w:val="single" w:sz="4" w:space="0" w:color="auto"/>
            </w:tcBorders>
          </w:tcPr>
          <w:p w14:paraId="7CBF0A73" w14:textId="77777777" w:rsidR="00BE1EFF" w:rsidRPr="00BF372C"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77" w:type="pct"/>
            <w:gridSpan w:val="2"/>
            <w:tcBorders>
              <w:left w:val="single" w:sz="4" w:space="0" w:color="auto"/>
            </w:tcBorders>
          </w:tcPr>
          <w:p w14:paraId="4800DB35" w14:textId="5B056065" w:rsidR="00BE1EFF" w:rsidRPr="00BF372C"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r>
      <w:tr w:rsidR="00BE1EFF" w:rsidRPr="00433856" w14:paraId="22BBC30F" w14:textId="77777777" w:rsidTr="00BE1EFF">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702" w:type="pct"/>
            <w:gridSpan w:val="2"/>
            <w:vMerge w:val="restart"/>
            <w:tcBorders>
              <w:right w:val="single" w:sz="4" w:space="0" w:color="auto"/>
            </w:tcBorders>
            <w:noWrap/>
            <w:vAlign w:val="center"/>
          </w:tcPr>
          <w:p w14:paraId="5AC85FF8" w14:textId="4A495BF4" w:rsidR="00BE1EFF" w:rsidRPr="00433856" w:rsidRDefault="00BE1EFF" w:rsidP="00BE1EFF">
            <w:pPr>
              <w:spacing w:before="60" w:after="60"/>
              <w:jc w:val="center"/>
              <w:rPr>
                <w:rFonts w:ascii="Calibri" w:eastAsia="Times New Roman" w:hAnsi="Calibri" w:cs="Calibri"/>
                <w:b w:val="0"/>
                <w:color w:val="000000"/>
                <w:lang w:eastAsia="en-AU"/>
              </w:rPr>
            </w:pPr>
            <w:r>
              <w:rPr>
                <w:rFonts w:ascii="Calibri" w:eastAsia="Times New Roman" w:hAnsi="Calibri" w:cs="Calibri"/>
                <w:b w:val="0"/>
                <w:color w:val="000000"/>
                <w:lang w:eastAsia="en-AU"/>
              </w:rPr>
              <w:t>Walgett weir pool</w:t>
            </w:r>
          </w:p>
        </w:tc>
        <w:tc>
          <w:tcPr>
            <w:tcW w:w="656" w:type="pct"/>
            <w:tcBorders>
              <w:right w:val="single" w:sz="4" w:space="0" w:color="auto"/>
            </w:tcBorders>
            <w:vAlign w:val="center"/>
          </w:tcPr>
          <w:p w14:paraId="5416879B" w14:textId="77777777" w:rsidR="00BE1EFF" w:rsidRPr="00C02A68"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C02A68">
              <w:rPr>
                <w:rFonts w:ascii="Calibri" w:eastAsia="Times New Roman" w:hAnsi="Calibri" w:cs="Calibri"/>
                <w:color w:val="000000"/>
                <w:lang w:eastAsia="en-AU"/>
              </w:rPr>
              <w:t>Walgett 1</w:t>
            </w:r>
          </w:p>
        </w:tc>
        <w:tc>
          <w:tcPr>
            <w:tcW w:w="529" w:type="pct"/>
            <w:tcBorders>
              <w:left w:val="single" w:sz="4" w:space="0" w:color="auto"/>
              <w:right w:val="single" w:sz="4" w:space="0" w:color="auto"/>
            </w:tcBorders>
          </w:tcPr>
          <w:p w14:paraId="5D92359E" w14:textId="7BECF0EF" w:rsidR="00BE1EFF" w:rsidRPr="00433856" w:rsidRDefault="007B1A54"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3m</w:t>
            </w:r>
          </w:p>
        </w:tc>
        <w:tc>
          <w:tcPr>
            <w:tcW w:w="813" w:type="pct"/>
            <w:tcBorders>
              <w:left w:val="single" w:sz="4" w:space="0" w:color="auto"/>
              <w:right w:val="single" w:sz="4" w:space="0" w:color="auto"/>
            </w:tcBorders>
            <w:vAlign w:val="center"/>
          </w:tcPr>
          <w:p w14:paraId="21CA677A" w14:textId="282A05E9" w:rsidR="00BE1EFF" w:rsidRPr="00433856"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433856">
              <w:rPr>
                <w:rFonts w:ascii="Calibri" w:eastAsia="Times New Roman" w:hAnsi="Calibri" w:cs="Calibri"/>
                <w:color w:val="000000"/>
                <w:lang w:eastAsia="en-AU"/>
              </w:rPr>
              <w:t>29°59'57.00"S</w:t>
            </w:r>
          </w:p>
        </w:tc>
        <w:tc>
          <w:tcPr>
            <w:tcW w:w="896" w:type="pct"/>
            <w:tcBorders>
              <w:left w:val="single" w:sz="4" w:space="0" w:color="auto"/>
              <w:right w:val="single" w:sz="4" w:space="0" w:color="auto"/>
            </w:tcBorders>
            <w:noWrap/>
            <w:vAlign w:val="center"/>
            <w:hideMark/>
          </w:tcPr>
          <w:p w14:paraId="34EDAA8B" w14:textId="2CC1CC61" w:rsidR="00BE1EFF" w:rsidRPr="00433856"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433856">
              <w:rPr>
                <w:rFonts w:ascii="Calibri" w:eastAsia="Times New Roman" w:hAnsi="Calibri" w:cs="Calibri"/>
                <w:color w:val="000000"/>
                <w:lang w:eastAsia="en-AU"/>
              </w:rPr>
              <w:t>148° 5'56.52"E</w:t>
            </w:r>
          </w:p>
        </w:tc>
        <w:tc>
          <w:tcPr>
            <w:tcW w:w="349" w:type="pct"/>
            <w:tcBorders>
              <w:left w:val="single" w:sz="4" w:space="0" w:color="auto"/>
            </w:tcBorders>
          </w:tcPr>
          <w:p w14:paraId="1CB4683F" w14:textId="77777777"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75" w:type="pct"/>
            <w:tcBorders>
              <w:left w:val="single" w:sz="4" w:space="0" w:color="auto"/>
            </w:tcBorders>
          </w:tcPr>
          <w:p w14:paraId="500FF2E1" w14:textId="77777777"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w:t>
            </w:r>
          </w:p>
        </w:tc>
        <w:tc>
          <w:tcPr>
            <w:tcW w:w="301" w:type="pct"/>
            <w:tcBorders>
              <w:left w:val="single" w:sz="4" w:space="0" w:color="auto"/>
            </w:tcBorders>
          </w:tcPr>
          <w:p w14:paraId="0EE59235" w14:textId="77777777"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77" w:type="pct"/>
            <w:gridSpan w:val="2"/>
            <w:tcBorders>
              <w:left w:val="single" w:sz="4" w:space="0" w:color="auto"/>
            </w:tcBorders>
          </w:tcPr>
          <w:p w14:paraId="1826C762" w14:textId="784FF2EE"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r>
      <w:tr w:rsidR="00BE1EFF" w:rsidRPr="00433856" w14:paraId="3E40E401" w14:textId="77777777" w:rsidTr="00BE1EFF">
        <w:trPr>
          <w:trHeight w:val="304"/>
          <w:jc w:val="center"/>
        </w:trPr>
        <w:tc>
          <w:tcPr>
            <w:cnfStyle w:val="001000000000" w:firstRow="0" w:lastRow="0" w:firstColumn="1" w:lastColumn="0" w:oddVBand="0" w:evenVBand="0" w:oddHBand="0" w:evenHBand="0" w:firstRowFirstColumn="0" w:firstRowLastColumn="0" w:lastRowFirstColumn="0" w:lastRowLastColumn="0"/>
            <w:tcW w:w="702" w:type="pct"/>
            <w:gridSpan w:val="2"/>
            <w:vMerge/>
            <w:tcBorders>
              <w:bottom w:val="single" w:sz="4" w:space="0" w:color="96888C" w:themeColor="text1" w:themeTint="80"/>
              <w:right w:val="single" w:sz="4" w:space="0" w:color="auto"/>
            </w:tcBorders>
            <w:noWrap/>
            <w:vAlign w:val="center"/>
          </w:tcPr>
          <w:p w14:paraId="1836E2BB" w14:textId="77777777" w:rsidR="00BE1EFF" w:rsidRPr="00433856" w:rsidRDefault="00BE1EFF" w:rsidP="00BE1EFF">
            <w:pPr>
              <w:spacing w:before="60" w:after="60"/>
              <w:jc w:val="center"/>
              <w:rPr>
                <w:rFonts w:ascii="Calibri" w:eastAsia="Times New Roman" w:hAnsi="Calibri" w:cs="Calibri"/>
                <w:b w:val="0"/>
                <w:color w:val="000000"/>
                <w:lang w:eastAsia="en-AU"/>
              </w:rPr>
            </w:pPr>
          </w:p>
        </w:tc>
        <w:tc>
          <w:tcPr>
            <w:tcW w:w="656" w:type="pct"/>
            <w:tcBorders>
              <w:right w:val="single" w:sz="4" w:space="0" w:color="auto"/>
            </w:tcBorders>
            <w:vAlign w:val="center"/>
          </w:tcPr>
          <w:p w14:paraId="0CA4CFF7" w14:textId="77777777" w:rsidR="00BE1EFF" w:rsidRPr="00C02A68"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C02A68">
              <w:rPr>
                <w:rFonts w:ascii="Calibri" w:eastAsia="Times New Roman" w:hAnsi="Calibri" w:cs="Calibri"/>
                <w:color w:val="000000"/>
                <w:lang w:eastAsia="en-AU"/>
              </w:rPr>
              <w:t>Walgett 2*</w:t>
            </w:r>
          </w:p>
        </w:tc>
        <w:tc>
          <w:tcPr>
            <w:tcW w:w="529" w:type="pct"/>
            <w:tcBorders>
              <w:left w:val="single" w:sz="4" w:space="0" w:color="auto"/>
              <w:right w:val="single" w:sz="4" w:space="0" w:color="auto"/>
            </w:tcBorders>
          </w:tcPr>
          <w:p w14:paraId="59DE2079" w14:textId="711BC1BB" w:rsidR="00BE1EFF" w:rsidRPr="00433856" w:rsidRDefault="007B1A54"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3m</w:t>
            </w:r>
          </w:p>
        </w:tc>
        <w:tc>
          <w:tcPr>
            <w:tcW w:w="813" w:type="pct"/>
            <w:tcBorders>
              <w:left w:val="single" w:sz="4" w:space="0" w:color="auto"/>
              <w:right w:val="single" w:sz="4" w:space="0" w:color="auto"/>
            </w:tcBorders>
            <w:vAlign w:val="center"/>
          </w:tcPr>
          <w:p w14:paraId="60EBCC04" w14:textId="6F318B4A" w:rsidR="00BE1EFF" w:rsidRPr="00433856"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433856">
              <w:rPr>
                <w:rFonts w:ascii="Calibri" w:eastAsia="Times New Roman" w:hAnsi="Calibri" w:cs="Calibri"/>
                <w:color w:val="000000"/>
                <w:lang w:eastAsia="en-AU"/>
              </w:rPr>
              <w:t>29°59'58.33"S</w:t>
            </w:r>
          </w:p>
        </w:tc>
        <w:tc>
          <w:tcPr>
            <w:tcW w:w="896" w:type="pct"/>
            <w:tcBorders>
              <w:top w:val="single" w:sz="4" w:space="0" w:color="96888C" w:themeColor="text1" w:themeTint="80"/>
              <w:left w:val="single" w:sz="4" w:space="0" w:color="auto"/>
              <w:bottom w:val="single" w:sz="4" w:space="0" w:color="96888C" w:themeColor="text1" w:themeTint="80"/>
              <w:right w:val="single" w:sz="4" w:space="0" w:color="auto"/>
            </w:tcBorders>
            <w:noWrap/>
            <w:vAlign w:val="center"/>
            <w:hideMark/>
          </w:tcPr>
          <w:p w14:paraId="6B030858" w14:textId="6CF07CAC" w:rsidR="00BE1EFF" w:rsidRPr="00433856"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433856">
              <w:rPr>
                <w:rFonts w:ascii="Calibri" w:eastAsia="Times New Roman" w:hAnsi="Calibri" w:cs="Calibri"/>
                <w:color w:val="000000"/>
                <w:lang w:eastAsia="en-AU"/>
              </w:rPr>
              <w:t>148° 6'12.41"E</w:t>
            </w:r>
          </w:p>
        </w:tc>
        <w:tc>
          <w:tcPr>
            <w:tcW w:w="349" w:type="pct"/>
            <w:tcBorders>
              <w:left w:val="single" w:sz="4" w:space="0" w:color="auto"/>
            </w:tcBorders>
          </w:tcPr>
          <w:p w14:paraId="6E63FB52" w14:textId="77777777" w:rsidR="00BE1EFF" w:rsidRPr="00BF372C"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75" w:type="pct"/>
            <w:tcBorders>
              <w:left w:val="single" w:sz="4" w:space="0" w:color="auto"/>
            </w:tcBorders>
          </w:tcPr>
          <w:p w14:paraId="0CAD739A" w14:textId="77777777" w:rsidR="00BE1EFF" w:rsidRPr="00BF372C"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w:t>
            </w:r>
          </w:p>
        </w:tc>
        <w:tc>
          <w:tcPr>
            <w:tcW w:w="301" w:type="pct"/>
            <w:tcBorders>
              <w:left w:val="single" w:sz="4" w:space="0" w:color="auto"/>
            </w:tcBorders>
          </w:tcPr>
          <w:p w14:paraId="75388354" w14:textId="77777777" w:rsidR="00BE1EFF" w:rsidRPr="00BF372C"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77" w:type="pct"/>
            <w:gridSpan w:val="2"/>
            <w:tcBorders>
              <w:left w:val="single" w:sz="4" w:space="0" w:color="auto"/>
            </w:tcBorders>
          </w:tcPr>
          <w:p w14:paraId="14132A0D" w14:textId="2E279869" w:rsidR="00BE1EFF" w:rsidRPr="00BF372C"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r>
      <w:tr w:rsidR="00BE1EFF" w:rsidRPr="00433856" w14:paraId="23A0B86F" w14:textId="77777777" w:rsidTr="00BE1EFF">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702" w:type="pct"/>
            <w:gridSpan w:val="2"/>
            <w:vMerge w:val="restart"/>
            <w:tcBorders>
              <w:right w:val="single" w:sz="4" w:space="0" w:color="auto"/>
            </w:tcBorders>
            <w:noWrap/>
            <w:vAlign w:val="center"/>
          </w:tcPr>
          <w:p w14:paraId="214E8623" w14:textId="30F48C33" w:rsidR="00BE1EFF" w:rsidRPr="00433856" w:rsidRDefault="00BE1EFF" w:rsidP="00BE1EFF">
            <w:pPr>
              <w:spacing w:before="60" w:after="60"/>
              <w:jc w:val="center"/>
              <w:rPr>
                <w:rFonts w:ascii="Calibri" w:eastAsia="Times New Roman" w:hAnsi="Calibri" w:cs="Calibri"/>
                <w:b w:val="0"/>
                <w:color w:val="000000"/>
                <w:lang w:eastAsia="en-AU"/>
              </w:rPr>
            </w:pPr>
            <w:r>
              <w:rPr>
                <w:rFonts w:ascii="Calibri" w:eastAsia="Times New Roman" w:hAnsi="Calibri" w:cs="Calibri"/>
                <w:b w:val="0"/>
                <w:color w:val="000000"/>
                <w:lang w:eastAsia="en-AU"/>
              </w:rPr>
              <w:t>Brewarrina weir pool</w:t>
            </w:r>
          </w:p>
        </w:tc>
        <w:tc>
          <w:tcPr>
            <w:tcW w:w="656" w:type="pct"/>
            <w:tcBorders>
              <w:right w:val="single" w:sz="4" w:space="0" w:color="auto"/>
            </w:tcBorders>
            <w:vAlign w:val="center"/>
          </w:tcPr>
          <w:p w14:paraId="5C7CB0C0" w14:textId="77777777" w:rsidR="00BE1EFF" w:rsidRPr="00C02A68"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C02A68">
              <w:rPr>
                <w:rFonts w:ascii="Calibri" w:eastAsia="Times New Roman" w:hAnsi="Calibri" w:cs="Calibri"/>
                <w:color w:val="000000"/>
                <w:lang w:eastAsia="en-AU"/>
              </w:rPr>
              <w:t>Bre 1*</w:t>
            </w:r>
          </w:p>
        </w:tc>
        <w:tc>
          <w:tcPr>
            <w:tcW w:w="529" w:type="pct"/>
            <w:tcBorders>
              <w:left w:val="single" w:sz="4" w:space="0" w:color="auto"/>
              <w:right w:val="single" w:sz="4" w:space="0" w:color="auto"/>
            </w:tcBorders>
          </w:tcPr>
          <w:p w14:paraId="7F2DEAD1" w14:textId="6B9A3066" w:rsidR="00BE1EFF" w:rsidRPr="00433856" w:rsidRDefault="007B1A54"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5.7m</w:t>
            </w:r>
          </w:p>
        </w:tc>
        <w:tc>
          <w:tcPr>
            <w:tcW w:w="813" w:type="pct"/>
            <w:tcBorders>
              <w:left w:val="single" w:sz="4" w:space="0" w:color="auto"/>
              <w:right w:val="single" w:sz="4" w:space="0" w:color="auto"/>
            </w:tcBorders>
            <w:vAlign w:val="center"/>
          </w:tcPr>
          <w:p w14:paraId="5463D888" w14:textId="5AB9994E" w:rsidR="00BE1EFF" w:rsidRPr="00433856"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433856">
              <w:rPr>
                <w:rFonts w:ascii="Calibri" w:eastAsia="Times New Roman" w:hAnsi="Calibri" w:cs="Calibri"/>
                <w:color w:val="000000"/>
                <w:lang w:eastAsia="en-AU"/>
              </w:rPr>
              <w:t>29°58'12.66"S</w:t>
            </w:r>
          </w:p>
        </w:tc>
        <w:tc>
          <w:tcPr>
            <w:tcW w:w="896" w:type="pct"/>
            <w:tcBorders>
              <w:left w:val="single" w:sz="4" w:space="0" w:color="auto"/>
              <w:right w:val="single" w:sz="4" w:space="0" w:color="auto"/>
            </w:tcBorders>
            <w:noWrap/>
            <w:vAlign w:val="center"/>
            <w:hideMark/>
          </w:tcPr>
          <w:p w14:paraId="224AEA2F" w14:textId="50FEA745" w:rsidR="00BE1EFF" w:rsidRPr="00433856"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433856">
              <w:rPr>
                <w:rFonts w:ascii="Calibri" w:eastAsia="Times New Roman" w:hAnsi="Calibri" w:cs="Calibri"/>
                <w:color w:val="000000"/>
                <w:lang w:eastAsia="en-AU"/>
              </w:rPr>
              <w:t>146°52'47.96"E</w:t>
            </w:r>
          </w:p>
        </w:tc>
        <w:tc>
          <w:tcPr>
            <w:tcW w:w="349" w:type="pct"/>
            <w:tcBorders>
              <w:left w:val="single" w:sz="4" w:space="0" w:color="auto"/>
            </w:tcBorders>
          </w:tcPr>
          <w:p w14:paraId="2F06E15F" w14:textId="77777777"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75" w:type="pct"/>
            <w:tcBorders>
              <w:left w:val="single" w:sz="4" w:space="0" w:color="auto"/>
            </w:tcBorders>
          </w:tcPr>
          <w:p w14:paraId="3600BA40" w14:textId="77777777"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w:t>
            </w:r>
          </w:p>
        </w:tc>
        <w:tc>
          <w:tcPr>
            <w:tcW w:w="301" w:type="pct"/>
            <w:tcBorders>
              <w:left w:val="single" w:sz="4" w:space="0" w:color="auto"/>
            </w:tcBorders>
          </w:tcPr>
          <w:p w14:paraId="54F600B1" w14:textId="77777777"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77" w:type="pct"/>
            <w:gridSpan w:val="2"/>
            <w:tcBorders>
              <w:left w:val="single" w:sz="4" w:space="0" w:color="auto"/>
            </w:tcBorders>
          </w:tcPr>
          <w:p w14:paraId="7C855F2A" w14:textId="400EC90A"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r>
      <w:tr w:rsidR="00BE1EFF" w:rsidRPr="00433856" w14:paraId="6E573557" w14:textId="77777777" w:rsidTr="00BE1EFF">
        <w:trPr>
          <w:trHeight w:val="304"/>
          <w:jc w:val="center"/>
        </w:trPr>
        <w:tc>
          <w:tcPr>
            <w:cnfStyle w:val="001000000000" w:firstRow="0" w:lastRow="0" w:firstColumn="1" w:lastColumn="0" w:oddVBand="0" w:evenVBand="0" w:oddHBand="0" w:evenHBand="0" w:firstRowFirstColumn="0" w:firstRowLastColumn="0" w:lastRowFirstColumn="0" w:lastRowLastColumn="0"/>
            <w:tcW w:w="702" w:type="pct"/>
            <w:gridSpan w:val="2"/>
            <w:vMerge/>
            <w:tcBorders>
              <w:bottom w:val="single" w:sz="4" w:space="0" w:color="96888C" w:themeColor="text1" w:themeTint="80"/>
              <w:right w:val="single" w:sz="4" w:space="0" w:color="auto"/>
            </w:tcBorders>
            <w:noWrap/>
            <w:vAlign w:val="center"/>
          </w:tcPr>
          <w:p w14:paraId="67D03CA2" w14:textId="77777777" w:rsidR="00BE1EFF" w:rsidRPr="00433856" w:rsidRDefault="00BE1EFF" w:rsidP="00BE1EFF">
            <w:pPr>
              <w:spacing w:before="60" w:after="60"/>
              <w:jc w:val="center"/>
              <w:rPr>
                <w:rFonts w:ascii="Calibri" w:eastAsia="Times New Roman" w:hAnsi="Calibri" w:cs="Calibri"/>
                <w:b w:val="0"/>
                <w:color w:val="000000"/>
                <w:lang w:eastAsia="en-AU"/>
              </w:rPr>
            </w:pPr>
          </w:p>
        </w:tc>
        <w:tc>
          <w:tcPr>
            <w:tcW w:w="656" w:type="pct"/>
            <w:tcBorders>
              <w:right w:val="single" w:sz="4" w:space="0" w:color="auto"/>
            </w:tcBorders>
            <w:vAlign w:val="center"/>
          </w:tcPr>
          <w:p w14:paraId="3AB3098A" w14:textId="77777777" w:rsidR="00BE1EFF" w:rsidRPr="00C02A68"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C02A68">
              <w:rPr>
                <w:rFonts w:ascii="Calibri" w:eastAsia="Times New Roman" w:hAnsi="Calibri" w:cs="Calibri"/>
                <w:color w:val="000000"/>
                <w:lang w:eastAsia="en-AU"/>
              </w:rPr>
              <w:t>Bre 2</w:t>
            </w:r>
          </w:p>
        </w:tc>
        <w:tc>
          <w:tcPr>
            <w:tcW w:w="529" w:type="pct"/>
            <w:tcBorders>
              <w:left w:val="single" w:sz="4" w:space="0" w:color="auto"/>
              <w:right w:val="single" w:sz="4" w:space="0" w:color="auto"/>
            </w:tcBorders>
          </w:tcPr>
          <w:p w14:paraId="63F87563" w14:textId="59229C30" w:rsidR="00BE1EFF" w:rsidRPr="00433856" w:rsidRDefault="007B1A54"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9.3m</w:t>
            </w:r>
          </w:p>
        </w:tc>
        <w:tc>
          <w:tcPr>
            <w:tcW w:w="813" w:type="pct"/>
            <w:tcBorders>
              <w:left w:val="single" w:sz="4" w:space="0" w:color="auto"/>
              <w:right w:val="single" w:sz="4" w:space="0" w:color="auto"/>
            </w:tcBorders>
            <w:vAlign w:val="center"/>
          </w:tcPr>
          <w:p w14:paraId="094DE0F4" w14:textId="1D3B3641" w:rsidR="00BE1EFF" w:rsidRPr="00433856"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433856">
              <w:rPr>
                <w:rFonts w:ascii="Calibri" w:eastAsia="Times New Roman" w:hAnsi="Calibri" w:cs="Calibri"/>
                <w:color w:val="000000"/>
                <w:lang w:eastAsia="en-AU"/>
              </w:rPr>
              <w:t>29°59'5.20"S</w:t>
            </w:r>
          </w:p>
        </w:tc>
        <w:tc>
          <w:tcPr>
            <w:tcW w:w="896" w:type="pct"/>
            <w:tcBorders>
              <w:top w:val="single" w:sz="4" w:space="0" w:color="96888C" w:themeColor="text1" w:themeTint="80"/>
              <w:left w:val="single" w:sz="4" w:space="0" w:color="auto"/>
              <w:bottom w:val="single" w:sz="4" w:space="0" w:color="96888C" w:themeColor="text1" w:themeTint="80"/>
              <w:right w:val="single" w:sz="4" w:space="0" w:color="auto"/>
            </w:tcBorders>
            <w:noWrap/>
            <w:vAlign w:val="center"/>
            <w:hideMark/>
          </w:tcPr>
          <w:p w14:paraId="6A0350C0" w14:textId="1576CAC7" w:rsidR="00BE1EFF" w:rsidRPr="00433856"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433856">
              <w:rPr>
                <w:rFonts w:ascii="Calibri" w:eastAsia="Times New Roman" w:hAnsi="Calibri" w:cs="Calibri"/>
                <w:color w:val="000000"/>
                <w:lang w:eastAsia="en-AU"/>
              </w:rPr>
              <w:t>146°55'0.33"E</w:t>
            </w:r>
          </w:p>
        </w:tc>
        <w:tc>
          <w:tcPr>
            <w:tcW w:w="349" w:type="pct"/>
            <w:tcBorders>
              <w:left w:val="single" w:sz="4" w:space="0" w:color="auto"/>
            </w:tcBorders>
          </w:tcPr>
          <w:p w14:paraId="1C3DC120" w14:textId="77777777" w:rsidR="00BE1EFF" w:rsidRPr="00BF372C"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75" w:type="pct"/>
            <w:tcBorders>
              <w:left w:val="single" w:sz="4" w:space="0" w:color="auto"/>
            </w:tcBorders>
          </w:tcPr>
          <w:p w14:paraId="0826B2BC" w14:textId="77777777" w:rsidR="00BE1EFF" w:rsidRPr="00BF372C"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w:t>
            </w:r>
          </w:p>
        </w:tc>
        <w:tc>
          <w:tcPr>
            <w:tcW w:w="301" w:type="pct"/>
            <w:tcBorders>
              <w:left w:val="single" w:sz="4" w:space="0" w:color="auto"/>
            </w:tcBorders>
          </w:tcPr>
          <w:p w14:paraId="4FA37C0F" w14:textId="77777777" w:rsidR="00BE1EFF" w:rsidRPr="00BF372C"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77" w:type="pct"/>
            <w:gridSpan w:val="2"/>
            <w:tcBorders>
              <w:left w:val="single" w:sz="4" w:space="0" w:color="auto"/>
            </w:tcBorders>
          </w:tcPr>
          <w:p w14:paraId="4DDB3A45" w14:textId="124356C2" w:rsidR="00BE1EFF" w:rsidRPr="00BF372C"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r>
      <w:tr w:rsidR="00BE1EFF" w:rsidRPr="00433856" w14:paraId="619F9049" w14:textId="67B2322E" w:rsidTr="00BE1EFF">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702" w:type="pct"/>
            <w:gridSpan w:val="2"/>
            <w:vMerge w:val="restart"/>
            <w:tcBorders>
              <w:right w:val="single" w:sz="4" w:space="0" w:color="auto"/>
            </w:tcBorders>
            <w:noWrap/>
            <w:vAlign w:val="center"/>
            <w:hideMark/>
          </w:tcPr>
          <w:p w14:paraId="71BD5010" w14:textId="24D84892" w:rsidR="00BE1EFF" w:rsidRPr="00433856" w:rsidRDefault="00BE1EFF" w:rsidP="00BE1EFF">
            <w:pPr>
              <w:spacing w:before="60" w:after="60"/>
              <w:jc w:val="center"/>
              <w:rPr>
                <w:rFonts w:ascii="Calibri" w:eastAsia="Times New Roman" w:hAnsi="Calibri" w:cs="Calibri"/>
                <w:b w:val="0"/>
                <w:color w:val="000000"/>
                <w:lang w:eastAsia="en-AU"/>
              </w:rPr>
            </w:pPr>
            <w:r w:rsidRPr="00433856">
              <w:rPr>
                <w:rFonts w:ascii="Calibri" w:eastAsia="Times New Roman" w:hAnsi="Calibri" w:cs="Calibri"/>
                <w:b w:val="0"/>
                <w:color w:val="000000"/>
                <w:lang w:eastAsia="en-AU"/>
              </w:rPr>
              <w:t>Bourke</w:t>
            </w:r>
            <w:r>
              <w:rPr>
                <w:rFonts w:ascii="Calibri" w:eastAsia="Times New Roman" w:hAnsi="Calibri" w:cs="Calibri"/>
                <w:b w:val="0"/>
                <w:color w:val="000000"/>
                <w:lang w:eastAsia="en-AU"/>
              </w:rPr>
              <w:t xml:space="preserve"> weir pool</w:t>
            </w:r>
            <w:r w:rsidRPr="00433856">
              <w:rPr>
                <w:rFonts w:ascii="Calibri" w:eastAsia="Times New Roman" w:hAnsi="Calibri" w:cs="Calibri"/>
                <w:b w:val="0"/>
                <w:color w:val="000000"/>
                <w:lang w:eastAsia="en-AU"/>
              </w:rPr>
              <w:t xml:space="preserve"> </w:t>
            </w:r>
          </w:p>
        </w:tc>
        <w:tc>
          <w:tcPr>
            <w:tcW w:w="656" w:type="pct"/>
            <w:tcBorders>
              <w:right w:val="single" w:sz="4" w:space="0" w:color="auto"/>
            </w:tcBorders>
          </w:tcPr>
          <w:p w14:paraId="1EC202AC" w14:textId="393C1864" w:rsidR="00BE1EFF" w:rsidRPr="00C02A68"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C02A68">
              <w:rPr>
                <w:rFonts w:eastAsia="Times New Roman" w:cs="Calibri"/>
                <w:color w:val="000000"/>
                <w:lang w:eastAsia="en-AU"/>
              </w:rPr>
              <w:t>Bourke 1*</w:t>
            </w:r>
          </w:p>
        </w:tc>
        <w:tc>
          <w:tcPr>
            <w:tcW w:w="529" w:type="pct"/>
            <w:tcBorders>
              <w:left w:val="single" w:sz="4" w:space="0" w:color="auto"/>
              <w:right w:val="single" w:sz="4" w:space="0" w:color="auto"/>
            </w:tcBorders>
          </w:tcPr>
          <w:p w14:paraId="4B4996BC" w14:textId="4891F9B0" w:rsidR="00BE1EFF" w:rsidRPr="00433856" w:rsidRDefault="007B1A54"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2.3m</w:t>
            </w:r>
          </w:p>
        </w:tc>
        <w:tc>
          <w:tcPr>
            <w:tcW w:w="813" w:type="pct"/>
            <w:tcBorders>
              <w:left w:val="single" w:sz="4" w:space="0" w:color="auto"/>
              <w:right w:val="single" w:sz="4" w:space="0" w:color="auto"/>
            </w:tcBorders>
            <w:vAlign w:val="center"/>
          </w:tcPr>
          <w:p w14:paraId="3A0F5380" w14:textId="039D2B31" w:rsidR="00BE1EFF" w:rsidRPr="00433856"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433856">
              <w:rPr>
                <w:rFonts w:ascii="Calibri" w:eastAsia="Times New Roman" w:hAnsi="Calibri" w:cs="Calibri"/>
                <w:color w:val="000000"/>
                <w:lang w:eastAsia="en-AU"/>
              </w:rPr>
              <w:t>30° 5'14.44"S</w:t>
            </w:r>
          </w:p>
        </w:tc>
        <w:tc>
          <w:tcPr>
            <w:tcW w:w="896" w:type="pct"/>
            <w:tcBorders>
              <w:left w:val="single" w:sz="4" w:space="0" w:color="auto"/>
              <w:right w:val="single" w:sz="4" w:space="0" w:color="auto"/>
            </w:tcBorders>
            <w:noWrap/>
            <w:vAlign w:val="center"/>
            <w:hideMark/>
          </w:tcPr>
          <w:p w14:paraId="78891FB3" w14:textId="0BBBAE03" w:rsidR="00BE1EFF" w:rsidRPr="00433856"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433856">
              <w:rPr>
                <w:rFonts w:ascii="Calibri" w:eastAsia="Times New Roman" w:hAnsi="Calibri" w:cs="Calibri"/>
                <w:color w:val="000000"/>
                <w:lang w:eastAsia="en-AU"/>
              </w:rPr>
              <w:t>145°53'44.71"E</w:t>
            </w:r>
          </w:p>
        </w:tc>
        <w:tc>
          <w:tcPr>
            <w:tcW w:w="349" w:type="pct"/>
            <w:tcBorders>
              <w:left w:val="single" w:sz="4" w:space="0" w:color="auto"/>
            </w:tcBorders>
          </w:tcPr>
          <w:p w14:paraId="114C5508" w14:textId="355BD9F3"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BF372C">
              <w:rPr>
                <w:rFonts w:eastAsia="Times New Roman" w:cs="Calibri"/>
                <w:color w:val="000000"/>
                <w:lang w:eastAsia="en-AU"/>
              </w:rPr>
              <w:t>X</w:t>
            </w:r>
          </w:p>
        </w:tc>
        <w:tc>
          <w:tcPr>
            <w:tcW w:w="375" w:type="pct"/>
            <w:tcBorders>
              <w:left w:val="single" w:sz="4" w:space="0" w:color="auto"/>
            </w:tcBorders>
          </w:tcPr>
          <w:p w14:paraId="3866D5D8" w14:textId="2F161FC0"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01" w:type="pct"/>
            <w:tcBorders>
              <w:left w:val="single" w:sz="4" w:space="0" w:color="auto"/>
            </w:tcBorders>
          </w:tcPr>
          <w:p w14:paraId="5C269350" w14:textId="2C0DFE59"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77" w:type="pct"/>
            <w:gridSpan w:val="2"/>
            <w:tcBorders>
              <w:left w:val="single" w:sz="4" w:space="0" w:color="auto"/>
            </w:tcBorders>
          </w:tcPr>
          <w:p w14:paraId="4EEE47B7" w14:textId="3C6406F3" w:rsidR="00BE1EFF" w:rsidRPr="00BF372C" w:rsidRDefault="00BE1EFF" w:rsidP="00BE1EFF">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r>
      <w:tr w:rsidR="00BE1EFF" w:rsidRPr="00433856" w14:paraId="010CD90C" w14:textId="2CFA6B6A" w:rsidTr="00BE1EFF">
        <w:trPr>
          <w:trHeight w:val="304"/>
          <w:jc w:val="center"/>
        </w:trPr>
        <w:tc>
          <w:tcPr>
            <w:cnfStyle w:val="001000000000" w:firstRow="0" w:lastRow="0" w:firstColumn="1" w:lastColumn="0" w:oddVBand="0" w:evenVBand="0" w:oddHBand="0" w:evenHBand="0" w:firstRowFirstColumn="0" w:firstRowLastColumn="0" w:lastRowFirstColumn="0" w:lastRowLastColumn="0"/>
            <w:tcW w:w="702" w:type="pct"/>
            <w:gridSpan w:val="2"/>
            <w:vMerge/>
            <w:tcBorders>
              <w:bottom w:val="single" w:sz="4" w:space="0" w:color="96888C" w:themeColor="text1" w:themeTint="80"/>
              <w:right w:val="single" w:sz="4" w:space="0" w:color="auto"/>
            </w:tcBorders>
            <w:noWrap/>
            <w:vAlign w:val="center"/>
          </w:tcPr>
          <w:p w14:paraId="416F31F6" w14:textId="638B1D43" w:rsidR="00BE1EFF" w:rsidRPr="00433856" w:rsidRDefault="00BE1EFF" w:rsidP="00BE1EFF">
            <w:pPr>
              <w:spacing w:before="60" w:after="60"/>
              <w:jc w:val="center"/>
              <w:rPr>
                <w:rFonts w:ascii="Calibri" w:eastAsia="Times New Roman" w:hAnsi="Calibri" w:cs="Calibri"/>
                <w:b w:val="0"/>
                <w:color w:val="000000"/>
                <w:lang w:eastAsia="en-AU"/>
              </w:rPr>
            </w:pPr>
          </w:p>
        </w:tc>
        <w:tc>
          <w:tcPr>
            <w:tcW w:w="656" w:type="pct"/>
            <w:tcBorders>
              <w:right w:val="single" w:sz="4" w:space="0" w:color="auto"/>
            </w:tcBorders>
            <w:vAlign w:val="center"/>
          </w:tcPr>
          <w:p w14:paraId="127881CB" w14:textId="0A4DB220" w:rsidR="00BE1EFF" w:rsidRPr="00C02A68"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C02A68">
              <w:rPr>
                <w:rFonts w:ascii="Calibri" w:eastAsia="Times New Roman" w:hAnsi="Calibri" w:cs="Calibri"/>
                <w:color w:val="000000"/>
                <w:lang w:eastAsia="en-AU"/>
              </w:rPr>
              <w:t>Bourke 2*</w:t>
            </w:r>
          </w:p>
        </w:tc>
        <w:tc>
          <w:tcPr>
            <w:tcW w:w="529" w:type="pct"/>
            <w:tcBorders>
              <w:left w:val="single" w:sz="4" w:space="0" w:color="auto"/>
              <w:right w:val="single" w:sz="4" w:space="0" w:color="auto"/>
            </w:tcBorders>
          </w:tcPr>
          <w:p w14:paraId="6C0E511D" w14:textId="24501902" w:rsidR="00BE1EFF" w:rsidRPr="00433856" w:rsidRDefault="007B1A54"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2.3m</w:t>
            </w:r>
          </w:p>
        </w:tc>
        <w:tc>
          <w:tcPr>
            <w:tcW w:w="813" w:type="pct"/>
            <w:tcBorders>
              <w:left w:val="single" w:sz="4" w:space="0" w:color="auto"/>
              <w:right w:val="single" w:sz="4" w:space="0" w:color="auto"/>
            </w:tcBorders>
            <w:vAlign w:val="center"/>
          </w:tcPr>
          <w:p w14:paraId="09223AF4" w14:textId="3F8EA688" w:rsidR="00BE1EFF" w:rsidRPr="00433856"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433856">
              <w:rPr>
                <w:rFonts w:ascii="Calibri" w:eastAsia="Times New Roman" w:hAnsi="Calibri" w:cs="Calibri"/>
                <w:color w:val="000000"/>
                <w:lang w:eastAsia="en-AU"/>
              </w:rPr>
              <w:t>30° 2'22.70"</w:t>
            </w:r>
          </w:p>
        </w:tc>
        <w:tc>
          <w:tcPr>
            <w:tcW w:w="896" w:type="pct"/>
            <w:tcBorders>
              <w:top w:val="single" w:sz="4" w:space="0" w:color="96888C" w:themeColor="text1" w:themeTint="80"/>
              <w:left w:val="single" w:sz="4" w:space="0" w:color="auto"/>
              <w:bottom w:val="single" w:sz="4" w:space="0" w:color="96888C" w:themeColor="text1" w:themeTint="80"/>
              <w:right w:val="single" w:sz="4" w:space="0" w:color="auto"/>
            </w:tcBorders>
            <w:noWrap/>
            <w:vAlign w:val="center"/>
            <w:hideMark/>
          </w:tcPr>
          <w:p w14:paraId="63CE76AA" w14:textId="790327FE" w:rsidR="00BE1EFF" w:rsidRPr="00433856"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433856">
              <w:rPr>
                <w:rFonts w:ascii="Calibri" w:eastAsia="Times New Roman" w:hAnsi="Calibri" w:cs="Calibri"/>
                <w:color w:val="000000"/>
                <w:lang w:eastAsia="en-AU"/>
              </w:rPr>
              <w:t>146° 1'24.36"E</w:t>
            </w:r>
          </w:p>
        </w:tc>
        <w:tc>
          <w:tcPr>
            <w:tcW w:w="349" w:type="pct"/>
            <w:tcBorders>
              <w:left w:val="single" w:sz="4" w:space="0" w:color="auto"/>
            </w:tcBorders>
          </w:tcPr>
          <w:p w14:paraId="52F7E1EC" w14:textId="529ED676" w:rsidR="00BE1EFF" w:rsidRPr="00BF372C"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75" w:type="pct"/>
            <w:tcBorders>
              <w:left w:val="single" w:sz="4" w:space="0" w:color="auto"/>
            </w:tcBorders>
          </w:tcPr>
          <w:p w14:paraId="0AA2F3AE" w14:textId="1D169328" w:rsidR="00BE1EFF" w:rsidRPr="00BF372C"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w:t>
            </w:r>
          </w:p>
        </w:tc>
        <w:tc>
          <w:tcPr>
            <w:tcW w:w="301" w:type="pct"/>
            <w:tcBorders>
              <w:left w:val="single" w:sz="4" w:space="0" w:color="auto"/>
            </w:tcBorders>
          </w:tcPr>
          <w:p w14:paraId="286AFEA1" w14:textId="064D1D4E" w:rsidR="00BE1EFF" w:rsidRPr="00BF372C" w:rsidRDefault="00BE1EFF" w:rsidP="00BE1EFF">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c>
          <w:tcPr>
            <w:tcW w:w="377" w:type="pct"/>
            <w:gridSpan w:val="2"/>
            <w:tcBorders>
              <w:top w:val="single" w:sz="4" w:space="0" w:color="96888C" w:themeColor="text1" w:themeTint="80"/>
              <w:left w:val="single" w:sz="4" w:space="0" w:color="auto"/>
              <w:bottom w:val="single" w:sz="4" w:space="0" w:color="auto"/>
            </w:tcBorders>
          </w:tcPr>
          <w:p w14:paraId="2BB7249B" w14:textId="646B7423" w:rsidR="00BE1EFF" w:rsidRPr="00BF372C" w:rsidRDefault="00BE1EFF" w:rsidP="00BE1EFF">
            <w:pPr>
              <w:spacing w:before="60" w:after="60"/>
              <w:ind w:left="-265" w:firstLine="265"/>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X</w:t>
            </w:r>
          </w:p>
        </w:tc>
      </w:tr>
      <w:tr w:rsidR="00BE1EFF" w:rsidRPr="00433856" w14:paraId="7C4F58AC" w14:textId="013C69E7" w:rsidTr="00BE1EFF">
        <w:trPr>
          <w:gridAfter w:val="1"/>
          <w:cnfStyle w:val="000000100000" w:firstRow="0" w:lastRow="0" w:firstColumn="0" w:lastColumn="0" w:oddVBand="0" w:evenVBand="0" w:oddHBand="1" w:evenHBand="0" w:firstRowFirstColumn="0" w:firstRowLastColumn="0" w:lastRowFirstColumn="0" w:lastRowLastColumn="0"/>
          <w:wAfter w:w="164" w:type="pct"/>
          <w:trHeight w:val="304"/>
          <w:jc w:val="center"/>
        </w:trPr>
        <w:tc>
          <w:tcPr>
            <w:cnfStyle w:val="001000000000" w:firstRow="0" w:lastRow="0" w:firstColumn="1" w:lastColumn="0" w:oddVBand="0" w:evenVBand="0" w:oddHBand="0" w:evenHBand="0" w:firstRowFirstColumn="0" w:firstRowLastColumn="0" w:lastRowFirstColumn="0" w:lastRowLastColumn="0"/>
            <w:tcW w:w="127" w:type="pct"/>
            <w:tcBorders>
              <w:top w:val="single" w:sz="4" w:space="0" w:color="auto"/>
              <w:bottom w:val="nil"/>
            </w:tcBorders>
          </w:tcPr>
          <w:p w14:paraId="001403B6" w14:textId="77777777" w:rsidR="00BE1EFF" w:rsidRDefault="00BE1EFF" w:rsidP="00BE1EFF">
            <w:pPr>
              <w:spacing w:before="60" w:after="60"/>
              <w:rPr>
                <w:rFonts w:eastAsia="Times New Roman" w:cs="Calibri"/>
                <w:b w:val="0"/>
                <w:color w:val="000000"/>
                <w:sz w:val="20"/>
                <w:szCs w:val="20"/>
                <w:lang w:eastAsia="en-AU"/>
              </w:rPr>
            </w:pPr>
          </w:p>
        </w:tc>
        <w:tc>
          <w:tcPr>
            <w:tcW w:w="4709" w:type="pct"/>
            <w:gridSpan w:val="9"/>
            <w:tcBorders>
              <w:top w:val="single" w:sz="4" w:space="0" w:color="auto"/>
              <w:bottom w:val="nil"/>
            </w:tcBorders>
          </w:tcPr>
          <w:p w14:paraId="7C5D78A9" w14:textId="77777777" w:rsidR="00BE1EFF" w:rsidRPr="00BE1EFF" w:rsidRDefault="00BE1EFF" w:rsidP="00BE1EFF">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0"/>
                <w:szCs w:val="20"/>
                <w:lang w:eastAsia="en-AU"/>
              </w:rPr>
            </w:pPr>
            <w:r>
              <w:rPr>
                <w:rFonts w:eastAsia="Times New Roman" w:cs="Calibri"/>
                <w:b/>
                <w:color w:val="000000"/>
                <w:sz w:val="20"/>
                <w:szCs w:val="20"/>
                <w:lang w:eastAsia="en-AU"/>
              </w:rPr>
              <w:t xml:space="preserve">* </w:t>
            </w:r>
            <w:r w:rsidRPr="00BE1EFF">
              <w:rPr>
                <w:rFonts w:eastAsia="Times New Roman" w:cs="Calibri"/>
                <w:color w:val="000000"/>
                <w:sz w:val="20"/>
                <w:szCs w:val="20"/>
                <w:lang w:eastAsia="en-AU"/>
              </w:rPr>
              <w:t>Denotes site with logger installed. X denotes that data was collected during period</w:t>
            </w:r>
          </w:p>
          <w:p w14:paraId="68C78390" w14:textId="3D566560" w:rsidR="00024EAB" w:rsidRDefault="00BE1EFF" w:rsidP="00A6309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0"/>
                <w:szCs w:val="20"/>
                <w:lang w:eastAsia="en-AU"/>
              </w:rPr>
            </w:pPr>
            <w:r>
              <w:rPr>
                <w:rFonts w:eastAsia="Times New Roman" w:cs="Calibri"/>
                <w:b/>
                <w:color w:val="000000"/>
                <w:sz w:val="20"/>
                <w:szCs w:val="20"/>
                <w:lang w:eastAsia="en-AU"/>
              </w:rPr>
              <w:t xml:space="preserve">^ </w:t>
            </w:r>
            <w:r w:rsidRPr="00BE1EFF">
              <w:rPr>
                <w:rFonts w:eastAsia="Times New Roman" w:cs="Calibri"/>
                <w:color w:val="000000"/>
                <w:sz w:val="20"/>
                <w:szCs w:val="20"/>
                <w:lang w:eastAsia="en-AU"/>
              </w:rPr>
              <w:t>Depth at site measured in March</w:t>
            </w:r>
            <w:r w:rsidR="007B1A54">
              <w:rPr>
                <w:rFonts w:eastAsia="Times New Roman" w:cs="Calibri"/>
                <w:color w:val="000000"/>
                <w:sz w:val="20"/>
                <w:szCs w:val="20"/>
                <w:lang w:eastAsia="en-AU"/>
              </w:rPr>
              <w:t xml:space="preserve"> 2019</w:t>
            </w:r>
          </w:p>
        </w:tc>
      </w:tr>
    </w:tbl>
    <w:p w14:paraId="388126A1" w14:textId="2B5393B9" w:rsidR="00A6309A" w:rsidRDefault="00581279" w:rsidP="00A6309A">
      <w:pPr>
        <w:pStyle w:val="Caption"/>
      </w:pPr>
      <w:bookmarkStart w:id="11" w:name="_Ref4666933"/>
      <w:r>
        <w:rPr>
          <w:noProof/>
          <w:lang w:eastAsia="en-AU"/>
        </w:rPr>
        <w:lastRenderedPageBreak/>
        <w:drawing>
          <wp:inline distT="0" distB="0" distL="0" distR="0" wp14:anchorId="4056EAB0" wp14:editId="3A73D216">
            <wp:extent cx="5856444" cy="4059936"/>
            <wp:effectExtent l="19050" t="19050" r="11430" b="1714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location map.pn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911590" cy="4098166"/>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0948FB9" w14:textId="39AA8508" w:rsidR="008B54D9" w:rsidRDefault="008B54D9" w:rsidP="00A6309A">
      <w:pPr>
        <w:pStyle w:val="Caption"/>
      </w:pPr>
      <w:bookmarkStart w:id="12" w:name="_Ref37945168"/>
      <w:bookmarkStart w:id="13" w:name="_Toc38889753"/>
      <w:r>
        <w:t xml:space="preserve">Figure </w:t>
      </w:r>
      <w:r w:rsidR="00BF372C">
        <w:rPr>
          <w:noProof/>
        </w:rPr>
        <w:fldChar w:fldCharType="begin"/>
      </w:r>
      <w:r w:rsidR="00BF372C">
        <w:rPr>
          <w:noProof/>
        </w:rPr>
        <w:instrText xml:space="preserve"> SEQ Figure \* ARABIC </w:instrText>
      </w:r>
      <w:r w:rsidR="00BF372C">
        <w:rPr>
          <w:noProof/>
        </w:rPr>
        <w:fldChar w:fldCharType="separate"/>
      </w:r>
      <w:r w:rsidR="006567A5">
        <w:rPr>
          <w:noProof/>
        </w:rPr>
        <w:t>2</w:t>
      </w:r>
      <w:r w:rsidR="00BF372C">
        <w:rPr>
          <w:noProof/>
        </w:rPr>
        <w:fldChar w:fldCharType="end"/>
      </w:r>
      <w:bookmarkEnd w:id="11"/>
      <w:bookmarkEnd w:id="12"/>
      <w:r>
        <w:t xml:space="preserve">:  </w:t>
      </w:r>
      <w:r w:rsidRPr="00EF511B">
        <w:t>Map of sampling locations</w:t>
      </w:r>
      <w:bookmarkEnd w:id="13"/>
    </w:p>
    <w:p w14:paraId="710F6B99" w14:textId="77777777" w:rsidR="00E544B1" w:rsidRPr="00E544B1" w:rsidRDefault="00E544B1" w:rsidP="00E544B1"/>
    <w:p w14:paraId="2E5A7065" w14:textId="77777777" w:rsidR="008B54D9" w:rsidRDefault="008B54D9" w:rsidP="00915CA3">
      <w:pPr>
        <w:keepNext/>
        <w:numPr>
          <w:ilvl w:val="0"/>
          <w:numId w:val="0"/>
        </w:numPr>
        <w:jc w:val="center"/>
      </w:pPr>
      <w:r>
        <w:rPr>
          <w:noProof/>
          <w:lang w:eastAsia="en-AU"/>
        </w:rPr>
        <w:lastRenderedPageBreak/>
        <w:drawing>
          <wp:inline distT="0" distB="0" distL="0" distR="0" wp14:anchorId="4B2F9CF5" wp14:editId="1615D1C3">
            <wp:extent cx="5250095" cy="349556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332754" cy="3550599"/>
                    </a:xfrm>
                    <a:prstGeom prst="rect">
                      <a:avLst/>
                    </a:prstGeom>
                    <a:noFill/>
                    <a:ln>
                      <a:noFill/>
                    </a:ln>
                  </pic:spPr>
                </pic:pic>
              </a:graphicData>
            </a:graphic>
          </wp:inline>
        </w:drawing>
      </w:r>
    </w:p>
    <w:p w14:paraId="5E969168" w14:textId="6C18E492" w:rsidR="008B54D9" w:rsidRDefault="008B54D9" w:rsidP="008B54D9">
      <w:pPr>
        <w:pStyle w:val="Caption"/>
      </w:pPr>
      <w:bookmarkStart w:id="14" w:name="_Ref4493752"/>
      <w:bookmarkStart w:id="15" w:name="_Toc38889754"/>
      <w:r>
        <w:t xml:space="preserve">Figure </w:t>
      </w:r>
      <w:r w:rsidR="00BF372C">
        <w:rPr>
          <w:noProof/>
        </w:rPr>
        <w:fldChar w:fldCharType="begin"/>
      </w:r>
      <w:r w:rsidR="00BF372C">
        <w:rPr>
          <w:noProof/>
        </w:rPr>
        <w:instrText xml:space="preserve"> SEQ Figure \* ARABIC </w:instrText>
      </w:r>
      <w:r w:rsidR="00BF372C">
        <w:rPr>
          <w:noProof/>
        </w:rPr>
        <w:fldChar w:fldCharType="separate"/>
      </w:r>
      <w:r w:rsidR="006567A5">
        <w:rPr>
          <w:noProof/>
        </w:rPr>
        <w:t>3</w:t>
      </w:r>
      <w:r w:rsidR="00BF372C">
        <w:rPr>
          <w:noProof/>
        </w:rPr>
        <w:fldChar w:fldCharType="end"/>
      </w:r>
      <w:bookmarkEnd w:id="14"/>
      <w:r w:rsidR="00A6309A">
        <w:t>: Installing t</w:t>
      </w:r>
      <w:r>
        <w:t>emperature and dissolved oxygen loggers in the Bourke weir pool</w:t>
      </w:r>
      <w:bookmarkEnd w:id="15"/>
    </w:p>
    <w:p w14:paraId="48AC58CE" w14:textId="65F2F738" w:rsidR="008971B8" w:rsidRDefault="003E421B" w:rsidP="008971B8">
      <w:pPr>
        <w:keepNext/>
        <w:jc w:val="center"/>
      </w:pPr>
      <w:r>
        <w:pict w14:anchorId="16551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366pt">
            <v:imagedata r:id="rId19" o:title="Bourke2_loggers"/>
          </v:shape>
        </w:pict>
      </w:r>
    </w:p>
    <w:p w14:paraId="3ED18CA7" w14:textId="79DFBE9D" w:rsidR="00E544B1" w:rsidRPr="00E544B1" w:rsidRDefault="008971B8" w:rsidP="008971B8">
      <w:pPr>
        <w:pStyle w:val="Caption"/>
      </w:pPr>
      <w:bookmarkStart w:id="16" w:name="_Toc38889755"/>
      <w:r>
        <w:t xml:space="preserve">Figure </w:t>
      </w:r>
      <w:r w:rsidR="003E421B">
        <w:rPr>
          <w:noProof/>
        </w:rPr>
        <w:fldChar w:fldCharType="begin"/>
      </w:r>
      <w:r w:rsidR="003E421B">
        <w:rPr>
          <w:noProof/>
        </w:rPr>
        <w:instrText xml:space="preserve"> SEQ Figure \* ARABIC </w:instrText>
      </w:r>
      <w:r w:rsidR="003E421B">
        <w:rPr>
          <w:noProof/>
        </w:rPr>
        <w:fldChar w:fldCharType="separate"/>
      </w:r>
      <w:r w:rsidR="006567A5">
        <w:rPr>
          <w:noProof/>
        </w:rPr>
        <w:t>4</w:t>
      </w:r>
      <w:r w:rsidR="003E421B">
        <w:rPr>
          <w:noProof/>
        </w:rPr>
        <w:fldChar w:fldCharType="end"/>
      </w:r>
      <w:r>
        <w:t>: Deploying loggers in the Darling River</w:t>
      </w:r>
      <w:bookmarkEnd w:id="16"/>
    </w:p>
    <w:p w14:paraId="36380F4A" w14:textId="28B90427" w:rsidR="00E544B1" w:rsidRDefault="00E544B1" w:rsidP="00E544B1">
      <w:pPr>
        <w:keepNext/>
        <w:numPr>
          <w:ilvl w:val="0"/>
          <w:numId w:val="0"/>
        </w:numPr>
        <w:spacing w:after="120"/>
      </w:pPr>
      <w:r w:rsidRPr="00E544B1">
        <w:lastRenderedPageBreak/>
        <w:t>Additional sampling was undertaken during 14-15 March 2019, which was targeted on Collarenebri weir pool, and several waterholes upstream and downstream of Collarenebri (</w:t>
      </w:r>
      <w:r w:rsidRPr="00E544B1">
        <w:fldChar w:fldCharType="begin"/>
      </w:r>
      <w:r w:rsidRPr="00E544B1">
        <w:instrText xml:space="preserve"> REF _Ref4493968 \h  \* MERGEFORMAT </w:instrText>
      </w:r>
      <w:r w:rsidRPr="00E544B1">
        <w:fldChar w:fldCharType="separate"/>
      </w:r>
      <w:r w:rsidR="006567A5">
        <w:t>Figure 5</w:t>
      </w:r>
      <w:r w:rsidRPr="00E544B1">
        <w:fldChar w:fldCharType="end"/>
      </w:r>
      <w:r w:rsidRPr="00E544B1">
        <w:t xml:space="preserve">). Within the weir pool, water depth data were collected at 50-100m intervals along the weir pool for approximately 9.3km using a handheld depth sounder. Water quality profiles were also recorded at 17 locations along the length of the weir pool. Parameters included temperature, electrical conductivity, dissolved oxygen (DO % and concentration) and </w:t>
      </w:r>
      <w:proofErr w:type="spellStart"/>
      <w:r w:rsidRPr="00E544B1">
        <w:t>pH.</w:t>
      </w:r>
      <w:proofErr w:type="spellEnd"/>
      <w:r w:rsidRPr="00E544B1">
        <w:t xml:space="preserve"> Measurements were taken at the surface and then 0.5 – 1 m intervals down the water column. Temperature and dissolved oxygen sensors were deployed at an additional site within</w:t>
      </w:r>
      <w:r w:rsidR="008971B8">
        <w:t xml:space="preserve"> </w:t>
      </w:r>
      <w:r w:rsidRPr="00E544B1">
        <w:t xml:space="preserve">Collarenebri weir pool (Colli spot 3 (29o32’46.21”S, 148o34”59.01E); </w:t>
      </w:r>
      <w:r w:rsidRPr="00E544B1">
        <w:fldChar w:fldCharType="begin"/>
      </w:r>
      <w:r w:rsidRPr="00E544B1">
        <w:instrText xml:space="preserve"> REF _Ref4589067 \h  \* MERGEFORMAT </w:instrText>
      </w:r>
      <w:r w:rsidRPr="00E544B1">
        <w:fldChar w:fldCharType="separate"/>
      </w:r>
      <w:r w:rsidR="006567A5">
        <w:t>Figure 6</w:t>
      </w:r>
      <w:r w:rsidRPr="00E544B1">
        <w:fldChar w:fldCharType="end"/>
      </w:r>
      <w:r w:rsidRPr="00E544B1">
        <w:t xml:space="preserve">). Water quality profiles </w:t>
      </w:r>
      <w:r>
        <w:t xml:space="preserve">and spot samples were recorded </w:t>
      </w:r>
      <w:r w:rsidR="004A0B8B" w:rsidRPr="00B458A3">
        <w:t xml:space="preserve">at ‘Devils </w:t>
      </w:r>
      <w:proofErr w:type="gramStart"/>
      <w:r w:rsidR="004A0B8B" w:rsidRPr="00B458A3">
        <w:t>hole’</w:t>
      </w:r>
      <w:proofErr w:type="gramEnd"/>
      <w:r w:rsidR="004A0B8B" w:rsidRPr="00B458A3">
        <w:t xml:space="preserve"> on the Barwon River upstream of the Mehi River confluence and at several waterholes approx. 2.5 km downstream of the Weir pool (</w:t>
      </w:r>
      <w:r w:rsidR="004A0B8B" w:rsidRPr="00B458A3">
        <w:fldChar w:fldCharType="begin"/>
      </w:r>
      <w:r w:rsidR="004A0B8B" w:rsidRPr="00B458A3">
        <w:instrText xml:space="preserve"> REF _Ref4493968 \h </w:instrText>
      </w:r>
      <w:r w:rsidR="00A776D7" w:rsidRPr="00B458A3">
        <w:instrText xml:space="preserve"> \* MERGEFORMAT </w:instrText>
      </w:r>
      <w:r w:rsidR="004A0B8B" w:rsidRPr="00B458A3">
        <w:fldChar w:fldCharType="separate"/>
      </w:r>
      <w:r w:rsidR="006567A5">
        <w:t xml:space="preserve">Figure </w:t>
      </w:r>
      <w:r w:rsidR="006567A5">
        <w:rPr>
          <w:noProof/>
        </w:rPr>
        <w:t>5</w:t>
      </w:r>
      <w:r w:rsidR="004A0B8B" w:rsidRPr="00B458A3">
        <w:fldChar w:fldCharType="end"/>
      </w:r>
      <w:r w:rsidR="004A0B8B" w:rsidRPr="00B458A3">
        <w:t xml:space="preserve">). </w:t>
      </w:r>
    </w:p>
    <w:p w14:paraId="501770DB" w14:textId="344965D5" w:rsidR="008B54D9" w:rsidRDefault="008971B8" w:rsidP="00321A74">
      <w:pPr>
        <w:keepNext/>
        <w:numPr>
          <w:ilvl w:val="0"/>
          <w:numId w:val="0"/>
        </w:numPr>
      </w:pPr>
      <w:r>
        <w:rPr>
          <w:noProof/>
          <w:lang w:eastAsia="en-AU"/>
        </w:rPr>
        <w:drawing>
          <wp:inline distT="0" distB="0" distL="0" distR="0" wp14:anchorId="7ED45F10" wp14:editId="387BCF4A">
            <wp:extent cx="5846445" cy="4132580"/>
            <wp:effectExtent l="0" t="0" r="190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846445" cy="4132580"/>
                    </a:xfrm>
                    <a:prstGeom prst="rect">
                      <a:avLst/>
                    </a:prstGeom>
                    <a:noFill/>
                    <a:ln>
                      <a:noFill/>
                    </a:ln>
                  </pic:spPr>
                </pic:pic>
              </a:graphicData>
            </a:graphic>
          </wp:inline>
        </w:drawing>
      </w:r>
    </w:p>
    <w:p w14:paraId="70B12F2C" w14:textId="44FE12A4" w:rsidR="008971B8" w:rsidRDefault="008971B8" w:rsidP="00915CA3">
      <w:pPr>
        <w:pStyle w:val="Caption"/>
      </w:pPr>
      <w:bookmarkStart w:id="17" w:name="_Ref4493968"/>
      <w:bookmarkStart w:id="18" w:name="_Toc38889756"/>
      <w:r>
        <w:t xml:space="preserve">Figure </w:t>
      </w:r>
      <w:r>
        <w:rPr>
          <w:noProof/>
        </w:rPr>
        <w:fldChar w:fldCharType="begin"/>
      </w:r>
      <w:r>
        <w:rPr>
          <w:noProof/>
        </w:rPr>
        <w:instrText xml:space="preserve"> SEQ Figure \* ARABIC </w:instrText>
      </w:r>
      <w:r>
        <w:rPr>
          <w:noProof/>
        </w:rPr>
        <w:fldChar w:fldCharType="separate"/>
      </w:r>
      <w:r w:rsidR="006567A5">
        <w:rPr>
          <w:noProof/>
        </w:rPr>
        <w:t>5</w:t>
      </w:r>
      <w:r>
        <w:rPr>
          <w:noProof/>
        </w:rPr>
        <w:fldChar w:fldCharType="end"/>
      </w:r>
      <w:bookmarkEnd w:id="17"/>
      <w:r>
        <w:t>: Locations for targeted sampling around Collarenebri in mid-March</w:t>
      </w:r>
      <w:bookmarkEnd w:id="18"/>
    </w:p>
    <w:p w14:paraId="6F4C8C3D" w14:textId="77777777" w:rsidR="00E544B1" w:rsidRPr="00E544B1" w:rsidRDefault="00E544B1" w:rsidP="00E544B1"/>
    <w:p w14:paraId="4C08A99D" w14:textId="06EAD24E" w:rsidR="00732C7F" w:rsidRDefault="00F92061" w:rsidP="00732C7F">
      <w:pPr>
        <w:keepNext/>
        <w:numPr>
          <w:ilvl w:val="0"/>
          <w:numId w:val="0"/>
        </w:numPr>
      </w:pPr>
      <w:r>
        <w:rPr>
          <w:noProof/>
          <w:lang w:eastAsia="en-AU"/>
        </w:rPr>
        <w:lastRenderedPageBreak/>
        <w:drawing>
          <wp:inline distT="0" distB="0" distL="0" distR="0" wp14:anchorId="7992A7F7" wp14:editId="159069A1">
            <wp:extent cx="5681472" cy="3960296"/>
            <wp:effectExtent l="19050" t="19050" r="14605" b="2159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Colli weirpool.pn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710393" cy="398045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35FC667" w14:textId="7179BB19" w:rsidR="00732C7F" w:rsidRDefault="00732C7F" w:rsidP="00732C7F">
      <w:pPr>
        <w:pStyle w:val="Caption"/>
      </w:pPr>
      <w:bookmarkStart w:id="19" w:name="_Ref4589067"/>
      <w:bookmarkStart w:id="20" w:name="_Toc38889757"/>
      <w:r>
        <w:t xml:space="preserve">Figure </w:t>
      </w:r>
      <w:r w:rsidR="00BF372C">
        <w:rPr>
          <w:noProof/>
        </w:rPr>
        <w:fldChar w:fldCharType="begin"/>
      </w:r>
      <w:r w:rsidR="00BF372C">
        <w:rPr>
          <w:noProof/>
        </w:rPr>
        <w:instrText xml:space="preserve"> SEQ Figure \* ARABIC </w:instrText>
      </w:r>
      <w:r w:rsidR="00BF372C">
        <w:rPr>
          <w:noProof/>
        </w:rPr>
        <w:fldChar w:fldCharType="separate"/>
      </w:r>
      <w:r w:rsidR="006567A5">
        <w:rPr>
          <w:noProof/>
        </w:rPr>
        <w:t>6</w:t>
      </w:r>
      <w:r w:rsidR="00BF372C">
        <w:rPr>
          <w:noProof/>
        </w:rPr>
        <w:fldChar w:fldCharType="end"/>
      </w:r>
      <w:bookmarkEnd w:id="19"/>
      <w:r>
        <w:t xml:space="preserve">:  </w:t>
      </w:r>
      <w:r w:rsidRPr="00085CCD">
        <w:t>Extent of Collarenebri weir</w:t>
      </w:r>
      <w:r>
        <w:t xml:space="preserve"> </w:t>
      </w:r>
      <w:r w:rsidRPr="00085CCD">
        <w:t>pool during survey (14-15 March 2019) and the location of sampling sites.</w:t>
      </w:r>
      <w:bookmarkEnd w:id="20"/>
    </w:p>
    <w:p w14:paraId="0C4B1E9C" w14:textId="3FD163E8" w:rsidR="00732C7F" w:rsidRDefault="008971B8" w:rsidP="00321A74">
      <w:pPr>
        <w:pStyle w:val="Heading2"/>
      </w:pPr>
      <w:bookmarkStart w:id="21" w:name="_Toc38889736"/>
      <w:r>
        <w:t>Longer term monitoring</w:t>
      </w:r>
      <w:bookmarkEnd w:id="21"/>
    </w:p>
    <w:p w14:paraId="5EF29BE6" w14:textId="33156B91" w:rsidR="008971B8" w:rsidRDefault="00321A74" w:rsidP="00732C7F">
      <w:pPr>
        <w:numPr>
          <w:ilvl w:val="0"/>
          <w:numId w:val="0"/>
        </w:numPr>
      </w:pPr>
      <w:r>
        <w:t>Following the initial sampling round in March, water quality measuremen</w:t>
      </w:r>
      <w:r w:rsidR="0025658E">
        <w:t>ts were subsequently collected o</w:t>
      </w:r>
      <w:r>
        <w:t xml:space="preserve">n </w:t>
      </w:r>
      <w:r w:rsidR="0025658E">
        <w:t xml:space="preserve">27-28 </w:t>
      </w:r>
      <w:r>
        <w:t xml:space="preserve">May, </w:t>
      </w:r>
      <w:r w:rsidR="0025658E">
        <w:t xml:space="preserve">5-7 </w:t>
      </w:r>
      <w:r>
        <w:t xml:space="preserve">July and August to assess temporal changes in the weir-pools during and following the delivery of the NFF. Dissolved Oxygen and temperature loggers were downloaded and cleaned before being re deployed during the May and July fieldtrips. Algal samples were again collected in July 2019. </w:t>
      </w:r>
    </w:p>
    <w:p w14:paraId="57CC6AF9" w14:textId="47308DD2" w:rsidR="00915CA3" w:rsidRDefault="00915CA3">
      <w:pPr>
        <w:numPr>
          <w:ilvl w:val="0"/>
          <w:numId w:val="0"/>
        </w:numPr>
      </w:pPr>
      <w:r>
        <w:br w:type="page"/>
      </w:r>
    </w:p>
    <w:p w14:paraId="38E1FB33" w14:textId="78713DDC" w:rsidR="004A0B8B" w:rsidRDefault="008971B8" w:rsidP="004A0B8B">
      <w:pPr>
        <w:pStyle w:val="Heading1"/>
      </w:pPr>
      <w:bookmarkStart w:id="22" w:name="_Toc38889737"/>
      <w:r>
        <w:lastRenderedPageBreak/>
        <w:t>Findings</w:t>
      </w:r>
      <w:bookmarkEnd w:id="22"/>
    </w:p>
    <w:p w14:paraId="2B5F21CD" w14:textId="0BD2F666" w:rsidR="008971B8" w:rsidRDefault="00321A74" w:rsidP="00321A74">
      <w:pPr>
        <w:pStyle w:val="Heading2"/>
      </w:pPr>
      <w:bookmarkStart w:id="23" w:name="_Toc38889738"/>
      <w:bookmarkStart w:id="24" w:name="_Hlk38545831"/>
      <w:r>
        <w:t>Pre event water quality and algal sampling</w:t>
      </w:r>
      <w:bookmarkEnd w:id="23"/>
    </w:p>
    <w:p w14:paraId="4D7BBDE2" w14:textId="77777777" w:rsidR="00321A74" w:rsidRPr="00287F0F" w:rsidRDefault="00321A74" w:rsidP="00321A74">
      <w:pPr>
        <w:pStyle w:val="Heading3"/>
      </w:pPr>
      <w:bookmarkStart w:id="25" w:name="_Toc38889739"/>
      <w:bookmarkEnd w:id="24"/>
      <w:r w:rsidRPr="00287F0F">
        <w:t>Mungindi</w:t>
      </w:r>
      <w:bookmarkEnd w:id="25"/>
    </w:p>
    <w:p w14:paraId="1F306045" w14:textId="64DC93CF" w:rsidR="00321A74" w:rsidRDefault="00321A74" w:rsidP="00321A74">
      <w:r>
        <w:t xml:space="preserve">Water depth ranged from 3.5m at Mung 1 to 4m at Mung 2. Temperature showed a decreasing trend at Mung 1 from 29 </w:t>
      </w:r>
      <w:r w:rsidRPr="001B521A">
        <w:rPr>
          <w:vertAlign w:val="superscript"/>
        </w:rPr>
        <w:t>o</w:t>
      </w:r>
      <w:r>
        <w:t>C at the surface to 24.8</w:t>
      </w:r>
      <w:r w:rsidRPr="00287F0F">
        <w:rPr>
          <w:vertAlign w:val="superscript"/>
        </w:rPr>
        <w:t xml:space="preserve"> </w:t>
      </w:r>
      <w:r w:rsidRPr="001B521A">
        <w:rPr>
          <w:vertAlign w:val="superscript"/>
        </w:rPr>
        <w:t>o</w:t>
      </w:r>
      <w:r>
        <w:t xml:space="preserve">C at a depth of 3m. Temperature at Mung 2 was more consistent ranging from 24.4 – 24.45 </w:t>
      </w:r>
      <w:r w:rsidRPr="001B521A">
        <w:rPr>
          <w:vertAlign w:val="superscript"/>
        </w:rPr>
        <w:t>o</w:t>
      </w:r>
      <w:r>
        <w:t xml:space="preserve">C. Conductivity was stable at both sites being around 0.26 mS/cm. Dissolved oxygen was relatively low throughout the water column at Mung 1 ranging from 4.4 – 4.9 mg/l. Dissolved oxygen was higher at Mung 2 increasing from 9.3 mg/l at the surface to 9.9 mg/l at a depth of 3m. </w:t>
      </w:r>
      <w:proofErr w:type="gramStart"/>
      <w:r>
        <w:t>pH</w:t>
      </w:r>
      <w:proofErr w:type="gramEnd"/>
      <w:r>
        <w:t xml:space="preserve"> showed small but consistent reductions with depth, dropping from 7.9 to 7.45 at Mung 1 and 7.65 to 7.5 at Mung 2.</w:t>
      </w:r>
      <w:r w:rsidR="00E16A96">
        <w:t xml:space="preserve"> At the time of sampling the </w:t>
      </w:r>
      <w:r w:rsidR="008427A6">
        <w:t>there was no a</w:t>
      </w:r>
      <w:r w:rsidR="00E16A96">
        <w:t xml:space="preserve">lgal </w:t>
      </w:r>
      <w:r w:rsidR="008427A6">
        <w:t>alert current for Mungindi</w:t>
      </w:r>
      <w:r w:rsidR="00D5344A">
        <w:t xml:space="preserve">, with the algal community dominated by </w:t>
      </w:r>
      <w:proofErr w:type="spellStart"/>
      <w:r w:rsidR="00D5344A" w:rsidRPr="00D5344A">
        <w:rPr>
          <w:i/>
        </w:rPr>
        <w:t>bacillariophyta</w:t>
      </w:r>
      <w:proofErr w:type="spellEnd"/>
      <w:r w:rsidR="00D5344A">
        <w:t xml:space="preserve"> diatoms, and the presence of the potentially toxic </w:t>
      </w:r>
      <w:proofErr w:type="spellStart"/>
      <w:r w:rsidR="00D5344A">
        <w:t>Chrysporum</w:t>
      </w:r>
      <w:proofErr w:type="spellEnd"/>
      <w:r w:rsidR="00D5344A">
        <w:t xml:space="preserve"> cyanobacteria was also present at Mungindi 1 at very low concentrations.</w:t>
      </w:r>
    </w:p>
    <w:p w14:paraId="1DE9F064" w14:textId="77777777" w:rsidR="00321A74" w:rsidRDefault="00321A74" w:rsidP="00321A74">
      <w:r>
        <w:rPr>
          <w:noProof/>
          <w:lang w:eastAsia="en-AU"/>
        </w:rPr>
        <w:drawing>
          <wp:inline distT="0" distB="0" distL="0" distR="0" wp14:anchorId="10456692" wp14:editId="517CB266">
            <wp:extent cx="2867134" cy="215265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75505" cy="2158935"/>
                    </a:xfrm>
                    <a:prstGeom prst="rect">
                      <a:avLst/>
                    </a:prstGeom>
                    <a:noFill/>
                    <a:ln>
                      <a:noFill/>
                    </a:ln>
                  </pic:spPr>
                </pic:pic>
              </a:graphicData>
            </a:graphic>
          </wp:inline>
        </w:drawing>
      </w:r>
      <w:r>
        <w:rPr>
          <w:noProof/>
          <w:lang w:eastAsia="en-AU"/>
        </w:rPr>
        <w:drawing>
          <wp:inline distT="0" distB="0" distL="0" distR="0" wp14:anchorId="37D4D835" wp14:editId="7B774B55">
            <wp:extent cx="2870200" cy="2154950"/>
            <wp:effectExtent l="0" t="0" r="635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86685" cy="2167327"/>
                    </a:xfrm>
                    <a:prstGeom prst="rect">
                      <a:avLst/>
                    </a:prstGeom>
                    <a:noFill/>
                    <a:ln>
                      <a:noFill/>
                    </a:ln>
                  </pic:spPr>
                </pic:pic>
              </a:graphicData>
            </a:graphic>
          </wp:inline>
        </w:drawing>
      </w:r>
    </w:p>
    <w:p w14:paraId="32B7DE15" w14:textId="77777777" w:rsidR="00321A74" w:rsidRDefault="00321A74" w:rsidP="00321A74">
      <w:r>
        <w:t>Mungindi site 1</w:t>
      </w:r>
      <w:r>
        <w:tab/>
      </w:r>
      <w:r>
        <w:tab/>
      </w:r>
      <w:r>
        <w:tab/>
      </w:r>
      <w:r>
        <w:tab/>
      </w:r>
      <w:r>
        <w:tab/>
        <w:t xml:space="preserve">         Mungindi site 2</w:t>
      </w:r>
    </w:p>
    <w:p w14:paraId="44C57755" w14:textId="31488FCA" w:rsidR="00321A74" w:rsidRPr="00287F0F" w:rsidRDefault="00321A74" w:rsidP="00321A74">
      <w:pPr>
        <w:pStyle w:val="Heading3"/>
      </w:pPr>
      <w:bookmarkStart w:id="26" w:name="_Toc38889740"/>
      <w:r w:rsidRPr="00287F0F">
        <w:t xml:space="preserve">Collarenebri </w:t>
      </w:r>
      <w:r w:rsidR="0088386B">
        <w:t>and surrounding waterholes</w:t>
      </w:r>
      <w:bookmarkEnd w:id="26"/>
    </w:p>
    <w:p w14:paraId="24EE82A1" w14:textId="4817F106" w:rsidR="001375E7" w:rsidRPr="001375E7" w:rsidRDefault="001375E7" w:rsidP="001375E7">
      <w:pPr>
        <w:pStyle w:val="Heading4"/>
      </w:pPr>
      <w:r>
        <w:t>February</w:t>
      </w:r>
      <w:r w:rsidRPr="001375E7">
        <w:t xml:space="preserve"> sampling</w:t>
      </w:r>
    </w:p>
    <w:p w14:paraId="667FCC05" w14:textId="347CF58C" w:rsidR="00321A74" w:rsidRDefault="00321A74" w:rsidP="00321A74">
      <w:r>
        <w:t>Depth varied from 2m at Colli 1 near the weir to 5m at Colli 2 at the upstream extent of the weir pool. Temperatures showed a reduction with depth at all sites. At Colli 1 surface temperature was 29.4 </w:t>
      </w:r>
      <w:r w:rsidRPr="001B521A">
        <w:rPr>
          <w:vertAlign w:val="superscript"/>
        </w:rPr>
        <w:t>o</w:t>
      </w:r>
      <w:r>
        <w:t>C and 28.2</w:t>
      </w:r>
      <w:r w:rsidRPr="00FB038E">
        <w:rPr>
          <w:vertAlign w:val="superscript"/>
        </w:rPr>
        <w:t xml:space="preserve"> </w:t>
      </w:r>
      <w:r w:rsidRPr="001B521A">
        <w:rPr>
          <w:vertAlign w:val="superscript"/>
        </w:rPr>
        <w:t>o</w:t>
      </w:r>
      <w:r>
        <w:t>C at a depth of 1m. Colli 2 showed a consistent reduction in temperature from 28.3</w:t>
      </w:r>
      <w:r w:rsidRPr="00FB038E">
        <w:rPr>
          <w:vertAlign w:val="superscript"/>
        </w:rPr>
        <w:t xml:space="preserve"> </w:t>
      </w:r>
      <w:r w:rsidRPr="001B521A">
        <w:rPr>
          <w:vertAlign w:val="superscript"/>
        </w:rPr>
        <w:t>o</w:t>
      </w:r>
      <w:r>
        <w:t>C at the surface to 23</w:t>
      </w:r>
      <w:r w:rsidRPr="001B521A">
        <w:rPr>
          <w:vertAlign w:val="superscript"/>
        </w:rPr>
        <w:t>o</w:t>
      </w:r>
      <w:r>
        <w:t xml:space="preserve">C at a depth of 4 m. Conductivity varied from 0.3 mS/cm to 0.35 mS/cm. At Colli 1 dissolved oxygen increased with depth from 5.9 mg/l at the surface to 6.8 mg/l at a depth of 1m. Colli 2 showed a decrease in dissolved oxygen </w:t>
      </w:r>
      <w:r w:rsidR="001375E7">
        <w:t xml:space="preserve">below a depth of </w:t>
      </w:r>
      <w:r>
        <w:t xml:space="preserve">2m with dissolved oxygen ranging from 5.4-6.8 mg/l above this depth but 1.8mg/l at 3m and 0.8 mg/l at a depth of 4m (Figure 2). Additional sampling at a depth of 3m along a 300 m reach at this site showed temperatures of around 24.6 </w:t>
      </w:r>
      <w:r w:rsidRPr="001B521A">
        <w:rPr>
          <w:vertAlign w:val="superscript"/>
        </w:rPr>
        <w:t>o</w:t>
      </w:r>
      <w:r>
        <w:t>C and dissolved oxygen of less than 2.9 mg/l. Dissolved oxygen levels below 4 mg/l are considered to place aquatic organisms under stress because they have trouble in moving oxygen across their gills at lower dissolved oxygen concentrations.</w:t>
      </w:r>
    </w:p>
    <w:p w14:paraId="4FC2DB58" w14:textId="77777777" w:rsidR="00321A74" w:rsidRDefault="00321A74" w:rsidP="00321A74">
      <w:r>
        <w:rPr>
          <w:noProof/>
          <w:lang w:eastAsia="en-AU"/>
        </w:rPr>
        <w:lastRenderedPageBreak/>
        <w:drawing>
          <wp:inline distT="0" distB="0" distL="0" distR="0" wp14:anchorId="437EC160" wp14:editId="7A0DC035">
            <wp:extent cx="2895600" cy="1790700"/>
            <wp:effectExtent l="0" t="0" r="0" b="0"/>
            <wp:docPr id="19" name="Chart 1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B8D9C01-AE1C-413D-B8B5-944A68F21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lang w:eastAsia="en-AU"/>
        </w:rPr>
        <w:drawing>
          <wp:inline distT="0" distB="0" distL="0" distR="0" wp14:anchorId="0E4B71EF" wp14:editId="7C93BD4B">
            <wp:extent cx="2914650" cy="1790700"/>
            <wp:effectExtent l="0" t="0" r="0" b="0"/>
            <wp:docPr id="28" name="Chart 2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6B570BD-CEF4-4121-AF0A-323402252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659EA8" w14:textId="7E72E431" w:rsidR="00321A74" w:rsidRPr="0073749D" w:rsidRDefault="00321A74" w:rsidP="00321A74">
      <w:pPr>
        <w:pStyle w:val="Caption"/>
        <w:rPr>
          <w:b w:val="0"/>
          <w:i/>
        </w:rPr>
      </w:pPr>
      <w:bookmarkStart w:id="27" w:name="_Toc38889758"/>
      <w:r w:rsidRPr="0073749D">
        <w:t xml:space="preserve">Figure </w:t>
      </w:r>
      <w:r w:rsidR="003E421B">
        <w:rPr>
          <w:noProof/>
        </w:rPr>
        <w:fldChar w:fldCharType="begin"/>
      </w:r>
      <w:r w:rsidR="003E421B">
        <w:rPr>
          <w:noProof/>
        </w:rPr>
        <w:instrText xml:space="preserve"> SEQ Figure \* ARABIC </w:instrText>
      </w:r>
      <w:r w:rsidR="003E421B">
        <w:rPr>
          <w:noProof/>
        </w:rPr>
        <w:fldChar w:fldCharType="separate"/>
      </w:r>
      <w:r w:rsidR="006567A5">
        <w:rPr>
          <w:noProof/>
        </w:rPr>
        <w:t>7</w:t>
      </w:r>
      <w:r w:rsidR="003E421B">
        <w:rPr>
          <w:noProof/>
        </w:rPr>
        <w:fldChar w:fldCharType="end"/>
      </w:r>
      <w:r w:rsidRPr="0073749D">
        <w:t>: Dissolved Oxygen profiles at sites in Collarenebri weir pool. Shaded box represents DO levels dangerous to aquatic biota</w:t>
      </w:r>
      <w:bookmarkEnd w:id="27"/>
    </w:p>
    <w:p w14:paraId="328444C9" w14:textId="0DAB9145" w:rsidR="00321A74" w:rsidRDefault="00321A74" w:rsidP="00321A74">
      <w:r>
        <w:t>Given this thermal stratification, an additional site (Colli</w:t>
      </w:r>
      <w:r w:rsidR="0088386B">
        <w:t xml:space="preserve"> spot</w:t>
      </w:r>
      <w:r>
        <w:t xml:space="preserve"> 3) was sampled in the middle of the </w:t>
      </w:r>
      <w:r w:rsidRPr="00924803">
        <w:t>weir pool (</w:t>
      </w:r>
      <w:r>
        <w:rPr>
          <w:i/>
        </w:rPr>
        <w:fldChar w:fldCharType="begin"/>
      </w:r>
      <w:r>
        <w:instrText xml:space="preserve"> REF _Ref4589067 \h </w:instrText>
      </w:r>
      <w:r>
        <w:rPr>
          <w:i/>
        </w:rPr>
      </w:r>
      <w:r>
        <w:rPr>
          <w:i/>
        </w:rPr>
        <w:fldChar w:fldCharType="separate"/>
      </w:r>
      <w:r w:rsidR="006567A5">
        <w:t xml:space="preserve">Figure </w:t>
      </w:r>
      <w:r w:rsidR="006567A5">
        <w:rPr>
          <w:noProof/>
        </w:rPr>
        <w:t>6</w:t>
      </w:r>
      <w:r>
        <w:rPr>
          <w:i/>
        </w:rPr>
        <w:fldChar w:fldCharType="end"/>
      </w:r>
      <w:r w:rsidRPr="00924803">
        <w:t>), around 400 m downstream of the DPI fisheries aerators. Here, the depth was 4.3m and temperature</w:t>
      </w:r>
      <w:r>
        <w:t xml:space="preserve"> dropped from 29.7</w:t>
      </w:r>
      <w:r w:rsidRPr="001B521A">
        <w:rPr>
          <w:vertAlign w:val="superscript"/>
        </w:rPr>
        <w:t>o</w:t>
      </w:r>
      <w:r>
        <w:t>C at the surface to 25.2</w:t>
      </w:r>
      <w:r w:rsidRPr="00282930">
        <w:rPr>
          <w:vertAlign w:val="superscript"/>
        </w:rPr>
        <w:t xml:space="preserve"> </w:t>
      </w:r>
      <w:r w:rsidRPr="001B521A">
        <w:rPr>
          <w:vertAlign w:val="superscript"/>
        </w:rPr>
        <w:t>o</w:t>
      </w:r>
      <w:r>
        <w:t xml:space="preserve">C at a depth of 4m. Dissolved oxygen showed a similar vertical trend to Colli 2, ranging from 5.9 – 7mg/l above 2m but dropping to 3.4 mg/l at 3m and 0.5 mg/l at a depth of 4m. </w:t>
      </w:r>
      <w:proofErr w:type="gramStart"/>
      <w:r>
        <w:t>pH</w:t>
      </w:r>
      <w:proofErr w:type="gramEnd"/>
      <w:r>
        <w:t xml:space="preserve"> showed similar trends to dissolved oxygen at the Colli 2 and </w:t>
      </w:r>
      <w:r w:rsidR="0088386B">
        <w:t xml:space="preserve">spot </w:t>
      </w:r>
      <w:r>
        <w:t>3 sites, reducing from 8.2 at 2m depth at Colli 2 to 6.9 at 4m depth. At Colli</w:t>
      </w:r>
      <w:r w:rsidR="0088386B">
        <w:t xml:space="preserve"> spot</w:t>
      </w:r>
      <w:r>
        <w:t xml:space="preserve"> 3, pH dropped from 8.4 at 1m depth to 7.4 at 4m.</w:t>
      </w:r>
      <w:r w:rsidR="00D5344A">
        <w:t xml:space="preserve"> </w:t>
      </w:r>
      <w:r w:rsidR="008427A6">
        <w:t>An amber algal alert was present at the time of sampling with algal concentrations around 0.05 mm</w:t>
      </w:r>
      <w:r w:rsidR="008427A6" w:rsidRPr="007D75F0">
        <w:rPr>
          <w:vertAlign w:val="superscript"/>
        </w:rPr>
        <w:t>3</w:t>
      </w:r>
      <w:r w:rsidR="008427A6">
        <w:t>/</w:t>
      </w:r>
      <w:r w:rsidR="007D75F0">
        <w:t>l</w:t>
      </w:r>
      <w:r w:rsidR="008427A6">
        <w:t xml:space="preserve"> (</w:t>
      </w:r>
      <w:r w:rsidR="007D75F0">
        <w:t>W</w:t>
      </w:r>
      <w:r w:rsidR="008427A6">
        <w:t>aterNSW 2019a)</w:t>
      </w:r>
      <w:r w:rsidR="00D5344A">
        <w:t xml:space="preserve">, with communities dominated by </w:t>
      </w:r>
      <w:r w:rsidR="00131BFC">
        <w:t xml:space="preserve">Cyanobacteria and </w:t>
      </w:r>
      <w:proofErr w:type="spellStart"/>
      <w:r w:rsidR="00131BFC" w:rsidRPr="00131BFC">
        <w:rPr>
          <w:i/>
        </w:rPr>
        <w:t>bacillariophyta</w:t>
      </w:r>
      <w:proofErr w:type="spellEnd"/>
      <w:r w:rsidR="00131BFC">
        <w:t xml:space="preserve"> diatoms, including some potentially toxic species at low concentrations.</w:t>
      </w:r>
    </w:p>
    <w:p w14:paraId="174F9DE0" w14:textId="77777777" w:rsidR="00321A74" w:rsidRDefault="00321A74" w:rsidP="00321A74">
      <w:r>
        <w:rPr>
          <w:noProof/>
          <w:lang w:eastAsia="en-AU"/>
        </w:rPr>
        <w:drawing>
          <wp:inline distT="0" distB="0" distL="0" distR="0" wp14:anchorId="6D2963EA" wp14:editId="33757711">
            <wp:extent cx="2908800" cy="2185200"/>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08800" cy="2185200"/>
                    </a:xfrm>
                    <a:prstGeom prst="rect">
                      <a:avLst/>
                    </a:prstGeom>
                    <a:noFill/>
                    <a:ln>
                      <a:noFill/>
                    </a:ln>
                  </pic:spPr>
                </pic:pic>
              </a:graphicData>
            </a:graphic>
          </wp:inline>
        </w:drawing>
      </w:r>
      <w:r>
        <w:rPr>
          <w:noProof/>
          <w:lang w:eastAsia="en-AU"/>
        </w:rPr>
        <w:drawing>
          <wp:inline distT="0" distB="0" distL="0" distR="0" wp14:anchorId="3BAFF382" wp14:editId="681D8A01">
            <wp:extent cx="2908800" cy="2185200"/>
            <wp:effectExtent l="0" t="0" r="635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08800" cy="2185200"/>
                    </a:xfrm>
                    <a:prstGeom prst="rect">
                      <a:avLst/>
                    </a:prstGeom>
                    <a:noFill/>
                    <a:ln>
                      <a:noFill/>
                    </a:ln>
                  </pic:spPr>
                </pic:pic>
              </a:graphicData>
            </a:graphic>
          </wp:inline>
        </w:drawing>
      </w:r>
    </w:p>
    <w:p w14:paraId="64686AF5" w14:textId="20AC8CD4" w:rsidR="00321A74" w:rsidRDefault="00321A74" w:rsidP="00321A74">
      <w:r>
        <w:t>Collarenebri site 1</w:t>
      </w:r>
      <w:r>
        <w:tab/>
      </w:r>
      <w:r>
        <w:tab/>
      </w:r>
      <w:r>
        <w:tab/>
      </w:r>
      <w:r>
        <w:tab/>
        <w:t xml:space="preserve">       Collarenebri site 2</w:t>
      </w:r>
    </w:p>
    <w:p w14:paraId="457969D1" w14:textId="04697992" w:rsidR="001375E7" w:rsidRPr="001375E7" w:rsidRDefault="001375E7" w:rsidP="001375E7">
      <w:pPr>
        <w:pStyle w:val="Heading4"/>
      </w:pPr>
      <w:r w:rsidRPr="001375E7">
        <w:t>March sampling</w:t>
      </w:r>
    </w:p>
    <w:p w14:paraId="16A37683" w14:textId="1480722F" w:rsidR="0088386B" w:rsidRDefault="0088386B" w:rsidP="00321A74">
      <w:r>
        <w:t xml:space="preserve">Similar temperature stratification was observed at Devils hole upstream of the </w:t>
      </w:r>
      <w:r w:rsidR="00BD77D8">
        <w:t>Collarenebri</w:t>
      </w:r>
      <w:r>
        <w:t xml:space="preserve"> weir p</w:t>
      </w:r>
      <w:r w:rsidR="00BD77D8">
        <w:t>ool (</w:t>
      </w:r>
      <w:r w:rsidR="00C925C6">
        <w:fldChar w:fldCharType="begin"/>
      </w:r>
      <w:r w:rsidR="00C925C6">
        <w:instrText xml:space="preserve"> REF _Ref38461557 \h </w:instrText>
      </w:r>
      <w:r w:rsidR="00C925C6">
        <w:fldChar w:fldCharType="separate"/>
      </w:r>
      <w:r w:rsidR="006567A5">
        <w:t xml:space="preserve">Figure </w:t>
      </w:r>
      <w:r w:rsidR="006567A5">
        <w:rPr>
          <w:noProof/>
        </w:rPr>
        <w:t>8</w:t>
      </w:r>
      <w:r w:rsidR="00C925C6">
        <w:fldChar w:fldCharType="end"/>
      </w:r>
      <w:r w:rsidR="00BD77D8">
        <w:t>). This location also showed a reduction in dissolved oxygen at a depth of 3m and below (</w:t>
      </w:r>
      <w:r w:rsidR="00C925C6">
        <w:fldChar w:fldCharType="begin"/>
      </w:r>
      <w:r w:rsidR="00C925C6">
        <w:instrText xml:space="preserve"> REF _Ref38461557 \h </w:instrText>
      </w:r>
      <w:r w:rsidR="00C925C6">
        <w:fldChar w:fldCharType="separate"/>
      </w:r>
      <w:r w:rsidR="006567A5">
        <w:t xml:space="preserve">Figure </w:t>
      </w:r>
      <w:r w:rsidR="006567A5">
        <w:rPr>
          <w:noProof/>
        </w:rPr>
        <w:t>8</w:t>
      </w:r>
      <w:r w:rsidR="00C925C6">
        <w:fldChar w:fldCharType="end"/>
      </w:r>
      <w:r w:rsidR="00BD77D8">
        <w:t xml:space="preserve">). In the pool downstream of Collarenebri weir, temperature was similar and </w:t>
      </w:r>
      <w:r w:rsidR="009D2E3A">
        <w:t xml:space="preserve">dissolved </w:t>
      </w:r>
      <w:r w:rsidR="00BD77D8">
        <w:t>oxygen higher than in the upper water column of Devils hole</w:t>
      </w:r>
      <w:r w:rsidR="009D2E3A">
        <w:t>.</w:t>
      </w:r>
      <w:r w:rsidR="00BD77D8">
        <w:t xml:space="preserve"> </w:t>
      </w:r>
    </w:p>
    <w:p w14:paraId="04D52E34" w14:textId="77777777" w:rsidR="00BD77D8" w:rsidRDefault="00BD77D8" w:rsidP="00BD77D8">
      <w:pPr>
        <w:keepNext/>
      </w:pPr>
      <w:r>
        <w:rPr>
          <w:noProof/>
          <w:lang w:eastAsia="en-AU"/>
        </w:rPr>
        <w:lastRenderedPageBreak/>
        <w:drawing>
          <wp:inline distT="0" distB="0" distL="0" distR="0" wp14:anchorId="6535CF79" wp14:editId="4AD1D2D1">
            <wp:extent cx="2913380" cy="2097024"/>
            <wp:effectExtent l="0" t="0" r="1270" b="17780"/>
            <wp:docPr id="34" name="Chart 3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D852ADC-1650-4E6D-B913-1CA4A670D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lang w:eastAsia="en-AU"/>
        </w:rPr>
        <w:drawing>
          <wp:inline distT="0" distB="0" distL="0" distR="0" wp14:anchorId="5A2F1494" wp14:editId="6E917D68">
            <wp:extent cx="2908300" cy="2108835"/>
            <wp:effectExtent l="0" t="0" r="6350" b="5715"/>
            <wp:docPr id="35" name="Chart 3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3D5AFDD-7519-41A9-A281-B53E67491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D10513" w14:textId="7B01D1E2" w:rsidR="00BD77D8" w:rsidRDefault="00BD77D8" w:rsidP="00BD77D8">
      <w:pPr>
        <w:pStyle w:val="Caption"/>
      </w:pPr>
      <w:bookmarkStart w:id="28" w:name="_Ref38461557"/>
      <w:bookmarkStart w:id="29" w:name="_Toc38889759"/>
      <w:r>
        <w:t xml:space="preserve">Figure </w:t>
      </w:r>
      <w:r w:rsidR="003E421B">
        <w:rPr>
          <w:noProof/>
        </w:rPr>
        <w:fldChar w:fldCharType="begin"/>
      </w:r>
      <w:r w:rsidR="003E421B">
        <w:rPr>
          <w:noProof/>
        </w:rPr>
        <w:instrText xml:space="preserve"> SEQ Figure \* ARABIC </w:instrText>
      </w:r>
      <w:r w:rsidR="003E421B">
        <w:rPr>
          <w:noProof/>
        </w:rPr>
        <w:fldChar w:fldCharType="separate"/>
      </w:r>
      <w:r w:rsidR="006567A5">
        <w:rPr>
          <w:noProof/>
        </w:rPr>
        <w:t>8</w:t>
      </w:r>
      <w:r w:rsidR="003E421B">
        <w:rPr>
          <w:noProof/>
        </w:rPr>
        <w:fldChar w:fldCharType="end"/>
      </w:r>
      <w:bookmarkEnd w:id="28"/>
      <w:r>
        <w:t xml:space="preserve">: Average temperature (left) and dissolved oxygen (right) profiles for Devils </w:t>
      </w:r>
      <w:proofErr w:type="gramStart"/>
      <w:r>
        <w:t>hole</w:t>
      </w:r>
      <w:proofErr w:type="gramEnd"/>
      <w:r>
        <w:t xml:space="preserve"> and waterholes in the Barwon River below the Collarenebri weir</w:t>
      </w:r>
      <w:bookmarkEnd w:id="29"/>
    </w:p>
    <w:p w14:paraId="6BCB4D2A" w14:textId="77777777" w:rsidR="00BD77D8" w:rsidRDefault="00BD77D8" w:rsidP="00321A74"/>
    <w:p w14:paraId="14DC33A1" w14:textId="77777777" w:rsidR="00321A74" w:rsidRPr="00287F0F" w:rsidRDefault="00321A74" w:rsidP="00321A74">
      <w:pPr>
        <w:pStyle w:val="Heading3"/>
      </w:pPr>
      <w:bookmarkStart w:id="30" w:name="_Toc38889741"/>
      <w:r w:rsidRPr="00287F0F">
        <w:t>Brewarrina</w:t>
      </w:r>
      <w:bookmarkEnd w:id="30"/>
    </w:p>
    <w:p w14:paraId="5EB55199" w14:textId="64799BC8" w:rsidR="00321A74" w:rsidRDefault="00321A74" w:rsidP="00321A74">
      <w:r>
        <w:t>Depth was 5.7m at Bre 1 and 9.3m at the Bre 2 site upstream. Temperature showed a slight decline at Bre 1 from 27.5</w:t>
      </w:r>
      <w:r w:rsidRPr="001B521A">
        <w:rPr>
          <w:vertAlign w:val="superscript"/>
        </w:rPr>
        <w:t>o</w:t>
      </w:r>
      <w:r>
        <w:t>C at the surface to 26.2</w:t>
      </w:r>
      <w:r w:rsidRPr="001B521A">
        <w:rPr>
          <w:vertAlign w:val="superscript"/>
        </w:rPr>
        <w:t>o</w:t>
      </w:r>
      <w:r>
        <w:t>C at a depth of 4m. At Bre 2 temperature dropped consistently with depth from 29.8</w:t>
      </w:r>
      <w:r w:rsidRPr="001B521A">
        <w:rPr>
          <w:vertAlign w:val="superscript"/>
        </w:rPr>
        <w:t>o</w:t>
      </w:r>
      <w:r>
        <w:t>C at the surface to 25.9</w:t>
      </w:r>
      <w:r w:rsidRPr="001B521A">
        <w:rPr>
          <w:vertAlign w:val="superscript"/>
        </w:rPr>
        <w:t xml:space="preserve"> o</w:t>
      </w:r>
      <w:r>
        <w:t xml:space="preserve">C at a depth of 4m. Conductivity was consistent at both sites, being around 7-7.4 mS/cm. Both sites showed an increasing trend in dissolved oxygen from the surface to 3m and then a decrease at a depth of 4m (Figure 4). DO ranged from 8 – 8.7 mg/l at Bre 1 and from 6.3 – 7.9 mg/l at Bre 2. </w:t>
      </w:r>
      <w:proofErr w:type="gramStart"/>
      <w:r>
        <w:t>pH</w:t>
      </w:r>
      <w:proofErr w:type="gramEnd"/>
      <w:r>
        <w:t xml:space="preserve"> ranged from 7.8 – 8.4.</w:t>
      </w:r>
      <w:r w:rsidR="00131BFC">
        <w:t xml:space="preserve"> Brewarrina </w:t>
      </w:r>
      <w:r w:rsidR="007D75F0">
        <w:t xml:space="preserve">was on red </w:t>
      </w:r>
      <w:proofErr w:type="spellStart"/>
      <w:r w:rsidR="007D75F0">
        <w:t>alart</w:t>
      </w:r>
      <w:proofErr w:type="spellEnd"/>
      <w:r w:rsidR="007D75F0">
        <w:t xml:space="preserve"> with an algal concentration of 13.06 mm</w:t>
      </w:r>
      <w:r w:rsidR="007D75F0" w:rsidRPr="007D75F0">
        <w:rPr>
          <w:vertAlign w:val="superscript"/>
        </w:rPr>
        <w:t>3</w:t>
      </w:r>
      <w:r w:rsidR="007D75F0">
        <w:t>/l (WaterNSW 2019a). C</w:t>
      </w:r>
      <w:r w:rsidR="00131BFC">
        <w:t xml:space="preserve">ommunities </w:t>
      </w:r>
      <w:r w:rsidR="007D75F0">
        <w:t xml:space="preserve">were </w:t>
      </w:r>
      <w:r w:rsidR="00131BFC">
        <w:t xml:space="preserve">dominated by cyanobacteria and </w:t>
      </w:r>
      <w:proofErr w:type="spellStart"/>
      <w:r w:rsidR="00131BFC" w:rsidRPr="00131BFC">
        <w:rPr>
          <w:i/>
        </w:rPr>
        <w:t>bacillariophyta</w:t>
      </w:r>
      <w:proofErr w:type="spellEnd"/>
      <w:r w:rsidR="00131BFC">
        <w:t xml:space="preserve"> diatoms, including some potentially toxic species at low concentrations.</w:t>
      </w:r>
    </w:p>
    <w:p w14:paraId="6D083791" w14:textId="77777777" w:rsidR="00321A74" w:rsidRDefault="00321A74" w:rsidP="00321A74">
      <w:pPr>
        <w:keepNext/>
      </w:pPr>
      <w:r>
        <w:rPr>
          <w:noProof/>
          <w:lang w:eastAsia="en-AU"/>
        </w:rPr>
        <mc:AlternateContent>
          <mc:Choice Requires="wps">
            <w:drawing>
              <wp:anchor distT="0" distB="0" distL="114300" distR="114300" simplePos="0" relativeHeight="251718656" behindDoc="0" locked="0" layoutInCell="1" allowOverlap="1" wp14:anchorId="50444904" wp14:editId="66B1F392">
                <wp:simplePos x="0" y="0"/>
                <wp:positionH relativeFrom="column">
                  <wp:posOffset>406400</wp:posOffset>
                </wp:positionH>
                <wp:positionV relativeFrom="paragraph">
                  <wp:posOffset>299720</wp:posOffset>
                </wp:positionV>
                <wp:extent cx="927100" cy="1098550"/>
                <wp:effectExtent l="0" t="0" r="25400" b="25400"/>
                <wp:wrapNone/>
                <wp:docPr id="20" name="Rectangle 20"/>
                <wp:cNvGraphicFramePr/>
                <a:graphic xmlns:a="http://schemas.openxmlformats.org/drawingml/2006/main">
                  <a:graphicData uri="http://schemas.microsoft.com/office/word/2010/wordprocessingShape">
                    <wps:wsp>
                      <wps:cNvSpPr/>
                      <wps:spPr>
                        <a:xfrm>
                          <a:off x="0" y="0"/>
                          <a:ext cx="927100" cy="1098550"/>
                        </a:xfrm>
                        <a:prstGeom prst="rect">
                          <a:avLst/>
                        </a:prstGeom>
                        <a:solidFill>
                          <a:schemeClr val="bg1">
                            <a:lumMod val="65000"/>
                            <a:alpha val="20000"/>
                          </a:schemeClr>
                        </a:solidFill>
                        <a:ln>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5D1770C6" id="Rectangle 20" o:spid="_x0000_s1026" style="position:absolute;margin-left:32pt;margin-top:23.6pt;width:73pt;height:86.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" fillcolor="#a5a5a5 [2092]" strokecolor="#a5a5a5 [2092]" strokeweight="2pt">
                <v:fill opacity="13107f"/>
                <v:stroke dashstyle="dash"/>
              </v:rect>
            </w:pict>
          </mc:Fallback>
        </mc:AlternateContent>
      </w:r>
      <w:r>
        <w:rPr>
          <w:noProof/>
          <w:lang w:eastAsia="en-AU"/>
        </w:rPr>
        <w:drawing>
          <wp:inline distT="0" distB="0" distL="0" distR="0" wp14:anchorId="53DA0F11" wp14:editId="6F80CFA5">
            <wp:extent cx="2889250" cy="1739900"/>
            <wp:effectExtent l="0" t="0" r="6350" b="12700"/>
            <wp:docPr id="30" name="Chart 3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FA825BC-B325-4B6D-924E-D6F3B3AF2F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lang w:eastAsia="en-AU"/>
        </w:rPr>
        <w:drawing>
          <wp:inline distT="0" distB="0" distL="0" distR="0" wp14:anchorId="3BAAF04B" wp14:editId="5E84E4AF">
            <wp:extent cx="2927350" cy="1739900"/>
            <wp:effectExtent l="0" t="0" r="6350" b="12700"/>
            <wp:docPr id="31" name="Chart 3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08AC550-8966-47E8-B4E4-52D623EE40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F489F79" w14:textId="3E88027E" w:rsidR="00321A74" w:rsidRDefault="00321A74" w:rsidP="00321A74">
      <w:pPr>
        <w:pStyle w:val="Caption"/>
      </w:pPr>
      <w:bookmarkStart w:id="31" w:name="_Toc38889760"/>
      <w:r>
        <w:t xml:space="preserve">Figure </w:t>
      </w:r>
      <w:r w:rsidR="003E421B">
        <w:rPr>
          <w:noProof/>
        </w:rPr>
        <w:fldChar w:fldCharType="begin"/>
      </w:r>
      <w:r w:rsidR="003E421B">
        <w:rPr>
          <w:noProof/>
        </w:rPr>
        <w:instrText xml:space="preserve"> SEQ Figure \* ARABIC </w:instrText>
      </w:r>
      <w:r w:rsidR="003E421B">
        <w:rPr>
          <w:noProof/>
        </w:rPr>
        <w:fldChar w:fldCharType="separate"/>
      </w:r>
      <w:r w:rsidR="006567A5">
        <w:rPr>
          <w:noProof/>
        </w:rPr>
        <w:t>9</w:t>
      </w:r>
      <w:r w:rsidR="003E421B">
        <w:rPr>
          <w:noProof/>
        </w:rPr>
        <w:fldChar w:fldCharType="end"/>
      </w:r>
      <w:r>
        <w:t xml:space="preserve">: </w:t>
      </w:r>
      <w:r w:rsidRPr="00BF6506">
        <w:t xml:space="preserve">Dissolved </w:t>
      </w:r>
      <w:r>
        <w:t>o</w:t>
      </w:r>
      <w:r w:rsidRPr="00BF6506">
        <w:t>xygen profiles at sites within the Brewarrina weir pool. Shaded box represents DO levels dangerous to aquatic biota</w:t>
      </w:r>
      <w:bookmarkEnd w:id="31"/>
    </w:p>
    <w:p w14:paraId="7970D220" w14:textId="77777777" w:rsidR="00915CA3" w:rsidRPr="00915CA3" w:rsidRDefault="00915CA3" w:rsidP="00915CA3"/>
    <w:p w14:paraId="501AD114" w14:textId="77777777" w:rsidR="00321A74" w:rsidRDefault="00321A74" w:rsidP="00321A74">
      <w:r>
        <w:rPr>
          <w:noProof/>
          <w:lang w:eastAsia="en-AU"/>
        </w:rPr>
        <w:lastRenderedPageBreak/>
        <w:drawing>
          <wp:inline distT="0" distB="0" distL="0" distR="0" wp14:anchorId="1F484F35" wp14:editId="341357BB">
            <wp:extent cx="2908800" cy="2185200"/>
            <wp:effectExtent l="0" t="0" r="6350" b="571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08800" cy="2185200"/>
                    </a:xfrm>
                    <a:prstGeom prst="rect">
                      <a:avLst/>
                    </a:prstGeom>
                    <a:noFill/>
                    <a:ln>
                      <a:noFill/>
                    </a:ln>
                  </pic:spPr>
                </pic:pic>
              </a:graphicData>
            </a:graphic>
          </wp:inline>
        </w:drawing>
      </w:r>
      <w:r>
        <w:rPr>
          <w:noProof/>
          <w:lang w:eastAsia="en-AU"/>
        </w:rPr>
        <w:drawing>
          <wp:inline distT="0" distB="0" distL="0" distR="0" wp14:anchorId="6519729A" wp14:editId="1C4E7DB3">
            <wp:extent cx="2908800" cy="2185200"/>
            <wp:effectExtent l="0" t="0" r="635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08800" cy="2185200"/>
                    </a:xfrm>
                    <a:prstGeom prst="rect">
                      <a:avLst/>
                    </a:prstGeom>
                    <a:noFill/>
                    <a:ln>
                      <a:noFill/>
                    </a:ln>
                  </pic:spPr>
                </pic:pic>
              </a:graphicData>
            </a:graphic>
          </wp:inline>
        </w:drawing>
      </w:r>
    </w:p>
    <w:p w14:paraId="2FD3CA4D" w14:textId="77777777" w:rsidR="00321A74" w:rsidRDefault="00321A74" w:rsidP="00321A74">
      <w:r>
        <w:t>Brewarrina site 1</w:t>
      </w:r>
      <w:r>
        <w:tab/>
      </w:r>
      <w:r>
        <w:tab/>
      </w:r>
      <w:r>
        <w:tab/>
      </w:r>
      <w:r>
        <w:tab/>
        <w:t xml:space="preserve">     Brewarrina Site 2</w:t>
      </w:r>
    </w:p>
    <w:p w14:paraId="6B04C43C" w14:textId="77777777" w:rsidR="00321A74" w:rsidRPr="00287F0F" w:rsidRDefault="00321A74" w:rsidP="00321A74">
      <w:pPr>
        <w:pStyle w:val="Heading3"/>
      </w:pPr>
      <w:bookmarkStart w:id="32" w:name="_Toc38889742"/>
      <w:r w:rsidRPr="00287F0F">
        <w:t>Walgett</w:t>
      </w:r>
      <w:bookmarkEnd w:id="32"/>
    </w:p>
    <w:p w14:paraId="30E930F4" w14:textId="70795446" w:rsidR="00321A74" w:rsidRDefault="00321A74" w:rsidP="00321A74">
      <w:r>
        <w:t>Depth was 3m at both survey sites. Temperature was consistent through the water column at both sites being around 25.2</w:t>
      </w:r>
      <w:r w:rsidRPr="00FB038E">
        <w:rPr>
          <w:vertAlign w:val="superscript"/>
        </w:rPr>
        <w:t xml:space="preserve"> </w:t>
      </w:r>
      <w:r w:rsidRPr="001B521A">
        <w:rPr>
          <w:vertAlign w:val="superscript"/>
        </w:rPr>
        <w:t>o</w:t>
      </w:r>
      <w:r>
        <w:t>C at Walgett 1 and 24.5</w:t>
      </w:r>
      <w:r w:rsidRPr="00FB038E">
        <w:rPr>
          <w:vertAlign w:val="superscript"/>
        </w:rPr>
        <w:t xml:space="preserve"> </w:t>
      </w:r>
      <w:r w:rsidRPr="001B521A">
        <w:rPr>
          <w:vertAlign w:val="superscript"/>
        </w:rPr>
        <w:t>o</w:t>
      </w:r>
      <w:r>
        <w:t xml:space="preserve">C at Walgett 2. Conductivity was stable at both sites at around 0.46 mS/cm. Dissolved oxygen showed inconsistent trends between sites, increasing from 7.5 – 8.7 mg/l with depth at Walgett 1 and decreasing from 8.35 – 8 mg/l with depth at Walgett 2. </w:t>
      </w:r>
      <w:proofErr w:type="gramStart"/>
      <w:r>
        <w:t>pH</w:t>
      </w:r>
      <w:proofErr w:type="gramEnd"/>
      <w:r>
        <w:t xml:space="preserve"> ranged from 8.2 – 8.4.</w:t>
      </w:r>
      <w:r w:rsidR="00131BFC">
        <w:t xml:space="preserve"> </w:t>
      </w:r>
      <w:r w:rsidR="007D75F0">
        <w:t xml:space="preserve">No algal alert was present at Walgett and </w:t>
      </w:r>
      <w:r w:rsidR="00131BFC">
        <w:t xml:space="preserve">communities </w:t>
      </w:r>
      <w:r w:rsidR="007D75F0">
        <w:t xml:space="preserve">were </w:t>
      </w:r>
      <w:r w:rsidR="00131BFC">
        <w:t xml:space="preserve">dominated by </w:t>
      </w:r>
      <w:proofErr w:type="spellStart"/>
      <w:r w:rsidR="00131BFC" w:rsidRPr="00131BFC">
        <w:rPr>
          <w:i/>
        </w:rPr>
        <w:t>bacillariophyta</w:t>
      </w:r>
      <w:proofErr w:type="spellEnd"/>
      <w:r w:rsidR="00131BFC">
        <w:t xml:space="preserve"> diatoms. At Walgett 1 site, the </w:t>
      </w:r>
      <w:r w:rsidR="00654592">
        <w:t xml:space="preserve">toxic </w:t>
      </w:r>
      <w:r w:rsidR="00131BFC">
        <w:t xml:space="preserve">cyanobacteria </w:t>
      </w:r>
      <w:proofErr w:type="spellStart"/>
      <w:r w:rsidR="00131BFC" w:rsidRPr="00E22E38">
        <w:rPr>
          <w:rFonts w:eastAsia="Times New Roman" w:cstheme="minorHAnsi"/>
          <w:i/>
          <w:iCs/>
          <w:color w:val="2C2C2C"/>
          <w:lang w:eastAsia="en-AU"/>
        </w:rPr>
        <w:t>Dolichospermum</w:t>
      </w:r>
      <w:proofErr w:type="spellEnd"/>
      <w:r w:rsidR="00131BFC" w:rsidRPr="00E22E38">
        <w:rPr>
          <w:rFonts w:eastAsia="Times New Roman" w:cstheme="minorHAnsi"/>
          <w:i/>
          <w:iCs/>
          <w:color w:val="2C2C2C"/>
          <w:lang w:eastAsia="en-AU"/>
        </w:rPr>
        <w:t xml:space="preserve"> </w:t>
      </w:r>
      <w:proofErr w:type="spellStart"/>
      <w:r w:rsidR="00131BFC" w:rsidRPr="00E22E38">
        <w:rPr>
          <w:rFonts w:eastAsia="Times New Roman" w:cstheme="minorHAnsi"/>
          <w:i/>
          <w:iCs/>
          <w:color w:val="2C2C2C"/>
          <w:lang w:eastAsia="en-AU"/>
        </w:rPr>
        <w:t>circinale</w:t>
      </w:r>
      <w:proofErr w:type="spellEnd"/>
      <w:r w:rsidR="00131BFC">
        <w:t xml:space="preserve"> was found in low concentration.</w:t>
      </w:r>
    </w:p>
    <w:p w14:paraId="7D07BD8E" w14:textId="77777777" w:rsidR="00321A74" w:rsidRDefault="00321A74" w:rsidP="00321A74">
      <w:r>
        <w:rPr>
          <w:noProof/>
          <w:lang w:eastAsia="en-AU"/>
        </w:rPr>
        <w:drawing>
          <wp:inline distT="0" distB="0" distL="0" distR="0" wp14:anchorId="0A390A42" wp14:editId="494B2B5E">
            <wp:extent cx="2908800" cy="2185200"/>
            <wp:effectExtent l="0" t="0" r="6350" b="571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908800" cy="2185200"/>
                    </a:xfrm>
                    <a:prstGeom prst="rect">
                      <a:avLst/>
                    </a:prstGeom>
                    <a:noFill/>
                    <a:ln>
                      <a:noFill/>
                    </a:ln>
                  </pic:spPr>
                </pic:pic>
              </a:graphicData>
            </a:graphic>
          </wp:inline>
        </w:drawing>
      </w:r>
      <w:r>
        <w:rPr>
          <w:noProof/>
          <w:lang w:eastAsia="en-AU"/>
        </w:rPr>
        <w:drawing>
          <wp:inline distT="0" distB="0" distL="0" distR="0" wp14:anchorId="63CB8120" wp14:editId="11258983">
            <wp:extent cx="2908800" cy="2185200"/>
            <wp:effectExtent l="0" t="0" r="635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908800" cy="2185200"/>
                    </a:xfrm>
                    <a:prstGeom prst="rect">
                      <a:avLst/>
                    </a:prstGeom>
                    <a:noFill/>
                    <a:ln>
                      <a:noFill/>
                    </a:ln>
                  </pic:spPr>
                </pic:pic>
              </a:graphicData>
            </a:graphic>
          </wp:inline>
        </w:drawing>
      </w:r>
    </w:p>
    <w:p w14:paraId="2CFFE447" w14:textId="77777777" w:rsidR="00321A74" w:rsidRDefault="00321A74" w:rsidP="00321A74">
      <w:r>
        <w:t>Walgett site 1</w:t>
      </w:r>
      <w:r>
        <w:tab/>
      </w:r>
      <w:r>
        <w:tab/>
      </w:r>
      <w:r>
        <w:tab/>
      </w:r>
      <w:r>
        <w:tab/>
      </w:r>
      <w:r>
        <w:tab/>
        <w:t xml:space="preserve">        Walgett site 2</w:t>
      </w:r>
    </w:p>
    <w:p w14:paraId="6FE53CA6" w14:textId="77777777" w:rsidR="00321A74" w:rsidRPr="00287F0F" w:rsidRDefault="00321A74" w:rsidP="00321A74">
      <w:pPr>
        <w:pStyle w:val="Heading3"/>
      </w:pPr>
      <w:bookmarkStart w:id="33" w:name="_Toc38889743"/>
      <w:r w:rsidRPr="00287F0F">
        <w:t>Bourke</w:t>
      </w:r>
      <w:bookmarkEnd w:id="33"/>
    </w:p>
    <w:p w14:paraId="4854A9BC" w14:textId="74A389EC" w:rsidR="00321A74" w:rsidRDefault="00321A74" w:rsidP="00321A74">
      <w:r>
        <w:t>Depth was around 2.3 m at both survey sites. Temperature was consistent with depth through the water column at around 27</w:t>
      </w:r>
      <w:r w:rsidRPr="00FB038E">
        <w:rPr>
          <w:vertAlign w:val="superscript"/>
        </w:rPr>
        <w:t xml:space="preserve"> </w:t>
      </w:r>
      <w:r w:rsidRPr="001B521A">
        <w:rPr>
          <w:vertAlign w:val="superscript"/>
        </w:rPr>
        <w:t>o</w:t>
      </w:r>
      <w:r>
        <w:t>C near the weir wall and 25</w:t>
      </w:r>
      <w:r w:rsidRPr="00FB038E">
        <w:rPr>
          <w:vertAlign w:val="superscript"/>
        </w:rPr>
        <w:t xml:space="preserve"> </w:t>
      </w:r>
      <w:r w:rsidRPr="001B521A">
        <w:rPr>
          <w:vertAlign w:val="superscript"/>
        </w:rPr>
        <w:t>o</w:t>
      </w:r>
      <w:r>
        <w:t xml:space="preserve">C at Mays Bend upstream (Bourke 2). Conductivity at the Bourke 1 site near the weir was around 1.26 mS/cm, which was the highest recorded at all sites. It was lower at Bourke 2 at around 0.73 mS/cm. Dissolved oxygen was generally acceptable, ranging from 7.8 – 12.2 mg/l at Bourke 1, and 9 mg/l at the surface of the Bourke 2 site. Generally dissolved oxygen concentrations above 10 mg/l are inductive of algal production of oxygen, hence the 12.2 mg/l result at Bourke 1 suggests the presence of algal activity. There was lower dissolved oxygen at depth at Bourke </w:t>
      </w:r>
      <w:r>
        <w:lastRenderedPageBreak/>
        <w:t xml:space="preserve">2, being 5.03 mg/l at a depth of 2m. </w:t>
      </w:r>
      <w:proofErr w:type="gramStart"/>
      <w:r>
        <w:t>pH</w:t>
      </w:r>
      <w:proofErr w:type="gramEnd"/>
      <w:r>
        <w:t xml:space="preserve"> ranged from 7.8 – 8.6.</w:t>
      </w:r>
      <w:r w:rsidR="00654592">
        <w:t xml:space="preserve"> The algal rating for Bourke in March was </w:t>
      </w:r>
      <w:r w:rsidR="007D75F0">
        <w:t>amber (algal concentrations 5.35 mm</w:t>
      </w:r>
      <w:r w:rsidR="007D75F0" w:rsidRPr="007D75F0">
        <w:rPr>
          <w:vertAlign w:val="superscript"/>
        </w:rPr>
        <w:t>3</w:t>
      </w:r>
      <w:r w:rsidR="007D75F0">
        <w:t>/l near the boat ramp and 2.14 mm</w:t>
      </w:r>
      <w:r w:rsidR="007D75F0" w:rsidRPr="007D75F0">
        <w:rPr>
          <w:vertAlign w:val="superscript"/>
        </w:rPr>
        <w:t>3</w:t>
      </w:r>
      <w:r w:rsidR="007D75F0">
        <w:t>/l near the weir, (Water NSW 2019a))</w:t>
      </w:r>
      <w:r w:rsidR="00654592">
        <w:t xml:space="preserve"> with communities dominated by cyanobacteria and </w:t>
      </w:r>
      <w:proofErr w:type="spellStart"/>
      <w:r w:rsidR="00654592" w:rsidRPr="00131BFC">
        <w:rPr>
          <w:i/>
        </w:rPr>
        <w:t>bacillariophyta</w:t>
      </w:r>
      <w:proofErr w:type="spellEnd"/>
      <w:r w:rsidR="00654592">
        <w:t xml:space="preserve"> diatoms, including some potentially toxic species at low concentrations.</w:t>
      </w:r>
    </w:p>
    <w:p w14:paraId="73006DD5" w14:textId="77777777" w:rsidR="00321A74" w:rsidRDefault="00321A74" w:rsidP="00321A74">
      <w:r>
        <w:rPr>
          <w:noProof/>
          <w:lang w:eastAsia="en-AU"/>
        </w:rPr>
        <w:drawing>
          <wp:inline distT="0" distB="0" distL="0" distR="0" wp14:anchorId="681914BE" wp14:editId="253DB908">
            <wp:extent cx="2908800" cy="2185200"/>
            <wp:effectExtent l="0" t="0" r="635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908800" cy="2185200"/>
                    </a:xfrm>
                    <a:prstGeom prst="rect">
                      <a:avLst/>
                    </a:prstGeom>
                    <a:noFill/>
                    <a:ln>
                      <a:noFill/>
                    </a:ln>
                  </pic:spPr>
                </pic:pic>
              </a:graphicData>
            </a:graphic>
          </wp:inline>
        </w:drawing>
      </w:r>
      <w:r>
        <w:rPr>
          <w:noProof/>
          <w:lang w:eastAsia="en-AU"/>
        </w:rPr>
        <w:drawing>
          <wp:inline distT="0" distB="0" distL="0" distR="0" wp14:anchorId="4BF032FC" wp14:editId="58E0C789">
            <wp:extent cx="2908800" cy="2185200"/>
            <wp:effectExtent l="0" t="0" r="6350"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908800" cy="2185200"/>
                    </a:xfrm>
                    <a:prstGeom prst="rect">
                      <a:avLst/>
                    </a:prstGeom>
                    <a:noFill/>
                    <a:ln>
                      <a:noFill/>
                    </a:ln>
                  </pic:spPr>
                </pic:pic>
              </a:graphicData>
            </a:graphic>
          </wp:inline>
        </w:drawing>
      </w:r>
    </w:p>
    <w:p w14:paraId="72826ABA" w14:textId="3C64A284" w:rsidR="00321A74" w:rsidRDefault="00321A74" w:rsidP="00321A74">
      <w:r>
        <w:t>Bourke weir pool</w:t>
      </w:r>
    </w:p>
    <w:p w14:paraId="6114E10E" w14:textId="77777777" w:rsidR="00E869C8" w:rsidRPr="00C559B0" w:rsidRDefault="00E869C8" w:rsidP="00E869C8">
      <w:pPr>
        <w:pStyle w:val="Heading3"/>
      </w:pPr>
      <w:bookmarkStart w:id="34" w:name="_Toc4666880"/>
      <w:bookmarkStart w:id="35" w:name="_Toc38889744"/>
      <w:r w:rsidRPr="00C559B0">
        <w:t>Depth and water volume in Collarenebri weir pool</w:t>
      </w:r>
      <w:bookmarkEnd w:id="34"/>
      <w:bookmarkEnd w:id="35"/>
    </w:p>
    <w:p w14:paraId="790AB9D0" w14:textId="3B727B13" w:rsidR="00E869C8" w:rsidRDefault="00E869C8" w:rsidP="00E869C8">
      <w:r>
        <w:t>The average depth recorded within the Collarenebri weir pool was 2.9m for the 9.2 km of weir pool monitored, which extended upstream to a rock bar crossing the river (</w:t>
      </w:r>
      <w:r>
        <w:fldChar w:fldCharType="begin"/>
      </w:r>
      <w:r>
        <w:instrText xml:space="preserve"> REF _Ref4389747 \h </w:instrText>
      </w:r>
      <w:r>
        <w:fldChar w:fldCharType="separate"/>
      </w:r>
      <w:r w:rsidR="006567A5">
        <w:t xml:space="preserve">Figure </w:t>
      </w:r>
      <w:r w:rsidR="006567A5">
        <w:rPr>
          <w:noProof/>
        </w:rPr>
        <w:t>10</w:t>
      </w:r>
      <w:r>
        <w:fldChar w:fldCharType="end"/>
      </w:r>
      <w:r>
        <w:t>). The deepest section recorded was in the upstream reaches of the weir at the ‘3 mile’ fishing reserve, with a depth of 4.5 m at the time of survey (</w:t>
      </w:r>
      <w:r>
        <w:fldChar w:fldCharType="begin"/>
      </w:r>
      <w:r>
        <w:instrText xml:space="preserve"> REF _Ref4042735 \h </w:instrText>
      </w:r>
      <w:r>
        <w:fldChar w:fldCharType="separate"/>
      </w:r>
      <w:r w:rsidR="006567A5">
        <w:t xml:space="preserve">Figure </w:t>
      </w:r>
      <w:r w:rsidR="006567A5">
        <w:rPr>
          <w:noProof/>
        </w:rPr>
        <w:t>11</w:t>
      </w:r>
      <w:r>
        <w:fldChar w:fldCharType="end"/>
      </w:r>
      <w:r>
        <w:t>).</w:t>
      </w:r>
    </w:p>
    <w:p w14:paraId="2B8757B3" w14:textId="77777777" w:rsidR="00E869C8" w:rsidRDefault="00E869C8" w:rsidP="00E869C8">
      <w:pPr>
        <w:keepNext/>
        <w:jc w:val="center"/>
      </w:pPr>
      <w:r>
        <w:rPr>
          <w:noProof/>
          <w:lang w:eastAsia="en-AU"/>
        </w:rPr>
        <w:drawing>
          <wp:inline distT="0" distB="0" distL="0" distR="0" wp14:anchorId="589A2EFA" wp14:editId="6DE2FD44">
            <wp:extent cx="4760685" cy="3570514"/>
            <wp:effectExtent l="0" t="0" r="190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432.jpeg"/>
                    <pic:cNvPicPr/>
                  </pic:nvPicPr>
                  <pic:blipFill>
                    <a:blip r:embed="rId38" cstate="email">
                      <a:extLst>
                        <a:ext uri="{28A0092B-C50C-407E-A947-70E740481C1C}">
                          <a14:useLocalDpi xmlns:a14="http://schemas.microsoft.com/office/drawing/2010/main"/>
                        </a:ext>
                      </a:extLst>
                    </a:blip>
                    <a:stretch>
                      <a:fillRect/>
                    </a:stretch>
                  </pic:blipFill>
                  <pic:spPr>
                    <a:xfrm>
                      <a:off x="0" y="0"/>
                      <a:ext cx="4800279" cy="3600210"/>
                    </a:xfrm>
                    <a:prstGeom prst="rect">
                      <a:avLst/>
                    </a:prstGeom>
                  </pic:spPr>
                </pic:pic>
              </a:graphicData>
            </a:graphic>
          </wp:inline>
        </w:drawing>
      </w:r>
    </w:p>
    <w:p w14:paraId="5C89EDBC" w14:textId="3AAAC43D" w:rsidR="00E869C8" w:rsidRDefault="00E869C8" w:rsidP="006567A5">
      <w:pPr>
        <w:pStyle w:val="Caption"/>
      </w:pPr>
      <w:bookmarkStart w:id="36" w:name="_Ref4389747"/>
      <w:bookmarkStart w:id="37" w:name="_Toc4666898"/>
      <w:bookmarkStart w:id="38" w:name="_Toc38889761"/>
      <w:r>
        <w:t xml:space="preserve">Figure </w:t>
      </w:r>
      <w:r w:rsidR="003E421B">
        <w:rPr>
          <w:noProof/>
        </w:rPr>
        <w:fldChar w:fldCharType="begin"/>
      </w:r>
      <w:r w:rsidR="003E421B">
        <w:rPr>
          <w:noProof/>
        </w:rPr>
        <w:instrText xml:space="preserve"> SEQ Figure \* ARABIC </w:instrText>
      </w:r>
      <w:r w:rsidR="003E421B">
        <w:rPr>
          <w:noProof/>
        </w:rPr>
        <w:fldChar w:fldCharType="separate"/>
      </w:r>
      <w:r w:rsidR="006567A5">
        <w:rPr>
          <w:noProof/>
        </w:rPr>
        <w:t>10</w:t>
      </w:r>
      <w:r w:rsidR="003E421B">
        <w:rPr>
          <w:noProof/>
        </w:rPr>
        <w:fldChar w:fldCharType="end"/>
      </w:r>
      <w:bookmarkEnd w:id="36"/>
      <w:r>
        <w:t>: Rock bar at the upstream extent of Collarenebri weir pool</w:t>
      </w:r>
      <w:bookmarkEnd w:id="37"/>
      <w:bookmarkEnd w:id="38"/>
    </w:p>
    <w:p w14:paraId="44372363" w14:textId="77777777" w:rsidR="006567A5" w:rsidRPr="006567A5" w:rsidRDefault="006567A5" w:rsidP="006567A5"/>
    <w:p w14:paraId="32722AAE" w14:textId="77777777" w:rsidR="00E869C8" w:rsidRDefault="00E869C8" w:rsidP="00E869C8">
      <w:pPr>
        <w:keepNext/>
      </w:pPr>
      <w:r>
        <w:rPr>
          <w:noProof/>
          <w:lang w:eastAsia="en-AU"/>
        </w:rPr>
        <w:lastRenderedPageBreak/>
        <w:drawing>
          <wp:inline distT="0" distB="0" distL="0" distR="0" wp14:anchorId="2D3FBCD3" wp14:editId="2B45E89D">
            <wp:extent cx="5943600" cy="2743200"/>
            <wp:effectExtent l="0" t="0" r="0" b="0"/>
            <wp:docPr id="38" name="Chart 3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03E5C5B-56E5-4363-A463-7FE05559D7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0DC1679" w14:textId="6268726D" w:rsidR="00E869C8" w:rsidRDefault="00E869C8" w:rsidP="00E869C8">
      <w:pPr>
        <w:pStyle w:val="Caption"/>
      </w:pPr>
      <w:bookmarkStart w:id="39" w:name="_Ref4042735"/>
      <w:bookmarkStart w:id="40" w:name="_Toc4666899"/>
      <w:bookmarkStart w:id="41" w:name="_Toc38889762"/>
      <w:r>
        <w:t xml:space="preserve">Figure </w:t>
      </w:r>
      <w:r w:rsidR="003E421B">
        <w:rPr>
          <w:noProof/>
        </w:rPr>
        <w:fldChar w:fldCharType="begin"/>
      </w:r>
      <w:r w:rsidR="003E421B">
        <w:rPr>
          <w:noProof/>
        </w:rPr>
        <w:instrText xml:space="preserve"> SEQ Figure \* ARABIC </w:instrText>
      </w:r>
      <w:r w:rsidR="003E421B">
        <w:rPr>
          <w:noProof/>
        </w:rPr>
        <w:fldChar w:fldCharType="separate"/>
      </w:r>
      <w:r w:rsidR="006567A5">
        <w:rPr>
          <w:noProof/>
        </w:rPr>
        <w:t>11</w:t>
      </w:r>
      <w:r w:rsidR="003E421B">
        <w:rPr>
          <w:noProof/>
        </w:rPr>
        <w:fldChar w:fldCharType="end"/>
      </w:r>
      <w:bookmarkEnd w:id="39"/>
      <w:r>
        <w:t>: Long profile of Collarenebri weir pool measured 14/3/2019</w:t>
      </w:r>
      <w:bookmarkEnd w:id="40"/>
      <w:bookmarkEnd w:id="41"/>
    </w:p>
    <w:p w14:paraId="02ED6AF3" w14:textId="00ED3BB4" w:rsidR="00E869C8" w:rsidRDefault="00E869C8" w:rsidP="00E869C8">
      <w:r>
        <w:t>To gain an understanding of the volume of water within the weir pool, an average weir pool width was estimated from aerial imagery and this was then multiplied by the area of each 1m increment on the long profile. It should be noted that this assumes the sides of the weir are vertical much like a swimming pool, so potentially overestimates the volume within deeper pools. The average width of the weir pool was 38.9m. This analysis suggests that there is 1</w:t>
      </w:r>
      <w:r w:rsidR="0063594C">
        <w:t xml:space="preserve"> </w:t>
      </w:r>
      <w:r>
        <w:t>039 ML of water in the weir pool at the time of sampling, with 66% of the volume in the top 2 metres of the water column (</w:t>
      </w:r>
      <w:r>
        <w:fldChar w:fldCharType="begin"/>
      </w:r>
      <w:r>
        <w:instrText xml:space="preserve"> REF _Ref4042697 \h </w:instrText>
      </w:r>
      <w:r>
        <w:fldChar w:fldCharType="separate"/>
      </w:r>
      <w:r w:rsidR="006567A5">
        <w:t xml:space="preserve">Table </w:t>
      </w:r>
      <w:r w:rsidR="006567A5">
        <w:rPr>
          <w:noProof/>
        </w:rPr>
        <w:t>2</w:t>
      </w:r>
      <w:r>
        <w:fldChar w:fldCharType="end"/>
      </w:r>
      <w:r>
        <w:t>). Water below a depth of 3 metres makes up less than 10% of the total water column.</w:t>
      </w:r>
    </w:p>
    <w:p w14:paraId="692C8C6B" w14:textId="2EB552E5" w:rsidR="00E869C8" w:rsidRDefault="00E869C8" w:rsidP="00E869C8">
      <w:pPr>
        <w:pStyle w:val="Caption"/>
      </w:pPr>
      <w:bookmarkStart w:id="42" w:name="_Ref4042697"/>
      <w:bookmarkStart w:id="43" w:name="_Toc4666906"/>
      <w:bookmarkStart w:id="44" w:name="_Toc38889776"/>
      <w:r>
        <w:t xml:space="preserve">Table </w:t>
      </w:r>
      <w:r w:rsidR="003E421B">
        <w:rPr>
          <w:noProof/>
        </w:rPr>
        <w:fldChar w:fldCharType="begin"/>
      </w:r>
      <w:r w:rsidR="003E421B">
        <w:rPr>
          <w:noProof/>
        </w:rPr>
        <w:instrText xml:space="preserve"> SEQ Table \* ARABIC </w:instrText>
      </w:r>
      <w:r w:rsidR="003E421B">
        <w:rPr>
          <w:noProof/>
        </w:rPr>
        <w:fldChar w:fldCharType="separate"/>
      </w:r>
      <w:r w:rsidR="006567A5">
        <w:rPr>
          <w:noProof/>
        </w:rPr>
        <w:t>2</w:t>
      </w:r>
      <w:r w:rsidR="003E421B">
        <w:rPr>
          <w:noProof/>
        </w:rPr>
        <w:fldChar w:fldCharType="end"/>
      </w:r>
      <w:bookmarkEnd w:id="42"/>
      <w:r>
        <w:t>: Estimated volumes within the Collarenebri weir pool and average dissolved oxygen and temperature for each 1m depth increment</w:t>
      </w:r>
      <w:bookmarkEnd w:id="43"/>
      <w:bookmarkEnd w:id="44"/>
    </w:p>
    <w:tbl>
      <w:tblPr>
        <w:tblStyle w:val="PlainTable2"/>
        <w:tblW w:w="9050" w:type="dxa"/>
        <w:jc w:val="center"/>
        <w:tblLook w:val="04A0" w:firstRow="1" w:lastRow="0" w:firstColumn="1" w:lastColumn="0" w:noHBand="0" w:noVBand="1"/>
      </w:tblPr>
      <w:tblGrid>
        <w:gridCol w:w="1701"/>
        <w:gridCol w:w="2410"/>
        <w:gridCol w:w="1985"/>
        <w:gridCol w:w="1395"/>
        <w:gridCol w:w="1559"/>
      </w:tblGrid>
      <w:tr w:rsidR="00E869C8" w:rsidRPr="005D632E" w14:paraId="6CD1B101" w14:textId="77777777" w:rsidTr="002575C6">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auto"/>
            </w:tcBorders>
            <w:shd w:val="clear" w:color="auto" w:fill="D9D9D9" w:themeFill="background1" w:themeFillShade="D9"/>
            <w:noWrap/>
            <w:hideMark/>
          </w:tcPr>
          <w:p w14:paraId="6D13E227" w14:textId="77777777" w:rsidR="00E869C8" w:rsidRPr="005D632E" w:rsidRDefault="00E869C8" w:rsidP="002575C6">
            <w:pPr>
              <w:jc w:val="center"/>
              <w:rPr>
                <w:rFonts w:ascii="Calibri" w:eastAsia="Times New Roman" w:hAnsi="Calibri" w:cs="Calibri"/>
                <w:color w:val="000000"/>
                <w:lang w:eastAsia="en-AU"/>
              </w:rPr>
            </w:pPr>
            <w:r w:rsidRPr="005D632E">
              <w:rPr>
                <w:rFonts w:ascii="Calibri" w:eastAsia="Times New Roman" w:hAnsi="Calibri" w:cs="Calibri"/>
                <w:color w:val="000000"/>
                <w:lang w:eastAsia="en-AU"/>
              </w:rPr>
              <w:t>Depth (m)</w:t>
            </w:r>
          </w:p>
        </w:tc>
        <w:tc>
          <w:tcPr>
            <w:tcW w:w="2410" w:type="dxa"/>
            <w:tcBorders>
              <w:top w:val="single" w:sz="4" w:space="0" w:color="96888C" w:themeColor="text1" w:themeTint="80"/>
              <w:left w:val="single" w:sz="4" w:space="0" w:color="auto"/>
              <w:right w:val="single" w:sz="4" w:space="0" w:color="auto"/>
            </w:tcBorders>
            <w:shd w:val="clear" w:color="auto" w:fill="D9D9D9" w:themeFill="background1" w:themeFillShade="D9"/>
            <w:noWrap/>
            <w:hideMark/>
          </w:tcPr>
          <w:p w14:paraId="2ED7D79F" w14:textId="77777777" w:rsidR="00E869C8" w:rsidRPr="005D632E" w:rsidRDefault="00E869C8" w:rsidP="002575C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D632E">
              <w:rPr>
                <w:rFonts w:ascii="Calibri" w:eastAsia="Times New Roman" w:hAnsi="Calibri" w:cs="Calibri"/>
                <w:color w:val="000000"/>
                <w:lang w:eastAsia="en-AU"/>
              </w:rPr>
              <w:t>Volume (ML)</w:t>
            </w:r>
          </w:p>
        </w:tc>
        <w:tc>
          <w:tcPr>
            <w:tcW w:w="1985" w:type="dxa"/>
            <w:tcBorders>
              <w:top w:val="single" w:sz="4" w:space="0" w:color="96888C" w:themeColor="text1" w:themeTint="80"/>
              <w:left w:val="single" w:sz="4" w:space="0" w:color="auto"/>
              <w:right w:val="single" w:sz="4" w:space="0" w:color="auto"/>
            </w:tcBorders>
            <w:shd w:val="clear" w:color="auto" w:fill="D9D9D9" w:themeFill="background1" w:themeFillShade="D9"/>
          </w:tcPr>
          <w:p w14:paraId="2977C681" w14:textId="77777777" w:rsidR="00E869C8" w:rsidRPr="005D632E" w:rsidRDefault="00E869C8" w:rsidP="002575C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 total volume</w:t>
            </w:r>
          </w:p>
        </w:tc>
        <w:tc>
          <w:tcPr>
            <w:tcW w:w="1395" w:type="dxa"/>
            <w:tcBorders>
              <w:top w:val="single" w:sz="4" w:space="0" w:color="96888C" w:themeColor="text1" w:themeTint="80"/>
              <w:left w:val="single" w:sz="4" w:space="0" w:color="auto"/>
              <w:right w:val="single" w:sz="4" w:space="0" w:color="auto"/>
            </w:tcBorders>
            <w:shd w:val="clear" w:color="auto" w:fill="D9D9D9" w:themeFill="background1" w:themeFillShade="D9"/>
            <w:noWrap/>
            <w:hideMark/>
          </w:tcPr>
          <w:p w14:paraId="7307113C" w14:textId="77777777" w:rsidR="00E869C8" w:rsidRPr="005D632E" w:rsidRDefault="00E869C8" w:rsidP="002575C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D632E">
              <w:rPr>
                <w:rFonts w:ascii="Calibri" w:eastAsia="Times New Roman" w:hAnsi="Calibri" w:cs="Calibri"/>
                <w:color w:val="000000"/>
                <w:lang w:eastAsia="en-AU"/>
              </w:rPr>
              <w:t>Av DO</w:t>
            </w:r>
          </w:p>
        </w:tc>
        <w:tc>
          <w:tcPr>
            <w:tcW w:w="1559" w:type="dxa"/>
            <w:tcBorders>
              <w:left w:val="single" w:sz="4" w:space="0" w:color="auto"/>
            </w:tcBorders>
            <w:shd w:val="clear" w:color="auto" w:fill="D9D9D9" w:themeFill="background1" w:themeFillShade="D9"/>
            <w:noWrap/>
            <w:hideMark/>
          </w:tcPr>
          <w:p w14:paraId="712D2AD9" w14:textId="77777777" w:rsidR="00E869C8" w:rsidRPr="005D632E" w:rsidRDefault="00E869C8" w:rsidP="002575C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D632E">
              <w:rPr>
                <w:rFonts w:ascii="Calibri" w:eastAsia="Times New Roman" w:hAnsi="Calibri" w:cs="Calibri"/>
                <w:color w:val="000000"/>
                <w:lang w:eastAsia="en-AU"/>
              </w:rPr>
              <w:t>Av temp</w:t>
            </w:r>
          </w:p>
        </w:tc>
      </w:tr>
      <w:tr w:rsidR="00E869C8" w:rsidRPr="005D632E" w14:paraId="46E914EF" w14:textId="77777777" w:rsidTr="002575C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auto"/>
            </w:tcBorders>
            <w:noWrap/>
            <w:hideMark/>
          </w:tcPr>
          <w:p w14:paraId="43805C0A" w14:textId="77777777" w:rsidR="00E869C8" w:rsidRPr="005D632E" w:rsidRDefault="00E869C8" w:rsidP="002575C6">
            <w:pPr>
              <w:jc w:val="center"/>
              <w:rPr>
                <w:rFonts w:ascii="Calibri" w:eastAsia="Times New Roman" w:hAnsi="Calibri" w:cs="Calibri"/>
                <w:color w:val="000000"/>
                <w:lang w:eastAsia="en-AU"/>
              </w:rPr>
            </w:pPr>
            <w:r w:rsidRPr="005D632E">
              <w:rPr>
                <w:rFonts w:ascii="Calibri" w:eastAsia="Times New Roman" w:hAnsi="Calibri" w:cs="Calibri"/>
                <w:color w:val="000000"/>
                <w:lang w:eastAsia="en-AU"/>
              </w:rPr>
              <w:t>0-1</w:t>
            </w:r>
          </w:p>
        </w:tc>
        <w:tc>
          <w:tcPr>
            <w:tcW w:w="2410" w:type="dxa"/>
            <w:tcBorders>
              <w:left w:val="single" w:sz="4" w:space="0" w:color="auto"/>
              <w:right w:val="single" w:sz="4" w:space="0" w:color="auto"/>
            </w:tcBorders>
            <w:noWrap/>
            <w:hideMark/>
          </w:tcPr>
          <w:p w14:paraId="2E57BC08" w14:textId="77777777" w:rsidR="00E869C8" w:rsidRPr="005D632E" w:rsidRDefault="00E869C8" w:rsidP="002575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D632E">
              <w:rPr>
                <w:rFonts w:ascii="Calibri" w:eastAsia="Times New Roman" w:hAnsi="Calibri" w:cs="Calibri"/>
                <w:color w:val="000000"/>
                <w:lang w:eastAsia="en-AU"/>
              </w:rPr>
              <w:t>35</w:t>
            </w:r>
            <w:r>
              <w:rPr>
                <w:rFonts w:ascii="Calibri" w:eastAsia="Times New Roman" w:hAnsi="Calibri" w:cs="Calibri"/>
                <w:color w:val="000000"/>
                <w:lang w:eastAsia="en-AU"/>
              </w:rPr>
              <w:t>3</w:t>
            </w:r>
          </w:p>
        </w:tc>
        <w:tc>
          <w:tcPr>
            <w:tcW w:w="1985" w:type="dxa"/>
            <w:tcBorders>
              <w:left w:val="single" w:sz="4" w:space="0" w:color="auto"/>
              <w:right w:val="single" w:sz="4" w:space="0" w:color="auto"/>
            </w:tcBorders>
            <w:vAlign w:val="bottom"/>
          </w:tcPr>
          <w:p w14:paraId="76D554EC" w14:textId="77777777" w:rsidR="00E869C8" w:rsidRDefault="00E869C8" w:rsidP="002575C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34%</w:t>
            </w:r>
          </w:p>
        </w:tc>
        <w:tc>
          <w:tcPr>
            <w:tcW w:w="1395" w:type="dxa"/>
            <w:tcBorders>
              <w:left w:val="single" w:sz="4" w:space="0" w:color="auto"/>
              <w:right w:val="single" w:sz="4" w:space="0" w:color="auto"/>
            </w:tcBorders>
            <w:noWrap/>
            <w:hideMark/>
          </w:tcPr>
          <w:p w14:paraId="7127CFA7" w14:textId="77777777" w:rsidR="00E869C8" w:rsidRPr="005D632E" w:rsidRDefault="00E869C8" w:rsidP="002575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D632E">
              <w:rPr>
                <w:rFonts w:ascii="Calibri" w:eastAsia="Times New Roman" w:hAnsi="Calibri" w:cs="Calibri"/>
                <w:color w:val="000000"/>
                <w:lang w:eastAsia="en-AU"/>
              </w:rPr>
              <w:t>7.69</w:t>
            </w:r>
          </w:p>
        </w:tc>
        <w:tc>
          <w:tcPr>
            <w:tcW w:w="1559" w:type="dxa"/>
            <w:tcBorders>
              <w:left w:val="single" w:sz="4" w:space="0" w:color="auto"/>
            </w:tcBorders>
            <w:noWrap/>
            <w:hideMark/>
          </w:tcPr>
          <w:p w14:paraId="1F56257E" w14:textId="77777777" w:rsidR="00E869C8" w:rsidRPr="005D632E" w:rsidRDefault="00E869C8" w:rsidP="002575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D632E">
              <w:rPr>
                <w:rFonts w:ascii="Calibri" w:eastAsia="Times New Roman" w:hAnsi="Calibri" w:cs="Calibri"/>
                <w:color w:val="000000"/>
                <w:lang w:eastAsia="en-AU"/>
              </w:rPr>
              <w:t>26.31</w:t>
            </w:r>
          </w:p>
        </w:tc>
      </w:tr>
      <w:tr w:rsidR="00E869C8" w:rsidRPr="005D632E" w14:paraId="6C1812F8" w14:textId="77777777" w:rsidTr="002575C6">
        <w:trPr>
          <w:trHeight w:val="290"/>
          <w:jc w:val="center"/>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auto"/>
            </w:tcBorders>
            <w:noWrap/>
            <w:hideMark/>
          </w:tcPr>
          <w:p w14:paraId="76D4FD92" w14:textId="77777777" w:rsidR="00E869C8" w:rsidRPr="005D632E" w:rsidRDefault="00E869C8" w:rsidP="002575C6">
            <w:pPr>
              <w:jc w:val="center"/>
              <w:rPr>
                <w:rFonts w:ascii="Calibri" w:eastAsia="Times New Roman" w:hAnsi="Calibri" w:cs="Calibri"/>
                <w:color w:val="000000"/>
                <w:lang w:eastAsia="en-AU"/>
              </w:rPr>
            </w:pPr>
            <w:r w:rsidRPr="005D632E">
              <w:rPr>
                <w:rFonts w:ascii="Calibri" w:eastAsia="Times New Roman" w:hAnsi="Calibri" w:cs="Calibri"/>
                <w:color w:val="000000"/>
                <w:lang w:eastAsia="en-AU"/>
              </w:rPr>
              <w:t>1-2</w:t>
            </w:r>
          </w:p>
        </w:tc>
        <w:tc>
          <w:tcPr>
            <w:tcW w:w="2410" w:type="dxa"/>
            <w:tcBorders>
              <w:top w:val="single" w:sz="4" w:space="0" w:color="96888C" w:themeColor="text1" w:themeTint="80"/>
              <w:left w:val="single" w:sz="4" w:space="0" w:color="auto"/>
              <w:bottom w:val="single" w:sz="4" w:space="0" w:color="96888C" w:themeColor="text1" w:themeTint="80"/>
              <w:right w:val="single" w:sz="4" w:space="0" w:color="auto"/>
            </w:tcBorders>
            <w:noWrap/>
            <w:hideMark/>
          </w:tcPr>
          <w:p w14:paraId="6410C7B1" w14:textId="77777777" w:rsidR="00E869C8" w:rsidRPr="005D632E" w:rsidRDefault="00E869C8" w:rsidP="002575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D632E">
              <w:rPr>
                <w:rFonts w:ascii="Calibri" w:eastAsia="Times New Roman" w:hAnsi="Calibri" w:cs="Calibri"/>
                <w:color w:val="000000"/>
                <w:lang w:eastAsia="en-AU"/>
              </w:rPr>
              <w:t>33</w:t>
            </w:r>
            <w:r>
              <w:rPr>
                <w:rFonts w:ascii="Calibri" w:eastAsia="Times New Roman" w:hAnsi="Calibri" w:cs="Calibri"/>
                <w:color w:val="000000"/>
                <w:lang w:eastAsia="en-AU"/>
              </w:rPr>
              <w:t>3</w:t>
            </w:r>
          </w:p>
        </w:tc>
        <w:tc>
          <w:tcPr>
            <w:tcW w:w="1985" w:type="dxa"/>
            <w:tcBorders>
              <w:top w:val="single" w:sz="4" w:space="0" w:color="96888C" w:themeColor="text1" w:themeTint="80"/>
              <w:left w:val="single" w:sz="4" w:space="0" w:color="auto"/>
              <w:bottom w:val="single" w:sz="4" w:space="0" w:color="96888C" w:themeColor="text1" w:themeTint="80"/>
              <w:right w:val="single" w:sz="4" w:space="0" w:color="auto"/>
            </w:tcBorders>
            <w:vAlign w:val="bottom"/>
          </w:tcPr>
          <w:p w14:paraId="72C9C2AA" w14:textId="77777777" w:rsidR="00E869C8" w:rsidRDefault="00E869C8" w:rsidP="002575C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w:t>
            </w:r>
          </w:p>
        </w:tc>
        <w:tc>
          <w:tcPr>
            <w:tcW w:w="1395" w:type="dxa"/>
            <w:tcBorders>
              <w:top w:val="single" w:sz="4" w:space="0" w:color="96888C" w:themeColor="text1" w:themeTint="80"/>
              <w:left w:val="single" w:sz="4" w:space="0" w:color="auto"/>
              <w:bottom w:val="single" w:sz="4" w:space="0" w:color="96888C" w:themeColor="text1" w:themeTint="80"/>
              <w:right w:val="single" w:sz="4" w:space="0" w:color="auto"/>
            </w:tcBorders>
            <w:noWrap/>
            <w:hideMark/>
          </w:tcPr>
          <w:p w14:paraId="413DED24" w14:textId="77777777" w:rsidR="00E869C8" w:rsidRPr="005D632E" w:rsidRDefault="00E869C8" w:rsidP="002575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D632E">
              <w:rPr>
                <w:rFonts w:ascii="Calibri" w:eastAsia="Times New Roman" w:hAnsi="Calibri" w:cs="Calibri"/>
                <w:color w:val="000000"/>
                <w:lang w:eastAsia="en-AU"/>
              </w:rPr>
              <w:t>7.58</w:t>
            </w:r>
          </w:p>
        </w:tc>
        <w:tc>
          <w:tcPr>
            <w:tcW w:w="1559" w:type="dxa"/>
            <w:tcBorders>
              <w:left w:val="single" w:sz="4" w:space="0" w:color="auto"/>
            </w:tcBorders>
            <w:noWrap/>
            <w:hideMark/>
          </w:tcPr>
          <w:p w14:paraId="7FBF61CE" w14:textId="77777777" w:rsidR="00E869C8" w:rsidRPr="005D632E" w:rsidRDefault="00E869C8" w:rsidP="002575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D632E">
              <w:rPr>
                <w:rFonts w:ascii="Calibri" w:eastAsia="Times New Roman" w:hAnsi="Calibri" w:cs="Calibri"/>
                <w:color w:val="000000"/>
                <w:lang w:eastAsia="en-AU"/>
              </w:rPr>
              <w:t>25.75</w:t>
            </w:r>
          </w:p>
        </w:tc>
      </w:tr>
      <w:tr w:rsidR="00E869C8" w:rsidRPr="005D632E" w14:paraId="365929CF" w14:textId="77777777" w:rsidTr="002575C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auto"/>
            </w:tcBorders>
            <w:noWrap/>
            <w:hideMark/>
          </w:tcPr>
          <w:p w14:paraId="729CAD1A" w14:textId="77777777" w:rsidR="00E869C8" w:rsidRPr="005D632E" w:rsidRDefault="00E869C8" w:rsidP="002575C6">
            <w:pPr>
              <w:jc w:val="center"/>
              <w:rPr>
                <w:rFonts w:ascii="Calibri" w:eastAsia="Times New Roman" w:hAnsi="Calibri" w:cs="Calibri"/>
                <w:color w:val="000000"/>
                <w:lang w:eastAsia="en-AU"/>
              </w:rPr>
            </w:pPr>
            <w:r w:rsidRPr="005D632E">
              <w:rPr>
                <w:rFonts w:ascii="Calibri" w:eastAsia="Times New Roman" w:hAnsi="Calibri" w:cs="Calibri"/>
                <w:color w:val="000000"/>
                <w:lang w:eastAsia="en-AU"/>
              </w:rPr>
              <w:t>2-3</w:t>
            </w:r>
          </w:p>
        </w:tc>
        <w:tc>
          <w:tcPr>
            <w:tcW w:w="2410" w:type="dxa"/>
            <w:tcBorders>
              <w:left w:val="single" w:sz="4" w:space="0" w:color="auto"/>
              <w:right w:val="single" w:sz="4" w:space="0" w:color="auto"/>
            </w:tcBorders>
            <w:noWrap/>
            <w:hideMark/>
          </w:tcPr>
          <w:p w14:paraId="7FA9A5C5" w14:textId="77777777" w:rsidR="00E869C8" w:rsidRPr="005D632E" w:rsidRDefault="00E869C8" w:rsidP="002575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D632E">
              <w:rPr>
                <w:rFonts w:ascii="Calibri" w:eastAsia="Times New Roman" w:hAnsi="Calibri" w:cs="Calibri"/>
                <w:color w:val="000000"/>
                <w:lang w:eastAsia="en-AU"/>
              </w:rPr>
              <w:t>256</w:t>
            </w:r>
          </w:p>
        </w:tc>
        <w:tc>
          <w:tcPr>
            <w:tcW w:w="1985" w:type="dxa"/>
            <w:tcBorders>
              <w:left w:val="single" w:sz="4" w:space="0" w:color="auto"/>
              <w:right w:val="single" w:sz="4" w:space="0" w:color="auto"/>
            </w:tcBorders>
            <w:vAlign w:val="bottom"/>
          </w:tcPr>
          <w:p w14:paraId="2A4962FD" w14:textId="77777777" w:rsidR="00E869C8" w:rsidRDefault="00E869C8" w:rsidP="002575C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w:t>
            </w:r>
          </w:p>
        </w:tc>
        <w:tc>
          <w:tcPr>
            <w:tcW w:w="1395" w:type="dxa"/>
            <w:tcBorders>
              <w:left w:val="single" w:sz="4" w:space="0" w:color="auto"/>
              <w:right w:val="single" w:sz="4" w:space="0" w:color="auto"/>
            </w:tcBorders>
            <w:noWrap/>
            <w:hideMark/>
          </w:tcPr>
          <w:p w14:paraId="5C675774" w14:textId="77777777" w:rsidR="00E869C8" w:rsidRPr="005D632E" w:rsidRDefault="00E869C8" w:rsidP="002575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D632E">
              <w:rPr>
                <w:rFonts w:ascii="Calibri" w:eastAsia="Times New Roman" w:hAnsi="Calibri" w:cs="Calibri"/>
                <w:color w:val="000000"/>
                <w:lang w:eastAsia="en-AU"/>
              </w:rPr>
              <w:t>5.61</w:t>
            </w:r>
          </w:p>
        </w:tc>
        <w:tc>
          <w:tcPr>
            <w:tcW w:w="1559" w:type="dxa"/>
            <w:tcBorders>
              <w:left w:val="single" w:sz="4" w:space="0" w:color="auto"/>
            </w:tcBorders>
            <w:noWrap/>
            <w:hideMark/>
          </w:tcPr>
          <w:p w14:paraId="0392EB4A" w14:textId="77777777" w:rsidR="00E869C8" w:rsidRPr="005D632E" w:rsidRDefault="00E869C8" w:rsidP="002575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D632E">
              <w:rPr>
                <w:rFonts w:ascii="Calibri" w:eastAsia="Times New Roman" w:hAnsi="Calibri" w:cs="Calibri"/>
                <w:color w:val="000000"/>
                <w:lang w:eastAsia="en-AU"/>
              </w:rPr>
              <w:t>25.48</w:t>
            </w:r>
          </w:p>
        </w:tc>
      </w:tr>
      <w:tr w:rsidR="00E869C8" w:rsidRPr="005D632E" w14:paraId="1B6B5329" w14:textId="77777777" w:rsidTr="002575C6">
        <w:trPr>
          <w:trHeight w:val="290"/>
          <w:jc w:val="center"/>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auto"/>
            </w:tcBorders>
            <w:noWrap/>
            <w:hideMark/>
          </w:tcPr>
          <w:p w14:paraId="15A5BF52" w14:textId="77777777" w:rsidR="00E869C8" w:rsidRPr="005D632E" w:rsidRDefault="00E869C8" w:rsidP="002575C6">
            <w:pPr>
              <w:jc w:val="center"/>
              <w:rPr>
                <w:rFonts w:ascii="Calibri" w:eastAsia="Times New Roman" w:hAnsi="Calibri" w:cs="Calibri"/>
                <w:color w:val="000000"/>
                <w:lang w:eastAsia="en-AU"/>
              </w:rPr>
            </w:pPr>
            <w:r w:rsidRPr="005D632E">
              <w:rPr>
                <w:rFonts w:ascii="Calibri" w:eastAsia="Times New Roman" w:hAnsi="Calibri" w:cs="Calibri"/>
                <w:color w:val="000000"/>
                <w:lang w:eastAsia="en-AU"/>
              </w:rPr>
              <w:t>3-4</w:t>
            </w:r>
          </w:p>
        </w:tc>
        <w:tc>
          <w:tcPr>
            <w:tcW w:w="2410" w:type="dxa"/>
            <w:tcBorders>
              <w:top w:val="single" w:sz="4" w:space="0" w:color="96888C" w:themeColor="text1" w:themeTint="80"/>
              <w:left w:val="single" w:sz="4" w:space="0" w:color="auto"/>
              <w:bottom w:val="single" w:sz="4" w:space="0" w:color="96888C" w:themeColor="text1" w:themeTint="80"/>
              <w:right w:val="single" w:sz="4" w:space="0" w:color="auto"/>
            </w:tcBorders>
            <w:noWrap/>
            <w:hideMark/>
          </w:tcPr>
          <w:p w14:paraId="12A96D75" w14:textId="77777777" w:rsidR="00E869C8" w:rsidRPr="005D632E" w:rsidRDefault="00E869C8" w:rsidP="002575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D632E">
              <w:rPr>
                <w:rFonts w:ascii="Calibri" w:eastAsia="Times New Roman" w:hAnsi="Calibri" w:cs="Calibri"/>
                <w:color w:val="000000"/>
                <w:lang w:eastAsia="en-AU"/>
              </w:rPr>
              <w:t>93</w:t>
            </w:r>
          </w:p>
        </w:tc>
        <w:tc>
          <w:tcPr>
            <w:tcW w:w="1985" w:type="dxa"/>
            <w:tcBorders>
              <w:top w:val="single" w:sz="4" w:space="0" w:color="96888C" w:themeColor="text1" w:themeTint="80"/>
              <w:left w:val="single" w:sz="4" w:space="0" w:color="auto"/>
              <w:bottom w:val="single" w:sz="4" w:space="0" w:color="96888C" w:themeColor="text1" w:themeTint="80"/>
              <w:right w:val="single" w:sz="4" w:space="0" w:color="auto"/>
            </w:tcBorders>
            <w:vAlign w:val="bottom"/>
          </w:tcPr>
          <w:p w14:paraId="08D8CB9E" w14:textId="77777777" w:rsidR="00E869C8" w:rsidRDefault="00E869C8" w:rsidP="002575C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w:t>
            </w:r>
          </w:p>
        </w:tc>
        <w:tc>
          <w:tcPr>
            <w:tcW w:w="1395" w:type="dxa"/>
            <w:tcBorders>
              <w:top w:val="single" w:sz="4" w:space="0" w:color="96888C" w:themeColor="text1" w:themeTint="80"/>
              <w:left w:val="single" w:sz="4" w:space="0" w:color="auto"/>
              <w:bottom w:val="single" w:sz="4" w:space="0" w:color="96888C" w:themeColor="text1" w:themeTint="80"/>
              <w:right w:val="single" w:sz="4" w:space="0" w:color="auto"/>
            </w:tcBorders>
            <w:noWrap/>
            <w:hideMark/>
          </w:tcPr>
          <w:p w14:paraId="00082307" w14:textId="77777777" w:rsidR="00E869C8" w:rsidRPr="005D632E" w:rsidRDefault="00E869C8" w:rsidP="002575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D632E">
              <w:rPr>
                <w:rFonts w:ascii="Calibri" w:eastAsia="Times New Roman" w:hAnsi="Calibri" w:cs="Calibri"/>
                <w:color w:val="000000"/>
                <w:lang w:eastAsia="en-AU"/>
              </w:rPr>
              <w:t>1.32</w:t>
            </w:r>
          </w:p>
        </w:tc>
        <w:tc>
          <w:tcPr>
            <w:tcW w:w="1559" w:type="dxa"/>
            <w:tcBorders>
              <w:left w:val="single" w:sz="4" w:space="0" w:color="auto"/>
            </w:tcBorders>
            <w:noWrap/>
            <w:hideMark/>
          </w:tcPr>
          <w:p w14:paraId="5334609D" w14:textId="77777777" w:rsidR="00E869C8" w:rsidRPr="005D632E" w:rsidRDefault="00E869C8" w:rsidP="002575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D632E">
              <w:rPr>
                <w:rFonts w:ascii="Calibri" w:eastAsia="Times New Roman" w:hAnsi="Calibri" w:cs="Calibri"/>
                <w:color w:val="000000"/>
                <w:lang w:eastAsia="en-AU"/>
              </w:rPr>
              <w:t>24.65</w:t>
            </w:r>
          </w:p>
        </w:tc>
      </w:tr>
      <w:tr w:rsidR="00E869C8" w:rsidRPr="005D632E" w14:paraId="6C6FCEDF" w14:textId="77777777" w:rsidTr="002575C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auto"/>
            </w:tcBorders>
            <w:noWrap/>
            <w:hideMark/>
          </w:tcPr>
          <w:p w14:paraId="7F621120" w14:textId="77777777" w:rsidR="00E869C8" w:rsidRPr="005D632E" w:rsidRDefault="00E869C8" w:rsidP="002575C6">
            <w:pPr>
              <w:jc w:val="center"/>
              <w:rPr>
                <w:rFonts w:ascii="Calibri" w:eastAsia="Times New Roman" w:hAnsi="Calibri" w:cs="Calibri"/>
                <w:color w:val="000000"/>
                <w:lang w:eastAsia="en-AU"/>
              </w:rPr>
            </w:pPr>
            <w:r w:rsidRPr="005D632E">
              <w:rPr>
                <w:rFonts w:ascii="Calibri" w:eastAsia="Times New Roman" w:hAnsi="Calibri" w:cs="Calibri"/>
                <w:color w:val="000000"/>
                <w:lang w:eastAsia="en-AU"/>
              </w:rPr>
              <w:t>4-4.5</w:t>
            </w:r>
          </w:p>
        </w:tc>
        <w:tc>
          <w:tcPr>
            <w:tcW w:w="2410" w:type="dxa"/>
            <w:tcBorders>
              <w:left w:val="single" w:sz="4" w:space="0" w:color="auto"/>
              <w:right w:val="single" w:sz="4" w:space="0" w:color="auto"/>
            </w:tcBorders>
            <w:noWrap/>
            <w:hideMark/>
          </w:tcPr>
          <w:p w14:paraId="7037F288" w14:textId="77777777" w:rsidR="00E869C8" w:rsidRPr="005D632E" w:rsidRDefault="00E869C8" w:rsidP="002575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5</w:t>
            </w:r>
          </w:p>
        </w:tc>
        <w:tc>
          <w:tcPr>
            <w:tcW w:w="1985" w:type="dxa"/>
            <w:tcBorders>
              <w:left w:val="single" w:sz="4" w:space="0" w:color="auto"/>
              <w:right w:val="single" w:sz="4" w:space="0" w:color="auto"/>
            </w:tcBorders>
            <w:vAlign w:val="bottom"/>
          </w:tcPr>
          <w:p w14:paraId="2D6039A1" w14:textId="77777777" w:rsidR="00E869C8" w:rsidRDefault="00E869C8" w:rsidP="002575C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w:t>
            </w:r>
          </w:p>
        </w:tc>
        <w:tc>
          <w:tcPr>
            <w:tcW w:w="1395" w:type="dxa"/>
            <w:tcBorders>
              <w:left w:val="single" w:sz="4" w:space="0" w:color="auto"/>
              <w:right w:val="single" w:sz="4" w:space="0" w:color="auto"/>
            </w:tcBorders>
            <w:noWrap/>
            <w:hideMark/>
          </w:tcPr>
          <w:p w14:paraId="5F8F9075" w14:textId="77777777" w:rsidR="00E869C8" w:rsidRPr="005D632E" w:rsidRDefault="00E869C8" w:rsidP="002575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D632E">
              <w:rPr>
                <w:rFonts w:ascii="Calibri" w:eastAsia="Times New Roman" w:hAnsi="Calibri" w:cs="Calibri"/>
                <w:color w:val="000000"/>
                <w:lang w:eastAsia="en-AU"/>
              </w:rPr>
              <w:t>0.76</w:t>
            </w:r>
          </w:p>
        </w:tc>
        <w:tc>
          <w:tcPr>
            <w:tcW w:w="1559" w:type="dxa"/>
            <w:tcBorders>
              <w:left w:val="single" w:sz="4" w:space="0" w:color="auto"/>
            </w:tcBorders>
            <w:noWrap/>
            <w:hideMark/>
          </w:tcPr>
          <w:p w14:paraId="21A5B079" w14:textId="77777777" w:rsidR="00E869C8" w:rsidRPr="005D632E" w:rsidRDefault="00E869C8" w:rsidP="002575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5D632E">
              <w:rPr>
                <w:rFonts w:ascii="Calibri" w:eastAsia="Times New Roman" w:hAnsi="Calibri" w:cs="Calibri"/>
                <w:color w:val="000000"/>
                <w:lang w:eastAsia="en-AU"/>
              </w:rPr>
              <w:t>23.49</w:t>
            </w:r>
          </w:p>
        </w:tc>
      </w:tr>
      <w:tr w:rsidR="00E869C8" w:rsidRPr="005D632E" w14:paraId="308E27D0" w14:textId="77777777" w:rsidTr="002575C6">
        <w:trPr>
          <w:trHeight w:val="290"/>
          <w:jc w:val="center"/>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auto"/>
            </w:tcBorders>
            <w:noWrap/>
            <w:hideMark/>
          </w:tcPr>
          <w:p w14:paraId="186034B4" w14:textId="77777777" w:rsidR="00E869C8" w:rsidRPr="005D632E" w:rsidRDefault="00E869C8" w:rsidP="002575C6">
            <w:pPr>
              <w:jc w:val="center"/>
              <w:rPr>
                <w:rFonts w:ascii="Calibri" w:eastAsia="Times New Roman" w:hAnsi="Calibri" w:cs="Calibri"/>
                <w:color w:val="000000"/>
                <w:lang w:eastAsia="en-AU"/>
              </w:rPr>
            </w:pPr>
            <w:r w:rsidRPr="005D632E">
              <w:rPr>
                <w:rFonts w:ascii="Calibri" w:eastAsia="Times New Roman" w:hAnsi="Calibri" w:cs="Calibri"/>
                <w:color w:val="000000"/>
                <w:lang w:eastAsia="en-AU"/>
              </w:rPr>
              <w:t>total volume</w:t>
            </w:r>
          </w:p>
        </w:tc>
        <w:tc>
          <w:tcPr>
            <w:tcW w:w="2410" w:type="dxa"/>
            <w:tcBorders>
              <w:top w:val="single" w:sz="4" w:space="0" w:color="96888C" w:themeColor="text1" w:themeTint="80"/>
              <w:left w:val="single" w:sz="4" w:space="0" w:color="auto"/>
              <w:bottom w:val="single" w:sz="4" w:space="0" w:color="96888C" w:themeColor="text1" w:themeTint="80"/>
              <w:right w:val="single" w:sz="4" w:space="0" w:color="auto"/>
            </w:tcBorders>
            <w:noWrap/>
            <w:hideMark/>
          </w:tcPr>
          <w:p w14:paraId="3DD2A240" w14:textId="77777777" w:rsidR="00E869C8" w:rsidRPr="005D632E" w:rsidRDefault="00E869C8" w:rsidP="002575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D632E">
              <w:rPr>
                <w:rFonts w:ascii="Calibri" w:eastAsia="Times New Roman" w:hAnsi="Calibri" w:cs="Calibri"/>
                <w:color w:val="000000"/>
                <w:lang w:eastAsia="en-AU"/>
              </w:rPr>
              <w:t>1039</w:t>
            </w:r>
          </w:p>
        </w:tc>
        <w:tc>
          <w:tcPr>
            <w:tcW w:w="4939" w:type="dxa"/>
            <w:gridSpan w:val="3"/>
            <w:tcBorders>
              <w:top w:val="single" w:sz="4" w:space="0" w:color="96888C" w:themeColor="text1" w:themeTint="80"/>
              <w:left w:val="single" w:sz="4" w:space="0" w:color="auto"/>
              <w:bottom w:val="single" w:sz="4" w:space="0" w:color="96888C" w:themeColor="text1" w:themeTint="80"/>
            </w:tcBorders>
          </w:tcPr>
          <w:p w14:paraId="54A74851" w14:textId="77777777" w:rsidR="00E869C8" w:rsidRPr="005D632E" w:rsidRDefault="00E869C8" w:rsidP="002575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bl>
    <w:p w14:paraId="392F3AC5" w14:textId="77777777" w:rsidR="0063594C" w:rsidRDefault="0063594C" w:rsidP="0063594C">
      <w:pPr>
        <w:pStyle w:val="Heading3"/>
      </w:pPr>
      <w:bookmarkStart w:id="45" w:name="_Toc38889745"/>
      <w:r>
        <w:t>Summary of pre event sampling</w:t>
      </w:r>
      <w:bookmarkEnd w:id="45"/>
    </w:p>
    <w:p w14:paraId="63EE5D2C" w14:textId="5C20D046" w:rsidR="0063594C" w:rsidRPr="0063594C" w:rsidRDefault="0063594C" w:rsidP="0063594C">
      <w:bookmarkStart w:id="46" w:name="_Hlk5961925"/>
      <w:r>
        <w:t xml:space="preserve">During this survey period, the Barwon River was flowing at Mungindi and downstream to at least the Little Weir River confluence. Flows hadn’t reached </w:t>
      </w:r>
      <w:proofErr w:type="spellStart"/>
      <w:r>
        <w:t>Mogil</w:t>
      </w:r>
      <w:proofErr w:type="spellEnd"/>
      <w:r>
        <w:t xml:space="preserve"> </w:t>
      </w:r>
      <w:proofErr w:type="spellStart"/>
      <w:r>
        <w:t>Mogil</w:t>
      </w:r>
      <w:proofErr w:type="spellEnd"/>
      <w:r>
        <w:t xml:space="preserve"> yet. The water level in all other weir pools was low. Water quality in most weir pools still seemed within acceptable levels, with no odours of note, no visible algal blooms and turbidity generally low for this region (&lt; 60 NTU in Barwon-Darling, 205 NTU in Mehi). Thermal stratification was present in Collarenebri weir pool and appeared to extend along most of the weir pool. Dissolved Oxygen followed this vertical profile with concentrations below 2m at &lt;3 mg/l (30% SAT). Sampling suggests the potential for lower dissolved oxygen below 3m at Brewarrina, though at the time of measuring still &gt;7 mg/l at 4m. Generally, there was reduced temperature with depth, but either minimal or gradual change in most weir pools. Upstream sites at Brewarrina and Collarenebri showed greatest reductions in temperature of around 4-5 </w:t>
      </w:r>
      <w:r w:rsidRPr="00C45D43">
        <w:rPr>
          <w:vertAlign w:val="superscript"/>
        </w:rPr>
        <w:t>o</w:t>
      </w:r>
      <w:r>
        <w:t>C from surface to a depth of 4m.</w:t>
      </w:r>
      <w:bookmarkEnd w:id="46"/>
      <w:r>
        <w:t xml:space="preserve"> </w:t>
      </w:r>
      <w:r w:rsidR="007D75F0">
        <w:t xml:space="preserve">Algal concentrations varied at sites before the NFF ranging from no alert with low concentrations at </w:t>
      </w:r>
      <w:r w:rsidR="007D75F0">
        <w:lastRenderedPageBreak/>
        <w:t xml:space="preserve">Walgett and Mungindi to red alert levels at Brewarrina. Some sites showed the presence </w:t>
      </w:r>
      <w:r w:rsidR="007D75F0" w:rsidRPr="007D75F0">
        <w:t xml:space="preserve">of </w:t>
      </w:r>
      <w:r w:rsidRPr="007D75F0">
        <w:t xml:space="preserve">toxic </w:t>
      </w:r>
      <w:r w:rsidR="007D75F0" w:rsidRPr="007D75F0">
        <w:t xml:space="preserve">algal </w:t>
      </w:r>
      <w:r w:rsidRPr="007D75F0">
        <w:t xml:space="preserve">species but </w:t>
      </w:r>
      <w:r w:rsidR="007D75F0">
        <w:t xml:space="preserve">these were </w:t>
      </w:r>
      <w:r w:rsidRPr="007D75F0">
        <w:t xml:space="preserve">in low concentration. The volume analysis carried out in Collarenebri </w:t>
      </w:r>
      <w:r w:rsidR="00035C56" w:rsidRPr="007D75F0">
        <w:t>weir pool</w:t>
      </w:r>
      <w:r w:rsidRPr="007D75F0">
        <w:t xml:space="preserve"> suggested</w:t>
      </w:r>
      <w:r w:rsidRPr="0063594C">
        <w:t xml:space="preserve"> that there was only around 10% of the weir pool by volume that contained low quality anoxic water, therefore the risks of causing poor water quality throughout the pool but the delivery of the NFF was low.</w:t>
      </w:r>
    </w:p>
    <w:p w14:paraId="7FCAA11E" w14:textId="5197EE11" w:rsidR="00AF6E9E" w:rsidRDefault="00AF6E9E" w:rsidP="00AF6E9E">
      <w:pPr>
        <w:pStyle w:val="Heading2"/>
      </w:pPr>
      <w:bookmarkStart w:id="47" w:name="_Toc38889746"/>
      <w:r>
        <w:t>Water Quality Spot measures</w:t>
      </w:r>
      <w:r w:rsidR="003F0A96">
        <w:t xml:space="preserve"> over time</w:t>
      </w:r>
      <w:bookmarkEnd w:id="47"/>
    </w:p>
    <w:p w14:paraId="09A6771B" w14:textId="257CD995" w:rsidR="00D4038C" w:rsidRDefault="003F0A96" w:rsidP="00D17D0F">
      <w:r>
        <w:t xml:space="preserve">Water quality parameters measured in March (pre flow), May, July and August showed variations between parameters, sample times, sites and depths within sites. </w:t>
      </w:r>
    </w:p>
    <w:p w14:paraId="7AB6CF47" w14:textId="799C0729" w:rsidR="003F0A96" w:rsidRDefault="00AD0E4B" w:rsidP="00D17D0F">
      <w:r>
        <w:t xml:space="preserve">Water temperatures over the study period ranged from </w:t>
      </w:r>
      <w:r w:rsidR="00A14CE8">
        <w:t xml:space="preserve">10.4 – 29.8 </w:t>
      </w:r>
      <w:proofErr w:type="spellStart"/>
      <w:r w:rsidR="00A14CE8" w:rsidRPr="0063594C">
        <w:rPr>
          <w:vertAlign w:val="superscript"/>
        </w:rPr>
        <w:t>o</w:t>
      </w:r>
      <w:r w:rsidR="00A14CE8">
        <w:t>C</w:t>
      </w:r>
      <w:proofErr w:type="spellEnd"/>
      <w:r w:rsidR="006C727B">
        <w:t xml:space="preserve"> (</w:t>
      </w:r>
      <w:r w:rsidR="00D17D0F">
        <w:fldChar w:fldCharType="begin"/>
      </w:r>
      <w:r w:rsidR="00D17D0F">
        <w:instrText xml:space="preserve"> REF _Ref38889806 \h </w:instrText>
      </w:r>
      <w:r w:rsidR="00D17D0F">
        <w:fldChar w:fldCharType="separate"/>
      </w:r>
      <w:r w:rsidR="006567A5">
        <w:t xml:space="preserve">Figure </w:t>
      </w:r>
      <w:r w:rsidR="006567A5">
        <w:rPr>
          <w:noProof/>
        </w:rPr>
        <w:t>12</w:t>
      </w:r>
      <w:r w:rsidR="00D17D0F">
        <w:fldChar w:fldCharType="end"/>
      </w:r>
      <w:r w:rsidR="006C727B">
        <w:t>)</w:t>
      </w:r>
      <w:r w:rsidR="00A14CE8">
        <w:t>. T</w:t>
      </w:r>
      <w:r w:rsidR="003F0A96">
        <w:t>emperature</w:t>
      </w:r>
      <w:r w:rsidR="00A14CE8">
        <w:t>s</w:t>
      </w:r>
      <w:r w:rsidR="003F0A96">
        <w:t xml:space="preserve"> typically dropped between sample times at most sites, and tended to be warmer on the surface. </w:t>
      </w:r>
      <w:r w:rsidR="003E494D">
        <w:t>Stratification was evident at all sites except</w:t>
      </w:r>
      <w:r w:rsidR="003F0A96">
        <w:t xml:space="preserve"> the Bourke</w:t>
      </w:r>
      <w:r w:rsidR="00565B53">
        <w:t xml:space="preserve"> and Walgett</w:t>
      </w:r>
      <w:r w:rsidR="003F0A96">
        <w:t xml:space="preserve"> sites with little change in temperature throughout the water column. This is most likely due to the relatively shallow nature of</w:t>
      </w:r>
      <w:r w:rsidR="003E494D">
        <w:t xml:space="preserve"> </w:t>
      </w:r>
      <w:r w:rsidR="00565B53">
        <w:t xml:space="preserve">both these </w:t>
      </w:r>
      <w:r w:rsidR="003E494D">
        <w:t>weir</w:t>
      </w:r>
      <w:r w:rsidR="00C925C6">
        <w:t xml:space="preserve"> </w:t>
      </w:r>
      <w:r w:rsidR="003E494D">
        <w:t>pool</w:t>
      </w:r>
      <w:r w:rsidR="00565B53">
        <w:t>s</w:t>
      </w:r>
      <w:r w:rsidR="003E494D">
        <w:t>. At Mungindi 1 and Collarenebri 2 the reduction in temperature was most noticeable between the surface and 1m depth intervals during March, and between 1m and 2m intervals in March at Brewarrina 2</w:t>
      </w:r>
      <w:r w:rsidR="006C727B">
        <w:t xml:space="preserve"> (</w:t>
      </w:r>
      <w:r w:rsidR="00AA57F3">
        <w:fldChar w:fldCharType="begin"/>
      </w:r>
      <w:r w:rsidR="00AA57F3">
        <w:instrText xml:space="preserve"> REF _Ref38889806 \h </w:instrText>
      </w:r>
      <w:r w:rsidR="00AA57F3">
        <w:fldChar w:fldCharType="separate"/>
      </w:r>
      <w:r w:rsidR="006567A5">
        <w:t xml:space="preserve">Figure </w:t>
      </w:r>
      <w:r w:rsidR="006567A5">
        <w:rPr>
          <w:noProof/>
        </w:rPr>
        <w:t>12</w:t>
      </w:r>
      <w:r w:rsidR="00AA57F3">
        <w:fldChar w:fldCharType="end"/>
      </w:r>
      <w:r w:rsidR="006C727B">
        <w:t>)</w:t>
      </w:r>
      <w:r w:rsidR="003E494D">
        <w:t xml:space="preserve">. Similar patterns of stratification were evident at both Mungindi sites and Brewarrina 2 in July and August.  </w:t>
      </w:r>
      <w:r w:rsidR="009F5C4B">
        <w:t>At both Collarenebri sites, but especially Collarenebri 2, stratification was evident in the March – July surveys, but then was almost not existent in the August survey</w:t>
      </w:r>
      <w:r w:rsidR="006C727B">
        <w:t xml:space="preserve"> (</w:t>
      </w:r>
      <w:r w:rsidR="00D17D0F">
        <w:fldChar w:fldCharType="begin"/>
      </w:r>
      <w:r w:rsidR="00D17D0F">
        <w:instrText xml:space="preserve"> REF _Ref38889806 \h </w:instrText>
      </w:r>
      <w:r w:rsidR="00D17D0F">
        <w:fldChar w:fldCharType="separate"/>
      </w:r>
      <w:r w:rsidR="006567A5">
        <w:t xml:space="preserve">Figure </w:t>
      </w:r>
      <w:r w:rsidR="006567A5">
        <w:rPr>
          <w:noProof/>
        </w:rPr>
        <w:t>12</w:t>
      </w:r>
      <w:r w:rsidR="00D17D0F">
        <w:fldChar w:fldCharType="end"/>
      </w:r>
      <w:r w:rsidR="006C727B">
        <w:t>)</w:t>
      </w:r>
      <w:r w:rsidR="009F5C4B">
        <w:t xml:space="preserve">. </w:t>
      </w:r>
    </w:p>
    <w:p w14:paraId="3FB01FCE" w14:textId="03DB935B" w:rsidR="00AA57F3" w:rsidRDefault="00A14CE8" w:rsidP="00AA57F3">
      <w:r>
        <w:t xml:space="preserve">Dissolved oxygen (DO) concentrations over the study period ranged from </w:t>
      </w:r>
      <w:r w:rsidR="00035C56">
        <w:t>0.45 –</w:t>
      </w:r>
      <w:r>
        <w:t xml:space="preserve"> 12.51 mg/l</w:t>
      </w:r>
      <w:r w:rsidR="00F31026">
        <w:t xml:space="preserve"> (</w:t>
      </w:r>
      <w:r w:rsidR="0063594C">
        <w:fldChar w:fldCharType="begin"/>
      </w:r>
      <w:r w:rsidR="0063594C">
        <w:instrText xml:space="preserve"> REF _Ref38877601 \h </w:instrText>
      </w:r>
      <w:r w:rsidR="00D17D0F">
        <w:instrText xml:space="preserve"> \* MERGEFORMAT </w:instrText>
      </w:r>
      <w:r w:rsidR="0063594C">
        <w:fldChar w:fldCharType="separate"/>
      </w:r>
      <w:r w:rsidR="006567A5">
        <w:t xml:space="preserve">Figure </w:t>
      </w:r>
      <w:r w:rsidR="006567A5">
        <w:rPr>
          <w:noProof/>
        </w:rPr>
        <w:t>13</w:t>
      </w:r>
      <w:r w:rsidR="0063594C">
        <w:fldChar w:fldCharType="end"/>
      </w:r>
      <w:r w:rsidR="00F31026">
        <w:t>)</w:t>
      </w:r>
      <w:r>
        <w:t xml:space="preserve">. </w:t>
      </w:r>
      <w:r w:rsidR="008021A0">
        <w:t xml:space="preserve">DO content also showed variation over time and with depth within the </w:t>
      </w:r>
      <w:r w:rsidR="00C925C6">
        <w:t>weir</w:t>
      </w:r>
      <w:r w:rsidR="003E7424">
        <w:t xml:space="preserve"> </w:t>
      </w:r>
      <w:r w:rsidR="008021A0">
        <w:t>pools of the Barwon-Darling River</w:t>
      </w:r>
      <w:r w:rsidR="003E7424">
        <w:t>, but didn’t always appear to be related to temperature differences</w:t>
      </w:r>
      <w:r w:rsidR="008021A0">
        <w:t>. In March, DO content was within the range of 4-10 mg/l at every site, apart from at Collarenebri 2 where it was below 2 mg/l at depths greater than 3m</w:t>
      </w:r>
      <w:r w:rsidR="00F31026">
        <w:t xml:space="preserve"> (</w:t>
      </w:r>
      <w:r w:rsidR="0063594C">
        <w:fldChar w:fldCharType="begin"/>
      </w:r>
      <w:r w:rsidR="0063594C">
        <w:instrText xml:space="preserve"> REF _Ref38877601 \h </w:instrText>
      </w:r>
      <w:r w:rsidR="0063594C">
        <w:fldChar w:fldCharType="separate"/>
      </w:r>
      <w:r w:rsidR="006567A5">
        <w:t xml:space="preserve">Figure </w:t>
      </w:r>
      <w:r w:rsidR="006567A5">
        <w:rPr>
          <w:noProof/>
        </w:rPr>
        <w:t>13</w:t>
      </w:r>
      <w:r w:rsidR="0063594C">
        <w:fldChar w:fldCharType="end"/>
      </w:r>
      <w:r w:rsidR="00F31026">
        <w:t>)</w:t>
      </w:r>
      <w:r w:rsidR="008021A0">
        <w:t>. Lower D</w:t>
      </w:r>
      <w:r w:rsidR="003E7424">
        <w:t>O</w:t>
      </w:r>
      <w:r w:rsidR="008021A0">
        <w:t xml:space="preserve"> levels at depth were also </w:t>
      </w:r>
      <w:r w:rsidR="003E7424">
        <w:t>observed</w:t>
      </w:r>
      <w:r w:rsidR="008021A0">
        <w:t xml:space="preserve"> at the Bourke 2 site in </w:t>
      </w:r>
      <w:r w:rsidR="00AA57F3">
        <w:t>March, with near bed levels being around 4 mg/l lower (5 mg/l) than at the surface (9-10 mg/l). In July, DO within the Mungindi weir pool showed a decrease with depth, from around 7 mg/l to 2 mg/l at a depth of 3m at Mungindi 1. Similarly, at Mungindi 2, DO dropped from 10 mg/l on the surface to 2 mg/l at a depth of 3m. All other weir pools showed DO concentrations in the normal range (5 – 12 mg/l) at this time. DO concentrations appeared to be more stable with depth at all sites during the August survey time, being within a range of 6-10 mg/l at all sites (</w:t>
      </w:r>
      <w:r w:rsidR="00AA57F3">
        <w:fldChar w:fldCharType="begin"/>
      </w:r>
      <w:r w:rsidR="00AA57F3">
        <w:instrText xml:space="preserve"> REF _Ref38877601 \h </w:instrText>
      </w:r>
      <w:r w:rsidR="00AA57F3">
        <w:fldChar w:fldCharType="separate"/>
      </w:r>
      <w:r w:rsidR="006567A5">
        <w:t xml:space="preserve">Figure </w:t>
      </w:r>
      <w:r w:rsidR="006567A5">
        <w:rPr>
          <w:noProof/>
        </w:rPr>
        <w:t>13</w:t>
      </w:r>
      <w:r w:rsidR="00AA57F3">
        <w:fldChar w:fldCharType="end"/>
      </w:r>
      <w:r w:rsidR="00AA57F3">
        <w:t>).</w:t>
      </w:r>
    </w:p>
    <w:p w14:paraId="62C104AA" w14:textId="1C75085A" w:rsidR="00AA57F3" w:rsidRDefault="00AA57F3" w:rsidP="00AA57F3">
      <w:proofErr w:type="gramStart"/>
      <w:r>
        <w:t>pH</w:t>
      </w:r>
      <w:proofErr w:type="gramEnd"/>
      <w:r>
        <w:t xml:space="preserve"> tended to decrease at all sites over time and showed less variation with depth that temperature and DO. </w:t>
      </w:r>
      <w:proofErr w:type="gramStart"/>
      <w:r>
        <w:t>pH</w:t>
      </w:r>
      <w:proofErr w:type="gramEnd"/>
      <w:r>
        <w:t xml:space="preserve"> levels were generally within ANZECC guidelines (6.5 – 8) ranging from 6.18 – 8.81 (</w:t>
      </w:r>
      <w:r>
        <w:fldChar w:fldCharType="begin"/>
      </w:r>
      <w:r>
        <w:instrText xml:space="preserve"> REF _Ref38877626 \h </w:instrText>
      </w:r>
      <w:r>
        <w:fldChar w:fldCharType="separate"/>
      </w:r>
      <w:r w:rsidR="006567A5">
        <w:t xml:space="preserve">Figure </w:t>
      </w:r>
      <w:r w:rsidR="006567A5">
        <w:rPr>
          <w:noProof/>
        </w:rPr>
        <w:t>14</w:t>
      </w:r>
      <w:r>
        <w:fldChar w:fldCharType="end"/>
      </w:r>
      <w:r>
        <w:t>). Collarenebri 2 showed the greatest variation in pH with depth reducing from 8.2 on the surface to 6.87 at a depth of 4m in March. Generally pH showed a reduction over time at all sites (</w:t>
      </w:r>
      <w:r>
        <w:fldChar w:fldCharType="begin"/>
      </w:r>
      <w:r>
        <w:instrText xml:space="preserve"> REF _Ref38877626 \h </w:instrText>
      </w:r>
      <w:r>
        <w:fldChar w:fldCharType="separate"/>
      </w:r>
      <w:r w:rsidR="006567A5">
        <w:t xml:space="preserve">Figure </w:t>
      </w:r>
      <w:r w:rsidR="006567A5">
        <w:rPr>
          <w:noProof/>
        </w:rPr>
        <w:t>14</w:t>
      </w:r>
      <w:r>
        <w:fldChar w:fldCharType="end"/>
      </w:r>
      <w:r>
        <w:t xml:space="preserve">). </w:t>
      </w:r>
    </w:p>
    <w:p w14:paraId="21DCDE01" w14:textId="14720635" w:rsidR="00AA57F3" w:rsidRDefault="00AA57F3" w:rsidP="00AA57F3">
      <w:r>
        <w:t xml:space="preserve">Electrical conductivity (EC) ranged from 0.199 – 2.786 </w:t>
      </w:r>
      <w:proofErr w:type="spellStart"/>
      <w:r>
        <w:t>mS</w:t>
      </w:r>
      <w:proofErr w:type="spellEnd"/>
      <w:r>
        <w:t>/cm (</w:t>
      </w:r>
      <w:r>
        <w:fldChar w:fldCharType="begin"/>
      </w:r>
      <w:r>
        <w:instrText xml:space="preserve"> REF _Ref38877641 \h </w:instrText>
      </w:r>
      <w:r>
        <w:fldChar w:fldCharType="separate"/>
      </w:r>
      <w:r w:rsidR="006567A5">
        <w:t xml:space="preserve">Figure </w:t>
      </w:r>
      <w:r w:rsidR="006567A5">
        <w:rPr>
          <w:noProof/>
        </w:rPr>
        <w:t>15</w:t>
      </w:r>
      <w:r>
        <w:fldChar w:fldCharType="end"/>
      </w:r>
      <w:r>
        <w:t>), which is generally within the ANZECC guidelines of 0.125 – 2.2 mS/cm. EC was much more stable with depth that other parameters, and showed less variation over time except within the Brewarrina weir pool where EC increased from around 0.7 mS/cm in March to 2.5 mS/cm in August (</w:t>
      </w:r>
      <w:r>
        <w:fldChar w:fldCharType="begin"/>
      </w:r>
      <w:r>
        <w:instrText xml:space="preserve"> REF _Ref38877641 \h </w:instrText>
      </w:r>
      <w:r>
        <w:fldChar w:fldCharType="separate"/>
      </w:r>
      <w:r w:rsidR="006567A5">
        <w:t xml:space="preserve">Figure </w:t>
      </w:r>
      <w:r w:rsidR="006567A5">
        <w:rPr>
          <w:noProof/>
        </w:rPr>
        <w:t>15</w:t>
      </w:r>
      <w:r>
        <w:fldChar w:fldCharType="end"/>
      </w:r>
      <w:r>
        <w:t>). This may be a reflection of concentration of salts following the flow pulse which occurred in July.</w:t>
      </w:r>
    </w:p>
    <w:p w14:paraId="331ED918" w14:textId="7063CAFD" w:rsidR="0063594C" w:rsidRDefault="0063594C" w:rsidP="00D17D0F"/>
    <w:p w14:paraId="2FBFBA5E" w14:textId="77777777" w:rsidR="00D17D0F" w:rsidRDefault="0063594C" w:rsidP="00D17D0F">
      <w:pPr>
        <w:pStyle w:val="Caption"/>
      </w:pPr>
      <w:r>
        <w:rPr>
          <w:noProof/>
          <w:lang w:eastAsia="en-AU"/>
        </w:rPr>
        <w:lastRenderedPageBreak/>
        <w:drawing>
          <wp:inline distT="0" distB="0" distL="0" distR="0" wp14:anchorId="7ED608BB" wp14:editId="33FF193A">
            <wp:extent cx="5898966" cy="8373438"/>
            <wp:effectExtent l="0" t="0" r="6985"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06416" cy="8384012"/>
                    </a:xfrm>
                    <a:prstGeom prst="rect">
                      <a:avLst/>
                    </a:prstGeom>
                  </pic:spPr>
                </pic:pic>
              </a:graphicData>
            </a:graphic>
          </wp:inline>
        </w:drawing>
      </w:r>
      <w:bookmarkStart w:id="48" w:name="_Ref38877571"/>
    </w:p>
    <w:p w14:paraId="0638ACC6" w14:textId="72A9831E" w:rsidR="002C2DE0" w:rsidRDefault="00D17D0F" w:rsidP="00D17D0F">
      <w:pPr>
        <w:pStyle w:val="Caption"/>
      </w:pPr>
      <w:bookmarkStart w:id="49" w:name="_Ref38889806"/>
      <w:bookmarkStart w:id="50" w:name="_Toc38889763"/>
      <w:r>
        <w:t xml:space="preserve">Figure </w:t>
      </w:r>
      <w:r w:rsidR="003E421B">
        <w:rPr>
          <w:noProof/>
        </w:rPr>
        <w:fldChar w:fldCharType="begin"/>
      </w:r>
      <w:r w:rsidR="003E421B">
        <w:rPr>
          <w:noProof/>
        </w:rPr>
        <w:instrText xml:space="preserve"> SEQ Figure \* ARABIC </w:instrText>
      </w:r>
      <w:r w:rsidR="003E421B">
        <w:rPr>
          <w:noProof/>
        </w:rPr>
        <w:fldChar w:fldCharType="separate"/>
      </w:r>
      <w:r w:rsidR="006567A5">
        <w:rPr>
          <w:noProof/>
        </w:rPr>
        <w:t>12</w:t>
      </w:r>
      <w:r w:rsidR="003E421B">
        <w:rPr>
          <w:noProof/>
        </w:rPr>
        <w:fldChar w:fldCharType="end"/>
      </w:r>
      <w:bookmarkEnd w:id="49"/>
      <w:r>
        <w:t xml:space="preserve">: </w:t>
      </w:r>
      <w:r w:rsidRPr="00D17D0F">
        <w:t xml:space="preserve"> </w:t>
      </w:r>
      <w:r>
        <w:t>Spot temperature readings recorded at sites within weir pools along the Barwon-Darling River during 2019</w:t>
      </w:r>
      <w:bookmarkEnd w:id="50"/>
    </w:p>
    <w:bookmarkEnd w:id="48"/>
    <w:p w14:paraId="68C21744" w14:textId="561E98A6" w:rsidR="008317B4" w:rsidRDefault="008317B4" w:rsidP="008317B4">
      <w:r>
        <w:rPr>
          <w:noProof/>
          <w:lang w:eastAsia="en-AU"/>
        </w:rPr>
        <w:lastRenderedPageBreak/>
        <w:drawing>
          <wp:inline distT="0" distB="0" distL="0" distR="0" wp14:anchorId="6ED2FA02" wp14:editId="3B1F4CCE">
            <wp:extent cx="5923767" cy="8044665"/>
            <wp:effectExtent l="0" t="0" r="127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b="754"/>
                    <a:stretch/>
                  </pic:blipFill>
                  <pic:spPr bwMode="auto">
                    <a:xfrm>
                      <a:off x="0" y="0"/>
                      <a:ext cx="5926567" cy="8048468"/>
                    </a:xfrm>
                    <a:prstGeom prst="rect">
                      <a:avLst/>
                    </a:prstGeom>
                    <a:ln>
                      <a:noFill/>
                    </a:ln>
                    <a:extLst>
                      <a:ext uri="{53640926-AAD7-44D8-BBD7-CCE9431645EC}">
                        <a14:shadowObscured xmlns:a14="http://schemas.microsoft.com/office/drawing/2010/main"/>
                      </a:ext>
                    </a:extLst>
                  </pic:spPr>
                </pic:pic>
              </a:graphicData>
            </a:graphic>
          </wp:inline>
        </w:drawing>
      </w:r>
    </w:p>
    <w:p w14:paraId="10B95904" w14:textId="3717FD18" w:rsidR="008317B4" w:rsidRDefault="008317B4" w:rsidP="008317B4">
      <w:pPr>
        <w:pStyle w:val="Caption"/>
      </w:pPr>
      <w:bookmarkStart w:id="51" w:name="_Ref38877601"/>
      <w:bookmarkStart w:id="52" w:name="_Toc38889764"/>
      <w:r>
        <w:t xml:space="preserve">Figure </w:t>
      </w:r>
      <w:r w:rsidR="003E421B">
        <w:rPr>
          <w:noProof/>
        </w:rPr>
        <w:fldChar w:fldCharType="begin"/>
      </w:r>
      <w:r w:rsidR="003E421B">
        <w:rPr>
          <w:noProof/>
        </w:rPr>
        <w:instrText xml:space="preserve"> SEQ Figure \* ARABIC </w:instrText>
      </w:r>
      <w:r w:rsidR="003E421B">
        <w:rPr>
          <w:noProof/>
        </w:rPr>
        <w:fldChar w:fldCharType="separate"/>
      </w:r>
      <w:r w:rsidR="006567A5">
        <w:rPr>
          <w:noProof/>
        </w:rPr>
        <w:t>13</w:t>
      </w:r>
      <w:r w:rsidR="003E421B">
        <w:rPr>
          <w:noProof/>
        </w:rPr>
        <w:fldChar w:fldCharType="end"/>
      </w:r>
      <w:bookmarkEnd w:id="51"/>
      <w:r>
        <w:t xml:space="preserve">:  </w:t>
      </w:r>
      <w:r w:rsidRPr="006306D8">
        <w:t xml:space="preserve">Spot </w:t>
      </w:r>
      <w:r>
        <w:t>dissolved oxygen (DO)</w:t>
      </w:r>
      <w:r w:rsidRPr="006306D8">
        <w:t xml:space="preserve"> readings recorded at sites within weir pools along the Barwon-Darling River during 2019</w:t>
      </w:r>
      <w:bookmarkEnd w:id="52"/>
    </w:p>
    <w:p w14:paraId="713764EF" w14:textId="77777777" w:rsidR="008317B4" w:rsidRDefault="008317B4" w:rsidP="008317B4"/>
    <w:p w14:paraId="201D3480" w14:textId="25A4E058" w:rsidR="00C91218" w:rsidRDefault="00C91218" w:rsidP="002A3565">
      <w:pPr>
        <w:pStyle w:val="Caption"/>
      </w:pPr>
      <w:bookmarkStart w:id="53" w:name="_Ref37941621"/>
      <w:r>
        <w:rPr>
          <w:noProof/>
          <w:lang w:eastAsia="en-AU"/>
        </w:rPr>
        <w:lastRenderedPageBreak/>
        <w:drawing>
          <wp:inline distT="0" distB="0" distL="0" distR="0" wp14:anchorId="413F5B92" wp14:editId="76F756AC">
            <wp:extent cx="5814646" cy="8218466"/>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20140" cy="8226231"/>
                    </a:xfrm>
                    <a:prstGeom prst="rect">
                      <a:avLst/>
                    </a:prstGeom>
                  </pic:spPr>
                </pic:pic>
              </a:graphicData>
            </a:graphic>
          </wp:inline>
        </w:drawing>
      </w:r>
    </w:p>
    <w:p w14:paraId="57D55A18" w14:textId="320128C0" w:rsidR="00C77BFB" w:rsidRDefault="002A3565" w:rsidP="002A3565">
      <w:pPr>
        <w:pStyle w:val="Caption"/>
      </w:pPr>
      <w:bookmarkStart w:id="54" w:name="_Ref38877626"/>
      <w:bookmarkStart w:id="55" w:name="_Toc38889765"/>
      <w:r>
        <w:t xml:space="preserve">Figure </w:t>
      </w:r>
      <w:r w:rsidR="003E421B">
        <w:rPr>
          <w:noProof/>
        </w:rPr>
        <w:fldChar w:fldCharType="begin"/>
      </w:r>
      <w:r w:rsidR="003E421B">
        <w:rPr>
          <w:noProof/>
        </w:rPr>
        <w:instrText xml:space="preserve"> SEQ Figure \* ARABIC </w:instrText>
      </w:r>
      <w:r w:rsidR="003E421B">
        <w:rPr>
          <w:noProof/>
        </w:rPr>
        <w:fldChar w:fldCharType="separate"/>
      </w:r>
      <w:r w:rsidR="006567A5">
        <w:rPr>
          <w:noProof/>
        </w:rPr>
        <w:t>14</w:t>
      </w:r>
      <w:r w:rsidR="003E421B">
        <w:rPr>
          <w:noProof/>
        </w:rPr>
        <w:fldChar w:fldCharType="end"/>
      </w:r>
      <w:bookmarkEnd w:id="53"/>
      <w:bookmarkEnd w:id="54"/>
      <w:r>
        <w:t xml:space="preserve">:  </w:t>
      </w:r>
      <w:r w:rsidRPr="006306D8">
        <w:t xml:space="preserve">Spot </w:t>
      </w:r>
      <w:r>
        <w:t>pH</w:t>
      </w:r>
      <w:r w:rsidRPr="006306D8">
        <w:t xml:space="preserve"> readings recorded at sites within weir pools along the Barwon-Darling River during 2019</w:t>
      </w:r>
      <w:bookmarkEnd w:id="55"/>
    </w:p>
    <w:p w14:paraId="0DA74F4E" w14:textId="13B84DAA" w:rsidR="00C77BFB" w:rsidRDefault="00C77BFB" w:rsidP="00D4038C">
      <w:pPr>
        <w:numPr>
          <w:ilvl w:val="0"/>
          <w:numId w:val="0"/>
        </w:numPr>
      </w:pPr>
    </w:p>
    <w:p w14:paraId="4F2E4AE6" w14:textId="70D0E35A" w:rsidR="00C91218" w:rsidRDefault="00C91218" w:rsidP="00B67146">
      <w:pPr>
        <w:pStyle w:val="Caption"/>
      </w:pPr>
      <w:bookmarkStart w:id="56" w:name="_Ref37941643"/>
      <w:r>
        <w:rPr>
          <w:noProof/>
          <w:lang w:eastAsia="en-AU"/>
        </w:rPr>
        <w:lastRenderedPageBreak/>
        <w:drawing>
          <wp:inline distT="0" distB="0" distL="0" distR="0" wp14:anchorId="18AEE5F7" wp14:editId="28D6FFA7">
            <wp:extent cx="5838092" cy="798556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41217" cy="7989835"/>
                    </a:xfrm>
                    <a:prstGeom prst="rect">
                      <a:avLst/>
                    </a:prstGeom>
                  </pic:spPr>
                </pic:pic>
              </a:graphicData>
            </a:graphic>
          </wp:inline>
        </w:drawing>
      </w:r>
    </w:p>
    <w:p w14:paraId="0FCDF127" w14:textId="36653C18" w:rsidR="00C77BFB" w:rsidRDefault="00B67146" w:rsidP="00B67146">
      <w:pPr>
        <w:pStyle w:val="Caption"/>
      </w:pPr>
      <w:bookmarkStart w:id="57" w:name="_Ref38877641"/>
      <w:bookmarkStart w:id="58" w:name="_Toc38889766"/>
      <w:r>
        <w:t xml:space="preserve">Figure </w:t>
      </w:r>
      <w:r w:rsidR="003E421B">
        <w:rPr>
          <w:noProof/>
        </w:rPr>
        <w:fldChar w:fldCharType="begin"/>
      </w:r>
      <w:r w:rsidR="003E421B">
        <w:rPr>
          <w:noProof/>
        </w:rPr>
        <w:instrText xml:space="preserve"> SEQ Figure \* ARABIC </w:instrText>
      </w:r>
      <w:r w:rsidR="003E421B">
        <w:rPr>
          <w:noProof/>
        </w:rPr>
        <w:fldChar w:fldCharType="separate"/>
      </w:r>
      <w:r w:rsidR="006567A5">
        <w:rPr>
          <w:noProof/>
        </w:rPr>
        <w:t>15</w:t>
      </w:r>
      <w:r w:rsidR="003E421B">
        <w:rPr>
          <w:noProof/>
        </w:rPr>
        <w:fldChar w:fldCharType="end"/>
      </w:r>
      <w:bookmarkEnd w:id="56"/>
      <w:bookmarkEnd w:id="57"/>
      <w:r>
        <w:t xml:space="preserve">:  </w:t>
      </w:r>
      <w:r w:rsidRPr="006306D8">
        <w:t xml:space="preserve">Spot </w:t>
      </w:r>
      <w:r>
        <w:t>Electrical conductivity (EC)</w:t>
      </w:r>
      <w:r w:rsidRPr="006306D8">
        <w:t xml:space="preserve"> readings recorded at sites within weir pools along the Barwon-Darling River during 2019</w:t>
      </w:r>
      <w:bookmarkEnd w:id="58"/>
    </w:p>
    <w:p w14:paraId="5CB8E864" w14:textId="03B4880D" w:rsidR="00C77BFB" w:rsidRDefault="00C77BFB" w:rsidP="00D4038C">
      <w:pPr>
        <w:numPr>
          <w:ilvl w:val="0"/>
          <w:numId w:val="0"/>
        </w:numPr>
      </w:pPr>
    </w:p>
    <w:p w14:paraId="44F3F3DB" w14:textId="77777777" w:rsidR="00AA57F3" w:rsidRDefault="00AA57F3" w:rsidP="00AA57F3">
      <w:pPr>
        <w:pStyle w:val="Heading2"/>
      </w:pPr>
      <w:bookmarkStart w:id="59" w:name="_Toc38889747"/>
      <w:r>
        <w:lastRenderedPageBreak/>
        <w:t>July Algal sampling</w:t>
      </w:r>
      <w:bookmarkEnd w:id="59"/>
    </w:p>
    <w:p w14:paraId="5DDEECDA" w14:textId="50FB1B7B" w:rsidR="00AA57F3" w:rsidRPr="00FF5720" w:rsidRDefault="00AA57F3" w:rsidP="00AA57F3">
      <w:pPr>
        <w:rPr>
          <w:rFonts w:eastAsia="Times New Roman" w:cstheme="minorHAnsi"/>
          <w:iCs/>
          <w:color w:val="2C2C2C"/>
          <w:lang w:eastAsia="en-AU"/>
        </w:rPr>
      </w:pPr>
      <w:r>
        <w:rPr>
          <w:rFonts w:eastAsia="Times New Roman" w:cstheme="minorHAnsi"/>
          <w:iCs/>
          <w:color w:val="2C2C2C"/>
          <w:lang w:eastAsia="en-AU"/>
        </w:rPr>
        <w:t>During July there was no algal alerts present at any of the monitored weir pools with concentrations of blue green algae below the green alert threshold of 0.04 mm</w:t>
      </w:r>
      <w:r w:rsidRPr="00FF5720">
        <w:rPr>
          <w:rFonts w:eastAsia="Times New Roman" w:cstheme="minorHAnsi"/>
          <w:iCs/>
          <w:color w:val="2C2C2C"/>
          <w:vertAlign w:val="superscript"/>
          <w:lang w:eastAsia="en-AU"/>
        </w:rPr>
        <w:t>3</w:t>
      </w:r>
      <w:r>
        <w:rPr>
          <w:rFonts w:eastAsia="Times New Roman" w:cstheme="minorHAnsi"/>
          <w:iCs/>
          <w:color w:val="2C2C2C"/>
          <w:lang w:eastAsia="en-AU"/>
        </w:rPr>
        <w:t>/</w:t>
      </w:r>
      <w:r w:rsidR="007D75F0">
        <w:rPr>
          <w:rFonts w:eastAsia="Times New Roman" w:cstheme="minorHAnsi"/>
          <w:iCs/>
          <w:color w:val="2C2C2C"/>
          <w:lang w:eastAsia="en-AU"/>
        </w:rPr>
        <w:t>l</w:t>
      </w:r>
      <w:r>
        <w:rPr>
          <w:rFonts w:eastAsia="Times New Roman" w:cstheme="minorHAnsi"/>
          <w:iCs/>
          <w:color w:val="2C2C2C"/>
          <w:lang w:eastAsia="en-AU"/>
        </w:rPr>
        <w:t>. The highest concentration of algae was observed at Brewarrina (0.31 mm</w:t>
      </w:r>
      <w:r w:rsidRPr="00FF5720">
        <w:rPr>
          <w:rFonts w:eastAsia="Times New Roman" w:cstheme="minorHAnsi"/>
          <w:iCs/>
          <w:color w:val="2C2C2C"/>
          <w:vertAlign w:val="superscript"/>
          <w:lang w:eastAsia="en-AU"/>
        </w:rPr>
        <w:t>3</w:t>
      </w:r>
      <w:r>
        <w:rPr>
          <w:rFonts w:eastAsia="Times New Roman" w:cstheme="minorHAnsi"/>
          <w:iCs/>
          <w:color w:val="2C2C2C"/>
          <w:lang w:eastAsia="en-AU"/>
        </w:rPr>
        <w:t>/</w:t>
      </w:r>
      <w:r w:rsidR="007D75F0">
        <w:rPr>
          <w:rFonts w:eastAsia="Times New Roman" w:cstheme="minorHAnsi"/>
          <w:iCs/>
          <w:color w:val="2C2C2C"/>
          <w:lang w:eastAsia="en-AU"/>
        </w:rPr>
        <w:t>l</w:t>
      </w:r>
      <w:r>
        <w:rPr>
          <w:rFonts w:eastAsia="Times New Roman" w:cstheme="minorHAnsi"/>
          <w:iCs/>
          <w:color w:val="2C2C2C"/>
          <w:lang w:eastAsia="en-AU"/>
        </w:rPr>
        <w:t>) (WaterNSW 2019</w:t>
      </w:r>
      <w:r w:rsidR="007D75F0">
        <w:rPr>
          <w:rFonts w:eastAsia="Times New Roman" w:cstheme="minorHAnsi"/>
          <w:iCs/>
          <w:color w:val="2C2C2C"/>
          <w:lang w:eastAsia="en-AU"/>
        </w:rPr>
        <w:t>b</w:t>
      </w:r>
      <w:r>
        <w:rPr>
          <w:rFonts w:eastAsia="Times New Roman" w:cstheme="minorHAnsi"/>
          <w:iCs/>
          <w:color w:val="2C2C2C"/>
          <w:lang w:eastAsia="en-AU"/>
        </w:rPr>
        <w:t>).</w:t>
      </w:r>
    </w:p>
    <w:p w14:paraId="4C314E4C" w14:textId="77777777" w:rsidR="00AA57F3" w:rsidRDefault="00AA57F3" w:rsidP="00AA57F3">
      <w:pPr>
        <w:rPr>
          <w:rFonts w:eastAsia="Times New Roman" w:cstheme="minorHAnsi"/>
          <w:iCs/>
          <w:color w:val="2C2C2C"/>
          <w:lang w:eastAsia="en-AU"/>
        </w:rPr>
      </w:pPr>
      <w:r>
        <w:rPr>
          <w:lang w:eastAsia="en-AU"/>
        </w:rPr>
        <w:t xml:space="preserve">In comparison with March samples, July samples were dominated by diatoms </w:t>
      </w:r>
      <w:proofErr w:type="gramStart"/>
      <w:r>
        <w:rPr>
          <w:lang w:eastAsia="en-AU"/>
        </w:rPr>
        <w:t>( &gt;</w:t>
      </w:r>
      <w:proofErr w:type="gramEnd"/>
      <w:r>
        <w:rPr>
          <w:lang w:eastAsia="en-AU"/>
        </w:rPr>
        <w:t xml:space="preserve">90% </w:t>
      </w:r>
      <w:proofErr w:type="spellStart"/>
      <w:r>
        <w:rPr>
          <w:lang w:eastAsia="en-AU"/>
        </w:rPr>
        <w:t>Bacillariophyta</w:t>
      </w:r>
      <w:proofErr w:type="spellEnd"/>
      <w:r>
        <w:rPr>
          <w:lang w:eastAsia="en-AU"/>
        </w:rPr>
        <w:t xml:space="preserve">). Samples from both Walgett Weir sites, Mungindi 1, both </w:t>
      </w:r>
      <w:r>
        <w:t>Brewa</w:t>
      </w:r>
      <w:r w:rsidRPr="001831F3">
        <w:t>rrina</w:t>
      </w:r>
      <w:r>
        <w:t xml:space="preserve"> sites</w:t>
      </w:r>
      <w:r>
        <w:rPr>
          <w:lang w:eastAsia="en-AU"/>
        </w:rPr>
        <w:t xml:space="preserve">, and Collarenebri 1 and 2, </w:t>
      </w:r>
      <w:r>
        <w:rPr>
          <w:rFonts w:eastAsia="Times New Roman" w:cstheme="minorHAnsi"/>
          <w:iCs/>
          <w:color w:val="2C2C2C"/>
          <w:lang w:eastAsia="en-AU"/>
        </w:rPr>
        <w:t xml:space="preserve">were predominantly the common filamentous diatoms, </w:t>
      </w:r>
      <w:proofErr w:type="spellStart"/>
      <w:r w:rsidRPr="00912B1C">
        <w:rPr>
          <w:rFonts w:eastAsia="Times New Roman" w:cstheme="minorHAnsi"/>
          <w:i/>
          <w:iCs/>
          <w:color w:val="2C2C2C"/>
          <w:lang w:eastAsia="en-AU"/>
        </w:rPr>
        <w:t>Aulocoseira</w:t>
      </w:r>
      <w:proofErr w:type="spellEnd"/>
      <w:r w:rsidRPr="00912B1C">
        <w:rPr>
          <w:rFonts w:eastAsia="Times New Roman" w:cstheme="minorHAnsi"/>
          <w:i/>
          <w:iCs/>
          <w:color w:val="2C2C2C"/>
          <w:lang w:eastAsia="en-AU"/>
        </w:rPr>
        <w:t xml:space="preserve"> </w:t>
      </w:r>
      <w:proofErr w:type="spellStart"/>
      <w:r>
        <w:rPr>
          <w:rFonts w:eastAsia="Times New Roman" w:cstheme="minorHAnsi"/>
          <w:i/>
          <w:iCs/>
          <w:color w:val="2C2C2C"/>
          <w:lang w:eastAsia="en-AU"/>
        </w:rPr>
        <w:t>granulata</w:t>
      </w:r>
      <w:proofErr w:type="spellEnd"/>
      <w:r>
        <w:rPr>
          <w:rFonts w:eastAsia="Times New Roman" w:cstheme="minorHAnsi"/>
          <w:i/>
          <w:iCs/>
          <w:color w:val="2C2C2C"/>
          <w:lang w:eastAsia="en-AU"/>
        </w:rPr>
        <w:t xml:space="preserve"> and </w:t>
      </w:r>
      <w:proofErr w:type="spellStart"/>
      <w:r>
        <w:rPr>
          <w:rFonts w:eastAsia="Times New Roman" w:cstheme="minorHAnsi"/>
          <w:i/>
          <w:iCs/>
          <w:color w:val="2C2C2C"/>
          <w:lang w:eastAsia="en-AU"/>
        </w:rPr>
        <w:t>Fragillaria</w:t>
      </w:r>
      <w:proofErr w:type="spellEnd"/>
      <w:r>
        <w:rPr>
          <w:rFonts w:eastAsia="Times New Roman" w:cstheme="minorHAnsi"/>
          <w:i/>
          <w:iCs/>
          <w:color w:val="2C2C2C"/>
          <w:lang w:eastAsia="en-AU"/>
        </w:rPr>
        <w:t xml:space="preserve"> sp</w:t>
      </w:r>
      <w:r w:rsidRPr="00B9784F">
        <w:rPr>
          <w:rFonts w:eastAsia="Times New Roman" w:cstheme="minorHAnsi"/>
          <w:iCs/>
          <w:color w:val="2C2C2C"/>
          <w:lang w:eastAsia="en-AU"/>
        </w:rPr>
        <w:t xml:space="preserve">. At these sites there was &lt; 1% Cyanobacteria in the samples. </w:t>
      </w:r>
      <w:r>
        <w:rPr>
          <w:rFonts w:eastAsia="Times New Roman" w:cstheme="minorHAnsi"/>
          <w:iCs/>
          <w:color w:val="2C2C2C"/>
          <w:lang w:eastAsia="en-AU"/>
        </w:rPr>
        <w:t xml:space="preserve">Both Bourke weir pool sites had &gt; 50% diatoms, again dominated by </w:t>
      </w:r>
      <w:proofErr w:type="spellStart"/>
      <w:r w:rsidRPr="00912B1C">
        <w:rPr>
          <w:rFonts w:eastAsia="Times New Roman" w:cstheme="minorHAnsi"/>
          <w:i/>
          <w:iCs/>
          <w:color w:val="2C2C2C"/>
          <w:lang w:eastAsia="en-AU"/>
        </w:rPr>
        <w:t>Aulocoseira</w:t>
      </w:r>
      <w:proofErr w:type="spellEnd"/>
      <w:r w:rsidRPr="00912B1C">
        <w:rPr>
          <w:rFonts w:eastAsia="Times New Roman" w:cstheme="minorHAnsi"/>
          <w:i/>
          <w:iCs/>
          <w:color w:val="2C2C2C"/>
          <w:lang w:eastAsia="en-AU"/>
        </w:rPr>
        <w:t xml:space="preserve"> </w:t>
      </w:r>
      <w:proofErr w:type="spellStart"/>
      <w:r>
        <w:rPr>
          <w:rFonts w:eastAsia="Times New Roman" w:cstheme="minorHAnsi"/>
          <w:i/>
          <w:iCs/>
          <w:color w:val="2C2C2C"/>
          <w:lang w:eastAsia="en-AU"/>
        </w:rPr>
        <w:t>granulata</w:t>
      </w:r>
      <w:proofErr w:type="spellEnd"/>
      <w:r>
        <w:rPr>
          <w:rFonts w:eastAsia="Times New Roman" w:cstheme="minorHAnsi"/>
          <w:i/>
          <w:iCs/>
          <w:color w:val="2C2C2C"/>
          <w:lang w:eastAsia="en-AU"/>
        </w:rPr>
        <w:t xml:space="preserve">, </w:t>
      </w:r>
      <w:r w:rsidRPr="002345AE">
        <w:rPr>
          <w:rFonts w:eastAsia="Times New Roman" w:cstheme="minorHAnsi"/>
          <w:iCs/>
          <w:color w:val="2C2C2C"/>
          <w:lang w:eastAsia="en-AU"/>
        </w:rPr>
        <w:t xml:space="preserve">and both sites had 28 and 17 % respectively of the </w:t>
      </w:r>
      <w:proofErr w:type="spellStart"/>
      <w:r w:rsidRPr="002345AE">
        <w:rPr>
          <w:rFonts w:eastAsia="Times New Roman" w:cstheme="minorHAnsi"/>
          <w:iCs/>
          <w:color w:val="2C2C2C"/>
          <w:lang w:eastAsia="en-AU"/>
        </w:rPr>
        <w:t>Chroococ</w:t>
      </w:r>
      <w:r>
        <w:rPr>
          <w:rFonts w:eastAsia="Times New Roman" w:cstheme="minorHAnsi"/>
          <w:iCs/>
          <w:color w:val="2C2C2C"/>
          <w:lang w:eastAsia="en-AU"/>
        </w:rPr>
        <w:t>a</w:t>
      </w:r>
      <w:r w:rsidRPr="002345AE">
        <w:rPr>
          <w:rFonts w:eastAsia="Times New Roman" w:cstheme="minorHAnsi"/>
          <w:iCs/>
          <w:color w:val="2C2C2C"/>
          <w:lang w:eastAsia="en-AU"/>
        </w:rPr>
        <w:t>les</w:t>
      </w:r>
      <w:proofErr w:type="spellEnd"/>
      <w:r>
        <w:rPr>
          <w:rFonts w:eastAsia="Times New Roman" w:cstheme="minorHAnsi"/>
          <w:iCs/>
          <w:color w:val="2C2C2C"/>
          <w:lang w:eastAsia="en-AU"/>
        </w:rPr>
        <w:t>,</w:t>
      </w:r>
      <w:r>
        <w:rPr>
          <w:rFonts w:eastAsia="Times New Roman" w:cstheme="minorHAnsi"/>
          <w:i/>
          <w:iCs/>
          <w:color w:val="2C2C2C"/>
          <w:lang w:eastAsia="en-AU"/>
        </w:rPr>
        <w:t xml:space="preserve"> </w:t>
      </w:r>
      <w:proofErr w:type="spellStart"/>
      <w:r w:rsidRPr="002345AE">
        <w:rPr>
          <w:rFonts w:eastAsia="Times New Roman" w:cstheme="minorHAnsi"/>
          <w:iCs/>
          <w:color w:val="2C2C2C"/>
          <w:lang w:eastAsia="en-AU"/>
        </w:rPr>
        <w:t>Cyanophyte</w:t>
      </w:r>
      <w:proofErr w:type="spellEnd"/>
      <w:r>
        <w:rPr>
          <w:rFonts w:eastAsia="Times New Roman" w:cstheme="minorHAnsi"/>
          <w:i/>
          <w:iCs/>
          <w:color w:val="2C2C2C"/>
          <w:lang w:eastAsia="en-AU"/>
        </w:rPr>
        <w:t xml:space="preserve">, </w:t>
      </w:r>
      <w:proofErr w:type="spellStart"/>
      <w:r>
        <w:rPr>
          <w:rFonts w:eastAsia="Times New Roman" w:cstheme="minorHAnsi"/>
          <w:i/>
          <w:iCs/>
          <w:color w:val="2C2C2C"/>
          <w:lang w:eastAsia="en-AU"/>
        </w:rPr>
        <w:t>Snowella</w:t>
      </w:r>
      <w:proofErr w:type="spellEnd"/>
      <w:r>
        <w:rPr>
          <w:rFonts w:eastAsia="Times New Roman" w:cstheme="minorHAnsi"/>
          <w:i/>
          <w:iCs/>
          <w:color w:val="2C2C2C"/>
          <w:lang w:eastAsia="en-AU"/>
        </w:rPr>
        <w:t xml:space="preserve"> sp</w:t>
      </w:r>
      <w:r w:rsidRPr="002345AE">
        <w:rPr>
          <w:rFonts w:eastAsia="Times New Roman" w:cstheme="minorHAnsi"/>
          <w:iCs/>
          <w:color w:val="2C2C2C"/>
          <w:lang w:eastAsia="en-AU"/>
        </w:rPr>
        <w:t xml:space="preserve">. </w:t>
      </w:r>
      <w:r>
        <w:rPr>
          <w:rFonts w:eastAsia="Times New Roman" w:cstheme="minorHAnsi"/>
          <w:iCs/>
          <w:color w:val="2C2C2C"/>
          <w:lang w:eastAsia="en-AU"/>
        </w:rPr>
        <w:t>which were absent f</w:t>
      </w:r>
      <w:r w:rsidRPr="002345AE">
        <w:rPr>
          <w:rFonts w:eastAsia="Times New Roman" w:cstheme="minorHAnsi"/>
          <w:iCs/>
          <w:color w:val="2C2C2C"/>
          <w:lang w:eastAsia="en-AU"/>
        </w:rPr>
        <w:t>r</w:t>
      </w:r>
      <w:r>
        <w:rPr>
          <w:rFonts w:eastAsia="Times New Roman" w:cstheme="minorHAnsi"/>
          <w:iCs/>
          <w:color w:val="2C2C2C"/>
          <w:lang w:eastAsia="en-AU"/>
        </w:rPr>
        <w:t>o</w:t>
      </w:r>
      <w:r w:rsidRPr="002345AE">
        <w:rPr>
          <w:rFonts w:eastAsia="Times New Roman" w:cstheme="minorHAnsi"/>
          <w:iCs/>
          <w:color w:val="2C2C2C"/>
          <w:lang w:eastAsia="en-AU"/>
        </w:rPr>
        <w:t>m samples in March.</w:t>
      </w:r>
      <w:r>
        <w:rPr>
          <w:rFonts w:eastAsia="Times New Roman" w:cstheme="minorHAnsi"/>
          <w:iCs/>
          <w:color w:val="2C2C2C"/>
          <w:lang w:eastAsia="en-AU"/>
        </w:rPr>
        <w:t xml:space="preserve"> The Chlorophyte </w:t>
      </w:r>
      <w:r w:rsidRPr="0013352A">
        <w:rPr>
          <w:rFonts w:eastAsia="Times New Roman" w:cstheme="minorHAnsi"/>
          <w:i/>
          <w:iCs/>
          <w:color w:val="2C2C2C"/>
          <w:lang w:eastAsia="en-AU"/>
        </w:rPr>
        <w:t>Gonium</w:t>
      </w:r>
      <w:r>
        <w:rPr>
          <w:rFonts w:eastAsia="Times New Roman" w:cstheme="minorHAnsi"/>
          <w:iCs/>
          <w:color w:val="2C2C2C"/>
          <w:lang w:eastAsia="en-AU"/>
        </w:rPr>
        <w:t xml:space="preserve"> sp. (</w:t>
      </w:r>
      <w:proofErr w:type="spellStart"/>
      <w:r>
        <w:rPr>
          <w:rFonts w:eastAsia="Times New Roman" w:cstheme="minorHAnsi"/>
          <w:iCs/>
          <w:color w:val="2C2C2C"/>
          <w:lang w:eastAsia="en-AU"/>
        </w:rPr>
        <w:t>Volvocaceae</w:t>
      </w:r>
      <w:proofErr w:type="spellEnd"/>
      <w:r>
        <w:rPr>
          <w:rFonts w:eastAsia="Times New Roman" w:cstheme="minorHAnsi"/>
          <w:iCs/>
          <w:color w:val="2C2C2C"/>
          <w:lang w:eastAsia="en-AU"/>
        </w:rPr>
        <w:t xml:space="preserve">) dominated the sample from Mungindi 2 in July (Table 1b, Table 3).  The </w:t>
      </w:r>
      <w:proofErr w:type="spellStart"/>
      <w:r w:rsidRPr="00912B1C">
        <w:rPr>
          <w:rFonts w:eastAsia="Times New Roman" w:cstheme="minorHAnsi"/>
          <w:i/>
          <w:iCs/>
          <w:color w:val="2C2C2C"/>
          <w:lang w:eastAsia="en-AU"/>
        </w:rPr>
        <w:t>Aulocoseira</w:t>
      </w:r>
      <w:proofErr w:type="spellEnd"/>
      <w:r w:rsidRPr="00912B1C">
        <w:rPr>
          <w:rFonts w:eastAsia="Times New Roman" w:cstheme="minorHAnsi"/>
          <w:i/>
          <w:iCs/>
          <w:color w:val="2C2C2C"/>
          <w:lang w:eastAsia="en-AU"/>
        </w:rPr>
        <w:t xml:space="preserve"> </w:t>
      </w:r>
      <w:proofErr w:type="spellStart"/>
      <w:r>
        <w:rPr>
          <w:rFonts w:eastAsia="Times New Roman" w:cstheme="minorHAnsi"/>
          <w:i/>
          <w:iCs/>
          <w:color w:val="2C2C2C"/>
          <w:lang w:eastAsia="en-AU"/>
        </w:rPr>
        <w:t>granulata</w:t>
      </w:r>
      <w:proofErr w:type="spellEnd"/>
      <w:r>
        <w:rPr>
          <w:rFonts w:eastAsia="Times New Roman" w:cstheme="minorHAnsi"/>
          <w:iCs/>
          <w:color w:val="2C2C2C"/>
          <w:lang w:eastAsia="en-AU"/>
        </w:rPr>
        <w:t xml:space="preserve"> and </w:t>
      </w:r>
      <w:proofErr w:type="spellStart"/>
      <w:r>
        <w:rPr>
          <w:rFonts w:eastAsia="Times New Roman" w:cstheme="minorHAnsi"/>
          <w:iCs/>
          <w:color w:val="2C2C2C"/>
          <w:lang w:eastAsia="en-AU"/>
        </w:rPr>
        <w:t>Vovocales</w:t>
      </w:r>
      <w:proofErr w:type="spellEnd"/>
      <w:r>
        <w:rPr>
          <w:rFonts w:eastAsia="Times New Roman" w:cstheme="minorHAnsi"/>
          <w:iCs/>
          <w:color w:val="2C2C2C"/>
          <w:lang w:eastAsia="en-AU"/>
        </w:rPr>
        <w:t xml:space="preserve"> are not typically considered harmful blooming taxa. Notably, the potentially toxic cyanobacteria, </w:t>
      </w:r>
      <w:proofErr w:type="spellStart"/>
      <w:r w:rsidRPr="00E22E38">
        <w:rPr>
          <w:rFonts w:eastAsia="Times New Roman" w:cstheme="minorHAnsi"/>
          <w:i/>
          <w:iCs/>
          <w:color w:val="2C2C2C"/>
          <w:lang w:eastAsia="en-AU"/>
        </w:rPr>
        <w:t>Dolichospermum</w:t>
      </w:r>
      <w:proofErr w:type="spellEnd"/>
      <w:r w:rsidRPr="00E22E38">
        <w:rPr>
          <w:rFonts w:eastAsia="Times New Roman" w:cstheme="minorHAnsi"/>
          <w:i/>
          <w:iCs/>
          <w:color w:val="2C2C2C"/>
          <w:lang w:eastAsia="en-AU"/>
        </w:rPr>
        <w:t xml:space="preserve"> </w:t>
      </w:r>
      <w:proofErr w:type="spellStart"/>
      <w:r w:rsidRPr="00E22E38">
        <w:rPr>
          <w:rFonts w:eastAsia="Times New Roman" w:cstheme="minorHAnsi"/>
          <w:i/>
          <w:iCs/>
          <w:color w:val="2C2C2C"/>
          <w:lang w:eastAsia="en-AU"/>
        </w:rPr>
        <w:t>circinale</w:t>
      </w:r>
      <w:proofErr w:type="spellEnd"/>
      <w:r>
        <w:rPr>
          <w:rFonts w:eastAsia="Times New Roman" w:cstheme="minorHAnsi"/>
          <w:i/>
          <w:iCs/>
          <w:color w:val="2C2C2C"/>
          <w:lang w:eastAsia="en-AU"/>
        </w:rPr>
        <w:t xml:space="preserve">, </w:t>
      </w:r>
      <w:proofErr w:type="spellStart"/>
      <w:r w:rsidRPr="00E22E38">
        <w:rPr>
          <w:rFonts w:eastAsia="Times New Roman" w:cstheme="minorHAnsi"/>
          <w:i/>
          <w:iCs/>
          <w:color w:val="000000"/>
          <w:lang w:eastAsia="en-AU"/>
        </w:rPr>
        <w:t>Chrysporum</w:t>
      </w:r>
      <w:proofErr w:type="spellEnd"/>
      <w:r>
        <w:rPr>
          <w:rFonts w:eastAsia="Times New Roman" w:cstheme="minorHAnsi"/>
          <w:iCs/>
          <w:color w:val="2C2C2C"/>
          <w:lang w:eastAsia="en-AU"/>
        </w:rPr>
        <w:t xml:space="preserve">, </w:t>
      </w:r>
      <w:proofErr w:type="spellStart"/>
      <w:r w:rsidRPr="00E22E38">
        <w:rPr>
          <w:rFonts w:eastAsia="Times New Roman" w:cstheme="minorHAnsi"/>
          <w:i/>
          <w:iCs/>
          <w:color w:val="000000"/>
          <w:lang w:eastAsia="en-AU"/>
        </w:rPr>
        <w:t>Cylindrospermum</w:t>
      </w:r>
      <w:proofErr w:type="spellEnd"/>
      <w:r>
        <w:rPr>
          <w:rFonts w:eastAsia="Times New Roman" w:cstheme="minorHAnsi"/>
          <w:iCs/>
          <w:color w:val="2C2C2C"/>
          <w:lang w:eastAsia="en-AU"/>
        </w:rPr>
        <w:t xml:space="preserve"> and </w:t>
      </w:r>
      <w:proofErr w:type="spellStart"/>
      <w:r w:rsidRPr="00E22E38">
        <w:rPr>
          <w:rFonts w:eastAsia="Times New Roman" w:cstheme="minorHAnsi"/>
          <w:i/>
          <w:iCs/>
          <w:color w:val="000000"/>
          <w:lang w:eastAsia="en-AU"/>
        </w:rPr>
        <w:t>Planktothrix</w:t>
      </w:r>
      <w:proofErr w:type="spellEnd"/>
      <w:r>
        <w:rPr>
          <w:rFonts w:eastAsia="Times New Roman" w:cstheme="minorHAnsi"/>
          <w:i/>
          <w:iCs/>
          <w:color w:val="000000"/>
          <w:lang w:eastAsia="en-AU"/>
        </w:rPr>
        <w:t xml:space="preserve">, </w:t>
      </w:r>
      <w:r w:rsidRPr="0084373D">
        <w:rPr>
          <w:rFonts w:eastAsia="Times New Roman" w:cstheme="minorHAnsi"/>
          <w:iCs/>
          <w:color w:val="000000"/>
          <w:lang w:eastAsia="en-AU"/>
        </w:rPr>
        <w:t xml:space="preserve">(EPA, 2014) </w:t>
      </w:r>
      <w:r w:rsidRPr="0084373D">
        <w:rPr>
          <w:rFonts w:eastAsia="Times New Roman" w:cstheme="minorHAnsi"/>
          <w:iCs/>
          <w:color w:val="2C2C2C"/>
          <w:lang w:eastAsia="en-AU"/>
        </w:rPr>
        <w:t xml:space="preserve">were absent from all samples collected in July. </w:t>
      </w:r>
    </w:p>
    <w:p w14:paraId="1A95910E" w14:textId="77777777" w:rsidR="00AA57F3" w:rsidRDefault="00AA57F3" w:rsidP="00AA57F3">
      <w:pPr>
        <w:rPr>
          <w:rFonts w:eastAsia="Times New Roman" w:cstheme="minorHAnsi"/>
          <w:iCs/>
          <w:color w:val="2C2C2C"/>
          <w:lang w:eastAsia="en-AU"/>
        </w:rPr>
      </w:pPr>
      <w:r>
        <w:rPr>
          <w:rFonts w:eastAsia="Times New Roman" w:cstheme="minorHAnsi"/>
          <w:iCs/>
          <w:color w:val="2C2C2C"/>
          <w:lang w:eastAsia="en-AU"/>
        </w:rPr>
        <w:t xml:space="preserve">The overall species richness of phytoplankton was dramatically lower in the July compared with March samples. March samples ranged from 7- 19 taxa, but only 3-4 taxa were identified in samples from July. Dominant phyla shifts from Cyanobacteria to Diatoms were seen between seasons at Walgett 1, both Bourke sites, at Mungindi 1 and Brewarrina 1. A shift from diatom to chlorophyte dominance was seen at Mungindi 2, and from </w:t>
      </w:r>
      <w:proofErr w:type="spellStart"/>
      <w:r>
        <w:rPr>
          <w:rFonts w:eastAsia="Times New Roman" w:cstheme="minorHAnsi"/>
          <w:iCs/>
          <w:color w:val="2C2C2C"/>
          <w:lang w:eastAsia="en-AU"/>
        </w:rPr>
        <w:t>euglenophytes</w:t>
      </w:r>
      <w:proofErr w:type="spellEnd"/>
      <w:r>
        <w:rPr>
          <w:rFonts w:eastAsia="Times New Roman" w:cstheme="minorHAnsi"/>
          <w:iCs/>
          <w:color w:val="2C2C2C"/>
          <w:lang w:eastAsia="en-AU"/>
        </w:rPr>
        <w:t xml:space="preserve"> to diatoms at Collarenebri 1 and 2.  It is worth noting that at both Bourke sites, zooplankton (</w:t>
      </w:r>
      <w:proofErr w:type="spellStart"/>
      <w:r>
        <w:rPr>
          <w:rFonts w:eastAsia="Times New Roman" w:cstheme="minorHAnsi"/>
          <w:iCs/>
          <w:color w:val="2C2C2C"/>
          <w:lang w:eastAsia="en-AU"/>
        </w:rPr>
        <w:t>microcrustacea</w:t>
      </w:r>
      <w:proofErr w:type="spellEnd"/>
      <w:r>
        <w:rPr>
          <w:rFonts w:eastAsia="Times New Roman" w:cstheme="minorHAnsi"/>
          <w:iCs/>
          <w:color w:val="2C2C2C"/>
          <w:lang w:eastAsia="en-AU"/>
        </w:rPr>
        <w:t xml:space="preserve"> and rotifers) were predominant in the algal collections, and may have attributed to low abundances and phytoplankton richness at this time. </w:t>
      </w:r>
    </w:p>
    <w:p w14:paraId="54D11B64" w14:textId="2923C872" w:rsidR="00AF6E9E" w:rsidRDefault="00AF6E9E" w:rsidP="00AF6E9E">
      <w:pPr>
        <w:pStyle w:val="Heading2"/>
      </w:pPr>
      <w:bookmarkStart w:id="60" w:name="_Toc38889748"/>
      <w:r>
        <w:t>Temperature and Dissolved Oxygen Loggers</w:t>
      </w:r>
      <w:bookmarkEnd w:id="60"/>
    </w:p>
    <w:p w14:paraId="63722FA6" w14:textId="13A5FC81" w:rsidR="00AA57F3" w:rsidRDefault="003E5D84" w:rsidP="00AA57F3">
      <w:pPr>
        <w:numPr>
          <w:ilvl w:val="0"/>
          <w:numId w:val="0"/>
        </w:numPr>
      </w:pPr>
      <w:r>
        <w:t>T</w:t>
      </w:r>
      <w:r w:rsidR="006E2FD2">
        <w:t xml:space="preserve">he loggers </w:t>
      </w:r>
      <w:r>
        <w:t xml:space="preserve">deployed for this study generally provided a good longer term indication of dissolved oxygen concentrations and temperature within the </w:t>
      </w:r>
      <w:r w:rsidR="00587BA1">
        <w:t>weir</w:t>
      </w:r>
      <w:r>
        <w:t xml:space="preserve"> pools of the Barwon Darling River over the study period. While loggers were checked, downloaded and cleaned at less than 2 month intervals, excessive algal growth on some of some of the DO loggers (</w:t>
      </w:r>
      <w:r w:rsidR="00587BA1">
        <w:fldChar w:fldCharType="begin"/>
      </w:r>
      <w:r w:rsidR="00587BA1">
        <w:instrText xml:space="preserve"> REF _Ref38016711 \h </w:instrText>
      </w:r>
      <w:r w:rsidR="00587BA1">
        <w:fldChar w:fldCharType="separate"/>
      </w:r>
      <w:r w:rsidR="006567A5">
        <w:t xml:space="preserve">Figure </w:t>
      </w:r>
      <w:r w:rsidR="006567A5">
        <w:rPr>
          <w:noProof/>
        </w:rPr>
        <w:t>16</w:t>
      </w:r>
      <w:r w:rsidR="00587BA1">
        <w:fldChar w:fldCharType="end"/>
      </w:r>
      <w:r>
        <w:t xml:space="preserve">), particularly those deployed at the surface of the weir pools, undoubtedly influenced the accuracy of the readings. Some readings were outside of the detection range of the loggers (0 – 16 mg/l DO), and these were removed from the dataset before analysis. For future studies of this kind in rivers like the Barwon-Darling, we would suggest more regular (2 week – 1 month) cleaning of the loggers. Notwithstanding this, loggers placed at depth (presumably below the photic zone) appeared to record more accurately. </w:t>
      </w:r>
      <w:r w:rsidR="00AA57F3">
        <w:t xml:space="preserve">As the spot sampling suggested there was variation in temperature and DO concentration in the weir pools through the water column and over time. The temporal variation observed appeared to be related to both flow events, including the northern fish flow and ambient temperature variations. Temperature of surface waters showed diurnal changes consistent with antecedent atmospheric conditions, whereas levels were more stable on a daily basis at depths below 1m. </w:t>
      </w:r>
    </w:p>
    <w:p w14:paraId="5AABFFBC" w14:textId="7B5D7803" w:rsidR="003E5D84" w:rsidRDefault="003E5D84" w:rsidP="00581279">
      <w:pPr>
        <w:numPr>
          <w:ilvl w:val="0"/>
          <w:numId w:val="0"/>
        </w:numPr>
      </w:pPr>
    </w:p>
    <w:p w14:paraId="7600D586" w14:textId="77777777" w:rsidR="00587BA1" w:rsidRDefault="003E421B" w:rsidP="00587BA1">
      <w:pPr>
        <w:keepNext/>
        <w:numPr>
          <w:ilvl w:val="0"/>
          <w:numId w:val="0"/>
        </w:numPr>
      </w:pPr>
      <w:r>
        <w:lastRenderedPageBreak/>
        <w:pict w14:anchorId="3D038DDB">
          <v:shape id="_x0000_i1026" type="#_x0000_t75" style="width:459pt;height:344.25pt">
            <v:imagedata r:id="rId44" o:title="Coli2_logger2"/>
          </v:shape>
        </w:pict>
      </w:r>
    </w:p>
    <w:p w14:paraId="4914A2A4" w14:textId="0428166E" w:rsidR="00587BA1" w:rsidRDefault="00587BA1" w:rsidP="00587BA1">
      <w:pPr>
        <w:pStyle w:val="Caption"/>
      </w:pPr>
      <w:bookmarkStart w:id="61" w:name="_Ref38016711"/>
      <w:bookmarkStart w:id="62" w:name="_Toc38889767"/>
      <w:r>
        <w:t xml:space="preserve">Figure </w:t>
      </w:r>
      <w:r w:rsidR="003E421B">
        <w:rPr>
          <w:noProof/>
        </w:rPr>
        <w:fldChar w:fldCharType="begin"/>
      </w:r>
      <w:r w:rsidR="003E421B">
        <w:rPr>
          <w:noProof/>
        </w:rPr>
        <w:instrText xml:space="preserve"> SEQ Figure \* ARABIC </w:instrText>
      </w:r>
      <w:r w:rsidR="003E421B">
        <w:rPr>
          <w:noProof/>
        </w:rPr>
        <w:fldChar w:fldCharType="separate"/>
      </w:r>
      <w:r w:rsidR="006567A5">
        <w:rPr>
          <w:noProof/>
        </w:rPr>
        <w:t>16</w:t>
      </w:r>
      <w:r w:rsidR="003E421B">
        <w:rPr>
          <w:noProof/>
        </w:rPr>
        <w:fldChar w:fldCharType="end"/>
      </w:r>
      <w:bookmarkEnd w:id="61"/>
      <w:r>
        <w:t>: Algal growth on dissolved oxygen sensor at Collarenebri weir pool</w:t>
      </w:r>
      <w:bookmarkEnd w:id="62"/>
    </w:p>
    <w:p w14:paraId="5A4A254A" w14:textId="67F19957" w:rsidR="00B639C6" w:rsidRDefault="009C2292" w:rsidP="00D17D0F">
      <w:r>
        <w:t xml:space="preserve">Loggers were deployed on the 28 February 2019 in the Mungindi weir pool where the total depth was 4m. Over the 5 month period of logger deployment (28 February – 5 August 2019) there were two distinct flow events – the first in March/April resulting from unregulated flows, and the second in April-May as a result of environmental water deliveries as part of the </w:t>
      </w:r>
      <w:r w:rsidR="00E07868">
        <w:t>NFF</w:t>
      </w:r>
      <w:r>
        <w:t xml:space="preserve"> (</w:t>
      </w:r>
      <w:r w:rsidR="00D17D0F">
        <w:fldChar w:fldCharType="begin"/>
      </w:r>
      <w:r w:rsidR="00D17D0F">
        <w:instrText xml:space="preserve"> REF _Ref38889901 \h </w:instrText>
      </w:r>
      <w:r w:rsidR="00D17D0F">
        <w:fldChar w:fldCharType="separate"/>
      </w:r>
      <w:r w:rsidR="006567A5">
        <w:t xml:space="preserve">Figure </w:t>
      </w:r>
      <w:r w:rsidR="006567A5">
        <w:rPr>
          <w:noProof/>
        </w:rPr>
        <w:t>17</w:t>
      </w:r>
      <w:r w:rsidR="00D17D0F">
        <w:fldChar w:fldCharType="end"/>
      </w:r>
      <w:r>
        <w:t xml:space="preserve">). The temperature data suggests that </w:t>
      </w:r>
      <w:r w:rsidR="00170E91">
        <w:t>the weir pool remained stratified for much of the time with</w:t>
      </w:r>
      <w:r>
        <w:t xml:space="preserve"> two periods of distinct stratification during the survey period.</w:t>
      </w:r>
      <w:r w:rsidRPr="009C2292">
        <w:t xml:space="preserve"> </w:t>
      </w:r>
      <w:r w:rsidR="00E07868">
        <w:t>The first was several weeks after deployment following a small flow event. Soon after flow ceased, stratifi</w:t>
      </w:r>
      <w:r w:rsidR="00170E91">
        <w:t>cation increased</w:t>
      </w:r>
      <w:r w:rsidR="00E07868">
        <w:t>, with water temperature at a depth of 4 m being around 5</w:t>
      </w:r>
      <w:r w:rsidR="00E07868" w:rsidRPr="00B639C6">
        <w:rPr>
          <w:vertAlign w:val="superscript"/>
        </w:rPr>
        <w:t>o</w:t>
      </w:r>
      <w:r w:rsidR="00E07868">
        <w:t xml:space="preserve">C below surface temperatures. </w:t>
      </w:r>
      <w:r>
        <w:t>A sudden drop in atmospheric temperature around the 15</w:t>
      </w:r>
      <w:r>
        <w:rPr>
          <w:vertAlign w:val="superscript"/>
        </w:rPr>
        <w:t xml:space="preserve"> </w:t>
      </w:r>
      <w:r>
        <w:t xml:space="preserve">March 2019 appears to have </w:t>
      </w:r>
      <w:r w:rsidR="00170E91">
        <w:t xml:space="preserve">reduced the degree of </w:t>
      </w:r>
      <w:r>
        <w:t xml:space="preserve">stratification with all temperatures in the pool converging to within 1.5 </w:t>
      </w:r>
      <w:r w:rsidRPr="008D7D27">
        <w:rPr>
          <w:vertAlign w:val="superscript"/>
        </w:rPr>
        <w:t>o</w:t>
      </w:r>
      <w:r>
        <w:t>C of each other.</w:t>
      </w:r>
      <w:r w:rsidR="00E07868">
        <w:t xml:space="preserve"> </w:t>
      </w:r>
      <w:r w:rsidR="008D7D27">
        <w:t xml:space="preserve">Soon after this, the bottom most logger experienced a failure and data was not collected at a depth of 4m until 27 May 2019. </w:t>
      </w:r>
      <w:r w:rsidR="00E07868">
        <w:t>The second period of</w:t>
      </w:r>
      <w:r w:rsidR="00170E91">
        <w:t xml:space="preserve"> pronounced</w:t>
      </w:r>
      <w:r w:rsidR="00E07868">
        <w:t xml:space="preserve"> stratification occurred around the </w:t>
      </w:r>
      <w:r w:rsidR="00B07673">
        <w:t xml:space="preserve">10 July 2019 </w:t>
      </w:r>
      <w:r w:rsidR="00E07868">
        <w:t xml:space="preserve">following the cessation of </w:t>
      </w:r>
      <w:r w:rsidR="00170E91">
        <w:t xml:space="preserve">the </w:t>
      </w:r>
      <w:r w:rsidR="00E07868">
        <w:t>NFF</w:t>
      </w:r>
      <w:r w:rsidR="00170E91">
        <w:t xml:space="preserve"> event</w:t>
      </w:r>
      <w:r w:rsidR="00E07868">
        <w:t xml:space="preserve">. Temperatures at 4m depth were around 3.5 </w:t>
      </w:r>
      <w:r w:rsidR="00E07868" w:rsidRPr="00E07868">
        <w:rPr>
          <w:vertAlign w:val="superscript"/>
        </w:rPr>
        <w:t>o</w:t>
      </w:r>
      <w:r w:rsidR="00E07868">
        <w:t>C lower than surface.</w:t>
      </w:r>
      <w:r w:rsidR="00B07673">
        <w:t xml:space="preserve"> Temperatures throughout the water column appeared to converge again on the 14 July, coinciding with a drop in atmospheric temperature (</w:t>
      </w:r>
      <w:r w:rsidR="00D17D0F">
        <w:fldChar w:fldCharType="begin"/>
      </w:r>
      <w:r w:rsidR="00D17D0F">
        <w:instrText xml:space="preserve"> REF _Ref38889901 \h </w:instrText>
      </w:r>
      <w:r w:rsidR="00D17D0F">
        <w:fldChar w:fldCharType="separate"/>
      </w:r>
      <w:r w:rsidR="006567A5">
        <w:t xml:space="preserve">Figure </w:t>
      </w:r>
      <w:r w:rsidR="006567A5">
        <w:rPr>
          <w:noProof/>
        </w:rPr>
        <w:t>17</w:t>
      </w:r>
      <w:r w:rsidR="00D17D0F">
        <w:fldChar w:fldCharType="end"/>
      </w:r>
      <w:r w:rsidR="00B07673">
        <w:t xml:space="preserve">). Given the break in data for the lowermost logger, it is difficult to assess the </w:t>
      </w:r>
      <w:r w:rsidR="00170E91">
        <w:t xml:space="preserve">full </w:t>
      </w:r>
      <w:r w:rsidR="00B07673">
        <w:t>influence of the flow events on temperature. During both flow peaks,</w:t>
      </w:r>
      <w:r w:rsidR="00170E91">
        <w:t xml:space="preserve"> </w:t>
      </w:r>
      <w:r w:rsidR="00B07673">
        <w:t xml:space="preserve">temperature in the top half of the water column (above 2m) appeared </w:t>
      </w:r>
      <w:r w:rsidR="00170E91">
        <w:t>to converge, but then diverge shortly after (</w:t>
      </w:r>
      <w:r w:rsidR="00D17D0F">
        <w:fldChar w:fldCharType="begin"/>
      </w:r>
      <w:r w:rsidR="00D17D0F">
        <w:instrText xml:space="preserve"> REF _Ref38889901 \h </w:instrText>
      </w:r>
      <w:r w:rsidR="00D17D0F">
        <w:fldChar w:fldCharType="separate"/>
      </w:r>
      <w:r w:rsidR="006567A5">
        <w:t xml:space="preserve">Figure </w:t>
      </w:r>
      <w:r w:rsidR="006567A5">
        <w:rPr>
          <w:noProof/>
        </w:rPr>
        <w:t>17</w:t>
      </w:r>
      <w:r w:rsidR="00D17D0F">
        <w:fldChar w:fldCharType="end"/>
      </w:r>
      <w:r w:rsidR="00170E91">
        <w:t>)</w:t>
      </w:r>
      <w:r w:rsidR="00B07673">
        <w:t>.</w:t>
      </w:r>
    </w:p>
    <w:p w14:paraId="62563DF4" w14:textId="3DE2A2F4" w:rsidR="00941752" w:rsidRDefault="00941752" w:rsidP="00D17D0F">
      <w:r>
        <w:t xml:space="preserve">DO concentrations at the surface of the Mungindi weir pool oscillated between 3.8 – 8 mg/l during the time of deployment. Variation </w:t>
      </w:r>
      <w:r w:rsidR="00170E91">
        <w:t xml:space="preserve">was greater than this </w:t>
      </w:r>
      <w:r>
        <w:t xml:space="preserve">at </w:t>
      </w:r>
      <w:r w:rsidR="00170E91">
        <w:t>depth</w:t>
      </w:r>
      <w:r>
        <w:t xml:space="preserve">, with an initial drop from 3.2 mg/l at deployment to 0.24 mg/l. This coincided with the cessation of flow and </w:t>
      </w:r>
      <w:r w:rsidR="00170E91">
        <w:t>an increase in</w:t>
      </w:r>
      <w:r>
        <w:t xml:space="preserve"> stratification in </w:t>
      </w:r>
      <w:r>
        <w:lastRenderedPageBreak/>
        <w:t>the weir pool (</w:t>
      </w:r>
      <w:r w:rsidR="00D17D0F">
        <w:fldChar w:fldCharType="begin"/>
      </w:r>
      <w:r w:rsidR="00D17D0F">
        <w:instrText xml:space="preserve"> REF _Ref38889901 \h </w:instrText>
      </w:r>
      <w:r w:rsidR="00D17D0F">
        <w:fldChar w:fldCharType="separate"/>
      </w:r>
      <w:r w:rsidR="006567A5">
        <w:t xml:space="preserve">Figure </w:t>
      </w:r>
      <w:r w:rsidR="006567A5">
        <w:rPr>
          <w:noProof/>
        </w:rPr>
        <w:t>17</w:t>
      </w:r>
      <w:r w:rsidR="00D17D0F">
        <w:fldChar w:fldCharType="end"/>
      </w:r>
      <w:r>
        <w:t>). D</w:t>
      </w:r>
      <w:r w:rsidR="00170E91">
        <w:t>O</w:t>
      </w:r>
      <w:r>
        <w:t xml:space="preserve"> stayed very low at depth until the logger failed on the 15 March 2019. Once this logger became functional again on the 28 May, DO at depth had improved to 6.2 mg/l, which was similar to surface concentrations. This again showed a drop to below 1 mg/l as NFF flows decreased back to no-flow. DO stayed low until 14 July when it spiked again to near surface levels of 4.12 mg/l. Again this coincided with a drop in atmospheric temperature and an apparent mixing of the weir pool at this site (</w:t>
      </w:r>
      <w:r w:rsidR="00D17D0F">
        <w:fldChar w:fldCharType="begin"/>
      </w:r>
      <w:r w:rsidR="00D17D0F">
        <w:instrText xml:space="preserve"> REF _Ref38889901 \h </w:instrText>
      </w:r>
      <w:r w:rsidR="00D17D0F">
        <w:fldChar w:fldCharType="separate"/>
      </w:r>
      <w:r w:rsidR="006567A5">
        <w:t xml:space="preserve">Figure </w:t>
      </w:r>
      <w:r w:rsidR="006567A5">
        <w:rPr>
          <w:noProof/>
        </w:rPr>
        <w:t>17</w:t>
      </w:r>
      <w:r w:rsidR="00D17D0F">
        <w:fldChar w:fldCharType="end"/>
      </w:r>
      <w:r>
        <w:t>).</w:t>
      </w:r>
    </w:p>
    <w:p w14:paraId="6793B2B4" w14:textId="587183DC" w:rsidR="00941752" w:rsidRDefault="00941752" w:rsidP="00AA57F3">
      <w:r>
        <w:t>Patterns in temperature and DO concentration appeared similar at the two sites within the Collarenebri weir pool (</w:t>
      </w:r>
      <w:r w:rsidR="00D17D0F">
        <w:fldChar w:fldCharType="begin"/>
      </w:r>
      <w:r w:rsidR="00D17D0F">
        <w:instrText xml:space="preserve"> REF _Ref38889948 \h </w:instrText>
      </w:r>
      <w:r w:rsidR="00D17D0F">
        <w:fldChar w:fldCharType="separate"/>
      </w:r>
      <w:r w:rsidR="006567A5">
        <w:t xml:space="preserve">Figure </w:t>
      </w:r>
      <w:r w:rsidR="006567A5">
        <w:rPr>
          <w:noProof/>
        </w:rPr>
        <w:t>18</w:t>
      </w:r>
      <w:r w:rsidR="00D17D0F">
        <w:fldChar w:fldCharType="end"/>
      </w:r>
      <w:r>
        <w:t xml:space="preserve">, </w:t>
      </w:r>
      <w:r w:rsidR="007D75F0">
        <w:fldChar w:fldCharType="begin"/>
      </w:r>
      <w:r w:rsidR="007D75F0">
        <w:instrText xml:space="preserve"> REF _Ref38958984 \h </w:instrText>
      </w:r>
      <w:r w:rsidR="007D75F0">
        <w:fldChar w:fldCharType="separate"/>
      </w:r>
      <w:r w:rsidR="006567A5">
        <w:t xml:space="preserve">Figure </w:t>
      </w:r>
      <w:r w:rsidR="006567A5">
        <w:rPr>
          <w:noProof/>
        </w:rPr>
        <w:t>19</w:t>
      </w:r>
      <w:r w:rsidR="007D75F0">
        <w:fldChar w:fldCharType="end"/>
      </w:r>
      <w:r>
        <w:t xml:space="preserve">). The weir pool </w:t>
      </w:r>
      <w:r w:rsidR="006A38FC">
        <w:t xml:space="preserve">was </w:t>
      </w:r>
      <w:r>
        <w:t xml:space="preserve">initially stratified at both sites, though </w:t>
      </w:r>
      <w:r w:rsidR="006A38FC">
        <w:t xml:space="preserve">this </w:t>
      </w:r>
      <w:r>
        <w:t xml:space="preserve">was more apparent at Colli 2 with temperatures at a depth of 4m being 3-5 </w:t>
      </w:r>
      <w:r w:rsidRPr="00D17D0F">
        <w:rPr>
          <w:vertAlign w:val="superscript"/>
        </w:rPr>
        <w:t>o</w:t>
      </w:r>
      <w:r>
        <w:t>C below surface temperatures.</w:t>
      </w:r>
      <w:r w:rsidR="005F7400">
        <w:t xml:space="preserve"> It appeared that the weir</w:t>
      </w:r>
      <w:r w:rsidR="006A38FC">
        <w:t xml:space="preserve"> </w:t>
      </w:r>
      <w:r w:rsidR="005F7400">
        <w:t xml:space="preserve">pool mixed following a colder snap in atmospheric temperature </w:t>
      </w:r>
      <w:r w:rsidR="006A38FC">
        <w:t xml:space="preserve">around the 1 April 2019. </w:t>
      </w:r>
      <w:r w:rsidR="00170E91">
        <w:t xml:space="preserve">The Weir pool remained stratified until the arrival of the NFF in </w:t>
      </w:r>
      <w:r w:rsidR="00A25E3A">
        <w:t>late May, with the degree of stratification driven by controlled by atmospheric conditions.</w:t>
      </w:r>
      <w:r w:rsidR="006A38FC">
        <w:t xml:space="preserve"> With the arrival of the NFF, there was a clear convergence in water column temperature resulting from mixing</w:t>
      </w:r>
      <w:r w:rsidR="00A25E3A">
        <w:t>. However, this was short lived with rede</w:t>
      </w:r>
      <w:r w:rsidR="006A38FC">
        <w:t>velopment of stratification as flows decreased through the weir pool (</w:t>
      </w:r>
      <w:r w:rsidR="00D17D0F">
        <w:fldChar w:fldCharType="begin"/>
      </w:r>
      <w:r w:rsidR="00D17D0F">
        <w:instrText xml:space="preserve"> REF _Ref38889948 \h </w:instrText>
      </w:r>
      <w:r w:rsidR="00D17D0F">
        <w:fldChar w:fldCharType="separate"/>
      </w:r>
      <w:r w:rsidR="006567A5">
        <w:t xml:space="preserve">Figure </w:t>
      </w:r>
      <w:r w:rsidR="006567A5">
        <w:rPr>
          <w:noProof/>
        </w:rPr>
        <w:t>18</w:t>
      </w:r>
      <w:r w:rsidR="00D17D0F">
        <w:fldChar w:fldCharType="end"/>
      </w:r>
      <w:r w:rsidR="00CB4BF6">
        <w:t xml:space="preserve">, </w:t>
      </w:r>
      <w:r w:rsidR="007D75F0">
        <w:fldChar w:fldCharType="begin"/>
      </w:r>
      <w:r w:rsidR="007D75F0">
        <w:instrText xml:space="preserve"> REF _Ref38958984 \h </w:instrText>
      </w:r>
      <w:r w:rsidR="007D75F0">
        <w:fldChar w:fldCharType="separate"/>
      </w:r>
      <w:r w:rsidR="006567A5">
        <w:t xml:space="preserve">Figure </w:t>
      </w:r>
      <w:r w:rsidR="006567A5">
        <w:rPr>
          <w:noProof/>
        </w:rPr>
        <w:t>19</w:t>
      </w:r>
      <w:r w:rsidR="007D75F0">
        <w:fldChar w:fldCharType="end"/>
      </w:r>
      <w:r w:rsidR="006A38FC">
        <w:t>). Again this stratification appeared to</w:t>
      </w:r>
      <w:r w:rsidR="00A25E3A">
        <w:t xml:space="preserve"> </w:t>
      </w:r>
      <w:r w:rsidR="00035C56">
        <w:t>be</w:t>
      </w:r>
      <w:r w:rsidR="00A25E3A">
        <w:t xml:space="preserve"> reduced by </w:t>
      </w:r>
      <w:r w:rsidR="006A38FC">
        <w:t>a cold snap in atmospheric conditions.</w:t>
      </w:r>
    </w:p>
    <w:p w14:paraId="5059C7E3" w14:textId="03C823D5" w:rsidR="006A38FC" w:rsidRDefault="006A38FC" w:rsidP="00AA57F3">
      <w:r>
        <w:t>At both sites within the Collarenebri weir</w:t>
      </w:r>
      <w:r w:rsidR="002E7FD6">
        <w:t xml:space="preserve"> </w:t>
      </w:r>
      <w:r>
        <w:t xml:space="preserve">pool, </w:t>
      </w:r>
      <w:r w:rsidR="002E7FD6">
        <w:t xml:space="preserve">DO concentrations at depth were very low (&lt;1.5 mg/l) until the arrival of the NFF in late May. </w:t>
      </w:r>
      <w:r w:rsidR="00A25E3A">
        <w:t xml:space="preserve">This suggests that while the degree of stratification varied during this time, any water column mixing was not sufficient enough to break the pattern of DO concentration through the water column. </w:t>
      </w:r>
      <w:r w:rsidR="002E7FD6">
        <w:t xml:space="preserve">With the arrival of the NFF, </w:t>
      </w:r>
      <w:r w:rsidR="00A25E3A">
        <w:t xml:space="preserve">near the bed </w:t>
      </w:r>
      <w:r w:rsidR="002E7FD6">
        <w:t>D</w:t>
      </w:r>
      <w:r w:rsidR="00A25E3A">
        <w:t>O</w:t>
      </w:r>
      <w:r w:rsidR="002E7FD6">
        <w:t xml:space="preserve"> concentrations increased from around 1 mg/l up to </w:t>
      </w:r>
      <w:r w:rsidR="00A25E3A">
        <w:t xml:space="preserve">above </w:t>
      </w:r>
      <w:r w:rsidR="002E7FD6">
        <w:t>6 mg/l (</w:t>
      </w:r>
      <w:r w:rsidR="00D17D0F">
        <w:fldChar w:fldCharType="begin"/>
      </w:r>
      <w:r w:rsidR="00D17D0F">
        <w:instrText xml:space="preserve"> REF _Ref38889948 \h </w:instrText>
      </w:r>
      <w:r w:rsidR="00D17D0F">
        <w:fldChar w:fldCharType="separate"/>
      </w:r>
      <w:r w:rsidR="006567A5">
        <w:t xml:space="preserve">Figure </w:t>
      </w:r>
      <w:r w:rsidR="006567A5">
        <w:rPr>
          <w:noProof/>
        </w:rPr>
        <w:t>18</w:t>
      </w:r>
      <w:r w:rsidR="00D17D0F">
        <w:fldChar w:fldCharType="end"/>
      </w:r>
      <w:r w:rsidR="002E7FD6">
        <w:t xml:space="preserve">, </w:t>
      </w:r>
      <w:r w:rsidR="007D75F0">
        <w:fldChar w:fldCharType="begin"/>
      </w:r>
      <w:r w:rsidR="007D75F0">
        <w:instrText xml:space="preserve"> REF _Ref38958984 \h </w:instrText>
      </w:r>
      <w:r w:rsidR="007D75F0">
        <w:fldChar w:fldCharType="separate"/>
      </w:r>
      <w:r w:rsidR="006567A5">
        <w:t xml:space="preserve">Figure </w:t>
      </w:r>
      <w:r w:rsidR="006567A5">
        <w:rPr>
          <w:noProof/>
        </w:rPr>
        <w:t>19</w:t>
      </w:r>
      <w:r w:rsidR="007D75F0">
        <w:fldChar w:fldCharType="end"/>
      </w:r>
      <w:r w:rsidR="002E7FD6">
        <w:t>). At both sites surface D</w:t>
      </w:r>
      <w:r w:rsidR="00A25E3A">
        <w:t>O</w:t>
      </w:r>
      <w:r w:rsidR="002E7FD6">
        <w:t xml:space="preserve"> concentrations showed an initial decrease of around 3-5 mg/l as the flow entered the weir</w:t>
      </w:r>
      <w:r w:rsidR="00A25E3A">
        <w:t xml:space="preserve"> pool</w:t>
      </w:r>
      <w:r w:rsidR="002E7FD6">
        <w:t xml:space="preserve"> then </w:t>
      </w:r>
      <w:r w:rsidR="00A25E3A">
        <w:t xml:space="preserve">an </w:t>
      </w:r>
      <w:r w:rsidR="002E7FD6">
        <w:t>increase to above 7 mg/l as the peak of the flow passed. Surface DO concentrations remained high (between 8 – 12 mg/l) for the remainder of the survey period. At Colli spot 3, DO concentrations at 3m also remained relatively high (between 6-9 mg/l), whereas at Colli 2 DO concentrations decreased to 3 mg/l</w:t>
      </w:r>
      <w:r w:rsidR="000B4B1D">
        <w:t xml:space="preserve"> on the falling limb of the NFF, then showed fluctuations</w:t>
      </w:r>
      <w:r w:rsidR="00A25E3A">
        <w:t xml:space="preserve"> that followed variations in water temperature,</w:t>
      </w:r>
      <w:r w:rsidR="000B4B1D">
        <w:t xml:space="preserve"> before again falling to 1.2 mg/l ear</w:t>
      </w:r>
      <w:r w:rsidR="00A25E3A">
        <w:t>ly in August 2019</w:t>
      </w:r>
      <w:r w:rsidR="000B4B1D">
        <w:t xml:space="preserve"> (</w:t>
      </w:r>
      <w:r w:rsidR="00D17D0F">
        <w:fldChar w:fldCharType="begin"/>
      </w:r>
      <w:r w:rsidR="00D17D0F">
        <w:instrText xml:space="preserve"> REF _Ref38889948 \h </w:instrText>
      </w:r>
      <w:r w:rsidR="00D17D0F">
        <w:fldChar w:fldCharType="separate"/>
      </w:r>
      <w:r w:rsidR="006567A5">
        <w:t xml:space="preserve">Figure </w:t>
      </w:r>
      <w:r w:rsidR="006567A5">
        <w:rPr>
          <w:noProof/>
        </w:rPr>
        <w:t>18</w:t>
      </w:r>
      <w:r w:rsidR="00D17D0F">
        <w:fldChar w:fldCharType="end"/>
      </w:r>
      <w:r w:rsidR="000B4B1D">
        <w:t>).</w:t>
      </w:r>
    </w:p>
    <w:p w14:paraId="4F9FEEC8" w14:textId="62E0868E" w:rsidR="000B4B1D" w:rsidRDefault="000B4B1D" w:rsidP="00581279">
      <w:pPr>
        <w:numPr>
          <w:ilvl w:val="0"/>
          <w:numId w:val="0"/>
        </w:numPr>
      </w:pPr>
      <w:r>
        <w:t xml:space="preserve">The Walgett </w:t>
      </w:r>
      <w:r w:rsidR="004B4F60">
        <w:t>weir</w:t>
      </w:r>
      <w:r>
        <w:t xml:space="preserve"> pool appeared to show periodic </w:t>
      </w:r>
      <w:r w:rsidR="00F37919">
        <w:t xml:space="preserve">changes </w:t>
      </w:r>
      <w:r w:rsidR="00A25E3A">
        <w:t xml:space="preserve">in the degree of </w:t>
      </w:r>
      <w:r>
        <w:t>stratification throughout the water column driven by climatic variations (</w:t>
      </w:r>
      <w:r>
        <w:fldChar w:fldCharType="begin"/>
      </w:r>
      <w:r>
        <w:instrText xml:space="preserve"> REF _Ref38448504 \h </w:instrText>
      </w:r>
      <w:r>
        <w:fldChar w:fldCharType="separate"/>
      </w:r>
      <w:r w:rsidR="006567A5">
        <w:t xml:space="preserve">Figure </w:t>
      </w:r>
      <w:r w:rsidR="006567A5">
        <w:rPr>
          <w:noProof/>
        </w:rPr>
        <w:t>20</w:t>
      </w:r>
      <w:r>
        <w:fldChar w:fldCharType="end"/>
      </w:r>
      <w:r>
        <w:t xml:space="preserve">). At the most extreme, surface and bottom temperatures (at a depth of 2.5m) showed a difference of around 8 </w:t>
      </w:r>
      <w:r w:rsidRPr="000B4B1D">
        <w:rPr>
          <w:vertAlign w:val="superscript"/>
        </w:rPr>
        <w:t>o</w:t>
      </w:r>
      <w:r>
        <w:t xml:space="preserve">C in late September. The influence of the NFF was clear on water column temperature with a convergence of all loggers to within </w:t>
      </w:r>
      <w:r w:rsidR="004B4F60">
        <w:t xml:space="preserve">0.5 </w:t>
      </w:r>
      <w:r w:rsidR="004B4F60" w:rsidRPr="004B4F60">
        <w:rPr>
          <w:vertAlign w:val="superscript"/>
        </w:rPr>
        <w:t>o</w:t>
      </w:r>
      <w:r w:rsidR="004B4F60">
        <w:t xml:space="preserve">C for the duration of the flow. Unlike other weir pools further upstream, </w:t>
      </w:r>
      <w:r w:rsidR="00A25E3A">
        <w:t xml:space="preserve">the redevelopment of stratification in this pool was more delayed, occurring around a </w:t>
      </w:r>
      <w:r w:rsidR="004B4F60">
        <w:t>month after the flow past through (</w:t>
      </w:r>
      <w:r w:rsidR="004B4F60">
        <w:fldChar w:fldCharType="begin"/>
      </w:r>
      <w:r w:rsidR="004B4F60">
        <w:instrText xml:space="preserve"> REF _Ref38448504 \h </w:instrText>
      </w:r>
      <w:r w:rsidR="004B4F60">
        <w:fldChar w:fldCharType="separate"/>
      </w:r>
      <w:r w:rsidR="006567A5">
        <w:t xml:space="preserve">Figure </w:t>
      </w:r>
      <w:r w:rsidR="006567A5">
        <w:rPr>
          <w:noProof/>
        </w:rPr>
        <w:t>20</w:t>
      </w:r>
      <w:r w:rsidR="004B4F60">
        <w:fldChar w:fldCharType="end"/>
      </w:r>
      <w:r w:rsidR="004B4F60">
        <w:t>).</w:t>
      </w:r>
    </w:p>
    <w:p w14:paraId="448B422F" w14:textId="0DF9E7DF" w:rsidR="004B4F60" w:rsidRDefault="004B4F60" w:rsidP="00581279">
      <w:pPr>
        <w:numPr>
          <w:ilvl w:val="0"/>
          <w:numId w:val="0"/>
        </w:numPr>
      </w:pPr>
      <w:r>
        <w:t>D</w:t>
      </w:r>
      <w:r w:rsidR="00A25E3A">
        <w:t>O</w:t>
      </w:r>
      <w:r>
        <w:t xml:space="preserve"> concentration was highly variable at both the surface and </w:t>
      </w:r>
      <w:r w:rsidR="00A25E3A">
        <w:t>near bed</w:t>
      </w:r>
      <w:r>
        <w:t xml:space="preserve"> over the deployment period in Walgett </w:t>
      </w:r>
      <w:r w:rsidR="00035C56">
        <w:t>weir</w:t>
      </w:r>
      <w:r w:rsidR="00A25E3A">
        <w:t xml:space="preserve"> </w:t>
      </w:r>
      <w:r>
        <w:t>pool (</w:t>
      </w:r>
      <w:r>
        <w:fldChar w:fldCharType="begin"/>
      </w:r>
      <w:r>
        <w:instrText xml:space="preserve"> REF _Ref38448504 \h </w:instrText>
      </w:r>
      <w:r>
        <w:fldChar w:fldCharType="separate"/>
      </w:r>
      <w:r w:rsidR="006567A5">
        <w:t xml:space="preserve">Figure </w:t>
      </w:r>
      <w:r w:rsidR="006567A5">
        <w:rPr>
          <w:noProof/>
        </w:rPr>
        <w:t>20</w:t>
      </w:r>
      <w:r>
        <w:fldChar w:fldCharType="end"/>
      </w:r>
      <w:r>
        <w:t xml:space="preserve">). Surface concentrations showed a general decreasing trend over March before a sharp decrease in concentrations around the 13 March. This coincided with a sharp increase in </w:t>
      </w:r>
      <w:r w:rsidR="00A25E3A">
        <w:t xml:space="preserve">near bed </w:t>
      </w:r>
      <w:r>
        <w:t xml:space="preserve">DO from around 0.1 mg/l to 3 mg/l, suggesting </w:t>
      </w:r>
      <w:r w:rsidR="00A25E3A">
        <w:t xml:space="preserve">fuller </w:t>
      </w:r>
      <w:r>
        <w:t xml:space="preserve">mixing of the water column. Given there appeared to be no sharp drop in atmospheric temperature, this may have been caused by wind driven physical mixing. DO concentration in the weir pool appeared to fluctuate between 0.1 and 4.7 mg/l over the next month before rising consistently through the water column to 9 mg/l with the arrival of the NFF. </w:t>
      </w:r>
      <w:r w:rsidR="00A25E3A">
        <w:t xml:space="preserve">Near bed </w:t>
      </w:r>
      <w:r>
        <w:t>DO decrease</w:t>
      </w:r>
      <w:r w:rsidR="00A25E3A">
        <w:t>d</w:t>
      </w:r>
      <w:r>
        <w:t xml:space="preserve"> </w:t>
      </w:r>
      <w:r w:rsidR="00A25E3A">
        <w:t>t</w:t>
      </w:r>
      <w:r>
        <w:t>o below 4 mg/l as the NFF flows reduced, but then fluctuated through to late August when levels again decreased down to 0.5 mg/l at the conclusion of deployment. Surface DO concentrations fluctuated between 3.5 and 11.4 mg/l following the NFF (</w:t>
      </w:r>
      <w:r>
        <w:fldChar w:fldCharType="begin"/>
      </w:r>
      <w:r>
        <w:instrText xml:space="preserve"> REF _Ref38448504 \h </w:instrText>
      </w:r>
      <w:r>
        <w:fldChar w:fldCharType="separate"/>
      </w:r>
      <w:r w:rsidR="006567A5">
        <w:t xml:space="preserve">Figure </w:t>
      </w:r>
      <w:r w:rsidR="006567A5">
        <w:rPr>
          <w:noProof/>
        </w:rPr>
        <w:t>20</w:t>
      </w:r>
      <w:r>
        <w:fldChar w:fldCharType="end"/>
      </w:r>
      <w:r>
        <w:t>).</w:t>
      </w:r>
    </w:p>
    <w:p w14:paraId="4E9F73D1" w14:textId="0A775A5A" w:rsidR="004B4F60" w:rsidRDefault="008251A1" w:rsidP="00581279">
      <w:pPr>
        <w:numPr>
          <w:ilvl w:val="0"/>
          <w:numId w:val="0"/>
        </w:numPr>
      </w:pPr>
      <w:r>
        <w:lastRenderedPageBreak/>
        <w:t>Differences in temperature through the water column in the Brewarrina weir pool were not as pronounced as in other pools monitored, owing primarily to more prolonged flows through this pool</w:t>
      </w:r>
      <w:r w:rsidR="006E19B1">
        <w:t>, but some degree of stratification was apparent</w:t>
      </w:r>
      <w:r>
        <w:t xml:space="preserve">. Due to upstream tributary inflows, the Barwon River at Brewarrina had flow from late April through to August, with the NFF contributing a noticeable peak in July </w:t>
      </w:r>
      <w:r w:rsidR="006E19B1">
        <w:t>of</w:t>
      </w:r>
      <w:r>
        <w:t xml:space="preserve"> around 180 ML/d (</w:t>
      </w:r>
      <w:r>
        <w:fldChar w:fldCharType="begin"/>
      </w:r>
      <w:r>
        <w:instrText xml:space="preserve"> REF _Ref38455000 \h </w:instrText>
      </w:r>
      <w:r>
        <w:fldChar w:fldCharType="separate"/>
      </w:r>
      <w:r w:rsidR="006567A5">
        <w:t xml:space="preserve">Figure </w:t>
      </w:r>
      <w:r w:rsidR="006567A5">
        <w:rPr>
          <w:noProof/>
        </w:rPr>
        <w:t>21</w:t>
      </w:r>
      <w:r>
        <w:fldChar w:fldCharType="end"/>
      </w:r>
      <w:r>
        <w:t xml:space="preserve">). </w:t>
      </w:r>
      <w:r w:rsidR="006E19B1">
        <w:t xml:space="preserve">Stratification in this </w:t>
      </w:r>
      <w:r w:rsidR="00035C56">
        <w:t>weir pool</w:t>
      </w:r>
      <w:r w:rsidR="006E19B1">
        <w:t xml:space="preserve"> was most notable in March, and less so following this time. The arrival of the NFF appeared to stabilise water temperatures throughout the water column</w:t>
      </w:r>
      <w:r>
        <w:t xml:space="preserve">. </w:t>
      </w:r>
    </w:p>
    <w:p w14:paraId="43D69629" w14:textId="4538FBA1" w:rsidR="006E19B1" w:rsidRDefault="006E19B1" w:rsidP="00581279">
      <w:pPr>
        <w:numPr>
          <w:ilvl w:val="0"/>
          <w:numId w:val="0"/>
        </w:numPr>
      </w:pPr>
      <w:r>
        <w:t>DO concentrations in the Brewarrina weir pool were highly variable over the deployment period and were generally reflective of changes in stratification (</w:t>
      </w:r>
      <w:r>
        <w:fldChar w:fldCharType="begin"/>
      </w:r>
      <w:r>
        <w:instrText xml:space="preserve"> REF _Ref38455000 \h </w:instrText>
      </w:r>
      <w:r>
        <w:fldChar w:fldCharType="separate"/>
      </w:r>
      <w:r w:rsidR="006567A5">
        <w:t xml:space="preserve">Figure </w:t>
      </w:r>
      <w:r w:rsidR="006567A5">
        <w:rPr>
          <w:noProof/>
        </w:rPr>
        <w:t>21</w:t>
      </w:r>
      <w:r>
        <w:fldChar w:fldCharType="end"/>
      </w:r>
      <w:r>
        <w:t xml:space="preserve">). Near bed DO showed a noticeable increase with the arrival of the NFF in early July, rising from 0.21 mg/l to 6.78 mg/l just </w:t>
      </w:r>
      <w:r w:rsidR="00035C56">
        <w:t>preceding</w:t>
      </w:r>
      <w:r>
        <w:t xml:space="preserve"> the flow peak. Near bed DO then dropped significantly as flows decreased back to very low levels (0.1 mg/l) at the conclusion of the flow (</w:t>
      </w:r>
      <w:r>
        <w:fldChar w:fldCharType="begin"/>
      </w:r>
      <w:r>
        <w:instrText xml:space="preserve"> REF _Ref38455000 \h </w:instrText>
      </w:r>
      <w:r>
        <w:fldChar w:fldCharType="separate"/>
      </w:r>
      <w:r w:rsidR="006567A5">
        <w:t xml:space="preserve">Figure </w:t>
      </w:r>
      <w:r w:rsidR="006567A5">
        <w:rPr>
          <w:noProof/>
        </w:rPr>
        <w:t>21</w:t>
      </w:r>
      <w:r>
        <w:fldChar w:fldCharType="end"/>
      </w:r>
      <w:r>
        <w:t>).</w:t>
      </w:r>
    </w:p>
    <w:p w14:paraId="62366478" w14:textId="7AFA7873" w:rsidR="006E19B1" w:rsidRDefault="006E19B1" w:rsidP="00581279">
      <w:pPr>
        <w:numPr>
          <w:ilvl w:val="0"/>
          <w:numId w:val="0"/>
        </w:numPr>
      </w:pPr>
      <w:r>
        <w:t>Bourke weir pool showed the greatest degree of stratification of all the pools monitored, with only one short period of mixing noted at both sites in late May, when inflows increased the weir pool height by around 0.8 m (</w:t>
      </w:r>
      <w:r>
        <w:fldChar w:fldCharType="begin"/>
      </w:r>
      <w:r>
        <w:instrText xml:space="preserve"> REF _Ref38460384 \h </w:instrText>
      </w:r>
      <w:r>
        <w:fldChar w:fldCharType="separate"/>
      </w:r>
      <w:r w:rsidR="006567A5">
        <w:t xml:space="preserve">Figure </w:t>
      </w:r>
      <w:r w:rsidR="006567A5">
        <w:rPr>
          <w:noProof/>
        </w:rPr>
        <w:t>22</w:t>
      </w:r>
      <w:r>
        <w:fldChar w:fldCharType="end"/>
      </w:r>
      <w:r>
        <w:t xml:space="preserve">, </w:t>
      </w:r>
      <w:r>
        <w:fldChar w:fldCharType="begin"/>
      </w:r>
      <w:r>
        <w:instrText xml:space="preserve"> REF _Ref38460385 \h </w:instrText>
      </w:r>
      <w:r>
        <w:fldChar w:fldCharType="separate"/>
      </w:r>
      <w:r w:rsidR="006567A5">
        <w:t xml:space="preserve">Figure </w:t>
      </w:r>
      <w:r w:rsidR="006567A5">
        <w:rPr>
          <w:noProof/>
        </w:rPr>
        <w:t>23</w:t>
      </w:r>
      <w:r>
        <w:fldChar w:fldCharType="end"/>
      </w:r>
      <w:r>
        <w:t xml:space="preserve">). Stratification was most notable at the Bourke 1 site closest to the weir wall, with near bed temperatures 6-7 </w:t>
      </w:r>
      <w:r w:rsidRPr="006E19B1">
        <w:rPr>
          <w:vertAlign w:val="superscript"/>
        </w:rPr>
        <w:t>o</w:t>
      </w:r>
      <w:r>
        <w:t xml:space="preserve">C different to surface water temperatures. Stratification was periodically reduced with colder atmospheric conditions, but soon </w:t>
      </w:r>
      <w:r w:rsidR="003562C1">
        <w:t>re-established</w:t>
      </w:r>
      <w:r>
        <w:t xml:space="preserve">. </w:t>
      </w:r>
    </w:p>
    <w:p w14:paraId="78FC975E" w14:textId="6B8FE29D" w:rsidR="006E19B1" w:rsidRDefault="003562C1" w:rsidP="00581279">
      <w:pPr>
        <w:numPr>
          <w:ilvl w:val="0"/>
          <w:numId w:val="0"/>
        </w:numPr>
      </w:pPr>
      <w:r>
        <w:t xml:space="preserve">DO concentrations were highly variable within the Bourke weir pool as well, with near bed concentrations appearing to be generally lower at the most upstream site. Near bed DO ranged between 1.6 - 10.6 mg/l at Bourke 1 site and was not as low as in some of the other pools monitored. This may be a reflection of the shallow depth at this site, perhaps letting light penetrate enough for photosynthesis to occur at depth. </w:t>
      </w:r>
      <w:r w:rsidR="00C925C6">
        <w:t xml:space="preserve">At this site, surface DO ranged from 3.1 – 10.3 mg/l and was also variable through time. Near Bed DO was lower at the Bourke 2 site dropping to &lt;0.5 mg/l on a number of occupations. During the period of </w:t>
      </w:r>
      <w:r w:rsidR="00E706A8">
        <w:t xml:space="preserve">natural </w:t>
      </w:r>
      <w:r w:rsidR="00C925C6">
        <w:t>inflow in late July</w:t>
      </w:r>
      <w:r w:rsidR="00E706A8">
        <w:t xml:space="preserve"> (not linked to the NFF)</w:t>
      </w:r>
      <w:r w:rsidR="00C925C6">
        <w:t>, near bed DO increased to surface concentrations for several days, suggesting full water column mixing at this time. Levels then began to drop again and diverge from surface concentrations several days later (</w:t>
      </w:r>
      <w:r w:rsidR="00C925C6">
        <w:fldChar w:fldCharType="begin"/>
      </w:r>
      <w:r w:rsidR="00C925C6">
        <w:instrText xml:space="preserve"> REF _Ref38460385 \h </w:instrText>
      </w:r>
      <w:r w:rsidR="00C925C6">
        <w:fldChar w:fldCharType="separate"/>
      </w:r>
      <w:r w:rsidR="006567A5">
        <w:t xml:space="preserve">Figure </w:t>
      </w:r>
      <w:r w:rsidR="006567A5">
        <w:rPr>
          <w:noProof/>
        </w:rPr>
        <w:t>23</w:t>
      </w:r>
      <w:r w:rsidR="00C925C6">
        <w:fldChar w:fldCharType="end"/>
      </w:r>
      <w:r w:rsidR="00C925C6">
        <w:t>).</w:t>
      </w:r>
    </w:p>
    <w:p w14:paraId="75172D17" w14:textId="4BF5A457" w:rsidR="00E36841" w:rsidRDefault="00E36841">
      <w:pPr>
        <w:numPr>
          <w:ilvl w:val="0"/>
          <w:numId w:val="0"/>
        </w:numPr>
      </w:pPr>
      <w:r>
        <w:br w:type="page"/>
      </w:r>
    </w:p>
    <w:p w14:paraId="0923FF2C" w14:textId="77777777" w:rsidR="002C2DE0" w:rsidRDefault="001F0278" w:rsidP="002C2DE0">
      <w:pPr>
        <w:pStyle w:val="Caption"/>
      </w:pPr>
      <w:r w:rsidRPr="001F0278">
        <w:rPr>
          <w:noProof/>
          <w:lang w:eastAsia="en-AU"/>
        </w:rPr>
        <w:lastRenderedPageBreak/>
        <w:t xml:space="preserve"> </w:t>
      </w:r>
      <w:r>
        <w:rPr>
          <w:noProof/>
          <w:lang w:eastAsia="en-AU"/>
        </w:rPr>
        <w:drawing>
          <wp:inline distT="0" distB="0" distL="0" distR="0" wp14:anchorId="7351A95D" wp14:editId="7D52008F">
            <wp:extent cx="5815173" cy="793368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b="1619"/>
                    <a:stretch/>
                  </pic:blipFill>
                  <pic:spPr bwMode="auto">
                    <a:xfrm>
                      <a:off x="0" y="0"/>
                      <a:ext cx="5846030" cy="7975786"/>
                    </a:xfrm>
                    <a:prstGeom prst="rect">
                      <a:avLst/>
                    </a:prstGeom>
                    <a:ln>
                      <a:noFill/>
                    </a:ln>
                    <a:extLst>
                      <a:ext uri="{53640926-AAD7-44D8-BBD7-CCE9431645EC}">
                        <a14:shadowObscured xmlns:a14="http://schemas.microsoft.com/office/drawing/2010/main"/>
                      </a:ext>
                    </a:extLst>
                  </pic:spPr>
                </pic:pic>
              </a:graphicData>
            </a:graphic>
          </wp:inline>
        </w:drawing>
      </w:r>
      <w:bookmarkStart w:id="63" w:name="_Ref38440444"/>
    </w:p>
    <w:p w14:paraId="1701D4A0" w14:textId="77CFAAD8" w:rsidR="005D587B" w:rsidRDefault="002C2DE0" w:rsidP="002C2DE0">
      <w:pPr>
        <w:pStyle w:val="Caption"/>
        <w:rPr>
          <w:noProof/>
          <w:lang w:eastAsia="en-AU"/>
        </w:rPr>
      </w:pPr>
      <w:bookmarkStart w:id="64" w:name="_Ref38889901"/>
      <w:bookmarkStart w:id="65" w:name="_Toc38889768"/>
      <w:r>
        <w:t xml:space="preserve">Figure </w:t>
      </w:r>
      <w:r w:rsidR="003E421B">
        <w:rPr>
          <w:noProof/>
        </w:rPr>
        <w:fldChar w:fldCharType="begin"/>
      </w:r>
      <w:r w:rsidR="003E421B">
        <w:rPr>
          <w:noProof/>
        </w:rPr>
        <w:instrText xml:space="preserve"> SEQ Figure \* ARABIC </w:instrText>
      </w:r>
      <w:r w:rsidR="003E421B">
        <w:rPr>
          <w:noProof/>
        </w:rPr>
        <w:fldChar w:fldCharType="separate"/>
      </w:r>
      <w:r w:rsidR="006567A5">
        <w:rPr>
          <w:noProof/>
        </w:rPr>
        <w:t>17</w:t>
      </w:r>
      <w:r w:rsidR="003E421B">
        <w:rPr>
          <w:noProof/>
        </w:rPr>
        <w:fldChar w:fldCharType="end"/>
      </w:r>
      <w:bookmarkEnd w:id="64"/>
      <w:r>
        <w:t>:</w:t>
      </w:r>
      <w:r w:rsidRPr="002C2DE0">
        <w:t xml:space="preserve"> </w:t>
      </w:r>
      <w:r>
        <w:t>Hourly water temperature (top), daily average dissolved oxygen (DO, middle)</w:t>
      </w:r>
      <w:r w:rsidRPr="003F2CBD">
        <w:t xml:space="preserve"> and daily air temperature (</w:t>
      </w:r>
      <w:r>
        <w:t>bottom) measured at the Mungindi 2 site during the study period. River flow data for the Barwon River @ Mungindi gauge also presented.</w:t>
      </w:r>
      <w:bookmarkEnd w:id="65"/>
    </w:p>
    <w:bookmarkEnd w:id="63"/>
    <w:p w14:paraId="11FB174B" w14:textId="3B217730" w:rsidR="005D587B" w:rsidRDefault="00CD2293" w:rsidP="005D587B">
      <w:pPr>
        <w:pStyle w:val="Caption"/>
        <w:rPr>
          <w:noProof/>
          <w:lang w:eastAsia="en-AU"/>
        </w:rPr>
      </w:pPr>
      <w:r>
        <w:rPr>
          <w:noProof/>
          <w:lang w:eastAsia="en-AU"/>
        </w:rPr>
        <w:lastRenderedPageBreak/>
        <w:drawing>
          <wp:anchor distT="0" distB="0" distL="114300" distR="114300" simplePos="0" relativeHeight="251655166" behindDoc="0" locked="0" layoutInCell="1" allowOverlap="1" wp14:anchorId="14EBD98D" wp14:editId="0DE633FF">
            <wp:simplePos x="0" y="0"/>
            <wp:positionH relativeFrom="column">
              <wp:posOffset>-3613</wp:posOffset>
            </wp:positionH>
            <wp:positionV relativeFrom="paragraph">
              <wp:posOffset>-832</wp:posOffset>
            </wp:positionV>
            <wp:extent cx="5846445" cy="2732405"/>
            <wp:effectExtent l="0" t="0" r="0" b="0"/>
            <wp:wrapNone/>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V relativeFrom="margin">
              <wp14:pctHeight>0</wp14:pctHeight>
            </wp14:sizeRelV>
          </wp:anchor>
        </w:drawing>
      </w:r>
      <w:r w:rsidR="00634459" w:rsidRPr="00634459">
        <w:rPr>
          <w:noProof/>
          <w:lang w:eastAsia="en-AU"/>
        </w:rPr>
        <w:t xml:space="preserve"> </w:t>
      </w:r>
      <w:bookmarkStart w:id="66" w:name="_Ref38442930"/>
      <w:r w:rsidR="001F0278">
        <w:rPr>
          <w:noProof/>
          <w:lang w:eastAsia="en-AU"/>
        </w:rPr>
        <w:drawing>
          <wp:inline distT="0" distB="0" distL="0" distR="0" wp14:anchorId="394FDD2A" wp14:editId="39CA26D9">
            <wp:extent cx="5815622" cy="8203088"/>
            <wp:effectExtent l="0" t="0" r="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37442" cy="8233866"/>
                    </a:xfrm>
                    <a:prstGeom prst="rect">
                      <a:avLst/>
                    </a:prstGeom>
                  </pic:spPr>
                </pic:pic>
              </a:graphicData>
            </a:graphic>
          </wp:inline>
        </w:drawing>
      </w:r>
      <w:bookmarkStart w:id="67" w:name="_Ref38880093"/>
    </w:p>
    <w:p w14:paraId="1F22CD14" w14:textId="54EA0A82" w:rsidR="00634459" w:rsidRDefault="00634459" w:rsidP="005D587B">
      <w:pPr>
        <w:pStyle w:val="Caption"/>
      </w:pPr>
      <w:bookmarkStart w:id="68" w:name="_Ref38889948"/>
      <w:bookmarkStart w:id="69" w:name="_Toc38889769"/>
      <w:r>
        <w:t xml:space="preserve">Figure </w:t>
      </w:r>
      <w:r w:rsidR="003E421B">
        <w:rPr>
          <w:noProof/>
        </w:rPr>
        <w:fldChar w:fldCharType="begin"/>
      </w:r>
      <w:r w:rsidR="003E421B">
        <w:rPr>
          <w:noProof/>
        </w:rPr>
        <w:instrText xml:space="preserve"> SEQ Figure \* ARABIC </w:instrText>
      </w:r>
      <w:r w:rsidR="003E421B">
        <w:rPr>
          <w:noProof/>
        </w:rPr>
        <w:fldChar w:fldCharType="separate"/>
      </w:r>
      <w:r w:rsidR="006567A5">
        <w:rPr>
          <w:noProof/>
        </w:rPr>
        <w:t>18</w:t>
      </w:r>
      <w:r w:rsidR="003E421B">
        <w:rPr>
          <w:noProof/>
        </w:rPr>
        <w:fldChar w:fldCharType="end"/>
      </w:r>
      <w:bookmarkEnd w:id="66"/>
      <w:bookmarkEnd w:id="67"/>
      <w:bookmarkEnd w:id="68"/>
      <w:r>
        <w:t xml:space="preserve">:  </w:t>
      </w:r>
      <w:r w:rsidR="00B24606">
        <w:t>Hourly water temperature (top), daily average dissolved oxygen (DO, middle)</w:t>
      </w:r>
      <w:r w:rsidR="00B24606" w:rsidRPr="003F2CBD">
        <w:t xml:space="preserve"> and daily air temperature (</w:t>
      </w:r>
      <w:r w:rsidR="00B24606">
        <w:t xml:space="preserve">bottom) </w:t>
      </w:r>
      <w:r w:rsidRPr="007C6F1E">
        <w:t xml:space="preserve">measured at the Collarenebri (Colli) </w:t>
      </w:r>
      <w:r>
        <w:t>2</w:t>
      </w:r>
      <w:r w:rsidRPr="007C6F1E">
        <w:t xml:space="preserve"> site during the study period</w:t>
      </w:r>
      <w:r w:rsidR="00097811">
        <w:t xml:space="preserve">. River flow data for the Barwon River @ </w:t>
      </w:r>
      <w:r w:rsidR="00291259">
        <w:t>Collarenebri</w:t>
      </w:r>
      <w:r w:rsidR="00097811">
        <w:t xml:space="preserve"> gauge also presented.</w:t>
      </w:r>
      <w:bookmarkEnd w:id="69"/>
    </w:p>
    <w:p w14:paraId="23546241" w14:textId="77777777" w:rsidR="00D17D0F" w:rsidRDefault="001F0278" w:rsidP="00D17D0F">
      <w:pPr>
        <w:pStyle w:val="Caption"/>
      </w:pPr>
      <w:bookmarkStart w:id="70" w:name="_Toc38889770"/>
      <w:r>
        <w:rPr>
          <w:noProof/>
          <w:lang w:eastAsia="en-AU"/>
        </w:rPr>
        <w:lastRenderedPageBreak/>
        <w:drawing>
          <wp:inline distT="0" distB="0" distL="0" distR="0" wp14:anchorId="51FB91E9" wp14:editId="0B95EB53">
            <wp:extent cx="5846445" cy="8219654"/>
            <wp:effectExtent l="0" t="0" r="190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48082" cy="8221956"/>
                    </a:xfrm>
                    <a:prstGeom prst="rect">
                      <a:avLst/>
                    </a:prstGeom>
                  </pic:spPr>
                </pic:pic>
              </a:graphicData>
            </a:graphic>
          </wp:inline>
        </w:drawing>
      </w:r>
    </w:p>
    <w:p w14:paraId="6401793A" w14:textId="33B78DA0" w:rsidR="00E36841" w:rsidRDefault="00D17D0F" w:rsidP="005D587B">
      <w:pPr>
        <w:pStyle w:val="Caption"/>
      </w:pPr>
      <w:bookmarkStart w:id="71" w:name="_Ref38958984"/>
      <w:r>
        <w:t xml:space="preserve">Figure </w:t>
      </w:r>
      <w:r w:rsidR="003E421B">
        <w:rPr>
          <w:noProof/>
        </w:rPr>
        <w:fldChar w:fldCharType="begin"/>
      </w:r>
      <w:r w:rsidR="003E421B">
        <w:rPr>
          <w:noProof/>
        </w:rPr>
        <w:instrText xml:space="preserve"> SEQ Figure \* ARABIC </w:instrText>
      </w:r>
      <w:r w:rsidR="003E421B">
        <w:rPr>
          <w:noProof/>
        </w:rPr>
        <w:fldChar w:fldCharType="separate"/>
      </w:r>
      <w:r w:rsidR="006567A5">
        <w:rPr>
          <w:noProof/>
        </w:rPr>
        <w:t>19</w:t>
      </w:r>
      <w:r w:rsidR="003E421B">
        <w:rPr>
          <w:noProof/>
        </w:rPr>
        <w:fldChar w:fldCharType="end"/>
      </w:r>
      <w:bookmarkEnd w:id="71"/>
      <w:r>
        <w:t>:  Hourly water temperature (top), daily average dissolved oxygen (DO, middle)</w:t>
      </w:r>
      <w:r w:rsidRPr="003F2CBD">
        <w:t xml:space="preserve"> and daily air temperature (</w:t>
      </w:r>
      <w:r>
        <w:t xml:space="preserve">bottom) </w:t>
      </w:r>
      <w:r w:rsidRPr="004A077D">
        <w:t>measured at</w:t>
      </w:r>
      <w:r>
        <w:t xml:space="preserve"> the</w:t>
      </w:r>
      <w:r w:rsidRPr="004A077D">
        <w:t xml:space="preserve"> </w:t>
      </w:r>
      <w:r>
        <w:t>Collarenebri (Colli)</w:t>
      </w:r>
      <w:r w:rsidRPr="004A077D">
        <w:t xml:space="preserve"> </w:t>
      </w:r>
      <w:r>
        <w:t xml:space="preserve">spot 3 site </w:t>
      </w:r>
      <w:r w:rsidRPr="004A077D">
        <w:t>during the study period</w:t>
      </w:r>
      <w:r>
        <w:t>. River flow data for the Barwon River @ Collarenebri gauge also presented.</w:t>
      </w:r>
      <w:r w:rsidR="00747276">
        <w:rPr>
          <w:noProof/>
          <w:lang w:eastAsia="en-AU"/>
        </w:rPr>
        <w:drawing>
          <wp:anchor distT="0" distB="0" distL="114300" distR="114300" simplePos="0" relativeHeight="251716608" behindDoc="0" locked="0" layoutInCell="1" allowOverlap="1" wp14:anchorId="1B286B69" wp14:editId="3D8EA29C">
            <wp:simplePos x="0" y="0"/>
            <wp:positionH relativeFrom="column">
              <wp:posOffset>6131</wp:posOffset>
            </wp:positionH>
            <wp:positionV relativeFrom="paragraph">
              <wp:posOffset>2784102</wp:posOffset>
            </wp:positionV>
            <wp:extent cx="5835650" cy="2741579"/>
            <wp:effectExtent l="0" t="0" r="0" b="0"/>
            <wp:wrapNone/>
            <wp:docPr id="178" name="Chart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747276">
        <w:rPr>
          <w:noProof/>
          <w:lang w:eastAsia="en-AU"/>
        </w:rPr>
        <w:drawing>
          <wp:anchor distT="0" distB="0" distL="114300" distR="114300" simplePos="0" relativeHeight="251714560" behindDoc="0" locked="0" layoutInCell="1" allowOverlap="1" wp14:anchorId="7080A515" wp14:editId="50F8DC3D">
            <wp:simplePos x="0" y="0"/>
            <wp:positionH relativeFrom="column">
              <wp:posOffset>5453</wp:posOffset>
            </wp:positionH>
            <wp:positionV relativeFrom="paragraph">
              <wp:posOffset>-1008</wp:posOffset>
            </wp:positionV>
            <wp:extent cx="5835650" cy="2752572"/>
            <wp:effectExtent l="0" t="0" r="0" b="0"/>
            <wp:wrapNone/>
            <wp:docPr id="177" name="Chart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bookmarkEnd w:id="70"/>
      <w:r w:rsidR="00E36841">
        <w:br w:type="page"/>
      </w:r>
    </w:p>
    <w:p w14:paraId="08AA5EBA" w14:textId="036C490D" w:rsidR="004E71E6" w:rsidRDefault="001F0278" w:rsidP="004E71E6">
      <w:pPr>
        <w:keepNext/>
        <w:numPr>
          <w:ilvl w:val="0"/>
          <w:numId w:val="0"/>
        </w:numPr>
      </w:pPr>
      <w:r w:rsidRPr="001F0278">
        <w:rPr>
          <w:noProof/>
          <w:lang w:eastAsia="en-AU"/>
        </w:rPr>
        <w:lastRenderedPageBreak/>
        <w:t xml:space="preserve"> </w:t>
      </w:r>
      <w:r>
        <w:rPr>
          <w:noProof/>
          <w:lang w:eastAsia="en-AU"/>
        </w:rPr>
        <w:drawing>
          <wp:inline distT="0" distB="0" distL="0" distR="0" wp14:anchorId="6067C968" wp14:editId="06FC5858">
            <wp:extent cx="5802923" cy="8163067"/>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05165" cy="8166221"/>
                    </a:xfrm>
                    <a:prstGeom prst="rect">
                      <a:avLst/>
                    </a:prstGeom>
                  </pic:spPr>
                </pic:pic>
              </a:graphicData>
            </a:graphic>
          </wp:inline>
        </w:drawing>
      </w:r>
    </w:p>
    <w:p w14:paraId="5A542305" w14:textId="443CB8FD" w:rsidR="00E36841" w:rsidRDefault="004E71E6" w:rsidP="004E71E6">
      <w:pPr>
        <w:pStyle w:val="Caption"/>
      </w:pPr>
      <w:bookmarkStart w:id="72" w:name="_Ref38448504"/>
      <w:bookmarkStart w:id="73" w:name="_Toc38889771"/>
      <w:r>
        <w:t xml:space="preserve">Figure </w:t>
      </w:r>
      <w:r w:rsidR="003E421B">
        <w:rPr>
          <w:noProof/>
        </w:rPr>
        <w:fldChar w:fldCharType="begin"/>
      </w:r>
      <w:r w:rsidR="003E421B">
        <w:rPr>
          <w:noProof/>
        </w:rPr>
        <w:instrText xml:space="preserve"> SEQ Figure \* ARABIC </w:instrText>
      </w:r>
      <w:r w:rsidR="003E421B">
        <w:rPr>
          <w:noProof/>
        </w:rPr>
        <w:fldChar w:fldCharType="separate"/>
      </w:r>
      <w:r w:rsidR="006567A5">
        <w:rPr>
          <w:noProof/>
        </w:rPr>
        <w:t>20</w:t>
      </w:r>
      <w:r w:rsidR="003E421B">
        <w:rPr>
          <w:noProof/>
        </w:rPr>
        <w:fldChar w:fldCharType="end"/>
      </w:r>
      <w:bookmarkEnd w:id="72"/>
      <w:r>
        <w:t xml:space="preserve">:  </w:t>
      </w:r>
      <w:r w:rsidR="00B24606">
        <w:t>Hourly water temperature (top), daily average dissolved oxygen (DO, middle)</w:t>
      </w:r>
      <w:r w:rsidR="00B24606" w:rsidRPr="003F2CBD">
        <w:t xml:space="preserve"> and daily air temperature (</w:t>
      </w:r>
      <w:r w:rsidR="00B24606">
        <w:t xml:space="preserve">bottom) </w:t>
      </w:r>
      <w:r w:rsidRPr="00C3441D">
        <w:t xml:space="preserve">measured at the </w:t>
      </w:r>
      <w:r>
        <w:t>W</w:t>
      </w:r>
      <w:r w:rsidRPr="004E71E6">
        <w:t>algett</w:t>
      </w:r>
      <w:r w:rsidRPr="00C3441D">
        <w:t xml:space="preserve"> site during the study period</w:t>
      </w:r>
      <w:r w:rsidR="00291259">
        <w:t>. River flow data for the Barwon River @ Dangar Bridge gauge also presented.</w:t>
      </w:r>
      <w:bookmarkEnd w:id="73"/>
    </w:p>
    <w:p w14:paraId="55FCC0BA" w14:textId="6668140F" w:rsidR="00FB0188" w:rsidRDefault="001F0278" w:rsidP="00FB0188">
      <w:pPr>
        <w:keepNext/>
        <w:numPr>
          <w:ilvl w:val="0"/>
          <w:numId w:val="0"/>
        </w:numPr>
      </w:pPr>
      <w:r>
        <w:rPr>
          <w:noProof/>
          <w:lang w:eastAsia="en-AU"/>
        </w:rPr>
        <w:lastRenderedPageBreak/>
        <w:drawing>
          <wp:inline distT="0" distB="0" distL="0" distR="0" wp14:anchorId="724D63E5" wp14:editId="2F22A10F">
            <wp:extent cx="5843503" cy="8159261"/>
            <wp:effectExtent l="0" t="0" r="508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51631" cy="8170611"/>
                    </a:xfrm>
                    <a:prstGeom prst="rect">
                      <a:avLst/>
                    </a:prstGeom>
                  </pic:spPr>
                </pic:pic>
              </a:graphicData>
            </a:graphic>
          </wp:inline>
        </w:drawing>
      </w:r>
    </w:p>
    <w:p w14:paraId="6E8AA0F8" w14:textId="1B6853B5" w:rsidR="00E36841" w:rsidRPr="00291259" w:rsidRDefault="00FB0188" w:rsidP="00FB0188">
      <w:pPr>
        <w:pStyle w:val="Caption"/>
        <w:rPr>
          <w:b w:val="0"/>
        </w:rPr>
      </w:pPr>
      <w:bookmarkStart w:id="74" w:name="_Ref38455000"/>
      <w:bookmarkStart w:id="75" w:name="_Toc38889772"/>
      <w:r>
        <w:t xml:space="preserve">Figure </w:t>
      </w:r>
      <w:r w:rsidR="003E421B">
        <w:rPr>
          <w:noProof/>
        </w:rPr>
        <w:fldChar w:fldCharType="begin"/>
      </w:r>
      <w:r w:rsidR="003E421B">
        <w:rPr>
          <w:noProof/>
        </w:rPr>
        <w:instrText xml:space="preserve"> SEQ Figure \* ARABIC </w:instrText>
      </w:r>
      <w:r w:rsidR="003E421B">
        <w:rPr>
          <w:noProof/>
        </w:rPr>
        <w:fldChar w:fldCharType="separate"/>
      </w:r>
      <w:r w:rsidR="006567A5">
        <w:rPr>
          <w:noProof/>
        </w:rPr>
        <w:t>21</w:t>
      </w:r>
      <w:r w:rsidR="003E421B">
        <w:rPr>
          <w:noProof/>
        </w:rPr>
        <w:fldChar w:fldCharType="end"/>
      </w:r>
      <w:bookmarkEnd w:id="74"/>
      <w:r>
        <w:t xml:space="preserve">:  </w:t>
      </w:r>
      <w:r w:rsidR="00B24606">
        <w:t>Hourly water temperature (top), daily average dissolved oxygen (DO, middle)</w:t>
      </w:r>
      <w:r w:rsidR="00B24606" w:rsidRPr="003F2CBD">
        <w:t xml:space="preserve"> and daily air temperature (</w:t>
      </w:r>
      <w:r w:rsidR="00B24606">
        <w:t xml:space="preserve">bottom) </w:t>
      </w:r>
      <w:r w:rsidRPr="00DD08CA">
        <w:t xml:space="preserve">measured at the </w:t>
      </w:r>
      <w:r>
        <w:t>Brewarrina (Bre) 1</w:t>
      </w:r>
      <w:r w:rsidRPr="00DD08CA">
        <w:t xml:space="preserve"> site during the study period</w:t>
      </w:r>
      <w:r w:rsidR="00291259">
        <w:t>. River flow data for the Barwon River @ Brewarrina gauge also presented.</w:t>
      </w:r>
      <w:bookmarkEnd w:id="75"/>
    </w:p>
    <w:p w14:paraId="37967204" w14:textId="4B18B36C" w:rsidR="00FB0188" w:rsidRDefault="001F0278" w:rsidP="001F0278">
      <w:pPr>
        <w:keepNext/>
        <w:numPr>
          <w:ilvl w:val="0"/>
          <w:numId w:val="0"/>
        </w:numPr>
        <w:tabs>
          <w:tab w:val="left" w:pos="8931"/>
        </w:tabs>
      </w:pPr>
      <w:r w:rsidRPr="001F0278">
        <w:rPr>
          <w:noProof/>
          <w:lang w:eastAsia="en-AU"/>
        </w:rPr>
        <w:lastRenderedPageBreak/>
        <w:t xml:space="preserve"> </w:t>
      </w:r>
      <w:r>
        <w:rPr>
          <w:noProof/>
          <w:lang w:eastAsia="en-AU"/>
        </w:rPr>
        <w:drawing>
          <wp:inline distT="0" distB="0" distL="0" distR="0" wp14:anchorId="245D935D" wp14:editId="05FC20DA">
            <wp:extent cx="5802923" cy="8192995"/>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09182" cy="8201832"/>
                    </a:xfrm>
                    <a:prstGeom prst="rect">
                      <a:avLst/>
                    </a:prstGeom>
                  </pic:spPr>
                </pic:pic>
              </a:graphicData>
            </a:graphic>
          </wp:inline>
        </w:drawing>
      </w:r>
      <w:r w:rsidR="00FB0188" w:rsidRPr="00FB0188">
        <w:rPr>
          <w:noProof/>
          <w:lang w:eastAsia="en-AU"/>
        </w:rPr>
        <w:t xml:space="preserve"> </w:t>
      </w:r>
    </w:p>
    <w:p w14:paraId="19DED095" w14:textId="1CE6423C" w:rsidR="00E36841" w:rsidRDefault="00FB0188" w:rsidP="00FB0188">
      <w:pPr>
        <w:pStyle w:val="Caption"/>
      </w:pPr>
      <w:bookmarkStart w:id="76" w:name="_Ref38460384"/>
      <w:bookmarkStart w:id="77" w:name="_Toc38889773"/>
      <w:r>
        <w:t xml:space="preserve">Figure </w:t>
      </w:r>
      <w:r w:rsidR="003E421B">
        <w:rPr>
          <w:noProof/>
        </w:rPr>
        <w:fldChar w:fldCharType="begin"/>
      </w:r>
      <w:r w:rsidR="003E421B">
        <w:rPr>
          <w:noProof/>
        </w:rPr>
        <w:instrText xml:space="preserve"> SEQ Figure \* ARABIC </w:instrText>
      </w:r>
      <w:r w:rsidR="003E421B">
        <w:rPr>
          <w:noProof/>
        </w:rPr>
        <w:fldChar w:fldCharType="separate"/>
      </w:r>
      <w:r w:rsidR="006567A5">
        <w:rPr>
          <w:noProof/>
        </w:rPr>
        <w:t>22</w:t>
      </w:r>
      <w:r w:rsidR="003E421B">
        <w:rPr>
          <w:noProof/>
        </w:rPr>
        <w:fldChar w:fldCharType="end"/>
      </w:r>
      <w:bookmarkEnd w:id="76"/>
      <w:r>
        <w:t xml:space="preserve">:  </w:t>
      </w:r>
      <w:r w:rsidR="00B24606">
        <w:t>Hourly water temperature (top), daily average dissolved oxygen (DO, middle)</w:t>
      </w:r>
      <w:r w:rsidR="00B24606" w:rsidRPr="003F2CBD">
        <w:t xml:space="preserve"> and daily air temperature (</w:t>
      </w:r>
      <w:r w:rsidR="00B24606">
        <w:t xml:space="preserve">bottom) </w:t>
      </w:r>
      <w:r w:rsidRPr="00C713D7">
        <w:t xml:space="preserve">measured at the </w:t>
      </w:r>
      <w:r>
        <w:t>Bourke 1</w:t>
      </w:r>
      <w:r w:rsidRPr="00C713D7">
        <w:t xml:space="preserve"> site during the study period</w:t>
      </w:r>
      <w:r w:rsidR="00291259">
        <w:t>. River flow data for the Darling River @ Bourke town gauge also presented.</w:t>
      </w:r>
      <w:bookmarkEnd w:id="77"/>
    </w:p>
    <w:p w14:paraId="34D406BB" w14:textId="079D4924" w:rsidR="00FB0188" w:rsidRDefault="001F0278" w:rsidP="00FB0188">
      <w:pPr>
        <w:keepNext/>
        <w:numPr>
          <w:ilvl w:val="0"/>
          <w:numId w:val="0"/>
        </w:numPr>
      </w:pPr>
      <w:r w:rsidRPr="001F0278">
        <w:rPr>
          <w:noProof/>
          <w:lang w:eastAsia="en-AU"/>
        </w:rPr>
        <w:lastRenderedPageBreak/>
        <w:t xml:space="preserve"> </w:t>
      </w:r>
      <w:r>
        <w:rPr>
          <w:noProof/>
          <w:lang w:eastAsia="en-AU"/>
        </w:rPr>
        <w:drawing>
          <wp:inline distT="0" distB="0" distL="0" distR="0" wp14:anchorId="036480FD" wp14:editId="3AA0A412">
            <wp:extent cx="5802923" cy="8121935"/>
            <wp:effectExtent l="0" t="0" r="762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08463" cy="8129689"/>
                    </a:xfrm>
                    <a:prstGeom prst="rect">
                      <a:avLst/>
                    </a:prstGeom>
                  </pic:spPr>
                </pic:pic>
              </a:graphicData>
            </a:graphic>
          </wp:inline>
        </w:drawing>
      </w:r>
    </w:p>
    <w:p w14:paraId="5C0359CE" w14:textId="578FD91C" w:rsidR="00E36841" w:rsidRDefault="00FB0188" w:rsidP="00FB0188">
      <w:pPr>
        <w:pStyle w:val="Caption"/>
      </w:pPr>
      <w:bookmarkStart w:id="78" w:name="_Ref38460385"/>
      <w:bookmarkStart w:id="79" w:name="_Toc38889774"/>
      <w:r>
        <w:t xml:space="preserve">Figure </w:t>
      </w:r>
      <w:r w:rsidR="003E421B">
        <w:rPr>
          <w:noProof/>
        </w:rPr>
        <w:fldChar w:fldCharType="begin"/>
      </w:r>
      <w:r w:rsidR="003E421B">
        <w:rPr>
          <w:noProof/>
        </w:rPr>
        <w:instrText xml:space="preserve"> SEQ Figure \* ARABIC </w:instrText>
      </w:r>
      <w:r w:rsidR="003E421B">
        <w:rPr>
          <w:noProof/>
        </w:rPr>
        <w:fldChar w:fldCharType="separate"/>
      </w:r>
      <w:r w:rsidR="006567A5">
        <w:rPr>
          <w:noProof/>
        </w:rPr>
        <w:t>23</w:t>
      </w:r>
      <w:r w:rsidR="003E421B">
        <w:rPr>
          <w:noProof/>
        </w:rPr>
        <w:fldChar w:fldCharType="end"/>
      </w:r>
      <w:bookmarkEnd w:id="78"/>
      <w:r>
        <w:t xml:space="preserve">:  </w:t>
      </w:r>
      <w:r w:rsidR="00B24606">
        <w:t>Hourly w</w:t>
      </w:r>
      <w:r w:rsidR="003E5D84">
        <w:t xml:space="preserve">ater temperature (top), </w:t>
      </w:r>
      <w:r w:rsidR="00B24606">
        <w:t>daily average d</w:t>
      </w:r>
      <w:r w:rsidR="003E5D84">
        <w:t xml:space="preserve">issolved </w:t>
      </w:r>
      <w:r w:rsidR="00B24606">
        <w:t>o</w:t>
      </w:r>
      <w:r w:rsidR="003E5D84">
        <w:t>xygen (DO, middle)</w:t>
      </w:r>
      <w:r w:rsidRPr="003F2CBD">
        <w:t xml:space="preserve"> and daily air temperature (</w:t>
      </w:r>
      <w:r>
        <w:t>bottom) measured at the Bourke 2</w:t>
      </w:r>
      <w:r w:rsidRPr="003F2CBD">
        <w:t xml:space="preserve"> site during the study period</w:t>
      </w:r>
      <w:r w:rsidR="00291259">
        <w:t>. River flow data for the Darling River @ Bourke town gauge also presented.</w:t>
      </w:r>
      <w:bookmarkEnd w:id="79"/>
    </w:p>
    <w:p w14:paraId="677189FB" w14:textId="77777777" w:rsidR="00565B53" w:rsidRDefault="00565B53" w:rsidP="00565B53">
      <w:pPr>
        <w:pStyle w:val="Heading2"/>
      </w:pPr>
      <w:bookmarkStart w:id="80" w:name="_Toc38889749"/>
      <w:r>
        <w:lastRenderedPageBreak/>
        <w:t>Summary of longer term water quality monitoring</w:t>
      </w:r>
      <w:bookmarkEnd w:id="80"/>
    </w:p>
    <w:p w14:paraId="09C75547" w14:textId="77777777" w:rsidR="00565B53" w:rsidRDefault="00565B53" w:rsidP="00565B53">
      <w:r>
        <w:t xml:space="preserve">Most weir pools monitored over the duration of the study showed some degree of stratification, driven by the prolonged period of no-flow in the system. As a result, DO concentrations also show marked variation through the water column of these pools, with concentrations near the bed of most pools being anoxic and at dangerously low levels for aquatic </w:t>
      </w:r>
      <w:proofErr w:type="gramStart"/>
      <w:r>
        <w:t>biota.</w:t>
      </w:r>
      <w:proofErr w:type="gramEnd"/>
      <w:r>
        <w:t xml:space="preserve"> Spot sampling showed that the anoxic water was primarily confined to the bottom of the pools and was more severe in deeper pools over 3m depth. The logger data suggested that near bed water also turned anoxic in some of the shallower pools as well like Walgett and Bourke at some times during the study. Other parameters measured like pH and electrical conductivity were generally within guideline values.</w:t>
      </w:r>
    </w:p>
    <w:p w14:paraId="3F1F3845" w14:textId="283C0360" w:rsidR="00565B53" w:rsidRDefault="00565B53" w:rsidP="00565B53">
      <w:r>
        <w:t xml:space="preserve">The logger data was effective at showing temporal variations in both temperature and DO concentrations within the weir pools. This clearly showed the benefit of the delivery of the NFF to water quality in the pools, especially to improving DO conditions of near bed water. However, this work also suggests that this benefit was relatively short lived in many pools, with near bed DO levels returning to dangerous levels on or shortly after flows ceased. </w:t>
      </w:r>
      <w:proofErr w:type="spellStart"/>
      <w:r w:rsidR="004F3BC3">
        <w:t>Tareted</w:t>
      </w:r>
      <w:proofErr w:type="spellEnd"/>
      <w:r w:rsidR="004F3BC3">
        <w:t xml:space="preserve"> survey of </w:t>
      </w:r>
      <w:proofErr w:type="spellStart"/>
      <w:r w:rsidR="004F3BC3">
        <w:t>Collarelebri</w:t>
      </w:r>
      <w:proofErr w:type="spellEnd"/>
      <w:r w:rsidR="004F3BC3">
        <w:t xml:space="preserve"> weir pool (Section 4.1.6) suggests that </w:t>
      </w:r>
      <w:r>
        <w:t xml:space="preserve">the volume of anoxic water in most of these weir pools was likely low compared to the overlying volume of better quality water, </w:t>
      </w:r>
      <w:r w:rsidR="004F3BC3">
        <w:t xml:space="preserve">hence, </w:t>
      </w:r>
      <w:r>
        <w:t>the consequences for aquatic animals in the river is probably low. It is likely that this is how these pools naturally react during cease to flow periods. There are several explanations as to the propensity of these near bed areas to become anoxic</w:t>
      </w:r>
      <w:r w:rsidR="00181E0F">
        <w:t>, and are linked to the relative ease for these pools to thermally stratify, even in mild temperature conditions</w:t>
      </w:r>
      <w:r>
        <w:t xml:space="preserve">. First, it appears as if there is not sufficient light penetrating to depth to stimulate photosynthetic processes and replenish oxygen near the bed. This is not a surprise given the generally turbid nature of the Barwon-Darling River. Second, it appears as if the flow was not of sufficient magnitude to transport stores of organic matter and leaf litter on the bed of these pools that are driving the deoxygenation of the near bed water. Hence, once flow velocities reduced the oxygen in the near bed waters was stripped as bacteria began to again break down this organic material. </w:t>
      </w:r>
    </w:p>
    <w:p w14:paraId="2BBE80BD" w14:textId="77777777" w:rsidR="00565B53" w:rsidRDefault="00565B53" w:rsidP="00565B53">
      <w:r>
        <w:t>More positively, the delivery of the NFF did not cause any major declines in water quality, with surface waters remaining in good condition and no algal blooms noted following the flow delivery. In mixing the oxygen poor/nutrient rich water at the bottom of the pools with the surface waters where light penetration can stimulate algal growth, there was a risk that the flow event could have stimulated algal blooms in the weir pools. This did not occur in any of the pools assessed with algal monitoring suggesting that algal concentrations decreased, and the presence of potentially harmful algal species reduced post flow.</w:t>
      </w:r>
    </w:p>
    <w:p w14:paraId="465DAC0D" w14:textId="0F96F007" w:rsidR="00565B53" w:rsidRDefault="00565B53" w:rsidP="00565B53">
      <w:r>
        <w:t>This monitoring also showed the influence of atmospheric temperature fluctuations on the degree of stratification of the pools. With sudden drops in atmospheric temperature causing mixing of the water column. However, this mixing did not always correspond to a breaking of the thermoclines that control DO concentration, with layers of low DO remaining in some pools (Collarenebri most notably) even with relatively large changes in water temperature. Thus is appears as if the physical mixing of the water through the flow delivery was more effective at improving DO conditions that atmospheric variations alone. It does suggest that if flow deliveries can be timed to coincide with colder periods where stratification is reduced, then there would be a better chance of achieving full water column mixing. In this way smaller amounts of water may be able to be delivered to achieve a similar purpose.</w:t>
      </w:r>
    </w:p>
    <w:p w14:paraId="2C82E36F" w14:textId="77777777" w:rsidR="00565B53" w:rsidRPr="00C925C6" w:rsidRDefault="00565B53" w:rsidP="00565B53"/>
    <w:p w14:paraId="55BCD4FB" w14:textId="2378062A" w:rsidR="00E36841" w:rsidRDefault="005A3428" w:rsidP="005A3428">
      <w:pPr>
        <w:pStyle w:val="Heading1"/>
      </w:pPr>
      <w:bookmarkStart w:id="81" w:name="_Toc38889750"/>
      <w:r>
        <w:lastRenderedPageBreak/>
        <w:t>Conclusions and recommendations</w:t>
      </w:r>
      <w:bookmarkEnd w:id="81"/>
    </w:p>
    <w:p w14:paraId="1EB4A300" w14:textId="6FC3AC45" w:rsidR="005A3428" w:rsidRPr="005A3428" w:rsidRDefault="005A3428" w:rsidP="005A3428">
      <w:r w:rsidRPr="005A3428">
        <w:t xml:space="preserve">This study was effective at determining the prior water quality conditions in the weir pools of the Barwon Darling, and monitoring their changes following the delivery of the NFF. Initial sampling identified that some of the deeper weir pools (and sections within weir pools) were showing signs of thermal stratification and low DO (&lt;2 mg/l) at depths below around 3m. These include Mungindi, Collarenebri, and likely Brewarrina weir pools, as well as Devils hole, a natural waterhole near the Mehi River confluence above Collarenebri. Water quality parameters were more consistent through the water profile within Bourke and Walgett weir pools, which were between 2-3m deep. Targeted sampling to quantify the extent of the low DO water in both Collarenebri weir pool and Devils hole was then undertaken. This showed that around 10 % of Collarenebri weir pool was low in DO. Similarly, Devils hole has a relatively small quantity of low DO water in it, compared to the size of the pool. </w:t>
      </w:r>
    </w:p>
    <w:p w14:paraId="26033558" w14:textId="2E4BAC83" w:rsidR="005A3428" w:rsidRPr="005A3428" w:rsidRDefault="005A3428" w:rsidP="0046195B">
      <w:r w:rsidRPr="005A3428">
        <w:t xml:space="preserve">Ongoing monitoring suggested that the NFF was successful in replenishing the weir pools and improving their water quality. No negative effects were noted on water quality, and algal concentrations were reduced. Interestingly, anoxic layers of water near the bed of the weir pools were relatively quick to re-establish, </w:t>
      </w:r>
      <w:r w:rsidR="00035C56">
        <w:t xml:space="preserve">suggesting that these pools thermally stratify even under mild temperature conditions and that the </w:t>
      </w:r>
      <w:r w:rsidRPr="005A3428">
        <w:t>flow</w:t>
      </w:r>
      <w:r w:rsidR="00035C56">
        <w:t>s delivered</w:t>
      </w:r>
      <w:r w:rsidRPr="005A3428">
        <w:t xml:space="preserve"> w</w:t>
      </w:r>
      <w:r w:rsidR="00035C56">
        <w:t>ere</w:t>
      </w:r>
      <w:r w:rsidRPr="005A3428">
        <w:t xml:space="preserve"> of insufficient magnitude to transport the stores of organic material driving bacterial deoxygenation processes. </w:t>
      </w:r>
    </w:p>
    <w:p w14:paraId="21843AE9" w14:textId="7C30590B" w:rsidR="005A3428" w:rsidRPr="005A3428" w:rsidRDefault="005A3428" w:rsidP="0046195B">
      <w:r w:rsidRPr="005A3428">
        <w:t xml:space="preserve">The degree of stratification in these pools was also influenced by atmospheric conditions, with the occurrence of cold snaps appearing to reduce stratification. While this was not always reflected in </w:t>
      </w:r>
      <w:r w:rsidR="00035C56" w:rsidRPr="005A3428">
        <w:t>an</w:t>
      </w:r>
      <w:r w:rsidRPr="005A3428">
        <w:t xml:space="preserve"> improvement of DO at depth, it does suggest that if flows are timed to coincide with cold fronts, then potentially less water might be needed to break the already weakened stratification and promote full water column mixing. </w:t>
      </w:r>
    </w:p>
    <w:p w14:paraId="0C896D67" w14:textId="42EC3376" w:rsidR="005A3428" w:rsidRPr="00E36841" w:rsidRDefault="005A3428" w:rsidP="00E35535">
      <w:pPr>
        <w:numPr>
          <w:ilvl w:val="0"/>
          <w:numId w:val="0"/>
        </w:numPr>
      </w:pPr>
    </w:p>
    <w:p w14:paraId="7F9EE860" w14:textId="77777777" w:rsidR="00C50CD8" w:rsidRPr="00C50CD8" w:rsidRDefault="00C50CD8" w:rsidP="00C50CD8"/>
    <w:p w14:paraId="7638EDA2" w14:textId="533E71CD" w:rsidR="00A032BA" w:rsidRDefault="00A032BA">
      <w:pPr>
        <w:numPr>
          <w:ilvl w:val="0"/>
          <w:numId w:val="0"/>
        </w:numPr>
        <w:rPr>
          <w:highlight w:val="yellow"/>
        </w:rPr>
      </w:pPr>
      <w:r>
        <w:rPr>
          <w:highlight w:val="yellow"/>
        </w:rPr>
        <w:br w:type="page"/>
      </w:r>
    </w:p>
    <w:p w14:paraId="1DA0A4DC" w14:textId="6750DBE3" w:rsidR="00A032BA" w:rsidRPr="00915CA3" w:rsidRDefault="00035C56" w:rsidP="00A032BA">
      <w:pPr>
        <w:pStyle w:val="Heading1"/>
      </w:pPr>
      <w:bookmarkStart w:id="82" w:name="_Toc38889751"/>
      <w:r w:rsidRPr="00915CA3">
        <w:lastRenderedPageBreak/>
        <w:t>References</w:t>
      </w:r>
      <w:bookmarkEnd w:id="82"/>
    </w:p>
    <w:p w14:paraId="09D88793" w14:textId="148436F3" w:rsidR="00A032BA" w:rsidRDefault="00A032BA" w:rsidP="00915CA3">
      <w:pPr>
        <w:rPr>
          <w:highlight w:val="yellow"/>
        </w:rPr>
      </w:pPr>
      <w:r w:rsidRPr="006638D5">
        <w:rPr>
          <w:rFonts w:eastAsia="Times New Roman" w:cstheme="minorHAnsi"/>
          <w:iCs/>
          <w:color w:val="000000"/>
          <w:lang w:eastAsia="en-AU"/>
        </w:rPr>
        <w:t>EPA, United States 2014</w:t>
      </w:r>
      <w:r w:rsidR="00915CA3">
        <w:rPr>
          <w:rFonts w:eastAsia="Times New Roman" w:cstheme="minorHAnsi"/>
          <w:iCs/>
          <w:color w:val="000000"/>
          <w:lang w:eastAsia="en-AU"/>
        </w:rPr>
        <w:t>.</w:t>
      </w:r>
      <w:r w:rsidRPr="006638D5">
        <w:rPr>
          <w:rFonts w:eastAsia="Times New Roman" w:cstheme="minorHAnsi"/>
          <w:iCs/>
          <w:color w:val="000000"/>
          <w:lang w:eastAsia="en-AU"/>
        </w:rPr>
        <w:t xml:space="preserve"> </w:t>
      </w:r>
      <w:r w:rsidRPr="006638D5">
        <w:t xml:space="preserve">Cyanobacteria and </w:t>
      </w:r>
      <w:proofErr w:type="spellStart"/>
      <w:r w:rsidRPr="006638D5">
        <w:t>Cyanotoxins</w:t>
      </w:r>
      <w:proofErr w:type="spellEnd"/>
      <w:r w:rsidRPr="006638D5">
        <w:t xml:space="preserve">: Information for Drinking Water Systems. EPA-810F11001 </w:t>
      </w:r>
      <w:hyperlink r:id="rId55" w:history="1">
        <w:r w:rsidRPr="006638D5">
          <w:rPr>
            <w:rStyle w:val="Hyperlink"/>
            <w:sz w:val="20"/>
            <w:szCs w:val="20"/>
          </w:rPr>
          <w:t>https://www.epa.gov/sites/production/files/2014-08/documents/cyanobacteria_factsheet.pdf</w:t>
        </w:r>
      </w:hyperlink>
    </w:p>
    <w:p w14:paraId="478817BC" w14:textId="40A94A4D" w:rsidR="00915CA3" w:rsidRPr="007D75F0" w:rsidRDefault="00915CA3" w:rsidP="00915CA3">
      <w:r w:rsidRPr="007D75F0">
        <w:t>WaterNSW 2019</w:t>
      </w:r>
      <w:r w:rsidR="007D75F0" w:rsidRPr="007D75F0">
        <w:t>a</w:t>
      </w:r>
      <w:r w:rsidRPr="007D75F0">
        <w:t xml:space="preserve">. Far West – Algal Coordinating Committee (FW-RACC) Blue Green Algae Report. </w:t>
      </w:r>
      <w:r w:rsidR="007D75F0" w:rsidRPr="007D75F0">
        <w:t>8</w:t>
      </w:r>
      <w:r w:rsidR="007D75F0" w:rsidRPr="007D75F0">
        <w:rPr>
          <w:vertAlign w:val="superscript"/>
        </w:rPr>
        <w:t>th</w:t>
      </w:r>
      <w:r w:rsidR="007D75F0" w:rsidRPr="007D75F0">
        <w:t xml:space="preserve"> March</w:t>
      </w:r>
      <w:r w:rsidRPr="007D75F0">
        <w:t xml:space="preserve"> 2019.</w:t>
      </w:r>
    </w:p>
    <w:p w14:paraId="4504B3B9" w14:textId="67DAECC2" w:rsidR="00A032BA" w:rsidRPr="00915CA3" w:rsidRDefault="00A032BA" w:rsidP="00915CA3">
      <w:r w:rsidRPr="00915CA3">
        <w:t>WaterNSW 2019</w:t>
      </w:r>
      <w:r w:rsidR="007D75F0">
        <w:t>b</w:t>
      </w:r>
      <w:r w:rsidRPr="00915CA3">
        <w:t>. Far West – Algal Coordinating Committee (FW-RACC) Blue Green Algae Report. 19</w:t>
      </w:r>
      <w:r w:rsidRPr="00915CA3">
        <w:rPr>
          <w:vertAlign w:val="superscript"/>
        </w:rPr>
        <w:t>th</w:t>
      </w:r>
      <w:r w:rsidRPr="00915CA3">
        <w:t xml:space="preserve"> July 2019.</w:t>
      </w:r>
    </w:p>
    <w:p w14:paraId="59B2E35C" w14:textId="1F40E502" w:rsidR="00AD7A70" w:rsidRPr="00C50CD8" w:rsidRDefault="00AD7A70" w:rsidP="00AD7A70">
      <w:pPr>
        <w:numPr>
          <w:ilvl w:val="0"/>
          <w:numId w:val="0"/>
        </w:numPr>
        <w:rPr>
          <w:highlight w:val="yellow"/>
        </w:rPr>
      </w:pPr>
    </w:p>
    <w:p w14:paraId="495D860A" w14:textId="77777777" w:rsidR="0038597D" w:rsidRPr="00C50CD8" w:rsidRDefault="0038597D" w:rsidP="0038597D">
      <w:pPr>
        <w:rPr>
          <w:highlight w:val="yellow"/>
        </w:rPr>
      </w:pPr>
    </w:p>
    <w:p w14:paraId="23EBFB7C" w14:textId="59D72E22" w:rsidR="0038597D" w:rsidRPr="00C50CD8" w:rsidRDefault="0038597D" w:rsidP="0038597D">
      <w:pPr>
        <w:rPr>
          <w:highlight w:val="yellow"/>
        </w:rPr>
      </w:pPr>
    </w:p>
    <w:p w14:paraId="2F1B9353" w14:textId="77777777" w:rsidR="0038597D" w:rsidRPr="00C50CD8" w:rsidRDefault="0038597D" w:rsidP="0038597D">
      <w:pPr>
        <w:rPr>
          <w:highlight w:val="yellow"/>
        </w:rPr>
      </w:pPr>
    </w:p>
    <w:p w14:paraId="4FEF915F" w14:textId="77777777" w:rsidR="0038597D" w:rsidRPr="00C50CD8" w:rsidRDefault="0038597D" w:rsidP="0038597D">
      <w:pPr>
        <w:rPr>
          <w:highlight w:val="yellow"/>
        </w:rPr>
      </w:pPr>
    </w:p>
    <w:p w14:paraId="34A8C886" w14:textId="77777777" w:rsidR="0038597D" w:rsidRPr="00C50CD8" w:rsidRDefault="0038597D" w:rsidP="0038597D">
      <w:pPr>
        <w:rPr>
          <w:highlight w:val="yellow"/>
        </w:rPr>
      </w:pPr>
    </w:p>
    <w:p w14:paraId="4A217C72" w14:textId="085FD81B" w:rsidR="0038597D" w:rsidRPr="00C50CD8" w:rsidRDefault="0038597D" w:rsidP="0038597D">
      <w:pPr>
        <w:rPr>
          <w:highlight w:val="yellow"/>
        </w:rPr>
      </w:pPr>
    </w:p>
    <w:p w14:paraId="01AFEAFF" w14:textId="77777777" w:rsidR="0038597D" w:rsidRPr="00C50CD8" w:rsidRDefault="0038597D" w:rsidP="0038597D">
      <w:pPr>
        <w:rPr>
          <w:highlight w:val="yellow"/>
        </w:rPr>
      </w:pPr>
    </w:p>
    <w:p w14:paraId="54D6FA59" w14:textId="77777777" w:rsidR="0038597D" w:rsidRPr="00C50CD8" w:rsidRDefault="0038597D" w:rsidP="0038597D">
      <w:pPr>
        <w:rPr>
          <w:highlight w:val="yellow"/>
        </w:rPr>
      </w:pPr>
    </w:p>
    <w:p w14:paraId="564F0DA3" w14:textId="77777777" w:rsidR="0038597D" w:rsidRPr="00C50CD8" w:rsidRDefault="0038597D" w:rsidP="0038597D">
      <w:pPr>
        <w:rPr>
          <w:highlight w:val="yellow"/>
        </w:rPr>
      </w:pPr>
    </w:p>
    <w:p w14:paraId="31CB06E0" w14:textId="739B5C6E" w:rsidR="0038597D" w:rsidRPr="00C50CD8" w:rsidRDefault="0038597D" w:rsidP="0038597D">
      <w:pPr>
        <w:rPr>
          <w:highlight w:val="yellow"/>
        </w:rPr>
      </w:pPr>
    </w:p>
    <w:p w14:paraId="54D37EFD" w14:textId="77777777" w:rsidR="0038597D" w:rsidRPr="00C50CD8" w:rsidRDefault="0038597D" w:rsidP="0038597D">
      <w:pPr>
        <w:rPr>
          <w:highlight w:val="yellow"/>
        </w:rPr>
        <w:sectPr w:rsidR="0038597D" w:rsidRPr="00C50CD8" w:rsidSect="0038597D">
          <w:headerReference w:type="default" r:id="rId56"/>
          <w:footerReference w:type="default" r:id="rId57"/>
          <w:pgSz w:w="11906" w:h="16838" w:code="9"/>
          <w:pgMar w:top="1508" w:right="1219" w:bottom="1457" w:left="1480" w:header="811" w:footer="306" w:gutter="0"/>
          <w:cols w:space="708"/>
          <w:docGrid w:linePitch="360"/>
        </w:sectPr>
      </w:pPr>
    </w:p>
    <w:p w14:paraId="168405CA" w14:textId="77777777" w:rsidR="00FA59EC" w:rsidRPr="00C50CD8" w:rsidRDefault="00FA59EC" w:rsidP="001C2826">
      <w:pPr>
        <w:numPr>
          <w:ilvl w:val="0"/>
          <w:numId w:val="0"/>
        </w:numPr>
        <w:rPr>
          <w:highlight w:val="yellow"/>
        </w:rPr>
      </w:pPr>
    </w:p>
    <w:tbl>
      <w:tblPr>
        <w:tblStyle w:val="TableGridLight1"/>
        <w:tblpPr w:leftFromText="181" w:rightFromText="181" w:vertAnchor="page" w:horzAnchor="margin" w:tblpXSpec="right" w:tblpY="13779"/>
        <w:tblW w:w="0" w:type="auto"/>
        <w:tblLayout w:type="fixed"/>
        <w:tblLook w:val="04A0" w:firstRow="1" w:lastRow="0" w:firstColumn="1" w:lastColumn="0" w:noHBand="0" w:noVBand="1"/>
        <w:tblCaption w:val="Hidden Table"/>
      </w:tblPr>
      <w:tblGrid>
        <w:gridCol w:w="4932"/>
      </w:tblGrid>
      <w:tr w:rsidR="0029367D" w:rsidRPr="00C50CD8" w14:paraId="3AEA2EFB" w14:textId="77777777" w:rsidTr="0029367D">
        <w:trPr>
          <w:trHeight w:val="1474"/>
        </w:trPr>
        <w:tc>
          <w:tcPr>
            <w:tcW w:w="4932" w:type="dxa"/>
            <w:textDirection w:val="tbRl"/>
          </w:tcPr>
          <w:p w14:paraId="61DEC9A2" w14:textId="77777777" w:rsidR="0029367D" w:rsidRPr="00C50CD8" w:rsidRDefault="0029367D" w:rsidP="00E6160B">
            <w:pPr>
              <w:rPr>
                <w:highlight w:val="yellow"/>
              </w:rPr>
            </w:pPr>
            <w:r w:rsidRPr="00C50CD8">
              <w:rPr>
                <w:noProof/>
                <w:highlight w:val="yellow"/>
                <w:lang w:eastAsia="en-AU"/>
              </w:rPr>
              <w:drawing>
                <wp:inline distT="0" distB="0" distL="0" distR="0" wp14:anchorId="732722B9" wp14:editId="1A047E64">
                  <wp:extent cx="2492194" cy="8253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2492194" cy="825341"/>
                          </a:xfrm>
                          <a:prstGeom prst="rect">
                            <a:avLst/>
                          </a:prstGeom>
                          <a:ln>
                            <a:noFill/>
                          </a:ln>
                          <a:extLst>
                            <a:ext uri="{53640926-AAD7-44D8-BBD7-CCE9431645EC}">
                              <a14:shadowObscured xmlns:a14="http://schemas.microsoft.com/office/drawing/2010/main"/>
                            </a:ext>
                          </a:extLst>
                        </pic:spPr>
                      </pic:pic>
                    </a:graphicData>
                  </a:graphic>
                </wp:inline>
              </w:drawing>
            </w:r>
          </w:p>
        </w:tc>
      </w:tr>
    </w:tbl>
    <w:sdt>
      <w:sdtPr>
        <w:rPr>
          <w:highlight w:val="yellow"/>
        </w:rPr>
        <w:id w:val="1125122112"/>
        <w:placeholder>
          <w:docPart w:val="D18D54DBDB7640CAB308E77E4900AB83"/>
        </w:placeholder>
      </w:sdtPr>
      <w:sdtContent>
        <w:p w14:paraId="451938F0" w14:textId="77777777" w:rsidR="007F3338" w:rsidRPr="00C50CD8" w:rsidRDefault="003D271F" w:rsidP="003D271F">
          <w:pPr>
            <w:rPr>
              <w:highlight w:val="yellow"/>
            </w:rPr>
          </w:pPr>
          <w:r w:rsidRPr="00C50CD8">
            <w:rPr>
              <w:noProof/>
              <w:highlight w:val="yellow"/>
              <w:lang w:eastAsia="en-AU"/>
            </w:rPr>
            <w:drawing>
              <wp:anchor distT="0" distB="0" distL="114300" distR="114300" simplePos="0" relativeHeight="251657216" behindDoc="1" locked="0" layoutInCell="1" allowOverlap="1" wp14:anchorId="2BF005D5" wp14:editId="3971853D">
                <wp:simplePos x="0" y="0"/>
                <wp:positionH relativeFrom="page">
                  <wp:align>left</wp:align>
                </wp:positionH>
                <wp:positionV relativeFrom="page">
                  <wp:align>top</wp:align>
                </wp:positionV>
                <wp:extent cx="7560000" cy="10699200"/>
                <wp:effectExtent l="0" t="0" r="3175" b="6985"/>
                <wp:wrapNone/>
                <wp:docPr id="9" name="Picture 9" descr="D:\Office Experts\OneDrive - Brayalei\Clients\ECOAUS\workings\new logo\ELA Report-Proposal Art new logo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ffice Experts\OneDrive - Brayalei\Clients\ECOAUS\workings\new logo\ELA Report-Proposal Art new logo back.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7560000" cy="106992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sectPr w:rsidR="007F3338" w:rsidRPr="00C50CD8" w:rsidSect="00721756">
      <w:pgSz w:w="11906" w:h="16838" w:code="9"/>
      <w:pgMar w:top="1508" w:right="1219" w:bottom="1457" w:left="1480" w:header="811" w:footer="306"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E36F87" w16cid:durableId="224BD726"/>
  <w16cid:commentId w16cid:paraId="741AB342" w16cid:durableId="224BD7B4"/>
  <w16cid:commentId w16cid:paraId="2E359215" w16cid:durableId="224C170F"/>
  <w16cid:commentId w16cid:paraId="44C77A4B" w16cid:durableId="224C1782"/>
  <w16cid:commentId w16cid:paraId="3B79FAAF" w16cid:durableId="224C1969"/>
  <w16cid:commentId w16cid:paraId="27B5CCA9" w16cid:durableId="224BFB1F"/>
  <w16cid:commentId w16cid:paraId="2C8ED4F0" w16cid:durableId="224BFB62"/>
  <w16cid:commentId w16cid:paraId="43BA1E2B" w16cid:durableId="224C29A4"/>
  <w16cid:commentId w16cid:paraId="1D00DA3E" w16cid:durableId="224C2A6E"/>
  <w16cid:commentId w16cid:paraId="5D356837" w16cid:durableId="224C2A9E"/>
  <w16cid:commentId w16cid:paraId="3CA1AFF5" w16cid:durableId="224C2C75"/>
  <w16cid:commentId w16cid:paraId="5989ED92" w16cid:durableId="224C2CAA"/>
  <w16cid:commentId w16cid:paraId="5940520E" w16cid:durableId="224C2D30"/>
  <w16cid:commentId w16cid:paraId="08378EB8" w16cid:durableId="224C52D2"/>
  <w16cid:commentId w16cid:paraId="5B04A8E3" w16cid:durableId="224C53A7"/>
  <w16cid:commentId w16cid:paraId="4EB3ED67" w16cid:durableId="224C53FE"/>
  <w16cid:commentId w16cid:paraId="7E1B8503" w16cid:durableId="224C7556"/>
  <w16cid:commentId w16cid:paraId="3967AE13" w16cid:durableId="224C75B3"/>
  <w16cid:commentId w16cid:paraId="7B92656C" w16cid:durableId="224C7896"/>
  <w16cid:commentId w16cid:paraId="4F5F9079" w16cid:durableId="224C7C07"/>
  <w16cid:commentId w16cid:paraId="7502D3AE" w16cid:durableId="224C7C4B"/>
  <w16cid:commentId w16cid:paraId="6CFE3DB0" w16cid:durableId="224C7C72"/>
  <w16cid:commentId w16cid:paraId="45EBB543" w16cid:durableId="224BD707"/>
  <w16cid:commentId w16cid:paraId="1E7CB108" w16cid:durableId="224C7DB1"/>
  <w16cid:commentId w16cid:paraId="64B93D31" w16cid:durableId="224C7E45"/>
  <w16cid:commentId w16cid:paraId="4D83B40A" w16cid:durableId="224C782C"/>
  <w16cid:commentId w16cid:paraId="21D1BFCD" w16cid:durableId="224C7F5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90CB1" w14:textId="77777777" w:rsidR="003E421B" w:rsidRPr="000D4EDE" w:rsidRDefault="003E421B" w:rsidP="000D4EDE">
      <w:r>
        <w:separator/>
      </w:r>
    </w:p>
  </w:endnote>
  <w:endnote w:type="continuationSeparator" w:id="0">
    <w:p w14:paraId="5CD088D8" w14:textId="77777777" w:rsidR="003E421B" w:rsidRPr="000D4EDE" w:rsidRDefault="003E421B" w:rsidP="000D4EDE">
      <w:r>
        <w:continuationSeparator/>
      </w:r>
    </w:p>
  </w:endnote>
  <w:endnote w:type="continuationNotice" w:id="1">
    <w:p w14:paraId="7E2F3A67" w14:textId="77777777" w:rsidR="003E421B" w:rsidRDefault="003E42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468966"/>
      <w:docPartObj>
        <w:docPartGallery w:val="Page Numbers (Bottom of Page)"/>
        <w:docPartUnique/>
      </w:docPartObj>
    </w:sdtPr>
    <w:sdtEndPr>
      <w:rPr>
        <w:noProof/>
      </w:rPr>
    </w:sdtEndPr>
    <w:sdtContent>
      <w:p w14:paraId="38B9D97C" w14:textId="77777777" w:rsidR="003E421B" w:rsidRDefault="003E421B" w:rsidP="0023243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685995"/>
      <w:docPartObj>
        <w:docPartGallery w:val="Page Numbers (Bottom of Page)"/>
        <w:docPartUnique/>
      </w:docPartObj>
    </w:sdtPr>
    <w:sdtEndPr>
      <w:rPr>
        <w:noProof/>
      </w:rPr>
    </w:sdtEndPr>
    <w:sdtContent>
      <w:p w14:paraId="4557A550" w14:textId="50E14662" w:rsidR="003E421B" w:rsidRDefault="003E421B" w:rsidP="005557E5">
        <w:pPr>
          <w:pStyle w:val="Footer"/>
        </w:pPr>
        <w:r>
          <w:rPr>
            <w:noProof/>
            <w:lang w:eastAsia="en-AU"/>
          </w:rPr>
          <mc:AlternateContent>
            <mc:Choice Requires="wps">
              <w:drawing>
                <wp:anchor distT="0" distB="0" distL="114300" distR="114300" simplePos="0" relativeHeight="251658241" behindDoc="0" locked="0" layoutInCell="1" allowOverlap="1" wp14:anchorId="090D2AE0" wp14:editId="59328859">
                  <wp:simplePos x="0" y="0"/>
                  <wp:positionH relativeFrom="column">
                    <wp:posOffset>-1151890</wp:posOffset>
                  </wp:positionH>
                  <wp:positionV relativeFrom="paragraph">
                    <wp:posOffset>-124788</wp:posOffset>
                  </wp:positionV>
                  <wp:extent cx="7560000" cy="550800"/>
                  <wp:effectExtent l="0" t="0" r="3175" b="1905"/>
                  <wp:wrapNone/>
                  <wp:docPr id="1" name="Rectangle 1"/>
                  <wp:cNvGraphicFramePr/>
                  <a:graphic xmlns:a="http://schemas.openxmlformats.org/drawingml/2006/main">
                    <a:graphicData uri="http://schemas.microsoft.com/office/word/2010/wordprocessingShape">
                      <wps:wsp>
                        <wps:cNvSpPr/>
                        <wps:spPr>
                          <a:xfrm>
                            <a:off x="0" y="0"/>
                            <a:ext cx="7560000" cy="550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781D76F1" id="Rectangle 1" o:spid="_x0000_s1026" style="position:absolute;margin-left:-90.7pt;margin-top:-9.85pt;width:595.3pt;height:43.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" fillcolor="white [3212]" stroked="f" strokeweight="2pt"/>
              </w:pict>
            </mc:Fallback>
          </mc:AlternateContent>
        </w:r>
        <w:r w:rsidRPr="005557E5">
          <w:t>© ECO LOGICAL AUSTRALIA PTY LTD</w:t>
        </w:r>
        <w:r>
          <w:ptab w:relativeTo="margin" w:alignment="right" w:leader="none"/>
        </w:r>
        <w:r>
          <w:fldChar w:fldCharType="begin"/>
        </w:r>
        <w:r>
          <w:instrText xml:space="preserve"> PAGE   \* MERGEFORMAT </w:instrText>
        </w:r>
        <w:r>
          <w:fldChar w:fldCharType="separate"/>
        </w:r>
        <w:r w:rsidR="000A2283">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67DE9" w14:textId="77777777" w:rsidR="003E421B" w:rsidRDefault="003E421B">
    <w:pPr>
      <w:spacing w:after="0" w:line="240"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4185384"/>
      <w:docPartObj>
        <w:docPartGallery w:val="Page Numbers (Bottom of Page)"/>
        <w:docPartUnique/>
      </w:docPartObj>
    </w:sdtPr>
    <w:sdtEndPr>
      <w:rPr>
        <w:noProof/>
      </w:rPr>
    </w:sdtEndPr>
    <w:sdtContent>
      <w:p w14:paraId="6350976D" w14:textId="602A8F30" w:rsidR="003E421B" w:rsidRDefault="003E421B" w:rsidP="005557E5">
        <w:pPr>
          <w:pStyle w:val="Footer"/>
        </w:pPr>
        <w:r w:rsidRPr="005557E5">
          <w:t>© ECO LOGICAL AUSTRALIA PTY LTD</w:t>
        </w:r>
        <w:r>
          <w:ptab w:relativeTo="margin" w:alignment="right" w:leader="none"/>
        </w:r>
        <w:r>
          <w:fldChar w:fldCharType="begin"/>
        </w:r>
        <w:r>
          <w:instrText xml:space="preserve"> PAGE   \* MERGEFORMAT </w:instrText>
        </w:r>
        <w:r>
          <w:fldChar w:fldCharType="separate"/>
        </w:r>
        <w:r w:rsidR="000A2283">
          <w:rPr>
            <w:noProof/>
          </w:rPr>
          <w:t>iv</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070153"/>
      <w:docPartObj>
        <w:docPartGallery w:val="Page Numbers (Bottom of Page)"/>
        <w:docPartUnique/>
      </w:docPartObj>
    </w:sdtPr>
    <w:sdtEndPr>
      <w:rPr>
        <w:noProof/>
      </w:rPr>
    </w:sdtEndPr>
    <w:sdtContent>
      <w:p w14:paraId="6AACAF20" w14:textId="02DDE613" w:rsidR="003E421B" w:rsidRDefault="003E421B" w:rsidP="005557E5">
        <w:pPr>
          <w:pStyle w:val="Footer"/>
        </w:pPr>
        <w:r w:rsidRPr="005557E5">
          <w:t>© ECO LOGICAL AUSTRALIA PTY LTD</w:t>
        </w:r>
        <w:r>
          <w:ptab w:relativeTo="margin" w:alignment="right" w:leader="none"/>
        </w:r>
        <w:r>
          <w:fldChar w:fldCharType="begin"/>
        </w:r>
        <w:r>
          <w:instrText xml:space="preserve"> PAGE   \* MERGEFORMAT </w:instrText>
        </w:r>
        <w:r>
          <w:fldChar w:fldCharType="separate"/>
        </w:r>
        <w:r w:rsidR="000A2283">
          <w:rPr>
            <w:noProof/>
          </w:rPr>
          <w:t>14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B0C02" w14:textId="77777777" w:rsidR="003E421B" w:rsidRPr="000D4EDE" w:rsidRDefault="003E421B" w:rsidP="000D4EDE">
      <w:r>
        <w:separator/>
      </w:r>
    </w:p>
  </w:footnote>
  <w:footnote w:type="continuationSeparator" w:id="0">
    <w:p w14:paraId="5783D094" w14:textId="77777777" w:rsidR="003E421B" w:rsidRPr="000D4EDE" w:rsidRDefault="003E421B" w:rsidP="000D4EDE">
      <w:r>
        <w:continuationSeparator/>
      </w:r>
    </w:p>
  </w:footnote>
  <w:footnote w:type="continuationNotice" w:id="1">
    <w:p w14:paraId="64B03C0B" w14:textId="77777777" w:rsidR="003E421B" w:rsidRDefault="003E421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5195E" w14:textId="77777777" w:rsidR="003E421B" w:rsidRDefault="003E421B">
    <w:pPr>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81E34" w14:textId="77777777" w:rsidR="003E421B" w:rsidRDefault="003E421B">
    <w:pPr>
      <w:pStyle w:val="Header"/>
    </w:pPr>
    <w:r w:rsidRPr="00BF2EF3">
      <w:rPr>
        <w:noProof/>
        <w:lang w:eastAsia="en-AU"/>
      </w:rPr>
      <w:drawing>
        <wp:anchor distT="0" distB="0" distL="114300" distR="114300" simplePos="0" relativeHeight="251658240" behindDoc="0" locked="0" layoutInCell="1" allowOverlap="1" wp14:anchorId="79A60605" wp14:editId="7141EC25">
          <wp:simplePos x="0" y="0"/>
          <wp:positionH relativeFrom="page">
            <wp:align>left</wp:align>
          </wp:positionH>
          <wp:positionV relativeFrom="page">
            <wp:align>top</wp:align>
          </wp:positionV>
          <wp:extent cx="7559675" cy="10152993"/>
          <wp:effectExtent l="0" t="0" r="317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chelle\Rochelles Clients\ECOAUS\Word Template Specs\Word Template Specs\Specs\ELA Report-Proposal Front Art V3.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5053"/>
                  <a:stretch/>
                </pic:blipFill>
                <pic:spPr bwMode="auto">
                  <a:xfrm>
                    <a:off x="0" y="0"/>
                    <a:ext cx="7560000" cy="101534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CCD36" w14:textId="77777777" w:rsidR="003E421B" w:rsidRDefault="003E421B">
    <w:pPr>
      <w:spacing w:after="0"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80755" w14:textId="21A0BFB1" w:rsidR="003E421B" w:rsidRDefault="003E421B" w:rsidP="00ED04BD">
    <w:pPr>
      <w:pStyle w:val="Header"/>
    </w:pPr>
    <w:r>
      <w:rPr>
        <w:noProof/>
      </w:rPr>
      <w:fldChar w:fldCharType="begin"/>
    </w:r>
    <w:r>
      <w:rPr>
        <w:noProof/>
      </w:rPr>
      <w:instrText xml:space="preserve"> STYLEREF  Title  \* MERGEFORMAT </w:instrText>
    </w:r>
    <w:r>
      <w:rPr>
        <w:noProof/>
      </w:rPr>
      <w:fldChar w:fldCharType="separate"/>
    </w:r>
    <w:r w:rsidR="000A2283">
      <w:rPr>
        <w:noProof/>
      </w:rPr>
      <w:t>Barwon Darling Water Quality during the Northern Fish Flow March-August 2019</w:t>
    </w:r>
    <w:r>
      <w:rPr>
        <w:noProof/>
      </w:rPr>
      <w:fldChar w:fldCharType="end"/>
    </w:r>
    <w:r>
      <w:t xml:space="preserve"> | </w:t>
    </w:r>
    <w:r>
      <w:rPr>
        <w:noProof/>
      </w:rPr>
      <w:fldChar w:fldCharType="begin"/>
    </w:r>
    <w:r>
      <w:rPr>
        <w:noProof/>
      </w:rPr>
      <w:instrText xml:space="preserve"> STYLEREF  Subtitle  \* MERGEFORMAT </w:instrText>
    </w:r>
    <w:r>
      <w:rPr>
        <w:noProof/>
      </w:rPr>
      <w:fldChar w:fldCharType="separate"/>
    </w:r>
    <w:r w:rsidR="000A2283">
      <w:rPr>
        <w:noProof/>
      </w:rPr>
      <w:t>Commonwealth Environmental Water Office</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41402" w14:textId="2955F79B" w:rsidR="003E421B" w:rsidRDefault="003E421B">
    <w:pPr>
      <w:pStyle w:val="Header"/>
    </w:pPr>
    <w:r>
      <w:rPr>
        <w:noProof/>
      </w:rPr>
      <w:fldChar w:fldCharType="begin"/>
    </w:r>
    <w:r>
      <w:rPr>
        <w:noProof/>
      </w:rPr>
      <w:instrText xml:space="preserve"> STYLEREF  Title  \* MERGEFORMAT </w:instrText>
    </w:r>
    <w:r>
      <w:rPr>
        <w:noProof/>
      </w:rPr>
      <w:fldChar w:fldCharType="separate"/>
    </w:r>
    <w:r w:rsidR="000A2283">
      <w:rPr>
        <w:noProof/>
      </w:rPr>
      <w:t>Barwon Darling Water Quality during the Northern Fish Flow March-August 2019</w:t>
    </w:r>
    <w:r>
      <w:rPr>
        <w:noProof/>
      </w:rPr>
      <w:fldChar w:fldCharType="end"/>
    </w:r>
    <w:r>
      <w:t xml:space="preserve"> | </w:t>
    </w:r>
    <w:r>
      <w:rPr>
        <w:noProof/>
      </w:rPr>
      <w:fldChar w:fldCharType="begin"/>
    </w:r>
    <w:r>
      <w:rPr>
        <w:noProof/>
      </w:rPr>
      <w:instrText xml:space="preserve"> STYLEREF  Subtitle  \* MERGEFORMAT </w:instrText>
    </w:r>
    <w:r>
      <w:rPr>
        <w:noProof/>
      </w:rPr>
      <w:fldChar w:fldCharType="separate"/>
    </w:r>
    <w:r w:rsidR="000A2283">
      <w:rPr>
        <w:noProof/>
      </w:rPr>
      <w:t>Commonwealth Environmental Water Office</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A47476F2"/>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EE04B582"/>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8"/>
    <w:multiLevelType w:val="singleLevel"/>
    <w:tmpl w:val="727C7BC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1A0A58C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203C24"/>
    <w:multiLevelType w:val="multilevel"/>
    <w:tmpl w:val="304E8D1E"/>
    <w:lvl w:ilvl="0">
      <w:start w:val="1"/>
      <w:numFmt w:val="none"/>
      <w:lvlText w:val="Notes:"/>
      <w:lvlJc w:val="left"/>
      <w:pPr>
        <w:tabs>
          <w:tab w:val="num" w:pos="720"/>
        </w:tabs>
        <w:ind w:left="720" w:hanging="720"/>
      </w:pPr>
      <w:rPr>
        <w:rFonts w:hint="default"/>
        <w:color w:val="231F20" w:themeColor="text1"/>
      </w:rPr>
    </w:lvl>
    <w:lvl w:ilvl="1">
      <w:start w:val="1"/>
      <w:numFmt w:val="bullet"/>
      <w:lvlText w:val="†"/>
      <w:lvlJc w:val="left"/>
      <w:pPr>
        <w:tabs>
          <w:tab w:val="num" w:pos="1077"/>
        </w:tabs>
        <w:ind w:left="1077" w:hanging="357"/>
      </w:pPr>
      <w:rPr>
        <w:rFonts w:ascii="Arial" w:hAnsi="Arial" w:hint="default"/>
        <w:color w:val="231F20" w:themeColor="text1"/>
      </w:rPr>
    </w:lvl>
    <w:lvl w:ilvl="2">
      <w:start w:val="1"/>
      <w:numFmt w:val="bullet"/>
      <w:lvlText w:val="‡"/>
      <w:lvlJc w:val="left"/>
      <w:pPr>
        <w:tabs>
          <w:tab w:val="num" w:pos="1077"/>
        </w:tabs>
        <w:ind w:left="1077" w:hanging="357"/>
      </w:pPr>
      <w:rPr>
        <w:rFonts w:ascii="Arial" w:hAnsi="Arial" w:hint="default"/>
        <w:color w:val="231F2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C1D755A"/>
    <w:multiLevelType w:val="multilevel"/>
    <w:tmpl w:val="C2781EC6"/>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8" w15:restartNumberingAfterBreak="0">
    <w:nsid w:val="1CAA4EC3"/>
    <w:multiLevelType w:val="multilevel"/>
    <w:tmpl w:val="201A064A"/>
    <w:numStyleLink w:val="Lists"/>
  </w:abstractNum>
  <w:abstractNum w:abstractNumId="9" w15:restartNumberingAfterBreak="0">
    <w:nsid w:val="20EF3B1B"/>
    <w:multiLevelType w:val="hybridMultilevel"/>
    <w:tmpl w:val="E560310A"/>
    <w:lvl w:ilvl="0" w:tplc="4E382770">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16096D"/>
    <w:multiLevelType w:val="multilevel"/>
    <w:tmpl w:val="9B92CF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66C3831"/>
    <w:multiLevelType w:val="hybridMultilevel"/>
    <w:tmpl w:val="A280BB4A"/>
    <w:lvl w:ilvl="0" w:tplc="7F4E79E8">
      <w:start w:val="1"/>
      <w:numFmt w:val="bullet"/>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270D59E3"/>
    <w:multiLevelType w:val="multilevel"/>
    <w:tmpl w:val="201A064A"/>
    <w:numStyleLink w:val="Lists"/>
  </w:abstractNum>
  <w:abstractNum w:abstractNumId="13" w15:restartNumberingAfterBreak="0">
    <w:nsid w:val="293457B6"/>
    <w:multiLevelType w:val="multilevel"/>
    <w:tmpl w:val="76FE49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D4F791F"/>
    <w:multiLevelType w:val="hybridMultilevel"/>
    <w:tmpl w:val="96361E06"/>
    <w:lvl w:ilvl="0" w:tplc="678E1022">
      <w:start w:val="1"/>
      <w:numFmt w:val="bullet"/>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32354FFF"/>
    <w:multiLevelType w:val="multilevel"/>
    <w:tmpl w:val="50C6502E"/>
    <w:lvl w:ilvl="0">
      <w:start w:val="1"/>
      <w:numFmt w:val="upperLetter"/>
      <w:pStyle w:val="AppendixHeading"/>
      <w:suff w:val="space"/>
      <w:lvlText w:val="Appendix %1"/>
      <w:lvlJc w:val="left"/>
      <w:pPr>
        <w:ind w:left="0" w:firstLine="0"/>
      </w:pPr>
      <w:rPr>
        <w:rFonts w:hint="default"/>
        <w:b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AppendixSubHeading"/>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408564EA"/>
    <w:multiLevelType w:val="multilevel"/>
    <w:tmpl w:val="233AAA8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43F148C1"/>
    <w:multiLevelType w:val="multilevel"/>
    <w:tmpl w:val="C9A69206"/>
    <w:lvl w:ilvl="0">
      <w:start w:val="1"/>
      <w:numFmt w:val="bullet"/>
      <w:pStyle w:val="ListBullet"/>
      <w:lvlText w:val=""/>
      <w:lvlJc w:val="left"/>
      <w:pPr>
        <w:ind w:left="720" w:hanging="363"/>
      </w:pPr>
      <w:rPr>
        <w:rFonts w:ascii="Symbol" w:hAnsi="Symbol" w:hint="default"/>
        <w:color w:val="231F20" w:themeColor="text1"/>
      </w:rPr>
    </w:lvl>
    <w:lvl w:ilvl="1">
      <w:start w:val="1"/>
      <w:numFmt w:val="bullet"/>
      <w:pStyle w:val="ListBullet2"/>
      <w:lvlText w:val="o"/>
      <w:lvlJc w:val="left"/>
      <w:pPr>
        <w:ind w:left="1077" w:hanging="357"/>
      </w:pPr>
      <w:rPr>
        <w:rFonts w:ascii="Courier New" w:hAnsi="Courier New" w:hint="default"/>
        <w:color w:val="231F20" w:themeColor="text1"/>
      </w:rPr>
    </w:lvl>
    <w:lvl w:ilvl="2">
      <w:start w:val="1"/>
      <w:numFmt w:val="bullet"/>
      <w:pStyle w:val="ListBullet3"/>
      <w:lvlText w:val="-"/>
      <w:lvlJc w:val="left"/>
      <w:pPr>
        <w:ind w:left="1435" w:hanging="358"/>
      </w:pPr>
      <w:rPr>
        <w:rFonts w:ascii="Arial" w:hAnsi="Arial" w:hint="default"/>
      </w:rPr>
    </w:lvl>
    <w:lvl w:ilvl="3">
      <w:start w:val="1"/>
      <w:numFmt w:val="bullet"/>
      <w:pStyle w:val="CVBulletListBullet4"/>
      <w:lvlText w:val=""/>
      <w:lvlJc w:val="left"/>
      <w:pPr>
        <w:ind w:left="227" w:hanging="227"/>
      </w:pPr>
      <w:rPr>
        <w:rFonts w:ascii="Symbol" w:hAnsi="Symbol" w:hint="default"/>
        <w:color w:val="231F20" w:themeColor="text1"/>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9AD43DA"/>
    <w:multiLevelType w:val="multilevel"/>
    <w:tmpl w:val="0AFE1B7C"/>
    <w:lvl w:ilvl="0">
      <w:start w:val="1"/>
      <w:numFmt w:val="decimal"/>
      <w:suff w:val="space"/>
      <w:lvlText w:val="Accomodation Night %1."/>
      <w:lvlJc w:val="left"/>
      <w:pPr>
        <w:ind w:left="0"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A0445F4"/>
    <w:multiLevelType w:val="multilevel"/>
    <w:tmpl w:val="201A064A"/>
    <w:styleLink w:val="Lists"/>
    <w:lvl w:ilvl="0">
      <w:start w:val="1"/>
      <w:numFmt w:val="none"/>
      <w:pStyle w:val="Normal"/>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20" w15:restartNumberingAfterBreak="0">
    <w:nsid w:val="4B234B87"/>
    <w:multiLevelType w:val="multilevel"/>
    <w:tmpl w:val="992E0F54"/>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04C47A1"/>
    <w:multiLevelType w:val="multilevel"/>
    <w:tmpl w:val="93E09C42"/>
    <w:lvl w:ilvl="0">
      <w:start w:val="1"/>
      <w:numFmt w:val="bullet"/>
      <w:lvlText w:val="†"/>
      <w:lvlJc w:val="left"/>
      <w:pPr>
        <w:tabs>
          <w:tab w:val="num" w:pos="1077"/>
        </w:tabs>
        <w:ind w:left="731" w:hanging="11"/>
      </w:pPr>
      <w:rPr>
        <w:rFonts w:ascii="Arial" w:hAnsi="Arial" w:hint="default"/>
        <w:color w:val="231F20" w:themeColor="text1"/>
      </w:rPr>
    </w:lvl>
    <w:lvl w:ilvl="1">
      <w:start w:val="1"/>
      <w:numFmt w:val="bullet"/>
      <w:lvlText w:val="‡"/>
      <w:lvlJc w:val="left"/>
      <w:pPr>
        <w:tabs>
          <w:tab w:val="num" w:pos="1077"/>
        </w:tabs>
        <w:ind w:left="1077" w:hanging="357"/>
      </w:pPr>
      <w:rPr>
        <w:rFonts w:ascii="Arial" w:hAnsi="Arial" w:hint="default"/>
        <w:color w:val="231F20" w:themeColor="text1"/>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57120E2D"/>
    <w:multiLevelType w:val="hybridMultilevel"/>
    <w:tmpl w:val="2A5089D8"/>
    <w:lvl w:ilvl="0" w:tplc="3484293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8E46DD9"/>
    <w:multiLevelType w:val="multilevel"/>
    <w:tmpl w:val="118462A2"/>
    <w:styleLink w:val="GeneralList"/>
    <w:lvl w:ilvl="0">
      <w:start w:val="1"/>
      <w:numFmt w:val="bullet"/>
      <w:lvlText w:val=""/>
      <w:lvlJc w:val="left"/>
      <w:pPr>
        <w:ind w:left="360" w:hanging="360"/>
      </w:pPr>
      <w:rPr>
        <w:rFonts w:ascii="Symbol" w:hAnsi="Symbol" w:hint="default"/>
        <w:color w:val="231F20" w:themeColor="text1"/>
      </w:rPr>
    </w:lvl>
    <w:lvl w:ilvl="1">
      <w:start w:val="1"/>
      <w:numFmt w:val="bullet"/>
      <w:lvlText w:val=""/>
      <w:lvlJc w:val="left"/>
      <w:pPr>
        <w:ind w:left="720" w:hanging="363"/>
      </w:pPr>
      <w:rPr>
        <w:rFonts w:ascii="Symbol" w:hAnsi="Symbol" w:hint="default"/>
        <w:color w:val="231F20" w:themeColor="text1"/>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59CF33ED"/>
    <w:multiLevelType w:val="hybridMultilevel"/>
    <w:tmpl w:val="7CD8E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426B28"/>
    <w:multiLevelType w:val="multilevel"/>
    <w:tmpl w:val="1842254E"/>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5AF06AE9"/>
    <w:multiLevelType w:val="hybridMultilevel"/>
    <w:tmpl w:val="962CB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5050EF"/>
    <w:multiLevelType w:val="multilevel"/>
    <w:tmpl w:val="1390FB7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77443562"/>
    <w:multiLevelType w:val="hybridMultilevel"/>
    <w:tmpl w:val="5ED47B16"/>
    <w:lvl w:ilvl="0" w:tplc="8FBC82C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14"/>
  </w:num>
  <w:num w:numId="4">
    <w:abstractNumId w:val="20"/>
  </w:num>
  <w:num w:numId="5">
    <w:abstractNumId w:val="23"/>
  </w:num>
  <w:num w:numId="6">
    <w:abstractNumId w:val="6"/>
  </w:num>
  <w:num w:numId="7">
    <w:abstractNumId w:val="17"/>
  </w:num>
  <w:num w:numId="8">
    <w:abstractNumId w:val="3"/>
  </w:num>
  <w:num w:numId="9">
    <w:abstractNumId w:val="16"/>
  </w:num>
  <w:num w:numId="10">
    <w:abstractNumId w:val="0"/>
  </w:num>
  <w:num w:numId="11">
    <w:abstractNumId w:val="19"/>
    <w:lvlOverride w:ilvl="1">
      <w:lvl w:ilvl="1">
        <w:start w:val="1"/>
        <w:numFmt w:val="decimal"/>
        <w:pStyle w:val="ListNumber"/>
        <w:lvlText w:val="%2."/>
        <w:lvlJc w:val="left"/>
        <w:pPr>
          <w:tabs>
            <w:tab w:val="num" w:pos="357"/>
          </w:tabs>
          <w:ind w:left="357" w:hanging="357"/>
        </w:pPr>
      </w:lvl>
    </w:lvlOverride>
  </w:num>
  <w:num w:numId="12">
    <w:abstractNumId w:val="25"/>
  </w:num>
  <w:num w:numId="13">
    <w:abstractNumId w:val="21"/>
  </w:num>
  <w:num w:numId="14">
    <w:abstractNumId w:val="12"/>
  </w:num>
  <w:num w:numId="15">
    <w:abstractNumId w:val="19"/>
  </w:num>
  <w:num w:numId="16">
    <w:abstractNumId w:val="22"/>
  </w:num>
  <w:num w:numId="17">
    <w:abstractNumId w:val="18"/>
  </w:num>
  <w:num w:numId="18">
    <w:abstractNumId w:val="5"/>
  </w:num>
  <w:num w:numId="19">
    <w:abstractNumId w:val="4"/>
  </w:num>
  <w:num w:numId="20">
    <w:abstractNumId w:val="2"/>
  </w:num>
  <w:num w:numId="21">
    <w:abstractNumId w:val="1"/>
  </w:num>
  <w:num w:numId="22">
    <w:abstractNumId w:val="12"/>
  </w:num>
  <w:num w:numId="23">
    <w:abstractNumId w:val="14"/>
  </w:num>
  <w:num w:numId="24">
    <w:abstractNumId w:val="10"/>
  </w:num>
  <w:num w:numId="25">
    <w:abstractNumId w:val="10"/>
  </w:num>
  <w:num w:numId="26">
    <w:abstractNumId w:val="11"/>
  </w:num>
  <w:num w:numId="27">
    <w:abstractNumId w:val="10"/>
    <w:lvlOverride w:ilvl="0">
      <w:startOverride w:val="1"/>
    </w:lvlOverride>
  </w:num>
  <w:num w:numId="28">
    <w:abstractNumId w:val="8"/>
  </w:num>
  <w:num w:numId="29">
    <w:abstractNumId w:val="7"/>
  </w:num>
  <w:num w:numId="30">
    <w:abstractNumId w:val="13"/>
  </w:num>
  <w:num w:numId="31">
    <w:abstractNumId w:val="13"/>
  </w:num>
  <w:num w:numId="32">
    <w:abstractNumId w:val="7"/>
  </w:num>
  <w:num w:numId="33">
    <w:abstractNumId w:val="13"/>
  </w:num>
  <w:num w:numId="34">
    <w:abstractNumId w:val="17"/>
    <w:lvlOverride w:ilvl="0">
      <w:lvl w:ilvl="0">
        <w:start w:val="1"/>
        <w:numFmt w:val="bullet"/>
        <w:pStyle w:val="ListBullet"/>
        <w:lvlText w:val=""/>
        <w:lvlJc w:val="left"/>
        <w:pPr>
          <w:ind w:left="720" w:hanging="363"/>
        </w:pPr>
        <w:rPr>
          <w:rFonts w:ascii="Symbol" w:hAnsi="Symbol" w:hint="default"/>
          <w:color w:val="231F20" w:themeColor="text1"/>
        </w:rPr>
      </w:lvl>
    </w:lvlOverride>
    <w:lvlOverride w:ilvl="1">
      <w:lvl w:ilvl="1">
        <w:start w:val="1"/>
        <w:numFmt w:val="bullet"/>
        <w:pStyle w:val="ListBullet2"/>
        <w:lvlText w:val="o"/>
        <w:lvlJc w:val="left"/>
        <w:pPr>
          <w:ind w:left="1077" w:hanging="357"/>
        </w:pPr>
        <w:rPr>
          <w:rFonts w:ascii="Courier New" w:hAnsi="Courier New" w:hint="default"/>
          <w:color w:val="231F20" w:themeColor="text1"/>
        </w:rPr>
      </w:lvl>
    </w:lvlOverride>
    <w:lvlOverride w:ilvl="2">
      <w:lvl w:ilvl="2">
        <w:start w:val="1"/>
        <w:numFmt w:val="bullet"/>
        <w:pStyle w:val="ListBullet3"/>
        <w:lvlText w:val="-"/>
        <w:lvlJc w:val="left"/>
        <w:pPr>
          <w:ind w:left="1435" w:hanging="358"/>
        </w:pPr>
        <w:rPr>
          <w:rFonts w:ascii="Arial" w:hAnsi="Arial" w:hint="default"/>
        </w:rPr>
      </w:lvl>
    </w:lvlOverride>
    <w:lvlOverride w:ilvl="3">
      <w:lvl w:ilvl="3">
        <w:start w:val="1"/>
        <w:numFmt w:val="bullet"/>
        <w:pStyle w:val="CVBulletListBullet4"/>
        <w:lvlText w:val=""/>
        <w:lvlJc w:val="left"/>
        <w:pPr>
          <w:ind w:left="227" w:hanging="227"/>
        </w:pPr>
        <w:rPr>
          <w:rFonts w:ascii="Symbol" w:hAnsi="Symbol" w:hint="default"/>
          <w:color w:val="231F20" w:themeColor="text1"/>
        </w:rPr>
      </w:lvl>
    </w:lvlOverride>
    <w:lvlOverride w:ilvl="4">
      <w:lvl w:ilvl="4">
        <w:start w:val="1"/>
        <w:numFmt w:val="none"/>
        <w:suff w:val="nothing"/>
        <w:lvlText w:val=""/>
        <w:lvlJc w:val="left"/>
        <w:pPr>
          <w:ind w:left="0" w:firstLine="0"/>
        </w:pPr>
        <w:rPr>
          <w:rFonts w:hint="default"/>
          <w:b/>
          <w:i w:val="0"/>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35">
    <w:abstractNumId w:val="17"/>
    <w:lvlOverride w:ilvl="0">
      <w:lvl w:ilvl="0">
        <w:start w:val="1"/>
        <w:numFmt w:val="bullet"/>
        <w:pStyle w:val="ListBullet"/>
        <w:lvlText w:val=""/>
        <w:lvlJc w:val="left"/>
        <w:pPr>
          <w:ind w:left="720" w:hanging="363"/>
        </w:pPr>
        <w:rPr>
          <w:rFonts w:ascii="Symbol" w:hAnsi="Symbol" w:hint="default"/>
          <w:color w:val="231F20" w:themeColor="text1"/>
        </w:rPr>
      </w:lvl>
    </w:lvlOverride>
    <w:lvlOverride w:ilvl="1">
      <w:lvl w:ilvl="1">
        <w:start w:val="1"/>
        <w:numFmt w:val="bullet"/>
        <w:pStyle w:val="ListBullet2"/>
        <w:lvlText w:val="o"/>
        <w:lvlJc w:val="left"/>
        <w:pPr>
          <w:ind w:left="1077" w:hanging="357"/>
        </w:pPr>
        <w:rPr>
          <w:rFonts w:ascii="Courier New" w:hAnsi="Courier New" w:hint="default"/>
          <w:color w:val="231F20" w:themeColor="text1"/>
        </w:rPr>
      </w:lvl>
    </w:lvlOverride>
    <w:lvlOverride w:ilvl="2">
      <w:lvl w:ilvl="2">
        <w:start w:val="1"/>
        <w:numFmt w:val="bullet"/>
        <w:pStyle w:val="ListBullet3"/>
        <w:lvlText w:val="-"/>
        <w:lvlJc w:val="left"/>
        <w:pPr>
          <w:ind w:left="1435" w:hanging="358"/>
        </w:pPr>
        <w:rPr>
          <w:rFonts w:ascii="Arial" w:hAnsi="Arial" w:hint="default"/>
        </w:rPr>
      </w:lvl>
    </w:lvlOverride>
    <w:lvlOverride w:ilvl="3">
      <w:lvl w:ilvl="3">
        <w:start w:val="1"/>
        <w:numFmt w:val="bullet"/>
        <w:pStyle w:val="CVBulletListBullet4"/>
        <w:lvlText w:val=""/>
        <w:lvlJc w:val="left"/>
        <w:pPr>
          <w:ind w:left="227" w:hanging="227"/>
        </w:pPr>
        <w:rPr>
          <w:rFonts w:ascii="Symbol" w:hAnsi="Symbol" w:hint="default"/>
          <w:color w:val="231F20" w:themeColor="text1"/>
        </w:rPr>
      </w:lvl>
    </w:lvlOverride>
    <w:lvlOverride w:ilvl="4">
      <w:lvl w:ilvl="4">
        <w:start w:val="1"/>
        <w:numFmt w:val="none"/>
        <w:suff w:val="nothing"/>
        <w:lvlText w:val=""/>
        <w:lvlJc w:val="left"/>
        <w:pPr>
          <w:ind w:left="0" w:firstLine="0"/>
        </w:pPr>
        <w:rPr>
          <w:rFonts w:hint="default"/>
          <w:b/>
          <w:i w:val="0"/>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36">
    <w:abstractNumId w:val="27"/>
    <w:lvlOverride w:ilvl="0">
      <w:lvl w:ilvl="0">
        <w:start w:val="1"/>
        <w:numFmt w:val="upperLetter"/>
        <w:suff w:val="space"/>
        <w:lvlText w:val="Appendix %1:"/>
        <w:lvlJc w:val="left"/>
        <w:pPr>
          <w:ind w:left="0" w:firstLine="0"/>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7">
    <w:abstractNumId w:val="27"/>
  </w:num>
  <w:num w:numId="38">
    <w:abstractNumId w:val="15"/>
  </w:num>
  <w:num w:numId="39">
    <w:abstractNumId w:val="9"/>
  </w:num>
  <w:num w:numId="40">
    <w:abstractNumId w:val="28"/>
  </w:num>
  <w:num w:numId="41">
    <w:abstractNumId w:val="7"/>
  </w:num>
  <w:num w:numId="42">
    <w:abstractNumId w:val="26"/>
  </w:num>
  <w:num w:numId="43">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359"/>
    <w:rsid w:val="000008AC"/>
    <w:rsid w:val="00005D98"/>
    <w:rsid w:val="00006677"/>
    <w:rsid w:val="00011621"/>
    <w:rsid w:val="00011B16"/>
    <w:rsid w:val="00011C96"/>
    <w:rsid w:val="00014138"/>
    <w:rsid w:val="00015EAA"/>
    <w:rsid w:val="00024EAB"/>
    <w:rsid w:val="00027E23"/>
    <w:rsid w:val="00034A19"/>
    <w:rsid w:val="00035C56"/>
    <w:rsid w:val="00035FC9"/>
    <w:rsid w:val="00036F9E"/>
    <w:rsid w:val="000400D1"/>
    <w:rsid w:val="0004023B"/>
    <w:rsid w:val="00040E6A"/>
    <w:rsid w:val="000413B3"/>
    <w:rsid w:val="00044FFF"/>
    <w:rsid w:val="0004795B"/>
    <w:rsid w:val="00047CFC"/>
    <w:rsid w:val="00053928"/>
    <w:rsid w:val="0005764F"/>
    <w:rsid w:val="0005773F"/>
    <w:rsid w:val="00057B47"/>
    <w:rsid w:val="0006616A"/>
    <w:rsid w:val="0006774B"/>
    <w:rsid w:val="0007135F"/>
    <w:rsid w:val="00075E94"/>
    <w:rsid w:val="00076083"/>
    <w:rsid w:val="00081537"/>
    <w:rsid w:val="000827D6"/>
    <w:rsid w:val="00083BCB"/>
    <w:rsid w:val="00084F8B"/>
    <w:rsid w:val="00086F71"/>
    <w:rsid w:val="000920FF"/>
    <w:rsid w:val="0009242F"/>
    <w:rsid w:val="00093A72"/>
    <w:rsid w:val="0009426B"/>
    <w:rsid w:val="000949AD"/>
    <w:rsid w:val="00095109"/>
    <w:rsid w:val="0009636D"/>
    <w:rsid w:val="00096B0F"/>
    <w:rsid w:val="00097811"/>
    <w:rsid w:val="000979FF"/>
    <w:rsid w:val="000A2283"/>
    <w:rsid w:val="000A3698"/>
    <w:rsid w:val="000A490E"/>
    <w:rsid w:val="000B003A"/>
    <w:rsid w:val="000B4B1D"/>
    <w:rsid w:val="000B63CA"/>
    <w:rsid w:val="000B752A"/>
    <w:rsid w:val="000C01FC"/>
    <w:rsid w:val="000C14D9"/>
    <w:rsid w:val="000C2BFA"/>
    <w:rsid w:val="000C452B"/>
    <w:rsid w:val="000C4C8F"/>
    <w:rsid w:val="000D34DD"/>
    <w:rsid w:val="000D4EDE"/>
    <w:rsid w:val="000D55D8"/>
    <w:rsid w:val="000E01F7"/>
    <w:rsid w:val="000E2326"/>
    <w:rsid w:val="000E4051"/>
    <w:rsid w:val="000E43AC"/>
    <w:rsid w:val="000F1D64"/>
    <w:rsid w:val="00105281"/>
    <w:rsid w:val="00106ED6"/>
    <w:rsid w:val="00106F39"/>
    <w:rsid w:val="0010709D"/>
    <w:rsid w:val="00117707"/>
    <w:rsid w:val="00117F34"/>
    <w:rsid w:val="001220C1"/>
    <w:rsid w:val="00122F67"/>
    <w:rsid w:val="00123576"/>
    <w:rsid w:val="001246BE"/>
    <w:rsid w:val="001248AE"/>
    <w:rsid w:val="00124B21"/>
    <w:rsid w:val="00125776"/>
    <w:rsid w:val="00125C03"/>
    <w:rsid w:val="00125DEB"/>
    <w:rsid w:val="001267B5"/>
    <w:rsid w:val="00126941"/>
    <w:rsid w:val="00130565"/>
    <w:rsid w:val="001307C8"/>
    <w:rsid w:val="00131BFC"/>
    <w:rsid w:val="00131E8A"/>
    <w:rsid w:val="0013301B"/>
    <w:rsid w:val="00133924"/>
    <w:rsid w:val="00134486"/>
    <w:rsid w:val="0013471B"/>
    <w:rsid w:val="001375E7"/>
    <w:rsid w:val="00145C0B"/>
    <w:rsid w:val="0015001E"/>
    <w:rsid w:val="0015203A"/>
    <w:rsid w:val="00157C98"/>
    <w:rsid w:val="00162202"/>
    <w:rsid w:val="0016348A"/>
    <w:rsid w:val="001653B6"/>
    <w:rsid w:val="00165BAF"/>
    <w:rsid w:val="00167F9A"/>
    <w:rsid w:val="001700CA"/>
    <w:rsid w:val="00170E91"/>
    <w:rsid w:val="00174B0F"/>
    <w:rsid w:val="00174B29"/>
    <w:rsid w:val="00181E0F"/>
    <w:rsid w:val="0018235E"/>
    <w:rsid w:val="00183EE2"/>
    <w:rsid w:val="00190D93"/>
    <w:rsid w:val="001936B6"/>
    <w:rsid w:val="001A0645"/>
    <w:rsid w:val="001A54E8"/>
    <w:rsid w:val="001B0D8F"/>
    <w:rsid w:val="001B2DB7"/>
    <w:rsid w:val="001B6523"/>
    <w:rsid w:val="001B695F"/>
    <w:rsid w:val="001C2826"/>
    <w:rsid w:val="001D714D"/>
    <w:rsid w:val="001E0F51"/>
    <w:rsid w:val="001E55BF"/>
    <w:rsid w:val="001F0278"/>
    <w:rsid w:val="001F28CC"/>
    <w:rsid w:val="001F3CB0"/>
    <w:rsid w:val="001F5FE2"/>
    <w:rsid w:val="001F6E1A"/>
    <w:rsid w:val="001F780A"/>
    <w:rsid w:val="001F784B"/>
    <w:rsid w:val="001F7851"/>
    <w:rsid w:val="001F7917"/>
    <w:rsid w:val="00200613"/>
    <w:rsid w:val="00200903"/>
    <w:rsid w:val="00207334"/>
    <w:rsid w:val="002107CE"/>
    <w:rsid w:val="002108AE"/>
    <w:rsid w:val="00212851"/>
    <w:rsid w:val="00226AA1"/>
    <w:rsid w:val="00232435"/>
    <w:rsid w:val="00232A7E"/>
    <w:rsid w:val="00235B99"/>
    <w:rsid w:val="00236910"/>
    <w:rsid w:val="00240126"/>
    <w:rsid w:val="002404CE"/>
    <w:rsid w:val="00244D4B"/>
    <w:rsid w:val="00245B7E"/>
    <w:rsid w:val="0024712E"/>
    <w:rsid w:val="00251EBC"/>
    <w:rsid w:val="0025249E"/>
    <w:rsid w:val="00252E6A"/>
    <w:rsid w:val="00256194"/>
    <w:rsid w:val="0025658E"/>
    <w:rsid w:val="002575C6"/>
    <w:rsid w:val="00260C45"/>
    <w:rsid w:val="00264960"/>
    <w:rsid w:val="002661A6"/>
    <w:rsid w:val="00266C23"/>
    <w:rsid w:val="00267809"/>
    <w:rsid w:val="00267CD9"/>
    <w:rsid w:val="00271559"/>
    <w:rsid w:val="002721A3"/>
    <w:rsid w:val="00275408"/>
    <w:rsid w:val="002839E4"/>
    <w:rsid w:val="002845DD"/>
    <w:rsid w:val="0028579C"/>
    <w:rsid w:val="00286EAD"/>
    <w:rsid w:val="00287482"/>
    <w:rsid w:val="00290D1A"/>
    <w:rsid w:val="00291259"/>
    <w:rsid w:val="00291A8C"/>
    <w:rsid w:val="00291AD8"/>
    <w:rsid w:val="0029367D"/>
    <w:rsid w:val="0029389B"/>
    <w:rsid w:val="00293F43"/>
    <w:rsid w:val="0029423B"/>
    <w:rsid w:val="00294C21"/>
    <w:rsid w:val="002A13D0"/>
    <w:rsid w:val="002A1982"/>
    <w:rsid w:val="002A3565"/>
    <w:rsid w:val="002A591A"/>
    <w:rsid w:val="002A7D14"/>
    <w:rsid w:val="002B28E4"/>
    <w:rsid w:val="002B36F3"/>
    <w:rsid w:val="002B74CB"/>
    <w:rsid w:val="002B7504"/>
    <w:rsid w:val="002C0D97"/>
    <w:rsid w:val="002C2DE0"/>
    <w:rsid w:val="002C44D9"/>
    <w:rsid w:val="002C7065"/>
    <w:rsid w:val="002C7532"/>
    <w:rsid w:val="002C7F4A"/>
    <w:rsid w:val="002D003B"/>
    <w:rsid w:val="002D14D4"/>
    <w:rsid w:val="002D2804"/>
    <w:rsid w:val="002D4B6C"/>
    <w:rsid w:val="002D5381"/>
    <w:rsid w:val="002D718C"/>
    <w:rsid w:val="002E2395"/>
    <w:rsid w:val="002E29EA"/>
    <w:rsid w:val="002E7EB2"/>
    <w:rsid w:val="002E7FD6"/>
    <w:rsid w:val="002F0C2C"/>
    <w:rsid w:val="00300655"/>
    <w:rsid w:val="00303D18"/>
    <w:rsid w:val="00304062"/>
    <w:rsid w:val="00304A76"/>
    <w:rsid w:val="00306390"/>
    <w:rsid w:val="00307ADD"/>
    <w:rsid w:val="00310392"/>
    <w:rsid w:val="003124D1"/>
    <w:rsid w:val="003130CA"/>
    <w:rsid w:val="00315F0A"/>
    <w:rsid w:val="0031625F"/>
    <w:rsid w:val="00320973"/>
    <w:rsid w:val="00321A74"/>
    <w:rsid w:val="003244E5"/>
    <w:rsid w:val="00325CFC"/>
    <w:rsid w:val="003263F6"/>
    <w:rsid w:val="00326DCC"/>
    <w:rsid w:val="003279EA"/>
    <w:rsid w:val="00333A20"/>
    <w:rsid w:val="00335562"/>
    <w:rsid w:val="003427D0"/>
    <w:rsid w:val="00344A81"/>
    <w:rsid w:val="00351B85"/>
    <w:rsid w:val="003557C3"/>
    <w:rsid w:val="003562C1"/>
    <w:rsid w:val="00360F01"/>
    <w:rsid w:val="003614FD"/>
    <w:rsid w:val="00363F3E"/>
    <w:rsid w:val="00371F54"/>
    <w:rsid w:val="00372A5A"/>
    <w:rsid w:val="00372E2B"/>
    <w:rsid w:val="00375799"/>
    <w:rsid w:val="00376649"/>
    <w:rsid w:val="003776C9"/>
    <w:rsid w:val="00380415"/>
    <w:rsid w:val="00383A95"/>
    <w:rsid w:val="00384A36"/>
    <w:rsid w:val="0038597D"/>
    <w:rsid w:val="00395586"/>
    <w:rsid w:val="003A157D"/>
    <w:rsid w:val="003A3021"/>
    <w:rsid w:val="003A3430"/>
    <w:rsid w:val="003A6CD6"/>
    <w:rsid w:val="003A727A"/>
    <w:rsid w:val="003B2222"/>
    <w:rsid w:val="003B44D5"/>
    <w:rsid w:val="003B6E16"/>
    <w:rsid w:val="003C07B3"/>
    <w:rsid w:val="003C1E25"/>
    <w:rsid w:val="003C1F0F"/>
    <w:rsid w:val="003D0E05"/>
    <w:rsid w:val="003D271F"/>
    <w:rsid w:val="003D27CB"/>
    <w:rsid w:val="003D326C"/>
    <w:rsid w:val="003E1F30"/>
    <w:rsid w:val="003E3163"/>
    <w:rsid w:val="003E3762"/>
    <w:rsid w:val="003E421B"/>
    <w:rsid w:val="003E494D"/>
    <w:rsid w:val="003E5D84"/>
    <w:rsid w:val="003E6BF6"/>
    <w:rsid w:val="003E7424"/>
    <w:rsid w:val="003E7E8F"/>
    <w:rsid w:val="003F0A96"/>
    <w:rsid w:val="003F0F0D"/>
    <w:rsid w:val="003F1787"/>
    <w:rsid w:val="003F1E6D"/>
    <w:rsid w:val="003F20E3"/>
    <w:rsid w:val="003F3BD4"/>
    <w:rsid w:val="003F4089"/>
    <w:rsid w:val="003F4165"/>
    <w:rsid w:val="003F65E2"/>
    <w:rsid w:val="003F6D36"/>
    <w:rsid w:val="0040173E"/>
    <w:rsid w:val="004030E7"/>
    <w:rsid w:val="00405700"/>
    <w:rsid w:val="00405F78"/>
    <w:rsid w:val="004061D6"/>
    <w:rsid w:val="0041470F"/>
    <w:rsid w:val="004151F8"/>
    <w:rsid w:val="00415E0D"/>
    <w:rsid w:val="00421670"/>
    <w:rsid w:val="00426645"/>
    <w:rsid w:val="00426E3D"/>
    <w:rsid w:val="004346A8"/>
    <w:rsid w:val="00435CDF"/>
    <w:rsid w:val="00440C3D"/>
    <w:rsid w:val="00442B36"/>
    <w:rsid w:val="0044447D"/>
    <w:rsid w:val="0045190B"/>
    <w:rsid w:val="00452D38"/>
    <w:rsid w:val="00454428"/>
    <w:rsid w:val="00455868"/>
    <w:rsid w:val="00456AD2"/>
    <w:rsid w:val="0046057F"/>
    <w:rsid w:val="0046195B"/>
    <w:rsid w:val="00462B73"/>
    <w:rsid w:val="004633DD"/>
    <w:rsid w:val="00463CAD"/>
    <w:rsid w:val="00463FA8"/>
    <w:rsid w:val="00470131"/>
    <w:rsid w:val="00477B46"/>
    <w:rsid w:val="00482946"/>
    <w:rsid w:val="00491F9C"/>
    <w:rsid w:val="00494335"/>
    <w:rsid w:val="004967A1"/>
    <w:rsid w:val="004A0B8B"/>
    <w:rsid w:val="004A0FB9"/>
    <w:rsid w:val="004A2092"/>
    <w:rsid w:val="004A5158"/>
    <w:rsid w:val="004A5532"/>
    <w:rsid w:val="004B00B5"/>
    <w:rsid w:val="004B4F60"/>
    <w:rsid w:val="004B584E"/>
    <w:rsid w:val="004C102F"/>
    <w:rsid w:val="004C1106"/>
    <w:rsid w:val="004C5E9B"/>
    <w:rsid w:val="004C6D4B"/>
    <w:rsid w:val="004D6F8F"/>
    <w:rsid w:val="004E000B"/>
    <w:rsid w:val="004E0CBF"/>
    <w:rsid w:val="004E2269"/>
    <w:rsid w:val="004E2C50"/>
    <w:rsid w:val="004E448B"/>
    <w:rsid w:val="004E5015"/>
    <w:rsid w:val="004E6491"/>
    <w:rsid w:val="004E71E6"/>
    <w:rsid w:val="004F0242"/>
    <w:rsid w:val="004F02E1"/>
    <w:rsid w:val="004F0879"/>
    <w:rsid w:val="004F17AA"/>
    <w:rsid w:val="004F19F0"/>
    <w:rsid w:val="004F3BC3"/>
    <w:rsid w:val="004F3D1A"/>
    <w:rsid w:val="004F5B55"/>
    <w:rsid w:val="00500DCD"/>
    <w:rsid w:val="0050137E"/>
    <w:rsid w:val="00503A51"/>
    <w:rsid w:val="00503EBA"/>
    <w:rsid w:val="00505D2A"/>
    <w:rsid w:val="00512309"/>
    <w:rsid w:val="005171ED"/>
    <w:rsid w:val="00523238"/>
    <w:rsid w:val="00525382"/>
    <w:rsid w:val="00533321"/>
    <w:rsid w:val="00533655"/>
    <w:rsid w:val="00536E98"/>
    <w:rsid w:val="005379D1"/>
    <w:rsid w:val="00540035"/>
    <w:rsid w:val="00542522"/>
    <w:rsid w:val="00544589"/>
    <w:rsid w:val="0054526E"/>
    <w:rsid w:val="005476B5"/>
    <w:rsid w:val="005527F1"/>
    <w:rsid w:val="005557E5"/>
    <w:rsid w:val="005651F6"/>
    <w:rsid w:val="005659A0"/>
    <w:rsid w:val="00565B53"/>
    <w:rsid w:val="005662B5"/>
    <w:rsid w:val="005745ED"/>
    <w:rsid w:val="00577B14"/>
    <w:rsid w:val="00581079"/>
    <w:rsid w:val="00581279"/>
    <w:rsid w:val="00581530"/>
    <w:rsid w:val="005850A2"/>
    <w:rsid w:val="00585390"/>
    <w:rsid w:val="00586A90"/>
    <w:rsid w:val="00587BA1"/>
    <w:rsid w:val="00591106"/>
    <w:rsid w:val="0059229F"/>
    <w:rsid w:val="00592E64"/>
    <w:rsid w:val="005A26E3"/>
    <w:rsid w:val="005A3428"/>
    <w:rsid w:val="005A3F63"/>
    <w:rsid w:val="005A5029"/>
    <w:rsid w:val="005A573F"/>
    <w:rsid w:val="005B073E"/>
    <w:rsid w:val="005B227F"/>
    <w:rsid w:val="005B3ADB"/>
    <w:rsid w:val="005B7801"/>
    <w:rsid w:val="005C5891"/>
    <w:rsid w:val="005C71A1"/>
    <w:rsid w:val="005C783C"/>
    <w:rsid w:val="005D00E9"/>
    <w:rsid w:val="005D47A9"/>
    <w:rsid w:val="005D587B"/>
    <w:rsid w:val="005D5FAE"/>
    <w:rsid w:val="005D69D3"/>
    <w:rsid w:val="005E1DD9"/>
    <w:rsid w:val="005E2D94"/>
    <w:rsid w:val="005F29B7"/>
    <w:rsid w:val="005F412E"/>
    <w:rsid w:val="005F4DCF"/>
    <w:rsid w:val="005F7400"/>
    <w:rsid w:val="00600A88"/>
    <w:rsid w:val="00602B2E"/>
    <w:rsid w:val="00606EB5"/>
    <w:rsid w:val="0060718C"/>
    <w:rsid w:val="00612874"/>
    <w:rsid w:val="00616479"/>
    <w:rsid w:val="00616DC4"/>
    <w:rsid w:val="00617697"/>
    <w:rsid w:val="00617FDA"/>
    <w:rsid w:val="0062116F"/>
    <w:rsid w:val="00622D83"/>
    <w:rsid w:val="00627DD4"/>
    <w:rsid w:val="006313B5"/>
    <w:rsid w:val="006336D8"/>
    <w:rsid w:val="00633946"/>
    <w:rsid w:val="00634459"/>
    <w:rsid w:val="00634E4C"/>
    <w:rsid w:val="0063594C"/>
    <w:rsid w:val="00636B8B"/>
    <w:rsid w:val="00636DE1"/>
    <w:rsid w:val="006427FE"/>
    <w:rsid w:val="006506C1"/>
    <w:rsid w:val="00651712"/>
    <w:rsid w:val="00653449"/>
    <w:rsid w:val="00654592"/>
    <w:rsid w:val="006567A5"/>
    <w:rsid w:val="006625C7"/>
    <w:rsid w:val="00662D52"/>
    <w:rsid w:val="00665E11"/>
    <w:rsid w:val="00665E9A"/>
    <w:rsid w:val="0066674D"/>
    <w:rsid w:val="00666A78"/>
    <w:rsid w:val="00667394"/>
    <w:rsid w:val="0067033C"/>
    <w:rsid w:val="006719A9"/>
    <w:rsid w:val="00674ED2"/>
    <w:rsid w:val="00677518"/>
    <w:rsid w:val="00687158"/>
    <w:rsid w:val="00690E68"/>
    <w:rsid w:val="006923D2"/>
    <w:rsid w:val="006931C9"/>
    <w:rsid w:val="0069375D"/>
    <w:rsid w:val="0069407C"/>
    <w:rsid w:val="0069574E"/>
    <w:rsid w:val="006A2A57"/>
    <w:rsid w:val="006A38FC"/>
    <w:rsid w:val="006A4A71"/>
    <w:rsid w:val="006B2525"/>
    <w:rsid w:val="006B3B7B"/>
    <w:rsid w:val="006B3BBA"/>
    <w:rsid w:val="006B436F"/>
    <w:rsid w:val="006C3103"/>
    <w:rsid w:val="006C7254"/>
    <w:rsid w:val="006C727B"/>
    <w:rsid w:val="006D0FB6"/>
    <w:rsid w:val="006D56B6"/>
    <w:rsid w:val="006D5CA3"/>
    <w:rsid w:val="006D7718"/>
    <w:rsid w:val="006E19B1"/>
    <w:rsid w:val="006E2100"/>
    <w:rsid w:val="006E2E1F"/>
    <w:rsid w:val="006E2FD2"/>
    <w:rsid w:val="006F145A"/>
    <w:rsid w:val="006F2236"/>
    <w:rsid w:val="006F2412"/>
    <w:rsid w:val="006F27CB"/>
    <w:rsid w:val="006F5865"/>
    <w:rsid w:val="00702E37"/>
    <w:rsid w:val="00704006"/>
    <w:rsid w:val="00710FCE"/>
    <w:rsid w:val="00712350"/>
    <w:rsid w:val="00713C26"/>
    <w:rsid w:val="007149EA"/>
    <w:rsid w:val="0071560E"/>
    <w:rsid w:val="00715B9F"/>
    <w:rsid w:val="00720005"/>
    <w:rsid w:val="00721756"/>
    <w:rsid w:val="007225C7"/>
    <w:rsid w:val="00723960"/>
    <w:rsid w:val="007308A8"/>
    <w:rsid w:val="00732C7F"/>
    <w:rsid w:val="007365A8"/>
    <w:rsid w:val="00740C6A"/>
    <w:rsid w:val="00745007"/>
    <w:rsid w:val="00747276"/>
    <w:rsid w:val="00750CC6"/>
    <w:rsid w:val="00750DBB"/>
    <w:rsid w:val="00752E00"/>
    <w:rsid w:val="007541B0"/>
    <w:rsid w:val="00755163"/>
    <w:rsid w:val="007555A4"/>
    <w:rsid w:val="00756AAB"/>
    <w:rsid w:val="00757F63"/>
    <w:rsid w:val="00760C33"/>
    <w:rsid w:val="007612F0"/>
    <w:rsid w:val="00761E10"/>
    <w:rsid w:val="007645AE"/>
    <w:rsid w:val="00764992"/>
    <w:rsid w:val="007653F0"/>
    <w:rsid w:val="00767AB6"/>
    <w:rsid w:val="00767DF0"/>
    <w:rsid w:val="00775AA0"/>
    <w:rsid w:val="00787D7E"/>
    <w:rsid w:val="00792949"/>
    <w:rsid w:val="00793004"/>
    <w:rsid w:val="007931D8"/>
    <w:rsid w:val="007A4FAD"/>
    <w:rsid w:val="007B1A54"/>
    <w:rsid w:val="007B2035"/>
    <w:rsid w:val="007B5D4B"/>
    <w:rsid w:val="007B5D61"/>
    <w:rsid w:val="007C08B1"/>
    <w:rsid w:val="007C15E6"/>
    <w:rsid w:val="007C2CC2"/>
    <w:rsid w:val="007C6091"/>
    <w:rsid w:val="007C79AA"/>
    <w:rsid w:val="007D3E3A"/>
    <w:rsid w:val="007D417A"/>
    <w:rsid w:val="007D4F3C"/>
    <w:rsid w:val="007D6392"/>
    <w:rsid w:val="007D75F0"/>
    <w:rsid w:val="007D7E38"/>
    <w:rsid w:val="007E0E24"/>
    <w:rsid w:val="007E3FAF"/>
    <w:rsid w:val="007E40DD"/>
    <w:rsid w:val="007E525D"/>
    <w:rsid w:val="007E5B48"/>
    <w:rsid w:val="007E5D51"/>
    <w:rsid w:val="007E6A0C"/>
    <w:rsid w:val="007F3338"/>
    <w:rsid w:val="007F381F"/>
    <w:rsid w:val="007F3A29"/>
    <w:rsid w:val="007F6C9E"/>
    <w:rsid w:val="007F722B"/>
    <w:rsid w:val="007F7DDE"/>
    <w:rsid w:val="0080156A"/>
    <w:rsid w:val="008021A0"/>
    <w:rsid w:val="00802566"/>
    <w:rsid w:val="00814683"/>
    <w:rsid w:val="00817363"/>
    <w:rsid w:val="00817C25"/>
    <w:rsid w:val="0082173D"/>
    <w:rsid w:val="0082218E"/>
    <w:rsid w:val="008251A1"/>
    <w:rsid w:val="00826CEE"/>
    <w:rsid w:val="008300CD"/>
    <w:rsid w:val="008317B4"/>
    <w:rsid w:val="00833DC7"/>
    <w:rsid w:val="008427A6"/>
    <w:rsid w:val="00845843"/>
    <w:rsid w:val="00845E35"/>
    <w:rsid w:val="00846D34"/>
    <w:rsid w:val="00850591"/>
    <w:rsid w:val="00850EF0"/>
    <w:rsid w:val="0085146E"/>
    <w:rsid w:val="0086215D"/>
    <w:rsid w:val="008637EC"/>
    <w:rsid w:val="00863D69"/>
    <w:rsid w:val="00870BC6"/>
    <w:rsid w:val="00875876"/>
    <w:rsid w:val="0088036D"/>
    <w:rsid w:val="0088132C"/>
    <w:rsid w:val="008823BA"/>
    <w:rsid w:val="00883459"/>
    <w:rsid w:val="0088386B"/>
    <w:rsid w:val="00884E65"/>
    <w:rsid w:val="00885A14"/>
    <w:rsid w:val="0088689B"/>
    <w:rsid w:val="00890FA0"/>
    <w:rsid w:val="00891679"/>
    <w:rsid w:val="00891EB3"/>
    <w:rsid w:val="008971B8"/>
    <w:rsid w:val="008A0539"/>
    <w:rsid w:val="008A214D"/>
    <w:rsid w:val="008A44C7"/>
    <w:rsid w:val="008A72D2"/>
    <w:rsid w:val="008B54D9"/>
    <w:rsid w:val="008B6868"/>
    <w:rsid w:val="008C1DA5"/>
    <w:rsid w:val="008C46A2"/>
    <w:rsid w:val="008C5A7C"/>
    <w:rsid w:val="008C6A43"/>
    <w:rsid w:val="008C70FE"/>
    <w:rsid w:val="008D080C"/>
    <w:rsid w:val="008D36FC"/>
    <w:rsid w:val="008D74BB"/>
    <w:rsid w:val="008D7D27"/>
    <w:rsid w:val="008E0534"/>
    <w:rsid w:val="008E0784"/>
    <w:rsid w:val="008E3A7A"/>
    <w:rsid w:val="008E3E16"/>
    <w:rsid w:val="008E44A8"/>
    <w:rsid w:val="008E641C"/>
    <w:rsid w:val="008E64CA"/>
    <w:rsid w:val="008E6F55"/>
    <w:rsid w:val="008F0C26"/>
    <w:rsid w:val="008F33B5"/>
    <w:rsid w:val="008F6906"/>
    <w:rsid w:val="008F6F7A"/>
    <w:rsid w:val="00905AB6"/>
    <w:rsid w:val="00906799"/>
    <w:rsid w:val="00907F78"/>
    <w:rsid w:val="0091049C"/>
    <w:rsid w:val="00910BC7"/>
    <w:rsid w:val="00913F2C"/>
    <w:rsid w:val="009147ED"/>
    <w:rsid w:val="00915CA3"/>
    <w:rsid w:val="00916F87"/>
    <w:rsid w:val="009176AB"/>
    <w:rsid w:val="00920369"/>
    <w:rsid w:val="00922F80"/>
    <w:rsid w:val="00924053"/>
    <w:rsid w:val="00924152"/>
    <w:rsid w:val="00925F55"/>
    <w:rsid w:val="00926657"/>
    <w:rsid w:val="0093194D"/>
    <w:rsid w:val="00931D59"/>
    <w:rsid w:val="00933B6D"/>
    <w:rsid w:val="00934C3F"/>
    <w:rsid w:val="00937D28"/>
    <w:rsid w:val="00941752"/>
    <w:rsid w:val="009417AE"/>
    <w:rsid w:val="009428AB"/>
    <w:rsid w:val="009439DA"/>
    <w:rsid w:val="009445FF"/>
    <w:rsid w:val="009462AB"/>
    <w:rsid w:val="00946364"/>
    <w:rsid w:val="00950C20"/>
    <w:rsid w:val="009516A5"/>
    <w:rsid w:val="00951AF2"/>
    <w:rsid w:val="00952D4C"/>
    <w:rsid w:val="00955E5E"/>
    <w:rsid w:val="00962F81"/>
    <w:rsid w:val="00964863"/>
    <w:rsid w:val="009672F6"/>
    <w:rsid w:val="00974F0E"/>
    <w:rsid w:val="00975952"/>
    <w:rsid w:val="009875BB"/>
    <w:rsid w:val="00987DFB"/>
    <w:rsid w:val="00993A02"/>
    <w:rsid w:val="00993E4B"/>
    <w:rsid w:val="0099581A"/>
    <w:rsid w:val="009979F4"/>
    <w:rsid w:val="009A45B2"/>
    <w:rsid w:val="009A4A4B"/>
    <w:rsid w:val="009A7802"/>
    <w:rsid w:val="009B0231"/>
    <w:rsid w:val="009B18AD"/>
    <w:rsid w:val="009B1A07"/>
    <w:rsid w:val="009B2644"/>
    <w:rsid w:val="009B4C4C"/>
    <w:rsid w:val="009B6EA4"/>
    <w:rsid w:val="009B780F"/>
    <w:rsid w:val="009C1726"/>
    <w:rsid w:val="009C2292"/>
    <w:rsid w:val="009C4790"/>
    <w:rsid w:val="009D2747"/>
    <w:rsid w:val="009D2DDD"/>
    <w:rsid w:val="009D2E3A"/>
    <w:rsid w:val="009D532B"/>
    <w:rsid w:val="009D5D63"/>
    <w:rsid w:val="009E0B15"/>
    <w:rsid w:val="009E13CC"/>
    <w:rsid w:val="009E40DC"/>
    <w:rsid w:val="009E4998"/>
    <w:rsid w:val="009E6745"/>
    <w:rsid w:val="009F1F23"/>
    <w:rsid w:val="009F5C4B"/>
    <w:rsid w:val="009F7ADA"/>
    <w:rsid w:val="00A032BA"/>
    <w:rsid w:val="00A05B3F"/>
    <w:rsid w:val="00A12316"/>
    <w:rsid w:val="00A14CE8"/>
    <w:rsid w:val="00A157B7"/>
    <w:rsid w:val="00A2186D"/>
    <w:rsid w:val="00A23D1E"/>
    <w:rsid w:val="00A24F1D"/>
    <w:rsid w:val="00A25E3A"/>
    <w:rsid w:val="00A27D18"/>
    <w:rsid w:val="00A32A9A"/>
    <w:rsid w:val="00A33802"/>
    <w:rsid w:val="00A33E60"/>
    <w:rsid w:val="00A35638"/>
    <w:rsid w:val="00A3591A"/>
    <w:rsid w:val="00A36179"/>
    <w:rsid w:val="00A37E51"/>
    <w:rsid w:val="00A4253D"/>
    <w:rsid w:val="00A44955"/>
    <w:rsid w:val="00A47381"/>
    <w:rsid w:val="00A54F67"/>
    <w:rsid w:val="00A55513"/>
    <w:rsid w:val="00A5693C"/>
    <w:rsid w:val="00A611B3"/>
    <w:rsid w:val="00A61FDC"/>
    <w:rsid w:val="00A62D31"/>
    <w:rsid w:val="00A6309A"/>
    <w:rsid w:val="00A63380"/>
    <w:rsid w:val="00A7543C"/>
    <w:rsid w:val="00A76B38"/>
    <w:rsid w:val="00A776D7"/>
    <w:rsid w:val="00A844F0"/>
    <w:rsid w:val="00A87857"/>
    <w:rsid w:val="00A90D20"/>
    <w:rsid w:val="00A92719"/>
    <w:rsid w:val="00A96732"/>
    <w:rsid w:val="00A97E3B"/>
    <w:rsid w:val="00AA57F3"/>
    <w:rsid w:val="00AA70A0"/>
    <w:rsid w:val="00AB039E"/>
    <w:rsid w:val="00AB2FA9"/>
    <w:rsid w:val="00AC103D"/>
    <w:rsid w:val="00AC591D"/>
    <w:rsid w:val="00AC68A6"/>
    <w:rsid w:val="00AD0104"/>
    <w:rsid w:val="00AD0E4B"/>
    <w:rsid w:val="00AD3D7D"/>
    <w:rsid w:val="00AD432F"/>
    <w:rsid w:val="00AD45EE"/>
    <w:rsid w:val="00AD6AD9"/>
    <w:rsid w:val="00AD7A70"/>
    <w:rsid w:val="00AF129F"/>
    <w:rsid w:val="00AF1CDD"/>
    <w:rsid w:val="00AF3548"/>
    <w:rsid w:val="00AF3A9C"/>
    <w:rsid w:val="00AF5463"/>
    <w:rsid w:val="00AF6E9E"/>
    <w:rsid w:val="00B008CF"/>
    <w:rsid w:val="00B019E6"/>
    <w:rsid w:val="00B03D44"/>
    <w:rsid w:val="00B05B7A"/>
    <w:rsid w:val="00B07673"/>
    <w:rsid w:val="00B0772C"/>
    <w:rsid w:val="00B1023A"/>
    <w:rsid w:val="00B11E6B"/>
    <w:rsid w:val="00B12DC9"/>
    <w:rsid w:val="00B13D3C"/>
    <w:rsid w:val="00B13F84"/>
    <w:rsid w:val="00B15ABA"/>
    <w:rsid w:val="00B1714C"/>
    <w:rsid w:val="00B17839"/>
    <w:rsid w:val="00B21E26"/>
    <w:rsid w:val="00B24606"/>
    <w:rsid w:val="00B24919"/>
    <w:rsid w:val="00B250F2"/>
    <w:rsid w:val="00B32120"/>
    <w:rsid w:val="00B42B2F"/>
    <w:rsid w:val="00B458A3"/>
    <w:rsid w:val="00B472E1"/>
    <w:rsid w:val="00B50A3B"/>
    <w:rsid w:val="00B631F5"/>
    <w:rsid w:val="00B639C6"/>
    <w:rsid w:val="00B65801"/>
    <w:rsid w:val="00B665DA"/>
    <w:rsid w:val="00B67146"/>
    <w:rsid w:val="00B67C66"/>
    <w:rsid w:val="00B67F08"/>
    <w:rsid w:val="00B7011B"/>
    <w:rsid w:val="00B71170"/>
    <w:rsid w:val="00B8001C"/>
    <w:rsid w:val="00B80BCE"/>
    <w:rsid w:val="00B816AE"/>
    <w:rsid w:val="00B81740"/>
    <w:rsid w:val="00B8346F"/>
    <w:rsid w:val="00B85D7B"/>
    <w:rsid w:val="00B900EA"/>
    <w:rsid w:val="00B91069"/>
    <w:rsid w:val="00B914B4"/>
    <w:rsid w:val="00B92842"/>
    <w:rsid w:val="00B95DAA"/>
    <w:rsid w:val="00BB0134"/>
    <w:rsid w:val="00BB2B6C"/>
    <w:rsid w:val="00BB33B3"/>
    <w:rsid w:val="00BC1E01"/>
    <w:rsid w:val="00BC3359"/>
    <w:rsid w:val="00BC7F7D"/>
    <w:rsid w:val="00BD12A1"/>
    <w:rsid w:val="00BD3D65"/>
    <w:rsid w:val="00BD77D8"/>
    <w:rsid w:val="00BE1EFF"/>
    <w:rsid w:val="00BE7534"/>
    <w:rsid w:val="00BF17C6"/>
    <w:rsid w:val="00BF1F65"/>
    <w:rsid w:val="00BF2EF3"/>
    <w:rsid w:val="00BF372C"/>
    <w:rsid w:val="00C00FDA"/>
    <w:rsid w:val="00C00FE0"/>
    <w:rsid w:val="00C02A68"/>
    <w:rsid w:val="00C04E4B"/>
    <w:rsid w:val="00C1572A"/>
    <w:rsid w:val="00C161CC"/>
    <w:rsid w:val="00C20B47"/>
    <w:rsid w:val="00C2299D"/>
    <w:rsid w:val="00C22D43"/>
    <w:rsid w:val="00C3606D"/>
    <w:rsid w:val="00C36195"/>
    <w:rsid w:val="00C45824"/>
    <w:rsid w:val="00C45D43"/>
    <w:rsid w:val="00C50085"/>
    <w:rsid w:val="00C50CD8"/>
    <w:rsid w:val="00C523B0"/>
    <w:rsid w:val="00C55972"/>
    <w:rsid w:val="00C575E0"/>
    <w:rsid w:val="00C62BF5"/>
    <w:rsid w:val="00C636DA"/>
    <w:rsid w:val="00C672A8"/>
    <w:rsid w:val="00C679B2"/>
    <w:rsid w:val="00C67F07"/>
    <w:rsid w:val="00C70F9A"/>
    <w:rsid w:val="00C72271"/>
    <w:rsid w:val="00C77B51"/>
    <w:rsid w:val="00C77BFB"/>
    <w:rsid w:val="00C801FC"/>
    <w:rsid w:val="00C836D1"/>
    <w:rsid w:val="00C848CD"/>
    <w:rsid w:val="00C874EB"/>
    <w:rsid w:val="00C87DA0"/>
    <w:rsid w:val="00C87FFA"/>
    <w:rsid w:val="00C91218"/>
    <w:rsid w:val="00C925C6"/>
    <w:rsid w:val="00C932C9"/>
    <w:rsid w:val="00C94B24"/>
    <w:rsid w:val="00C97BAA"/>
    <w:rsid w:val="00CA093F"/>
    <w:rsid w:val="00CA43A5"/>
    <w:rsid w:val="00CA4625"/>
    <w:rsid w:val="00CA4FBE"/>
    <w:rsid w:val="00CA6FF9"/>
    <w:rsid w:val="00CB3379"/>
    <w:rsid w:val="00CB4238"/>
    <w:rsid w:val="00CB4BF6"/>
    <w:rsid w:val="00CC1504"/>
    <w:rsid w:val="00CC1725"/>
    <w:rsid w:val="00CC1A64"/>
    <w:rsid w:val="00CC24AC"/>
    <w:rsid w:val="00CC34EB"/>
    <w:rsid w:val="00CC4F19"/>
    <w:rsid w:val="00CC66EA"/>
    <w:rsid w:val="00CD17F8"/>
    <w:rsid w:val="00CD2293"/>
    <w:rsid w:val="00CD3C17"/>
    <w:rsid w:val="00CE1F9C"/>
    <w:rsid w:val="00CE2E48"/>
    <w:rsid w:val="00CE7184"/>
    <w:rsid w:val="00CF0C86"/>
    <w:rsid w:val="00CF7D0D"/>
    <w:rsid w:val="00D01C2B"/>
    <w:rsid w:val="00D021F7"/>
    <w:rsid w:val="00D04834"/>
    <w:rsid w:val="00D049D0"/>
    <w:rsid w:val="00D078A2"/>
    <w:rsid w:val="00D10D45"/>
    <w:rsid w:val="00D11FFD"/>
    <w:rsid w:val="00D133A6"/>
    <w:rsid w:val="00D14EFA"/>
    <w:rsid w:val="00D15E92"/>
    <w:rsid w:val="00D17307"/>
    <w:rsid w:val="00D17D0F"/>
    <w:rsid w:val="00D24661"/>
    <w:rsid w:val="00D255D3"/>
    <w:rsid w:val="00D264D9"/>
    <w:rsid w:val="00D317FC"/>
    <w:rsid w:val="00D367EB"/>
    <w:rsid w:val="00D4038C"/>
    <w:rsid w:val="00D43BAB"/>
    <w:rsid w:val="00D45C47"/>
    <w:rsid w:val="00D461C2"/>
    <w:rsid w:val="00D46353"/>
    <w:rsid w:val="00D5344A"/>
    <w:rsid w:val="00D54B2C"/>
    <w:rsid w:val="00D56956"/>
    <w:rsid w:val="00D60EAF"/>
    <w:rsid w:val="00D61AAE"/>
    <w:rsid w:val="00D67FA6"/>
    <w:rsid w:val="00D74118"/>
    <w:rsid w:val="00D74454"/>
    <w:rsid w:val="00D771F9"/>
    <w:rsid w:val="00D778BA"/>
    <w:rsid w:val="00D916EB"/>
    <w:rsid w:val="00D9372C"/>
    <w:rsid w:val="00D938FB"/>
    <w:rsid w:val="00D93F22"/>
    <w:rsid w:val="00D9554B"/>
    <w:rsid w:val="00D9602C"/>
    <w:rsid w:val="00DA3826"/>
    <w:rsid w:val="00DA38D5"/>
    <w:rsid w:val="00DA4C48"/>
    <w:rsid w:val="00DA5262"/>
    <w:rsid w:val="00DA55A4"/>
    <w:rsid w:val="00DA727D"/>
    <w:rsid w:val="00DA72D0"/>
    <w:rsid w:val="00DA7C7C"/>
    <w:rsid w:val="00DB53A7"/>
    <w:rsid w:val="00DC5B92"/>
    <w:rsid w:val="00DC6EB5"/>
    <w:rsid w:val="00DC77D9"/>
    <w:rsid w:val="00DD061D"/>
    <w:rsid w:val="00DD170F"/>
    <w:rsid w:val="00DD1A06"/>
    <w:rsid w:val="00DD1ACD"/>
    <w:rsid w:val="00DD739D"/>
    <w:rsid w:val="00DE0A8A"/>
    <w:rsid w:val="00DE1CAE"/>
    <w:rsid w:val="00DE383E"/>
    <w:rsid w:val="00DE7FAD"/>
    <w:rsid w:val="00DF0239"/>
    <w:rsid w:val="00DF222D"/>
    <w:rsid w:val="00DF4552"/>
    <w:rsid w:val="00DF6E54"/>
    <w:rsid w:val="00E01576"/>
    <w:rsid w:val="00E04228"/>
    <w:rsid w:val="00E04457"/>
    <w:rsid w:val="00E044C3"/>
    <w:rsid w:val="00E04BBC"/>
    <w:rsid w:val="00E05BB2"/>
    <w:rsid w:val="00E07868"/>
    <w:rsid w:val="00E11C20"/>
    <w:rsid w:val="00E12DCD"/>
    <w:rsid w:val="00E159D7"/>
    <w:rsid w:val="00E16A96"/>
    <w:rsid w:val="00E1703A"/>
    <w:rsid w:val="00E21653"/>
    <w:rsid w:val="00E2414E"/>
    <w:rsid w:val="00E251DB"/>
    <w:rsid w:val="00E26830"/>
    <w:rsid w:val="00E30747"/>
    <w:rsid w:val="00E35535"/>
    <w:rsid w:val="00E36841"/>
    <w:rsid w:val="00E40773"/>
    <w:rsid w:val="00E41483"/>
    <w:rsid w:val="00E544B1"/>
    <w:rsid w:val="00E5508A"/>
    <w:rsid w:val="00E55A59"/>
    <w:rsid w:val="00E55EE5"/>
    <w:rsid w:val="00E606BB"/>
    <w:rsid w:val="00E6160B"/>
    <w:rsid w:val="00E62473"/>
    <w:rsid w:val="00E64BA3"/>
    <w:rsid w:val="00E66472"/>
    <w:rsid w:val="00E706A8"/>
    <w:rsid w:val="00E70B4D"/>
    <w:rsid w:val="00E70EBC"/>
    <w:rsid w:val="00E7257D"/>
    <w:rsid w:val="00E728CB"/>
    <w:rsid w:val="00E74C29"/>
    <w:rsid w:val="00E81DA8"/>
    <w:rsid w:val="00E8255C"/>
    <w:rsid w:val="00E8284F"/>
    <w:rsid w:val="00E84A6B"/>
    <w:rsid w:val="00E865DD"/>
    <w:rsid w:val="00E869C8"/>
    <w:rsid w:val="00E87318"/>
    <w:rsid w:val="00E87651"/>
    <w:rsid w:val="00E9078B"/>
    <w:rsid w:val="00E92385"/>
    <w:rsid w:val="00E933D2"/>
    <w:rsid w:val="00E964DE"/>
    <w:rsid w:val="00E96B1D"/>
    <w:rsid w:val="00E96DEA"/>
    <w:rsid w:val="00EA1C37"/>
    <w:rsid w:val="00EA209F"/>
    <w:rsid w:val="00EA2EE6"/>
    <w:rsid w:val="00EA43B9"/>
    <w:rsid w:val="00EA48AE"/>
    <w:rsid w:val="00EA4EB3"/>
    <w:rsid w:val="00EA5365"/>
    <w:rsid w:val="00EA542C"/>
    <w:rsid w:val="00EA5482"/>
    <w:rsid w:val="00EB6103"/>
    <w:rsid w:val="00EB7F9D"/>
    <w:rsid w:val="00EC7DE5"/>
    <w:rsid w:val="00ED04BD"/>
    <w:rsid w:val="00ED1175"/>
    <w:rsid w:val="00ED11E2"/>
    <w:rsid w:val="00ED4D80"/>
    <w:rsid w:val="00EE0126"/>
    <w:rsid w:val="00EE2733"/>
    <w:rsid w:val="00EE4BDD"/>
    <w:rsid w:val="00EE4BDF"/>
    <w:rsid w:val="00EE4D89"/>
    <w:rsid w:val="00EE52B5"/>
    <w:rsid w:val="00EE5B8F"/>
    <w:rsid w:val="00EF2A15"/>
    <w:rsid w:val="00EF2E21"/>
    <w:rsid w:val="00EF399C"/>
    <w:rsid w:val="00EF5BFD"/>
    <w:rsid w:val="00EF6820"/>
    <w:rsid w:val="00F0009F"/>
    <w:rsid w:val="00F058B7"/>
    <w:rsid w:val="00F11855"/>
    <w:rsid w:val="00F11AAE"/>
    <w:rsid w:val="00F12BB2"/>
    <w:rsid w:val="00F16038"/>
    <w:rsid w:val="00F206A4"/>
    <w:rsid w:val="00F20BD1"/>
    <w:rsid w:val="00F21A36"/>
    <w:rsid w:val="00F26E46"/>
    <w:rsid w:val="00F31026"/>
    <w:rsid w:val="00F34D63"/>
    <w:rsid w:val="00F36F24"/>
    <w:rsid w:val="00F37919"/>
    <w:rsid w:val="00F400EA"/>
    <w:rsid w:val="00F40E16"/>
    <w:rsid w:val="00F44A29"/>
    <w:rsid w:val="00F50D18"/>
    <w:rsid w:val="00F5206F"/>
    <w:rsid w:val="00F53C10"/>
    <w:rsid w:val="00F54A30"/>
    <w:rsid w:val="00F55DF1"/>
    <w:rsid w:val="00F5639C"/>
    <w:rsid w:val="00F64631"/>
    <w:rsid w:val="00F64947"/>
    <w:rsid w:val="00F6570B"/>
    <w:rsid w:val="00F673AD"/>
    <w:rsid w:val="00F67615"/>
    <w:rsid w:val="00F72FBB"/>
    <w:rsid w:val="00F76C98"/>
    <w:rsid w:val="00F804CD"/>
    <w:rsid w:val="00F80750"/>
    <w:rsid w:val="00F81912"/>
    <w:rsid w:val="00F84587"/>
    <w:rsid w:val="00F84B45"/>
    <w:rsid w:val="00F85F59"/>
    <w:rsid w:val="00F86DD4"/>
    <w:rsid w:val="00F90EE4"/>
    <w:rsid w:val="00F91080"/>
    <w:rsid w:val="00F92061"/>
    <w:rsid w:val="00F95160"/>
    <w:rsid w:val="00FA59EC"/>
    <w:rsid w:val="00FA618B"/>
    <w:rsid w:val="00FA7002"/>
    <w:rsid w:val="00FB0076"/>
    <w:rsid w:val="00FB0188"/>
    <w:rsid w:val="00FB4CF2"/>
    <w:rsid w:val="00FC305D"/>
    <w:rsid w:val="00FC31C8"/>
    <w:rsid w:val="00FC32E1"/>
    <w:rsid w:val="00FD3FE1"/>
    <w:rsid w:val="00FD4F27"/>
    <w:rsid w:val="00FE419E"/>
    <w:rsid w:val="00FE56F4"/>
    <w:rsid w:val="00FE6E8A"/>
    <w:rsid w:val="00FF41D7"/>
    <w:rsid w:val="00FF5720"/>
    <w:rsid w:val="00FF5CD0"/>
    <w:rsid w:val="00FF6A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556F89"/>
  <w15:docId w15:val="{2DED2BEC-5895-4810-AEF7-60593D07A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2"/>
        <w:szCs w:val="22"/>
        <w:lang w:val="en-AU" w:eastAsia="en-US" w:bidi="ar-SA"/>
      </w:rPr>
    </w:rPrDefault>
    <w:pPrDefault>
      <w:pPr>
        <w:spacing w:after="200" w:line="276" w:lineRule="auto"/>
        <w:jc w:val="both"/>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unhideWhenUsed="1"/>
    <w:lsdException w:name="annotation text" w:semiHidden="1" w:unhideWhenUsed="1"/>
    <w:lsdException w:name="header" w:locked="0" w:uiPriority="42" w:unhideWhenUsed="1"/>
    <w:lsdException w:name="footer" w:locked="0" w:unhideWhenUsed="1"/>
    <w:lsdException w:name="index heading" w:semiHidden="1" w:unhideWhenUsed="1"/>
    <w:lsdException w:name="caption" w:locked="0"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locked="0" w:semiHidden="1" w:unhideWhenUsed="1"/>
    <w:lsdException w:name="endnote reference" w:locked="0" w:unhideWhenUsed="1"/>
    <w:lsdException w:name="endnote text" w:locked="0" w:unhideWhenUsed="1"/>
    <w:lsdException w:name="table of authorities" w:locked="0" w:semiHidden="1" w:unhideWhenUsed="1"/>
    <w:lsdException w:name="macro" w:semiHidden="1" w:unhideWhenUsed="1"/>
    <w:lsdException w:name="toa heading" w:locked="0" w:semiHidden="1" w:uiPriority="39" w:unhideWhenUsed="1"/>
    <w:lsdException w:name="List" w:semiHidden="1" w:qFormat="1"/>
    <w:lsdException w:name="List Bullet" w:locked="0" w:uiPriority="14" w:unhideWhenUsed="1" w:qFormat="1"/>
    <w:lsdException w:name="List Number" w:locked="0" w:uiPriority="16" w:qFormat="1"/>
    <w:lsdException w:name="List 2" w:semiHidden="1" w:qFormat="1"/>
    <w:lsdException w:name="List 3" w:semiHidden="1" w:qFormat="1"/>
    <w:lsdException w:name="List 4" w:semiHidden="1" w:unhideWhenUsed="1"/>
    <w:lsdException w:name="List 5" w:semiHidden="1" w:unhideWhenUsed="1"/>
    <w:lsdException w:name="List Bullet 2" w:locked="0" w:uiPriority="14" w:unhideWhenUsed="1" w:qFormat="1"/>
    <w:lsdException w:name="List Bullet 3" w:locked="0" w:uiPriority="14" w:unhideWhenUsed="1" w:qFormat="1"/>
    <w:lsdException w:name="List Bullet 4" w:uiPriority="41" w:unhideWhenUsed="1" w:qFormat="1"/>
    <w:lsdException w:name="List Bullet 5" w:semiHidden="1" w:uiPriority="14" w:unhideWhenUsed="1"/>
    <w:lsdException w:name="List Number 2" w:locked="0" w:uiPriority="16" w:unhideWhenUsed="1" w:qFormat="1"/>
    <w:lsdException w:name="List Number 3" w:locked="0" w:uiPriority="16" w:unhideWhenUsed="1" w:qFormat="1"/>
    <w:lsdException w:name="List Number 4" w:locked="0" w:uiPriority="16" w:unhideWhenUsed="1" w:qFormat="1"/>
    <w:lsdException w:name="List Number 5" w:semiHidden="1" w:unhideWhenUsed="1"/>
    <w:lsdException w:name="Title" w:locked="0" w:uiPriority="38"/>
    <w:lsdException w:name="Closing" w:semiHidden="1" w:unhideWhenUsed="1"/>
    <w:lsdException w:name="Signature" w:semiHidden="1" w:unhideWhenUsed="1"/>
    <w:lsdException w:name="Default Paragraph Font" w:locked="0" w:semiHidden="1" w:uiPriority="1" w:unhideWhenUsed="1"/>
    <w:lsdException w:name="Body Text" w:locked="0"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3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locked="0" w:semiHidden="1" w:unhideWhenUsed="1"/>
    <w:lsdException w:name="No Spacing" w:locked="0"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CAE"/>
    <w:pPr>
      <w:numPr>
        <w:numId w:val="15"/>
      </w:numPr>
    </w:pPr>
  </w:style>
  <w:style w:type="paragraph" w:styleId="Heading1">
    <w:name w:val="heading 1"/>
    <w:basedOn w:val="Normal"/>
    <w:next w:val="Normal"/>
    <w:link w:val="Heading1Char"/>
    <w:uiPriority w:val="9"/>
    <w:qFormat/>
    <w:rsid w:val="00E62473"/>
    <w:pPr>
      <w:keepNext/>
      <w:numPr>
        <w:numId w:val="29"/>
      </w:numPr>
      <w:spacing w:after="400"/>
      <w:outlineLvl w:val="0"/>
    </w:pPr>
    <w:rPr>
      <w:rFonts w:asciiTheme="majorHAnsi" w:eastAsiaTheme="majorEastAsia" w:hAnsiTheme="majorHAnsi" w:cstheme="majorBidi"/>
      <w:b/>
      <w:bCs/>
      <w:color w:val="00853F" w:themeColor="accent1"/>
      <w:sz w:val="32"/>
      <w:szCs w:val="28"/>
    </w:rPr>
  </w:style>
  <w:style w:type="paragraph" w:styleId="Heading2">
    <w:name w:val="heading 2"/>
    <w:basedOn w:val="Normal"/>
    <w:next w:val="Normal"/>
    <w:link w:val="Heading2Char"/>
    <w:uiPriority w:val="9"/>
    <w:qFormat/>
    <w:rsid w:val="00DC6EB5"/>
    <w:pPr>
      <w:keepNext/>
      <w:numPr>
        <w:ilvl w:val="1"/>
        <w:numId w:val="29"/>
      </w:numPr>
      <w:spacing w:before="320" w:after="0"/>
      <w:outlineLvl w:val="1"/>
    </w:pPr>
    <w:rPr>
      <w:rFonts w:asciiTheme="majorHAnsi" w:eastAsiaTheme="majorEastAsia" w:hAnsiTheme="majorHAnsi" w:cstheme="majorBidi"/>
      <w:b/>
      <w:bCs/>
      <w:color w:val="00853F" w:themeColor="accent1"/>
      <w:sz w:val="26"/>
      <w:szCs w:val="26"/>
    </w:rPr>
  </w:style>
  <w:style w:type="paragraph" w:styleId="Heading3">
    <w:name w:val="heading 3"/>
    <w:basedOn w:val="Normal"/>
    <w:next w:val="Normal"/>
    <w:link w:val="Heading3Char"/>
    <w:uiPriority w:val="9"/>
    <w:qFormat/>
    <w:rsid w:val="00DC6EB5"/>
    <w:pPr>
      <w:keepNext/>
      <w:numPr>
        <w:ilvl w:val="2"/>
        <w:numId w:val="29"/>
      </w:numPr>
      <w:tabs>
        <w:tab w:val="left" w:pos="1077"/>
      </w:tabs>
      <w:spacing w:before="240" w:after="0"/>
      <w:outlineLvl w:val="2"/>
    </w:pPr>
    <w:rPr>
      <w:rFonts w:asciiTheme="majorHAnsi" w:eastAsiaTheme="majorEastAsia" w:hAnsiTheme="majorHAnsi" w:cstheme="majorBidi"/>
      <w:b/>
      <w:bCs/>
      <w:color w:val="00853F" w:themeColor="accent1"/>
    </w:rPr>
  </w:style>
  <w:style w:type="paragraph" w:styleId="Heading4">
    <w:name w:val="heading 4"/>
    <w:basedOn w:val="Normal"/>
    <w:next w:val="Normal"/>
    <w:link w:val="Heading4Char"/>
    <w:uiPriority w:val="9"/>
    <w:qFormat/>
    <w:rsid w:val="006625C7"/>
    <w:pPr>
      <w:keepNext/>
      <w:numPr>
        <w:ilvl w:val="3"/>
        <w:numId w:val="29"/>
      </w:numPr>
      <w:spacing w:before="113" w:after="57" w:line="216" w:lineRule="atLeast"/>
      <w:outlineLvl w:val="3"/>
    </w:pPr>
    <w:rPr>
      <w:rFonts w:asciiTheme="majorHAnsi" w:eastAsiaTheme="majorEastAsia" w:hAnsiTheme="majorHAnsi" w:cstheme="majorBidi"/>
      <w:bCs/>
      <w:i/>
      <w:iCs/>
      <w:color w:val="00853F" w:themeColor="accent1"/>
    </w:rPr>
  </w:style>
  <w:style w:type="paragraph" w:styleId="Heading5">
    <w:name w:val="heading 5"/>
    <w:basedOn w:val="Normal"/>
    <w:next w:val="Normal"/>
    <w:link w:val="Heading5Char"/>
    <w:uiPriority w:val="9"/>
    <w:rsid w:val="00802566"/>
    <w:pPr>
      <w:keepNext/>
      <w:numPr>
        <w:ilvl w:val="4"/>
        <w:numId w:val="29"/>
      </w:numPr>
      <w:spacing w:before="240" w:after="0"/>
      <w:outlineLvl w:val="4"/>
    </w:pPr>
    <w:rPr>
      <w:rFonts w:asciiTheme="majorHAnsi" w:eastAsiaTheme="majorEastAsia" w:hAnsiTheme="majorHAnsi" w:cstheme="majorBidi"/>
      <w:color w:val="00853F" w:themeColor="accent1"/>
    </w:rPr>
  </w:style>
  <w:style w:type="paragraph" w:styleId="Heading6">
    <w:name w:val="heading 6"/>
    <w:basedOn w:val="Normal"/>
    <w:next w:val="Normal"/>
    <w:link w:val="Heading6Char"/>
    <w:uiPriority w:val="9"/>
    <w:rsid w:val="00802566"/>
    <w:pPr>
      <w:keepNext/>
      <w:numPr>
        <w:ilvl w:val="5"/>
        <w:numId w:val="29"/>
      </w:numPr>
      <w:spacing w:before="240" w:after="0"/>
      <w:outlineLvl w:val="5"/>
    </w:pPr>
    <w:rPr>
      <w:rFonts w:asciiTheme="majorHAnsi" w:eastAsiaTheme="majorEastAsia" w:hAnsiTheme="majorHAnsi" w:cstheme="majorBidi"/>
      <w:iCs/>
      <w:color w:val="00853F" w:themeColor="accent1"/>
    </w:rPr>
  </w:style>
  <w:style w:type="paragraph" w:styleId="Heading7">
    <w:name w:val="heading 7"/>
    <w:basedOn w:val="Normal"/>
    <w:next w:val="Normal"/>
    <w:link w:val="Heading7Char"/>
    <w:uiPriority w:val="9"/>
    <w:rsid w:val="00802566"/>
    <w:pPr>
      <w:keepNext/>
      <w:numPr>
        <w:ilvl w:val="6"/>
        <w:numId w:val="29"/>
      </w:numPr>
      <w:spacing w:before="240" w:after="0"/>
      <w:outlineLvl w:val="6"/>
    </w:pPr>
    <w:rPr>
      <w:rFonts w:asciiTheme="majorHAnsi" w:eastAsiaTheme="majorEastAsia" w:hAnsiTheme="majorHAnsi" w:cstheme="majorBidi"/>
      <w:iCs/>
      <w:color w:val="00853F" w:themeColor="accent1"/>
    </w:rPr>
  </w:style>
  <w:style w:type="paragraph" w:styleId="Heading8">
    <w:name w:val="heading 8"/>
    <w:basedOn w:val="Normal"/>
    <w:next w:val="Normal"/>
    <w:link w:val="Heading8Char"/>
    <w:uiPriority w:val="9"/>
    <w:rsid w:val="00802566"/>
    <w:pPr>
      <w:keepNext/>
      <w:numPr>
        <w:ilvl w:val="7"/>
        <w:numId w:val="29"/>
      </w:numPr>
      <w:spacing w:before="240" w:after="0"/>
      <w:outlineLvl w:val="7"/>
    </w:pPr>
    <w:rPr>
      <w:rFonts w:asciiTheme="majorHAnsi" w:eastAsiaTheme="majorEastAsia" w:hAnsiTheme="majorHAnsi" w:cstheme="majorBidi"/>
      <w:color w:val="00853F" w:themeColor="accent1"/>
      <w:szCs w:val="20"/>
    </w:rPr>
  </w:style>
  <w:style w:type="paragraph" w:styleId="Heading9">
    <w:name w:val="heading 9"/>
    <w:basedOn w:val="Normal"/>
    <w:next w:val="Normal"/>
    <w:link w:val="Heading9Char"/>
    <w:uiPriority w:val="9"/>
    <w:rsid w:val="00802566"/>
    <w:pPr>
      <w:keepNext/>
      <w:numPr>
        <w:ilvl w:val="8"/>
        <w:numId w:val="29"/>
      </w:numPr>
      <w:spacing w:before="240" w:after="0"/>
      <w:outlineLvl w:val="8"/>
    </w:pPr>
    <w:rPr>
      <w:rFonts w:asciiTheme="majorHAnsi" w:eastAsiaTheme="majorEastAsia" w:hAnsiTheme="majorHAnsi" w:cstheme="majorBidi"/>
      <w:iCs/>
      <w:color w:val="00853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473"/>
    <w:rPr>
      <w:rFonts w:asciiTheme="majorHAnsi" w:eastAsiaTheme="majorEastAsia" w:hAnsiTheme="majorHAnsi" w:cstheme="majorBidi"/>
      <w:b/>
      <w:bCs/>
      <w:color w:val="00853F" w:themeColor="accent1"/>
      <w:sz w:val="32"/>
      <w:szCs w:val="28"/>
    </w:rPr>
  </w:style>
  <w:style w:type="character" w:customStyle="1" w:styleId="Heading2Char">
    <w:name w:val="Heading 2 Char"/>
    <w:basedOn w:val="DefaultParagraphFont"/>
    <w:link w:val="Heading2"/>
    <w:uiPriority w:val="9"/>
    <w:rsid w:val="00DC6EB5"/>
    <w:rPr>
      <w:rFonts w:asciiTheme="majorHAnsi" w:eastAsiaTheme="majorEastAsia" w:hAnsiTheme="majorHAnsi" w:cstheme="majorBidi"/>
      <w:b/>
      <w:bCs/>
      <w:color w:val="00853F" w:themeColor="accent1"/>
      <w:sz w:val="26"/>
      <w:szCs w:val="26"/>
    </w:rPr>
  </w:style>
  <w:style w:type="character" w:customStyle="1" w:styleId="Heading3Char">
    <w:name w:val="Heading 3 Char"/>
    <w:basedOn w:val="DefaultParagraphFont"/>
    <w:link w:val="Heading3"/>
    <w:uiPriority w:val="9"/>
    <w:rsid w:val="00DC6EB5"/>
    <w:rPr>
      <w:rFonts w:asciiTheme="majorHAnsi" w:eastAsiaTheme="majorEastAsia" w:hAnsiTheme="majorHAnsi" w:cstheme="majorBidi"/>
      <w:b/>
      <w:bCs/>
      <w:color w:val="00853F" w:themeColor="accent1"/>
    </w:rPr>
  </w:style>
  <w:style w:type="paragraph" w:customStyle="1" w:styleId="Proposal">
    <w:name w:val="Proposal"/>
    <w:basedOn w:val="Normal"/>
    <w:uiPriority w:val="38"/>
    <w:semiHidden/>
    <w:rsid w:val="00DC6EB5"/>
    <w:pPr>
      <w:spacing w:before="240"/>
    </w:pPr>
    <w:rPr>
      <w:rFonts w:ascii="Calibri Light" w:hAnsi="Calibri Light"/>
      <w:caps/>
      <w:color w:val="231F20" w:themeColor="text1"/>
    </w:rPr>
  </w:style>
  <w:style w:type="paragraph" w:styleId="Subtitle">
    <w:name w:val="Subtitle"/>
    <w:basedOn w:val="Normal"/>
    <w:next w:val="Normal"/>
    <w:link w:val="SubtitleChar"/>
    <w:uiPriority w:val="38"/>
    <w:rsid w:val="00DC6EB5"/>
    <w:pPr>
      <w:numPr>
        <w:ilvl w:val="1"/>
        <w:numId w:val="0"/>
      </w:numPr>
      <w:pBdr>
        <w:top w:val="single" w:sz="4" w:space="6" w:color="4D4D4F" w:themeColor="text2"/>
        <w:bottom w:val="single" w:sz="4" w:space="2" w:color="4D4D4F" w:themeColor="text2"/>
      </w:pBdr>
      <w:spacing w:after="240"/>
    </w:pPr>
    <w:rPr>
      <w:rFonts w:asciiTheme="minorHAnsi" w:eastAsiaTheme="minorEastAsia" w:hAnsiTheme="minorHAnsi"/>
      <w:b/>
      <w:color w:val="4D4D4F" w:themeColor="text2"/>
      <w:sz w:val="36"/>
    </w:rPr>
  </w:style>
  <w:style w:type="paragraph" w:customStyle="1" w:styleId="SubHeading">
    <w:name w:val="Sub Heading"/>
    <w:basedOn w:val="Normal"/>
    <w:next w:val="Normal"/>
    <w:uiPriority w:val="11"/>
    <w:qFormat/>
    <w:rsid w:val="004F17AA"/>
    <w:pPr>
      <w:keepNext/>
      <w:numPr>
        <w:numId w:val="0"/>
      </w:numPr>
      <w:spacing w:before="240" w:after="0"/>
    </w:pPr>
    <w:rPr>
      <w:rFonts w:asciiTheme="minorHAnsi" w:hAnsiTheme="minorHAnsi"/>
      <w:caps/>
      <w:color w:val="00853F" w:themeColor="accent1"/>
    </w:rPr>
  </w:style>
  <w:style w:type="character" w:customStyle="1" w:styleId="Heading4Char">
    <w:name w:val="Heading 4 Char"/>
    <w:basedOn w:val="DefaultParagraphFont"/>
    <w:link w:val="Heading4"/>
    <w:uiPriority w:val="9"/>
    <w:rsid w:val="006625C7"/>
    <w:rPr>
      <w:rFonts w:asciiTheme="majorHAnsi" w:eastAsiaTheme="majorEastAsia" w:hAnsiTheme="majorHAnsi" w:cstheme="majorBidi"/>
      <w:bCs/>
      <w:i/>
      <w:iCs/>
      <w:color w:val="00853F" w:themeColor="accent1"/>
    </w:rPr>
  </w:style>
  <w:style w:type="paragraph" w:styleId="ListBullet">
    <w:name w:val="List Bullet"/>
    <w:basedOn w:val="Normal"/>
    <w:uiPriority w:val="14"/>
    <w:qFormat/>
    <w:rsid w:val="00E62473"/>
    <w:pPr>
      <w:numPr>
        <w:numId w:val="7"/>
      </w:numPr>
      <w:spacing w:after="40"/>
      <w:contextualSpacing/>
    </w:pPr>
  </w:style>
  <w:style w:type="paragraph" w:styleId="ListBullet2">
    <w:name w:val="List Bullet 2"/>
    <w:basedOn w:val="ListBullet"/>
    <w:uiPriority w:val="14"/>
    <w:qFormat/>
    <w:rsid w:val="00E62473"/>
    <w:pPr>
      <w:numPr>
        <w:ilvl w:val="1"/>
      </w:numPr>
    </w:pPr>
  </w:style>
  <w:style w:type="paragraph" w:styleId="ListNumber">
    <w:name w:val="List Number"/>
    <w:basedOn w:val="Normal"/>
    <w:uiPriority w:val="16"/>
    <w:qFormat/>
    <w:rsid w:val="00A24F1D"/>
    <w:pPr>
      <w:numPr>
        <w:ilvl w:val="1"/>
      </w:numPr>
      <w:spacing w:after="40"/>
      <w:contextualSpacing/>
    </w:pPr>
  </w:style>
  <w:style w:type="paragraph" w:styleId="ListNumber2">
    <w:name w:val="List Number 2"/>
    <w:basedOn w:val="Normal"/>
    <w:uiPriority w:val="16"/>
    <w:qFormat/>
    <w:rsid w:val="00A24F1D"/>
    <w:pPr>
      <w:numPr>
        <w:ilvl w:val="2"/>
      </w:numPr>
      <w:spacing w:after="40"/>
      <w:contextualSpacing/>
    </w:pPr>
  </w:style>
  <w:style w:type="numbering" w:customStyle="1" w:styleId="Lists">
    <w:name w:val="Lists"/>
    <w:uiPriority w:val="99"/>
    <w:rsid w:val="00581530"/>
    <w:pPr>
      <w:numPr>
        <w:numId w:val="15"/>
      </w:numPr>
    </w:pPr>
  </w:style>
  <w:style w:type="paragraph" w:styleId="ListNumber3">
    <w:name w:val="List Number 3"/>
    <w:basedOn w:val="Normal"/>
    <w:uiPriority w:val="16"/>
    <w:qFormat/>
    <w:rsid w:val="00A24F1D"/>
    <w:pPr>
      <w:numPr>
        <w:ilvl w:val="3"/>
      </w:numPr>
      <w:tabs>
        <w:tab w:val="right" w:leader="dot" w:pos="9072"/>
      </w:tabs>
      <w:spacing w:after="40"/>
      <w:contextualSpacing/>
    </w:pPr>
  </w:style>
  <w:style w:type="paragraph" w:styleId="Title">
    <w:name w:val="Title"/>
    <w:basedOn w:val="Normal"/>
    <w:next w:val="Subtitle"/>
    <w:link w:val="TitleChar"/>
    <w:uiPriority w:val="38"/>
    <w:rsid w:val="004F17AA"/>
    <w:pPr>
      <w:numPr>
        <w:numId w:val="0"/>
      </w:numPr>
      <w:spacing w:before="1700" w:line="504" w:lineRule="exact"/>
      <w:contextualSpacing/>
    </w:pPr>
    <w:rPr>
      <w:rFonts w:asciiTheme="majorHAnsi" w:eastAsiaTheme="majorEastAsia" w:hAnsiTheme="majorHAnsi" w:cstheme="majorBidi"/>
      <w:color w:val="00853F" w:themeColor="accent1"/>
      <w:sz w:val="42"/>
      <w:szCs w:val="52"/>
    </w:rPr>
  </w:style>
  <w:style w:type="character" w:customStyle="1" w:styleId="TitleChar">
    <w:name w:val="Title Char"/>
    <w:basedOn w:val="DefaultParagraphFont"/>
    <w:link w:val="Title"/>
    <w:uiPriority w:val="38"/>
    <w:rsid w:val="00A157B7"/>
    <w:rPr>
      <w:rFonts w:asciiTheme="majorHAnsi" w:eastAsiaTheme="majorEastAsia" w:hAnsiTheme="majorHAnsi" w:cstheme="majorBidi"/>
      <w:color w:val="00853F" w:themeColor="accent1"/>
      <w:sz w:val="42"/>
      <w:szCs w:val="52"/>
    </w:rPr>
  </w:style>
  <w:style w:type="numbering" w:customStyle="1" w:styleId="MultiLevelheadinglist">
    <w:name w:val="Multi Level heading list"/>
    <w:uiPriority w:val="99"/>
    <w:rsid w:val="00125C03"/>
    <w:pPr>
      <w:numPr>
        <w:numId w:val="12"/>
      </w:numPr>
    </w:pPr>
  </w:style>
  <w:style w:type="paragraph" w:styleId="TOC1">
    <w:name w:val="toc 1"/>
    <w:basedOn w:val="Normal"/>
    <w:next w:val="Normal"/>
    <w:autoRedefine/>
    <w:uiPriority w:val="39"/>
    <w:rsid w:val="004F17AA"/>
    <w:pPr>
      <w:numPr>
        <w:numId w:val="0"/>
      </w:numPr>
      <w:tabs>
        <w:tab w:val="right" w:leader="dot" w:pos="9185"/>
      </w:tabs>
      <w:spacing w:before="300" w:after="120"/>
      <w:contextualSpacing/>
    </w:pPr>
    <w:rPr>
      <w:b/>
      <w:noProof/>
    </w:rPr>
  </w:style>
  <w:style w:type="paragraph" w:styleId="TOCHeading">
    <w:name w:val="TOC Heading"/>
    <w:basedOn w:val="Heading1"/>
    <w:next w:val="Normal"/>
    <w:uiPriority w:val="39"/>
    <w:rsid w:val="005557E5"/>
    <w:pPr>
      <w:numPr>
        <w:numId w:val="0"/>
      </w:numPr>
      <w:outlineLvl w:val="9"/>
    </w:pPr>
  </w:style>
  <w:style w:type="paragraph" w:styleId="Footer">
    <w:name w:val="footer"/>
    <w:basedOn w:val="Normal"/>
    <w:link w:val="FooterChar"/>
    <w:uiPriority w:val="99"/>
    <w:rsid w:val="005557E5"/>
    <w:pPr>
      <w:pBdr>
        <w:top w:val="single" w:sz="4" w:space="6" w:color="46641D" w:themeColor="accent4"/>
      </w:pBdr>
      <w:tabs>
        <w:tab w:val="right" w:pos="9639"/>
      </w:tabs>
      <w:spacing w:after="0" w:line="200" w:lineRule="exact"/>
    </w:pPr>
    <w:rPr>
      <w:rFonts w:ascii="Calibri Light" w:hAnsi="Calibri Light"/>
      <w:caps/>
      <w:color w:val="4D4D4F" w:themeColor="text2"/>
      <w:sz w:val="16"/>
    </w:rPr>
  </w:style>
  <w:style w:type="character" w:customStyle="1" w:styleId="FooterChar">
    <w:name w:val="Footer Char"/>
    <w:basedOn w:val="DefaultParagraphFont"/>
    <w:link w:val="Footer"/>
    <w:uiPriority w:val="99"/>
    <w:rsid w:val="005557E5"/>
    <w:rPr>
      <w:rFonts w:ascii="Calibri Light" w:hAnsi="Calibri Light"/>
      <w:caps/>
      <w:color w:val="4D4D4F" w:themeColor="text2"/>
      <w:sz w:val="16"/>
    </w:rPr>
  </w:style>
  <w:style w:type="paragraph" w:styleId="ListBullet3">
    <w:name w:val="List Bullet 3"/>
    <w:basedOn w:val="Normal"/>
    <w:uiPriority w:val="14"/>
    <w:qFormat/>
    <w:rsid w:val="00A24F1D"/>
    <w:pPr>
      <w:numPr>
        <w:ilvl w:val="2"/>
        <w:numId w:val="7"/>
      </w:numPr>
      <w:spacing w:after="40"/>
      <w:contextualSpacing/>
    </w:pPr>
  </w:style>
  <w:style w:type="paragraph" w:styleId="ListBullet4">
    <w:name w:val="List Bullet 4"/>
    <w:aliases w:val="CV Bullet"/>
    <w:basedOn w:val="Normal"/>
    <w:uiPriority w:val="41"/>
    <w:qFormat/>
    <w:locked/>
    <w:rsid w:val="004F17AA"/>
    <w:pPr>
      <w:numPr>
        <w:numId w:val="0"/>
      </w:numPr>
      <w:spacing w:after="0"/>
    </w:pPr>
    <w:rPr>
      <w:rFonts w:ascii="Calibri Light" w:hAnsi="Calibri Light"/>
      <w:color w:val="231F20" w:themeColor="text1"/>
      <w:sz w:val="20"/>
    </w:rPr>
  </w:style>
  <w:style w:type="table" w:styleId="TableGrid">
    <w:name w:val="Table Grid"/>
    <w:basedOn w:val="TableNormal"/>
    <w:uiPriority w:val="59"/>
    <w:rsid w:val="00A33E60"/>
    <w:pPr>
      <w:spacing w:before="57" w:after="57"/>
    </w:pPr>
    <w:rPr>
      <w:color w:val="231F20" w:themeColor="text1"/>
      <w:sz w:val="18"/>
      <w:szCs w:val="19"/>
    </w:rPr>
    <w:tblPr>
      <w:tblStyleRowBandSize w:val="1"/>
      <w:tblStyleColBandSize w:val="1"/>
      <w:tblBorders>
        <w:bottom w:val="single" w:sz="4" w:space="0" w:color="D1D3D4" w:themeColor="background2"/>
        <w:insideH w:val="single" w:sz="4" w:space="0" w:color="D1D3D4" w:themeColor="background2"/>
      </w:tblBorders>
    </w:tblPr>
    <w:tblStylePr w:type="firstRow">
      <w:rPr>
        <w:b/>
        <w:color w:val="FFFFFF" w:themeColor="background1"/>
      </w:rPr>
      <w:tblPr/>
      <w:trPr>
        <w:tblHeader/>
      </w:trPr>
      <w:tcPr>
        <w:shd w:val="clear" w:color="auto" w:fill="00853F" w:themeFill="accent1"/>
      </w:tcPr>
    </w:tblStylePr>
    <w:tblStylePr w:type="lastRow">
      <w:rPr>
        <w:b/>
      </w:rPr>
    </w:tblStylePr>
    <w:tblStylePr w:type="firstCol">
      <w:rPr>
        <w:b w:val="0"/>
        <w:sz w:val="18"/>
      </w:rPr>
    </w:tblStylePr>
    <w:tblStylePr w:type="lastCol">
      <w:pPr>
        <w:jc w:val="right"/>
      </w:pPr>
    </w:tblStylePr>
    <w:tblStylePr w:type="band2Vert">
      <w:tblPr/>
      <w:tcPr>
        <w:shd w:val="clear" w:color="auto" w:fill="E8F3D8" w:themeFill="accent2" w:themeFillTint="33"/>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E8F3D8" w:themeFill="accent2" w:themeFillTint="33"/>
      </w:tcPr>
    </w:tblStylePr>
  </w:style>
  <w:style w:type="paragraph" w:styleId="Caption">
    <w:name w:val="caption"/>
    <w:next w:val="Normal"/>
    <w:uiPriority w:val="35"/>
    <w:qFormat/>
    <w:rsid w:val="00581530"/>
    <w:pPr>
      <w:keepNext/>
      <w:spacing w:before="113" w:after="60"/>
    </w:pPr>
    <w:rPr>
      <w:b/>
      <w:bCs/>
      <w:sz w:val="18"/>
      <w:szCs w:val="18"/>
    </w:rPr>
  </w:style>
  <w:style w:type="paragraph" w:styleId="Header">
    <w:name w:val="header"/>
    <w:basedOn w:val="Normal"/>
    <w:link w:val="HeaderChar"/>
    <w:uiPriority w:val="42"/>
    <w:rsid w:val="002108AE"/>
    <w:pPr>
      <w:tabs>
        <w:tab w:val="center" w:pos="4513"/>
        <w:tab w:val="right" w:pos="9026"/>
      </w:tabs>
      <w:spacing w:after="0" w:line="240" w:lineRule="auto"/>
      <w:jc w:val="right"/>
    </w:pPr>
    <w:rPr>
      <w:b/>
      <w:sz w:val="14"/>
    </w:rPr>
  </w:style>
  <w:style w:type="character" w:customStyle="1" w:styleId="HeaderChar">
    <w:name w:val="Header Char"/>
    <w:basedOn w:val="DefaultParagraphFont"/>
    <w:link w:val="Header"/>
    <w:uiPriority w:val="42"/>
    <w:rsid w:val="002108AE"/>
    <w:rPr>
      <w:b/>
      <w:sz w:val="14"/>
    </w:rPr>
  </w:style>
  <w:style w:type="paragraph" w:styleId="BalloonText">
    <w:name w:val="Balloon Text"/>
    <w:basedOn w:val="Normal"/>
    <w:link w:val="BalloonTextChar"/>
    <w:uiPriority w:val="99"/>
    <w:semiHidden/>
    <w:locked/>
    <w:rsid w:val="00372E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EBA"/>
    <w:rPr>
      <w:rFonts w:ascii="Tahoma" w:hAnsi="Tahoma" w:cs="Tahoma"/>
      <w:sz w:val="16"/>
      <w:szCs w:val="16"/>
    </w:rPr>
  </w:style>
  <w:style w:type="character" w:styleId="PlaceholderText">
    <w:name w:val="Placeholder Text"/>
    <w:basedOn w:val="DefaultParagraphFont"/>
    <w:uiPriority w:val="99"/>
    <w:rsid w:val="003E3163"/>
    <w:rPr>
      <w:rFonts w:ascii="Calibri" w:hAnsi="Calibri"/>
      <w:noProof w:val="0"/>
      <w:color w:val="231F20" w:themeColor="text1"/>
      <w:sz w:val="22"/>
      <w:bdr w:val="none" w:sz="0" w:space="0" w:color="auto"/>
      <w:shd w:val="clear" w:color="auto" w:fill="FFFF00"/>
      <w:lang w:val="en-AU"/>
    </w:rPr>
  </w:style>
  <w:style w:type="paragraph" w:styleId="ListNumber4">
    <w:name w:val="List Number 4"/>
    <w:basedOn w:val="Normal"/>
    <w:uiPriority w:val="16"/>
    <w:semiHidden/>
    <w:qFormat/>
    <w:rsid w:val="00372E2B"/>
    <w:pPr>
      <w:spacing w:before="85"/>
    </w:pPr>
  </w:style>
  <w:style w:type="character" w:styleId="Hyperlink">
    <w:name w:val="Hyperlink"/>
    <w:basedOn w:val="DefaultParagraphFont"/>
    <w:uiPriority w:val="99"/>
    <w:rsid w:val="00372E2B"/>
    <w:rPr>
      <w:noProof w:val="0"/>
      <w:color w:val="5F5F5F" w:themeColor="hyperlink"/>
      <w:u w:val="single"/>
      <w:lang w:val="en-AU"/>
    </w:rPr>
  </w:style>
  <w:style w:type="paragraph" w:styleId="Bibliography">
    <w:name w:val="Bibliography"/>
    <w:basedOn w:val="Normal"/>
    <w:next w:val="Normal"/>
    <w:uiPriority w:val="37"/>
    <w:semiHidden/>
    <w:locked/>
    <w:rsid w:val="00372E2B"/>
  </w:style>
  <w:style w:type="paragraph" w:styleId="BlockText">
    <w:name w:val="Block Text"/>
    <w:basedOn w:val="Normal"/>
    <w:uiPriority w:val="99"/>
    <w:semiHidden/>
    <w:locked/>
    <w:rsid w:val="00372E2B"/>
    <w:pPr>
      <w:pBdr>
        <w:top w:val="single" w:sz="2" w:space="10" w:color="00853F" w:themeColor="accent1"/>
        <w:left w:val="single" w:sz="2" w:space="10" w:color="00853F" w:themeColor="accent1"/>
        <w:bottom w:val="single" w:sz="2" w:space="10" w:color="00853F" w:themeColor="accent1"/>
        <w:right w:val="single" w:sz="2" w:space="10" w:color="00853F" w:themeColor="accent1"/>
      </w:pBdr>
      <w:ind w:left="1152" w:right="1152"/>
    </w:pPr>
    <w:rPr>
      <w:rFonts w:asciiTheme="minorHAnsi" w:eastAsiaTheme="minorEastAsia" w:hAnsiTheme="minorHAnsi"/>
      <w:i/>
      <w:iCs/>
      <w:color w:val="00853F" w:themeColor="accent1"/>
    </w:rPr>
  </w:style>
  <w:style w:type="paragraph" w:styleId="BodyText2">
    <w:name w:val="Body Text 2"/>
    <w:basedOn w:val="Normal"/>
    <w:link w:val="BodyText2Char"/>
    <w:uiPriority w:val="99"/>
    <w:semiHidden/>
    <w:locked/>
    <w:rsid w:val="00372E2B"/>
    <w:pPr>
      <w:spacing w:line="480" w:lineRule="auto"/>
    </w:pPr>
  </w:style>
  <w:style w:type="character" w:customStyle="1" w:styleId="BodyText2Char">
    <w:name w:val="Body Text 2 Char"/>
    <w:basedOn w:val="DefaultParagraphFont"/>
    <w:link w:val="BodyText2"/>
    <w:uiPriority w:val="99"/>
    <w:semiHidden/>
    <w:rsid w:val="00503EBA"/>
  </w:style>
  <w:style w:type="paragraph" w:styleId="BodyText3">
    <w:name w:val="Body Text 3"/>
    <w:basedOn w:val="Normal"/>
    <w:link w:val="BodyText3Char"/>
    <w:uiPriority w:val="99"/>
    <w:semiHidden/>
    <w:locked/>
    <w:rsid w:val="00372E2B"/>
    <w:rPr>
      <w:sz w:val="16"/>
      <w:szCs w:val="16"/>
    </w:rPr>
  </w:style>
  <w:style w:type="character" w:customStyle="1" w:styleId="BodyText3Char">
    <w:name w:val="Body Text 3 Char"/>
    <w:basedOn w:val="DefaultParagraphFont"/>
    <w:link w:val="BodyText3"/>
    <w:uiPriority w:val="99"/>
    <w:semiHidden/>
    <w:rsid w:val="00503EBA"/>
    <w:rPr>
      <w:sz w:val="16"/>
      <w:szCs w:val="16"/>
    </w:rPr>
  </w:style>
  <w:style w:type="paragraph" w:styleId="BodyTextFirstIndent">
    <w:name w:val="Body Text First Indent"/>
    <w:basedOn w:val="Normal"/>
    <w:link w:val="BodyTextFirstIndentChar"/>
    <w:uiPriority w:val="99"/>
    <w:semiHidden/>
    <w:locked/>
    <w:rsid w:val="00DE1CAE"/>
    <w:pPr>
      <w:spacing w:after="170"/>
      <w:ind w:firstLine="360"/>
    </w:pPr>
  </w:style>
  <w:style w:type="character" w:customStyle="1" w:styleId="BodyTextFirstIndentChar">
    <w:name w:val="Body Text First Indent Char"/>
    <w:basedOn w:val="DefaultParagraphFont"/>
    <w:link w:val="BodyTextFirstIndent"/>
    <w:uiPriority w:val="99"/>
    <w:semiHidden/>
    <w:rsid w:val="00DE1CAE"/>
  </w:style>
  <w:style w:type="paragraph" w:styleId="BodyTextIndent">
    <w:name w:val="Body Text Indent"/>
    <w:basedOn w:val="Normal"/>
    <w:link w:val="BodyTextIndentChar"/>
    <w:uiPriority w:val="99"/>
    <w:semiHidden/>
    <w:locked/>
    <w:rsid w:val="00372E2B"/>
    <w:pPr>
      <w:ind w:left="283"/>
    </w:pPr>
  </w:style>
  <w:style w:type="character" w:customStyle="1" w:styleId="BodyTextIndentChar">
    <w:name w:val="Body Text Indent Char"/>
    <w:basedOn w:val="DefaultParagraphFont"/>
    <w:link w:val="BodyTextIndent"/>
    <w:uiPriority w:val="99"/>
    <w:semiHidden/>
    <w:rsid w:val="00503EBA"/>
  </w:style>
  <w:style w:type="paragraph" w:styleId="BodyTextFirstIndent2">
    <w:name w:val="Body Text First Indent 2"/>
    <w:basedOn w:val="BodyTextIndent"/>
    <w:link w:val="BodyTextFirstIndent2Char"/>
    <w:uiPriority w:val="99"/>
    <w:semiHidden/>
    <w:locked/>
    <w:rsid w:val="00372E2B"/>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503EBA"/>
  </w:style>
  <w:style w:type="paragraph" w:styleId="BodyTextIndent2">
    <w:name w:val="Body Text Indent 2"/>
    <w:basedOn w:val="Normal"/>
    <w:link w:val="BodyTextIndent2Char"/>
    <w:uiPriority w:val="99"/>
    <w:semiHidden/>
    <w:locked/>
    <w:rsid w:val="00372E2B"/>
    <w:pPr>
      <w:spacing w:line="480" w:lineRule="auto"/>
      <w:ind w:left="283"/>
    </w:pPr>
  </w:style>
  <w:style w:type="character" w:customStyle="1" w:styleId="BodyTextIndent2Char">
    <w:name w:val="Body Text Indent 2 Char"/>
    <w:basedOn w:val="DefaultParagraphFont"/>
    <w:link w:val="BodyTextIndent2"/>
    <w:uiPriority w:val="99"/>
    <w:semiHidden/>
    <w:rsid w:val="00503EBA"/>
  </w:style>
  <w:style w:type="paragraph" w:styleId="BodyTextIndent3">
    <w:name w:val="Body Text Indent 3"/>
    <w:basedOn w:val="Normal"/>
    <w:link w:val="BodyTextIndent3Char"/>
    <w:uiPriority w:val="99"/>
    <w:semiHidden/>
    <w:locked/>
    <w:rsid w:val="00372E2B"/>
    <w:pPr>
      <w:ind w:left="283"/>
    </w:pPr>
    <w:rPr>
      <w:sz w:val="16"/>
      <w:szCs w:val="16"/>
    </w:rPr>
  </w:style>
  <w:style w:type="character" w:customStyle="1" w:styleId="BodyTextIndent3Char">
    <w:name w:val="Body Text Indent 3 Char"/>
    <w:basedOn w:val="DefaultParagraphFont"/>
    <w:link w:val="BodyTextIndent3"/>
    <w:uiPriority w:val="99"/>
    <w:semiHidden/>
    <w:rsid w:val="00503EBA"/>
    <w:rPr>
      <w:sz w:val="16"/>
      <w:szCs w:val="16"/>
    </w:rPr>
  </w:style>
  <w:style w:type="character" w:styleId="BookTitle">
    <w:name w:val="Book Title"/>
    <w:basedOn w:val="DefaultParagraphFont"/>
    <w:uiPriority w:val="33"/>
    <w:semiHidden/>
    <w:qFormat/>
    <w:locked/>
    <w:rsid w:val="00372E2B"/>
    <w:rPr>
      <w:b/>
      <w:bCs/>
      <w:smallCaps/>
      <w:noProof w:val="0"/>
      <w:spacing w:val="5"/>
      <w:lang w:val="en-AU"/>
    </w:rPr>
  </w:style>
  <w:style w:type="paragraph" w:styleId="Closing">
    <w:name w:val="Closing"/>
    <w:basedOn w:val="Normal"/>
    <w:link w:val="ClosingChar"/>
    <w:uiPriority w:val="99"/>
    <w:semiHidden/>
    <w:locked/>
    <w:rsid w:val="00372E2B"/>
    <w:pPr>
      <w:spacing w:line="240" w:lineRule="auto"/>
      <w:ind w:left="4252"/>
    </w:pPr>
  </w:style>
  <w:style w:type="character" w:customStyle="1" w:styleId="ClosingChar">
    <w:name w:val="Closing Char"/>
    <w:basedOn w:val="DefaultParagraphFont"/>
    <w:link w:val="Closing"/>
    <w:uiPriority w:val="99"/>
    <w:semiHidden/>
    <w:rsid w:val="00503EBA"/>
  </w:style>
  <w:style w:type="table" w:styleId="ColorfulGrid">
    <w:name w:val="Colorful Grid"/>
    <w:basedOn w:val="TableNormal"/>
    <w:uiPriority w:val="73"/>
    <w:locked/>
    <w:rsid w:val="00372E2B"/>
    <w:pPr>
      <w:spacing w:before="170"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locked/>
    <w:rsid w:val="00372E2B"/>
    <w:pPr>
      <w:spacing w:before="170"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B3FFD6" w:themeFill="accent1" w:themeFillTint="33"/>
    </w:tcPr>
    <w:tblStylePr w:type="firstRow">
      <w:rPr>
        <w:b/>
        <w:bCs/>
      </w:rPr>
      <w:tblPr/>
      <w:tcPr>
        <w:shd w:val="clear" w:color="auto" w:fill="68FFAF" w:themeFill="accent1" w:themeFillTint="66"/>
      </w:tcPr>
    </w:tblStylePr>
    <w:tblStylePr w:type="lastRow">
      <w:rPr>
        <w:b/>
        <w:bCs/>
        <w:color w:val="231F20" w:themeColor="text1"/>
      </w:rPr>
      <w:tblPr/>
      <w:tcPr>
        <w:shd w:val="clear" w:color="auto" w:fill="68FFAF" w:themeFill="accent1" w:themeFillTint="66"/>
      </w:tcPr>
    </w:tblStylePr>
    <w:tblStylePr w:type="firstCol">
      <w:rPr>
        <w:color w:val="FFFFFF" w:themeColor="background1"/>
      </w:rPr>
      <w:tblPr/>
      <w:tcPr>
        <w:shd w:val="clear" w:color="auto" w:fill="00632E" w:themeFill="accent1" w:themeFillShade="BF"/>
      </w:tcPr>
    </w:tblStylePr>
    <w:tblStylePr w:type="lastCol">
      <w:rPr>
        <w:color w:val="FFFFFF" w:themeColor="background1"/>
      </w:rPr>
      <w:tblPr/>
      <w:tcPr>
        <w:shd w:val="clear" w:color="auto" w:fill="00632E" w:themeFill="accent1" w:themeFillShade="BF"/>
      </w:tcPr>
    </w:tblStylePr>
    <w:tblStylePr w:type="band1Vert">
      <w:tblPr/>
      <w:tcPr>
        <w:shd w:val="clear" w:color="auto" w:fill="43FF9B" w:themeFill="accent1" w:themeFillTint="7F"/>
      </w:tcPr>
    </w:tblStylePr>
    <w:tblStylePr w:type="band1Horz">
      <w:tblPr/>
      <w:tcPr>
        <w:shd w:val="clear" w:color="auto" w:fill="43FF9B" w:themeFill="accent1" w:themeFillTint="7F"/>
      </w:tcPr>
    </w:tblStylePr>
  </w:style>
  <w:style w:type="table" w:styleId="ColorfulGrid-Accent2">
    <w:name w:val="Colorful Grid Accent 2"/>
    <w:basedOn w:val="TableNormal"/>
    <w:uiPriority w:val="73"/>
    <w:locked/>
    <w:rsid w:val="00372E2B"/>
    <w:pPr>
      <w:spacing w:before="170"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E8F3D8" w:themeFill="accent2" w:themeFillTint="33"/>
    </w:tcPr>
    <w:tblStylePr w:type="firstRow">
      <w:rPr>
        <w:b/>
        <w:bCs/>
      </w:rPr>
      <w:tblPr/>
      <w:tcPr>
        <w:shd w:val="clear" w:color="auto" w:fill="D1E8B2" w:themeFill="accent2" w:themeFillTint="66"/>
      </w:tcPr>
    </w:tblStylePr>
    <w:tblStylePr w:type="lastRow">
      <w:rPr>
        <w:b/>
        <w:bCs/>
        <w:color w:val="231F20" w:themeColor="text1"/>
      </w:rPr>
      <w:tblPr/>
      <w:tcPr>
        <w:shd w:val="clear" w:color="auto" w:fill="D1E8B2" w:themeFill="accent2" w:themeFillTint="66"/>
      </w:tcPr>
    </w:tblStylePr>
    <w:tblStylePr w:type="firstCol">
      <w:rPr>
        <w:color w:val="FFFFFF" w:themeColor="background1"/>
      </w:rPr>
      <w:tblPr/>
      <w:tcPr>
        <w:shd w:val="clear" w:color="auto" w:fill="69962C" w:themeFill="accent2" w:themeFillShade="BF"/>
      </w:tcPr>
    </w:tblStylePr>
    <w:tblStylePr w:type="lastCol">
      <w:rPr>
        <w:color w:val="FFFFFF" w:themeColor="background1"/>
      </w:rPr>
      <w:tblPr/>
      <w:tcPr>
        <w:shd w:val="clear" w:color="auto" w:fill="69962C" w:themeFill="accent2" w:themeFillShade="BF"/>
      </w:tcPr>
    </w:tblStylePr>
    <w:tblStylePr w:type="band1Vert">
      <w:tblPr/>
      <w:tcPr>
        <w:shd w:val="clear" w:color="auto" w:fill="C6E29F" w:themeFill="accent2" w:themeFillTint="7F"/>
      </w:tcPr>
    </w:tblStylePr>
    <w:tblStylePr w:type="band1Horz">
      <w:tblPr/>
      <w:tcPr>
        <w:shd w:val="clear" w:color="auto" w:fill="C6E29F" w:themeFill="accent2" w:themeFillTint="7F"/>
      </w:tcPr>
    </w:tblStylePr>
  </w:style>
  <w:style w:type="table" w:styleId="ColorfulGrid-Accent3">
    <w:name w:val="Colorful Grid Accent 3"/>
    <w:basedOn w:val="TableNormal"/>
    <w:uiPriority w:val="73"/>
    <w:locked/>
    <w:rsid w:val="00372E2B"/>
    <w:pPr>
      <w:spacing w:before="170"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A6FFCF" w:themeFill="accent3" w:themeFillTint="33"/>
    </w:tcPr>
    <w:tblStylePr w:type="firstRow">
      <w:rPr>
        <w:b/>
        <w:bCs/>
      </w:rPr>
      <w:tblPr/>
      <w:tcPr>
        <w:shd w:val="clear" w:color="auto" w:fill="4DFFA0" w:themeFill="accent3" w:themeFillTint="66"/>
      </w:tcPr>
    </w:tblStylePr>
    <w:tblStylePr w:type="lastRow">
      <w:rPr>
        <w:b/>
        <w:bCs/>
        <w:color w:val="231F20" w:themeColor="text1"/>
      </w:rPr>
      <w:tblPr/>
      <w:tcPr>
        <w:shd w:val="clear" w:color="auto" w:fill="4DFFA0" w:themeFill="accent3" w:themeFillTint="66"/>
      </w:tcPr>
    </w:tblStylePr>
    <w:tblStylePr w:type="firstCol">
      <w:rPr>
        <w:color w:val="FFFFFF" w:themeColor="background1"/>
      </w:rPr>
      <w:tblPr/>
      <w:tcPr>
        <w:shd w:val="clear" w:color="auto" w:fill="003117" w:themeFill="accent3" w:themeFillShade="BF"/>
      </w:tcPr>
    </w:tblStylePr>
    <w:tblStylePr w:type="lastCol">
      <w:rPr>
        <w:color w:val="FFFFFF" w:themeColor="background1"/>
      </w:rPr>
      <w:tblPr/>
      <w:tcPr>
        <w:shd w:val="clear" w:color="auto" w:fill="003117" w:themeFill="accent3" w:themeFillShade="BF"/>
      </w:tcPr>
    </w:tblStylePr>
    <w:tblStylePr w:type="band1Vert">
      <w:tblPr/>
      <w:tcPr>
        <w:shd w:val="clear" w:color="auto" w:fill="21FF88" w:themeFill="accent3" w:themeFillTint="7F"/>
      </w:tcPr>
    </w:tblStylePr>
    <w:tblStylePr w:type="band1Horz">
      <w:tblPr/>
      <w:tcPr>
        <w:shd w:val="clear" w:color="auto" w:fill="21FF88" w:themeFill="accent3" w:themeFillTint="7F"/>
      </w:tcPr>
    </w:tblStylePr>
  </w:style>
  <w:style w:type="table" w:styleId="ColorfulGrid-Accent4">
    <w:name w:val="Colorful Grid Accent 4"/>
    <w:basedOn w:val="TableNormal"/>
    <w:uiPriority w:val="73"/>
    <w:locked/>
    <w:rsid w:val="00372E2B"/>
    <w:pPr>
      <w:spacing w:before="170"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DCEEC3" w:themeFill="accent4" w:themeFillTint="33"/>
    </w:tcPr>
    <w:tblStylePr w:type="firstRow">
      <w:rPr>
        <w:b/>
        <w:bCs/>
      </w:rPr>
      <w:tblPr/>
      <w:tcPr>
        <w:shd w:val="clear" w:color="auto" w:fill="B9DC88" w:themeFill="accent4" w:themeFillTint="66"/>
      </w:tcPr>
    </w:tblStylePr>
    <w:tblStylePr w:type="lastRow">
      <w:rPr>
        <w:b/>
        <w:bCs/>
        <w:color w:val="231F20" w:themeColor="text1"/>
      </w:rPr>
      <w:tblPr/>
      <w:tcPr>
        <w:shd w:val="clear" w:color="auto" w:fill="B9DC88" w:themeFill="accent4" w:themeFillTint="66"/>
      </w:tcPr>
    </w:tblStylePr>
    <w:tblStylePr w:type="firstCol">
      <w:rPr>
        <w:color w:val="FFFFFF" w:themeColor="background1"/>
      </w:rPr>
      <w:tblPr/>
      <w:tcPr>
        <w:shd w:val="clear" w:color="auto" w:fill="344A15" w:themeFill="accent4" w:themeFillShade="BF"/>
      </w:tcPr>
    </w:tblStylePr>
    <w:tblStylePr w:type="lastCol">
      <w:rPr>
        <w:color w:val="FFFFFF" w:themeColor="background1"/>
      </w:rPr>
      <w:tblPr/>
      <w:tcPr>
        <w:shd w:val="clear" w:color="auto" w:fill="344A15" w:themeFill="accent4" w:themeFillShade="BF"/>
      </w:tcPr>
    </w:tblStylePr>
    <w:tblStylePr w:type="band1Vert">
      <w:tblPr/>
      <w:tcPr>
        <w:shd w:val="clear" w:color="auto" w:fill="A8D46B" w:themeFill="accent4" w:themeFillTint="7F"/>
      </w:tcPr>
    </w:tblStylePr>
    <w:tblStylePr w:type="band1Horz">
      <w:tblPr/>
      <w:tcPr>
        <w:shd w:val="clear" w:color="auto" w:fill="A8D46B" w:themeFill="accent4" w:themeFillTint="7F"/>
      </w:tcPr>
    </w:tblStylePr>
  </w:style>
  <w:style w:type="table" w:styleId="ColorfulGrid-Accent5">
    <w:name w:val="Colorful Grid Accent 5"/>
    <w:basedOn w:val="TableNormal"/>
    <w:uiPriority w:val="73"/>
    <w:locked/>
    <w:rsid w:val="00372E2B"/>
    <w:pPr>
      <w:spacing w:before="170"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C1FFDE" w:themeFill="accent5" w:themeFillTint="33"/>
    </w:tcPr>
    <w:tblStylePr w:type="firstRow">
      <w:rPr>
        <w:b/>
        <w:bCs/>
      </w:rPr>
      <w:tblPr/>
      <w:tcPr>
        <w:shd w:val="clear" w:color="auto" w:fill="83FFBD" w:themeFill="accent5" w:themeFillTint="66"/>
      </w:tcPr>
    </w:tblStylePr>
    <w:tblStylePr w:type="lastRow">
      <w:rPr>
        <w:b/>
        <w:bCs/>
        <w:color w:val="231F20" w:themeColor="text1"/>
      </w:rPr>
      <w:tblPr/>
      <w:tcPr>
        <w:shd w:val="clear" w:color="auto" w:fill="83FFBD" w:themeFill="accent5" w:themeFillTint="66"/>
      </w:tcPr>
    </w:tblStylePr>
    <w:tblStylePr w:type="firstCol">
      <w:rPr>
        <w:color w:val="FFFFFF" w:themeColor="background1"/>
      </w:rPr>
      <w:tblPr/>
      <w:tcPr>
        <w:shd w:val="clear" w:color="auto" w:fill="009547" w:themeFill="accent5" w:themeFillShade="BF"/>
      </w:tcPr>
    </w:tblStylePr>
    <w:tblStylePr w:type="lastCol">
      <w:rPr>
        <w:color w:val="FFFFFF" w:themeColor="background1"/>
      </w:rPr>
      <w:tblPr/>
      <w:tcPr>
        <w:shd w:val="clear" w:color="auto" w:fill="009547" w:themeFill="accent5" w:themeFillShade="BF"/>
      </w:tcPr>
    </w:tblStylePr>
    <w:tblStylePr w:type="band1Vert">
      <w:tblPr/>
      <w:tcPr>
        <w:shd w:val="clear" w:color="auto" w:fill="64FFAD" w:themeFill="accent5" w:themeFillTint="7F"/>
      </w:tcPr>
    </w:tblStylePr>
    <w:tblStylePr w:type="band1Horz">
      <w:tblPr/>
      <w:tcPr>
        <w:shd w:val="clear" w:color="auto" w:fill="64FFAD" w:themeFill="accent5" w:themeFillTint="7F"/>
      </w:tcPr>
    </w:tblStylePr>
  </w:style>
  <w:style w:type="table" w:styleId="ColorfulGrid-Accent6">
    <w:name w:val="Colorful Grid Accent 6"/>
    <w:basedOn w:val="TableNormal"/>
    <w:uiPriority w:val="73"/>
    <w:locked/>
    <w:rsid w:val="00372E2B"/>
    <w:pPr>
      <w:spacing w:before="170" w:after="0" w:line="240" w:lineRule="auto"/>
    </w:pPr>
    <w:rPr>
      <w:color w:val="231F20" w:themeColor="text1"/>
    </w:rPr>
    <w:tblPr>
      <w:tblStyleRowBandSize w:val="1"/>
      <w:tblStyleColBandSize w:val="1"/>
      <w:tblBorders>
        <w:insideH w:val="single" w:sz="4" w:space="0" w:color="FFFFFF" w:themeColor="background1"/>
      </w:tblBorders>
    </w:tblPr>
    <w:tcPr>
      <w:shd w:val="clear" w:color="auto" w:fill="F5FAEF" w:themeFill="accent6" w:themeFillTint="33"/>
    </w:tcPr>
    <w:tblStylePr w:type="firstRow">
      <w:rPr>
        <w:b/>
        <w:bCs/>
      </w:rPr>
      <w:tblPr/>
      <w:tcPr>
        <w:shd w:val="clear" w:color="auto" w:fill="ECF5E0" w:themeFill="accent6" w:themeFillTint="66"/>
      </w:tcPr>
    </w:tblStylePr>
    <w:tblStylePr w:type="lastRow">
      <w:rPr>
        <w:b/>
        <w:bCs/>
        <w:color w:val="231F20" w:themeColor="text1"/>
      </w:rPr>
      <w:tblPr/>
      <w:tcPr>
        <w:shd w:val="clear" w:color="auto" w:fill="ECF5E0" w:themeFill="accent6" w:themeFillTint="66"/>
      </w:tcPr>
    </w:tblStylePr>
    <w:tblStylePr w:type="firstCol">
      <w:rPr>
        <w:color w:val="FFFFFF" w:themeColor="background1"/>
      </w:rPr>
      <w:tblPr/>
      <w:tcPr>
        <w:shd w:val="clear" w:color="auto" w:fill="A1D062" w:themeFill="accent6" w:themeFillShade="BF"/>
      </w:tcPr>
    </w:tblStylePr>
    <w:tblStylePr w:type="lastCol">
      <w:rPr>
        <w:color w:val="FFFFFF" w:themeColor="background1"/>
      </w:rPr>
      <w:tblPr/>
      <w:tcPr>
        <w:shd w:val="clear" w:color="auto" w:fill="A1D062" w:themeFill="accent6" w:themeFillShade="BF"/>
      </w:tcPr>
    </w:tblStylePr>
    <w:tblStylePr w:type="band1Vert">
      <w:tblPr/>
      <w:tcPr>
        <w:shd w:val="clear" w:color="auto" w:fill="E7F3D8" w:themeFill="accent6" w:themeFillTint="7F"/>
      </w:tcPr>
    </w:tblStylePr>
    <w:tblStylePr w:type="band1Horz">
      <w:tblPr/>
      <w:tcPr>
        <w:shd w:val="clear" w:color="auto" w:fill="E7F3D8" w:themeFill="accent6" w:themeFillTint="7F"/>
      </w:tcPr>
    </w:tblStylePr>
  </w:style>
  <w:style w:type="table" w:styleId="ColorfulList">
    <w:name w:val="Colorful List"/>
    <w:basedOn w:val="TableNormal"/>
    <w:uiPriority w:val="72"/>
    <w:locked/>
    <w:rsid w:val="00372E2B"/>
    <w:pPr>
      <w:spacing w:before="170" w:after="0"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70A02F" w:themeFill="accent2" w:themeFillShade="CC"/>
      </w:tcPr>
    </w:tblStylePr>
    <w:tblStylePr w:type="lastRow">
      <w:rPr>
        <w:b/>
        <w:bCs/>
        <w:color w:val="70A02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locked/>
    <w:rsid w:val="00372E2B"/>
    <w:pPr>
      <w:spacing w:before="170" w:after="0" w:line="240" w:lineRule="auto"/>
    </w:pPr>
    <w:rPr>
      <w:color w:val="231F20" w:themeColor="text1"/>
    </w:rPr>
    <w:tblPr>
      <w:tblStyleRowBandSize w:val="1"/>
      <w:tblStyleColBandSize w:val="1"/>
    </w:tblPr>
    <w:tcPr>
      <w:shd w:val="clear" w:color="auto" w:fill="DAFFEB" w:themeFill="accent1" w:themeFillTint="19"/>
    </w:tcPr>
    <w:tblStylePr w:type="firstRow">
      <w:rPr>
        <w:b/>
        <w:bCs/>
        <w:color w:val="FFFFFF" w:themeColor="background1"/>
      </w:rPr>
      <w:tblPr/>
      <w:tcPr>
        <w:tcBorders>
          <w:bottom w:val="single" w:sz="12" w:space="0" w:color="FFFFFF" w:themeColor="background1"/>
        </w:tcBorders>
        <w:shd w:val="clear" w:color="auto" w:fill="70A02F" w:themeFill="accent2" w:themeFillShade="CC"/>
      </w:tcPr>
    </w:tblStylePr>
    <w:tblStylePr w:type="lastRow">
      <w:rPr>
        <w:b/>
        <w:bCs/>
        <w:color w:val="70A02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FFCD" w:themeFill="accent1" w:themeFillTint="3F"/>
      </w:tcPr>
    </w:tblStylePr>
    <w:tblStylePr w:type="band1Horz">
      <w:tblPr/>
      <w:tcPr>
        <w:shd w:val="clear" w:color="auto" w:fill="B3FFD6" w:themeFill="accent1" w:themeFillTint="33"/>
      </w:tcPr>
    </w:tblStylePr>
  </w:style>
  <w:style w:type="table" w:styleId="ColorfulList-Accent2">
    <w:name w:val="Colorful List Accent 2"/>
    <w:basedOn w:val="TableNormal"/>
    <w:uiPriority w:val="72"/>
    <w:locked/>
    <w:rsid w:val="00372E2B"/>
    <w:pPr>
      <w:spacing w:before="170" w:after="0" w:line="240" w:lineRule="auto"/>
    </w:pPr>
    <w:rPr>
      <w:color w:val="231F20" w:themeColor="text1"/>
    </w:rPr>
    <w:tblPr>
      <w:tblStyleRowBandSize w:val="1"/>
      <w:tblStyleColBandSize w:val="1"/>
    </w:tblPr>
    <w:tcPr>
      <w:shd w:val="clear" w:color="auto" w:fill="F3F9EB" w:themeFill="accent2" w:themeFillTint="19"/>
    </w:tcPr>
    <w:tblStylePr w:type="firstRow">
      <w:rPr>
        <w:b/>
        <w:bCs/>
        <w:color w:val="FFFFFF" w:themeColor="background1"/>
      </w:rPr>
      <w:tblPr/>
      <w:tcPr>
        <w:tcBorders>
          <w:bottom w:val="single" w:sz="12" w:space="0" w:color="FFFFFF" w:themeColor="background1"/>
        </w:tcBorders>
        <w:shd w:val="clear" w:color="auto" w:fill="70A02F" w:themeFill="accent2" w:themeFillShade="CC"/>
      </w:tcPr>
    </w:tblStylePr>
    <w:tblStylePr w:type="lastRow">
      <w:rPr>
        <w:b/>
        <w:bCs/>
        <w:color w:val="70A02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1CF" w:themeFill="accent2" w:themeFillTint="3F"/>
      </w:tcPr>
    </w:tblStylePr>
    <w:tblStylePr w:type="band1Horz">
      <w:tblPr/>
      <w:tcPr>
        <w:shd w:val="clear" w:color="auto" w:fill="E8F3D8" w:themeFill="accent2" w:themeFillTint="33"/>
      </w:tcPr>
    </w:tblStylePr>
  </w:style>
  <w:style w:type="table" w:styleId="ColorfulList-Accent3">
    <w:name w:val="Colorful List Accent 3"/>
    <w:basedOn w:val="TableNormal"/>
    <w:uiPriority w:val="72"/>
    <w:locked/>
    <w:rsid w:val="00372E2B"/>
    <w:pPr>
      <w:spacing w:before="170" w:after="0" w:line="240" w:lineRule="auto"/>
    </w:pPr>
    <w:rPr>
      <w:color w:val="231F20" w:themeColor="text1"/>
    </w:rPr>
    <w:tblPr>
      <w:tblStyleRowBandSize w:val="1"/>
      <w:tblStyleColBandSize w:val="1"/>
    </w:tblPr>
    <w:tcPr>
      <w:shd w:val="clear" w:color="auto" w:fill="D3FFE7" w:themeFill="accent3" w:themeFillTint="19"/>
    </w:tcPr>
    <w:tblStylePr w:type="firstRow">
      <w:rPr>
        <w:b/>
        <w:bCs/>
        <w:color w:val="FFFFFF" w:themeColor="background1"/>
      </w:rPr>
      <w:tblPr/>
      <w:tcPr>
        <w:tcBorders>
          <w:bottom w:val="single" w:sz="12" w:space="0" w:color="FFFFFF" w:themeColor="background1"/>
        </w:tcBorders>
        <w:shd w:val="clear" w:color="auto" w:fill="374F17" w:themeFill="accent4" w:themeFillShade="CC"/>
      </w:tcPr>
    </w:tblStylePr>
    <w:tblStylePr w:type="lastRow">
      <w:rPr>
        <w:b/>
        <w:bCs/>
        <w:color w:val="374F17"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FFC4" w:themeFill="accent3" w:themeFillTint="3F"/>
      </w:tcPr>
    </w:tblStylePr>
    <w:tblStylePr w:type="band1Horz">
      <w:tblPr/>
      <w:tcPr>
        <w:shd w:val="clear" w:color="auto" w:fill="A6FFCF" w:themeFill="accent3" w:themeFillTint="33"/>
      </w:tcPr>
    </w:tblStylePr>
  </w:style>
  <w:style w:type="table" w:styleId="ColorfulList-Accent4">
    <w:name w:val="Colorful List Accent 4"/>
    <w:basedOn w:val="TableNormal"/>
    <w:uiPriority w:val="72"/>
    <w:locked/>
    <w:rsid w:val="00372E2B"/>
    <w:pPr>
      <w:spacing w:before="170" w:after="0" w:line="240" w:lineRule="auto"/>
    </w:pPr>
    <w:rPr>
      <w:color w:val="231F20" w:themeColor="text1"/>
    </w:rPr>
    <w:tblPr>
      <w:tblStyleRowBandSize w:val="1"/>
      <w:tblStyleColBandSize w:val="1"/>
    </w:tblPr>
    <w:tcPr>
      <w:shd w:val="clear" w:color="auto" w:fill="EDF6E1" w:themeFill="accent4" w:themeFillTint="19"/>
    </w:tcPr>
    <w:tblStylePr w:type="firstRow">
      <w:rPr>
        <w:b/>
        <w:bCs/>
        <w:color w:val="FFFFFF" w:themeColor="background1"/>
      </w:rPr>
      <w:tblPr/>
      <w:tcPr>
        <w:tcBorders>
          <w:bottom w:val="single" w:sz="12" w:space="0" w:color="FFFFFF" w:themeColor="background1"/>
        </w:tcBorders>
        <w:shd w:val="clear" w:color="auto" w:fill="003418" w:themeFill="accent3" w:themeFillShade="CC"/>
      </w:tcPr>
    </w:tblStylePr>
    <w:tblStylePr w:type="lastRow">
      <w:rPr>
        <w:b/>
        <w:bCs/>
        <w:color w:val="003418"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9B5" w:themeFill="accent4" w:themeFillTint="3F"/>
      </w:tcPr>
    </w:tblStylePr>
    <w:tblStylePr w:type="band1Horz">
      <w:tblPr/>
      <w:tcPr>
        <w:shd w:val="clear" w:color="auto" w:fill="DCEEC3" w:themeFill="accent4" w:themeFillTint="33"/>
      </w:tcPr>
    </w:tblStylePr>
  </w:style>
  <w:style w:type="table" w:styleId="ColorfulList-Accent5">
    <w:name w:val="Colorful List Accent 5"/>
    <w:basedOn w:val="TableNormal"/>
    <w:uiPriority w:val="72"/>
    <w:locked/>
    <w:rsid w:val="00372E2B"/>
    <w:pPr>
      <w:spacing w:before="170" w:after="0" w:line="240" w:lineRule="auto"/>
    </w:pPr>
    <w:rPr>
      <w:color w:val="231F20" w:themeColor="text1"/>
    </w:rPr>
    <w:tblPr>
      <w:tblStyleRowBandSize w:val="1"/>
      <w:tblStyleColBandSize w:val="1"/>
    </w:tblPr>
    <w:tcPr>
      <w:shd w:val="clear" w:color="auto" w:fill="E0FFEE" w:themeFill="accent5" w:themeFillTint="19"/>
    </w:tcPr>
    <w:tblStylePr w:type="firstRow">
      <w:rPr>
        <w:b/>
        <w:bCs/>
        <w:color w:val="FFFFFF" w:themeColor="background1"/>
      </w:rPr>
      <w:tblPr/>
      <w:tcPr>
        <w:tcBorders>
          <w:bottom w:val="single" w:sz="12" w:space="0" w:color="FFFFFF" w:themeColor="background1"/>
        </w:tcBorders>
        <w:shd w:val="clear" w:color="auto" w:fill="ABD572" w:themeFill="accent6" w:themeFillShade="CC"/>
      </w:tcPr>
    </w:tblStylePr>
    <w:tblStylePr w:type="lastRow">
      <w:rPr>
        <w:b/>
        <w:bCs/>
        <w:color w:val="ABD572"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FD6" w:themeFill="accent5" w:themeFillTint="3F"/>
      </w:tcPr>
    </w:tblStylePr>
    <w:tblStylePr w:type="band1Horz">
      <w:tblPr/>
      <w:tcPr>
        <w:shd w:val="clear" w:color="auto" w:fill="C1FFDE" w:themeFill="accent5" w:themeFillTint="33"/>
      </w:tcPr>
    </w:tblStylePr>
  </w:style>
  <w:style w:type="table" w:styleId="ColorfulList-Accent6">
    <w:name w:val="Colorful List Accent 6"/>
    <w:basedOn w:val="TableNormal"/>
    <w:uiPriority w:val="72"/>
    <w:locked/>
    <w:rsid w:val="00372E2B"/>
    <w:pPr>
      <w:spacing w:before="170" w:after="0" w:line="240" w:lineRule="auto"/>
    </w:pPr>
    <w:rPr>
      <w:color w:val="231F20" w:themeColor="text1"/>
    </w:rPr>
    <w:tblPr>
      <w:tblStyleRowBandSize w:val="1"/>
      <w:tblStyleColBandSize w:val="1"/>
    </w:tblPr>
    <w:tcPr>
      <w:shd w:val="clear" w:color="auto" w:fill="FAFCF7" w:themeFill="accent6" w:themeFillTint="19"/>
    </w:tcPr>
    <w:tblStylePr w:type="firstRow">
      <w:rPr>
        <w:b/>
        <w:bCs/>
        <w:color w:val="FFFFFF" w:themeColor="background1"/>
      </w:rPr>
      <w:tblPr/>
      <w:tcPr>
        <w:tcBorders>
          <w:bottom w:val="single" w:sz="12" w:space="0" w:color="FFFFFF" w:themeColor="background1"/>
        </w:tcBorders>
        <w:shd w:val="clear" w:color="auto" w:fill="00A04B" w:themeFill="accent5" w:themeFillShade="CC"/>
      </w:tcPr>
    </w:tblStylePr>
    <w:tblStylePr w:type="lastRow">
      <w:rPr>
        <w:b/>
        <w:bCs/>
        <w:color w:val="00A04B"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9EB" w:themeFill="accent6" w:themeFillTint="3F"/>
      </w:tcPr>
    </w:tblStylePr>
    <w:tblStylePr w:type="band1Horz">
      <w:tblPr/>
      <w:tcPr>
        <w:shd w:val="clear" w:color="auto" w:fill="F5FAEF" w:themeFill="accent6" w:themeFillTint="33"/>
      </w:tcPr>
    </w:tblStylePr>
  </w:style>
  <w:style w:type="table" w:styleId="ColorfulShading">
    <w:name w:val="Colorful Shading"/>
    <w:basedOn w:val="TableNormal"/>
    <w:uiPriority w:val="71"/>
    <w:locked/>
    <w:rsid w:val="00372E2B"/>
    <w:pPr>
      <w:spacing w:before="170" w:after="0" w:line="240" w:lineRule="auto"/>
    </w:pPr>
    <w:rPr>
      <w:color w:val="231F20" w:themeColor="text1"/>
    </w:rPr>
    <w:tblPr>
      <w:tblStyleRowBandSize w:val="1"/>
      <w:tblStyleColBandSize w:val="1"/>
      <w:tblBorders>
        <w:top w:val="single" w:sz="24" w:space="0" w:color="8DC63F"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8DC6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locked/>
    <w:rsid w:val="00372E2B"/>
    <w:pPr>
      <w:spacing w:before="170" w:after="0" w:line="240" w:lineRule="auto"/>
    </w:pPr>
    <w:rPr>
      <w:color w:val="231F20" w:themeColor="text1"/>
    </w:rPr>
    <w:tblPr>
      <w:tblStyleRowBandSize w:val="1"/>
      <w:tblStyleColBandSize w:val="1"/>
      <w:tblBorders>
        <w:top w:val="single" w:sz="24" w:space="0" w:color="8DC63F" w:themeColor="accent2"/>
        <w:left w:val="single" w:sz="4" w:space="0" w:color="00853F" w:themeColor="accent1"/>
        <w:bottom w:val="single" w:sz="4" w:space="0" w:color="00853F" w:themeColor="accent1"/>
        <w:right w:val="single" w:sz="4" w:space="0" w:color="00853F" w:themeColor="accent1"/>
        <w:insideH w:val="single" w:sz="4" w:space="0" w:color="FFFFFF" w:themeColor="background1"/>
        <w:insideV w:val="single" w:sz="4" w:space="0" w:color="FFFFFF" w:themeColor="background1"/>
      </w:tblBorders>
    </w:tblPr>
    <w:tcPr>
      <w:shd w:val="clear" w:color="auto" w:fill="DAFFEB" w:themeFill="accent1" w:themeFillTint="19"/>
    </w:tcPr>
    <w:tblStylePr w:type="firstRow">
      <w:rPr>
        <w:b/>
        <w:bCs/>
      </w:rPr>
      <w:tblPr/>
      <w:tcPr>
        <w:tcBorders>
          <w:top w:val="nil"/>
          <w:left w:val="nil"/>
          <w:bottom w:val="single" w:sz="24" w:space="0" w:color="8DC6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F25" w:themeFill="accent1" w:themeFillShade="99"/>
      </w:tcPr>
    </w:tblStylePr>
    <w:tblStylePr w:type="firstCol">
      <w:rPr>
        <w:color w:val="FFFFFF" w:themeColor="background1"/>
      </w:rPr>
      <w:tblPr/>
      <w:tcPr>
        <w:tcBorders>
          <w:top w:val="nil"/>
          <w:left w:val="nil"/>
          <w:bottom w:val="nil"/>
          <w:right w:val="nil"/>
          <w:insideH w:val="single" w:sz="4" w:space="0" w:color="004F25" w:themeColor="accent1" w:themeShade="99"/>
          <w:insideV w:val="nil"/>
        </w:tcBorders>
        <w:shd w:val="clear" w:color="auto" w:fill="004F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F25" w:themeFill="accent1" w:themeFillShade="99"/>
      </w:tcPr>
    </w:tblStylePr>
    <w:tblStylePr w:type="band1Vert">
      <w:tblPr/>
      <w:tcPr>
        <w:shd w:val="clear" w:color="auto" w:fill="68FFAF" w:themeFill="accent1" w:themeFillTint="66"/>
      </w:tcPr>
    </w:tblStylePr>
    <w:tblStylePr w:type="band1Horz">
      <w:tblPr/>
      <w:tcPr>
        <w:shd w:val="clear" w:color="auto" w:fill="43FF9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locked/>
    <w:rsid w:val="00372E2B"/>
    <w:pPr>
      <w:spacing w:before="170" w:after="0" w:line="240" w:lineRule="auto"/>
    </w:pPr>
    <w:rPr>
      <w:color w:val="231F20" w:themeColor="text1"/>
    </w:rPr>
    <w:tblPr>
      <w:tblStyleRowBandSize w:val="1"/>
      <w:tblStyleColBandSize w:val="1"/>
      <w:tblBorders>
        <w:top w:val="single" w:sz="24" w:space="0" w:color="8DC63F" w:themeColor="accent2"/>
        <w:left w:val="single" w:sz="4" w:space="0" w:color="8DC63F" w:themeColor="accent2"/>
        <w:bottom w:val="single" w:sz="4" w:space="0" w:color="8DC63F" w:themeColor="accent2"/>
        <w:right w:val="single" w:sz="4" w:space="0" w:color="8DC63F" w:themeColor="accent2"/>
        <w:insideH w:val="single" w:sz="4" w:space="0" w:color="FFFFFF" w:themeColor="background1"/>
        <w:insideV w:val="single" w:sz="4" w:space="0" w:color="FFFFFF" w:themeColor="background1"/>
      </w:tblBorders>
    </w:tblPr>
    <w:tcPr>
      <w:shd w:val="clear" w:color="auto" w:fill="F3F9EB" w:themeFill="accent2" w:themeFillTint="19"/>
    </w:tcPr>
    <w:tblStylePr w:type="firstRow">
      <w:rPr>
        <w:b/>
        <w:bCs/>
      </w:rPr>
      <w:tblPr/>
      <w:tcPr>
        <w:tcBorders>
          <w:top w:val="nil"/>
          <w:left w:val="nil"/>
          <w:bottom w:val="single" w:sz="24" w:space="0" w:color="8DC6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7823" w:themeFill="accent2" w:themeFillShade="99"/>
      </w:tcPr>
    </w:tblStylePr>
    <w:tblStylePr w:type="firstCol">
      <w:rPr>
        <w:color w:val="FFFFFF" w:themeColor="background1"/>
      </w:rPr>
      <w:tblPr/>
      <w:tcPr>
        <w:tcBorders>
          <w:top w:val="nil"/>
          <w:left w:val="nil"/>
          <w:bottom w:val="nil"/>
          <w:right w:val="nil"/>
          <w:insideH w:val="single" w:sz="4" w:space="0" w:color="547823" w:themeColor="accent2" w:themeShade="99"/>
          <w:insideV w:val="nil"/>
        </w:tcBorders>
        <w:shd w:val="clear" w:color="auto" w:fill="54782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47823" w:themeFill="accent2" w:themeFillShade="99"/>
      </w:tcPr>
    </w:tblStylePr>
    <w:tblStylePr w:type="band1Vert">
      <w:tblPr/>
      <w:tcPr>
        <w:shd w:val="clear" w:color="auto" w:fill="D1E8B2" w:themeFill="accent2" w:themeFillTint="66"/>
      </w:tcPr>
    </w:tblStylePr>
    <w:tblStylePr w:type="band1Horz">
      <w:tblPr/>
      <w:tcPr>
        <w:shd w:val="clear" w:color="auto" w:fill="C6E29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locked/>
    <w:rsid w:val="00372E2B"/>
    <w:pPr>
      <w:spacing w:before="170" w:after="0" w:line="240" w:lineRule="auto"/>
    </w:pPr>
    <w:rPr>
      <w:color w:val="231F20" w:themeColor="text1"/>
    </w:rPr>
    <w:tblPr>
      <w:tblStyleRowBandSize w:val="1"/>
      <w:tblStyleColBandSize w:val="1"/>
      <w:tblBorders>
        <w:top w:val="single" w:sz="24" w:space="0" w:color="46641D" w:themeColor="accent4"/>
        <w:left w:val="single" w:sz="4" w:space="0" w:color="00421F" w:themeColor="accent3"/>
        <w:bottom w:val="single" w:sz="4" w:space="0" w:color="00421F" w:themeColor="accent3"/>
        <w:right w:val="single" w:sz="4" w:space="0" w:color="00421F" w:themeColor="accent3"/>
        <w:insideH w:val="single" w:sz="4" w:space="0" w:color="FFFFFF" w:themeColor="background1"/>
        <w:insideV w:val="single" w:sz="4" w:space="0" w:color="FFFFFF" w:themeColor="background1"/>
      </w:tblBorders>
    </w:tblPr>
    <w:tcPr>
      <w:shd w:val="clear" w:color="auto" w:fill="D3FFE7" w:themeFill="accent3" w:themeFillTint="19"/>
    </w:tcPr>
    <w:tblStylePr w:type="firstRow">
      <w:rPr>
        <w:b/>
        <w:bCs/>
      </w:rPr>
      <w:tblPr/>
      <w:tcPr>
        <w:tcBorders>
          <w:top w:val="nil"/>
          <w:left w:val="nil"/>
          <w:bottom w:val="single" w:sz="24" w:space="0" w:color="46641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12" w:themeFill="accent3" w:themeFillShade="99"/>
      </w:tcPr>
    </w:tblStylePr>
    <w:tblStylePr w:type="firstCol">
      <w:rPr>
        <w:color w:val="FFFFFF" w:themeColor="background1"/>
      </w:rPr>
      <w:tblPr/>
      <w:tcPr>
        <w:tcBorders>
          <w:top w:val="nil"/>
          <w:left w:val="nil"/>
          <w:bottom w:val="nil"/>
          <w:right w:val="nil"/>
          <w:insideH w:val="single" w:sz="4" w:space="0" w:color="002712" w:themeColor="accent3" w:themeShade="99"/>
          <w:insideV w:val="nil"/>
        </w:tcBorders>
        <w:shd w:val="clear" w:color="auto" w:fill="00271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2712" w:themeFill="accent3" w:themeFillShade="99"/>
      </w:tcPr>
    </w:tblStylePr>
    <w:tblStylePr w:type="band1Vert">
      <w:tblPr/>
      <w:tcPr>
        <w:shd w:val="clear" w:color="auto" w:fill="4DFFA0" w:themeFill="accent3" w:themeFillTint="66"/>
      </w:tcPr>
    </w:tblStylePr>
    <w:tblStylePr w:type="band1Horz">
      <w:tblPr/>
      <w:tcPr>
        <w:shd w:val="clear" w:color="auto" w:fill="21FF88" w:themeFill="accent3" w:themeFillTint="7F"/>
      </w:tcPr>
    </w:tblStylePr>
  </w:style>
  <w:style w:type="table" w:styleId="ColorfulShading-Accent4">
    <w:name w:val="Colorful Shading Accent 4"/>
    <w:basedOn w:val="TableNormal"/>
    <w:uiPriority w:val="71"/>
    <w:locked/>
    <w:rsid w:val="00372E2B"/>
    <w:pPr>
      <w:spacing w:before="170" w:after="0" w:line="240" w:lineRule="auto"/>
    </w:pPr>
    <w:rPr>
      <w:color w:val="231F20" w:themeColor="text1"/>
    </w:rPr>
    <w:tblPr>
      <w:tblStyleRowBandSize w:val="1"/>
      <w:tblStyleColBandSize w:val="1"/>
      <w:tblBorders>
        <w:top w:val="single" w:sz="24" w:space="0" w:color="00421F" w:themeColor="accent3"/>
        <w:left w:val="single" w:sz="4" w:space="0" w:color="46641D" w:themeColor="accent4"/>
        <w:bottom w:val="single" w:sz="4" w:space="0" w:color="46641D" w:themeColor="accent4"/>
        <w:right w:val="single" w:sz="4" w:space="0" w:color="46641D" w:themeColor="accent4"/>
        <w:insideH w:val="single" w:sz="4" w:space="0" w:color="FFFFFF" w:themeColor="background1"/>
        <w:insideV w:val="single" w:sz="4" w:space="0" w:color="FFFFFF" w:themeColor="background1"/>
      </w:tblBorders>
    </w:tblPr>
    <w:tcPr>
      <w:shd w:val="clear" w:color="auto" w:fill="EDF6E1" w:themeFill="accent4" w:themeFillTint="19"/>
    </w:tcPr>
    <w:tblStylePr w:type="firstRow">
      <w:rPr>
        <w:b/>
        <w:bCs/>
      </w:rPr>
      <w:tblPr/>
      <w:tcPr>
        <w:tcBorders>
          <w:top w:val="nil"/>
          <w:left w:val="nil"/>
          <w:bottom w:val="single" w:sz="24" w:space="0" w:color="0042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3B11" w:themeFill="accent4" w:themeFillShade="99"/>
      </w:tcPr>
    </w:tblStylePr>
    <w:tblStylePr w:type="firstCol">
      <w:rPr>
        <w:color w:val="FFFFFF" w:themeColor="background1"/>
      </w:rPr>
      <w:tblPr/>
      <w:tcPr>
        <w:tcBorders>
          <w:top w:val="nil"/>
          <w:left w:val="nil"/>
          <w:bottom w:val="nil"/>
          <w:right w:val="nil"/>
          <w:insideH w:val="single" w:sz="4" w:space="0" w:color="293B11" w:themeColor="accent4" w:themeShade="99"/>
          <w:insideV w:val="nil"/>
        </w:tcBorders>
        <w:shd w:val="clear" w:color="auto" w:fill="293B1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93B11" w:themeFill="accent4" w:themeFillShade="99"/>
      </w:tcPr>
    </w:tblStylePr>
    <w:tblStylePr w:type="band1Vert">
      <w:tblPr/>
      <w:tcPr>
        <w:shd w:val="clear" w:color="auto" w:fill="B9DC88" w:themeFill="accent4" w:themeFillTint="66"/>
      </w:tcPr>
    </w:tblStylePr>
    <w:tblStylePr w:type="band1Horz">
      <w:tblPr/>
      <w:tcPr>
        <w:shd w:val="clear" w:color="auto" w:fill="A8D46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locked/>
    <w:rsid w:val="00372E2B"/>
    <w:pPr>
      <w:spacing w:before="170" w:after="0" w:line="240" w:lineRule="auto"/>
    </w:pPr>
    <w:rPr>
      <w:color w:val="231F20" w:themeColor="text1"/>
    </w:rPr>
    <w:tblPr>
      <w:tblStyleRowBandSize w:val="1"/>
      <w:tblStyleColBandSize w:val="1"/>
      <w:tblBorders>
        <w:top w:val="single" w:sz="24" w:space="0" w:color="D1E8B2" w:themeColor="accent6"/>
        <w:left w:val="single" w:sz="4" w:space="0" w:color="00C85F" w:themeColor="accent5"/>
        <w:bottom w:val="single" w:sz="4" w:space="0" w:color="00C85F" w:themeColor="accent5"/>
        <w:right w:val="single" w:sz="4" w:space="0" w:color="00C85F" w:themeColor="accent5"/>
        <w:insideH w:val="single" w:sz="4" w:space="0" w:color="FFFFFF" w:themeColor="background1"/>
        <w:insideV w:val="single" w:sz="4" w:space="0" w:color="FFFFFF" w:themeColor="background1"/>
      </w:tblBorders>
    </w:tblPr>
    <w:tcPr>
      <w:shd w:val="clear" w:color="auto" w:fill="E0FFEE" w:themeFill="accent5" w:themeFillTint="19"/>
    </w:tcPr>
    <w:tblStylePr w:type="firstRow">
      <w:rPr>
        <w:b/>
        <w:bCs/>
      </w:rPr>
      <w:tblPr/>
      <w:tcPr>
        <w:tcBorders>
          <w:top w:val="nil"/>
          <w:left w:val="nil"/>
          <w:bottom w:val="single" w:sz="24" w:space="0" w:color="D1E8B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838" w:themeFill="accent5" w:themeFillShade="99"/>
      </w:tcPr>
    </w:tblStylePr>
    <w:tblStylePr w:type="firstCol">
      <w:rPr>
        <w:color w:val="FFFFFF" w:themeColor="background1"/>
      </w:rPr>
      <w:tblPr/>
      <w:tcPr>
        <w:tcBorders>
          <w:top w:val="nil"/>
          <w:left w:val="nil"/>
          <w:bottom w:val="nil"/>
          <w:right w:val="nil"/>
          <w:insideH w:val="single" w:sz="4" w:space="0" w:color="007838" w:themeColor="accent5" w:themeShade="99"/>
          <w:insideV w:val="nil"/>
        </w:tcBorders>
        <w:shd w:val="clear" w:color="auto" w:fill="00783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7838" w:themeFill="accent5" w:themeFillShade="99"/>
      </w:tcPr>
    </w:tblStylePr>
    <w:tblStylePr w:type="band1Vert">
      <w:tblPr/>
      <w:tcPr>
        <w:shd w:val="clear" w:color="auto" w:fill="83FFBD" w:themeFill="accent5" w:themeFillTint="66"/>
      </w:tcPr>
    </w:tblStylePr>
    <w:tblStylePr w:type="band1Horz">
      <w:tblPr/>
      <w:tcPr>
        <w:shd w:val="clear" w:color="auto" w:fill="64FFAD"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locked/>
    <w:rsid w:val="00372E2B"/>
    <w:pPr>
      <w:spacing w:before="170" w:after="0" w:line="240" w:lineRule="auto"/>
    </w:pPr>
    <w:rPr>
      <w:color w:val="231F20" w:themeColor="text1"/>
    </w:rPr>
    <w:tblPr>
      <w:tblStyleRowBandSize w:val="1"/>
      <w:tblStyleColBandSize w:val="1"/>
      <w:tblBorders>
        <w:top w:val="single" w:sz="24" w:space="0" w:color="00C85F" w:themeColor="accent5"/>
        <w:left w:val="single" w:sz="4" w:space="0" w:color="D1E8B2" w:themeColor="accent6"/>
        <w:bottom w:val="single" w:sz="4" w:space="0" w:color="D1E8B2" w:themeColor="accent6"/>
        <w:right w:val="single" w:sz="4" w:space="0" w:color="D1E8B2" w:themeColor="accent6"/>
        <w:insideH w:val="single" w:sz="4" w:space="0" w:color="FFFFFF" w:themeColor="background1"/>
        <w:insideV w:val="single" w:sz="4" w:space="0" w:color="FFFFFF" w:themeColor="background1"/>
      </w:tblBorders>
    </w:tblPr>
    <w:tcPr>
      <w:shd w:val="clear" w:color="auto" w:fill="FAFCF7" w:themeFill="accent6" w:themeFillTint="19"/>
    </w:tcPr>
    <w:tblStylePr w:type="firstRow">
      <w:rPr>
        <w:b/>
        <w:bCs/>
      </w:rPr>
      <w:tblPr/>
      <w:tcPr>
        <w:tcBorders>
          <w:top w:val="nil"/>
          <w:left w:val="nil"/>
          <w:bottom w:val="single" w:sz="24" w:space="0" w:color="00C8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BD38" w:themeFill="accent6" w:themeFillShade="99"/>
      </w:tcPr>
    </w:tblStylePr>
    <w:tblStylePr w:type="firstCol">
      <w:rPr>
        <w:color w:val="FFFFFF" w:themeColor="background1"/>
      </w:rPr>
      <w:tblPr/>
      <w:tcPr>
        <w:tcBorders>
          <w:top w:val="nil"/>
          <w:left w:val="nil"/>
          <w:bottom w:val="nil"/>
          <w:right w:val="nil"/>
          <w:insideH w:val="single" w:sz="4" w:space="0" w:color="84BD38" w:themeColor="accent6" w:themeShade="99"/>
          <w:insideV w:val="nil"/>
        </w:tcBorders>
        <w:shd w:val="clear" w:color="auto" w:fill="84BD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4BD38" w:themeFill="accent6" w:themeFillShade="99"/>
      </w:tcPr>
    </w:tblStylePr>
    <w:tblStylePr w:type="band1Vert">
      <w:tblPr/>
      <w:tcPr>
        <w:shd w:val="clear" w:color="auto" w:fill="ECF5E0" w:themeFill="accent6" w:themeFillTint="66"/>
      </w:tcPr>
    </w:tblStylePr>
    <w:tblStylePr w:type="band1Horz">
      <w:tblPr/>
      <w:tcPr>
        <w:shd w:val="clear" w:color="auto" w:fill="E7F3D8" w:themeFill="accent6" w:themeFillTint="7F"/>
      </w:tcPr>
    </w:tblStylePr>
    <w:tblStylePr w:type="neCell">
      <w:rPr>
        <w:color w:val="231F20" w:themeColor="text1"/>
      </w:rPr>
    </w:tblStylePr>
    <w:tblStylePr w:type="nwCell">
      <w:rPr>
        <w:color w:val="231F20" w:themeColor="text1"/>
      </w:rPr>
    </w:tblStylePr>
  </w:style>
  <w:style w:type="character" w:styleId="CommentReference">
    <w:name w:val="annotation reference"/>
    <w:basedOn w:val="DefaultParagraphFont"/>
    <w:uiPriority w:val="99"/>
    <w:semiHidden/>
    <w:locked/>
    <w:rsid w:val="00372E2B"/>
    <w:rPr>
      <w:noProof w:val="0"/>
      <w:sz w:val="16"/>
      <w:szCs w:val="16"/>
      <w:lang w:val="en-AU"/>
    </w:rPr>
  </w:style>
  <w:style w:type="paragraph" w:styleId="CommentText">
    <w:name w:val="annotation text"/>
    <w:basedOn w:val="Normal"/>
    <w:link w:val="CommentTextChar"/>
    <w:uiPriority w:val="99"/>
    <w:semiHidden/>
    <w:locked/>
    <w:rsid w:val="00372E2B"/>
    <w:pPr>
      <w:spacing w:line="240" w:lineRule="auto"/>
    </w:pPr>
    <w:rPr>
      <w:sz w:val="20"/>
      <w:szCs w:val="20"/>
    </w:rPr>
  </w:style>
  <w:style w:type="character" w:customStyle="1" w:styleId="CommentTextChar">
    <w:name w:val="Comment Text Char"/>
    <w:basedOn w:val="DefaultParagraphFont"/>
    <w:link w:val="CommentText"/>
    <w:uiPriority w:val="99"/>
    <w:semiHidden/>
    <w:rsid w:val="00503EBA"/>
    <w:rPr>
      <w:sz w:val="20"/>
      <w:szCs w:val="20"/>
    </w:rPr>
  </w:style>
  <w:style w:type="paragraph" w:styleId="CommentSubject">
    <w:name w:val="annotation subject"/>
    <w:basedOn w:val="CommentText"/>
    <w:next w:val="CommentText"/>
    <w:link w:val="CommentSubjectChar"/>
    <w:uiPriority w:val="99"/>
    <w:semiHidden/>
    <w:locked/>
    <w:rsid w:val="00372E2B"/>
    <w:rPr>
      <w:b/>
      <w:bCs/>
    </w:rPr>
  </w:style>
  <w:style w:type="character" w:customStyle="1" w:styleId="CommentSubjectChar">
    <w:name w:val="Comment Subject Char"/>
    <w:basedOn w:val="CommentTextChar"/>
    <w:link w:val="CommentSubject"/>
    <w:uiPriority w:val="99"/>
    <w:semiHidden/>
    <w:rsid w:val="00503EBA"/>
    <w:rPr>
      <w:b/>
      <w:bCs/>
      <w:sz w:val="20"/>
      <w:szCs w:val="20"/>
    </w:rPr>
  </w:style>
  <w:style w:type="table" w:styleId="DarkList">
    <w:name w:val="Dark List"/>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00853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2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32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32E" w:themeFill="accent1" w:themeFillShade="BF"/>
      </w:tcPr>
    </w:tblStylePr>
    <w:tblStylePr w:type="band1Vert">
      <w:tblPr/>
      <w:tcPr>
        <w:tcBorders>
          <w:top w:val="nil"/>
          <w:left w:val="nil"/>
          <w:bottom w:val="nil"/>
          <w:right w:val="nil"/>
          <w:insideH w:val="nil"/>
          <w:insideV w:val="nil"/>
        </w:tcBorders>
        <w:shd w:val="clear" w:color="auto" w:fill="00632E" w:themeFill="accent1" w:themeFillShade="BF"/>
      </w:tcPr>
    </w:tblStylePr>
    <w:tblStylePr w:type="band1Horz">
      <w:tblPr/>
      <w:tcPr>
        <w:tcBorders>
          <w:top w:val="nil"/>
          <w:left w:val="nil"/>
          <w:bottom w:val="nil"/>
          <w:right w:val="nil"/>
          <w:insideH w:val="nil"/>
          <w:insideV w:val="nil"/>
        </w:tcBorders>
        <w:shd w:val="clear" w:color="auto" w:fill="00632E" w:themeFill="accent1" w:themeFillShade="BF"/>
      </w:tcPr>
    </w:tblStylePr>
  </w:style>
  <w:style w:type="table" w:styleId="DarkList-Accent2">
    <w:name w:val="Dark List Accent 2"/>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8DC63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6631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9962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9962C" w:themeFill="accent2" w:themeFillShade="BF"/>
      </w:tcPr>
    </w:tblStylePr>
    <w:tblStylePr w:type="band1Vert">
      <w:tblPr/>
      <w:tcPr>
        <w:tcBorders>
          <w:top w:val="nil"/>
          <w:left w:val="nil"/>
          <w:bottom w:val="nil"/>
          <w:right w:val="nil"/>
          <w:insideH w:val="nil"/>
          <w:insideV w:val="nil"/>
        </w:tcBorders>
        <w:shd w:val="clear" w:color="auto" w:fill="69962C" w:themeFill="accent2" w:themeFillShade="BF"/>
      </w:tcPr>
    </w:tblStylePr>
    <w:tblStylePr w:type="band1Horz">
      <w:tblPr/>
      <w:tcPr>
        <w:tcBorders>
          <w:top w:val="nil"/>
          <w:left w:val="nil"/>
          <w:bottom w:val="nil"/>
          <w:right w:val="nil"/>
          <w:insideH w:val="nil"/>
          <w:insideV w:val="nil"/>
        </w:tcBorders>
        <w:shd w:val="clear" w:color="auto" w:fill="69962C" w:themeFill="accent2" w:themeFillShade="BF"/>
      </w:tcPr>
    </w:tblStylePr>
  </w:style>
  <w:style w:type="table" w:styleId="DarkList-Accent3">
    <w:name w:val="Dark List Accent 3"/>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0042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3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3117" w:themeFill="accent3" w:themeFillShade="BF"/>
      </w:tcPr>
    </w:tblStylePr>
    <w:tblStylePr w:type="band1Vert">
      <w:tblPr/>
      <w:tcPr>
        <w:tcBorders>
          <w:top w:val="nil"/>
          <w:left w:val="nil"/>
          <w:bottom w:val="nil"/>
          <w:right w:val="nil"/>
          <w:insideH w:val="nil"/>
          <w:insideV w:val="nil"/>
        </w:tcBorders>
        <w:shd w:val="clear" w:color="auto" w:fill="003117" w:themeFill="accent3" w:themeFillShade="BF"/>
      </w:tcPr>
    </w:tblStylePr>
    <w:tblStylePr w:type="band1Horz">
      <w:tblPr/>
      <w:tcPr>
        <w:tcBorders>
          <w:top w:val="nil"/>
          <w:left w:val="nil"/>
          <w:bottom w:val="nil"/>
          <w:right w:val="nil"/>
          <w:insideH w:val="nil"/>
          <w:insideV w:val="nil"/>
        </w:tcBorders>
        <w:shd w:val="clear" w:color="auto" w:fill="003117" w:themeFill="accent3" w:themeFillShade="BF"/>
      </w:tcPr>
    </w:tblStylePr>
  </w:style>
  <w:style w:type="table" w:styleId="DarkList-Accent4">
    <w:name w:val="Dark List Accent 4"/>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46641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2310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44A1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44A15" w:themeFill="accent4" w:themeFillShade="BF"/>
      </w:tcPr>
    </w:tblStylePr>
    <w:tblStylePr w:type="band1Vert">
      <w:tblPr/>
      <w:tcPr>
        <w:tcBorders>
          <w:top w:val="nil"/>
          <w:left w:val="nil"/>
          <w:bottom w:val="nil"/>
          <w:right w:val="nil"/>
          <w:insideH w:val="nil"/>
          <w:insideV w:val="nil"/>
        </w:tcBorders>
        <w:shd w:val="clear" w:color="auto" w:fill="344A15" w:themeFill="accent4" w:themeFillShade="BF"/>
      </w:tcPr>
    </w:tblStylePr>
    <w:tblStylePr w:type="band1Horz">
      <w:tblPr/>
      <w:tcPr>
        <w:tcBorders>
          <w:top w:val="nil"/>
          <w:left w:val="nil"/>
          <w:bottom w:val="nil"/>
          <w:right w:val="nil"/>
          <w:insideH w:val="nil"/>
          <w:insideV w:val="nil"/>
        </w:tcBorders>
        <w:shd w:val="clear" w:color="auto" w:fill="344A15" w:themeFill="accent4" w:themeFillShade="BF"/>
      </w:tcPr>
    </w:tblStylePr>
  </w:style>
  <w:style w:type="table" w:styleId="DarkList-Accent5">
    <w:name w:val="Dark List Accent 5"/>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00C8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63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95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9547" w:themeFill="accent5" w:themeFillShade="BF"/>
      </w:tcPr>
    </w:tblStylePr>
    <w:tblStylePr w:type="band1Vert">
      <w:tblPr/>
      <w:tcPr>
        <w:tcBorders>
          <w:top w:val="nil"/>
          <w:left w:val="nil"/>
          <w:bottom w:val="nil"/>
          <w:right w:val="nil"/>
          <w:insideH w:val="nil"/>
          <w:insideV w:val="nil"/>
        </w:tcBorders>
        <w:shd w:val="clear" w:color="auto" w:fill="009547" w:themeFill="accent5" w:themeFillShade="BF"/>
      </w:tcPr>
    </w:tblStylePr>
    <w:tblStylePr w:type="band1Horz">
      <w:tblPr/>
      <w:tcPr>
        <w:tcBorders>
          <w:top w:val="nil"/>
          <w:left w:val="nil"/>
          <w:bottom w:val="nil"/>
          <w:right w:val="nil"/>
          <w:insideH w:val="nil"/>
          <w:insideV w:val="nil"/>
        </w:tcBorders>
        <w:shd w:val="clear" w:color="auto" w:fill="009547" w:themeFill="accent5" w:themeFillShade="BF"/>
      </w:tcPr>
    </w:tblStylePr>
  </w:style>
  <w:style w:type="table" w:styleId="DarkList-Accent6">
    <w:name w:val="Dark List Accent 6"/>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D1E8B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D9D2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1D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1D062" w:themeFill="accent6" w:themeFillShade="BF"/>
      </w:tcPr>
    </w:tblStylePr>
    <w:tblStylePr w:type="band1Vert">
      <w:tblPr/>
      <w:tcPr>
        <w:tcBorders>
          <w:top w:val="nil"/>
          <w:left w:val="nil"/>
          <w:bottom w:val="nil"/>
          <w:right w:val="nil"/>
          <w:insideH w:val="nil"/>
          <w:insideV w:val="nil"/>
        </w:tcBorders>
        <w:shd w:val="clear" w:color="auto" w:fill="A1D062" w:themeFill="accent6" w:themeFillShade="BF"/>
      </w:tcPr>
    </w:tblStylePr>
    <w:tblStylePr w:type="band1Horz">
      <w:tblPr/>
      <w:tcPr>
        <w:tcBorders>
          <w:top w:val="nil"/>
          <w:left w:val="nil"/>
          <w:bottom w:val="nil"/>
          <w:right w:val="nil"/>
          <w:insideH w:val="nil"/>
          <w:insideV w:val="nil"/>
        </w:tcBorders>
        <w:shd w:val="clear" w:color="auto" w:fill="A1D062" w:themeFill="accent6" w:themeFillShade="BF"/>
      </w:tcPr>
    </w:tblStylePr>
  </w:style>
  <w:style w:type="paragraph" w:styleId="Date">
    <w:name w:val="Date"/>
    <w:basedOn w:val="Normal"/>
    <w:next w:val="Normal"/>
    <w:link w:val="DateChar"/>
    <w:uiPriority w:val="99"/>
    <w:semiHidden/>
    <w:locked/>
    <w:rsid w:val="00372E2B"/>
  </w:style>
  <w:style w:type="character" w:customStyle="1" w:styleId="DateChar">
    <w:name w:val="Date Char"/>
    <w:basedOn w:val="DefaultParagraphFont"/>
    <w:link w:val="Date"/>
    <w:uiPriority w:val="99"/>
    <w:semiHidden/>
    <w:rsid w:val="00503EBA"/>
  </w:style>
  <w:style w:type="paragraph" w:styleId="DocumentMap">
    <w:name w:val="Document Map"/>
    <w:basedOn w:val="Normal"/>
    <w:link w:val="DocumentMapChar"/>
    <w:uiPriority w:val="99"/>
    <w:semiHidden/>
    <w:locked/>
    <w:rsid w:val="00372E2B"/>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03EBA"/>
    <w:rPr>
      <w:rFonts w:ascii="Tahoma" w:hAnsi="Tahoma" w:cs="Tahoma"/>
      <w:sz w:val="16"/>
      <w:szCs w:val="16"/>
    </w:rPr>
  </w:style>
  <w:style w:type="paragraph" w:styleId="E-mailSignature">
    <w:name w:val="E-mail Signature"/>
    <w:basedOn w:val="Normal"/>
    <w:link w:val="E-mailSignatureChar"/>
    <w:uiPriority w:val="99"/>
    <w:semiHidden/>
    <w:locked/>
    <w:rsid w:val="00372E2B"/>
    <w:pPr>
      <w:spacing w:line="240" w:lineRule="auto"/>
    </w:pPr>
  </w:style>
  <w:style w:type="character" w:customStyle="1" w:styleId="E-mailSignatureChar">
    <w:name w:val="E-mail Signature Char"/>
    <w:basedOn w:val="DefaultParagraphFont"/>
    <w:link w:val="E-mailSignature"/>
    <w:uiPriority w:val="99"/>
    <w:semiHidden/>
    <w:rsid w:val="00503EBA"/>
  </w:style>
  <w:style w:type="character" w:styleId="Emphasis">
    <w:name w:val="Emphasis"/>
    <w:basedOn w:val="DefaultParagraphFont"/>
    <w:uiPriority w:val="20"/>
    <w:qFormat/>
    <w:locked/>
    <w:rsid w:val="00F44A29"/>
    <w:rPr>
      <w:i/>
      <w:iCs/>
    </w:rPr>
  </w:style>
  <w:style w:type="character" w:styleId="EndnoteReference">
    <w:name w:val="endnote reference"/>
    <w:basedOn w:val="DefaultParagraphFont"/>
    <w:uiPriority w:val="99"/>
    <w:rsid w:val="00372E2B"/>
    <w:rPr>
      <w:noProof w:val="0"/>
      <w:vertAlign w:val="superscript"/>
      <w:lang w:val="en-AU"/>
    </w:rPr>
  </w:style>
  <w:style w:type="paragraph" w:styleId="EndnoteText">
    <w:name w:val="endnote text"/>
    <w:basedOn w:val="Normal"/>
    <w:link w:val="EndnoteTextChar"/>
    <w:uiPriority w:val="99"/>
    <w:rsid w:val="004F17AA"/>
    <w:pPr>
      <w:numPr>
        <w:numId w:val="0"/>
      </w:numPr>
      <w:spacing w:line="240" w:lineRule="auto"/>
    </w:pPr>
    <w:rPr>
      <w:sz w:val="20"/>
      <w:szCs w:val="20"/>
    </w:rPr>
  </w:style>
  <w:style w:type="character" w:customStyle="1" w:styleId="EndnoteTextChar">
    <w:name w:val="Endnote Text Char"/>
    <w:basedOn w:val="DefaultParagraphFont"/>
    <w:link w:val="EndnoteText"/>
    <w:uiPriority w:val="99"/>
    <w:rsid w:val="002E29EA"/>
    <w:rPr>
      <w:sz w:val="20"/>
      <w:szCs w:val="20"/>
    </w:rPr>
  </w:style>
  <w:style w:type="paragraph" w:styleId="EnvelopeAddress">
    <w:name w:val="envelope address"/>
    <w:basedOn w:val="Normal"/>
    <w:uiPriority w:val="99"/>
    <w:semiHidden/>
    <w:locked/>
    <w:rsid w:val="00372E2B"/>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locked/>
    <w:rsid w:val="00372E2B"/>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rsid w:val="00372E2B"/>
    <w:rPr>
      <w:noProof w:val="0"/>
      <w:color w:val="919191" w:themeColor="followedHyperlink"/>
      <w:u w:val="single"/>
      <w:lang w:val="en-AU"/>
    </w:rPr>
  </w:style>
  <w:style w:type="character" w:styleId="FootnoteReference">
    <w:name w:val="footnote reference"/>
    <w:basedOn w:val="DefaultParagraphFont"/>
    <w:uiPriority w:val="99"/>
    <w:rsid w:val="00372E2B"/>
    <w:rPr>
      <w:noProof w:val="0"/>
      <w:vertAlign w:val="superscript"/>
      <w:lang w:val="en-AU"/>
    </w:rPr>
  </w:style>
  <w:style w:type="paragraph" w:styleId="FootnoteText">
    <w:name w:val="footnote text"/>
    <w:basedOn w:val="Normal"/>
    <w:link w:val="FootnoteTextChar"/>
    <w:uiPriority w:val="99"/>
    <w:rsid w:val="00DC6EB5"/>
    <w:pPr>
      <w:spacing w:line="240" w:lineRule="auto"/>
    </w:pPr>
    <w:rPr>
      <w:sz w:val="18"/>
      <w:szCs w:val="20"/>
    </w:rPr>
  </w:style>
  <w:style w:type="character" w:customStyle="1" w:styleId="FootnoteTextChar">
    <w:name w:val="Footnote Text Char"/>
    <w:basedOn w:val="DefaultParagraphFont"/>
    <w:link w:val="FootnoteText"/>
    <w:uiPriority w:val="99"/>
    <w:rsid w:val="00DC6EB5"/>
    <w:rPr>
      <w:sz w:val="18"/>
      <w:szCs w:val="20"/>
    </w:rPr>
  </w:style>
  <w:style w:type="character" w:customStyle="1" w:styleId="Heading5Char">
    <w:name w:val="Heading 5 Char"/>
    <w:basedOn w:val="DefaultParagraphFont"/>
    <w:link w:val="Heading5"/>
    <w:uiPriority w:val="9"/>
    <w:rsid w:val="00802566"/>
    <w:rPr>
      <w:rFonts w:asciiTheme="majorHAnsi" w:eastAsiaTheme="majorEastAsia" w:hAnsiTheme="majorHAnsi" w:cstheme="majorBidi"/>
      <w:color w:val="00853F" w:themeColor="accent1"/>
    </w:rPr>
  </w:style>
  <w:style w:type="character" w:customStyle="1" w:styleId="Heading6Char">
    <w:name w:val="Heading 6 Char"/>
    <w:basedOn w:val="DefaultParagraphFont"/>
    <w:link w:val="Heading6"/>
    <w:uiPriority w:val="9"/>
    <w:rsid w:val="00802566"/>
    <w:rPr>
      <w:rFonts w:asciiTheme="majorHAnsi" w:eastAsiaTheme="majorEastAsia" w:hAnsiTheme="majorHAnsi" w:cstheme="majorBidi"/>
      <w:iCs/>
      <w:color w:val="00853F" w:themeColor="accent1"/>
    </w:rPr>
  </w:style>
  <w:style w:type="character" w:customStyle="1" w:styleId="Heading7Char">
    <w:name w:val="Heading 7 Char"/>
    <w:basedOn w:val="DefaultParagraphFont"/>
    <w:link w:val="Heading7"/>
    <w:uiPriority w:val="9"/>
    <w:rsid w:val="00802566"/>
    <w:rPr>
      <w:rFonts w:asciiTheme="majorHAnsi" w:eastAsiaTheme="majorEastAsia" w:hAnsiTheme="majorHAnsi" w:cstheme="majorBidi"/>
      <w:iCs/>
      <w:color w:val="00853F" w:themeColor="accent1"/>
    </w:rPr>
  </w:style>
  <w:style w:type="character" w:customStyle="1" w:styleId="Heading8Char">
    <w:name w:val="Heading 8 Char"/>
    <w:basedOn w:val="DefaultParagraphFont"/>
    <w:link w:val="Heading8"/>
    <w:uiPriority w:val="9"/>
    <w:rsid w:val="00802566"/>
    <w:rPr>
      <w:rFonts w:asciiTheme="majorHAnsi" w:eastAsiaTheme="majorEastAsia" w:hAnsiTheme="majorHAnsi" w:cstheme="majorBidi"/>
      <w:color w:val="00853F" w:themeColor="accent1"/>
      <w:szCs w:val="20"/>
    </w:rPr>
  </w:style>
  <w:style w:type="character" w:customStyle="1" w:styleId="Heading9Char">
    <w:name w:val="Heading 9 Char"/>
    <w:basedOn w:val="DefaultParagraphFont"/>
    <w:link w:val="Heading9"/>
    <w:uiPriority w:val="9"/>
    <w:rsid w:val="00802566"/>
    <w:rPr>
      <w:rFonts w:asciiTheme="majorHAnsi" w:eastAsiaTheme="majorEastAsia" w:hAnsiTheme="majorHAnsi" w:cstheme="majorBidi"/>
      <w:iCs/>
      <w:color w:val="00853F" w:themeColor="accent1"/>
      <w:szCs w:val="20"/>
    </w:rPr>
  </w:style>
  <w:style w:type="character" w:styleId="HTMLAcronym">
    <w:name w:val="HTML Acronym"/>
    <w:basedOn w:val="DefaultParagraphFont"/>
    <w:uiPriority w:val="99"/>
    <w:semiHidden/>
    <w:locked/>
    <w:rsid w:val="00372E2B"/>
    <w:rPr>
      <w:noProof w:val="0"/>
      <w:lang w:val="en-AU"/>
    </w:rPr>
  </w:style>
  <w:style w:type="paragraph" w:styleId="HTMLAddress">
    <w:name w:val="HTML Address"/>
    <w:basedOn w:val="Normal"/>
    <w:link w:val="HTMLAddressChar"/>
    <w:uiPriority w:val="99"/>
    <w:semiHidden/>
    <w:locked/>
    <w:rsid w:val="00372E2B"/>
    <w:pPr>
      <w:spacing w:line="240" w:lineRule="auto"/>
    </w:pPr>
    <w:rPr>
      <w:i/>
      <w:iCs/>
    </w:rPr>
  </w:style>
  <w:style w:type="character" w:customStyle="1" w:styleId="HTMLAddressChar">
    <w:name w:val="HTML Address Char"/>
    <w:basedOn w:val="DefaultParagraphFont"/>
    <w:link w:val="HTMLAddress"/>
    <w:uiPriority w:val="99"/>
    <w:semiHidden/>
    <w:rsid w:val="00503EBA"/>
    <w:rPr>
      <w:i/>
      <w:iCs/>
    </w:rPr>
  </w:style>
  <w:style w:type="character" w:styleId="HTMLCite">
    <w:name w:val="HTML Cite"/>
    <w:basedOn w:val="DefaultParagraphFont"/>
    <w:uiPriority w:val="99"/>
    <w:semiHidden/>
    <w:locked/>
    <w:rsid w:val="00372E2B"/>
    <w:rPr>
      <w:i/>
      <w:iCs/>
      <w:noProof w:val="0"/>
      <w:lang w:val="en-AU"/>
    </w:rPr>
  </w:style>
  <w:style w:type="character" w:styleId="HTMLCode">
    <w:name w:val="HTML Code"/>
    <w:basedOn w:val="DefaultParagraphFont"/>
    <w:uiPriority w:val="99"/>
    <w:semiHidden/>
    <w:locked/>
    <w:rsid w:val="00372E2B"/>
    <w:rPr>
      <w:rFonts w:ascii="Consolas" w:hAnsi="Consolas"/>
      <w:noProof w:val="0"/>
      <w:sz w:val="20"/>
      <w:szCs w:val="20"/>
      <w:lang w:val="en-AU"/>
    </w:rPr>
  </w:style>
  <w:style w:type="character" w:styleId="HTMLDefinition">
    <w:name w:val="HTML Definition"/>
    <w:basedOn w:val="DefaultParagraphFont"/>
    <w:uiPriority w:val="99"/>
    <w:semiHidden/>
    <w:locked/>
    <w:rsid w:val="00372E2B"/>
    <w:rPr>
      <w:i/>
      <w:iCs/>
      <w:noProof w:val="0"/>
      <w:lang w:val="en-AU"/>
    </w:rPr>
  </w:style>
  <w:style w:type="character" w:styleId="HTMLKeyboard">
    <w:name w:val="HTML Keyboard"/>
    <w:basedOn w:val="DefaultParagraphFont"/>
    <w:uiPriority w:val="99"/>
    <w:semiHidden/>
    <w:locked/>
    <w:rsid w:val="00372E2B"/>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372E2B"/>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03EBA"/>
    <w:rPr>
      <w:rFonts w:ascii="Consolas" w:hAnsi="Consolas"/>
      <w:sz w:val="20"/>
      <w:szCs w:val="20"/>
    </w:rPr>
  </w:style>
  <w:style w:type="character" w:styleId="HTMLSample">
    <w:name w:val="HTML Sample"/>
    <w:basedOn w:val="DefaultParagraphFont"/>
    <w:uiPriority w:val="99"/>
    <w:semiHidden/>
    <w:locked/>
    <w:rsid w:val="00372E2B"/>
    <w:rPr>
      <w:rFonts w:ascii="Consolas" w:hAnsi="Consolas"/>
      <w:noProof w:val="0"/>
      <w:sz w:val="24"/>
      <w:szCs w:val="24"/>
      <w:lang w:val="en-AU"/>
    </w:rPr>
  </w:style>
  <w:style w:type="character" w:styleId="HTMLTypewriter">
    <w:name w:val="HTML Typewriter"/>
    <w:basedOn w:val="DefaultParagraphFont"/>
    <w:uiPriority w:val="99"/>
    <w:semiHidden/>
    <w:locked/>
    <w:rsid w:val="00372E2B"/>
    <w:rPr>
      <w:rFonts w:ascii="Consolas" w:hAnsi="Consolas"/>
      <w:noProof w:val="0"/>
      <w:sz w:val="20"/>
      <w:szCs w:val="20"/>
      <w:lang w:val="en-AU"/>
    </w:rPr>
  </w:style>
  <w:style w:type="character" w:styleId="HTMLVariable">
    <w:name w:val="HTML Variable"/>
    <w:basedOn w:val="DefaultParagraphFont"/>
    <w:uiPriority w:val="99"/>
    <w:semiHidden/>
    <w:locked/>
    <w:rsid w:val="00372E2B"/>
    <w:rPr>
      <w:i/>
      <w:iCs/>
      <w:noProof w:val="0"/>
      <w:lang w:val="en-AU"/>
    </w:rPr>
  </w:style>
  <w:style w:type="paragraph" w:styleId="Index1">
    <w:name w:val="index 1"/>
    <w:basedOn w:val="Normal"/>
    <w:next w:val="Normal"/>
    <w:autoRedefine/>
    <w:uiPriority w:val="99"/>
    <w:semiHidden/>
    <w:locked/>
    <w:rsid w:val="00372E2B"/>
    <w:pPr>
      <w:spacing w:line="240" w:lineRule="auto"/>
      <w:ind w:left="190" w:hanging="190"/>
    </w:pPr>
  </w:style>
  <w:style w:type="paragraph" w:styleId="Index2">
    <w:name w:val="index 2"/>
    <w:basedOn w:val="Normal"/>
    <w:next w:val="Normal"/>
    <w:autoRedefine/>
    <w:uiPriority w:val="99"/>
    <w:semiHidden/>
    <w:locked/>
    <w:rsid w:val="00372E2B"/>
    <w:pPr>
      <w:spacing w:line="240" w:lineRule="auto"/>
      <w:ind w:left="380" w:hanging="190"/>
    </w:pPr>
  </w:style>
  <w:style w:type="paragraph" w:styleId="Index3">
    <w:name w:val="index 3"/>
    <w:basedOn w:val="Normal"/>
    <w:next w:val="Normal"/>
    <w:autoRedefine/>
    <w:uiPriority w:val="99"/>
    <w:semiHidden/>
    <w:locked/>
    <w:rsid w:val="00372E2B"/>
    <w:pPr>
      <w:spacing w:line="240" w:lineRule="auto"/>
      <w:ind w:left="570" w:hanging="190"/>
    </w:pPr>
  </w:style>
  <w:style w:type="paragraph" w:styleId="Index4">
    <w:name w:val="index 4"/>
    <w:basedOn w:val="Normal"/>
    <w:next w:val="Normal"/>
    <w:autoRedefine/>
    <w:uiPriority w:val="99"/>
    <w:semiHidden/>
    <w:locked/>
    <w:rsid w:val="00372E2B"/>
    <w:pPr>
      <w:spacing w:line="240" w:lineRule="auto"/>
      <w:ind w:left="760" w:hanging="190"/>
    </w:pPr>
  </w:style>
  <w:style w:type="paragraph" w:styleId="Index5">
    <w:name w:val="index 5"/>
    <w:basedOn w:val="Normal"/>
    <w:next w:val="Normal"/>
    <w:autoRedefine/>
    <w:uiPriority w:val="99"/>
    <w:semiHidden/>
    <w:locked/>
    <w:rsid w:val="00372E2B"/>
    <w:pPr>
      <w:spacing w:line="240" w:lineRule="auto"/>
      <w:ind w:left="950" w:hanging="190"/>
    </w:pPr>
  </w:style>
  <w:style w:type="paragraph" w:styleId="Index6">
    <w:name w:val="index 6"/>
    <w:basedOn w:val="Normal"/>
    <w:next w:val="Normal"/>
    <w:autoRedefine/>
    <w:uiPriority w:val="99"/>
    <w:semiHidden/>
    <w:locked/>
    <w:rsid w:val="00372E2B"/>
    <w:pPr>
      <w:spacing w:line="240" w:lineRule="auto"/>
      <w:ind w:left="1140" w:hanging="190"/>
    </w:pPr>
  </w:style>
  <w:style w:type="paragraph" w:styleId="Index7">
    <w:name w:val="index 7"/>
    <w:basedOn w:val="Normal"/>
    <w:next w:val="Normal"/>
    <w:autoRedefine/>
    <w:uiPriority w:val="99"/>
    <w:semiHidden/>
    <w:locked/>
    <w:rsid w:val="00372E2B"/>
    <w:pPr>
      <w:spacing w:line="240" w:lineRule="auto"/>
      <w:ind w:left="1330" w:hanging="190"/>
    </w:pPr>
  </w:style>
  <w:style w:type="paragraph" w:styleId="Index8">
    <w:name w:val="index 8"/>
    <w:basedOn w:val="Normal"/>
    <w:next w:val="Normal"/>
    <w:autoRedefine/>
    <w:uiPriority w:val="99"/>
    <w:semiHidden/>
    <w:locked/>
    <w:rsid w:val="00372E2B"/>
    <w:pPr>
      <w:spacing w:line="240" w:lineRule="auto"/>
      <w:ind w:left="1520" w:hanging="190"/>
    </w:pPr>
  </w:style>
  <w:style w:type="paragraph" w:styleId="Index9">
    <w:name w:val="index 9"/>
    <w:basedOn w:val="Normal"/>
    <w:next w:val="Normal"/>
    <w:autoRedefine/>
    <w:uiPriority w:val="99"/>
    <w:semiHidden/>
    <w:locked/>
    <w:rsid w:val="00372E2B"/>
    <w:pPr>
      <w:spacing w:line="240" w:lineRule="auto"/>
      <w:ind w:left="1710" w:hanging="190"/>
    </w:pPr>
  </w:style>
  <w:style w:type="paragraph" w:styleId="IndexHeading">
    <w:name w:val="index heading"/>
    <w:basedOn w:val="Normal"/>
    <w:next w:val="Index1"/>
    <w:uiPriority w:val="99"/>
    <w:semiHidden/>
    <w:locked/>
    <w:rsid w:val="00372E2B"/>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372E2B"/>
    <w:rPr>
      <w:b/>
      <w:bCs/>
      <w:i/>
      <w:iCs/>
      <w:noProof w:val="0"/>
      <w:color w:val="00853F" w:themeColor="accent1"/>
      <w:lang w:val="en-AU"/>
    </w:rPr>
  </w:style>
  <w:style w:type="paragraph" w:styleId="IntenseQuote">
    <w:name w:val="Intense Quote"/>
    <w:basedOn w:val="Normal"/>
    <w:next w:val="Normal"/>
    <w:link w:val="IntenseQuoteChar"/>
    <w:uiPriority w:val="30"/>
    <w:semiHidden/>
    <w:qFormat/>
    <w:locked/>
    <w:rsid w:val="00372E2B"/>
    <w:pPr>
      <w:pBdr>
        <w:bottom w:val="single" w:sz="4" w:space="4" w:color="00853F" w:themeColor="accent1"/>
      </w:pBdr>
      <w:spacing w:before="200" w:after="280"/>
      <w:ind w:left="936" w:right="936"/>
    </w:pPr>
    <w:rPr>
      <w:b/>
      <w:bCs/>
      <w:i/>
      <w:iCs/>
      <w:color w:val="00853F" w:themeColor="accent1"/>
    </w:rPr>
  </w:style>
  <w:style w:type="character" w:customStyle="1" w:styleId="IntenseQuoteChar">
    <w:name w:val="Intense Quote Char"/>
    <w:basedOn w:val="DefaultParagraphFont"/>
    <w:link w:val="IntenseQuote"/>
    <w:uiPriority w:val="30"/>
    <w:semiHidden/>
    <w:rsid w:val="00372E2B"/>
    <w:rPr>
      <w:b/>
      <w:bCs/>
      <w:i/>
      <w:iCs/>
      <w:color w:val="00853F" w:themeColor="accent1"/>
    </w:rPr>
  </w:style>
  <w:style w:type="character" w:styleId="IntenseReference">
    <w:name w:val="Intense Reference"/>
    <w:basedOn w:val="DefaultParagraphFont"/>
    <w:uiPriority w:val="32"/>
    <w:semiHidden/>
    <w:qFormat/>
    <w:locked/>
    <w:rsid w:val="00372E2B"/>
    <w:rPr>
      <w:b/>
      <w:bCs/>
      <w:smallCaps/>
      <w:noProof w:val="0"/>
      <w:color w:val="8DC63F" w:themeColor="accent2"/>
      <w:spacing w:val="5"/>
      <w:u w:val="single"/>
      <w:lang w:val="en-AU"/>
    </w:rPr>
  </w:style>
  <w:style w:type="table" w:styleId="LightGrid">
    <w:name w:val="Light Grid"/>
    <w:basedOn w:val="TableNormal"/>
    <w:uiPriority w:val="62"/>
    <w:locked/>
    <w:rsid w:val="00372E2B"/>
    <w:pPr>
      <w:spacing w:before="170"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locked/>
    <w:rsid w:val="00372E2B"/>
    <w:pPr>
      <w:spacing w:before="170" w:after="0" w:line="240" w:lineRule="auto"/>
    </w:pPr>
    <w:tblPr>
      <w:tblStyleRowBandSize w:val="1"/>
      <w:tblStyleColBandSize w:val="1"/>
      <w:tblBorders>
        <w:top w:val="single" w:sz="8" w:space="0" w:color="00853F" w:themeColor="accent1"/>
        <w:left w:val="single" w:sz="8" w:space="0" w:color="00853F" w:themeColor="accent1"/>
        <w:bottom w:val="single" w:sz="8" w:space="0" w:color="00853F" w:themeColor="accent1"/>
        <w:right w:val="single" w:sz="8" w:space="0" w:color="00853F" w:themeColor="accent1"/>
        <w:insideH w:val="single" w:sz="8" w:space="0" w:color="00853F" w:themeColor="accent1"/>
        <w:insideV w:val="single" w:sz="8" w:space="0" w:color="00853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53F" w:themeColor="accent1"/>
          <w:left w:val="single" w:sz="8" w:space="0" w:color="00853F" w:themeColor="accent1"/>
          <w:bottom w:val="single" w:sz="18" w:space="0" w:color="00853F" w:themeColor="accent1"/>
          <w:right w:val="single" w:sz="8" w:space="0" w:color="00853F" w:themeColor="accent1"/>
          <w:insideH w:val="nil"/>
          <w:insideV w:val="single" w:sz="8" w:space="0" w:color="00853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53F" w:themeColor="accent1"/>
          <w:left w:val="single" w:sz="8" w:space="0" w:color="00853F" w:themeColor="accent1"/>
          <w:bottom w:val="single" w:sz="8" w:space="0" w:color="00853F" w:themeColor="accent1"/>
          <w:right w:val="single" w:sz="8" w:space="0" w:color="00853F" w:themeColor="accent1"/>
          <w:insideH w:val="nil"/>
          <w:insideV w:val="single" w:sz="8" w:space="0" w:color="00853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53F" w:themeColor="accent1"/>
          <w:left w:val="single" w:sz="8" w:space="0" w:color="00853F" w:themeColor="accent1"/>
          <w:bottom w:val="single" w:sz="8" w:space="0" w:color="00853F" w:themeColor="accent1"/>
          <w:right w:val="single" w:sz="8" w:space="0" w:color="00853F" w:themeColor="accent1"/>
        </w:tcBorders>
      </w:tcPr>
    </w:tblStylePr>
    <w:tblStylePr w:type="band1Vert">
      <w:tblPr/>
      <w:tcPr>
        <w:tcBorders>
          <w:top w:val="single" w:sz="8" w:space="0" w:color="00853F" w:themeColor="accent1"/>
          <w:left w:val="single" w:sz="8" w:space="0" w:color="00853F" w:themeColor="accent1"/>
          <w:bottom w:val="single" w:sz="8" w:space="0" w:color="00853F" w:themeColor="accent1"/>
          <w:right w:val="single" w:sz="8" w:space="0" w:color="00853F" w:themeColor="accent1"/>
        </w:tcBorders>
        <w:shd w:val="clear" w:color="auto" w:fill="A1FFCD" w:themeFill="accent1" w:themeFillTint="3F"/>
      </w:tcPr>
    </w:tblStylePr>
    <w:tblStylePr w:type="band1Horz">
      <w:tblPr/>
      <w:tcPr>
        <w:tcBorders>
          <w:top w:val="single" w:sz="8" w:space="0" w:color="00853F" w:themeColor="accent1"/>
          <w:left w:val="single" w:sz="8" w:space="0" w:color="00853F" w:themeColor="accent1"/>
          <w:bottom w:val="single" w:sz="8" w:space="0" w:color="00853F" w:themeColor="accent1"/>
          <w:right w:val="single" w:sz="8" w:space="0" w:color="00853F" w:themeColor="accent1"/>
          <w:insideV w:val="single" w:sz="8" w:space="0" w:color="00853F" w:themeColor="accent1"/>
        </w:tcBorders>
        <w:shd w:val="clear" w:color="auto" w:fill="A1FFCD" w:themeFill="accent1" w:themeFillTint="3F"/>
      </w:tcPr>
    </w:tblStylePr>
    <w:tblStylePr w:type="band2Horz">
      <w:tblPr/>
      <w:tcPr>
        <w:tcBorders>
          <w:top w:val="single" w:sz="8" w:space="0" w:color="00853F" w:themeColor="accent1"/>
          <w:left w:val="single" w:sz="8" w:space="0" w:color="00853F" w:themeColor="accent1"/>
          <w:bottom w:val="single" w:sz="8" w:space="0" w:color="00853F" w:themeColor="accent1"/>
          <w:right w:val="single" w:sz="8" w:space="0" w:color="00853F" w:themeColor="accent1"/>
          <w:insideV w:val="single" w:sz="8" w:space="0" w:color="00853F" w:themeColor="accent1"/>
        </w:tcBorders>
      </w:tcPr>
    </w:tblStylePr>
  </w:style>
  <w:style w:type="table" w:styleId="LightGrid-Accent2">
    <w:name w:val="Light Grid Accent 2"/>
    <w:basedOn w:val="TableNormal"/>
    <w:uiPriority w:val="62"/>
    <w:locked/>
    <w:rsid w:val="00372E2B"/>
    <w:pPr>
      <w:spacing w:before="170" w:after="0" w:line="240" w:lineRule="auto"/>
    </w:pPr>
    <w:tblPr>
      <w:tblStyleRowBandSize w:val="1"/>
      <w:tblStyleColBandSize w:val="1"/>
      <w:tblBorders>
        <w:top w:val="single" w:sz="8" w:space="0" w:color="8DC63F" w:themeColor="accent2"/>
        <w:left w:val="single" w:sz="8" w:space="0" w:color="8DC63F" w:themeColor="accent2"/>
        <w:bottom w:val="single" w:sz="8" w:space="0" w:color="8DC63F" w:themeColor="accent2"/>
        <w:right w:val="single" w:sz="8" w:space="0" w:color="8DC63F" w:themeColor="accent2"/>
        <w:insideH w:val="single" w:sz="8" w:space="0" w:color="8DC63F" w:themeColor="accent2"/>
        <w:insideV w:val="single" w:sz="8" w:space="0" w:color="8DC63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C63F" w:themeColor="accent2"/>
          <w:left w:val="single" w:sz="8" w:space="0" w:color="8DC63F" w:themeColor="accent2"/>
          <w:bottom w:val="single" w:sz="18" w:space="0" w:color="8DC63F" w:themeColor="accent2"/>
          <w:right w:val="single" w:sz="8" w:space="0" w:color="8DC63F" w:themeColor="accent2"/>
          <w:insideH w:val="nil"/>
          <w:insideV w:val="single" w:sz="8" w:space="0" w:color="8DC63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C63F" w:themeColor="accent2"/>
          <w:left w:val="single" w:sz="8" w:space="0" w:color="8DC63F" w:themeColor="accent2"/>
          <w:bottom w:val="single" w:sz="8" w:space="0" w:color="8DC63F" w:themeColor="accent2"/>
          <w:right w:val="single" w:sz="8" w:space="0" w:color="8DC63F" w:themeColor="accent2"/>
          <w:insideH w:val="nil"/>
          <w:insideV w:val="single" w:sz="8" w:space="0" w:color="8DC63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C63F" w:themeColor="accent2"/>
          <w:left w:val="single" w:sz="8" w:space="0" w:color="8DC63F" w:themeColor="accent2"/>
          <w:bottom w:val="single" w:sz="8" w:space="0" w:color="8DC63F" w:themeColor="accent2"/>
          <w:right w:val="single" w:sz="8" w:space="0" w:color="8DC63F" w:themeColor="accent2"/>
        </w:tcBorders>
      </w:tcPr>
    </w:tblStylePr>
    <w:tblStylePr w:type="band1Vert">
      <w:tblPr/>
      <w:tcPr>
        <w:tcBorders>
          <w:top w:val="single" w:sz="8" w:space="0" w:color="8DC63F" w:themeColor="accent2"/>
          <w:left w:val="single" w:sz="8" w:space="0" w:color="8DC63F" w:themeColor="accent2"/>
          <w:bottom w:val="single" w:sz="8" w:space="0" w:color="8DC63F" w:themeColor="accent2"/>
          <w:right w:val="single" w:sz="8" w:space="0" w:color="8DC63F" w:themeColor="accent2"/>
        </w:tcBorders>
        <w:shd w:val="clear" w:color="auto" w:fill="E2F1CF" w:themeFill="accent2" w:themeFillTint="3F"/>
      </w:tcPr>
    </w:tblStylePr>
    <w:tblStylePr w:type="band1Horz">
      <w:tblPr/>
      <w:tcPr>
        <w:tcBorders>
          <w:top w:val="single" w:sz="8" w:space="0" w:color="8DC63F" w:themeColor="accent2"/>
          <w:left w:val="single" w:sz="8" w:space="0" w:color="8DC63F" w:themeColor="accent2"/>
          <w:bottom w:val="single" w:sz="8" w:space="0" w:color="8DC63F" w:themeColor="accent2"/>
          <w:right w:val="single" w:sz="8" w:space="0" w:color="8DC63F" w:themeColor="accent2"/>
          <w:insideV w:val="single" w:sz="8" w:space="0" w:color="8DC63F" w:themeColor="accent2"/>
        </w:tcBorders>
        <w:shd w:val="clear" w:color="auto" w:fill="E2F1CF" w:themeFill="accent2" w:themeFillTint="3F"/>
      </w:tcPr>
    </w:tblStylePr>
    <w:tblStylePr w:type="band2Horz">
      <w:tblPr/>
      <w:tcPr>
        <w:tcBorders>
          <w:top w:val="single" w:sz="8" w:space="0" w:color="8DC63F" w:themeColor="accent2"/>
          <w:left w:val="single" w:sz="8" w:space="0" w:color="8DC63F" w:themeColor="accent2"/>
          <w:bottom w:val="single" w:sz="8" w:space="0" w:color="8DC63F" w:themeColor="accent2"/>
          <w:right w:val="single" w:sz="8" w:space="0" w:color="8DC63F" w:themeColor="accent2"/>
          <w:insideV w:val="single" w:sz="8" w:space="0" w:color="8DC63F" w:themeColor="accent2"/>
        </w:tcBorders>
      </w:tcPr>
    </w:tblStylePr>
  </w:style>
  <w:style w:type="table" w:styleId="LightGrid-Accent3">
    <w:name w:val="Light Grid Accent 3"/>
    <w:basedOn w:val="TableNormal"/>
    <w:uiPriority w:val="62"/>
    <w:locked/>
    <w:rsid w:val="00372E2B"/>
    <w:pPr>
      <w:spacing w:before="170" w:after="0" w:line="240" w:lineRule="auto"/>
    </w:pPr>
    <w:tblPr>
      <w:tblStyleRowBandSize w:val="1"/>
      <w:tblStyleColBandSize w:val="1"/>
      <w:tblBorders>
        <w:top w:val="single" w:sz="8" w:space="0" w:color="00421F" w:themeColor="accent3"/>
        <w:left w:val="single" w:sz="8" w:space="0" w:color="00421F" w:themeColor="accent3"/>
        <w:bottom w:val="single" w:sz="8" w:space="0" w:color="00421F" w:themeColor="accent3"/>
        <w:right w:val="single" w:sz="8" w:space="0" w:color="00421F" w:themeColor="accent3"/>
        <w:insideH w:val="single" w:sz="8" w:space="0" w:color="00421F" w:themeColor="accent3"/>
        <w:insideV w:val="single" w:sz="8" w:space="0" w:color="0042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1F" w:themeColor="accent3"/>
          <w:left w:val="single" w:sz="8" w:space="0" w:color="00421F" w:themeColor="accent3"/>
          <w:bottom w:val="single" w:sz="18" w:space="0" w:color="00421F" w:themeColor="accent3"/>
          <w:right w:val="single" w:sz="8" w:space="0" w:color="00421F" w:themeColor="accent3"/>
          <w:insideH w:val="nil"/>
          <w:insideV w:val="single" w:sz="8" w:space="0" w:color="0042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1F" w:themeColor="accent3"/>
          <w:left w:val="single" w:sz="8" w:space="0" w:color="00421F" w:themeColor="accent3"/>
          <w:bottom w:val="single" w:sz="8" w:space="0" w:color="00421F" w:themeColor="accent3"/>
          <w:right w:val="single" w:sz="8" w:space="0" w:color="00421F" w:themeColor="accent3"/>
          <w:insideH w:val="nil"/>
          <w:insideV w:val="single" w:sz="8" w:space="0" w:color="0042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1F" w:themeColor="accent3"/>
          <w:left w:val="single" w:sz="8" w:space="0" w:color="00421F" w:themeColor="accent3"/>
          <w:bottom w:val="single" w:sz="8" w:space="0" w:color="00421F" w:themeColor="accent3"/>
          <w:right w:val="single" w:sz="8" w:space="0" w:color="00421F" w:themeColor="accent3"/>
        </w:tcBorders>
      </w:tcPr>
    </w:tblStylePr>
    <w:tblStylePr w:type="band1Vert">
      <w:tblPr/>
      <w:tcPr>
        <w:tcBorders>
          <w:top w:val="single" w:sz="8" w:space="0" w:color="00421F" w:themeColor="accent3"/>
          <w:left w:val="single" w:sz="8" w:space="0" w:color="00421F" w:themeColor="accent3"/>
          <w:bottom w:val="single" w:sz="8" w:space="0" w:color="00421F" w:themeColor="accent3"/>
          <w:right w:val="single" w:sz="8" w:space="0" w:color="00421F" w:themeColor="accent3"/>
        </w:tcBorders>
        <w:shd w:val="clear" w:color="auto" w:fill="91FFC4" w:themeFill="accent3" w:themeFillTint="3F"/>
      </w:tcPr>
    </w:tblStylePr>
    <w:tblStylePr w:type="band1Horz">
      <w:tblPr/>
      <w:tcPr>
        <w:tcBorders>
          <w:top w:val="single" w:sz="8" w:space="0" w:color="00421F" w:themeColor="accent3"/>
          <w:left w:val="single" w:sz="8" w:space="0" w:color="00421F" w:themeColor="accent3"/>
          <w:bottom w:val="single" w:sz="8" w:space="0" w:color="00421F" w:themeColor="accent3"/>
          <w:right w:val="single" w:sz="8" w:space="0" w:color="00421F" w:themeColor="accent3"/>
          <w:insideV w:val="single" w:sz="8" w:space="0" w:color="00421F" w:themeColor="accent3"/>
        </w:tcBorders>
        <w:shd w:val="clear" w:color="auto" w:fill="91FFC4" w:themeFill="accent3" w:themeFillTint="3F"/>
      </w:tcPr>
    </w:tblStylePr>
    <w:tblStylePr w:type="band2Horz">
      <w:tblPr/>
      <w:tcPr>
        <w:tcBorders>
          <w:top w:val="single" w:sz="8" w:space="0" w:color="00421F" w:themeColor="accent3"/>
          <w:left w:val="single" w:sz="8" w:space="0" w:color="00421F" w:themeColor="accent3"/>
          <w:bottom w:val="single" w:sz="8" w:space="0" w:color="00421F" w:themeColor="accent3"/>
          <w:right w:val="single" w:sz="8" w:space="0" w:color="00421F" w:themeColor="accent3"/>
          <w:insideV w:val="single" w:sz="8" w:space="0" w:color="00421F" w:themeColor="accent3"/>
        </w:tcBorders>
      </w:tcPr>
    </w:tblStylePr>
  </w:style>
  <w:style w:type="table" w:styleId="LightGrid-Accent4">
    <w:name w:val="Light Grid Accent 4"/>
    <w:basedOn w:val="TableNormal"/>
    <w:uiPriority w:val="62"/>
    <w:locked/>
    <w:rsid w:val="00372E2B"/>
    <w:pPr>
      <w:spacing w:before="170" w:after="0" w:line="240" w:lineRule="auto"/>
    </w:pPr>
    <w:tblPr>
      <w:tblStyleRowBandSize w:val="1"/>
      <w:tblStyleColBandSize w:val="1"/>
      <w:tblBorders>
        <w:top w:val="single" w:sz="8" w:space="0" w:color="46641D" w:themeColor="accent4"/>
        <w:left w:val="single" w:sz="8" w:space="0" w:color="46641D" w:themeColor="accent4"/>
        <w:bottom w:val="single" w:sz="8" w:space="0" w:color="46641D" w:themeColor="accent4"/>
        <w:right w:val="single" w:sz="8" w:space="0" w:color="46641D" w:themeColor="accent4"/>
        <w:insideH w:val="single" w:sz="8" w:space="0" w:color="46641D" w:themeColor="accent4"/>
        <w:insideV w:val="single" w:sz="8" w:space="0" w:color="46641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641D" w:themeColor="accent4"/>
          <w:left w:val="single" w:sz="8" w:space="0" w:color="46641D" w:themeColor="accent4"/>
          <w:bottom w:val="single" w:sz="18" w:space="0" w:color="46641D" w:themeColor="accent4"/>
          <w:right w:val="single" w:sz="8" w:space="0" w:color="46641D" w:themeColor="accent4"/>
          <w:insideH w:val="nil"/>
          <w:insideV w:val="single" w:sz="8" w:space="0" w:color="46641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641D" w:themeColor="accent4"/>
          <w:left w:val="single" w:sz="8" w:space="0" w:color="46641D" w:themeColor="accent4"/>
          <w:bottom w:val="single" w:sz="8" w:space="0" w:color="46641D" w:themeColor="accent4"/>
          <w:right w:val="single" w:sz="8" w:space="0" w:color="46641D" w:themeColor="accent4"/>
          <w:insideH w:val="nil"/>
          <w:insideV w:val="single" w:sz="8" w:space="0" w:color="46641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641D" w:themeColor="accent4"/>
          <w:left w:val="single" w:sz="8" w:space="0" w:color="46641D" w:themeColor="accent4"/>
          <w:bottom w:val="single" w:sz="8" w:space="0" w:color="46641D" w:themeColor="accent4"/>
          <w:right w:val="single" w:sz="8" w:space="0" w:color="46641D" w:themeColor="accent4"/>
        </w:tcBorders>
      </w:tcPr>
    </w:tblStylePr>
    <w:tblStylePr w:type="band1Vert">
      <w:tblPr/>
      <w:tcPr>
        <w:tcBorders>
          <w:top w:val="single" w:sz="8" w:space="0" w:color="46641D" w:themeColor="accent4"/>
          <w:left w:val="single" w:sz="8" w:space="0" w:color="46641D" w:themeColor="accent4"/>
          <w:bottom w:val="single" w:sz="8" w:space="0" w:color="46641D" w:themeColor="accent4"/>
          <w:right w:val="single" w:sz="8" w:space="0" w:color="46641D" w:themeColor="accent4"/>
        </w:tcBorders>
        <w:shd w:val="clear" w:color="auto" w:fill="D3E9B5" w:themeFill="accent4" w:themeFillTint="3F"/>
      </w:tcPr>
    </w:tblStylePr>
    <w:tblStylePr w:type="band1Horz">
      <w:tblPr/>
      <w:tcPr>
        <w:tcBorders>
          <w:top w:val="single" w:sz="8" w:space="0" w:color="46641D" w:themeColor="accent4"/>
          <w:left w:val="single" w:sz="8" w:space="0" w:color="46641D" w:themeColor="accent4"/>
          <w:bottom w:val="single" w:sz="8" w:space="0" w:color="46641D" w:themeColor="accent4"/>
          <w:right w:val="single" w:sz="8" w:space="0" w:color="46641D" w:themeColor="accent4"/>
          <w:insideV w:val="single" w:sz="8" w:space="0" w:color="46641D" w:themeColor="accent4"/>
        </w:tcBorders>
        <w:shd w:val="clear" w:color="auto" w:fill="D3E9B5" w:themeFill="accent4" w:themeFillTint="3F"/>
      </w:tcPr>
    </w:tblStylePr>
    <w:tblStylePr w:type="band2Horz">
      <w:tblPr/>
      <w:tcPr>
        <w:tcBorders>
          <w:top w:val="single" w:sz="8" w:space="0" w:color="46641D" w:themeColor="accent4"/>
          <w:left w:val="single" w:sz="8" w:space="0" w:color="46641D" w:themeColor="accent4"/>
          <w:bottom w:val="single" w:sz="8" w:space="0" w:color="46641D" w:themeColor="accent4"/>
          <w:right w:val="single" w:sz="8" w:space="0" w:color="46641D" w:themeColor="accent4"/>
          <w:insideV w:val="single" w:sz="8" w:space="0" w:color="46641D" w:themeColor="accent4"/>
        </w:tcBorders>
      </w:tcPr>
    </w:tblStylePr>
  </w:style>
  <w:style w:type="table" w:styleId="LightGrid-Accent5">
    <w:name w:val="Light Grid Accent 5"/>
    <w:basedOn w:val="TableNormal"/>
    <w:uiPriority w:val="62"/>
    <w:locked/>
    <w:rsid w:val="00372E2B"/>
    <w:pPr>
      <w:spacing w:before="170" w:after="0" w:line="240" w:lineRule="auto"/>
    </w:pPr>
    <w:tblPr>
      <w:tblStyleRowBandSize w:val="1"/>
      <w:tblStyleColBandSize w:val="1"/>
      <w:tblBorders>
        <w:top w:val="single" w:sz="8" w:space="0" w:color="00C85F" w:themeColor="accent5"/>
        <w:left w:val="single" w:sz="8" w:space="0" w:color="00C85F" w:themeColor="accent5"/>
        <w:bottom w:val="single" w:sz="8" w:space="0" w:color="00C85F" w:themeColor="accent5"/>
        <w:right w:val="single" w:sz="8" w:space="0" w:color="00C85F" w:themeColor="accent5"/>
        <w:insideH w:val="single" w:sz="8" w:space="0" w:color="00C85F" w:themeColor="accent5"/>
        <w:insideV w:val="single" w:sz="8" w:space="0" w:color="00C8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C85F" w:themeColor="accent5"/>
          <w:left w:val="single" w:sz="8" w:space="0" w:color="00C85F" w:themeColor="accent5"/>
          <w:bottom w:val="single" w:sz="18" w:space="0" w:color="00C85F" w:themeColor="accent5"/>
          <w:right w:val="single" w:sz="8" w:space="0" w:color="00C85F" w:themeColor="accent5"/>
          <w:insideH w:val="nil"/>
          <w:insideV w:val="single" w:sz="8" w:space="0" w:color="00C8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C85F" w:themeColor="accent5"/>
          <w:left w:val="single" w:sz="8" w:space="0" w:color="00C85F" w:themeColor="accent5"/>
          <w:bottom w:val="single" w:sz="8" w:space="0" w:color="00C85F" w:themeColor="accent5"/>
          <w:right w:val="single" w:sz="8" w:space="0" w:color="00C85F" w:themeColor="accent5"/>
          <w:insideH w:val="nil"/>
          <w:insideV w:val="single" w:sz="8" w:space="0" w:color="00C8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C85F" w:themeColor="accent5"/>
          <w:left w:val="single" w:sz="8" w:space="0" w:color="00C85F" w:themeColor="accent5"/>
          <w:bottom w:val="single" w:sz="8" w:space="0" w:color="00C85F" w:themeColor="accent5"/>
          <w:right w:val="single" w:sz="8" w:space="0" w:color="00C85F" w:themeColor="accent5"/>
        </w:tcBorders>
      </w:tcPr>
    </w:tblStylePr>
    <w:tblStylePr w:type="band1Vert">
      <w:tblPr/>
      <w:tcPr>
        <w:tcBorders>
          <w:top w:val="single" w:sz="8" w:space="0" w:color="00C85F" w:themeColor="accent5"/>
          <w:left w:val="single" w:sz="8" w:space="0" w:color="00C85F" w:themeColor="accent5"/>
          <w:bottom w:val="single" w:sz="8" w:space="0" w:color="00C85F" w:themeColor="accent5"/>
          <w:right w:val="single" w:sz="8" w:space="0" w:color="00C85F" w:themeColor="accent5"/>
        </w:tcBorders>
        <w:shd w:val="clear" w:color="auto" w:fill="B2FFD6" w:themeFill="accent5" w:themeFillTint="3F"/>
      </w:tcPr>
    </w:tblStylePr>
    <w:tblStylePr w:type="band1Horz">
      <w:tblPr/>
      <w:tcPr>
        <w:tcBorders>
          <w:top w:val="single" w:sz="8" w:space="0" w:color="00C85F" w:themeColor="accent5"/>
          <w:left w:val="single" w:sz="8" w:space="0" w:color="00C85F" w:themeColor="accent5"/>
          <w:bottom w:val="single" w:sz="8" w:space="0" w:color="00C85F" w:themeColor="accent5"/>
          <w:right w:val="single" w:sz="8" w:space="0" w:color="00C85F" w:themeColor="accent5"/>
          <w:insideV w:val="single" w:sz="8" w:space="0" w:color="00C85F" w:themeColor="accent5"/>
        </w:tcBorders>
        <w:shd w:val="clear" w:color="auto" w:fill="B2FFD6" w:themeFill="accent5" w:themeFillTint="3F"/>
      </w:tcPr>
    </w:tblStylePr>
    <w:tblStylePr w:type="band2Horz">
      <w:tblPr/>
      <w:tcPr>
        <w:tcBorders>
          <w:top w:val="single" w:sz="8" w:space="0" w:color="00C85F" w:themeColor="accent5"/>
          <w:left w:val="single" w:sz="8" w:space="0" w:color="00C85F" w:themeColor="accent5"/>
          <w:bottom w:val="single" w:sz="8" w:space="0" w:color="00C85F" w:themeColor="accent5"/>
          <w:right w:val="single" w:sz="8" w:space="0" w:color="00C85F" w:themeColor="accent5"/>
          <w:insideV w:val="single" w:sz="8" w:space="0" w:color="00C85F" w:themeColor="accent5"/>
        </w:tcBorders>
      </w:tcPr>
    </w:tblStylePr>
  </w:style>
  <w:style w:type="table" w:styleId="LightGrid-Accent6">
    <w:name w:val="Light Grid Accent 6"/>
    <w:basedOn w:val="TableNormal"/>
    <w:uiPriority w:val="62"/>
    <w:locked/>
    <w:rsid w:val="00372E2B"/>
    <w:pPr>
      <w:spacing w:before="170" w:after="0" w:line="240" w:lineRule="auto"/>
    </w:pPr>
    <w:tblPr>
      <w:tblStyleRowBandSize w:val="1"/>
      <w:tblStyleColBandSize w:val="1"/>
      <w:tblBorders>
        <w:top w:val="single" w:sz="8" w:space="0" w:color="D1E8B2" w:themeColor="accent6"/>
        <w:left w:val="single" w:sz="8" w:space="0" w:color="D1E8B2" w:themeColor="accent6"/>
        <w:bottom w:val="single" w:sz="8" w:space="0" w:color="D1E8B2" w:themeColor="accent6"/>
        <w:right w:val="single" w:sz="8" w:space="0" w:color="D1E8B2" w:themeColor="accent6"/>
        <w:insideH w:val="single" w:sz="8" w:space="0" w:color="D1E8B2" w:themeColor="accent6"/>
        <w:insideV w:val="single" w:sz="8" w:space="0" w:color="D1E8B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E8B2" w:themeColor="accent6"/>
          <w:left w:val="single" w:sz="8" w:space="0" w:color="D1E8B2" w:themeColor="accent6"/>
          <w:bottom w:val="single" w:sz="18" w:space="0" w:color="D1E8B2" w:themeColor="accent6"/>
          <w:right w:val="single" w:sz="8" w:space="0" w:color="D1E8B2" w:themeColor="accent6"/>
          <w:insideH w:val="nil"/>
          <w:insideV w:val="single" w:sz="8" w:space="0" w:color="D1E8B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E8B2" w:themeColor="accent6"/>
          <w:left w:val="single" w:sz="8" w:space="0" w:color="D1E8B2" w:themeColor="accent6"/>
          <w:bottom w:val="single" w:sz="8" w:space="0" w:color="D1E8B2" w:themeColor="accent6"/>
          <w:right w:val="single" w:sz="8" w:space="0" w:color="D1E8B2" w:themeColor="accent6"/>
          <w:insideH w:val="nil"/>
          <w:insideV w:val="single" w:sz="8" w:space="0" w:color="D1E8B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E8B2" w:themeColor="accent6"/>
          <w:left w:val="single" w:sz="8" w:space="0" w:color="D1E8B2" w:themeColor="accent6"/>
          <w:bottom w:val="single" w:sz="8" w:space="0" w:color="D1E8B2" w:themeColor="accent6"/>
          <w:right w:val="single" w:sz="8" w:space="0" w:color="D1E8B2" w:themeColor="accent6"/>
        </w:tcBorders>
      </w:tcPr>
    </w:tblStylePr>
    <w:tblStylePr w:type="band1Vert">
      <w:tblPr/>
      <w:tcPr>
        <w:tcBorders>
          <w:top w:val="single" w:sz="8" w:space="0" w:color="D1E8B2" w:themeColor="accent6"/>
          <w:left w:val="single" w:sz="8" w:space="0" w:color="D1E8B2" w:themeColor="accent6"/>
          <w:bottom w:val="single" w:sz="8" w:space="0" w:color="D1E8B2" w:themeColor="accent6"/>
          <w:right w:val="single" w:sz="8" w:space="0" w:color="D1E8B2" w:themeColor="accent6"/>
        </w:tcBorders>
        <w:shd w:val="clear" w:color="auto" w:fill="F3F9EB" w:themeFill="accent6" w:themeFillTint="3F"/>
      </w:tcPr>
    </w:tblStylePr>
    <w:tblStylePr w:type="band1Horz">
      <w:tblPr/>
      <w:tcPr>
        <w:tcBorders>
          <w:top w:val="single" w:sz="8" w:space="0" w:color="D1E8B2" w:themeColor="accent6"/>
          <w:left w:val="single" w:sz="8" w:space="0" w:color="D1E8B2" w:themeColor="accent6"/>
          <w:bottom w:val="single" w:sz="8" w:space="0" w:color="D1E8B2" w:themeColor="accent6"/>
          <w:right w:val="single" w:sz="8" w:space="0" w:color="D1E8B2" w:themeColor="accent6"/>
          <w:insideV w:val="single" w:sz="8" w:space="0" w:color="D1E8B2" w:themeColor="accent6"/>
        </w:tcBorders>
        <w:shd w:val="clear" w:color="auto" w:fill="F3F9EB" w:themeFill="accent6" w:themeFillTint="3F"/>
      </w:tcPr>
    </w:tblStylePr>
    <w:tblStylePr w:type="band2Horz">
      <w:tblPr/>
      <w:tcPr>
        <w:tcBorders>
          <w:top w:val="single" w:sz="8" w:space="0" w:color="D1E8B2" w:themeColor="accent6"/>
          <w:left w:val="single" w:sz="8" w:space="0" w:color="D1E8B2" w:themeColor="accent6"/>
          <w:bottom w:val="single" w:sz="8" w:space="0" w:color="D1E8B2" w:themeColor="accent6"/>
          <w:right w:val="single" w:sz="8" w:space="0" w:color="D1E8B2" w:themeColor="accent6"/>
          <w:insideV w:val="single" w:sz="8" w:space="0" w:color="D1E8B2" w:themeColor="accent6"/>
        </w:tcBorders>
      </w:tcPr>
    </w:tblStylePr>
  </w:style>
  <w:style w:type="table" w:styleId="LightList">
    <w:name w:val="Light List"/>
    <w:basedOn w:val="TableNormal"/>
    <w:uiPriority w:val="61"/>
    <w:locked/>
    <w:rsid w:val="00372E2B"/>
    <w:pPr>
      <w:spacing w:before="170"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locked/>
    <w:rsid w:val="00372E2B"/>
    <w:pPr>
      <w:spacing w:before="170" w:after="0" w:line="240" w:lineRule="auto"/>
    </w:pPr>
    <w:tblPr>
      <w:tblStyleRowBandSize w:val="1"/>
      <w:tblStyleColBandSize w:val="1"/>
      <w:tblBorders>
        <w:top w:val="single" w:sz="8" w:space="0" w:color="00853F" w:themeColor="accent1"/>
        <w:left w:val="single" w:sz="8" w:space="0" w:color="00853F" w:themeColor="accent1"/>
        <w:bottom w:val="single" w:sz="8" w:space="0" w:color="00853F" w:themeColor="accent1"/>
        <w:right w:val="single" w:sz="8" w:space="0" w:color="00853F" w:themeColor="accent1"/>
      </w:tblBorders>
    </w:tblPr>
    <w:tblStylePr w:type="firstRow">
      <w:pPr>
        <w:spacing w:before="0" w:after="0" w:line="240" w:lineRule="auto"/>
      </w:pPr>
      <w:rPr>
        <w:b/>
        <w:bCs/>
        <w:color w:val="FFFFFF" w:themeColor="background1"/>
      </w:rPr>
      <w:tblPr/>
      <w:tcPr>
        <w:shd w:val="clear" w:color="auto" w:fill="00853F" w:themeFill="accent1"/>
      </w:tcPr>
    </w:tblStylePr>
    <w:tblStylePr w:type="lastRow">
      <w:pPr>
        <w:spacing w:before="0" w:after="0" w:line="240" w:lineRule="auto"/>
      </w:pPr>
      <w:rPr>
        <w:b/>
        <w:bCs/>
      </w:rPr>
      <w:tblPr/>
      <w:tcPr>
        <w:tcBorders>
          <w:top w:val="double" w:sz="6" w:space="0" w:color="00853F" w:themeColor="accent1"/>
          <w:left w:val="single" w:sz="8" w:space="0" w:color="00853F" w:themeColor="accent1"/>
          <w:bottom w:val="single" w:sz="8" w:space="0" w:color="00853F" w:themeColor="accent1"/>
          <w:right w:val="single" w:sz="8" w:space="0" w:color="00853F" w:themeColor="accent1"/>
        </w:tcBorders>
      </w:tcPr>
    </w:tblStylePr>
    <w:tblStylePr w:type="firstCol">
      <w:rPr>
        <w:b/>
        <w:bCs/>
      </w:rPr>
    </w:tblStylePr>
    <w:tblStylePr w:type="lastCol">
      <w:rPr>
        <w:b/>
        <w:bCs/>
      </w:rPr>
    </w:tblStylePr>
    <w:tblStylePr w:type="band1Vert">
      <w:tblPr/>
      <w:tcPr>
        <w:tcBorders>
          <w:top w:val="single" w:sz="8" w:space="0" w:color="00853F" w:themeColor="accent1"/>
          <w:left w:val="single" w:sz="8" w:space="0" w:color="00853F" w:themeColor="accent1"/>
          <w:bottom w:val="single" w:sz="8" w:space="0" w:color="00853F" w:themeColor="accent1"/>
          <w:right w:val="single" w:sz="8" w:space="0" w:color="00853F" w:themeColor="accent1"/>
        </w:tcBorders>
      </w:tcPr>
    </w:tblStylePr>
    <w:tblStylePr w:type="band1Horz">
      <w:tblPr/>
      <w:tcPr>
        <w:tcBorders>
          <w:top w:val="single" w:sz="8" w:space="0" w:color="00853F" w:themeColor="accent1"/>
          <w:left w:val="single" w:sz="8" w:space="0" w:color="00853F" w:themeColor="accent1"/>
          <w:bottom w:val="single" w:sz="8" w:space="0" w:color="00853F" w:themeColor="accent1"/>
          <w:right w:val="single" w:sz="8" w:space="0" w:color="00853F" w:themeColor="accent1"/>
        </w:tcBorders>
      </w:tcPr>
    </w:tblStylePr>
  </w:style>
  <w:style w:type="table" w:styleId="LightList-Accent2">
    <w:name w:val="Light List Accent 2"/>
    <w:basedOn w:val="TableNormal"/>
    <w:uiPriority w:val="61"/>
    <w:locked/>
    <w:rsid w:val="00372E2B"/>
    <w:pPr>
      <w:spacing w:before="170" w:after="0" w:line="240" w:lineRule="auto"/>
    </w:pPr>
    <w:tblPr>
      <w:tblStyleRowBandSize w:val="1"/>
      <w:tblStyleColBandSize w:val="1"/>
      <w:tblBorders>
        <w:top w:val="single" w:sz="8" w:space="0" w:color="8DC63F" w:themeColor="accent2"/>
        <w:left w:val="single" w:sz="8" w:space="0" w:color="8DC63F" w:themeColor="accent2"/>
        <w:bottom w:val="single" w:sz="8" w:space="0" w:color="8DC63F" w:themeColor="accent2"/>
        <w:right w:val="single" w:sz="8" w:space="0" w:color="8DC63F" w:themeColor="accent2"/>
      </w:tblBorders>
    </w:tblPr>
    <w:tblStylePr w:type="firstRow">
      <w:pPr>
        <w:spacing w:before="0" w:after="0" w:line="240" w:lineRule="auto"/>
      </w:pPr>
      <w:rPr>
        <w:b/>
        <w:bCs/>
        <w:color w:val="FFFFFF" w:themeColor="background1"/>
      </w:rPr>
      <w:tblPr/>
      <w:tcPr>
        <w:shd w:val="clear" w:color="auto" w:fill="8DC63F" w:themeFill="accent2"/>
      </w:tcPr>
    </w:tblStylePr>
    <w:tblStylePr w:type="lastRow">
      <w:pPr>
        <w:spacing w:before="0" w:after="0" w:line="240" w:lineRule="auto"/>
      </w:pPr>
      <w:rPr>
        <w:b/>
        <w:bCs/>
      </w:rPr>
      <w:tblPr/>
      <w:tcPr>
        <w:tcBorders>
          <w:top w:val="double" w:sz="6" w:space="0" w:color="8DC63F" w:themeColor="accent2"/>
          <w:left w:val="single" w:sz="8" w:space="0" w:color="8DC63F" w:themeColor="accent2"/>
          <w:bottom w:val="single" w:sz="8" w:space="0" w:color="8DC63F" w:themeColor="accent2"/>
          <w:right w:val="single" w:sz="8" w:space="0" w:color="8DC63F" w:themeColor="accent2"/>
        </w:tcBorders>
      </w:tcPr>
    </w:tblStylePr>
    <w:tblStylePr w:type="firstCol">
      <w:rPr>
        <w:b/>
        <w:bCs/>
      </w:rPr>
    </w:tblStylePr>
    <w:tblStylePr w:type="lastCol">
      <w:rPr>
        <w:b/>
        <w:bCs/>
      </w:rPr>
    </w:tblStylePr>
    <w:tblStylePr w:type="band1Vert">
      <w:tblPr/>
      <w:tcPr>
        <w:tcBorders>
          <w:top w:val="single" w:sz="8" w:space="0" w:color="8DC63F" w:themeColor="accent2"/>
          <w:left w:val="single" w:sz="8" w:space="0" w:color="8DC63F" w:themeColor="accent2"/>
          <w:bottom w:val="single" w:sz="8" w:space="0" w:color="8DC63F" w:themeColor="accent2"/>
          <w:right w:val="single" w:sz="8" w:space="0" w:color="8DC63F" w:themeColor="accent2"/>
        </w:tcBorders>
      </w:tcPr>
    </w:tblStylePr>
    <w:tblStylePr w:type="band1Horz">
      <w:tblPr/>
      <w:tcPr>
        <w:tcBorders>
          <w:top w:val="single" w:sz="8" w:space="0" w:color="8DC63F" w:themeColor="accent2"/>
          <w:left w:val="single" w:sz="8" w:space="0" w:color="8DC63F" w:themeColor="accent2"/>
          <w:bottom w:val="single" w:sz="8" w:space="0" w:color="8DC63F" w:themeColor="accent2"/>
          <w:right w:val="single" w:sz="8" w:space="0" w:color="8DC63F" w:themeColor="accent2"/>
        </w:tcBorders>
      </w:tcPr>
    </w:tblStylePr>
  </w:style>
  <w:style w:type="table" w:styleId="LightList-Accent3">
    <w:name w:val="Light List Accent 3"/>
    <w:basedOn w:val="TableNormal"/>
    <w:uiPriority w:val="61"/>
    <w:locked/>
    <w:rsid w:val="00372E2B"/>
    <w:pPr>
      <w:spacing w:before="170" w:after="0" w:line="240" w:lineRule="auto"/>
    </w:pPr>
    <w:tblPr>
      <w:tblStyleRowBandSize w:val="1"/>
      <w:tblStyleColBandSize w:val="1"/>
      <w:tblBorders>
        <w:top w:val="single" w:sz="8" w:space="0" w:color="00421F" w:themeColor="accent3"/>
        <w:left w:val="single" w:sz="8" w:space="0" w:color="00421F" w:themeColor="accent3"/>
        <w:bottom w:val="single" w:sz="8" w:space="0" w:color="00421F" w:themeColor="accent3"/>
        <w:right w:val="single" w:sz="8" w:space="0" w:color="00421F" w:themeColor="accent3"/>
      </w:tblBorders>
    </w:tblPr>
    <w:tblStylePr w:type="firstRow">
      <w:pPr>
        <w:spacing w:before="0" w:after="0" w:line="240" w:lineRule="auto"/>
      </w:pPr>
      <w:rPr>
        <w:b/>
        <w:bCs/>
        <w:color w:val="FFFFFF" w:themeColor="background1"/>
      </w:rPr>
      <w:tblPr/>
      <w:tcPr>
        <w:shd w:val="clear" w:color="auto" w:fill="00421F" w:themeFill="accent3"/>
      </w:tcPr>
    </w:tblStylePr>
    <w:tblStylePr w:type="lastRow">
      <w:pPr>
        <w:spacing w:before="0" w:after="0" w:line="240" w:lineRule="auto"/>
      </w:pPr>
      <w:rPr>
        <w:b/>
        <w:bCs/>
      </w:rPr>
      <w:tblPr/>
      <w:tcPr>
        <w:tcBorders>
          <w:top w:val="double" w:sz="6" w:space="0" w:color="00421F" w:themeColor="accent3"/>
          <w:left w:val="single" w:sz="8" w:space="0" w:color="00421F" w:themeColor="accent3"/>
          <w:bottom w:val="single" w:sz="8" w:space="0" w:color="00421F" w:themeColor="accent3"/>
          <w:right w:val="single" w:sz="8" w:space="0" w:color="00421F" w:themeColor="accent3"/>
        </w:tcBorders>
      </w:tcPr>
    </w:tblStylePr>
    <w:tblStylePr w:type="firstCol">
      <w:rPr>
        <w:b/>
        <w:bCs/>
      </w:rPr>
    </w:tblStylePr>
    <w:tblStylePr w:type="lastCol">
      <w:rPr>
        <w:b/>
        <w:bCs/>
      </w:rPr>
    </w:tblStylePr>
    <w:tblStylePr w:type="band1Vert">
      <w:tblPr/>
      <w:tcPr>
        <w:tcBorders>
          <w:top w:val="single" w:sz="8" w:space="0" w:color="00421F" w:themeColor="accent3"/>
          <w:left w:val="single" w:sz="8" w:space="0" w:color="00421F" w:themeColor="accent3"/>
          <w:bottom w:val="single" w:sz="8" w:space="0" w:color="00421F" w:themeColor="accent3"/>
          <w:right w:val="single" w:sz="8" w:space="0" w:color="00421F" w:themeColor="accent3"/>
        </w:tcBorders>
      </w:tcPr>
    </w:tblStylePr>
    <w:tblStylePr w:type="band1Horz">
      <w:tblPr/>
      <w:tcPr>
        <w:tcBorders>
          <w:top w:val="single" w:sz="8" w:space="0" w:color="00421F" w:themeColor="accent3"/>
          <w:left w:val="single" w:sz="8" w:space="0" w:color="00421F" w:themeColor="accent3"/>
          <w:bottom w:val="single" w:sz="8" w:space="0" w:color="00421F" w:themeColor="accent3"/>
          <w:right w:val="single" w:sz="8" w:space="0" w:color="00421F" w:themeColor="accent3"/>
        </w:tcBorders>
      </w:tcPr>
    </w:tblStylePr>
  </w:style>
  <w:style w:type="table" w:styleId="LightList-Accent4">
    <w:name w:val="Light List Accent 4"/>
    <w:basedOn w:val="TableNormal"/>
    <w:uiPriority w:val="61"/>
    <w:locked/>
    <w:rsid w:val="00372E2B"/>
    <w:pPr>
      <w:spacing w:before="170" w:after="0" w:line="240" w:lineRule="auto"/>
    </w:pPr>
    <w:tblPr>
      <w:tblStyleRowBandSize w:val="1"/>
      <w:tblStyleColBandSize w:val="1"/>
      <w:tblBorders>
        <w:top w:val="single" w:sz="8" w:space="0" w:color="46641D" w:themeColor="accent4"/>
        <w:left w:val="single" w:sz="8" w:space="0" w:color="46641D" w:themeColor="accent4"/>
        <w:bottom w:val="single" w:sz="8" w:space="0" w:color="46641D" w:themeColor="accent4"/>
        <w:right w:val="single" w:sz="8" w:space="0" w:color="46641D" w:themeColor="accent4"/>
      </w:tblBorders>
    </w:tblPr>
    <w:tblStylePr w:type="firstRow">
      <w:pPr>
        <w:spacing w:before="0" w:after="0" w:line="240" w:lineRule="auto"/>
      </w:pPr>
      <w:rPr>
        <w:b/>
        <w:bCs/>
        <w:color w:val="FFFFFF" w:themeColor="background1"/>
      </w:rPr>
      <w:tblPr/>
      <w:tcPr>
        <w:shd w:val="clear" w:color="auto" w:fill="46641D" w:themeFill="accent4"/>
      </w:tcPr>
    </w:tblStylePr>
    <w:tblStylePr w:type="lastRow">
      <w:pPr>
        <w:spacing w:before="0" w:after="0" w:line="240" w:lineRule="auto"/>
      </w:pPr>
      <w:rPr>
        <w:b/>
        <w:bCs/>
      </w:rPr>
      <w:tblPr/>
      <w:tcPr>
        <w:tcBorders>
          <w:top w:val="double" w:sz="6" w:space="0" w:color="46641D" w:themeColor="accent4"/>
          <w:left w:val="single" w:sz="8" w:space="0" w:color="46641D" w:themeColor="accent4"/>
          <w:bottom w:val="single" w:sz="8" w:space="0" w:color="46641D" w:themeColor="accent4"/>
          <w:right w:val="single" w:sz="8" w:space="0" w:color="46641D" w:themeColor="accent4"/>
        </w:tcBorders>
      </w:tcPr>
    </w:tblStylePr>
    <w:tblStylePr w:type="firstCol">
      <w:rPr>
        <w:b/>
        <w:bCs/>
      </w:rPr>
    </w:tblStylePr>
    <w:tblStylePr w:type="lastCol">
      <w:rPr>
        <w:b/>
        <w:bCs/>
      </w:rPr>
    </w:tblStylePr>
    <w:tblStylePr w:type="band1Vert">
      <w:tblPr/>
      <w:tcPr>
        <w:tcBorders>
          <w:top w:val="single" w:sz="8" w:space="0" w:color="46641D" w:themeColor="accent4"/>
          <w:left w:val="single" w:sz="8" w:space="0" w:color="46641D" w:themeColor="accent4"/>
          <w:bottom w:val="single" w:sz="8" w:space="0" w:color="46641D" w:themeColor="accent4"/>
          <w:right w:val="single" w:sz="8" w:space="0" w:color="46641D" w:themeColor="accent4"/>
        </w:tcBorders>
      </w:tcPr>
    </w:tblStylePr>
    <w:tblStylePr w:type="band1Horz">
      <w:tblPr/>
      <w:tcPr>
        <w:tcBorders>
          <w:top w:val="single" w:sz="8" w:space="0" w:color="46641D" w:themeColor="accent4"/>
          <w:left w:val="single" w:sz="8" w:space="0" w:color="46641D" w:themeColor="accent4"/>
          <w:bottom w:val="single" w:sz="8" w:space="0" w:color="46641D" w:themeColor="accent4"/>
          <w:right w:val="single" w:sz="8" w:space="0" w:color="46641D" w:themeColor="accent4"/>
        </w:tcBorders>
      </w:tcPr>
    </w:tblStylePr>
  </w:style>
  <w:style w:type="table" w:styleId="LightList-Accent5">
    <w:name w:val="Light List Accent 5"/>
    <w:basedOn w:val="TableNormal"/>
    <w:uiPriority w:val="61"/>
    <w:locked/>
    <w:rsid w:val="00372E2B"/>
    <w:pPr>
      <w:spacing w:before="170" w:after="0" w:line="240" w:lineRule="auto"/>
    </w:pPr>
    <w:tblPr>
      <w:tblStyleRowBandSize w:val="1"/>
      <w:tblStyleColBandSize w:val="1"/>
      <w:tblBorders>
        <w:top w:val="single" w:sz="8" w:space="0" w:color="00C85F" w:themeColor="accent5"/>
        <w:left w:val="single" w:sz="8" w:space="0" w:color="00C85F" w:themeColor="accent5"/>
        <w:bottom w:val="single" w:sz="8" w:space="0" w:color="00C85F" w:themeColor="accent5"/>
        <w:right w:val="single" w:sz="8" w:space="0" w:color="00C85F" w:themeColor="accent5"/>
      </w:tblBorders>
    </w:tblPr>
    <w:tblStylePr w:type="firstRow">
      <w:pPr>
        <w:spacing w:before="0" w:after="0" w:line="240" w:lineRule="auto"/>
      </w:pPr>
      <w:rPr>
        <w:b/>
        <w:bCs/>
        <w:color w:val="FFFFFF" w:themeColor="background1"/>
      </w:rPr>
      <w:tblPr/>
      <w:tcPr>
        <w:shd w:val="clear" w:color="auto" w:fill="00C85F" w:themeFill="accent5"/>
      </w:tcPr>
    </w:tblStylePr>
    <w:tblStylePr w:type="lastRow">
      <w:pPr>
        <w:spacing w:before="0" w:after="0" w:line="240" w:lineRule="auto"/>
      </w:pPr>
      <w:rPr>
        <w:b/>
        <w:bCs/>
      </w:rPr>
      <w:tblPr/>
      <w:tcPr>
        <w:tcBorders>
          <w:top w:val="double" w:sz="6" w:space="0" w:color="00C85F" w:themeColor="accent5"/>
          <w:left w:val="single" w:sz="8" w:space="0" w:color="00C85F" w:themeColor="accent5"/>
          <w:bottom w:val="single" w:sz="8" w:space="0" w:color="00C85F" w:themeColor="accent5"/>
          <w:right w:val="single" w:sz="8" w:space="0" w:color="00C85F" w:themeColor="accent5"/>
        </w:tcBorders>
      </w:tcPr>
    </w:tblStylePr>
    <w:tblStylePr w:type="firstCol">
      <w:rPr>
        <w:b/>
        <w:bCs/>
      </w:rPr>
    </w:tblStylePr>
    <w:tblStylePr w:type="lastCol">
      <w:rPr>
        <w:b/>
        <w:bCs/>
      </w:rPr>
    </w:tblStylePr>
    <w:tblStylePr w:type="band1Vert">
      <w:tblPr/>
      <w:tcPr>
        <w:tcBorders>
          <w:top w:val="single" w:sz="8" w:space="0" w:color="00C85F" w:themeColor="accent5"/>
          <w:left w:val="single" w:sz="8" w:space="0" w:color="00C85F" w:themeColor="accent5"/>
          <w:bottom w:val="single" w:sz="8" w:space="0" w:color="00C85F" w:themeColor="accent5"/>
          <w:right w:val="single" w:sz="8" w:space="0" w:color="00C85F" w:themeColor="accent5"/>
        </w:tcBorders>
      </w:tcPr>
    </w:tblStylePr>
    <w:tblStylePr w:type="band1Horz">
      <w:tblPr/>
      <w:tcPr>
        <w:tcBorders>
          <w:top w:val="single" w:sz="8" w:space="0" w:color="00C85F" w:themeColor="accent5"/>
          <w:left w:val="single" w:sz="8" w:space="0" w:color="00C85F" w:themeColor="accent5"/>
          <w:bottom w:val="single" w:sz="8" w:space="0" w:color="00C85F" w:themeColor="accent5"/>
          <w:right w:val="single" w:sz="8" w:space="0" w:color="00C85F" w:themeColor="accent5"/>
        </w:tcBorders>
      </w:tcPr>
    </w:tblStylePr>
  </w:style>
  <w:style w:type="table" w:styleId="LightList-Accent6">
    <w:name w:val="Light List Accent 6"/>
    <w:basedOn w:val="TableNormal"/>
    <w:uiPriority w:val="61"/>
    <w:locked/>
    <w:rsid w:val="00372E2B"/>
    <w:pPr>
      <w:spacing w:before="170" w:after="0" w:line="240" w:lineRule="auto"/>
    </w:pPr>
    <w:tblPr>
      <w:tblStyleRowBandSize w:val="1"/>
      <w:tblStyleColBandSize w:val="1"/>
      <w:tblBorders>
        <w:top w:val="single" w:sz="8" w:space="0" w:color="D1E8B2" w:themeColor="accent6"/>
        <w:left w:val="single" w:sz="8" w:space="0" w:color="D1E8B2" w:themeColor="accent6"/>
        <w:bottom w:val="single" w:sz="8" w:space="0" w:color="D1E8B2" w:themeColor="accent6"/>
        <w:right w:val="single" w:sz="8" w:space="0" w:color="D1E8B2" w:themeColor="accent6"/>
      </w:tblBorders>
    </w:tblPr>
    <w:tblStylePr w:type="firstRow">
      <w:pPr>
        <w:spacing w:before="0" w:after="0" w:line="240" w:lineRule="auto"/>
      </w:pPr>
      <w:rPr>
        <w:b/>
        <w:bCs/>
        <w:color w:val="FFFFFF" w:themeColor="background1"/>
      </w:rPr>
      <w:tblPr/>
      <w:tcPr>
        <w:shd w:val="clear" w:color="auto" w:fill="D1E8B2" w:themeFill="accent6"/>
      </w:tcPr>
    </w:tblStylePr>
    <w:tblStylePr w:type="lastRow">
      <w:pPr>
        <w:spacing w:before="0" w:after="0" w:line="240" w:lineRule="auto"/>
      </w:pPr>
      <w:rPr>
        <w:b/>
        <w:bCs/>
      </w:rPr>
      <w:tblPr/>
      <w:tcPr>
        <w:tcBorders>
          <w:top w:val="double" w:sz="6" w:space="0" w:color="D1E8B2" w:themeColor="accent6"/>
          <w:left w:val="single" w:sz="8" w:space="0" w:color="D1E8B2" w:themeColor="accent6"/>
          <w:bottom w:val="single" w:sz="8" w:space="0" w:color="D1E8B2" w:themeColor="accent6"/>
          <w:right w:val="single" w:sz="8" w:space="0" w:color="D1E8B2" w:themeColor="accent6"/>
        </w:tcBorders>
      </w:tcPr>
    </w:tblStylePr>
    <w:tblStylePr w:type="firstCol">
      <w:rPr>
        <w:b/>
        <w:bCs/>
      </w:rPr>
    </w:tblStylePr>
    <w:tblStylePr w:type="lastCol">
      <w:rPr>
        <w:b/>
        <w:bCs/>
      </w:rPr>
    </w:tblStylePr>
    <w:tblStylePr w:type="band1Vert">
      <w:tblPr/>
      <w:tcPr>
        <w:tcBorders>
          <w:top w:val="single" w:sz="8" w:space="0" w:color="D1E8B2" w:themeColor="accent6"/>
          <w:left w:val="single" w:sz="8" w:space="0" w:color="D1E8B2" w:themeColor="accent6"/>
          <w:bottom w:val="single" w:sz="8" w:space="0" w:color="D1E8B2" w:themeColor="accent6"/>
          <w:right w:val="single" w:sz="8" w:space="0" w:color="D1E8B2" w:themeColor="accent6"/>
        </w:tcBorders>
      </w:tcPr>
    </w:tblStylePr>
    <w:tblStylePr w:type="band1Horz">
      <w:tblPr/>
      <w:tcPr>
        <w:tcBorders>
          <w:top w:val="single" w:sz="8" w:space="0" w:color="D1E8B2" w:themeColor="accent6"/>
          <w:left w:val="single" w:sz="8" w:space="0" w:color="D1E8B2" w:themeColor="accent6"/>
          <w:bottom w:val="single" w:sz="8" w:space="0" w:color="D1E8B2" w:themeColor="accent6"/>
          <w:right w:val="single" w:sz="8" w:space="0" w:color="D1E8B2" w:themeColor="accent6"/>
        </w:tcBorders>
      </w:tcPr>
    </w:tblStylePr>
  </w:style>
  <w:style w:type="table" w:styleId="LightShading">
    <w:name w:val="Light Shading"/>
    <w:basedOn w:val="TableNormal"/>
    <w:uiPriority w:val="60"/>
    <w:locked/>
    <w:rsid w:val="00372E2B"/>
    <w:pPr>
      <w:spacing w:before="170" w:after="0"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locked/>
    <w:rsid w:val="00372E2B"/>
    <w:pPr>
      <w:spacing w:before="170" w:after="0" w:line="240" w:lineRule="auto"/>
    </w:pPr>
    <w:rPr>
      <w:color w:val="00632E" w:themeColor="accent1" w:themeShade="BF"/>
    </w:rPr>
    <w:tblPr>
      <w:tblStyleRowBandSize w:val="1"/>
      <w:tblStyleColBandSize w:val="1"/>
      <w:tblBorders>
        <w:top w:val="single" w:sz="8" w:space="0" w:color="00853F" w:themeColor="accent1"/>
        <w:bottom w:val="single" w:sz="8" w:space="0" w:color="00853F" w:themeColor="accent1"/>
      </w:tblBorders>
    </w:tblPr>
    <w:tblStylePr w:type="firstRow">
      <w:pPr>
        <w:spacing w:before="0" w:after="0" w:line="240" w:lineRule="auto"/>
      </w:pPr>
      <w:rPr>
        <w:b/>
        <w:bCs/>
      </w:rPr>
      <w:tblPr/>
      <w:tcPr>
        <w:tcBorders>
          <w:top w:val="single" w:sz="8" w:space="0" w:color="00853F" w:themeColor="accent1"/>
          <w:left w:val="nil"/>
          <w:bottom w:val="single" w:sz="8" w:space="0" w:color="00853F" w:themeColor="accent1"/>
          <w:right w:val="nil"/>
          <w:insideH w:val="nil"/>
          <w:insideV w:val="nil"/>
        </w:tcBorders>
      </w:tcPr>
    </w:tblStylePr>
    <w:tblStylePr w:type="lastRow">
      <w:pPr>
        <w:spacing w:before="0" w:after="0" w:line="240" w:lineRule="auto"/>
      </w:pPr>
      <w:rPr>
        <w:b/>
        <w:bCs/>
      </w:rPr>
      <w:tblPr/>
      <w:tcPr>
        <w:tcBorders>
          <w:top w:val="single" w:sz="8" w:space="0" w:color="00853F" w:themeColor="accent1"/>
          <w:left w:val="nil"/>
          <w:bottom w:val="single" w:sz="8" w:space="0" w:color="00853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FCD" w:themeFill="accent1" w:themeFillTint="3F"/>
      </w:tcPr>
    </w:tblStylePr>
    <w:tblStylePr w:type="band1Horz">
      <w:tblPr/>
      <w:tcPr>
        <w:tcBorders>
          <w:left w:val="nil"/>
          <w:right w:val="nil"/>
          <w:insideH w:val="nil"/>
          <w:insideV w:val="nil"/>
        </w:tcBorders>
        <w:shd w:val="clear" w:color="auto" w:fill="A1FFCD" w:themeFill="accent1" w:themeFillTint="3F"/>
      </w:tcPr>
    </w:tblStylePr>
  </w:style>
  <w:style w:type="table" w:styleId="LightShading-Accent2">
    <w:name w:val="Light Shading Accent 2"/>
    <w:basedOn w:val="TableNormal"/>
    <w:uiPriority w:val="60"/>
    <w:locked/>
    <w:rsid w:val="00372E2B"/>
    <w:pPr>
      <w:spacing w:before="170" w:after="0" w:line="240" w:lineRule="auto"/>
    </w:pPr>
    <w:rPr>
      <w:color w:val="69962C" w:themeColor="accent2" w:themeShade="BF"/>
    </w:rPr>
    <w:tblPr>
      <w:tblStyleRowBandSize w:val="1"/>
      <w:tblStyleColBandSize w:val="1"/>
      <w:tblBorders>
        <w:top w:val="single" w:sz="8" w:space="0" w:color="8DC63F" w:themeColor="accent2"/>
        <w:bottom w:val="single" w:sz="8" w:space="0" w:color="8DC63F" w:themeColor="accent2"/>
      </w:tblBorders>
    </w:tblPr>
    <w:tblStylePr w:type="firstRow">
      <w:pPr>
        <w:spacing w:before="0" w:after="0" w:line="240" w:lineRule="auto"/>
      </w:pPr>
      <w:rPr>
        <w:b/>
        <w:bCs/>
      </w:rPr>
      <w:tblPr/>
      <w:tcPr>
        <w:tcBorders>
          <w:top w:val="single" w:sz="8" w:space="0" w:color="8DC63F" w:themeColor="accent2"/>
          <w:left w:val="nil"/>
          <w:bottom w:val="single" w:sz="8" w:space="0" w:color="8DC63F" w:themeColor="accent2"/>
          <w:right w:val="nil"/>
          <w:insideH w:val="nil"/>
          <w:insideV w:val="nil"/>
        </w:tcBorders>
      </w:tcPr>
    </w:tblStylePr>
    <w:tblStylePr w:type="lastRow">
      <w:pPr>
        <w:spacing w:before="0" w:after="0" w:line="240" w:lineRule="auto"/>
      </w:pPr>
      <w:rPr>
        <w:b/>
        <w:bCs/>
      </w:rPr>
      <w:tblPr/>
      <w:tcPr>
        <w:tcBorders>
          <w:top w:val="single" w:sz="8" w:space="0" w:color="8DC63F" w:themeColor="accent2"/>
          <w:left w:val="nil"/>
          <w:bottom w:val="single" w:sz="8" w:space="0" w:color="8DC63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2" w:themeFillTint="3F"/>
      </w:tcPr>
    </w:tblStylePr>
    <w:tblStylePr w:type="band1Horz">
      <w:tblPr/>
      <w:tcPr>
        <w:tcBorders>
          <w:left w:val="nil"/>
          <w:right w:val="nil"/>
          <w:insideH w:val="nil"/>
          <w:insideV w:val="nil"/>
        </w:tcBorders>
        <w:shd w:val="clear" w:color="auto" w:fill="E2F1CF" w:themeFill="accent2" w:themeFillTint="3F"/>
      </w:tcPr>
    </w:tblStylePr>
  </w:style>
  <w:style w:type="table" w:styleId="LightShading-Accent3">
    <w:name w:val="Light Shading Accent 3"/>
    <w:basedOn w:val="TableNormal"/>
    <w:uiPriority w:val="60"/>
    <w:locked/>
    <w:rsid w:val="00372E2B"/>
    <w:pPr>
      <w:spacing w:before="170" w:after="0" w:line="240" w:lineRule="auto"/>
    </w:pPr>
    <w:rPr>
      <w:color w:val="003117" w:themeColor="accent3" w:themeShade="BF"/>
    </w:rPr>
    <w:tblPr>
      <w:tblStyleRowBandSize w:val="1"/>
      <w:tblStyleColBandSize w:val="1"/>
      <w:tblBorders>
        <w:top w:val="single" w:sz="8" w:space="0" w:color="00421F" w:themeColor="accent3"/>
        <w:bottom w:val="single" w:sz="8" w:space="0" w:color="00421F" w:themeColor="accent3"/>
      </w:tblBorders>
    </w:tblPr>
    <w:tblStylePr w:type="firstRow">
      <w:pPr>
        <w:spacing w:before="0" w:after="0" w:line="240" w:lineRule="auto"/>
      </w:pPr>
      <w:rPr>
        <w:b/>
        <w:bCs/>
      </w:rPr>
      <w:tblPr/>
      <w:tcPr>
        <w:tcBorders>
          <w:top w:val="single" w:sz="8" w:space="0" w:color="00421F" w:themeColor="accent3"/>
          <w:left w:val="nil"/>
          <w:bottom w:val="single" w:sz="8" w:space="0" w:color="00421F" w:themeColor="accent3"/>
          <w:right w:val="nil"/>
          <w:insideH w:val="nil"/>
          <w:insideV w:val="nil"/>
        </w:tcBorders>
      </w:tcPr>
    </w:tblStylePr>
    <w:tblStylePr w:type="lastRow">
      <w:pPr>
        <w:spacing w:before="0" w:after="0" w:line="240" w:lineRule="auto"/>
      </w:pPr>
      <w:rPr>
        <w:b/>
        <w:bCs/>
      </w:rPr>
      <w:tblPr/>
      <w:tcPr>
        <w:tcBorders>
          <w:top w:val="single" w:sz="8" w:space="0" w:color="00421F" w:themeColor="accent3"/>
          <w:left w:val="nil"/>
          <w:bottom w:val="single" w:sz="8" w:space="0" w:color="0042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FFC4" w:themeFill="accent3" w:themeFillTint="3F"/>
      </w:tcPr>
    </w:tblStylePr>
    <w:tblStylePr w:type="band1Horz">
      <w:tblPr/>
      <w:tcPr>
        <w:tcBorders>
          <w:left w:val="nil"/>
          <w:right w:val="nil"/>
          <w:insideH w:val="nil"/>
          <w:insideV w:val="nil"/>
        </w:tcBorders>
        <w:shd w:val="clear" w:color="auto" w:fill="91FFC4" w:themeFill="accent3" w:themeFillTint="3F"/>
      </w:tcPr>
    </w:tblStylePr>
  </w:style>
  <w:style w:type="table" w:styleId="LightShading-Accent4">
    <w:name w:val="Light Shading Accent 4"/>
    <w:basedOn w:val="TableNormal"/>
    <w:uiPriority w:val="60"/>
    <w:locked/>
    <w:rsid w:val="00372E2B"/>
    <w:pPr>
      <w:spacing w:before="170" w:after="0" w:line="240" w:lineRule="auto"/>
    </w:pPr>
    <w:rPr>
      <w:color w:val="344A15" w:themeColor="accent4" w:themeShade="BF"/>
    </w:rPr>
    <w:tblPr>
      <w:tblStyleRowBandSize w:val="1"/>
      <w:tblStyleColBandSize w:val="1"/>
      <w:tblBorders>
        <w:top w:val="single" w:sz="8" w:space="0" w:color="46641D" w:themeColor="accent4"/>
        <w:bottom w:val="single" w:sz="8" w:space="0" w:color="46641D" w:themeColor="accent4"/>
      </w:tblBorders>
    </w:tblPr>
    <w:tblStylePr w:type="firstRow">
      <w:pPr>
        <w:spacing w:before="0" w:after="0" w:line="240" w:lineRule="auto"/>
      </w:pPr>
      <w:rPr>
        <w:b/>
        <w:bCs/>
      </w:rPr>
      <w:tblPr/>
      <w:tcPr>
        <w:tcBorders>
          <w:top w:val="single" w:sz="8" w:space="0" w:color="46641D" w:themeColor="accent4"/>
          <w:left w:val="nil"/>
          <w:bottom w:val="single" w:sz="8" w:space="0" w:color="46641D" w:themeColor="accent4"/>
          <w:right w:val="nil"/>
          <w:insideH w:val="nil"/>
          <w:insideV w:val="nil"/>
        </w:tcBorders>
      </w:tcPr>
    </w:tblStylePr>
    <w:tblStylePr w:type="lastRow">
      <w:pPr>
        <w:spacing w:before="0" w:after="0" w:line="240" w:lineRule="auto"/>
      </w:pPr>
      <w:rPr>
        <w:b/>
        <w:bCs/>
      </w:rPr>
      <w:tblPr/>
      <w:tcPr>
        <w:tcBorders>
          <w:top w:val="single" w:sz="8" w:space="0" w:color="46641D" w:themeColor="accent4"/>
          <w:left w:val="nil"/>
          <w:bottom w:val="single" w:sz="8" w:space="0" w:color="46641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9B5" w:themeFill="accent4" w:themeFillTint="3F"/>
      </w:tcPr>
    </w:tblStylePr>
    <w:tblStylePr w:type="band1Horz">
      <w:tblPr/>
      <w:tcPr>
        <w:tcBorders>
          <w:left w:val="nil"/>
          <w:right w:val="nil"/>
          <w:insideH w:val="nil"/>
          <w:insideV w:val="nil"/>
        </w:tcBorders>
        <w:shd w:val="clear" w:color="auto" w:fill="D3E9B5" w:themeFill="accent4" w:themeFillTint="3F"/>
      </w:tcPr>
    </w:tblStylePr>
  </w:style>
  <w:style w:type="table" w:styleId="LightShading-Accent5">
    <w:name w:val="Light Shading Accent 5"/>
    <w:basedOn w:val="TableNormal"/>
    <w:uiPriority w:val="60"/>
    <w:locked/>
    <w:rsid w:val="00372E2B"/>
    <w:pPr>
      <w:spacing w:before="170" w:after="0" w:line="240" w:lineRule="auto"/>
    </w:pPr>
    <w:rPr>
      <w:color w:val="009547" w:themeColor="accent5" w:themeShade="BF"/>
    </w:rPr>
    <w:tblPr>
      <w:tblStyleRowBandSize w:val="1"/>
      <w:tblStyleColBandSize w:val="1"/>
      <w:tblBorders>
        <w:top w:val="single" w:sz="8" w:space="0" w:color="00C85F" w:themeColor="accent5"/>
        <w:bottom w:val="single" w:sz="8" w:space="0" w:color="00C85F" w:themeColor="accent5"/>
      </w:tblBorders>
    </w:tblPr>
    <w:tblStylePr w:type="firstRow">
      <w:pPr>
        <w:spacing w:before="0" w:after="0" w:line="240" w:lineRule="auto"/>
      </w:pPr>
      <w:rPr>
        <w:b/>
        <w:bCs/>
      </w:rPr>
      <w:tblPr/>
      <w:tcPr>
        <w:tcBorders>
          <w:top w:val="single" w:sz="8" w:space="0" w:color="00C85F" w:themeColor="accent5"/>
          <w:left w:val="nil"/>
          <w:bottom w:val="single" w:sz="8" w:space="0" w:color="00C85F" w:themeColor="accent5"/>
          <w:right w:val="nil"/>
          <w:insideH w:val="nil"/>
          <w:insideV w:val="nil"/>
        </w:tcBorders>
      </w:tcPr>
    </w:tblStylePr>
    <w:tblStylePr w:type="lastRow">
      <w:pPr>
        <w:spacing w:before="0" w:after="0" w:line="240" w:lineRule="auto"/>
      </w:pPr>
      <w:rPr>
        <w:b/>
        <w:bCs/>
      </w:rPr>
      <w:tblPr/>
      <w:tcPr>
        <w:tcBorders>
          <w:top w:val="single" w:sz="8" w:space="0" w:color="00C85F" w:themeColor="accent5"/>
          <w:left w:val="nil"/>
          <w:bottom w:val="single" w:sz="8" w:space="0" w:color="00C8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FD6" w:themeFill="accent5" w:themeFillTint="3F"/>
      </w:tcPr>
    </w:tblStylePr>
    <w:tblStylePr w:type="band1Horz">
      <w:tblPr/>
      <w:tcPr>
        <w:tcBorders>
          <w:left w:val="nil"/>
          <w:right w:val="nil"/>
          <w:insideH w:val="nil"/>
          <w:insideV w:val="nil"/>
        </w:tcBorders>
        <w:shd w:val="clear" w:color="auto" w:fill="B2FFD6" w:themeFill="accent5" w:themeFillTint="3F"/>
      </w:tcPr>
    </w:tblStylePr>
  </w:style>
  <w:style w:type="table" w:styleId="LightShading-Accent6">
    <w:name w:val="Light Shading Accent 6"/>
    <w:basedOn w:val="TableNormal"/>
    <w:uiPriority w:val="60"/>
    <w:locked/>
    <w:rsid w:val="00372E2B"/>
    <w:pPr>
      <w:spacing w:before="170" w:after="0" w:line="240" w:lineRule="auto"/>
    </w:pPr>
    <w:rPr>
      <w:color w:val="A1D062" w:themeColor="accent6" w:themeShade="BF"/>
    </w:rPr>
    <w:tblPr>
      <w:tblStyleRowBandSize w:val="1"/>
      <w:tblStyleColBandSize w:val="1"/>
      <w:tblBorders>
        <w:top w:val="single" w:sz="8" w:space="0" w:color="D1E8B2" w:themeColor="accent6"/>
        <w:bottom w:val="single" w:sz="8" w:space="0" w:color="D1E8B2" w:themeColor="accent6"/>
      </w:tblBorders>
    </w:tblPr>
    <w:tblStylePr w:type="firstRow">
      <w:pPr>
        <w:spacing w:before="0" w:after="0" w:line="240" w:lineRule="auto"/>
      </w:pPr>
      <w:rPr>
        <w:b/>
        <w:bCs/>
      </w:rPr>
      <w:tblPr/>
      <w:tcPr>
        <w:tcBorders>
          <w:top w:val="single" w:sz="8" w:space="0" w:color="D1E8B2" w:themeColor="accent6"/>
          <w:left w:val="nil"/>
          <w:bottom w:val="single" w:sz="8" w:space="0" w:color="D1E8B2" w:themeColor="accent6"/>
          <w:right w:val="nil"/>
          <w:insideH w:val="nil"/>
          <w:insideV w:val="nil"/>
        </w:tcBorders>
      </w:tcPr>
    </w:tblStylePr>
    <w:tblStylePr w:type="lastRow">
      <w:pPr>
        <w:spacing w:before="0" w:after="0" w:line="240" w:lineRule="auto"/>
      </w:pPr>
      <w:rPr>
        <w:b/>
        <w:bCs/>
      </w:rPr>
      <w:tblPr/>
      <w:tcPr>
        <w:tcBorders>
          <w:top w:val="single" w:sz="8" w:space="0" w:color="D1E8B2" w:themeColor="accent6"/>
          <w:left w:val="nil"/>
          <w:bottom w:val="single" w:sz="8" w:space="0" w:color="D1E8B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9EB" w:themeFill="accent6" w:themeFillTint="3F"/>
      </w:tcPr>
    </w:tblStylePr>
    <w:tblStylePr w:type="band1Horz">
      <w:tblPr/>
      <w:tcPr>
        <w:tcBorders>
          <w:left w:val="nil"/>
          <w:right w:val="nil"/>
          <w:insideH w:val="nil"/>
          <w:insideV w:val="nil"/>
        </w:tcBorders>
        <w:shd w:val="clear" w:color="auto" w:fill="F3F9EB" w:themeFill="accent6" w:themeFillTint="3F"/>
      </w:tcPr>
    </w:tblStylePr>
  </w:style>
  <w:style w:type="character" w:styleId="LineNumber">
    <w:name w:val="line number"/>
    <w:basedOn w:val="DefaultParagraphFont"/>
    <w:uiPriority w:val="99"/>
    <w:semiHidden/>
    <w:locked/>
    <w:rsid w:val="00372E2B"/>
    <w:rPr>
      <w:noProof w:val="0"/>
      <w:lang w:val="en-AU"/>
    </w:rPr>
  </w:style>
  <w:style w:type="paragraph" w:styleId="TableofFigures">
    <w:name w:val="table of figures"/>
    <w:basedOn w:val="Normal"/>
    <w:next w:val="Normal"/>
    <w:uiPriority w:val="99"/>
    <w:rsid w:val="004F17AA"/>
    <w:pPr>
      <w:numPr>
        <w:numId w:val="0"/>
      </w:numPr>
      <w:tabs>
        <w:tab w:val="right" w:leader="dot" w:pos="9185"/>
      </w:tabs>
      <w:spacing w:after="0"/>
    </w:pPr>
  </w:style>
  <w:style w:type="paragraph" w:styleId="List4">
    <w:name w:val="List 4"/>
    <w:basedOn w:val="Normal"/>
    <w:uiPriority w:val="99"/>
    <w:semiHidden/>
    <w:locked/>
    <w:rsid w:val="00372E2B"/>
    <w:pPr>
      <w:ind w:left="1132" w:hanging="283"/>
      <w:contextualSpacing/>
    </w:pPr>
  </w:style>
  <w:style w:type="paragraph" w:styleId="List5">
    <w:name w:val="List 5"/>
    <w:basedOn w:val="Normal"/>
    <w:uiPriority w:val="99"/>
    <w:semiHidden/>
    <w:locked/>
    <w:rsid w:val="00372E2B"/>
    <w:pPr>
      <w:ind w:left="1415" w:hanging="283"/>
      <w:contextualSpacing/>
    </w:pPr>
  </w:style>
  <w:style w:type="paragraph" w:styleId="ListBullet5">
    <w:name w:val="List Bullet 5"/>
    <w:basedOn w:val="Normal"/>
    <w:uiPriority w:val="14"/>
    <w:semiHidden/>
    <w:locked/>
    <w:rsid w:val="00372E2B"/>
    <w:pPr>
      <w:numPr>
        <w:numId w:val="8"/>
      </w:numPr>
      <w:contextualSpacing/>
    </w:pPr>
  </w:style>
  <w:style w:type="paragraph" w:styleId="ListContinue">
    <w:name w:val="List Continue"/>
    <w:basedOn w:val="Normal"/>
    <w:uiPriority w:val="99"/>
    <w:semiHidden/>
    <w:locked/>
    <w:rsid w:val="00372E2B"/>
    <w:pPr>
      <w:ind w:left="283"/>
      <w:contextualSpacing/>
    </w:pPr>
  </w:style>
  <w:style w:type="paragraph" w:styleId="ListContinue2">
    <w:name w:val="List Continue 2"/>
    <w:basedOn w:val="Normal"/>
    <w:uiPriority w:val="99"/>
    <w:semiHidden/>
    <w:locked/>
    <w:rsid w:val="00372E2B"/>
    <w:pPr>
      <w:ind w:left="566"/>
      <w:contextualSpacing/>
    </w:pPr>
  </w:style>
  <w:style w:type="paragraph" w:styleId="ListContinue3">
    <w:name w:val="List Continue 3"/>
    <w:basedOn w:val="Normal"/>
    <w:uiPriority w:val="99"/>
    <w:semiHidden/>
    <w:locked/>
    <w:rsid w:val="00372E2B"/>
    <w:pPr>
      <w:ind w:left="849"/>
      <w:contextualSpacing/>
    </w:pPr>
  </w:style>
  <w:style w:type="paragraph" w:styleId="ListContinue4">
    <w:name w:val="List Continue 4"/>
    <w:basedOn w:val="Normal"/>
    <w:uiPriority w:val="99"/>
    <w:semiHidden/>
    <w:locked/>
    <w:rsid w:val="00372E2B"/>
    <w:pPr>
      <w:ind w:left="1132"/>
      <w:contextualSpacing/>
    </w:pPr>
  </w:style>
  <w:style w:type="paragraph" w:styleId="ListContinue5">
    <w:name w:val="List Continue 5"/>
    <w:basedOn w:val="Normal"/>
    <w:uiPriority w:val="99"/>
    <w:semiHidden/>
    <w:locked/>
    <w:rsid w:val="00372E2B"/>
    <w:pPr>
      <w:ind w:left="1415"/>
      <w:contextualSpacing/>
    </w:pPr>
  </w:style>
  <w:style w:type="paragraph" w:styleId="ListNumber5">
    <w:name w:val="List Number 5"/>
    <w:basedOn w:val="Normal"/>
    <w:uiPriority w:val="99"/>
    <w:semiHidden/>
    <w:locked/>
    <w:rsid w:val="00372E2B"/>
    <w:pPr>
      <w:numPr>
        <w:numId w:val="10"/>
      </w:numPr>
      <w:contextualSpacing/>
    </w:pPr>
  </w:style>
  <w:style w:type="paragraph" w:styleId="ListParagraph">
    <w:name w:val="List Paragraph"/>
    <w:aliases w:val="Bullet 1,Bullet list"/>
    <w:link w:val="ListParagraphChar"/>
    <w:uiPriority w:val="34"/>
    <w:qFormat/>
    <w:rsid w:val="00D133A6"/>
    <w:pPr>
      <w:tabs>
        <w:tab w:val="left" w:pos="357"/>
        <w:tab w:val="left" w:pos="720"/>
        <w:tab w:val="left" w:pos="1077"/>
      </w:tabs>
    </w:pPr>
  </w:style>
  <w:style w:type="paragraph" w:styleId="MacroText">
    <w:name w:val="macro"/>
    <w:link w:val="MacroTextChar"/>
    <w:uiPriority w:val="99"/>
    <w:semiHidden/>
    <w:locked/>
    <w:rsid w:val="00372E2B"/>
    <w:pPr>
      <w:tabs>
        <w:tab w:val="left" w:pos="480"/>
        <w:tab w:val="left" w:pos="960"/>
        <w:tab w:val="left" w:pos="1440"/>
        <w:tab w:val="left" w:pos="1920"/>
        <w:tab w:val="left" w:pos="2400"/>
        <w:tab w:val="left" w:pos="2880"/>
        <w:tab w:val="left" w:pos="3360"/>
        <w:tab w:val="left" w:pos="3840"/>
        <w:tab w:val="left" w:pos="4320"/>
      </w:tabs>
      <w:spacing w:before="170" w:after="0"/>
    </w:pPr>
    <w:rPr>
      <w:rFonts w:ascii="Consolas" w:hAnsi="Consolas"/>
      <w:sz w:val="20"/>
      <w:szCs w:val="20"/>
    </w:rPr>
  </w:style>
  <w:style w:type="character" w:customStyle="1" w:styleId="MacroTextChar">
    <w:name w:val="Macro Text Char"/>
    <w:basedOn w:val="DefaultParagraphFont"/>
    <w:link w:val="MacroText"/>
    <w:uiPriority w:val="99"/>
    <w:semiHidden/>
    <w:rsid w:val="00503EBA"/>
    <w:rPr>
      <w:rFonts w:ascii="Consolas" w:hAnsi="Consolas"/>
      <w:sz w:val="20"/>
      <w:szCs w:val="20"/>
    </w:rPr>
  </w:style>
  <w:style w:type="table" w:styleId="MediumGrid1">
    <w:name w:val="Medium Grid 1"/>
    <w:basedOn w:val="TableNormal"/>
    <w:uiPriority w:val="67"/>
    <w:locked/>
    <w:rsid w:val="00372E2B"/>
    <w:pPr>
      <w:spacing w:before="170"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locked/>
    <w:rsid w:val="00372E2B"/>
    <w:pPr>
      <w:spacing w:before="170" w:after="0" w:line="240" w:lineRule="auto"/>
    </w:pPr>
    <w:tblPr>
      <w:tblStyleRowBandSize w:val="1"/>
      <w:tblStyleColBandSize w:val="1"/>
      <w:tblBorders>
        <w:top w:val="single" w:sz="8" w:space="0" w:color="00E36A" w:themeColor="accent1" w:themeTint="BF"/>
        <w:left w:val="single" w:sz="8" w:space="0" w:color="00E36A" w:themeColor="accent1" w:themeTint="BF"/>
        <w:bottom w:val="single" w:sz="8" w:space="0" w:color="00E36A" w:themeColor="accent1" w:themeTint="BF"/>
        <w:right w:val="single" w:sz="8" w:space="0" w:color="00E36A" w:themeColor="accent1" w:themeTint="BF"/>
        <w:insideH w:val="single" w:sz="8" w:space="0" w:color="00E36A" w:themeColor="accent1" w:themeTint="BF"/>
        <w:insideV w:val="single" w:sz="8" w:space="0" w:color="00E36A" w:themeColor="accent1" w:themeTint="BF"/>
      </w:tblBorders>
    </w:tblPr>
    <w:tcPr>
      <w:shd w:val="clear" w:color="auto" w:fill="A1FFCD" w:themeFill="accent1" w:themeFillTint="3F"/>
    </w:tcPr>
    <w:tblStylePr w:type="firstRow">
      <w:rPr>
        <w:b/>
        <w:bCs/>
      </w:rPr>
    </w:tblStylePr>
    <w:tblStylePr w:type="lastRow">
      <w:rPr>
        <w:b/>
        <w:bCs/>
      </w:rPr>
      <w:tblPr/>
      <w:tcPr>
        <w:tcBorders>
          <w:top w:val="single" w:sz="18" w:space="0" w:color="00E36A" w:themeColor="accent1" w:themeTint="BF"/>
        </w:tcBorders>
      </w:tcPr>
    </w:tblStylePr>
    <w:tblStylePr w:type="firstCol">
      <w:rPr>
        <w:b/>
        <w:bCs/>
      </w:rPr>
    </w:tblStylePr>
    <w:tblStylePr w:type="lastCol">
      <w:rPr>
        <w:b/>
        <w:bCs/>
      </w:rPr>
    </w:tblStylePr>
    <w:tblStylePr w:type="band1Vert">
      <w:tblPr/>
      <w:tcPr>
        <w:shd w:val="clear" w:color="auto" w:fill="43FF9B" w:themeFill="accent1" w:themeFillTint="7F"/>
      </w:tcPr>
    </w:tblStylePr>
    <w:tblStylePr w:type="band1Horz">
      <w:tblPr/>
      <w:tcPr>
        <w:shd w:val="clear" w:color="auto" w:fill="43FF9B" w:themeFill="accent1" w:themeFillTint="7F"/>
      </w:tcPr>
    </w:tblStylePr>
  </w:style>
  <w:style w:type="table" w:styleId="MediumGrid1-Accent2">
    <w:name w:val="Medium Grid 1 Accent 2"/>
    <w:basedOn w:val="TableNormal"/>
    <w:uiPriority w:val="67"/>
    <w:locked/>
    <w:rsid w:val="00372E2B"/>
    <w:pPr>
      <w:spacing w:before="170" w:after="0" w:line="240" w:lineRule="auto"/>
    </w:pPr>
    <w:tblPr>
      <w:tblStyleRowBandSize w:val="1"/>
      <w:tblStyleColBandSize w:val="1"/>
      <w:tblBorders>
        <w:top w:val="single" w:sz="8" w:space="0" w:color="A9D46F" w:themeColor="accent2" w:themeTint="BF"/>
        <w:left w:val="single" w:sz="8" w:space="0" w:color="A9D46F" w:themeColor="accent2" w:themeTint="BF"/>
        <w:bottom w:val="single" w:sz="8" w:space="0" w:color="A9D46F" w:themeColor="accent2" w:themeTint="BF"/>
        <w:right w:val="single" w:sz="8" w:space="0" w:color="A9D46F" w:themeColor="accent2" w:themeTint="BF"/>
        <w:insideH w:val="single" w:sz="8" w:space="0" w:color="A9D46F" w:themeColor="accent2" w:themeTint="BF"/>
        <w:insideV w:val="single" w:sz="8" w:space="0" w:color="A9D46F" w:themeColor="accent2" w:themeTint="BF"/>
      </w:tblBorders>
    </w:tblPr>
    <w:tcPr>
      <w:shd w:val="clear" w:color="auto" w:fill="E2F1CF" w:themeFill="accent2" w:themeFillTint="3F"/>
    </w:tcPr>
    <w:tblStylePr w:type="firstRow">
      <w:rPr>
        <w:b/>
        <w:bCs/>
      </w:rPr>
    </w:tblStylePr>
    <w:tblStylePr w:type="lastRow">
      <w:rPr>
        <w:b/>
        <w:bCs/>
      </w:rPr>
      <w:tblPr/>
      <w:tcPr>
        <w:tcBorders>
          <w:top w:val="single" w:sz="18" w:space="0" w:color="A9D46F" w:themeColor="accent2" w:themeTint="BF"/>
        </w:tcBorders>
      </w:tcPr>
    </w:tblStylePr>
    <w:tblStylePr w:type="firstCol">
      <w:rPr>
        <w:b/>
        <w:bCs/>
      </w:rPr>
    </w:tblStylePr>
    <w:tblStylePr w:type="lastCol">
      <w:rPr>
        <w:b/>
        <w:bCs/>
      </w:rPr>
    </w:tblStylePr>
    <w:tblStylePr w:type="band1Vert">
      <w:tblPr/>
      <w:tcPr>
        <w:shd w:val="clear" w:color="auto" w:fill="C6E29F" w:themeFill="accent2" w:themeFillTint="7F"/>
      </w:tcPr>
    </w:tblStylePr>
    <w:tblStylePr w:type="band1Horz">
      <w:tblPr/>
      <w:tcPr>
        <w:shd w:val="clear" w:color="auto" w:fill="C6E29F" w:themeFill="accent2" w:themeFillTint="7F"/>
      </w:tcPr>
    </w:tblStylePr>
  </w:style>
  <w:style w:type="table" w:styleId="MediumGrid1-Accent3">
    <w:name w:val="Medium Grid 1 Accent 3"/>
    <w:basedOn w:val="TableNormal"/>
    <w:uiPriority w:val="67"/>
    <w:locked/>
    <w:rsid w:val="00372E2B"/>
    <w:pPr>
      <w:spacing w:before="170" w:after="0" w:line="240" w:lineRule="auto"/>
    </w:pPr>
    <w:tblPr>
      <w:tblStyleRowBandSize w:val="1"/>
      <w:tblStyleColBandSize w:val="1"/>
      <w:tblBorders>
        <w:top w:val="single" w:sz="8" w:space="0" w:color="00B152" w:themeColor="accent3" w:themeTint="BF"/>
        <w:left w:val="single" w:sz="8" w:space="0" w:color="00B152" w:themeColor="accent3" w:themeTint="BF"/>
        <w:bottom w:val="single" w:sz="8" w:space="0" w:color="00B152" w:themeColor="accent3" w:themeTint="BF"/>
        <w:right w:val="single" w:sz="8" w:space="0" w:color="00B152" w:themeColor="accent3" w:themeTint="BF"/>
        <w:insideH w:val="single" w:sz="8" w:space="0" w:color="00B152" w:themeColor="accent3" w:themeTint="BF"/>
        <w:insideV w:val="single" w:sz="8" w:space="0" w:color="00B152" w:themeColor="accent3" w:themeTint="BF"/>
      </w:tblBorders>
    </w:tblPr>
    <w:tcPr>
      <w:shd w:val="clear" w:color="auto" w:fill="91FFC4" w:themeFill="accent3" w:themeFillTint="3F"/>
    </w:tcPr>
    <w:tblStylePr w:type="firstRow">
      <w:rPr>
        <w:b/>
        <w:bCs/>
      </w:rPr>
    </w:tblStylePr>
    <w:tblStylePr w:type="lastRow">
      <w:rPr>
        <w:b/>
        <w:bCs/>
      </w:rPr>
      <w:tblPr/>
      <w:tcPr>
        <w:tcBorders>
          <w:top w:val="single" w:sz="18" w:space="0" w:color="00B152" w:themeColor="accent3" w:themeTint="BF"/>
        </w:tcBorders>
      </w:tcPr>
    </w:tblStylePr>
    <w:tblStylePr w:type="firstCol">
      <w:rPr>
        <w:b/>
        <w:bCs/>
      </w:rPr>
    </w:tblStylePr>
    <w:tblStylePr w:type="lastCol">
      <w:rPr>
        <w:b/>
        <w:bCs/>
      </w:rPr>
    </w:tblStylePr>
    <w:tblStylePr w:type="band1Vert">
      <w:tblPr/>
      <w:tcPr>
        <w:shd w:val="clear" w:color="auto" w:fill="21FF88" w:themeFill="accent3" w:themeFillTint="7F"/>
      </w:tcPr>
    </w:tblStylePr>
    <w:tblStylePr w:type="band1Horz">
      <w:tblPr/>
      <w:tcPr>
        <w:shd w:val="clear" w:color="auto" w:fill="21FF88" w:themeFill="accent3" w:themeFillTint="7F"/>
      </w:tcPr>
    </w:tblStylePr>
  </w:style>
  <w:style w:type="table" w:styleId="MediumGrid1-Accent4">
    <w:name w:val="Medium Grid 1 Accent 4"/>
    <w:basedOn w:val="TableNormal"/>
    <w:uiPriority w:val="67"/>
    <w:locked/>
    <w:rsid w:val="00372E2B"/>
    <w:pPr>
      <w:spacing w:before="170" w:after="0" w:line="240" w:lineRule="auto"/>
    </w:pPr>
    <w:tblPr>
      <w:tblStyleRowBandSize w:val="1"/>
      <w:tblStyleColBandSize w:val="1"/>
      <w:tblBorders>
        <w:top w:val="single" w:sz="8" w:space="0" w:color="79AD32" w:themeColor="accent4" w:themeTint="BF"/>
        <w:left w:val="single" w:sz="8" w:space="0" w:color="79AD32" w:themeColor="accent4" w:themeTint="BF"/>
        <w:bottom w:val="single" w:sz="8" w:space="0" w:color="79AD32" w:themeColor="accent4" w:themeTint="BF"/>
        <w:right w:val="single" w:sz="8" w:space="0" w:color="79AD32" w:themeColor="accent4" w:themeTint="BF"/>
        <w:insideH w:val="single" w:sz="8" w:space="0" w:color="79AD32" w:themeColor="accent4" w:themeTint="BF"/>
        <w:insideV w:val="single" w:sz="8" w:space="0" w:color="79AD32" w:themeColor="accent4" w:themeTint="BF"/>
      </w:tblBorders>
    </w:tblPr>
    <w:tcPr>
      <w:shd w:val="clear" w:color="auto" w:fill="D3E9B5" w:themeFill="accent4" w:themeFillTint="3F"/>
    </w:tcPr>
    <w:tblStylePr w:type="firstRow">
      <w:rPr>
        <w:b/>
        <w:bCs/>
      </w:rPr>
    </w:tblStylePr>
    <w:tblStylePr w:type="lastRow">
      <w:rPr>
        <w:b/>
        <w:bCs/>
      </w:rPr>
      <w:tblPr/>
      <w:tcPr>
        <w:tcBorders>
          <w:top w:val="single" w:sz="18" w:space="0" w:color="79AD32" w:themeColor="accent4" w:themeTint="BF"/>
        </w:tcBorders>
      </w:tcPr>
    </w:tblStylePr>
    <w:tblStylePr w:type="firstCol">
      <w:rPr>
        <w:b/>
        <w:bCs/>
      </w:rPr>
    </w:tblStylePr>
    <w:tblStylePr w:type="lastCol">
      <w:rPr>
        <w:b/>
        <w:bCs/>
      </w:rPr>
    </w:tblStylePr>
    <w:tblStylePr w:type="band1Vert">
      <w:tblPr/>
      <w:tcPr>
        <w:shd w:val="clear" w:color="auto" w:fill="A8D46B" w:themeFill="accent4" w:themeFillTint="7F"/>
      </w:tcPr>
    </w:tblStylePr>
    <w:tblStylePr w:type="band1Horz">
      <w:tblPr/>
      <w:tcPr>
        <w:shd w:val="clear" w:color="auto" w:fill="A8D46B" w:themeFill="accent4" w:themeFillTint="7F"/>
      </w:tcPr>
    </w:tblStylePr>
  </w:style>
  <w:style w:type="table" w:styleId="MediumGrid1-Accent5">
    <w:name w:val="Medium Grid 1 Accent 5"/>
    <w:basedOn w:val="TableNormal"/>
    <w:uiPriority w:val="67"/>
    <w:locked/>
    <w:rsid w:val="00372E2B"/>
    <w:pPr>
      <w:spacing w:before="170" w:after="0" w:line="240" w:lineRule="auto"/>
    </w:pPr>
    <w:tblPr>
      <w:tblStyleRowBandSize w:val="1"/>
      <w:tblStyleColBandSize w:val="1"/>
      <w:tblBorders>
        <w:top w:val="single" w:sz="8" w:space="0" w:color="16FF84" w:themeColor="accent5" w:themeTint="BF"/>
        <w:left w:val="single" w:sz="8" w:space="0" w:color="16FF84" w:themeColor="accent5" w:themeTint="BF"/>
        <w:bottom w:val="single" w:sz="8" w:space="0" w:color="16FF84" w:themeColor="accent5" w:themeTint="BF"/>
        <w:right w:val="single" w:sz="8" w:space="0" w:color="16FF84" w:themeColor="accent5" w:themeTint="BF"/>
        <w:insideH w:val="single" w:sz="8" w:space="0" w:color="16FF84" w:themeColor="accent5" w:themeTint="BF"/>
        <w:insideV w:val="single" w:sz="8" w:space="0" w:color="16FF84" w:themeColor="accent5" w:themeTint="BF"/>
      </w:tblBorders>
    </w:tblPr>
    <w:tcPr>
      <w:shd w:val="clear" w:color="auto" w:fill="B2FFD6" w:themeFill="accent5" w:themeFillTint="3F"/>
    </w:tcPr>
    <w:tblStylePr w:type="firstRow">
      <w:rPr>
        <w:b/>
        <w:bCs/>
      </w:rPr>
    </w:tblStylePr>
    <w:tblStylePr w:type="lastRow">
      <w:rPr>
        <w:b/>
        <w:bCs/>
      </w:rPr>
      <w:tblPr/>
      <w:tcPr>
        <w:tcBorders>
          <w:top w:val="single" w:sz="18" w:space="0" w:color="16FF84" w:themeColor="accent5" w:themeTint="BF"/>
        </w:tcBorders>
      </w:tcPr>
    </w:tblStylePr>
    <w:tblStylePr w:type="firstCol">
      <w:rPr>
        <w:b/>
        <w:bCs/>
      </w:rPr>
    </w:tblStylePr>
    <w:tblStylePr w:type="lastCol">
      <w:rPr>
        <w:b/>
        <w:bCs/>
      </w:rPr>
    </w:tblStylePr>
    <w:tblStylePr w:type="band1Vert">
      <w:tblPr/>
      <w:tcPr>
        <w:shd w:val="clear" w:color="auto" w:fill="64FFAD" w:themeFill="accent5" w:themeFillTint="7F"/>
      </w:tcPr>
    </w:tblStylePr>
    <w:tblStylePr w:type="band1Horz">
      <w:tblPr/>
      <w:tcPr>
        <w:shd w:val="clear" w:color="auto" w:fill="64FFAD" w:themeFill="accent5" w:themeFillTint="7F"/>
      </w:tcPr>
    </w:tblStylePr>
  </w:style>
  <w:style w:type="table" w:styleId="MediumGrid1-Accent6">
    <w:name w:val="Medium Grid 1 Accent 6"/>
    <w:basedOn w:val="TableNormal"/>
    <w:uiPriority w:val="67"/>
    <w:locked/>
    <w:rsid w:val="00372E2B"/>
    <w:pPr>
      <w:spacing w:before="170" w:after="0" w:line="240" w:lineRule="auto"/>
    </w:pPr>
    <w:tblPr>
      <w:tblStyleRowBandSize w:val="1"/>
      <w:tblStyleColBandSize w:val="1"/>
      <w:tblBorders>
        <w:top w:val="single" w:sz="8" w:space="0" w:color="DCEDC5" w:themeColor="accent6" w:themeTint="BF"/>
        <w:left w:val="single" w:sz="8" w:space="0" w:color="DCEDC5" w:themeColor="accent6" w:themeTint="BF"/>
        <w:bottom w:val="single" w:sz="8" w:space="0" w:color="DCEDC5" w:themeColor="accent6" w:themeTint="BF"/>
        <w:right w:val="single" w:sz="8" w:space="0" w:color="DCEDC5" w:themeColor="accent6" w:themeTint="BF"/>
        <w:insideH w:val="single" w:sz="8" w:space="0" w:color="DCEDC5" w:themeColor="accent6" w:themeTint="BF"/>
        <w:insideV w:val="single" w:sz="8" w:space="0" w:color="DCEDC5" w:themeColor="accent6" w:themeTint="BF"/>
      </w:tblBorders>
    </w:tblPr>
    <w:tcPr>
      <w:shd w:val="clear" w:color="auto" w:fill="F3F9EB" w:themeFill="accent6" w:themeFillTint="3F"/>
    </w:tcPr>
    <w:tblStylePr w:type="firstRow">
      <w:rPr>
        <w:b/>
        <w:bCs/>
      </w:rPr>
    </w:tblStylePr>
    <w:tblStylePr w:type="lastRow">
      <w:rPr>
        <w:b/>
        <w:bCs/>
      </w:rPr>
      <w:tblPr/>
      <w:tcPr>
        <w:tcBorders>
          <w:top w:val="single" w:sz="18" w:space="0" w:color="DCEDC5" w:themeColor="accent6" w:themeTint="BF"/>
        </w:tcBorders>
      </w:tcPr>
    </w:tblStylePr>
    <w:tblStylePr w:type="firstCol">
      <w:rPr>
        <w:b/>
        <w:bCs/>
      </w:rPr>
    </w:tblStylePr>
    <w:tblStylePr w:type="lastCol">
      <w:rPr>
        <w:b/>
        <w:bCs/>
      </w:rPr>
    </w:tblStylePr>
    <w:tblStylePr w:type="band1Vert">
      <w:tblPr/>
      <w:tcPr>
        <w:shd w:val="clear" w:color="auto" w:fill="E7F3D8" w:themeFill="accent6" w:themeFillTint="7F"/>
      </w:tcPr>
    </w:tblStylePr>
    <w:tblStylePr w:type="band1Horz">
      <w:tblPr/>
      <w:tcPr>
        <w:shd w:val="clear" w:color="auto" w:fill="E7F3D8" w:themeFill="accent6" w:themeFillTint="7F"/>
      </w:tcPr>
    </w:tblStylePr>
  </w:style>
  <w:style w:type="table" w:styleId="MediumGrid2">
    <w:name w:val="Medium Grid 2"/>
    <w:basedOn w:val="TableNormal"/>
    <w:uiPriority w:val="68"/>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853F" w:themeColor="accent1"/>
        <w:left w:val="single" w:sz="8" w:space="0" w:color="00853F" w:themeColor="accent1"/>
        <w:bottom w:val="single" w:sz="8" w:space="0" w:color="00853F" w:themeColor="accent1"/>
        <w:right w:val="single" w:sz="8" w:space="0" w:color="00853F" w:themeColor="accent1"/>
        <w:insideH w:val="single" w:sz="8" w:space="0" w:color="00853F" w:themeColor="accent1"/>
        <w:insideV w:val="single" w:sz="8" w:space="0" w:color="00853F" w:themeColor="accent1"/>
      </w:tblBorders>
    </w:tblPr>
    <w:tcPr>
      <w:shd w:val="clear" w:color="auto" w:fill="A1FFCD" w:themeFill="accent1" w:themeFillTint="3F"/>
    </w:tcPr>
    <w:tblStylePr w:type="firstRow">
      <w:rPr>
        <w:b/>
        <w:bCs/>
        <w:color w:val="231F20" w:themeColor="text1"/>
      </w:rPr>
      <w:tblPr/>
      <w:tcPr>
        <w:shd w:val="clear" w:color="auto" w:fill="DAFFE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3FFD6" w:themeFill="accent1" w:themeFillTint="33"/>
      </w:tcPr>
    </w:tblStylePr>
    <w:tblStylePr w:type="band1Vert">
      <w:tblPr/>
      <w:tcPr>
        <w:shd w:val="clear" w:color="auto" w:fill="43FF9B" w:themeFill="accent1" w:themeFillTint="7F"/>
      </w:tcPr>
    </w:tblStylePr>
    <w:tblStylePr w:type="band1Horz">
      <w:tblPr/>
      <w:tcPr>
        <w:tcBorders>
          <w:insideH w:val="single" w:sz="6" w:space="0" w:color="00853F" w:themeColor="accent1"/>
          <w:insideV w:val="single" w:sz="6" w:space="0" w:color="00853F" w:themeColor="accent1"/>
        </w:tcBorders>
        <w:shd w:val="clear" w:color="auto" w:fill="43FF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DC63F" w:themeColor="accent2"/>
        <w:left w:val="single" w:sz="8" w:space="0" w:color="8DC63F" w:themeColor="accent2"/>
        <w:bottom w:val="single" w:sz="8" w:space="0" w:color="8DC63F" w:themeColor="accent2"/>
        <w:right w:val="single" w:sz="8" w:space="0" w:color="8DC63F" w:themeColor="accent2"/>
        <w:insideH w:val="single" w:sz="8" w:space="0" w:color="8DC63F" w:themeColor="accent2"/>
        <w:insideV w:val="single" w:sz="8" w:space="0" w:color="8DC63F" w:themeColor="accent2"/>
      </w:tblBorders>
    </w:tblPr>
    <w:tcPr>
      <w:shd w:val="clear" w:color="auto" w:fill="E2F1CF" w:themeFill="accent2" w:themeFillTint="3F"/>
    </w:tcPr>
    <w:tblStylePr w:type="firstRow">
      <w:rPr>
        <w:b/>
        <w:bCs/>
        <w:color w:val="231F20" w:themeColor="text1"/>
      </w:rPr>
      <w:tblPr/>
      <w:tcPr>
        <w:shd w:val="clear" w:color="auto" w:fill="F3F9EB"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8F3D8" w:themeFill="accent2" w:themeFillTint="33"/>
      </w:tcPr>
    </w:tblStylePr>
    <w:tblStylePr w:type="band1Vert">
      <w:tblPr/>
      <w:tcPr>
        <w:shd w:val="clear" w:color="auto" w:fill="C6E29F" w:themeFill="accent2" w:themeFillTint="7F"/>
      </w:tcPr>
    </w:tblStylePr>
    <w:tblStylePr w:type="band1Horz">
      <w:tblPr/>
      <w:tcPr>
        <w:tcBorders>
          <w:insideH w:val="single" w:sz="6" w:space="0" w:color="8DC63F" w:themeColor="accent2"/>
          <w:insideV w:val="single" w:sz="6" w:space="0" w:color="8DC63F" w:themeColor="accent2"/>
        </w:tcBorders>
        <w:shd w:val="clear" w:color="auto" w:fill="C6E29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421F" w:themeColor="accent3"/>
        <w:left w:val="single" w:sz="8" w:space="0" w:color="00421F" w:themeColor="accent3"/>
        <w:bottom w:val="single" w:sz="8" w:space="0" w:color="00421F" w:themeColor="accent3"/>
        <w:right w:val="single" w:sz="8" w:space="0" w:color="00421F" w:themeColor="accent3"/>
        <w:insideH w:val="single" w:sz="8" w:space="0" w:color="00421F" w:themeColor="accent3"/>
        <w:insideV w:val="single" w:sz="8" w:space="0" w:color="00421F" w:themeColor="accent3"/>
      </w:tblBorders>
    </w:tblPr>
    <w:tcPr>
      <w:shd w:val="clear" w:color="auto" w:fill="91FFC4" w:themeFill="accent3" w:themeFillTint="3F"/>
    </w:tcPr>
    <w:tblStylePr w:type="firstRow">
      <w:rPr>
        <w:b/>
        <w:bCs/>
        <w:color w:val="231F20" w:themeColor="text1"/>
      </w:rPr>
      <w:tblPr/>
      <w:tcPr>
        <w:shd w:val="clear" w:color="auto" w:fill="D3FFE7"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6FFCF" w:themeFill="accent3" w:themeFillTint="33"/>
      </w:tcPr>
    </w:tblStylePr>
    <w:tblStylePr w:type="band1Vert">
      <w:tblPr/>
      <w:tcPr>
        <w:shd w:val="clear" w:color="auto" w:fill="21FF88" w:themeFill="accent3" w:themeFillTint="7F"/>
      </w:tcPr>
    </w:tblStylePr>
    <w:tblStylePr w:type="band1Horz">
      <w:tblPr/>
      <w:tcPr>
        <w:tcBorders>
          <w:insideH w:val="single" w:sz="6" w:space="0" w:color="00421F" w:themeColor="accent3"/>
          <w:insideV w:val="single" w:sz="6" w:space="0" w:color="00421F" w:themeColor="accent3"/>
        </w:tcBorders>
        <w:shd w:val="clear" w:color="auto" w:fill="21FF8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46641D" w:themeColor="accent4"/>
        <w:left w:val="single" w:sz="8" w:space="0" w:color="46641D" w:themeColor="accent4"/>
        <w:bottom w:val="single" w:sz="8" w:space="0" w:color="46641D" w:themeColor="accent4"/>
        <w:right w:val="single" w:sz="8" w:space="0" w:color="46641D" w:themeColor="accent4"/>
        <w:insideH w:val="single" w:sz="8" w:space="0" w:color="46641D" w:themeColor="accent4"/>
        <w:insideV w:val="single" w:sz="8" w:space="0" w:color="46641D" w:themeColor="accent4"/>
      </w:tblBorders>
    </w:tblPr>
    <w:tcPr>
      <w:shd w:val="clear" w:color="auto" w:fill="D3E9B5" w:themeFill="accent4" w:themeFillTint="3F"/>
    </w:tcPr>
    <w:tblStylePr w:type="firstRow">
      <w:rPr>
        <w:b/>
        <w:bCs/>
        <w:color w:val="231F20" w:themeColor="text1"/>
      </w:rPr>
      <w:tblPr/>
      <w:tcPr>
        <w:shd w:val="clear" w:color="auto" w:fill="EDF6E1"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CEEC3" w:themeFill="accent4" w:themeFillTint="33"/>
      </w:tcPr>
    </w:tblStylePr>
    <w:tblStylePr w:type="band1Vert">
      <w:tblPr/>
      <w:tcPr>
        <w:shd w:val="clear" w:color="auto" w:fill="A8D46B" w:themeFill="accent4" w:themeFillTint="7F"/>
      </w:tcPr>
    </w:tblStylePr>
    <w:tblStylePr w:type="band1Horz">
      <w:tblPr/>
      <w:tcPr>
        <w:tcBorders>
          <w:insideH w:val="single" w:sz="6" w:space="0" w:color="46641D" w:themeColor="accent4"/>
          <w:insideV w:val="single" w:sz="6" w:space="0" w:color="46641D" w:themeColor="accent4"/>
        </w:tcBorders>
        <w:shd w:val="clear" w:color="auto" w:fill="A8D46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C85F" w:themeColor="accent5"/>
        <w:left w:val="single" w:sz="8" w:space="0" w:color="00C85F" w:themeColor="accent5"/>
        <w:bottom w:val="single" w:sz="8" w:space="0" w:color="00C85F" w:themeColor="accent5"/>
        <w:right w:val="single" w:sz="8" w:space="0" w:color="00C85F" w:themeColor="accent5"/>
        <w:insideH w:val="single" w:sz="8" w:space="0" w:color="00C85F" w:themeColor="accent5"/>
        <w:insideV w:val="single" w:sz="8" w:space="0" w:color="00C85F" w:themeColor="accent5"/>
      </w:tblBorders>
    </w:tblPr>
    <w:tcPr>
      <w:shd w:val="clear" w:color="auto" w:fill="B2FFD6" w:themeFill="accent5" w:themeFillTint="3F"/>
    </w:tcPr>
    <w:tblStylePr w:type="firstRow">
      <w:rPr>
        <w:b/>
        <w:bCs/>
        <w:color w:val="231F20" w:themeColor="text1"/>
      </w:rPr>
      <w:tblPr/>
      <w:tcPr>
        <w:shd w:val="clear" w:color="auto" w:fill="E0FFEE"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1FFDE" w:themeFill="accent5" w:themeFillTint="33"/>
      </w:tcPr>
    </w:tblStylePr>
    <w:tblStylePr w:type="band1Vert">
      <w:tblPr/>
      <w:tcPr>
        <w:shd w:val="clear" w:color="auto" w:fill="64FFAD" w:themeFill="accent5" w:themeFillTint="7F"/>
      </w:tcPr>
    </w:tblStylePr>
    <w:tblStylePr w:type="band1Horz">
      <w:tblPr/>
      <w:tcPr>
        <w:tcBorders>
          <w:insideH w:val="single" w:sz="6" w:space="0" w:color="00C85F" w:themeColor="accent5"/>
          <w:insideV w:val="single" w:sz="6" w:space="0" w:color="00C85F" w:themeColor="accent5"/>
        </w:tcBorders>
        <w:shd w:val="clear" w:color="auto" w:fill="64FFA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D1E8B2" w:themeColor="accent6"/>
        <w:left w:val="single" w:sz="8" w:space="0" w:color="D1E8B2" w:themeColor="accent6"/>
        <w:bottom w:val="single" w:sz="8" w:space="0" w:color="D1E8B2" w:themeColor="accent6"/>
        <w:right w:val="single" w:sz="8" w:space="0" w:color="D1E8B2" w:themeColor="accent6"/>
        <w:insideH w:val="single" w:sz="8" w:space="0" w:color="D1E8B2" w:themeColor="accent6"/>
        <w:insideV w:val="single" w:sz="8" w:space="0" w:color="D1E8B2" w:themeColor="accent6"/>
      </w:tblBorders>
    </w:tblPr>
    <w:tcPr>
      <w:shd w:val="clear" w:color="auto" w:fill="F3F9EB" w:themeFill="accent6" w:themeFillTint="3F"/>
    </w:tcPr>
    <w:tblStylePr w:type="firstRow">
      <w:rPr>
        <w:b/>
        <w:bCs/>
        <w:color w:val="231F20" w:themeColor="text1"/>
      </w:rPr>
      <w:tblPr/>
      <w:tcPr>
        <w:shd w:val="clear" w:color="auto" w:fill="FAFCF7"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5FAEF" w:themeFill="accent6" w:themeFillTint="33"/>
      </w:tcPr>
    </w:tblStylePr>
    <w:tblStylePr w:type="band1Vert">
      <w:tblPr/>
      <w:tcPr>
        <w:shd w:val="clear" w:color="auto" w:fill="E7F3D8" w:themeFill="accent6" w:themeFillTint="7F"/>
      </w:tcPr>
    </w:tblStylePr>
    <w:tblStylePr w:type="band1Horz">
      <w:tblPr/>
      <w:tcPr>
        <w:tcBorders>
          <w:insideH w:val="single" w:sz="6" w:space="0" w:color="D1E8B2" w:themeColor="accent6"/>
          <w:insideV w:val="single" w:sz="6" w:space="0" w:color="D1E8B2" w:themeColor="accent6"/>
        </w:tcBorders>
        <w:shd w:val="clear" w:color="auto" w:fill="E7F3D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FF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53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53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53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53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FF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FF9B" w:themeFill="accent1" w:themeFillTint="7F"/>
      </w:tcPr>
    </w:tblStylePr>
  </w:style>
  <w:style w:type="table" w:styleId="MediumGrid3-Accent2">
    <w:name w:val="Medium Grid 3 Accent 2"/>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1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C63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C63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C63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C63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29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29F" w:themeFill="accent2" w:themeFillTint="7F"/>
      </w:tcPr>
    </w:tblStylePr>
  </w:style>
  <w:style w:type="table" w:styleId="MediumGrid3-Accent3">
    <w:name w:val="Medium Grid 3 Accent 3"/>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FFC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1FF8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1FF88" w:themeFill="accent3" w:themeFillTint="7F"/>
      </w:tcPr>
    </w:tblStylePr>
  </w:style>
  <w:style w:type="table" w:styleId="MediumGrid3-Accent4">
    <w:name w:val="Medium Grid 3 Accent 4"/>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9B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641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641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641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641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D46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D46B" w:themeFill="accent4" w:themeFillTint="7F"/>
      </w:tcPr>
    </w:tblStylePr>
  </w:style>
  <w:style w:type="table" w:styleId="MediumGrid3-Accent5">
    <w:name w:val="Medium Grid 3 Accent 5"/>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FD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C8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C8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C8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C8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FFA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FFAD" w:themeFill="accent5" w:themeFillTint="7F"/>
      </w:tcPr>
    </w:tblStylePr>
  </w:style>
  <w:style w:type="table" w:styleId="MediumGrid3-Accent6">
    <w:name w:val="Medium Grid 3 Accent 6"/>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9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1E8B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1E8B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1E8B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1E8B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F3D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F3D8" w:themeFill="accent6" w:themeFillTint="7F"/>
      </w:tcPr>
    </w:tblStylePr>
  </w:style>
  <w:style w:type="table" w:styleId="MediumList1">
    <w:name w:val="Medium List 1"/>
    <w:basedOn w:val="TableNormal"/>
    <w:uiPriority w:val="65"/>
    <w:locked/>
    <w:rsid w:val="00372E2B"/>
    <w:pPr>
      <w:spacing w:before="170" w:after="0"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4D4D4F"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locked/>
    <w:rsid w:val="00372E2B"/>
    <w:pPr>
      <w:spacing w:before="170" w:after="0" w:line="240" w:lineRule="auto"/>
    </w:pPr>
    <w:rPr>
      <w:color w:val="231F20" w:themeColor="text1"/>
    </w:rPr>
    <w:tblPr>
      <w:tblStyleRowBandSize w:val="1"/>
      <w:tblStyleColBandSize w:val="1"/>
      <w:tblBorders>
        <w:top w:val="single" w:sz="8" w:space="0" w:color="00853F" w:themeColor="accent1"/>
        <w:bottom w:val="single" w:sz="8" w:space="0" w:color="00853F" w:themeColor="accent1"/>
      </w:tblBorders>
    </w:tblPr>
    <w:tblStylePr w:type="firstRow">
      <w:rPr>
        <w:rFonts w:asciiTheme="majorHAnsi" w:eastAsiaTheme="majorEastAsia" w:hAnsiTheme="majorHAnsi" w:cstheme="majorBidi"/>
      </w:rPr>
      <w:tblPr/>
      <w:tcPr>
        <w:tcBorders>
          <w:top w:val="nil"/>
          <w:bottom w:val="single" w:sz="8" w:space="0" w:color="00853F" w:themeColor="accent1"/>
        </w:tcBorders>
      </w:tcPr>
    </w:tblStylePr>
    <w:tblStylePr w:type="lastRow">
      <w:rPr>
        <w:b/>
        <w:bCs/>
        <w:color w:val="4D4D4F" w:themeColor="text2"/>
      </w:rPr>
      <w:tblPr/>
      <w:tcPr>
        <w:tcBorders>
          <w:top w:val="single" w:sz="8" w:space="0" w:color="00853F" w:themeColor="accent1"/>
          <w:bottom w:val="single" w:sz="8" w:space="0" w:color="00853F" w:themeColor="accent1"/>
        </w:tcBorders>
      </w:tcPr>
    </w:tblStylePr>
    <w:tblStylePr w:type="firstCol">
      <w:rPr>
        <w:b/>
        <w:bCs/>
      </w:rPr>
    </w:tblStylePr>
    <w:tblStylePr w:type="lastCol">
      <w:rPr>
        <w:b/>
        <w:bCs/>
      </w:rPr>
      <w:tblPr/>
      <w:tcPr>
        <w:tcBorders>
          <w:top w:val="single" w:sz="8" w:space="0" w:color="00853F" w:themeColor="accent1"/>
          <w:bottom w:val="single" w:sz="8" w:space="0" w:color="00853F" w:themeColor="accent1"/>
        </w:tcBorders>
      </w:tcPr>
    </w:tblStylePr>
    <w:tblStylePr w:type="band1Vert">
      <w:tblPr/>
      <w:tcPr>
        <w:shd w:val="clear" w:color="auto" w:fill="A1FFCD" w:themeFill="accent1" w:themeFillTint="3F"/>
      </w:tcPr>
    </w:tblStylePr>
    <w:tblStylePr w:type="band1Horz">
      <w:tblPr/>
      <w:tcPr>
        <w:shd w:val="clear" w:color="auto" w:fill="A1FFCD" w:themeFill="accent1" w:themeFillTint="3F"/>
      </w:tcPr>
    </w:tblStylePr>
  </w:style>
  <w:style w:type="table" w:styleId="MediumList1-Accent2">
    <w:name w:val="Medium List 1 Accent 2"/>
    <w:basedOn w:val="TableNormal"/>
    <w:uiPriority w:val="65"/>
    <w:locked/>
    <w:rsid w:val="00372E2B"/>
    <w:pPr>
      <w:spacing w:before="170" w:after="0" w:line="240" w:lineRule="auto"/>
    </w:pPr>
    <w:rPr>
      <w:color w:val="231F20" w:themeColor="text1"/>
    </w:rPr>
    <w:tblPr>
      <w:tblStyleRowBandSize w:val="1"/>
      <w:tblStyleColBandSize w:val="1"/>
      <w:tblBorders>
        <w:top w:val="single" w:sz="8" w:space="0" w:color="8DC63F" w:themeColor="accent2"/>
        <w:bottom w:val="single" w:sz="8" w:space="0" w:color="8DC63F" w:themeColor="accent2"/>
      </w:tblBorders>
    </w:tblPr>
    <w:tblStylePr w:type="firstRow">
      <w:rPr>
        <w:rFonts w:asciiTheme="majorHAnsi" w:eastAsiaTheme="majorEastAsia" w:hAnsiTheme="majorHAnsi" w:cstheme="majorBidi"/>
      </w:rPr>
      <w:tblPr/>
      <w:tcPr>
        <w:tcBorders>
          <w:top w:val="nil"/>
          <w:bottom w:val="single" w:sz="8" w:space="0" w:color="8DC63F" w:themeColor="accent2"/>
        </w:tcBorders>
      </w:tcPr>
    </w:tblStylePr>
    <w:tblStylePr w:type="lastRow">
      <w:rPr>
        <w:b/>
        <w:bCs/>
        <w:color w:val="4D4D4F" w:themeColor="text2"/>
      </w:rPr>
      <w:tblPr/>
      <w:tcPr>
        <w:tcBorders>
          <w:top w:val="single" w:sz="8" w:space="0" w:color="8DC63F" w:themeColor="accent2"/>
          <w:bottom w:val="single" w:sz="8" w:space="0" w:color="8DC63F" w:themeColor="accent2"/>
        </w:tcBorders>
      </w:tcPr>
    </w:tblStylePr>
    <w:tblStylePr w:type="firstCol">
      <w:rPr>
        <w:b/>
        <w:bCs/>
      </w:rPr>
    </w:tblStylePr>
    <w:tblStylePr w:type="lastCol">
      <w:rPr>
        <w:b/>
        <w:bCs/>
      </w:rPr>
      <w:tblPr/>
      <w:tcPr>
        <w:tcBorders>
          <w:top w:val="single" w:sz="8" w:space="0" w:color="8DC63F" w:themeColor="accent2"/>
          <w:bottom w:val="single" w:sz="8" w:space="0" w:color="8DC63F" w:themeColor="accent2"/>
        </w:tcBorders>
      </w:tcPr>
    </w:tblStylePr>
    <w:tblStylePr w:type="band1Vert">
      <w:tblPr/>
      <w:tcPr>
        <w:shd w:val="clear" w:color="auto" w:fill="E2F1CF" w:themeFill="accent2" w:themeFillTint="3F"/>
      </w:tcPr>
    </w:tblStylePr>
    <w:tblStylePr w:type="band1Horz">
      <w:tblPr/>
      <w:tcPr>
        <w:shd w:val="clear" w:color="auto" w:fill="E2F1CF" w:themeFill="accent2" w:themeFillTint="3F"/>
      </w:tcPr>
    </w:tblStylePr>
  </w:style>
  <w:style w:type="table" w:styleId="MediumList1-Accent3">
    <w:name w:val="Medium List 1 Accent 3"/>
    <w:basedOn w:val="TableNormal"/>
    <w:uiPriority w:val="65"/>
    <w:locked/>
    <w:rsid w:val="00372E2B"/>
    <w:pPr>
      <w:spacing w:before="170" w:after="0" w:line="240" w:lineRule="auto"/>
    </w:pPr>
    <w:rPr>
      <w:color w:val="231F20" w:themeColor="text1"/>
    </w:rPr>
    <w:tblPr>
      <w:tblStyleRowBandSize w:val="1"/>
      <w:tblStyleColBandSize w:val="1"/>
      <w:tblBorders>
        <w:top w:val="single" w:sz="8" w:space="0" w:color="00421F" w:themeColor="accent3"/>
        <w:bottom w:val="single" w:sz="8" w:space="0" w:color="00421F" w:themeColor="accent3"/>
      </w:tblBorders>
    </w:tblPr>
    <w:tblStylePr w:type="firstRow">
      <w:rPr>
        <w:rFonts w:asciiTheme="majorHAnsi" w:eastAsiaTheme="majorEastAsia" w:hAnsiTheme="majorHAnsi" w:cstheme="majorBidi"/>
      </w:rPr>
      <w:tblPr/>
      <w:tcPr>
        <w:tcBorders>
          <w:top w:val="nil"/>
          <w:bottom w:val="single" w:sz="8" w:space="0" w:color="00421F" w:themeColor="accent3"/>
        </w:tcBorders>
      </w:tcPr>
    </w:tblStylePr>
    <w:tblStylePr w:type="lastRow">
      <w:rPr>
        <w:b/>
        <w:bCs/>
        <w:color w:val="4D4D4F" w:themeColor="text2"/>
      </w:rPr>
      <w:tblPr/>
      <w:tcPr>
        <w:tcBorders>
          <w:top w:val="single" w:sz="8" w:space="0" w:color="00421F" w:themeColor="accent3"/>
          <w:bottom w:val="single" w:sz="8" w:space="0" w:color="00421F" w:themeColor="accent3"/>
        </w:tcBorders>
      </w:tcPr>
    </w:tblStylePr>
    <w:tblStylePr w:type="firstCol">
      <w:rPr>
        <w:b/>
        <w:bCs/>
      </w:rPr>
    </w:tblStylePr>
    <w:tblStylePr w:type="lastCol">
      <w:rPr>
        <w:b/>
        <w:bCs/>
      </w:rPr>
      <w:tblPr/>
      <w:tcPr>
        <w:tcBorders>
          <w:top w:val="single" w:sz="8" w:space="0" w:color="00421F" w:themeColor="accent3"/>
          <w:bottom w:val="single" w:sz="8" w:space="0" w:color="00421F" w:themeColor="accent3"/>
        </w:tcBorders>
      </w:tcPr>
    </w:tblStylePr>
    <w:tblStylePr w:type="band1Vert">
      <w:tblPr/>
      <w:tcPr>
        <w:shd w:val="clear" w:color="auto" w:fill="91FFC4" w:themeFill="accent3" w:themeFillTint="3F"/>
      </w:tcPr>
    </w:tblStylePr>
    <w:tblStylePr w:type="band1Horz">
      <w:tblPr/>
      <w:tcPr>
        <w:shd w:val="clear" w:color="auto" w:fill="91FFC4" w:themeFill="accent3" w:themeFillTint="3F"/>
      </w:tcPr>
    </w:tblStylePr>
  </w:style>
  <w:style w:type="table" w:styleId="MediumList1-Accent4">
    <w:name w:val="Medium List 1 Accent 4"/>
    <w:basedOn w:val="TableNormal"/>
    <w:uiPriority w:val="65"/>
    <w:locked/>
    <w:rsid w:val="00372E2B"/>
    <w:pPr>
      <w:spacing w:before="170" w:after="0" w:line="240" w:lineRule="auto"/>
    </w:pPr>
    <w:rPr>
      <w:color w:val="231F20" w:themeColor="text1"/>
    </w:rPr>
    <w:tblPr>
      <w:tblStyleRowBandSize w:val="1"/>
      <w:tblStyleColBandSize w:val="1"/>
      <w:tblBorders>
        <w:top w:val="single" w:sz="8" w:space="0" w:color="46641D" w:themeColor="accent4"/>
        <w:bottom w:val="single" w:sz="8" w:space="0" w:color="46641D" w:themeColor="accent4"/>
      </w:tblBorders>
    </w:tblPr>
    <w:tblStylePr w:type="firstRow">
      <w:rPr>
        <w:rFonts w:asciiTheme="majorHAnsi" w:eastAsiaTheme="majorEastAsia" w:hAnsiTheme="majorHAnsi" w:cstheme="majorBidi"/>
      </w:rPr>
      <w:tblPr/>
      <w:tcPr>
        <w:tcBorders>
          <w:top w:val="nil"/>
          <w:bottom w:val="single" w:sz="8" w:space="0" w:color="46641D" w:themeColor="accent4"/>
        </w:tcBorders>
      </w:tcPr>
    </w:tblStylePr>
    <w:tblStylePr w:type="lastRow">
      <w:rPr>
        <w:b/>
        <w:bCs/>
        <w:color w:val="4D4D4F" w:themeColor="text2"/>
      </w:rPr>
      <w:tblPr/>
      <w:tcPr>
        <w:tcBorders>
          <w:top w:val="single" w:sz="8" w:space="0" w:color="46641D" w:themeColor="accent4"/>
          <w:bottom w:val="single" w:sz="8" w:space="0" w:color="46641D" w:themeColor="accent4"/>
        </w:tcBorders>
      </w:tcPr>
    </w:tblStylePr>
    <w:tblStylePr w:type="firstCol">
      <w:rPr>
        <w:b/>
        <w:bCs/>
      </w:rPr>
    </w:tblStylePr>
    <w:tblStylePr w:type="lastCol">
      <w:rPr>
        <w:b/>
        <w:bCs/>
      </w:rPr>
      <w:tblPr/>
      <w:tcPr>
        <w:tcBorders>
          <w:top w:val="single" w:sz="8" w:space="0" w:color="46641D" w:themeColor="accent4"/>
          <w:bottom w:val="single" w:sz="8" w:space="0" w:color="46641D" w:themeColor="accent4"/>
        </w:tcBorders>
      </w:tcPr>
    </w:tblStylePr>
    <w:tblStylePr w:type="band1Vert">
      <w:tblPr/>
      <w:tcPr>
        <w:shd w:val="clear" w:color="auto" w:fill="D3E9B5" w:themeFill="accent4" w:themeFillTint="3F"/>
      </w:tcPr>
    </w:tblStylePr>
    <w:tblStylePr w:type="band1Horz">
      <w:tblPr/>
      <w:tcPr>
        <w:shd w:val="clear" w:color="auto" w:fill="D3E9B5" w:themeFill="accent4" w:themeFillTint="3F"/>
      </w:tcPr>
    </w:tblStylePr>
  </w:style>
  <w:style w:type="table" w:styleId="MediumList1-Accent5">
    <w:name w:val="Medium List 1 Accent 5"/>
    <w:basedOn w:val="TableNormal"/>
    <w:uiPriority w:val="65"/>
    <w:locked/>
    <w:rsid w:val="00372E2B"/>
    <w:pPr>
      <w:spacing w:before="170" w:after="0" w:line="240" w:lineRule="auto"/>
    </w:pPr>
    <w:rPr>
      <w:color w:val="231F20" w:themeColor="text1"/>
    </w:rPr>
    <w:tblPr>
      <w:tblStyleRowBandSize w:val="1"/>
      <w:tblStyleColBandSize w:val="1"/>
      <w:tblBorders>
        <w:top w:val="single" w:sz="8" w:space="0" w:color="00C85F" w:themeColor="accent5"/>
        <w:bottom w:val="single" w:sz="8" w:space="0" w:color="00C85F" w:themeColor="accent5"/>
      </w:tblBorders>
    </w:tblPr>
    <w:tblStylePr w:type="firstRow">
      <w:rPr>
        <w:rFonts w:asciiTheme="majorHAnsi" w:eastAsiaTheme="majorEastAsia" w:hAnsiTheme="majorHAnsi" w:cstheme="majorBidi"/>
      </w:rPr>
      <w:tblPr/>
      <w:tcPr>
        <w:tcBorders>
          <w:top w:val="nil"/>
          <w:bottom w:val="single" w:sz="8" w:space="0" w:color="00C85F" w:themeColor="accent5"/>
        </w:tcBorders>
      </w:tcPr>
    </w:tblStylePr>
    <w:tblStylePr w:type="lastRow">
      <w:rPr>
        <w:b/>
        <w:bCs/>
        <w:color w:val="4D4D4F" w:themeColor="text2"/>
      </w:rPr>
      <w:tblPr/>
      <w:tcPr>
        <w:tcBorders>
          <w:top w:val="single" w:sz="8" w:space="0" w:color="00C85F" w:themeColor="accent5"/>
          <w:bottom w:val="single" w:sz="8" w:space="0" w:color="00C85F" w:themeColor="accent5"/>
        </w:tcBorders>
      </w:tcPr>
    </w:tblStylePr>
    <w:tblStylePr w:type="firstCol">
      <w:rPr>
        <w:b/>
        <w:bCs/>
      </w:rPr>
    </w:tblStylePr>
    <w:tblStylePr w:type="lastCol">
      <w:rPr>
        <w:b/>
        <w:bCs/>
      </w:rPr>
      <w:tblPr/>
      <w:tcPr>
        <w:tcBorders>
          <w:top w:val="single" w:sz="8" w:space="0" w:color="00C85F" w:themeColor="accent5"/>
          <w:bottom w:val="single" w:sz="8" w:space="0" w:color="00C85F" w:themeColor="accent5"/>
        </w:tcBorders>
      </w:tcPr>
    </w:tblStylePr>
    <w:tblStylePr w:type="band1Vert">
      <w:tblPr/>
      <w:tcPr>
        <w:shd w:val="clear" w:color="auto" w:fill="B2FFD6" w:themeFill="accent5" w:themeFillTint="3F"/>
      </w:tcPr>
    </w:tblStylePr>
    <w:tblStylePr w:type="band1Horz">
      <w:tblPr/>
      <w:tcPr>
        <w:shd w:val="clear" w:color="auto" w:fill="B2FFD6" w:themeFill="accent5" w:themeFillTint="3F"/>
      </w:tcPr>
    </w:tblStylePr>
  </w:style>
  <w:style w:type="table" w:styleId="MediumList1-Accent6">
    <w:name w:val="Medium List 1 Accent 6"/>
    <w:basedOn w:val="TableNormal"/>
    <w:uiPriority w:val="65"/>
    <w:locked/>
    <w:rsid w:val="00372E2B"/>
    <w:pPr>
      <w:spacing w:before="170" w:after="0" w:line="240" w:lineRule="auto"/>
    </w:pPr>
    <w:rPr>
      <w:color w:val="231F20" w:themeColor="text1"/>
    </w:rPr>
    <w:tblPr>
      <w:tblStyleRowBandSize w:val="1"/>
      <w:tblStyleColBandSize w:val="1"/>
      <w:tblBorders>
        <w:top w:val="single" w:sz="8" w:space="0" w:color="D1E8B2" w:themeColor="accent6"/>
        <w:bottom w:val="single" w:sz="8" w:space="0" w:color="D1E8B2" w:themeColor="accent6"/>
      </w:tblBorders>
    </w:tblPr>
    <w:tblStylePr w:type="firstRow">
      <w:rPr>
        <w:rFonts w:asciiTheme="majorHAnsi" w:eastAsiaTheme="majorEastAsia" w:hAnsiTheme="majorHAnsi" w:cstheme="majorBidi"/>
      </w:rPr>
      <w:tblPr/>
      <w:tcPr>
        <w:tcBorders>
          <w:top w:val="nil"/>
          <w:bottom w:val="single" w:sz="8" w:space="0" w:color="D1E8B2" w:themeColor="accent6"/>
        </w:tcBorders>
      </w:tcPr>
    </w:tblStylePr>
    <w:tblStylePr w:type="lastRow">
      <w:rPr>
        <w:b/>
        <w:bCs/>
        <w:color w:val="4D4D4F" w:themeColor="text2"/>
      </w:rPr>
      <w:tblPr/>
      <w:tcPr>
        <w:tcBorders>
          <w:top w:val="single" w:sz="8" w:space="0" w:color="D1E8B2" w:themeColor="accent6"/>
          <w:bottom w:val="single" w:sz="8" w:space="0" w:color="D1E8B2" w:themeColor="accent6"/>
        </w:tcBorders>
      </w:tcPr>
    </w:tblStylePr>
    <w:tblStylePr w:type="firstCol">
      <w:rPr>
        <w:b/>
        <w:bCs/>
      </w:rPr>
    </w:tblStylePr>
    <w:tblStylePr w:type="lastCol">
      <w:rPr>
        <w:b/>
        <w:bCs/>
      </w:rPr>
      <w:tblPr/>
      <w:tcPr>
        <w:tcBorders>
          <w:top w:val="single" w:sz="8" w:space="0" w:color="D1E8B2" w:themeColor="accent6"/>
          <w:bottom w:val="single" w:sz="8" w:space="0" w:color="D1E8B2" w:themeColor="accent6"/>
        </w:tcBorders>
      </w:tcPr>
    </w:tblStylePr>
    <w:tblStylePr w:type="band1Vert">
      <w:tblPr/>
      <w:tcPr>
        <w:shd w:val="clear" w:color="auto" w:fill="F3F9EB" w:themeFill="accent6" w:themeFillTint="3F"/>
      </w:tcPr>
    </w:tblStylePr>
    <w:tblStylePr w:type="band1Horz">
      <w:tblPr/>
      <w:tcPr>
        <w:shd w:val="clear" w:color="auto" w:fill="F3F9EB" w:themeFill="accent6" w:themeFillTint="3F"/>
      </w:tcPr>
    </w:tblStylePr>
  </w:style>
  <w:style w:type="table" w:styleId="MediumList2">
    <w:name w:val="Medium List 2"/>
    <w:basedOn w:val="TableNormal"/>
    <w:uiPriority w:val="66"/>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853F" w:themeColor="accent1"/>
        <w:left w:val="single" w:sz="8" w:space="0" w:color="00853F" w:themeColor="accent1"/>
        <w:bottom w:val="single" w:sz="8" w:space="0" w:color="00853F" w:themeColor="accent1"/>
        <w:right w:val="single" w:sz="8" w:space="0" w:color="00853F" w:themeColor="accent1"/>
      </w:tblBorders>
    </w:tblPr>
    <w:tblStylePr w:type="firstRow">
      <w:rPr>
        <w:sz w:val="24"/>
        <w:szCs w:val="24"/>
      </w:rPr>
      <w:tblPr/>
      <w:tcPr>
        <w:tcBorders>
          <w:top w:val="nil"/>
          <w:left w:val="nil"/>
          <w:bottom w:val="single" w:sz="24" w:space="0" w:color="00853F" w:themeColor="accent1"/>
          <w:right w:val="nil"/>
          <w:insideH w:val="nil"/>
          <w:insideV w:val="nil"/>
        </w:tcBorders>
        <w:shd w:val="clear" w:color="auto" w:fill="FFFFFF" w:themeFill="background1"/>
      </w:tcPr>
    </w:tblStylePr>
    <w:tblStylePr w:type="lastRow">
      <w:tblPr/>
      <w:tcPr>
        <w:tcBorders>
          <w:top w:val="single" w:sz="8" w:space="0" w:color="00853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53F" w:themeColor="accent1"/>
          <w:insideH w:val="nil"/>
          <w:insideV w:val="nil"/>
        </w:tcBorders>
        <w:shd w:val="clear" w:color="auto" w:fill="FFFFFF" w:themeFill="background1"/>
      </w:tcPr>
    </w:tblStylePr>
    <w:tblStylePr w:type="lastCol">
      <w:tblPr/>
      <w:tcPr>
        <w:tcBorders>
          <w:top w:val="nil"/>
          <w:left w:val="single" w:sz="8" w:space="0" w:color="00853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CD" w:themeFill="accent1" w:themeFillTint="3F"/>
      </w:tcPr>
    </w:tblStylePr>
    <w:tblStylePr w:type="band1Horz">
      <w:tblPr/>
      <w:tcPr>
        <w:tcBorders>
          <w:top w:val="nil"/>
          <w:bottom w:val="nil"/>
          <w:insideH w:val="nil"/>
          <w:insideV w:val="nil"/>
        </w:tcBorders>
        <w:shd w:val="clear" w:color="auto" w:fill="A1FF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DC63F" w:themeColor="accent2"/>
        <w:left w:val="single" w:sz="8" w:space="0" w:color="8DC63F" w:themeColor="accent2"/>
        <w:bottom w:val="single" w:sz="8" w:space="0" w:color="8DC63F" w:themeColor="accent2"/>
        <w:right w:val="single" w:sz="8" w:space="0" w:color="8DC63F" w:themeColor="accent2"/>
      </w:tblBorders>
    </w:tblPr>
    <w:tblStylePr w:type="firstRow">
      <w:rPr>
        <w:sz w:val="24"/>
        <w:szCs w:val="24"/>
      </w:rPr>
      <w:tblPr/>
      <w:tcPr>
        <w:tcBorders>
          <w:top w:val="nil"/>
          <w:left w:val="nil"/>
          <w:bottom w:val="single" w:sz="24" w:space="0" w:color="8DC63F" w:themeColor="accent2"/>
          <w:right w:val="nil"/>
          <w:insideH w:val="nil"/>
          <w:insideV w:val="nil"/>
        </w:tcBorders>
        <w:shd w:val="clear" w:color="auto" w:fill="FFFFFF" w:themeFill="background1"/>
      </w:tcPr>
    </w:tblStylePr>
    <w:tblStylePr w:type="lastRow">
      <w:tblPr/>
      <w:tcPr>
        <w:tcBorders>
          <w:top w:val="single" w:sz="8" w:space="0" w:color="8DC63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C63F" w:themeColor="accent2"/>
          <w:insideH w:val="nil"/>
          <w:insideV w:val="nil"/>
        </w:tcBorders>
        <w:shd w:val="clear" w:color="auto" w:fill="FFFFFF" w:themeFill="background1"/>
      </w:tcPr>
    </w:tblStylePr>
    <w:tblStylePr w:type="lastCol">
      <w:tblPr/>
      <w:tcPr>
        <w:tcBorders>
          <w:top w:val="nil"/>
          <w:left w:val="single" w:sz="8" w:space="0" w:color="8DC63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1CF" w:themeFill="accent2" w:themeFillTint="3F"/>
      </w:tcPr>
    </w:tblStylePr>
    <w:tblStylePr w:type="band1Horz">
      <w:tblPr/>
      <w:tcPr>
        <w:tcBorders>
          <w:top w:val="nil"/>
          <w:bottom w:val="nil"/>
          <w:insideH w:val="nil"/>
          <w:insideV w:val="nil"/>
        </w:tcBorders>
        <w:shd w:val="clear" w:color="auto" w:fill="E2F1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421F" w:themeColor="accent3"/>
        <w:left w:val="single" w:sz="8" w:space="0" w:color="00421F" w:themeColor="accent3"/>
        <w:bottom w:val="single" w:sz="8" w:space="0" w:color="00421F" w:themeColor="accent3"/>
        <w:right w:val="single" w:sz="8" w:space="0" w:color="00421F" w:themeColor="accent3"/>
      </w:tblBorders>
    </w:tblPr>
    <w:tblStylePr w:type="firstRow">
      <w:rPr>
        <w:sz w:val="24"/>
        <w:szCs w:val="24"/>
      </w:rPr>
      <w:tblPr/>
      <w:tcPr>
        <w:tcBorders>
          <w:top w:val="nil"/>
          <w:left w:val="nil"/>
          <w:bottom w:val="single" w:sz="24" w:space="0" w:color="00421F" w:themeColor="accent3"/>
          <w:right w:val="nil"/>
          <w:insideH w:val="nil"/>
          <w:insideV w:val="nil"/>
        </w:tcBorders>
        <w:shd w:val="clear" w:color="auto" w:fill="FFFFFF" w:themeFill="background1"/>
      </w:tcPr>
    </w:tblStylePr>
    <w:tblStylePr w:type="lastRow">
      <w:tblPr/>
      <w:tcPr>
        <w:tcBorders>
          <w:top w:val="single" w:sz="8" w:space="0" w:color="0042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1F" w:themeColor="accent3"/>
          <w:insideH w:val="nil"/>
          <w:insideV w:val="nil"/>
        </w:tcBorders>
        <w:shd w:val="clear" w:color="auto" w:fill="FFFFFF" w:themeFill="background1"/>
      </w:tcPr>
    </w:tblStylePr>
    <w:tblStylePr w:type="lastCol">
      <w:tblPr/>
      <w:tcPr>
        <w:tcBorders>
          <w:top w:val="nil"/>
          <w:left w:val="single" w:sz="8" w:space="0" w:color="0042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FFC4" w:themeFill="accent3" w:themeFillTint="3F"/>
      </w:tcPr>
    </w:tblStylePr>
    <w:tblStylePr w:type="band1Horz">
      <w:tblPr/>
      <w:tcPr>
        <w:tcBorders>
          <w:top w:val="nil"/>
          <w:bottom w:val="nil"/>
          <w:insideH w:val="nil"/>
          <w:insideV w:val="nil"/>
        </w:tcBorders>
        <w:shd w:val="clear" w:color="auto" w:fill="91FFC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46641D" w:themeColor="accent4"/>
        <w:left w:val="single" w:sz="8" w:space="0" w:color="46641D" w:themeColor="accent4"/>
        <w:bottom w:val="single" w:sz="8" w:space="0" w:color="46641D" w:themeColor="accent4"/>
        <w:right w:val="single" w:sz="8" w:space="0" w:color="46641D" w:themeColor="accent4"/>
      </w:tblBorders>
    </w:tblPr>
    <w:tblStylePr w:type="firstRow">
      <w:rPr>
        <w:sz w:val="24"/>
        <w:szCs w:val="24"/>
      </w:rPr>
      <w:tblPr/>
      <w:tcPr>
        <w:tcBorders>
          <w:top w:val="nil"/>
          <w:left w:val="nil"/>
          <w:bottom w:val="single" w:sz="24" w:space="0" w:color="46641D" w:themeColor="accent4"/>
          <w:right w:val="nil"/>
          <w:insideH w:val="nil"/>
          <w:insideV w:val="nil"/>
        </w:tcBorders>
        <w:shd w:val="clear" w:color="auto" w:fill="FFFFFF" w:themeFill="background1"/>
      </w:tcPr>
    </w:tblStylePr>
    <w:tblStylePr w:type="lastRow">
      <w:tblPr/>
      <w:tcPr>
        <w:tcBorders>
          <w:top w:val="single" w:sz="8" w:space="0" w:color="46641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641D" w:themeColor="accent4"/>
          <w:insideH w:val="nil"/>
          <w:insideV w:val="nil"/>
        </w:tcBorders>
        <w:shd w:val="clear" w:color="auto" w:fill="FFFFFF" w:themeFill="background1"/>
      </w:tcPr>
    </w:tblStylePr>
    <w:tblStylePr w:type="lastCol">
      <w:tblPr/>
      <w:tcPr>
        <w:tcBorders>
          <w:top w:val="nil"/>
          <w:left w:val="single" w:sz="8" w:space="0" w:color="46641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B5" w:themeFill="accent4" w:themeFillTint="3F"/>
      </w:tcPr>
    </w:tblStylePr>
    <w:tblStylePr w:type="band1Horz">
      <w:tblPr/>
      <w:tcPr>
        <w:tcBorders>
          <w:top w:val="nil"/>
          <w:bottom w:val="nil"/>
          <w:insideH w:val="nil"/>
          <w:insideV w:val="nil"/>
        </w:tcBorders>
        <w:shd w:val="clear" w:color="auto" w:fill="D3E9B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C85F" w:themeColor="accent5"/>
        <w:left w:val="single" w:sz="8" w:space="0" w:color="00C85F" w:themeColor="accent5"/>
        <w:bottom w:val="single" w:sz="8" w:space="0" w:color="00C85F" w:themeColor="accent5"/>
        <w:right w:val="single" w:sz="8" w:space="0" w:color="00C85F" w:themeColor="accent5"/>
      </w:tblBorders>
    </w:tblPr>
    <w:tblStylePr w:type="firstRow">
      <w:rPr>
        <w:sz w:val="24"/>
        <w:szCs w:val="24"/>
      </w:rPr>
      <w:tblPr/>
      <w:tcPr>
        <w:tcBorders>
          <w:top w:val="nil"/>
          <w:left w:val="nil"/>
          <w:bottom w:val="single" w:sz="24" w:space="0" w:color="00C85F" w:themeColor="accent5"/>
          <w:right w:val="nil"/>
          <w:insideH w:val="nil"/>
          <w:insideV w:val="nil"/>
        </w:tcBorders>
        <w:shd w:val="clear" w:color="auto" w:fill="FFFFFF" w:themeFill="background1"/>
      </w:tcPr>
    </w:tblStylePr>
    <w:tblStylePr w:type="lastRow">
      <w:tblPr/>
      <w:tcPr>
        <w:tcBorders>
          <w:top w:val="single" w:sz="8" w:space="0" w:color="00C8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C85F" w:themeColor="accent5"/>
          <w:insideH w:val="nil"/>
          <w:insideV w:val="nil"/>
        </w:tcBorders>
        <w:shd w:val="clear" w:color="auto" w:fill="FFFFFF" w:themeFill="background1"/>
      </w:tcPr>
    </w:tblStylePr>
    <w:tblStylePr w:type="lastCol">
      <w:tblPr/>
      <w:tcPr>
        <w:tcBorders>
          <w:top w:val="nil"/>
          <w:left w:val="single" w:sz="8" w:space="0" w:color="00C8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FD6" w:themeFill="accent5" w:themeFillTint="3F"/>
      </w:tcPr>
    </w:tblStylePr>
    <w:tblStylePr w:type="band1Horz">
      <w:tblPr/>
      <w:tcPr>
        <w:tcBorders>
          <w:top w:val="nil"/>
          <w:bottom w:val="nil"/>
          <w:insideH w:val="nil"/>
          <w:insideV w:val="nil"/>
        </w:tcBorders>
        <w:shd w:val="clear" w:color="auto" w:fill="B2FFD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372E2B"/>
    <w:pPr>
      <w:spacing w:before="170" w:after="0"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D1E8B2" w:themeColor="accent6"/>
        <w:left w:val="single" w:sz="8" w:space="0" w:color="D1E8B2" w:themeColor="accent6"/>
        <w:bottom w:val="single" w:sz="8" w:space="0" w:color="D1E8B2" w:themeColor="accent6"/>
        <w:right w:val="single" w:sz="8" w:space="0" w:color="D1E8B2" w:themeColor="accent6"/>
      </w:tblBorders>
    </w:tblPr>
    <w:tblStylePr w:type="firstRow">
      <w:rPr>
        <w:sz w:val="24"/>
        <w:szCs w:val="24"/>
      </w:rPr>
      <w:tblPr/>
      <w:tcPr>
        <w:tcBorders>
          <w:top w:val="nil"/>
          <w:left w:val="nil"/>
          <w:bottom w:val="single" w:sz="24" w:space="0" w:color="D1E8B2" w:themeColor="accent6"/>
          <w:right w:val="nil"/>
          <w:insideH w:val="nil"/>
          <w:insideV w:val="nil"/>
        </w:tcBorders>
        <w:shd w:val="clear" w:color="auto" w:fill="FFFFFF" w:themeFill="background1"/>
      </w:tcPr>
    </w:tblStylePr>
    <w:tblStylePr w:type="lastRow">
      <w:tblPr/>
      <w:tcPr>
        <w:tcBorders>
          <w:top w:val="single" w:sz="8" w:space="0" w:color="D1E8B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E8B2" w:themeColor="accent6"/>
          <w:insideH w:val="nil"/>
          <w:insideV w:val="nil"/>
        </w:tcBorders>
        <w:shd w:val="clear" w:color="auto" w:fill="FFFFFF" w:themeFill="background1"/>
      </w:tcPr>
    </w:tblStylePr>
    <w:tblStylePr w:type="lastCol">
      <w:tblPr/>
      <w:tcPr>
        <w:tcBorders>
          <w:top w:val="nil"/>
          <w:left w:val="single" w:sz="8" w:space="0" w:color="D1E8B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9EB" w:themeFill="accent6" w:themeFillTint="3F"/>
      </w:tcPr>
    </w:tblStylePr>
    <w:tblStylePr w:type="band1Horz">
      <w:tblPr/>
      <w:tcPr>
        <w:tcBorders>
          <w:top w:val="nil"/>
          <w:bottom w:val="nil"/>
          <w:insideH w:val="nil"/>
          <w:insideV w:val="nil"/>
        </w:tcBorders>
        <w:shd w:val="clear" w:color="auto" w:fill="F3F9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372E2B"/>
    <w:pPr>
      <w:spacing w:before="170"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372E2B"/>
    <w:pPr>
      <w:spacing w:before="170" w:after="0" w:line="240" w:lineRule="auto"/>
    </w:pPr>
    <w:tblPr>
      <w:tblStyleRowBandSize w:val="1"/>
      <w:tblStyleColBandSize w:val="1"/>
      <w:tblBorders>
        <w:top w:val="single" w:sz="8" w:space="0" w:color="00E36A" w:themeColor="accent1" w:themeTint="BF"/>
        <w:left w:val="single" w:sz="8" w:space="0" w:color="00E36A" w:themeColor="accent1" w:themeTint="BF"/>
        <w:bottom w:val="single" w:sz="8" w:space="0" w:color="00E36A" w:themeColor="accent1" w:themeTint="BF"/>
        <w:right w:val="single" w:sz="8" w:space="0" w:color="00E36A" w:themeColor="accent1" w:themeTint="BF"/>
        <w:insideH w:val="single" w:sz="8" w:space="0" w:color="00E36A" w:themeColor="accent1" w:themeTint="BF"/>
      </w:tblBorders>
    </w:tblPr>
    <w:tblStylePr w:type="firstRow">
      <w:pPr>
        <w:spacing w:before="0" w:after="0" w:line="240" w:lineRule="auto"/>
      </w:pPr>
      <w:rPr>
        <w:b/>
        <w:bCs/>
        <w:color w:val="FFFFFF" w:themeColor="background1"/>
      </w:rPr>
      <w:tblPr/>
      <w:tcPr>
        <w:tcBorders>
          <w:top w:val="single" w:sz="8" w:space="0" w:color="00E36A" w:themeColor="accent1" w:themeTint="BF"/>
          <w:left w:val="single" w:sz="8" w:space="0" w:color="00E36A" w:themeColor="accent1" w:themeTint="BF"/>
          <w:bottom w:val="single" w:sz="8" w:space="0" w:color="00E36A" w:themeColor="accent1" w:themeTint="BF"/>
          <w:right w:val="single" w:sz="8" w:space="0" w:color="00E36A" w:themeColor="accent1" w:themeTint="BF"/>
          <w:insideH w:val="nil"/>
          <w:insideV w:val="nil"/>
        </w:tcBorders>
        <w:shd w:val="clear" w:color="auto" w:fill="00853F" w:themeFill="accent1"/>
      </w:tcPr>
    </w:tblStylePr>
    <w:tblStylePr w:type="lastRow">
      <w:pPr>
        <w:spacing w:before="0" w:after="0" w:line="240" w:lineRule="auto"/>
      </w:pPr>
      <w:rPr>
        <w:b/>
        <w:bCs/>
      </w:rPr>
      <w:tblPr/>
      <w:tcPr>
        <w:tcBorders>
          <w:top w:val="double" w:sz="6" w:space="0" w:color="00E36A" w:themeColor="accent1" w:themeTint="BF"/>
          <w:left w:val="single" w:sz="8" w:space="0" w:color="00E36A" w:themeColor="accent1" w:themeTint="BF"/>
          <w:bottom w:val="single" w:sz="8" w:space="0" w:color="00E36A" w:themeColor="accent1" w:themeTint="BF"/>
          <w:right w:val="single" w:sz="8" w:space="0" w:color="00E36A"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FFCD" w:themeFill="accent1" w:themeFillTint="3F"/>
      </w:tcPr>
    </w:tblStylePr>
    <w:tblStylePr w:type="band1Horz">
      <w:tblPr/>
      <w:tcPr>
        <w:tcBorders>
          <w:insideH w:val="nil"/>
          <w:insideV w:val="nil"/>
        </w:tcBorders>
        <w:shd w:val="clear" w:color="auto" w:fill="A1FF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372E2B"/>
    <w:pPr>
      <w:spacing w:before="170" w:after="0" w:line="240" w:lineRule="auto"/>
    </w:pPr>
    <w:tblPr>
      <w:tblStyleRowBandSize w:val="1"/>
      <w:tblStyleColBandSize w:val="1"/>
      <w:tblBorders>
        <w:top w:val="single" w:sz="8" w:space="0" w:color="A9D46F" w:themeColor="accent2" w:themeTint="BF"/>
        <w:left w:val="single" w:sz="8" w:space="0" w:color="A9D46F" w:themeColor="accent2" w:themeTint="BF"/>
        <w:bottom w:val="single" w:sz="8" w:space="0" w:color="A9D46F" w:themeColor="accent2" w:themeTint="BF"/>
        <w:right w:val="single" w:sz="8" w:space="0" w:color="A9D46F" w:themeColor="accent2" w:themeTint="BF"/>
        <w:insideH w:val="single" w:sz="8" w:space="0" w:color="A9D46F" w:themeColor="accent2" w:themeTint="BF"/>
      </w:tblBorders>
    </w:tblPr>
    <w:tblStylePr w:type="firstRow">
      <w:pPr>
        <w:spacing w:before="0" w:after="0" w:line="240" w:lineRule="auto"/>
      </w:pPr>
      <w:rPr>
        <w:b/>
        <w:bCs/>
        <w:color w:val="FFFFFF" w:themeColor="background1"/>
      </w:rPr>
      <w:tblPr/>
      <w:tcPr>
        <w:tcBorders>
          <w:top w:val="single" w:sz="8" w:space="0" w:color="A9D46F" w:themeColor="accent2" w:themeTint="BF"/>
          <w:left w:val="single" w:sz="8" w:space="0" w:color="A9D46F" w:themeColor="accent2" w:themeTint="BF"/>
          <w:bottom w:val="single" w:sz="8" w:space="0" w:color="A9D46F" w:themeColor="accent2" w:themeTint="BF"/>
          <w:right w:val="single" w:sz="8" w:space="0" w:color="A9D46F" w:themeColor="accent2" w:themeTint="BF"/>
          <w:insideH w:val="nil"/>
          <w:insideV w:val="nil"/>
        </w:tcBorders>
        <w:shd w:val="clear" w:color="auto" w:fill="8DC63F" w:themeFill="accent2"/>
      </w:tcPr>
    </w:tblStylePr>
    <w:tblStylePr w:type="lastRow">
      <w:pPr>
        <w:spacing w:before="0" w:after="0" w:line="240" w:lineRule="auto"/>
      </w:pPr>
      <w:rPr>
        <w:b/>
        <w:bCs/>
      </w:rPr>
      <w:tblPr/>
      <w:tcPr>
        <w:tcBorders>
          <w:top w:val="double" w:sz="6" w:space="0" w:color="A9D46F" w:themeColor="accent2" w:themeTint="BF"/>
          <w:left w:val="single" w:sz="8" w:space="0" w:color="A9D46F" w:themeColor="accent2" w:themeTint="BF"/>
          <w:bottom w:val="single" w:sz="8" w:space="0" w:color="A9D46F" w:themeColor="accent2" w:themeTint="BF"/>
          <w:right w:val="single" w:sz="8" w:space="0" w:color="A9D46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1CF" w:themeFill="accent2" w:themeFillTint="3F"/>
      </w:tcPr>
    </w:tblStylePr>
    <w:tblStylePr w:type="band1Horz">
      <w:tblPr/>
      <w:tcPr>
        <w:tcBorders>
          <w:insideH w:val="nil"/>
          <w:insideV w:val="nil"/>
        </w:tcBorders>
        <w:shd w:val="clear" w:color="auto" w:fill="E2F1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372E2B"/>
    <w:pPr>
      <w:spacing w:before="170" w:after="0" w:line="240" w:lineRule="auto"/>
    </w:pPr>
    <w:tblPr>
      <w:tblStyleRowBandSize w:val="1"/>
      <w:tblStyleColBandSize w:val="1"/>
      <w:tblBorders>
        <w:top w:val="single" w:sz="8" w:space="0" w:color="00B152" w:themeColor="accent3" w:themeTint="BF"/>
        <w:left w:val="single" w:sz="8" w:space="0" w:color="00B152" w:themeColor="accent3" w:themeTint="BF"/>
        <w:bottom w:val="single" w:sz="8" w:space="0" w:color="00B152" w:themeColor="accent3" w:themeTint="BF"/>
        <w:right w:val="single" w:sz="8" w:space="0" w:color="00B152" w:themeColor="accent3" w:themeTint="BF"/>
        <w:insideH w:val="single" w:sz="8" w:space="0" w:color="00B152" w:themeColor="accent3" w:themeTint="BF"/>
      </w:tblBorders>
    </w:tblPr>
    <w:tblStylePr w:type="firstRow">
      <w:pPr>
        <w:spacing w:before="0" w:after="0" w:line="240" w:lineRule="auto"/>
      </w:pPr>
      <w:rPr>
        <w:b/>
        <w:bCs/>
        <w:color w:val="FFFFFF" w:themeColor="background1"/>
      </w:rPr>
      <w:tblPr/>
      <w:tcPr>
        <w:tcBorders>
          <w:top w:val="single" w:sz="8" w:space="0" w:color="00B152" w:themeColor="accent3" w:themeTint="BF"/>
          <w:left w:val="single" w:sz="8" w:space="0" w:color="00B152" w:themeColor="accent3" w:themeTint="BF"/>
          <w:bottom w:val="single" w:sz="8" w:space="0" w:color="00B152" w:themeColor="accent3" w:themeTint="BF"/>
          <w:right w:val="single" w:sz="8" w:space="0" w:color="00B152" w:themeColor="accent3" w:themeTint="BF"/>
          <w:insideH w:val="nil"/>
          <w:insideV w:val="nil"/>
        </w:tcBorders>
        <w:shd w:val="clear" w:color="auto" w:fill="00421F" w:themeFill="accent3"/>
      </w:tcPr>
    </w:tblStylePr>
    <w:tblStylePr w:type="lastRow">
      <w:pPr>
        <w:spacing w:before="0" w:after="0" w:line="240" w:lineRule="auto"/>
      </w:pPr>
      <w:rPr>
        <w:b/>
        <w:bCs/>
      </w:rPr>
      <w:tblPr/>
      <w:tcPr>
        <w:tcBorders>
          <w:top w:val="double" w:sz="6" w:space="0" w:color="00B152" w:themeColor="accent3" w:themeTint="BF"/>
          <w:left w:val="single" w:sz="8" w:space="0" w:color="00B152" w:themeColor="accent3" w:themeTint="BF"/>
          <w:bottom w:val="single" w:sz="8" w:space="0" w:color="00B152" w:themeColor="accent3" w:themeTint="BF"/>
          <w:right w:val="single" w:sz="8" w:space="0" w:color="00B152" w:themeColor="accent3" w:themeTint="BF"/>
          <w:insideH w:val="nil"/>
          <w:insideV w:val="nil"/>
        </w:tcBorders>
      </w:tcPr>
    </w:tblStylePr>
    <w:tblStylePr w:type="firstCol">
      <w:rPr>
        <w:b/>
        <w:bCs/>
      </w:rPr>
    </w:tblStylePr>
    <w:tblStylePr w:type="lastCol">
      <w:rPr>
        <w:b/>
        <w:bCs/>
      </w:rPr>
    </w:tblStylePr>
    <w:tblStylePr w:type="band1Vert">
      <w:tblPr/>
      <w:tcPr>
        <w:shd w:val="clear" w:color="auto" w:fill="91FFC4" w:themeFill="accent3" w:themeFillTint="3F"/>
      </w:tcPr>
    </w:tblStylePr>
    <w:tblStylePr w:type="band1Horz">
      <w:tblPr/>
      <w:tcPr>
        <w:tcBorders>
          <w:insideH w:val="nil"/>
          <w:insideV w:val="nil"/>
        </w:tcBorders>
        <w:shd w:val="clear" w:color="auto" w:fill="91FFC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372E2B"/>
    <w:pPr>
      <w:spacing w:before="170" w:after="0" w:line="240" w:lineRule="auto"/>
    </w:pPr>
    <w:tblPr>
      <w:tblStyleRowBandSize w:val="1"/>
      <w:tblStyleColBandSize w:val="1"/>
      <w:tblBorders>
        <w:top w:val="single" w:sz="8" w:space="0" w:color="79AD32" w:themeColor="accent4" w:themeTint="BF"/>
        <w:left w:val="single" w:sz="8" w:space="0" w:color="79AD32" w:themeColor="accent4" w:themeTint="BF"/>
        <w:bottom w:val="single" w:sz="8" w:space="0" w:color="79AD32" w:themeColor="accent4" w:themeTint="BF"/>
        <w:right w:val="single" w:sz="8" w:space="0" w:color="79AD32" w:themeColor="accent4" w:themeTint="BF"/>
        <w:insideH w:val="single" w:sz="8" w:space="0" w:color="79AD32" w:themeColor="accent4" w:themeTint="BF"/>
      </w:tblBorders>
    </w:tblPr>
    <w:tblStylePr w:type="firstRow">
      <w:pPr>
        <w:spacing w:before="0" w:after="0" w:line="240" w:lineRule="auto"/>
      </w:pPr>
      <w:rPr>
        <w:b/>
        <w:bCs/>
        <w:color w:val="FFFFFF" w:themeColor="background1"/>
      </w:rPr>
      <w:tblPr/>
      <w:tcPr>
        <w:tcBorders>
          <w:top w:val="single" w:sz="8" w:space="0" w:color="79AD32" w:themeColor="accent4" w:themeTint="BF"/>
          <w:left w:val="single" w:sz="8" w:space="0" w:color="79AD32" w:themeColor="accent4" w:themeTint="BF"/>
          <w:bottom w:val="single" w:sz="8" w:space="0" w:color="79AD32" w:themeColor="accent4" w:themeTint="BF"/>
          <w:right w:val="single" w:sz="8" w:space="0" w:color="79AD32" w:themeColor="accent4" w:themeTint="BF"/>
          <w:insideH w:val="nil"/>
          <w:insideV w:val="nil"/>
        </w:tcBorders>
        <w:shd w:val="clear" w:color="auto" w:fill="46641D" w:themeFill="accent4"/>
      </w:tcPr>
    </w:tblStylePr>
    <w:tblStylePr w:type="lastRow">
      <w:pPr>
        <w:spacing w:before="0" w:after="0" w:line="240" w:lineRule="auto"/>
      </w:pPr>
      <w:rPr>
        <w:b/>
        <w:bCs/>
      </w:rPr>
      <w:tblPr/>
      <w:tcPr>
        <w:tcBorders>
          <w:top w:val="double" w:sz="6" w:space="0" w:color="79AD32" w:themeColor="accent4" w:themeTint="BF"/>
          <w:left w:val="single" w:sz="8" w:space="0" w:color="79AD32" w:themeColor="accent4" w:themeTint="BF"/>
          <w:bottom w:val="single" w:sz="8" w:space="0" w:color="79AD32" w:themeColor="accent4" w:themeTint="BF"/>
          <w:right w:val="single" w:sz="8" w:space="0" w:color="79AD32"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9B5" w:themeFill="accent4" w:themeFillTint="3F"/>
      </w:tcPr>
    </w:tblStylePr>
    <w:tblStylePr w:type="band1Horz">
      <w:tblPr/>
      <w:tcPr>
        <w:tcBorders>
          <w:insideH w:val="nil"/>
          <w:insideV w:val="nil"/>
        </w:tcBorders>
        <w:shd w:val="clear" w:color="auto" w:fill="D3E9B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372E2B"/>
    <w:pPr>
      <w:spacing w:before="170" w:after="0" w:line="240" w:lineRule="auto"/>
    </w:pPr>
    <w:tblPr>
      <w:tblStyleRowBandSize w:val="1"/>
      <w:tblStyleColBandSize w:val="1"/>
      <w:tblBorders>
        <w:top w:val="single" w:sz="8" w:space="0" w:color="16FF84" w:themeColor="accent5" w:themeTint="BF"/>
        <w:left w:val="single" w:sz="8" w:space="0" w:color="16FF84" w:themeColor="accent5" w:themeTint="BF"/>
        <w:bottom w:val="single" w:sz="8" w:space="0" w:color="16FF84" w:themeColor="accent5" w:themeTint="BF"/>
        <w:right w:val="single" w:sz="8" w:space="0" w:color="16FF84" w:themeColor="accent5" w:themeTint="BF"/>
        <w:insideH w:val="single" w:sz="8" w:space="0" w:color="16FF84" w:themeColor="accent5" w:themeTint="BF"/>
      </w:tblBorders>
    </w:tblPr>
    <w:tblStylePr w:type="firstRow">
      <w:pPr>
        <w:spacing w:before="0" w:after="0" w:line="240" w:lineRule="auto"/>
      </w:pPr>
      <w:rPr>
        <w:b/>
        <w:bCs/>
        <w:color w:val="FFFFFF" w:themeColor="background1"/>
      </w:rPr>
      <w:tblPr/>
      <w:tcPr>
        <w:tcBorders>
          <w:top w:val="single" w:sz="8" w:space="0" w:color="16FF84" w:themeColor="accent5" w:themeTint="BF"/>
          <w:left w:val="single" w:sz="8" w:space="0" w:color="16FF84" w:themeColor="accent5" w:themeTint="BF"/>
          <w:bottom w:val="single" w:sz="8" w:space="0" w:color="16FF84" w:themeColor="accent5" w:themeTint="BF"/>
          <w:right w:val="single" w:sz="8" w:space="0" w:color="16FF84" w:themeColor="accent5" w:themeTint="BF"/>
          <w:insideH w:val="nil"/>
          <w:insideV w:val="nil"/>
        </w:tcBorders>
        <w:shd w:val="clear" w:color="auto" w:fill="00C85F" w:themeFill="accent5"/>
      </w:tcPr>
    </w:tblStylePr>
    <w:tblStylePr w:type="lastRow">
      <w:pPr>
        <w:spacing w:before="0" w:after="0" w:line="240" w:lineRule="auto"/>
      </w:pPr>
      <w:rPr>
        <w:b/>
        <w:bCs/>
      </w:rPr>
      <w:tblPr/>
      <w:tcPr>
        <w:tcBorders>
          <w:top w:val="double" w:sz="6" w:space="0" w:color="16FF84" w:themeColor="accent5" w:themeTint="BF"/>
          <w:left w:val="single" w:sz="8" w:space="0" w:color="16FF84" w:themeColor="accent5" w:themeTint="BF"/>
          <w:bottom w:val="single" w:sz="8" w:space="0" w:color="16FF84" w:themeColor="accent5" w:themeTint="BF"/>
          <w:right w:val="single" w:sz="8" w:space="0" w:color="16FF84" w:themeColor="accent5" w:themeTint="BF"/>
          <w:insideH w:val="nil"/>
          <w:insideV w:val="nil"/>
        </w:tcBorders>
      </w:tcPr>
    </w:tblStylePr>
    <w:tblStylePr w:type="firstCol">
      <w:rPr>
        <w:b/>
        <w:bCs/>
      </w:rPr>
    </w:tblStylePr>
    <w:tblStylePr w:type="lastCol">
      <w:rPr>
        <w:b/>
        <w:bCs/>
      </w:rPr>
    </w:tblStylePr>
    <w:tblStylePr w:type="band1Vert">
      <w:tblPr/>
      <w:tcPr>
        <w:shd w:val="clear" w:color="auto" w:fill="B2FFD6" w:themeFill="accent5" w:themeFillTint="3F"/>
      </w:tcPr>
    </w:tblStylePr>
    <w:tblStylePr w:type="band1Horz">
      <w:tblPr/>
      <w:tcPr>
        <w:tcBorders>
          <w:insideH w:val="nil"/>
          <w:insideV w:val="nil"/>
        </w:tcBorders>
        <w:shd w:val="clear" w:color="auto" w:fill="B2FFD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372E2B"/>
    <w:pPr>
      <w:spacing w:before="170" w:after="0" w:line="240" w:lineRule="auto"/>
    </w:pPr>
    <w:tblPr>
      <w:tblStyleRowBandSize w:val="1"/>
      <w:tblStyleColBandSize w:val="1"/>
      <w:tblBorders>
        <w:top w:val="single" w:sz="8" w:space="0" w:color="DCEDC5" w:themeColor="accent6" w:themeTint="BF"/>
        <w:left w:val="single" w:sz="8" w:space="0" w:color="DCEDC5" w:themeColor="accent6" w:themeTint="BF"/>
        <w:bottom w:val="single" w:sz="8" w:space="0" w:color="DCEDC5" w:themeColor="accent6" w:themeTint="BF"/>
        <w:right w:val="single" w:sz="8" w:space="0" w:color="DCEDC5" w:themeColor="accent6" w:themeTint="BF"/>
        <w:insideH w:val="single" w:sz="8" w:space="0" w:color="DCEDC5" w:themeColor="accent6" w:themeTint="BF"/>
      </w:tblBorders>
    </w:tblPr>
    <w:tblStylePr w:type="firstRow">
      <w:pPr>
        <w:spacing w:before="0" w:after="0" w:line="240" w:lineRule="auto"/>
      </w:pPr>
      <w:rPr>
        <w:b/>
        <w:bCs/>
        <w:color w:val="FFFFFF" w:themeColor="background1"/>
      </w:rPr>
      <w:tblPr/>
      <w:tcPr>
        <w:tcBorders>
          <w:top w:val="single" w:sz="8" w:space="0" w:color="DCEDC5" w:themeColor="accent6" w:themeTint="BF"/>
          <w:left w:val="single" w:sz="8" w:space="0" w:color="DCEDC5" w:themeColor="accent6" w:themeTint="BF"/>
          <w:bottom w:val="single" w:sz="8" w:space="0" w:color="DCEDC5" w:themeColor="accent6" w:themeTint="BF"/>
          <w:right w:val="single" w:sz="8" w:space="0" w:color="DCEDC5" w:themeColor="accent6" w:themeTint="BF"/>
          <w:insideH w:val="nil"/>
          <w:insideV w:val="nil"/>
        </w:tcBorders>
        <w:shd w:val="clear" w:color="auto" w:fill="D1E8B2" w:themeFill="accent6"/>
      </w:tcPr>
    </w:tblStylePr>
    <w:tblStylePr w:type="lastRow">
      <w:pPr>
        <w:spacing w:before="0" w:after="0" w:line="240" w:lineRule="auto"/>
      </w:pPr>
      <w:rPr>
        <w:b/>
        <w:bCs/>
      </w:rPr>
      <w:tblPr/>
      <w:tcPr>
        <w:tcBorders>
          <w:top w:val="double" w:sz="6" w:space="0" w:color="DCEDC5" w:themeColor="accent6" w:themeTint="BF"/>
          <w:left w:val="single" w:sz="8" w:space="0" w:color="DCEDC5" w:themeColor="accent6" w:themeTint="BF"/>
          <w:bottom w:val="single" w:sz="8" w:space="0" w:color="DCEDC5" w:themeColor="accent6" w:themeTint="BF"/>
          <w:right w:val="single" w:sz="8" w:space="0" w:color="DCEDC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9EB" w:themeFill="accent6" w:themeFillTint="3F"/>
      </w:tcPr>
    </w:tblStylePr>
    <w:tblStylePr w:type="band1Horz">
      <w:tblPr/>
      <w:tcPr>
        <w:tcBorders>
          <w:insideH w:val="nil"/>
          <w:insideV w:val="nil"/>
        </w:tcBorders>
        <w:shd w:val="clear" w:color="auto" w:fill="F3F9E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53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53F" w:themeFill="accent1"/>
      </w:tcPr>
    </w:tblStylePr>
    <w:tblStylePr w:type="lastCol">
      <w:rPr>
        <w:b/>
        <w:bCs/>
        <w:color w:val="FFFFFF" w:themeColor="background1"/>
      </w:rPr>
      <w:tblPr/>
      <w:tcPr>
        <w:tcBorders>
          <w:left w:val="nil"/>
          <w:right w:val="nil"/>
          <w:insideH w:val="nil"/>
          <w:insideV w:val="nil"/>
        </w:tcBorders>
        <w:shd w:val="clear" w:color="auto" w:fill="00853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C63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C63F" w:themeFill="accent2"/>
      </w:tcPr>
    </w:tblStylePr>
    <w:tblStylePr w:type="lastCol">
      <w:rPr>
        <w:b/>
        <w:bCs/>
        <w:color w:val="FFFFFF" w:themeColor="background1"/>
      </w:rPr>
      <w:tblPr/>
      <w:tcPr>
        <w:tcBorders>
          <w:left w:val="nil"/>
          <w:right w:val="nil"/>
          <w:insideH w:val="nil"/>
          <w:insideV w:val="nil"/>
        </w:tcBorders>
        <w:shd w:val="clear" w:color="auto" w:fill="8DC63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1F" w:themeFill="accent3"/>
      </w:tcPr>
    </w:tblStylePr>
    <w:tblStylePr w:type="lastCol">
      <w:rPr>
        <w:b/>
        <w:bCs/>
        <w:color w:val="FFFFFF" w:themeColor="background1"/>
      </w:rPr>
      <w:tblPr/>
      <w:tcPr>
        <w:tcBorders>
          <w:left w:val="nil"/>
          <w:right w:val="nil"/>
          <w:insideH w:val="nil"/>
          <w:insideV w:val="nil"/>
        </w:tcBorders>
        <w:shd w:val="clear" w:color="auto" w:fill="0042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641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641D" w:themeFill="accent4"/>
      </w:tcPr>
    </w:tblStylePr>
    <w:tblStylePr w:type="lastCol">
      <w:rPr>
        <w:b/>
        <w:bCs/>
        <w:color w:val="FFFFFF" w:themeColor="background1"/>
      </w:rPr>
      <w:tblPr/>
      <w:tcPr>
        <w:tcBorders>
          <w:left w:val="nil"/>
          <w:right w:val="nil"/>
          <w:insideH w:val="nil"/>
          <w:insideV w:val="nil"/>
        </w:tcBorders>
        <w:shd w:val="clear" w:color="auto" w:fill="46641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C8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C85F" w:themeFill="accent5"/>
      </w:tcPr>
    </w:tblStylePr>
    <w:tblStylePr w:type="lastCol">
      <w:rPr>
        <w:b/>
        <w:bCs/>
        <w:color w:val="FFFFFF" w:themeColor="background1"/>
      </w:rPr>
      <w:tblPr/>
      <w:tcPr>
        <w:tcBorders>
          <w:left w:val="nil"/>
          <w:right w:val="nil"/>
          <w:insideH w:val="nil"/>
          <w:insideV w:val="nil"/>
        </w:tcBorders>
        <w:shd w:val="clear" w:color="auto" w:fill="00C8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1E8B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1E8B2" w:themeFill="accent6"/>
      </w:tcPr>
    </w:tblStylePr>
    <w:tblStylePr w:type="lastCol">
      <w:rPr>
        <w:b/>
        <w:bCs/>
        <w:color w:val="FFFFFF" w:themeColor="background1"/>
      </w:rPr>
      <w:tblPr/>
      <w:tcPr>
        <w:tcBorders>
          <w:left w:val="nil"/>
          <w:right w:val="nil"/>
          <w:insideH w:val="nil"/>
          <w:insideV w:val="nil"/>
        </w:tcBorders>
        <w:shd w:val="clear" w:color="auto" w:fill="D1E8B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372E2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503EBA"/>
    <w:rPr>
      <w:rFonts w:asciiTheme="majorHAnsi" w:eastAsiaTheme="majorEastAsia" w:hAnsiTheme="majorHAnsi" w:cstheme="majorBidi"/>
      <w:shd w:val="pct20" w:color="auto" w:fill="auto"/>
    </w:rPr>
  </w:style>
  <w:style w:type="paragraph" w:styleId="NoSpacing">
    <w:name w:val="No Spacing"/>
    <w:uiPriority w:val="1"/>
    <w:rsid w:val="00875876"/>
    <w:pPr>
      <w:tabs>
        <w:tab w:val="left" w:pos="357"/>
      </w:tabs>
      <w:spacing w:after="0"/>
    </w:pPr>
  </w:style>
  <w:style w:type="paragraph" w:styleId="NormalWeb">
    <w:name w:val="Normal (Web)"/>
    <w:basedOn w:val="Normal"/>
    <w:uiPriority w:val="99"/>
    <w:semiHidden/>
    <w:locked/>
    <w:rsid w:val="00372E2B"/>
    <w:rPr>
      <w:rFonts w:ascii="Times New Roman" w:hAnsi="Times New Roman" w:cs="Times New Roman"/>
    </w:rPr>
  </w:style>
  <w:style w:type="paragraph" w:styleId="NormalIndent">
    <w:name w:val="Normal Indent"/>
    <w:basedOn w:val="Normal"/>
    <w:uiPriority w:val="99"/>
    <w:semiHidden/>
    <w:locked/>
    <w:rsid w:val="00372E2B"/>
    <w:pPr>
      <w:ind w:left="720"/>
    </w:pPr>
  </w:style>
  <w:style w:type="paragraph" w:styleId="NoteHeading">
    <w:name w:val="Note Heading"/>
    <w:basedOn w:val="Normal"/>
    <w:next w:val="Normal"/>
    <w:link w:val="NoteHeadingChar"/>
    <w:uiPriority w:val="99"/>
    <w:semiHidden/>
    <w:locked/>
    <w:rsid w:val="00372E2B"/>
    <w:pPr>
      <w:spacing w:line="240" w:lineRule="auto"/>
    </w:pPr>
  </w:style>
  <w:style w:type="character" w:customStyle="1" w:styleId="NoteHeadingChar">
    <w:name w:val="Note Heading Char"/>
    <w:basedOn w:val="DefaultParagraphFont"/>
    <w:link w:val="NoteHeading"/>
    <w:uiPriority w:val="99"/>
    <w:semiHidden/>
    <w:rsid w:val="00503EBA"/>
  </w:style>
  <w:style w:type="character" w:styleId="PageNumber">
    <w:name w:val="page number"/>
    <w:basedOn w:val="DefaultParagraphFont"/>
    <w:uiPriority w:val="99"/>
    <w:rsid w:val="00372E2B"/>
    <w:rPr>
      <w:noProof w:val="0"/>
      <w:lang w:val="en-AU"/>
    </w:rPr>
  </w:style>
  <w:style w:type="paragraph" w:styleId="PlainText">
    <w:name w:val="Plain Text"/>
    <w:basedOn w:val="Normal"/>
    <w:link w:val="PlainTextChar"/>
    <w:uiPriority w:val="99"/>
    <w:semiHidden/>
    <w:locked/>
    <w:rsid w:val="00372E2B"/>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03EBA"/>
    <w:rPr>
      <w:rFonts w:ascii="Consolas" w:hAnsi="Consolas"/>
      <w:sz w:val="21"/>
      <w:szCs w:val="21"/>
    </w:rPr>
  </w:style>
  <w:style w:type="paragraph" w:styleId="Quote">
    <w:name w:val="Quote"/>
    <w:basedOn w:val="Normal"/>
    <w:next w:val="Normal"/>
    <w:link w:val="QuoteChar"/>
    <w:uiPriority w:val="29"/>
    <w:semiHidden/>
    <w:qFormat/>
    <w:locked/>
    <w:rsid w:val="00372E2B"/>
    <w:rPr>
      <w:i/>
      <w:iCs/>
      <w:color w:val="231F20" w:themeColor="text1"/>
    </w:rPr>
  </w:style>
  <w:style w:type="character" w:customStyle="1" w:styleId="QuoteChar">
    <w:name w:val="Quote Char"/>
    <w:basedOn w:val="DefaultParagraphFont"/>
    <w:link w:val="Quote"/>
    <w:uiPriority w:val="29"/>
    <w:semiHidden/>
    <w:rsid w:val="00372E2B"/>
    <w:rPr>
      <w:i/>
      <w:iCs/>
      <w:color w:val="231F20" w:themeColor="text1"/>
    </w:rPr>
  </w:style>
  <w:style w:type="paragraph" w:styleId="Salutation">
    <w:name w:val="Salutation"/>
    <w:basedOn w:val="Normal"/>
    <w:next w:val="Normal"/>
    <w:link w:val="SalutationChar"/>
    <w:uiPriority w:val="99"/>
    <w:semiHidden/>
    <w:locked/>
    <w:rsid w:val="00372E2B"/>
  </w:style>
  <w:style w:type="character" w:customStyle="1" w:styleId="SalutationChar">
    <w:name w:val="Salutation Char"/>
    <w:basedOn w:val="DefaultParagraphFont"/>
    <w:link w:val="Salutation"/>
    <w:uiPriority w:val="99"/>
    <w:semiHidden/>
    <w:rsid w:val="00503EBA"/>
  </w:style>
  <w:style w:type="paragraph" w:styleId="Signature">
    <w:name w:val="Signature"/>
    <w:basedOn w:val="Normal"/>
    <w:link w:val="SignatureChar"/>
    <w:uiPriority w:val="99"/>
    <w:semiHidden/>
    <w:locked/>
    <w:rsid w:val="00372E2B"/>
    <w:pPr>
      <w:spacing w:line="240" w:lineRule="auto"/>
      <w:ind w:left="4252"/>
    </w:pPr>
  </w:style>
  <w:style w:type="character" w:customStyle="1" w:styleId="SignatureChar">
    <w:name w:val="Signature Char"/>
    <w:basedOn w:val="DefaultParagraphFont"/>
    <w:link w:val="Signature"/>
    <w:uiPriority w:val="99"/>
    <w:semiHidden/>
    <w:rsid w:val="00503EBA"/>
  </w:style>
  <w:style w:type="character" w:styleId="Strong">
    <w:name w:val="Strong"/>
    <w:basedOn w:val="DefaultParagraphFont"/>
    <w:uiPriority w:val="22"/>
    <w:semiHidden/>
    <w:qFormat/>
    <w:locked/>
    <w:rsid w:val="00372E2B"/>
    <w:rPr>
      <w:b/>
      <w:bCs/>
      <w:noProof w:val="0"/>
      <w:lang w:val="en-AU"/>
    </w:rPr>
  </w:style>
  <w:style w:type="paragraph" w:customStyle="1" w:styleId="Discalimer">
    <w:name w:val="Discalimer"/>
    <w:basedOn w:val="Normal"/>
    <w:uiPriority w:val="99"/>
    <w:rsid w:val="003F6D36"/>
    <w:pPr>
      <w:pBdr>
        <w:top w:val="single" w:sz="4" w:space="5" w:color="4D4D4F" w:themeColor="text2"/>
        <w:bottom w:val="single" w:sz="4" w:space="5" w:color="4D4D4F" w:themeColor="text2"/>
      </w:pBdr>
      <w:spacing w:after="60" w:line="240" w:lineRule="auto"/>
    </w:pPr>
    <w:rPr>
      <w:i/>
      <w:sz w:val="16"/>
    </w:rPr>
  </w:style>
  <w:style w:type="character" w:styleId="SubtleEmphasis">
    <w:name w:val="Subtle Emphasis"/>
    <w:basedOn w:val="DefaultParagraphFont"/>
    <w:uiPriority w:val="19"/>
    <w:semiHidden/>
    <w:qFormat/>
    <w:locked/>
    <w:rsid w:val="00372E2B"/>
    <w:rPr>
      <w:i/>
      <w:iCs/>
      <w:noProof w:val="0"/>
      <w:color w:val="97898C" w:themeColor="text1" w:themeTint="7F"/>
      <w:lang w:val="en-AU"/>
    </w:rPr>
  </w:style>
  <w:style w:type="character" w:styleId="SubtleReference">
    <w:name w:val="Subtle Reference"/>
    <w:basedOn w:val="DefaultParagraphFont"/>
    <w:uiPriority w:val="31"/>
    <w:semiHidden/>
    <w:qFormat/>
    <w:locked/>
    <w:rsid w:val="00372E2B"/>
    <w:rPr>
      <w:smallCaps/>
      <w:noProof w:val="0"/>
      <w:color w:val="8DC63F" w:themeColor="accent2"/>
      <w:u w:val="single"/>
      <w:lang w:val="en-AU"/>
    </w:rPr>
  </w:style>
  <w:style w:type="table" w:styleId="Table3Deffects1">
    <w:name w:val="Table 3D effects 1"/>
    <w:basedOn w:val="TableNormal"/>
    <w:uiPriority w:val="99"/>
    <w:semiHidden/>
    <w:unhideWhenUsed/>
    <w:locked/>
    <w:rsid w:val="00372E2B"/>
    <w:pPr>
      <w:spacing w:before="17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372E2B"/>
    <w:pPr>
      <w:spacing w:before="17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372E2B"/>
    <w:pPr>
      <w:spacing w:before="17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372E2B"/>
    <w:pPr>
      <w:spacing w:before="17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372E2B"/>
    <w:pPr>
      <w:spacing w:before="17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372E2B"/>
    <w:pPr>
      <w:spacing w:before="17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372E2B"/>
    <w:pPr>
      <w:spacing w:before="17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372E2B"/>
    <w:pPr>
      <w:spacing w:before="17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372E2B"/>
    <w:pPr>
      <w:spacing w:before="17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372E2B"/>
    <w:pPr>
      <w:spacing w:before="17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372E2B"/>
    <w:pPr>
      <w:spacing w:before="17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372E2B"/>
    <w:pPr>
      <w:spacing w:before="17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372E2B"/>
    <w:pPr>
      <w:spacing w:before="17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372E2B"/>
    <w:pPr>
      <w:spacing w:before="17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372E2B"/>
    <w:pPr>
      <w:spacing w:before="17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372E2B"/>
    <w:pPr>
      <w:spacing w:before="17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372E2B"/>
    <w:pPr>
      <w:spacing w:before="17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372E2B"/>
    <w:pPr>
      <w:spacing w:before="17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372E2B"/>
    <w:pPr>
      <w:spacing w:before="17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372E2B"/>
    <w:pPr>
      <w:spacing w:before="17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372E2B"/>
    <w:pPr>
      <w:spacing w:before="17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372E2B"/>
    <w:pPr>
      <w:spacing w:before="17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372E2B"/>
    <w:pPr>
      <w:spacing w:before="17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372E2B"/>
    <w:pPr>
      <w:spacing w:before="17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4F17AA"/>
    <w:pPr>
      <w:numPr>
        <w:numId w:val="0"/>
      </w:numPr>
      <w:tabs>
        <w:tab w:val="right" w:leader="dot" w:pos="9185"/>
      </w:tabs>
    </w:pPr>
  </w:style>
  <w:style w:type="table" w:styleId="TableProfessional">
    <w:name w:val="Table Professional"/>
    <w:basedOn w:val="TableNormal"/>
    <w:uiPriority w:val="99"/>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372E2B"/>
    <w:pPr>
      <w:spacing w:before="17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372E2B"/>
    <w:pPr>
      <w:spacing w:before="17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372E2B"/>
    <w:pPr>
      <w:spacing w:before="17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372E2B"/>
    <w:pPr>
      <w:spacing w:before="17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372E2B"/>
    <w:pPr>
      <w:spacing w:before="17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372E2B"/>
    <w:pPr>
      <w:spacing w:before="17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372E2B"/>
    <w:pPr>
      <w:spacing w:before="17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372E2B"/>
    <w:pPr>
      <w:spacing w:before="17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rsid w:val="00503EBA"/>
    <w:pPr>
      <w:keepNext/>
      <w:numPr>
        <w:numId w:val="0"/>
      </w:numPr>
      <w:spacing w:before="320" w:after="0"/>
    </w:pPr>
    <w:rPr>
      <w:rFonts w:asciiTheme="majorHAnsi" w:eastAsiaTheme="majorEastAsia" w:hAnsiTheme="majorHAnsi" w:cstheme="majorBidi"/>
      <w:b/>
      <w:bCs/>
      <w:sz w:val="24"/>
      <w:szCs w:val="26"/>
    </w:rPr>
  </w:style>
  <w:style w:type="paragraph" w:styleId="TOC2">
    <w:name w:val="toc 2"/>
    <w:basedOn w:val="Normal"/>
    <w:next w:val="Normal"/>
    <w:autoRedefine/>
    <w:uiPriority w:val="39"/>
    <w:rsid w:val="004F17AA"/>
    <w:pPr>
      <w:numPr>
        <w:numId w:val="0"/>
      </w:numPr>
      <w:tabs>
        <w:tab w:val="right" w:leader="dot" w:pos="9185"/>
      </w:tabs>
      <w:spacing w:before="120" w:after="120"/>
      <w:contextualSpacing/>
    </w:pPr>
    <w:rPr>
      <w:rFonts w:asciiTheme="majorHAnsi" w:eastAsiaTheme="majorEastAsia" w:hAnsiTheme="majorHAnsi" w:cstheme="majorBidi"/>
      <w:bCs/>
      <w:noProof/>
    </w:rPr>
  </w:style>
  <w:style w:type="paragraph" w:styleId="TOC3">
    <w:name w:val="toc 3"/>
    <w:basedOn w:val="Normal"/>
    <w:next w:val="Normal"/>
    <w:autoRedefine/>
    <w:uiPriority w:val="39"/>
    <w:rsid w:val="004F17AA"/>
    <w:pPr>
      <w:numPr>
        <w:numId w:val="0"/>
      </w:numPr>
      <w:tabs>
        <w:tab w:val="right" w:leader="dot" w:pos="9185"/>
      </w:tabs>
      <w:spacing w:after="40"/>
      <w:contextualSpacing/>
    </w:pPr>
    <w:rPr>
      <w:sz w:val="20"/>
    </w:rPr>
  </w:style>
  <w:style w:type="paragraph" w:styleId="TOC4">
    <w:name w:val="toc 4"/>
    <w:basedOn w:val="Normal"/>
    <w:next w:val="Normal"/>
    <w:autoRedefine/>
    <w:uiPriority w:val="39"/>
    <w:rsid w:val="003B2222"/>
    <w:pPr>
      <w:tabs>
        <w:tab w:val="right" w:leader="dot" w:pos="8505"/>
      </w:tabs>
      <w:spacing w:after="40"/>
      <w:ind w:left="573"/>
      <w:contextualSpacing/>
    </w:pPr>
    <w:rPr>
      <w:sz w:val="20"/>
    </w:rPr>
  </w:style>
  <w:style w:type="paragraph" w:styleId="TOC5">
    <w:name w:val="toc 5"/>
    <w:basedOn w:val="Normal"/>
    <w:next w:val="Normal"/>
    <w:autoRedefine/>
    <w:uiPriority w:val="39"/>
    <w:rsid w:val="003B2222"/>
    <w:pPr>
      <w:tabs>
        <w:tab w:val="right" w:leader="dot" w:pos="8505"/>
      </w:tabs>
      <w:spacing w:after="100"/>
      <w:ind w:left="760"/>
    </w:pPr>
  </w:style>
  <w:style w:type="paragraph" w:styleId="TOC6">
    <w:name w:val="toc 6"/>
    <w:basedOn w:val="Normal"/>
    <w:next w:val="Normal"/>
    <w:autoRedefine/>
    <w:uiPriority w:val="39"/>
    <w:rsid w:val="003B2222"/>
    <w:pPr>
      <w:tabs>
        <w:tab w:val="right" w:leader="dot" w:pos="8505"/>
      </w:tabs>
      <w:spacing w:after="100"/>
      <w:ind w:left="950"/>
    </w:pPr>
  </w:style>
  <w:style w:type="paragraph" w:styleId="TOC7">
    <w:name w:val="toc 7"/>
    <w:basedOn w:val="Normal"/>
    <w:next w:val="Normal"/>
    <w:autoRedefine/>
    <w:uiPriority w:val="39"/>
    <w:rsid w:val="003B2222"/>
    <w:pPr>
      <w:tabs>
        <w:tab w:val="right" w:leader="dot" w:pos="8505"/>
      </w:tabs>
      <w:spacing w:after="100"/>
      <w:ind w:left="1140"/>
    </w:pPr>
  </w:style>
  <w:style w:type="paragraph" w:styleId="TOC8">
    <w:name w:val="toc 8"/>
    <w:basedOn w:val="Normal"/>
    <w:next w:val="Normal"/>
    <w:autoRedefine/>
    <w:uiPriority w:val="39"/>
    <w:rsid w:val="003B2222"/>
    <w:pPr>
      <w:tabs>
        <w:tab w:val="right" w:leader="dot" w:pos="8505"/>
      </w:tabs>
      <w:spacing w:after="100"/>
      <w:ind w:left="1330"/>
    </w:pPr>
  </w:style>
  <w:style w:type="paragraph" w:styleId="TOC9">
    <w:name w:val="toc 9"/>
    <w:basedOn w:val="Normal"/>
    <w:next w:val="Normal"/>
    <w:autoRedefine/>
    <w:uiPriority w:val="39"/>
    <w:rsid w:val="003B2222"/>
    <w:pPr>
      <w:tabs>
        <w:tab w:val="right" w:leader="dot" w:pos="8505"/>
      </w:tabs>
      <w:spacing w:after="100"/>
      <w:ind w:left="1520"/>
    </w:pPr>
  </w:style>
  <w:style w:type="character" w:customStyle="1" w:styleId="SubtitleChar">
    <w:name w:val="Subtitle Char"/>
    <w:basedOn w:val="DefaultParagraphFont"/>
    <w:link w:val="Subtitle"/>
    <w:uiPriority w:val="38"/>
    <w:rsid w:val="00DC6EB5"/>
    <w:rPr>
      <w:rFonts w:asciiTheme="minorHAnsi" w:eastAsiaTheme="minorEastAsia" w:hAnsiTheme="minorHAnsi"/>
      <w:b/>
      <w:color w:val="4D4D4F" w:themeColor="text2"/>
      <w:sz w:val="36"/>
    </w:rPr>
  </w:style>
  <w:style w:type="table" w:customStyle="1" w:styleId="TableGridLight1">
    <w:name w:val="Table Grid Light1"/>
    <w:basedOn w:val="TableNormal"/>
    <w:uiPriority w:val="40"/>
    <w:locked/>
    <w:rsid w:val="003A6CD6"/>
    <w:pPr>
      <w:spacing w:after="0" w:line="240" w:lineRule="auto"/>
    </w:pPr>
    <w:tblPr/>
  </w:style>
  <w:style w:type="table" w:customStyle="1" w:styleId="TableCentered">
    <w:name w:val="Table Centered"/>
    <w:basedOn w:val="TableGrid"/>
    <w:uiPriority w:val="99"/>
    <w:locked/>
    <w:rsid w:val="00A33E60"/>
    <w:pPr>
      <w:spacing w:line="240" w:lineRule="auto"/>
      <w:jc w:val="center"/>
    </w:pPr>
    <w:tblPr/>
    <w:tblStylePr w:type="firstRow">
      <w:pPr>
        <w:jc w:val="center"/>
      </w:pPr>
      <w:rPr>
        <w:b/>
        <w:color w:val="FFFFFF" w:themeColor="background1"/>
      </w:rPr>
      <w:tblPr/>
      <w:trPr>
        <w:tblHeader/>
      </w:trPr>
      <w:tcPr>
        <w:tcBorders>
          <w:top w:val="nil"/>
          <w:left w:val="nil"/>
          <w:bottom w:val="single" w:sz="4" w:space="0" w:color="FFFFFF" w:themeColor="background1"/>
          <w:right w:val="nil"/>
          <w:insideH w:val="nil"/>
          <w:insideV w:val="single" w:sz="2" w:space="0" w:color="FFFFFF" w:themeColor="background1"/>
          <w:tl2br w:val="nil"/>
          <w:tr2bl w:val="nil"/>
        </w:tcBorders>
        <w:shd w:val="clear" w:color="auto" w:fill="E6E6E6"/>
        <w:tcMar>
          <w:top w:w="113" w:type="dxa"/>
          <w:left w:w="0" w:type="nil"/>
          <w:bottom w:w="113" w:type="dxa"/>
          <w:right w:w="0" w:type="nil"/>
        </w:tcMar>
        <w:vAlign w:val="center"/>
      </w:tcPr>
    </w:tblStylePr>
    <w:tblStylePr w:type="lastRow">
      <w:rPr>
        <w:b/>
      </w:rPr>
    </w:tblStylePr>
    <w:tblStylePr w:type="firstCol">
      <w:pPr>
        <w:jc w:val="left"/>
      </w:pPr>
      <w:rPr>
        <w:b/>
        <w:sz w:val="18"/>
      </w:rPr>
    </w:tblStylePr>
    <w:tblStylePr w:type="lastCol">
      <w:pPr>
        <w:jc w:val="right"/>
      </w:pPr>
    </w:tblStylePr>
    <w:tblStylePr w:type="band2Vert">
      <w:tblPr/>
      <w:tcPr>
        <w:shd w:val="clear" w:color="auto" w:fill="E8F3D8" w:themeFill="accent2" w:themeFillTint="33"/>
      </w:tcPr>
    </w:tblStylePr>
    <w:tblStylePr w:type="band1Horz">
      <w:tblPr/>
      <w:tcPr>
        <w:tcBorders>
          <w:top w:val="nil"/>
          <w:left w:val="nil"/>
          <w:bottom w:val="single" w:sz="4" w:space="0" w:color="231F20" w:themeColor="text1"/>
          <w:right w:val="nil"/>
          <w:insideH w:val="nil"/>
          <w:insideV w:val="nil"/>
          <w:tl2br w:val="nil"/>
          <w:tr2bl w:val="nil"/>
        </w:tcBorders>
      </w:tcPr>
    </w:tblStylePr>
    <w:tblStylePr w:type="band2Horz">
      <w:tblPr/>
      <w:tcPr>
        <w:tcBorders>
          <w:top w:val="nil"/>
          <w:left w:val="nil"/>
          <w:bottom w:val="single" w:sz="4" w:space="0" w:color="231F20" w:themeColor="text1"/>
          <w:right w:val="nil"/>
          <w:insideH w:val="nil"/>
          <w:insideV w:val="nil"/>
          <w:tl2br w:val="nil"/>
          <w:tr2bl w:val="nil"/>
        </w:tcBorders>
        <w:shd w:val="clear" w:color="auto" w:fill="E8F3D8" w:themeFill="accent2" w:themeFillTint="33"/>
      </w:tcPr>
    </w:tblStylePr>
  </w:style>
  <w:style w:type="table" w:customStyle="1" w:styleId="TableGridLight2">
    <w:name w:val="Table Grid Light2"/>
    <w:basedOn w:val="TableNormal"/>
    <w:uiPriority w:val="40"/>
    <w:locked/>
    <w:rsid w:val="00372E2B"/>
    <w:pPr>
      <w:spacing w:before="17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0">
    <w:name w:val="Table Grid1"/>
    <w:basedOn w:val="TableNormal"/>
    <w:next w:val="TableGrid"/>
    <w:uiPriority w:val="59"/>
    <w:locked/>
    <w:rsid w:val="00372E2B"/>
    <w:pPr>
      <w:spacing w:before="57" w:after="57"/>
    </w:pPr>
    <w:rPr>
      <w:sz w:val="18"/>
    </w:rPr>
    <w:tblPr>
      <w:tblStyleRowBandSize w:val="1"/>
      <w:tblBorders>
        <w:bottom w:val="single" w:sz="2" w:space="0" w:color="auto"/>
      </w:tblBorders>
    </w:tblPr>
    <w:tblStylePr w:type="firstRow">
      <w:rPr>
        <w:b/>
      </w:rPr>
      <w:tblPr/>
      <w:tcPr>
        <w:tcBorders>
          <w:top w:val="nil"/>
          <w:left w:val="nil"/>
          <w:bottom w:val="single" w:sz="4" w:space="0" w:color="FFFFFF" w:themeColor="background1"/>
          <w:right w:val="nil"/>
          <w:insideH w:val="nil"/>
          <w:insideV w:val="single" w:sz="2" w:space="0" w:color="FFFFFF" w:themeColor="background1"/>
          <w:tl2br w:val="nil"/>
          <w:tr2bl w:val="nil"/>
        </w:tcBorders>
        <w:shd w:val="clear" w:color="auto" w:fill="E6E6E6"/>
        <w:tcMar>
          <w:top w:w="113" w:type="dxa"/>
          <w:left w:w="0" w:type="nil"/>
          <w:bottom w:w="113" w:type="dxa"/>
          <w:right w:w="0" w:type="nil"/>
        </w:tcMar>
      </w:tcPr>
    </w:tblStylePr>
    <w:tblStylePr w:type="lastRow">
      <w:rPr>
        <w:b/>
      </w:rPr>
    </w:tblStylePr>
    <w:tblStylePr w:type="firstCol">
      <w:rPr>
        <w:b/>
      </w:rPr>
    </w:tblStylePr>
    <w:tblStylePr w:type="lastCol">
      <w:pPr>
        <w:jc w:val="right"/>
      </w:pPr>
    </w:tblStylePr>
    <w:tblStylePr w:type="band1Horz">
      <w:tblPr/>
      <w:tcPr>
        <w:tcBorders>
          <w:bottom w:val="single" w:sz="4" w:space="0" w:color="231F20" w:themeColor="text1"/>
        </w:tcBorders>
      </w:tcPr>
    </w:tblStylePr>
    <w:tblStylePr w:type="band2Horz">
      <w:tblPr/>
      <w:tcPr>
        <w:tcBorders>
          <w:bottom w:val="single" w:sz="4" w:space="0" w:color="231F20" w:themeColor="text1"/>
        </w:tcBorders>
      </w:tcPr>
    </w:tblStylePr>
  </w:style>
  <w:style w:type="numbering" w:customStyle="1" w:styleId="GeneralList">
    <w:name w:val="General List"/>
    <w:uiPriority w:val="99"/>
    <w:locked/>
    <w:rsid w:val="00125C03"/>
    <w:pPr>
      <w:numPr>
        <w:numId w:val="1"/>
      </w:numPr>
    </w:pPr>
  </w:style>
  <w:style w:type="paragraph" w:customStyle="1" w:styleId="Name">
    <w:name w:val="Name"/>
    <w:basedOn w:val="Normal"/>
    <w:uiPriority w:val="41"/>
    <w:semiHidden/>
    <w:locked/>
    <w:rsid w:val="008E0784"/>
    <w:pPr>
      <w:numPr>
        <w:ilvl w:val="1"/>
        <w:numId w:val="0"/>
      </w:numPr>
      <w:spacing w:before="360" w:after="0" w:line="192" w:lineRule="auto"/>
      <w:contextualSpacing/>
    </w:pPr>
    <w:rPr>
      <w:rFonts w:asciiTheme="majorHAnsi" w:eastAsiaTheme="majorEastAsia" w:hAnsiTheme="majorHAnsi" w:cstheme="majorBidi"/>
      <w:b/>
      <w:iCs/>
      <w:caps/>
      <w:color w:val="23320E" w:themeColor="accent4" w:themeShade="80"/>
      <w:sz w:val="54"/>
      <w:szCs w:val="52"/>
    </w:rPr>
  </w:style>
  <w:style w:type="paragraph" w:customStyle="1" w:styleId="Template">
    <w:name w:val="Template"/>
    <w:basedOn w:val="Normal"/>
    <w:uiPriority w:val="99"/>
    <w:rsid w:val="003F6D36"/>
    <w:pPr>
      <w:jc w:val="right"/>
    </w:pPr>
    <w:rPr>
      <w:sz w:val="10"/>
    </w:rPr>
  </w:style>
  <w:style w:type="paragraph" w:customStyle="1" w:styleId="FirstPageFooter">
    <w:name w:val="First Page Footer"/>
    <w:basedOn w:val="Footer"/>
    <w:uiPriority w:val="42"/>
    <w:semiHidden/>
    <w:rsid w:val="00922F80"/>
    <w:pPr>
      <w:framePr w:wrap="around" w:vAnchor="page" w:hAnchor="page" w:x="852" w:y="16161"/>
      <w:spacing w:line="276" w:lineRule="auto"/>
    </w:pPr>
  </w:style>
  <w:style w:type="paragraph" w:customStyle="1" w:styleId="Division">
    <w:name w:val="Division"/>
    <w:basedOn w:val="Normal"/>
    <w:uiPriority w:val="41"/>
    <w:semiHidden/>
    <w:locked/>
    <w:rsid w:val="008E0784"/>
    <w:pPr>
      <w:framePr w:wrap="notBeside" w:hAnchor="text" w:y="12475"/>
      <w:spacing w:before="360" w:after="0"/>
    </w:pPr>
    <w:rPr>
      <w:rFonts w:asciiTheme="majorHAnsi" w:eastAsiaTheme="majorEastAsia" w:hAnsiTheme="majorHAnsi" w:cstheme="majorBidi"/>
      <w:b/>
      <w:caps/>
      <w:color w:val="23320E" w:themeColor="accent4" w:themeShade="80"/>
      <w:szCs w:val="52"/>
    </w:rPr>
  </w:style>
  <w:style w:type="paragraph" w:customStyle="1" w:styleId="InsertImageGraph">
    <w:name w:val="Insert Image/Graph"/>
    <w:basedOn w:val="Normal"/>
    <w:uiPriority w:val="35"/>
    <w:qFormat/>
    <w:rsid w:val="00602B2E"/>
    <w:pPr>
      <w:keepNext/>
      <w:numPr>
        <w:numId w:val="0"/>
      </w:numPr>
      <w:spacing w:after="120"/>
    </w:pPr>
  </w:style>
  <w:style w:type="paragraph" w:customStyle="1" w:styleId="CVTitle">
    <w:name w:val="CV Title"/>
    <w:basedOn w:val="Normal"/>
    <w:next w:val="CVBody"/>
    <w:uiPriority w:val="41"/>
    <w:qFormat/>
    <w:rsid w:val="00987DFB"/>
    <w:pPr>
      <w:framePr w:w="10093" w:wrap="notBeside" w:vAnchor="page" w:hAnchor="margin" w:y="1022"/>
      <w:numPr>
        <w:numId w:val="0"/>
      </w:numPr>
      <w:pBdr>
        <w:bottom w:val="single" w:sz="4" w:space="2" w:color="D1D3D4" w:themeColor="background2"/>
      </w:pBdr>
      <w:tabs>
        <w:tab w:val="left" w:pos="284"/>
      </w:tabs>
      <w:spacing w:after="0"/>
    </w:pPr>
    <w:rPr>
      <w:rFonts w:asciiTheme="majorHAnsi" w:hAnsiTheme="majorHAnsi"/>
      <w:color w:val="00853F" w:themeColor="accent1"/>
      <w:sz w:val="40"/>
    </w:rPr>
  </w:style>
  <w:style w:type="character" w:customStyle="1" w:styleId="CVRole">
    <w:name w:val="CV Role"/>
    <w:basedOn w:val="DefaultParagraphFont"/>
    <w:uiPriority w:val="41"/>
    <w:qFormat/>
    <w:rsid w:val="00F54A30"/>
    <w:rPr>
      <w:rFonts w:asciiTheme="minorHAnsi" w:hAnsiTheme="minorHAnsi"/>
      <w:b/>
      <w:caps/>
      <w:smallCaps w:val="0"/>
      <w:color w:val="231F20" w:themeColor="text1"/>
      <w:sz w:val="20"/>
    </w:rPr>
  </w:style>
  <w:style w:type="paragraph" w:customStyle="1" w:styleId="CVBody">
    <w:name w:val="CV Body"/>
    <w:basedOn w:val="Normal"/>
    <w:uiPriority w:val="41"/>
    <w:qFormat/>
    <w:rsid w:val="004F17AA"/>
    <w:pPr>
      <w:numPr>
        <w:numId w:val="0"/>
      </w:numPr>
      <w:spacing w:after="113" w:line="240" w:lineRule="auto"/>
    </w:pPr>
    <w:rPr>
      <w:rFonts w:ascii="Calibri Light" w:hAnsi="Calibri Light"/>
      <w:color w:val="231F20" w:themeColor="text1"/>
      <w:sz w:val="20"/>
    </w:rPr>
  </w:style>
  <w:style w:type="paragraph" w:customStyle="1" w:styleId="CVBulletListBullet4">
    <w:name w:val="CV Bullet  (List Bullet 4)"/>
    <w:basedOn w:val="Normal"/>
    <w:uiPriority w:val="41"/>
    <w:rsid w:val="00787D7E"/>
    <w:pPr>
      <w:numPr>
        <w:ilvl w:val="3"/>
        <w:numId w:val="7"/>
      </w:numPr>
      <w:spacing w:after="0" w:line="240" w:lineRule="auto"/>
    </w:pPr>
    <w:rPr>
      <w:rFonts w:ascii="Calibri Light" w:hAnsi="Calibri Light"/>
      <w:sz w:val="20"/>
    </w:rPr>
  </w:style>
  <w:style w:type="paragraph" w:customStyle="1" w:styleId="CVHeading">
    <w:name w:val="CV Heading"/>
    <w:basedOn w:val="Normal"/>
    <w:next w:val="CVBody"/>
    <w:uiPriority w:val="41"/>
    <w:qFormat/>
    <w:rsid w:val="004F17AA"/>
    <w:pPr>
      <w:numPr>
        <w:numId w:val="0"/>
      </w:numPr>
      <w:pBdr>
        <w:bottom w:val="single" w:sz="4" w:space="2" w:color="D1D3D4" w:themeColor="background2"/>
      </w:pBdr>
      <w:spacing w:before="240" w:after="40"/>
    </w:pPr>
    <w:rPr>
      <w:b/>
      <w:caps/>
      <w:color w:val="00853F" w:themeColor="accent1"/>
      <w:sz w:val="24"/>
    </w:rPr>
  </w:style>
  <w:style w:type="paragraph" w:customStyle="1" w:styleId="CVFooter">
    <w:name w:val="CV Footer"/>
    <w:basedOn w:val="Footer"/>
    <w:uiPriority w:val="41"/>
    <w:qFormat/>
    <w:rsid w:val="004F17AA"/>
    <w:pPr>
      <w:numPr>
        <w:numId w:val="0"/>
      </w:numPr>
      <w:pBdr>
        <w:top w:val="none" w:sz="0" w:space="0" w:color="auto"/>
        <w:bottom w:val="single" w:sz="4" w:space="4" w:color="D1D3D4" w:themeColor="background2"/>
      </w:pBdr>
      <w:spacing w:line="240" w:lineRule="auto"/>
    </w:pPr>
  </w:style>
  <w:style w:type="character" w:customStyle="1" w:styleId="CVFooterRegular">
    <w:name w:val="CV Footer Regular"/>
    <w:basedOn w:val="DefaultParagraphFont"/>
    <w:uiPriority w:val="41"/>
    <w:qFormat/>
    <w:rsid w:val="00F5206F"/>
    <w:rPr>
      <w:rFonts w:asciiTheme="minorHAnsi" w:hAnsiTheme="minorHAnsi"/>
    </w:rPr>
  </w:style>
  <w:style w:type="paragraph" w:customStyle="1" w:styleId="AppendixHeading">
    <w:name w:val="Appendix Heading"/>
    <w:basedOn w:val="Heading1"/>
    <w:next w:val="Normal"/>
    <w:uiPriority w:val="10"/>
    <w:qFormat/>
    <w:rsid w:val="00AF1CDD"/>
    <w:pPr>
      <w:numPr>
        <w:numId w:val="38"/>
      </w:numPr>
    </w:pPr>
    <w:rPr>
      <w:b w:val="0"/>
    </w:rPr>
  </w:style>
  <w:style w:type="paragraph" w:customStyle="1" w:styleId="AppendixSubHeading">
    <w:name w:val="Appendix Sub Heading"/>
    <w:basedOn w:val="Heading2"/>
    <w:next w:val="Normal"/>
    <w:uiPriority w:val="10"/>
    <w:qFormat/>
    <w:rsid w:val="00006677"/>
    <w:pPr>
      <w:numPr>
        <w:numId w:val="38"/>
      </w:numPr>
    </w:pPr>
  </w:style>
  <w:style w:type="numbering" w:customStyle="1" w:styleId="AppendixList">
    <w:name w:val="Appendix List"/>
    <w:uiPriority w:val="99"/>
    <w:rsid w:val="00006677"/>
    <w:pPr>
      <w:numPr>
        <w:numId w:val="37"/>
      </w:numPr>
    </w:pPr>
  </w:style>
  <w:style w:type="character" w:customStyle="1" w:styleId="BoldCharacter">
    <w:name w:val="Bold Character"/>
    <w:basedOn w:val="DefaultParagraphFont"/>
    <w:uiPriority w:val="12"/>
    <w:qFormat/>
    <w:rsid w:val="006B436F"/>
    <w:rPr>
      <w:b/>
    </w:rPr>
  </w:style>
  <w:style w:type="character" w:customStyle="1" w:styleId="UnderlineCharcter">
    <w:name w:val="Underline Charcter"/>
    <w:basedOn w:val="DefaultParagraphFont"/>
    <w:uiPriority w:val="12"/>
    <w:qFormat/>
    <w:rsid w:val="006B436F"/>
    <w:rPr>
      <w:u w:val="single"/>
    </w:rPr>
  </w:style>
  <w:style w:type="character" w:customStyle="1" w:styleId="ItalicCharacter">
    <w:name w:val="Italic Character"/>
    <w:basedOn w:val="DefaultParagraphFont"/>
    <w:uiPriority w:val="12"/>
    <w:qFormat/>
    <w:rsid w:val="006B436F"/>
    <w:rPr>
      <w:i/>
    </w:rPr>
  </w:style>
  <w:style w:type="character" w:customStyle="1" w:styleId="BoldItalicCharacter">
    <w:name w:val="Bold Italic Character"/>
    <w:basedOn w:val="DefaultParagraphFont"/>
    <w:uiPriority w:val="12"/>
    <w:qFormat/>
    <w:rsid w:val="006B436F"/>
    <w:rPr>
      <w:b/>
      <w:i/>
    </w:rPr>
  </w:style>
  <w:style w:type="table" w:customStyle="1" w:styleId="TableDonotbreakrowsacrosspage">
    <w:name w:val="Table Do not break rows across page"/>
    <w:basedOn w:val="TableGrid"/>
    <w:uiPriority w:val="99"/>
    <w:rsid w:val="00A33E60"/>
    <w:tblPr/>
    <w:trPr>
      <w:cantSplit/>
    </w:trPr>
    <w:tblStylePr w:type="firstRow">
      <w:rPr>
        <w:b/>
        <w:color w:val="FFFFFF" w:themeColor="background1"/>
      </w:rPr>
      <w:tblPr/>
      <w:trPr>
        <w:tblHeader/>
      </w:trPr>
      <w:tcPr>
        <w:shd w:val="clear" w:color="auto" w:fill="00853F" w:themeFill="accent1"/>
      </w:tcPr>
    </w:tblStylePr>
    <w:tblStylePr w:type="lastRow">
      <w:rPr>
        <w:b/>
      </w:rPr>
    </w:tblStylePr>
    <w:tblStylePr w:type="firstCol">
      <w:rPr>
        <w:b/>
        <w:sz w:val="18"/>
      </w:rPr>
    </w:tblStylePr>
    <w:tblStylePr w:type="lastCol">
      <w:pPr>
        <w:jc w:val="right"/>
      </w:pPr>
      <w:rPr>
        <w:sz w:val="18"/>
      </w:rPr>
    </w:tblStylePr>
    <w:tblStylePr w:type="band2Vert">
      <w:tblPr/>
      <w:tcPr>
        <w:shd w:val="clear" w:color="auto" w:fill="E8F3D8" w:themeFill="accent2" w:themeFillTint="33"/>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E8F3D8" w:themeFill="accent2" w:themeFillTint="33"/>
      </w:tcPr>
    </w:tblStylePr>
  </w:style>
  <w:style w:type="table" w:styleId="PlainTable2">
    <w:name w:val="Plain Table 2"/>
    <w:basedOn w:val="TableNormal"/>
    <w:uiPriority w:val="42"/>
    <w:locked/>
    <w:rsid w:val="00454428"/>
    <w:pPr>
      <w:spacing w:after="0" w:line="240" w:lineRule="auto"/>
      <w:jc w:val="left"/>
    </w:pPr>
    <w:rPr>
      <w:rFonts w:asciiTheme="minorHAnsi" w:hAnsiTheme="minorHAnsi"/>
    </w:r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character" w:customStyle="1" w:styleId="ListParagraphChar">
    <w:name w:val="List Paragraph Char"/>
    <w:aliases w:val="Bullet 1 Char,Bullet list Char"/>
    <w:basedOn w:val="DefaultParagraphFont"/>
    <w:link w:val="ListParagraph"/>
    <w:uiPriority w:val="34"/>
    <w:locked/>
    <w:rsid w:val="00310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47294385">
      <w:bodyDiv w:val="1"/>
      <w:marLeft w:val="0"/>
      <w:marRight w:val="0"/>
      <w:marTop w:val="0"/>
      <w:marBottom w:val="0"/>
      <w:divBdr>
        <w:top w:val="none" w:sz="0" w:space="0" w:color="auto"/>
        <w:left w:val="none" w:sz="0" w:space="0" w:color="auto"/>
        <w:bottom w:val="none" w:sz="0" w:space="0" w:color="auto"/>
        <w:right w:val="none" w:sz="0" w:space="0" w:color="auto"/>
      </w:divBdr>
      <w:divsChild>
        <w:div w:id="1800756474">
          <w:marLeft w:val="0"/>
          <w:marRight w:val="0"/>
          <w:marTop w:val="0"/>
          <w:marBottom w:val="0"/>
          <w:divBdr>
            <w:top w:val="none" w:sz="0" w:space="0" w:color="auto"/>
            <w:left w:val="none" w:sz="0" w:space="0" w:color="auto"/>
            <w:bottom w:val="none" w:sz="0" w:space="0" w:color="auto"/>
            <w:right w:val="none" w:sz="0" w:space="0" w:color="auto"/>
          </w:divBdr>
          <w:divsChild>
            <w:div w:id="1592279197">
              <w:marLeft w:val="0"/>
              <w:marRight w:val="0"/>
              <w:marTop w:val="0"/>
              <w:marBottom w:val="0"/>
              <w:divBdr>
                <w:top w:val="none" w:sz="0" w:space="0" w:color="auto"/>
                <w:left w:val="none" w:sz="0" w:space="0" w:color="auto"/>
                <w:bottom w:val="none" w:sz="0" w:space="0" w:color="auto"/>
                <w:right w:val="none" w:sz="0" w:space="0" w:color="auto"/>
              </w:divBdr>
              <w:divsChild>
                <w:div w:id="1917812701">
                  <w:marLeft w:val="0"/>
                  <w:marRight w:val="0"/>
                  <w:marTop w:val="0"/>
                  <w:marBottom w:val="0"/>
                  <w:divBdr>
                    <w:top w:val="none" w:sz="0" w:space="0" w:color="auto"/>
                    <w:left w:val="none" w:sz="0" w:space="0" w:color="auto"/>
                    <w:bottom w:val="none" w:sz="0" w:space="0" w:color="auto"/>
                    <w:right w:val="none" w:sz="0" w:space="0" w:color="auto"/>
                  </w:divBdr>
                  <w:divsChild>
                    <w:div w:id="564726998">
                      <w:marLeft w:val="0"/>
                      <w:marRight w:val="0"/>
                      <w:marTop w:val="0"/>
                      <w:marBottom w:val="0"/>
                      <w:divBdr>
                        <w:top w:val="none" w:sz="0" w:space="0" w:color="auto"/>
                        <w:left w:val="none" w:sz="0" w:space="0" w:color="auto"/>
                        <w:bottom w:val="none" w:sz="0" w:space="0" w:color="auto"/>
                        <w:right w:val="none" w:sz="0" w:space="0" w:color="auto"/>
                      </w:divBdr>
                      <w:divsChild>
                        <w:div w:id="1329138239">
                          <w:marLeft w:val="0"/>
                          <w:marRight w:val="0"/>
                          <w:marTop w:val="0"/>
                          <w:marBottom w:val="0"/>
                          <w:divBdr>
                            <w:top w:val="none" w:sz="0" w:space="0" w:color="auto"/>
                            <w:left w:val="none" w:sz="0" w:space="0" w:color="auto"/>
                            <w:bottom w:val="none" w:sz="0" w:space="0" w:color="auto"/>
                            <w:right w:val="none" w:sz="0" w:space="0" w:color="auto"/>
                          </w:divBdr>
                          <w:divsChild>
                            <w:div w:id="56754922">
                              <w:marLeft w:val="0"/>
                              <w:marRight w:val="0"/>
                              <w:marTop w:val="0"/>
                              <w:marBottom w:val="0"/>
                              <w:divBdr>
                                <w:top w:val="none" w:sz="0" w:space="0" w:color="auto"/>
                                <w:left w:val="none" w:sz="0" w:space="0" w:color="auto"/>
                                <w:bottom w:val="none" w:sz="0" w:space="0" w:color="auto"/>
                                <w:right w:val="none" w:sz="0" w:space="0" w:color="auto"/>
                              </w:divBdr>
                              <w:divsChild>
                                <w:div w:id="2131588161">
                                  <w:marLeft w:val="0"/>
                                  <w:marRight w:val="0"/>
                                  <w:marTop w:val="0"/>
                                  <w:marBottom w:val="0"/>
                                  <w:divBdr>
                                    <w:top w:val="none" w:sz="0" w:space="0" w:color="auto"/>
                                    <w:left w:val="none" w:sz="0" w:space="0" w:color="auto"/>
                                    <w:bottom w:val="none" w:sz="0" w:space="0" w:color="auto"/>
                                    <w:right w:val="none" w:sz="0" w:space="0" w:color="auto"/>
                                  </w:divBdr>
                                  <w:divsChild>
                                    <w:div w:id="14699482">
                                      <w:marLeft w:val="0"/>
                                      <w:marRight w:val="0"/>
                                      <w:marTop w:val="0"/>
                                      <w:marBottom w:val="0"/>
                                      <w:divBdr>
                                        <w:top w:val="none" w:sz="0" w:space="0" w:color="auto"/>
                                        <w:left w:val="none" w:sz="0" w:space="0" w:color="auto"/>
                                        <w:bottom w:val="none" w:sz="0" w:space="0" w:color="auto"/>
                                        <w:right w:val="none" w:sz="0" w:space="0" w:color="auto"/>
                                      </w:divBdr>
                                      <w:divsChild>
                                        <w:div w:id="844397547">
                                          <w:marLeft w:val="0"/>
                                          <w:marRight w:val="0"/>
                                          <w:marTop w:val="0"/>
                                          <w:marBottom w:val="0"/>
                                          <w:divBdr>
                                            <w:top w:val="none" w:sz="0" w:space="0" w:color="auto"/>
                                            <w:left w:val="none" w:sz="0" w:space="0" w:color="auto"/>
                                            <w:bottom w:val="none" w:sz="0" w:space="0" w:color="auto"/>
                                            <w:right w:val="none" w:sz="0" w:space="0" w:color="auto"/>
                                          </w:divBdr>
                                          <w:divsChild>
                                            <w:div w:id="2049258838">
                                              <w:marLeft w:val="0"/>
                                              <w:marRight w:val="0"/>
                                              <w:marTop w:val="0"/>
                                              <w:marBottom w:val="0"/>
                                              <w:divBdr>
                                                <w:top w:val="none" w:sz="0" w:space="0" w:color="auto"/>
                                                <w:left w:val="none" w:sz="0" w:space="0" w:color="auto"/>
                                                <w:bottom w:val="none" w:sz="0" w:space="0" w:color="auto"/>
                                                <w:right w:val="none" w:sz="0" w:space="0" w:color="auto"/>
                                              </w:divBdr>
                                              <w:divsChild>
                                                <w:div w:id="882251657">
                                                  <w:marLeft w:val="0"/>
                                                  <w:marRight w:val="0"/>
                                                  <w:marTop w:val="0"/>
                                                  <w:marBottom w:val="0"/>
                                                  <w:divBdr>
                                                    <w:top w:val="none" w:sz="0" w:space="0" w:color="auto"/>
                                                    <w:left w:val="none" w:sz="0" w:space="0" w:color="auto"/>
                                                    <w:bottom w:val="none" w:sz="0" w:space="0" w:color="auto"/>
                                                    <w:right w:val="none" w:sz="0" w:space="0" w:color="auto"/>
                                                  </w:divBdr>
                                                  <w:divsChild>
                                                    <w:div w:id="1086029457">
                                                      <w:marLeft w:val="0"/>
                                                      <w:marRight w:val="0"/>
                                                      <w:marTop w:val="0"/>
                                                      <w:marBottom w:val="0"/>
                                                      <w:divBdr>
                                                        <w:top w:val="single" w:sz="12" w:space="0" w:color="ABABAB"/>
                                                        <w:left w:val="single" w:sz="6" w:space="0" w:color="ABABAB"/>
                                                        <w:bottom w:val="none" w:sz="0" w:space="0" w:color="auto"/>
                                                        <w:right w:val="single" w:sz="6" w:space="0" w:color="ABABAB"/>
                                                      </w:divBdr>
                                                      <w:divsChild>
                                                        <w:div w:id="324672379">
                                                          <w:marLeft w:val="0"/>
                                                          <w:marRight w:val="0"/>
                                                          <w:marTop w:val="0"/>
                                                          <w:marBottom w:val="0"/>
                                                          <w:divBdr>
                                                            <w:top w:val="none" w:sz="0" w:space="0" w:color="auto"/>
                                                            <w:left w:val="none" w:sz="0" w:space="0" w:color="auto"/>
                                                            <w:bottom w:val="none" w:sz="0" w:space="0" w:color="auto"/>
                                                            <w:right w:val="none" w:sz="0" w:space="0" w:color="auto"/>
                                                          </w:divBdr>
                                                          <w:divsChild>
                                                            <w:div w:id="1431469225">
                                                              <w:marLeft w:val="0"/>
                                                              <w:marRight w:val="0"/>
                                                              <w:marTop w:val="0"/>
                                                              <w:marBottom w:val="0"/>
                                                              <w:divBdr>
                                                                <w:top w:val="none" w:sz="0" w:space="0" w:color="auto"/>
                                                                <w:left w:val="none" w:sz="0" w:space="0" w:color="auto"/>
                                                                <w:bottom w:val="none" w:sz="0" w:space="0" w:color="auto"/>
                                                                <w:right w:val="none" w:sz="0" w:space="0" w:color="auto"/>
                                                              </w:divBdr>
                                                              <w:divsChild>
                                                                <w:div w:id="1480071385">
                                                                  <w:marLeft w:val="0"/>
                                                                  <w:marRight w:val="0"/>
                                                                  <w:marTop w:val="0"/>
                                                                  <w:marBottom w:val="0"/>
                                                                  <w:divBdr>
                                                                    <w:top w:val="none" w:sz="0" w:space="0" w:color="auto"/>
                                                                    <w:left w:val="none" w:sz="0" w:space="0" w:color="auto"/>
                                                                    <w:bottom w:val="none" w:sz="0" w:space="0" w:color="auto"/>
                                                                    <w:right w:val="none" w:sz="0" w:space="0" w:color="auto"/>
                                                                  </w:divBdr>
                                                                  <w:divsChild>
                                                                    <w:div w:id="14235327">
                                                                      <w:marLeft w:val="0"/>
                                                                      <w:marRight w:val="0"/>
                                                                      <w:marTop w:val="0"/>
                                                                      <w:marBottom w:val="0"/>
                                                                      <w:divBdr>
                                                                        <w:top w:val="none" w:sz="0" w:space="0" w:color="auto"/>
                                                                        <w:left w:val="none" w:sz="0" w:space="0" w:color="auto"/>
                                                                        <w:bottom w:val="none" w:sz="0" w:space="0" w:color="auto"/>
                                                                        <w:right w:val="none" w:sz="0" w:space="0" w:color="auto"/>
                                                                      </w:divBdr>
                                                                      <w:divsChild>
                                                                        <w:div w:id="724522847">
                                                                          <w:marLeft w:val="-75"/>
                                                                          <w:marRight w:val="0"/>
                                                                          <w:marTop w:val="30"/>
                                                                          <w:marBottom w:val="30"/>
                                                                          <w:divBdr>
                                                                            <w:top w:val="none" w:sz="0" w:space="0" w:color="auto"/>
                                                                            <w:left w:val="none" w:sz="0" w:space="0" w:color="auto"/>
                                                                            <w:bottom w:val="none" w:sz="0" w:space="0" w:color="auto"/>
                                                                            <w:right w:val="none" w:sz="0" w:space="0" w:color="auto"/>
                                                                          </w:divBdr>
                                                                          <w:divsChild>
                                                                            <w:div w:id="1443844425">
                                                                              <w:marLeft w:val="0"/>
                                                                              <w:marRight w:val="0"/>
                                                                              <w:marTop w:val="0"/>
                                                                              <w:marBottom w:val="0"/>
                                                                              <w:divBdr>
                                                                                <w:top w:val="none" w:sz="0" w:space="0" w:color="auto"/>
                                                                                <w:left w:val="none" w:sz="0" w:space="0" w:color="auto"/>
                                                                                <w:bottom w:val="none" w:sz="0" w:space="0" w:color="auto"/>
                                                                                <w:right w:val="none" w:sz="0" w:space="0" w:color="auto"/>
                                                                              </w:divBdr>
                                                                              <w:divsChild>
                                                                                <w:div w:id="1724865905">
                                                                                  <w:marLeft w:val="0"/>
                                                                                  <w:marRight w:val="0"/>
                                                                                  <w:marTop w:val="0"/>
                                                                                  <w:marBottom w:val="0"/>
                                                                                  <w:divBdr>
                                                                                    <w:top w:val="none" w:sz="0" w:space="0" w:color="auto"/>
                                                                                    <w:left w:val="none" w:sz="0" w:space="0" w:color="auto"/>
                                                                                    <w:bottom w:val="none" w:sz="0" w:space="0" w:color="auto"/>
                                                                                    <w:right w:val="none" w:sz="0" w:space="0" w:color="auto"/>
                                                                                  </w:divBdr>
                                                                                  <w:divsChild>
                                                                                    <w:div w:id="1773086842">
                                                                                      <w:marLeft w:val="0"/>
                                                                                      <w:marRight w:val="0"/>
                                                                                      <w:marTop w:val="0"/>
                                                                                      <w:marBottom w:val="0"/>
                                                                                      <w:divBdr>
                                                                                        <w:top w:val="none" w:sz="0" w:space="0" w:color="auto"/>
                                                                                        <w:left w:val="none" w:sz="0" w:space="0" w:color="auto"/>
                                                                                        <w:bottom w:val="none" w:sz="0" w:space="0" w:color="auto"/>
                                                                                        <w:right w:val="none" w:sz="0" w:space="0" w:color="auto"/>
                                                                                      </w:divBdr>
                                                                                      <w:divsChild>
                                                                                        <w:div w:id="415984767">
                                                                                          <w:marLeft w:val="0"/>
                                                                                          <w:marRight w:val="0"/>
                                                                                          <w:marTop w:val="0"/>
                                                                                          <w:marBottom w:val="0"/>
                                                                                          <w:divBdr>
                                                                                            <w:top w:val="none" w:sz="0" w:space="0" w:color="auto"/>
                                                                                            <w:left w:val="none" w:sz="0" w:space="0" w:color="auto"/>
                                                                                            <w:bottom w:val="none" w:sz="0" w:space="0" w:color="auto"/>
                                                                                            <w:right w:val="none" w:sz="0" w:space="0" w:color="auto"/>
                                                                                          </w:divBdr>
                                                                                          <w:divsChild>
                                                                                            <w:div w:id="145309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28854112">
      <w:bodyDiv w:val="1"/>
      <w:marLeft w:val="0"/>
      <w:marRight w:val="0"/>
      <w:marTop w:val="0"/>
      <w:marBottom w:val="0"/>
      <w:divBdr>
        <w:top w:val="none" w:sz="0" w:space="0" w:color="auto"/>
        <w:left w:val="none" w:sz="0" w:space="0" w:color="auto"/>
        <w:bottom w:val="none" w:sz="0" w:space="0" w:color="auto"/>
        <w:right w:val="none" w:sz="0" w:space="0" w:color="auto"/>
      </w:divBdr>
      <w:divsChild>
        <w:div w:id="1785342703">
          <w:marLeft w:val="0"/>
          <w:marRight w:val="0"/>
          <w:marTop w:val="0"/>
          <w:marBottom w:val="0"/>
          <w:divBdr>
            <w:top w:val="none" w:sz="0" w:space="0" w:color="auto"/>
            <w:left w:val="none" w:sz="0" w:space="0" w:color="auto"/>
            <w:bottom w:val="none" w:sz="0" w:space="0" w:color="auto"/>
            <w:right w:val="none" w:sz="0" w:space="0" w:color="auto"/>
          </w:divBdr>
          <w:divsChild>
            <w:div w:id="209802962">
              <w:marLeft w:val="0"/>
              <w:marRight w:val="0"/>
              <w:marTop w:val="0"/>
              <w:marBottom w:val="0"/>
              <w:divBdr>
                <w:top w:val="none" w:sz="0" w:space="0" w:color="auto"/>
                <w:left w:val="none" w:sz="0" w:space="0" w:color="auto"/>
                <w:bottom w:val="none" w:sz="0" w:space="0" w:color="auto"/>
                <w:right w:val="none" w:sz="0" w:space="0" w:color="auto"/>
              </w:divBdr>
              <w:divsChild>
                <w:div w:id="265885911">
                  <w:marLeft w:val="0"/>
                  <w:marRight w:val="0"/>
                  <w:marTop w:val="0"/>
                  <w:marBottom w:val="0"/>
                  <w:divBdr>
                    <w:top w:val="none" w:sz="0" w:space="0" w:color="auto"/>
                    <w:left w:val="none" w:sz="0" w:space="0" w:color="auto"/>
                    <w:bottom w:val="none" w:sz="0" w:space="0" w:color="auto"/>
                    <w:right w:val="none" w:sz="0" w:space="0" w:color="auto"/>
                  </w:divBdr>
                  <w:divsChild>
                    <w:div w:id="636030951">
                      <w:marLeft w:val="0"/>
                      <w:marRight w:val="0"/>
                      <w:marTop w:val="0"/>
                      <w:marBottom w:val="0"/>
                      <w:divBdr>
                        <w:top w:val="none" w:sz="0" w:space="0" w:color="auto"/>
                        <w:left w:val="none" w:sz="0" w:space="0" w:color="auto"/>
                        <w:bottom w:val="none" w:sz="0" w:space="0" w:color="auto"/>
                        <w:right w:val="none" w:sz="0" w:space="0" w:color="auto"/>
                      </w:divBdr>
                      <w:divsChild>
                        <w:div w:id="1883515865">
                          <w:marLeft w:val="0"/>
                          <w:marRight w:val="0"/>
                          <w:marTop w:val="0"/>
                          <w:marBottom w:val="0"/>
                          <w:divBdr>
                            <w:top w:val="none" w:sz="0" w:space="0" w:color="auto"/>
                            <w:left w:val="none" w:sz="0" w:space="0" w:color="auto"/>
                            <w:bottom w:val="none" w:sz="0" w:space="0" w:color="auto"/>
                            <w:right w:val="none" w:sz="0" w:space="0" w:color="auto"/>
                          </w:divBdr>
                          <w:divsChild>
                            <w:div w:id="1644578370">
                              <w:marLeft w:val="0"/>
                              <w:marRight w:val="0"/>
                              <w:marTop w:val="0"/>
                              <w:marBottom w:val="0"/>
                              <w:divBdr>
                                <w:top w:val="none" w:sz="0" w:space="0" w:color="auto"/>
                                <w:left w:val="none" w:sz="0" w:space="0" w:color="auto"/>
                                <w:bottom w:val="none" w:sz="0" w:space="0" w:color="auto"/>
                                <w:right w:val="none" w:sz="0" w:space="0" w:color="auto"/>
                              </w:divBdr>
                              <w:divsChild>
                                <w:div w:id="872306723">
                                  <w:marLeft w:val="0"/>
                                  <w:marRight w:val="0"/>
                                  <w:marTop w:val="0"/>
                                  <w:marBottom w:val="0"/>
                                  <w:divBdr>
                                    <w:top w:val="none" w:sz="0" w:space="0" w:color="auto"/>
                                    <w:left w:val="none" w:sz="0" w:space="0" w:color="auto"/>
                                    <w:bottom w:val="none" w:sz="0" w:space="0" w:color="auto"/>
                                    <w:right w:val="none" w:sz="0" w:space="0" w:color="auto"/>
                                  </w:divBdr>
                                  <w:divsChild>
                                    <w:div w:id="522864102">
                                      <w:marLeft w:val="0"/>
                                      <w:marRight w:val="0"/>
                                      <w:marTop w:val="0"/>
                                      <w:marBottom w:val="0"/>
                                      <w:divBdr>
                                        <w:top w:val="none" w:sz="0" w:space="0" w:color="auto"/>
                                        <w:left w:val="none" w:sz="0" w:space="0" w:color="auto"/>
                                        <w:bottom w:val="none" w:sz="0" w:space="0" w:color="auto"/>
                                        <w:right w:val="none" w:sz="0" w:space="0" w:color="auto"/>
                                      </w:divBdr>
                                      <w:divsChild>
                                        <w:div w:id="440926582">
                                          <w:marLeft w:val="0"/>
                                          <w:marRight w:val="0"/>
                                          <w:marTop w:val="0"/>
                                          <w:marBottom w:val="0"/>
                                          <w:divBdr>
                                            <w:top w:val="none" w:sz="0" w:space="0" w:color="auto"/>
                                            <w:left w:val="none" w:sz="0" w:space="0" w:color="auto"/>
                                            <w:bottom w:val="none" w:sz="0" w:space="0" w:color="auto"/>
                                            <w:right w:val="none" w:sz="0" w:space="0" w:color="auto"/>
                                          </w:divBdr>
                                          <w:divsChild>
                                            <w:div w:id="403459145">
                                              <w:marLeft w:val="0"/>
                                              <w:marRight w:val="0"/>
                                              <w:marTop w:val="0"/>
                                              <w:marBottom w:val="0"/>
                                              <w:divBdr>
                                                <w:top w:val="none" w:sz="0" w:space="0" w:color="auto"/>
                                                <w:left w:val="none" w:sz="0" w:space="0" w:color="auto"/>
                                                <w:bottom w:val="none" w:sz="0" w:space="0" w:color="auto"/>
                                                <w:right w:val="none" w:sz="0" w:space="0" w:color="auto"/>
                                              </w:divBdr>
                                              <w:divsChild>
                                                <w:div w:id="2147311290">
                                                  <w:marLeft w:val="0"/>
                                                  <w:marRight w:val="0"/>
                                                  <w:marTop w:val="0"/>
                                                  <w:marBottom w:val="0"/>
                                                  <w:divBdr>
                                                    <w:top w:val="none" w:sz="0" w:space="0" w:color="auto"/>
                                                    <w:left w:val="none" w:sz="0" w:space="0" w:color="auto"/>
                                                    <w:bottom w:val="none" w:sz="0" w:space="0" w:color="auto"/>
                                                    <w:right w:val="none" w:sz="0" w:space="0" w:color="auto"/>
                                                  </w:divBdr>
                                                  <w:divsChild>
                                                    <w:div w:id="648171138">
                                                      <w:marLeft w:val="0"/>
                                                      <w:marRight w:val="0"/>
                                                      <w:marTop w:val="0"/>
                                                      <w:marBottom w:val="0"/>
                                                      <w:divBdr>
                                                        <w:top w:val="single" w:sz="12" w:space="0" w:color="ABABAB"/>
                                                        <w:left w:val="single" w:sz="6" w:space="0" w:color="ABABAB"/>
                                                        <w:bottom w:val="none" w:sz="0" w:space="0" w:color="auto"/>
                                                        <w:right w:val="single" w:sz="6" w:space="0" w:color="ABABAB"/>
                                                      </w:divBdr>
                                                      <w:divsChild>
                                                        <w:div w:id="244001052">
                                                          <w:marLeft w:val="0"/>
                                                          <w:marRight w:val="0"/>
                                                          <w:marTop w:val="0"/>
                                                          <w:marBottom w:val="0"/>
                                                          <w:divBdr>
                                                            <w:top w:val="none" w:sz="0" w:space="0" w:color="auto"/>
                                                            <w:left w:val="none" w:sz="0" w:space="0" w:color="auto"/>
                                                            <w:bottom w:val="none" w:sz="0" w:space="0" w:color="auto"/>
                                                            <w:right w:val="none" w:sz="0" w:space="0" w:color="auto"/>
                                                          </w:divBdr>
                                                          <w:divsChild>
                                                            <w:div w:id="629363912">
                                                              <w:marLeft w:val="0"/>
                                                              <w:marRight w:val="0"/>
                                                              <w:marTop w:val="0"/>
                                                              <w:marBottom w:val="0"/>
                                                              <w:divBdr>
                                                                <w:top w:val="none" w:sz="0" w:space="0" w:color="auto"/>
                                                                <w:left w:val="none" w:sz="0" w:space="0" w:color="auto"/>
                                                                <w:bottom w:val="none" w:sz="0" w:space="0" w:color="auto"/>
                                                                <w:right w:val="none" w:sz="0" w:space="0" w:color="auto"/>
                                                              </w:divBdr>
                                                              <w:divsChild>
                                                                <w:div w:id="1298874627">
                                                                  <w:marLeft w:val="0"/>
                                                                  <w:marRight w:val="0"/>
                                                                  <w:marTop w:val="0"/>
                                                                  <w:marBottom w:val="0"/>
                                                                  <w:divBdr>
                                                                    <w:top w:val="none" w:sz="0" w:space="0" w:color="auto"/>
                                                                    <w:left w:val="none" w:sz="0" w:space="0" w:color="auto"/>
                                                                    <w:bottom w:val="none" w:sz="0" w:space="0" w:color="auto"/>
                                                                    <w:right w:val="none" w:sz="0" w:space="0" w:color="auto"/>
                                                                  </w:divBdr>
                                                                  <w:divsChild>
                                                                    <w:div w:id="1913080439">
                                                                      <w:marLeft w:val="0"/>
                                                                      <w:marRight w:val="0"/>
                                                                      <w:marTop w:val="0"/>
                                                                      <w:marBottom w:val="0"/>
                                                                      <w:divBdr>
                                                                        <w:top w:val="none" w:sz="0" w:space="0" w:color="auto"/>
                                                                        <w:left w:val="none" w:sz="0" w:space="0" w:color="auto"/>
                                                                        <w:bottom w:val="none" w:sz="0" w:space="0" w:color="auto"/>
                                                                        <w:right w:val="none" w:sz="0" w:space="0" w:color="auto"/>
                                                                      </w:divBdr>
                                                                      <w:divsChild>
                                                                        <w:div w:id="1038161344">
                                                                          <w:marLeft w:val="-75"/>
                                                                          <w:marRight w:val="0"/>
                                                                          <w:marTop w:val="30"/>
                                                                          <w:marBottom w:val="30"/>
                                                                          <w:divBdr>
                                                                            <w:top w:val="none" w:sz="0" w:space="0" w:color="auto"/>
                                                                            <w:left w:val="none" w:sz="0" w:space="0" w:color="auto"/>
                                                                            <w:bottom w:val="none" w:sz="0" w:space="0" w:color="auto"/>
                                                                            <w:right w:val="none" w:sz="0" w:space="0" w:color="auto"/>
                                                                          </w:divBdr>
                                                                          <w:divsChild>
                                                                            <w:div w:id="160856958">
                                                                              <w:marLeft w:val="0"/>
                                                                              <w:marRight w:val="0"/>
                                                                              <w:marTop w:val="0"/>
                                                                              <w:marBottom w:val="0"/>
                                                                              <w:divBdr>
                                                                                <w:top w:val="none" w:sz="0" w:space="0" w:color="auto"/>
                                                                                <w:left w:val="none" w:sz="0" w:space="0" w:color="auto"/>
                                                                                <w:bottom w:val="none" w:sz="0" w:space="0" w:color="auto"/>
                                                                                <w:right w:val="none" w:sz="0" w:space="0" w:color="auto"/>
                                                                              </w:divBdr>
                                                                              <w:divsChild>
                                                                                <w:div w:id="172308290">
                                                                                  <w:marLeft w:val="0"/>
                                                                                  <w:marRight w:val="0"/>
                                                                                  <w:marTop w:val="0"/>
                                                                                  <w:marBottom w:val="0"/>
                                                                                  <w:divBdr>
                                                                                    <w:top w:val="none" w:sz="0" w:space="0" w:color="auto"/>
                                                                                    <w:left w:val="none" w:sz="0" w:space="0" w:color="auto"/>
                                                                                    <w:bottom w:val="none" w:sz="0" w:space="0" w:color="auto"/>
                                                                                    <w:right w:val="none" w:sz="0" w:space="0" w:color="auto"/>
                                                                                  </w:divBdr>
                                                                                  <w:divsChild>
                                                                                    <w:div w:id="1471941082">
                                                                                      <w:marLeft w:val="0"/>
                                                                                      <w:marRight w:val="0"/>
                                                                                      <w:marTop w:val="0"/>
                                                                                      <w:marBottom w:val="0"/>
                                                                                      <w:divBdr>
                                                                                        <w:top w:val="none" w:sz="0" w:space="0" w:color="auto"/>
                                                                                        <w:left w:val="none" w:sz="0" w:space="0" w:color="auto"/>
                                                                                        <w:bottom w:val="none" w:sz="0" w:space="0" w:color="auto"/>
                                                                                        <w:right w:val="none" w:sz="0" w:space="0" w:color="auto"/>
                                                                                      </w:divBdr>
                                                                                      <w:divsChild>
                                                                                        <w:div w:id="484667048">
                                                                                          <w:marLeft w:val="0"/>
                                                                                          <w:marRight w:val="0"/>
                                                                                          <w:marTop w:val="0"/>
                                                                                          <w:marBottom w:val="0"/>
                                                                                          <w:divBdr>
                                                                                            <w:top w:val="none" w:sz="0" w:space="0" w:color="auto"/>
                                                                                            <w:left w:val="none" w:sz="0" w:space="0" w:color="auto"/>
                                                                                            <w:bottom w:val="none" w:sz="0" w:space="0" w:color="auto"/>
                                                                                            <w:right w:val="none" w:sz="0" w:space="0" w:color="auto"/>
                                                                                          </w:divBdr>
                                                                                          <w:divsChild>
                                                                                            <w:div w:id="125489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980148">
      <w:bodyDiv w:val="1"/>
      <w:marLeft w:val="0"/>
      <w:marRight w:val="0"/>
      <w:marTop w:val="0"/>
      <w:marBottom w:val="0"/>
      <w:divBdr>
        <w:top w:val="none" w:sz="0" w:space="0" w:color="auto"/>
        <w:left w:val="none" w:sz="0" w:space="0" w:color="auto"/>
        <w:bottom w:val="none" w:sz="0" w:space="0" w:color="auto"/>
        <w:right w:val="none" w:sz="0" w:space="0" w:color="auto"/>
      </w:divBdr>
      <w:divsChild>
        <w:div w:id="1800108502">
          <w:marLeft w:val="0"/>
          <w:marRight w:val="0"/>
          <w:marTop w:val="0"/>
          <w:marBottom w:val="0"/>
          <w:divBdr>
            <w:top w:val="none" w:sz="0" w:space="0" w:color="auto"/>
            <w:left w:val="none" w:sz="0" w:space="0" w:color="auto"/>
            <w:bottom w:val="none" w:sz="0" w:space="0" w:color="auto"/>
            <w:right w:val="none" w:sz="0" w:space="0" w:color="auto"/>
          </w:divBdr>
          <w:divsChild>
            <w:div w:id="1727021086">
              <w:marLeft w:val="0"/>
              <w:marRight w:val="0"/>
              <w:marTop w:val="0"/>
              <w:marBottom w:val="0"/>
              <w:divBdr>
                <w:top w:val="none" w:sz="0" w:space="0" w:color="auto"/>
                <w:left w:val="none" w:sz="0" w:space="0" w:color="auto"/>
                <w:bottom w:val="none" w:sz="0" w:space="0" w:color="auto"/>
                <w:right w:val="none" w:sz="0" w:space="0" w:color="auto"/>
              </w:divBdr>
              <w:divsChild>
                <w:div w:id="294410472">
                  <w:marLeft w:val="0"/>
                  <w:marRight w:val="0"/>
                  <w:marTop w:val="0"/>
                  <w:marBottom w:val="0"/>
                  <w:divBdr>
                    <w:top w:val="none" w:sz="0" w:space="0" w:color="auto"/>
                    <w:left w:val="none" w:sz="0" w:space="0" w:color="auto"/>
                    <w:bottom w:val="none" w:sz="0" w:space="0" w:color="auto"/>
                    <w:right w:val="none" w:sz="0" w:space="0" w:color="auto"/>
                  </w:divBdr>
                  <w:divsChild>
                    <w:div w:id="706829299">
                      <w:marLeft w:val="0"/>
                      <w:marRight w:val="0"/>
                      <w:marTop w:val="0"/>
                      <w:marBottom w:val="0"/>
                      <w:divBdr>
                        <w:top w:val="none" w:sz="0" w:space="0" w:color="auto"/>
                        <w:left w:val="none" w:sz="0" w:space="0" w:color="auto"/>
                        <w:bottom w:val="none" w:sz="0" w:space="0" w:color="auto"/>
                        <w:right w:val="none" w:sz="0" w:space="0" w:color="auto"/>
                      </w:divBdr>
                      <w:divsChild>
                        <w:div w:id="1260068230">
                          <w:marLeft w:val="0"/>
                          <w:marRight w:val="0"/>
                          <w:marTop w:val="0"/>
                          <w:marBottom w:val="0"/>
                          <w:divBdr>
                            <w:top w:val="none" w:sz="0" w:space="0" w:color="auto"/>
                            <w:left w:val="none" w:sz="0" w:space="0" w:color="auto"/>
                            <w:bottom w:val="none" w:sz="0" w:space="0" w:color="auto"/>
                            <w:right w:val="none" w:sz="0" w:space="0" w:color="auto"/>
                          </w:divBdr>
                          <w:divsChild>
                            <w:div w:id="1237469658">
                              <w:marLeft w:val="0"/>
                              <w:marRight w:val="0"/>
                              <w:marTop w:val="0"/>
                              <w:marBottom w:val="0"/>
                              <w:divBdr>
                                <w:top w:val="none" w:sz="0" w:space="0" w:color="auto"/>
                                <w:left w:val="none" w:sz="0" w:space="0" w:color="auto"/>
                                <w:bottom w:val="none" w:sz="0" w:space="0" w:color="auto"/>
                                <w:right w:val="none" w:sz="0" w:space="0" w:color="auto"/>
                              </w:divBdr>
                              <w:divsChild>
                                <w:div w:id="728310041">
                                  <w:marLeft w:val="0"/>
                                  <w:marRight w:val="0"/>
                                  <w:marTop w:val="0"/>
                                  <w:marBottom w:val="0"/>
                                  <w:divBdr>
                                    <w:top w:val="none" w:sz="0" w:space="0" w:color="auto"/>
                                    <w:left w:val="none" w:sz="0" w:space="0" w:color="auto"/>
                                    <w:bottom w:val="none" w:sz="0" w:space="0" w:color="auto"/>
                                    <w:right w:val="none" w:sz="0" w:space="0" w:color="auto"/>
                                  </w:divBdr>
                                  <w:divsChild>
                                    <w:div w:id="1273442158">
                                      <w:marLeft w:val="0"/>
                                      <w:marRight w:val="0"/>
                                      <w:marTop w:val="0"/>
                                      <w:marBottom w:val="0"/>
                                      <w:divBdr>
                                        <w:top w:val="none" w:sz="0" w:space="0" w:color="auto"/>
                                        <w:left w:val="none" w:sz="0" w:space="0" w:color="auto"/>
                                        <w:bottom w:val="none" w:sz="0" w:space="0" w:color="auto"/>
                                        <w:right w:val="none" w:sz="0" w:space="0" w:color="auto"/>
                                      </w:divBdr>
                                      <w:divsChild>
                                        <w:div w:id="859395470">
                                          <w:marLeft w:val="0"/>
                                          <w:marRight w:val="0"/>
                                          <w:marTop w:val="0"/>
                                          <w:marBottom w:val="0"/>
                                          <w:divBdr>
                                            <w:top w:val="none" w:sz="0" w:space="0" w:color="auto"/>
                                            <w:left w:val="none" w:sz="0" w:space="0" w:color="auto"/>
                                            <w:bottom w:val="none" w:sz="0" w:space="0" w:color="auto"/>
                                            <w:right w:val="none" w:sz="0" w:space="0" w:color="auto"/>
                                          </w:divBdr>
                                          <w:divsChild>
                                            <w:div w:id="1657298882">
                                              <w:marLeft w:val="0"/>
                                              <w:marRight w:val="0"/>
                                              <w:marTop w:val="0"/>
                                              <w:marBottom w:val="0"/>
                                              <w:divBdr>
                                                <w:top w:val="none" w:sz="0" w:space="0" w:color="auto"/>
                                                <w:left w:val="none" w:sz="0" w:space="0" w:color="auto"/>
                                                <w:bottom w:val="none" w:sz="0" w:space="0" w:color="auto"/>
                                                <w:right w:val="none" w:sz="0" w:space="0" w:color="auto"/>
                                              </w:divBdr>
                                              <w:divsChild>
                                                <w:div w:id="410585171">
                                                  <w:marLeft w:val="0"/>
                                                  <w:marRight w:val="0"/>
                                                  <w:marTop w:val="0"/>
                                                  <w:marBottom w:val="0"/>
                                                  <w:divBdr>
                                                    <w:top w:val="none" w:sz="0" w:space="0" w:color="auto"/>
                                                    <w:left w:val="none" w:sz="0" w:space="0" w:color="auto"/>
                                                    <w:bottom w:val="none" w:sz="0" w:space="0" w:color="auto"/>
                                                    <w:right w:val="none" w:sz="0" w:space="0" w:color="auto"/>
                                                  </w:divBdr>
                                                  <w:divsChild>
                                                    <w:div w:id="29651540">
                                                      <w:marLeft w:val="0"/>
                                                      <w:marRight w:val="0"/>
                                                      <w:marTop w:val="0"/>
                                                      <w:marBottom w:val="0"/>
                                                      <w:divBdr>
                                                        <w:top w:val="single" w:sz="12" w:space="0" w:color="ABABAB"/>
                                                        <w:left w:val="single" w:sz="6" w:space="0" w:color="ABABAB"/>
                                                        <w:bottom w:val="none" w:sz="0" w:space="0" w:color="auto"/>
                                                        <w:right w:val="single" w:sz="6" w:space="0" w:color="ABABAB"/>
                                                      </w:divBdr>
                                                      <w:divsChild>
                                                        <w:div w:id="1387341153">
                                                          <w:marLeft w:val="0"/>
                                                          <w:marRight w:val="0"/>
                                                          <w:marTop w:val="0"/>
                                                          <w:marBottom w:val="0"/>
                                                          <w:divBdr>
                                                            <w:top w:val="none" w:sz="0" w:space="0" w:color="auto"/>
                                                            <w:left w:val="none" w:sz="0" w:space="0" w:color="auto"/>
                                                            <w:bottom w:val="none" w:sz="0" w:space="0" w:color="auto"/>
                                                            <w:right w:val="none" w:sz="0" w:space="0" w:color="auto"/>
                                                          </w:divBdr>
                                                          <w:divsChild>
                                                            <w:div w:id="661078703">
                                                              <w:marLeft w:val="0"/>
                                                              <w:marRight w:val="0"/>
                                                              <w:marTop w:val="0"/>
                                                              <w:marBottom w:val="0"/>
                                                              <w:divBdr>
                                                                <w:top w:val="none" w:sz="0" w:space="0" w:color="auto"/>
                                                                <w:left w:val="none" w:sz="0" w:space="0" w:color="auto"/>
                                                                <w:bottom w:val="none" w:sz="0" w:space="0" w:color="auto"/>
                                                                <w:right w:val="none" w:sz="0" w:space="0" w:color="auto"/>
                                                              </w:divBdr>
                                                              <w:divsChild>
                                                                <w:div w:id="1615012614">
                                                                  <w:marLeft w:val="0"/>
                                                                  <w:marRight w:val="0"/>
                                                                  <w:marTop w:val="0"/>
                                                                  <w:marBottom w:val="0"/>
                                                                  <w:divBdr>
                                                                    <w:top w:val="none" w:sz="0" w:space="0" w:color="auto"/>
                                                                    <w:left w:val="none" w:sz="0" w:space="0" w:color="auto"/>
                                                                    <w:bottom w:val="none" w:sz="0" w:space="0" w:color="auto"/>
                                                                    <w:right w:val="none" w:sz="0" w:space="0" w:color="auto"/>
                                                                  </w:divBdr>
                                                                  <w:divsChild>
                                                                    <w:div w:id="1945115165">
                                                                      <w:marLeft w:val="0"/>
                                                                      <w:marRight w:val="0"/>
                                                                      <w:marTop w:val="0"/>
                                                                      <w:marBottom w:val="0"/>
                                                                      <w:divBdr>
                                                                        <w:top w:val="none" w:sz="0" w:space="0" w:color="auto"/>
                                                                        <w:left w:val="none" w:sz="0" w:space="0" w:color="auto"/>
                                                                        <w:bottom w:val="none" w:sz="0" w:space="0" w:color="auto"/>
                                                                        <w:right w:val="none" w:sz="0" w:space="0" w:color="auto"/>
                                                                      </w:divBdr>
                                                                      <w:divsChild>
                                                                        <w:div w:id="1691832278">
                                                                          <w:marLeft w:val="-75"/>
                                                                          <w:marRight w:val="0"/>
                                                                          <w:marTop w:val="30"/>
                                                                          <w:marBottom w:val="30"/>
                                                                          <w:divBdr>
                                                                            <w:top w:val="none" w:sz="0" w:space="0" w:color="auto"/>
                                                                            <w:left w:val="none" w:sz="0" w:space="0" w:color="auto"/>
                                                                            <w:bottom w:val="none" w:sz="0" w:space="0" w:color="auto"/>
                                                                            <w:right w:val="none" w:sz="0" w:space="0" w:color="auto"/>
                                                                          </w:divBdr>
                                                                          <w:divsChild>
                                                                            <w:div w:id="1736658525">
                                                                              <w:marLeft w:val="0"/>
                                                                              <w:marRight w:val="0"/>
                                                                              <w:marTop w:val="0"/>
                                                                              <w:marBottom w:val="0"/>
                                                                              <w:divBdr>
                                                                                <w:top w:val="none" w:sz="0" w:space="0" w:color="auto"/>
                                                                                <w:left w:val="none" w:sz="0" w:space="0" w:color="auto"/>
                                                                                <w:bottom w:val="none" w:sz="0" w:space="0" w:color="auto"/>
                                                                                <w:right w:val="none" w:sz="0" w:space="0" w:color="auto"/>
                                                                              </w:divBdr>
                                                                              <w:divsChild>
                                                                                <w:div w:id="186794118">
                                                                                  <w:marLeft w:val="0"/>
                                                                                  <w:marRight w:val="0"/>
                                                                                  <w:marTop w:val="0"/>
                                                                                  <w:marBottom w:val="0"/>
                                                                                  <w:divBdr>
                                                                                    <w:top w:val="none" w:sz="0" w:space="0" w:color="auto"/>
                                                                                    <w:left w:val="none" w:sz="0" w:space="0" w:color="auto"/>
                                                                                    <w:bottom w:val="none" w:sz="0" w:space="0" w:color="auto"/>
                                                                                    <w:right w:val="none" w:sz="0" w:space="0" w:color="auto"/>
                                                                                  </w:divBdr>
                                                                                  <w:divsChild>
                                                                                    <w:div w:id="426344320">
                                                                                      <w:marLeft w:val="0"/>
                                                                                      <w:marRight w:val="0"/>
                                                                                      <w:marTop w:val="0"/>
                                                                                      <w:marBottom w:val="0"/>
                                                                                      <w:divBdr>
                                                                                        <w:top w:val="none" w:sz="0" w:space="0" w:color="auto"/>
                                                                                        <w:left w:val="none" w:sz="0" w:space="0" w:color="auto"/>
                                                                                        <w:bottom w:val="none" w:sz="0" w:space="0" w:color="auto"/>
                                                                                        <w:right w:val="none" w:sz="0" w:space="0" w:color="auto"/>
                                                                                      </w:divBdr>
                                                                                      <w:divsChild>
                                                                                        <w:div w:id="195656576">
                                                                                          <w:marLeft w:val="0"/>
                                                                                          <w:marRight w:val="0"/>
                                                                                          <w:marTop w:val="0"/>
                                                                                          <w:marBottom w:val="0"/>
                                                                                          <w:divBdr>
                                                                                            <w:top w:val="none" w:sz="0" w:space="0" w:color="auto"/>
                                                                                            <w:left w:val="none" w:sz="0" w:space="0" w:color="auto"/>
                                                                                            <w:bottom w:val="none" w:sz="0" w:space="0" w:color="auto"/>
                                                                                            <w:right w:val="none" w:sz="0" w:space="0" w:color="auto"/>
                                                                                          </w:divBdr>
                                                                                          <w:divsChild>
                                                                                            <w:div w:id="20476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691131">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chart" Target="charts/chart8.xml"/><Relationship Id="rId21" Type="http://schemas.openxmlformats.org/officeDocument/2006/relationships/image" Target="media/image6.png"/><Relationship Id="rId34" Type="http://schemas.openxmlformats.org/officeDocument/2006/relationships/image" Target="media/image13.jpe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chart" Target="charts/chart11.xml"/><Relationship Id="rId55" Type="http://schemas.openxmlformats.org/officeDocument/2006/relationships/hyperlink" Target="https://www.epa.gov/sites/production/files/2014-08/documents/cyanobacteria_factsheet.pdf" TargetMode="External"/><Relationship Id="rId7" Type="http://schemas.openxmlformats.org/officeDocument/2006/relationships/header" Target="header1.xml"/><Relationship Id="rId71" Type="http://schemas.microsoft.com/office/2016/09/relationships/commentsIds" Target="commentsIds.xml"/><Relationship Id="rId2" Type="http://schemas.openxmlformats.org/officeDocument/2006/relationships/styles" Target="styles.xml"/><Relationship Id="rId16" Type="http://schemas.openxmlformats.org/officeDocument/2006/relationships/hyperlink" Target="https://www.waternsw.com.au/water-quality/algae" TargetMode="External"/><Relationship Id="rId20" Type="http://schemas.openxmlformats.org/officeDocument/2006/relationships/image" Target="media/image5.png"/><Relationship Id="rId29" Type="http://schemas.openxmlformats.org/officeDocument/2006/relationships/chart" Target="charts/chart5.xml"/><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hart" Target="charts/chart2.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chart" Target="charts/chart4.xml"/><Relationship Id="rId36" Type="http://schemas.openxmlformats.org/officeDocument/2006/relationships/image" Target="media/image15.jpeg"/><Relationship Id="rId49" Type="http://schemas.openxmlformats.org/officeDocument/2006/relationships/chart" Target="charts/chart10.xml"/><Relationship Id="rId57" Type="http://schemas.openxmlformats.org/officeDocument/2006/relationships/footer" Target="footer5.xml"/><Relationship Id="rId61"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chart" Target="charts/chart7.xml"/><Relationship Id="rId44" Type="http://schemas.openxmlformats.org/officeDocument/2006/relationships/image" Target="media/image22.jpeg"/><Relationship Id="rId52" Type="http://schemas.openxmlformats.org/officeDocument/2006/relationships/image" Target="media/image27.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chart" Target="charts/chart6.xml"/><Relationship Id="rId35" Type="http://schemas.openxmlformats.org/officeDocument/2006/relationships/image" Target="media/image14.jpe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header" Target="header5.xml"/><Relationship Id="rId8" Type="http://schemas.openxmlformats.org/officeDocument/2006/relationships/header" Target="header2.xml"/><Relationship Id="rId51"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chart" Target="charts/chart3.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chart" Target="charts/chart9.xml"/><Relationship Id="rId59"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3" Type="http://schemas.openxmlformats.org/officeDocument/2006/relationships/oleObject" Target="file:///\\tts901fs1.tt.local\netsuite\Projects\19ARM\12559%20CEWO%20Barwon%20Darling%20WQ%20sampling\Fieldwork\Feild%20trip%20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tts901fs1.tt.local\netsuite\Projects\19ARM\12559%20CEWO%20Barwon%20Darling%20WQ%20sampling\Fieldwork\Feild%20trip%20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tts901fs1.tt.local\netsuite\Projects\19ARM\12559%20CEWO%20Barwon%20Darling%20WQ%20sampling\Fieldwork\Colli%20weir%20pool\Colli%20weirpool%20WQ.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tts901fs1.tt.local\netsuite\Projects\19ARM\12559%20CEWO%20Barwon%20Darling%20WQ%20sampling\Fieldwork\Colli%20weir%20pool\Colli%20weirpool%20WQ.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oleObject" Target="file:///\\tts901fs1.tt.local\netsuite\Projects\19ARM\12559%20CEWO%20Barwon%20Darling%20WQ%20sampling\Fieldwork\Feild%20trip%201.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_rels/chart8.xml.rels><?xml version="1.0" encoding="UTF-8" standalone="yes"?>
<Relationships xmlns="http://schemas.openxmlformats.org/package/2006/relationships"><Relationship Id="rId3" Type="http://schemas.openxmlformats.org/officeDocument/2006/relationships/oleObject" Target="file:///\\tts901fs1.tt.local\netsuite\Projects\19ARM\12559%20CEWO%20Barwon%20Darling%20WQ%20sampling\Fieldwork\Colli%20weir%20pool\Colli%20weirpool%20WQ%20with%20distanc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southw2\Documents\ELA%20projects\12559%20CEWO%20Barwon%20Darling%20WQ%20sampling\Flow%20data\Allgauges%20total%20flow.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Sheet1!$B$1</c:f>
              <c:strCache>
                <c:ptCount val="1"/>
                <c:pt idx="0">
                  <c:v>Mungindi</c:v>
                </c:pt>
              </c:strCache>
            </c:strRef>
          </c:tx>
          <c:spPr>
            <a:ln w="19050" cap="rnd">
              <a:solidFill>
                <a:schemeClr val="accent1"/>
              </a:solidFill>
              <a:round/>
            </a:ln>
            <a:effectLst/>
          </c:spPr>
          <c:marker>
            <c:symbol val="none"/>
          </c:marker>
          <c:xVal>
            <c:numRef>
              <c:f>Sheet1!$A$2:$A$180</c:f>
              <c:numCache>
                <c:formatCode>m\/d\/yyyy</c:formatCode>
                <c:ptCount val="179"/>
                <c:pt idx="0">
                  <c:v>43525</c:v>
                </c:pt>
                <c:pt idx="1">
                  <c:v>43526</c:v>
                </c:pt>
                <c:pt idx="2">
                  <c:v>43527</c:v>
                </c:pt>
                <c:pt idx="3">
                  <c:v>43528</c:v>
                </c:pt>
                <c:pt idx="4">
                  <c:v>43529</c:v>
                </c:pt>
                <c:pt idx="5">
                  <c:v>43530</c:v>
                </c:pt>
                <c:pt idx="6">
                  <c:v>43531</c:v>
                </c:pt>
                <c:pt idx="7">
                  <c:v>43532</c:v>
                </c:pt>
                <c:pt idx="8">
                  <c:v>43533</c:v>
                </c:pt>
                <c:pt idx="9">
                  <c:v>43534</c:v>
                </c:pt>
                <c:pt idx="10">
                  <c:v>43535</c:v>
                </c:pt>
                <c:pt idx="11">
                  <c:v>43536</c:v>
                </c:pt>
                <c:pt idx="12">
                  <c:v>43537</c:v>
                </c:pt>
                <c:pt idx="13">
                  <c:v>43538</c:v>
                </c:pt>
                <c:pt idx="14">
                  <c:v>43539</c:v>
                </c:pt>
                <c:pt idx="15">
                  <c:v>43540</c:v>
                </c:pt>
                <c:pt idx="16">
                  <c:v>43541</c:v>
                </c:pt>
                <c:pt idx="17">
                  <c:v>43542</c:v>
                </c:pt>
                <c:pt idx="18">
                  <c:v>43543</c:v>
                </c:pt>
                <c:pt idx="19">
                  <c:v>43544</c:v>
                </c:pt>
                <c:pt idx="20">
                  <c:v>43545</c:v>
                </c:pt>
                <c:pt idx="21">
                  <c:v>43546</c:v>
                </c:pt>
                <c:pt idx="22">
                  <c:v>43547</c:v>
                </c:pt>
                <c:pt idx="23">
                  <c:v>43548</c:v>
                </c:pt>
                <c:pt idx="24">
                  <c:v>43549</c:v>
                </c:pt>
                <c:pt idx="25">
                  <c:v>43550</c:v>
                </c:pt>
                <c:pt idx="26">
                  <c:v>43551</c:v>
                </c:pt>
                <c:pt idx="27">
                  <c:v>43552</c:v>
                </c:pt>
                <c:pt idx="28">
                  <c:v>43553</c:v>
                </c:pt>
                <c:pt idx="29">
                  <c:v>43554</c:v>
                </c:pt>
                <c:pt idx="30">
                  <c:v>43555</c:v>
                </c:pt>
                <c:pt idx="31">
                  <c:v>43556</c:v>
                </c:pt>
                <c:pt idx="32">
                  <c:v>43557</c:v>
                </c:pt>
                <c:pt idx="33">
                  <c:v>43558</c:v>
                </c:pt>
                <c:pt idx="34">
                  <c:v>43559</c:v>
                </c:pt>
                <c:pt idx="35">
                  <c:v>43560</c:v>
                </c:pt>
                <c:pt idx="36">
                  <c:v>43561</c:v>
                </c:pt>
                <c:pt idx="37">
                  <c:v>43562</c:v>
                </c:pt>
                <c:pt idx="38">
                  <c:v>43563</c:v>
                </c:pt>
                <c:pt idx="39">
                  <c:v>43564</c:v>
                </c:pt>
                <c:pt idx="40">
                  <c:v>43565</c:v>
                </c:pt>
                <c:pt idx="41">
                  <c:v>43566</c:v>
                </c:pt>
                <c:pt idx="42">
                  <c:v>43567</c:v>
                </c:pt>
                <c:pt idx="43">
                  <c:v>43568</c:v>
                </c:pt>
                <c:pt idx="44">
                  <c:v>43569</c:v>
                </c:pt>
                <c:pt idx="45">
                  <c:v>43570</c:v>
                </c:pt>
                <c:pt idx="46">
                  <c:v>43571</c:v>
                </c:pt>
                <c:pt idx="47">
                  <c:v>43572</c:v>
                </c:pt>
                <c:pt idx="48">
                  <c:v>43573</c:v>
                </c:pt>
                <c:pt idx="49">
                  <c:v>43574</c:v>
                </c:pt>
                <c:pt idx="50">
                  <c:v>43575</c:v>
                </c:pt>
                <c:pt idx="51">
                  <c:v>43576</c:v>
                </c:pt>
                <c:pt idx="52">
                  <c:v>43577</c:v>
                </c:pt>
                <c:pt idx="53">
                  <c:v>43578</c:v>
                </c:pt>
                <c:pt idx="54">
                  <c:v>43579</c:v>
                </c:pt>
                <c:pt idx="55">
                  <c:v>43580</c:v>
                </c:pt>
                <c:pt idx="56">
                  <c:v>43581</c:v>
                </c:pt>
                <c:pt idx="57">
                  <c:v>43582</c:v>
                </c:pt>
                <c:pt idx="58">
                  <c:v>43583</c:v>
                </c:pt>
                <c:pt idx="59">
                  <c:v>43584</c:v>
                </c:pt>
                <c:pt idx="60">
                  <c:v>43585</c:v>
                </c:pt>
                <c:pt idx="61">
                  <c:v>43586</c:v>
                </c:pt>
                <c:pt idx="62">
                  <c:v>43587</c:v>
                </c:pt>
                <c:pt idx="63">
                  <c:v>43588</c:v>
                </c:pt>
                <c:pt idx="64">
                  <c:v>43589</c:v>
                </c:pt>
                <c:pt idx="65">
                  <c:v>43590</c:v>
                </c:pt>
                <c:pt idx="66">
                  <c:v>43591</c:v>
                </c:pt>
                <c:pt idx="67">
                  <c:v>43592</c:v>
                </c:pt>
                <c:pt idx="68">
                  <c:v>43593</c:v>
                </c:pt>
                <c:pt idx="69">
                  <c:v>43594</c:v>
                </c:pt>
                <c:pt idx="70">
                  <c:v>43595</c:v>
                </c:pt>
                <c:pt idx="71">
                  <c:v>43596</c:v>
                </c:pt>
                <c:pt idx="72">
                  <c:v>43597</c:v>
                </c:pt>
                <c:pt idx="73">
                  <c:v>43598</c:v>
                </c:pt>
                <c:pt idx="74">
                  <c:v>43599</c:v>
                </c:pt>
                <c:pt idx="75">
                  <c:v>43600</c:v>
                </c:pt>
                <c:pt idx="76">
                  <c:v>43601</c:v>
                </c:pt>
                <c:pt idx="77">
                  <c:v>43602</c:v>
                </c:pt>
                <c:pt idx="78">
                  <c:v>43603</c:v>
                </c:pt>
                <c:pt idx="79">
                  <c:v>43604</c:v>
                </c:pt>
                <c:pt idx="80">
                  <c:v>43605</c:v>
                </c:pt>
                <c:pt idx="81">
                  <c:v>43606</c:v>
                </c:pt>
                <c:pt idx="82">
                  <c:v>43607</c:v>
                </c:pt>
                <c:pt idx="83">
                  <c:v>43608</c:v>
                </c:pt>
                <c:pt idx="84">
                  <c:v>43609</c:v>
                </c:pt>
                <c:pt idx="85">
                  <c:v>43610</c:v>
                </c:pt>
                <c:pt idx="86">
                  <c:v>43611</c:v>
                </c:pt>
                <c:pt idx="87">
                  <c:v>43612</c:v>
                </c:pt>
                <c:pt idx="88">
                  <c:v>43613</c:v>
                </c:pt>
                <c:pt idx="89">
                  <c:v>43614</c:v>
                </c:pt>
                <c:pt idx="90">
                  <c:v>43615</c:v>
                </c:pt>
                <c:pt idx="91">
                  <c:v>43616</c:v>
                </c:pt>
                <c:pt idx="92">
                  <c:v>43617</c:v>
                </c:pt>
                <c:pt idx="93">
                  <c:v>43618</c:v>
                </c:pt>
                <c:pt idx="94">
                  <c:v>43619</c:v>
                </c:pt>
                <c:pt idx="95">
                  <c:v>43620</c:v>
                </c:pt>
                <c:pt idx="96">
                  <c:v>43621</c:v>
                </c:pt>
                <c:pt idx="97">
                  <c:v>43622</c:v>
                </c:pt>
                <c:pt idx="98">
                  <c:v>43623</c:v>
                </c:pt>
                <c:pt idx="99">
                  <c:v>43624</c:v>
                </c:pt>
                <c:pt idx="100">
                  <c:v>43625</c:v>
                </c:pt>
                <c:pt idx="101">
                  <c:v>43626</c:v>
                </c:pt>
                <c:pt idx="102">
                  <c:v>43627</c:v>
                </c:pt>
                <c:pt idx="103">
                  <c:v>43628</c:v>
                </c:pt>
                <c:pt idx="104">
                  <c:v>43629</c:v>
                </c:pt>
                <c:pt idx="105">
                  <c:v>43630</c:v>
                </c:pt>
                <c:pt idx="106">
                  <c:v>43631</c:v>
                </c:pt>
                <c:pt idx="107">
                  <c:v>43632</c:v>
                </c:pt>
                <c:pt idx="108">
                  <c:v>43633</c:v>
                </c:pt>
                <c:pt idx="109">
                  <c:v>43634</c:v>
                </c:pt>
                <c:pt idx="110">
                  <c:v>43635</c:v>
                </c:pt>
                <c:pt idx="111">
                  <c:v>43636</c:v>
                </c:pt>
                <c:pt idx="112">
                  <c:v>43637</c:v>
                </c:pt>
                <c:pt idx="113">
                  <c:v>43638</c:v>
                </c:pt>
                <c:pt idx="114">
                  <c:v>43639</c:v>
                </c:pt>
                <c:pt idx="115">
                  <c:v>43640</c:v>
                </c:pt>
                <c:pt idx="116">
                  <c:v>43641</c:v>
                </c:pt>
                <c:pt idx="117">
                  <c:v>43642</c:v>
                </c:pt>
                <c:pt idx="118">
                  <c:v>43643</c:v>
                </c:pt>
                <c:pt idx="119">
                  <c:v>43644</c:v>
                </c:pt>
                <c:pt idx="120">
                  <c:v>43645</c:v>
                </c:pt>
                <c:pt idx="121">
                  <c:v>43646</c:v>
                </c:pt>
                <c:pt idx="122">
                  <c:v>43647</c:v>
                </c:pt>
                <c:pt idx="123">
                  <c:v>43648</c:v>
                </c:pt>
                <c:pt idx="124">
                  <c:v>43649</c:v>
                </c:pt>
                <c:pt idx="125">
                  <c:v>43650</c:v>
                </c:pt>
                <c:pt idx="126">
                  <c:v>43651</c:v>
                </c:pt>
                <c:pt idx="127">
                  <c:v>43652</c:v>
                </c:pt>
                <c:pt idx="128">
                  <c:v>43653</c:v>
                </c:pt>
                <c:pt idx="129">
                  <c:v>43654</c:v>
                </c:pt>
                <c:pt idx="130">
                  <c:v>43655</c:v>
                </c:pt>
                <c:pt idx="131">
                  <c:v>43656</c:v>
                </c:pt>
                <c:pt idx="132">
                  <c:v>43657</c:v>
                </c:pt>
                <c:pt idx="133">
                  <c:v>43658</c:v>
                </c:pt>
                <c:pt idx="134">
                  <c:v>43659</c:v>
                </c:pt>
                <c:pt idx="135">
                  <c:v>43660</c:v>
                </c:pt>
                <c:pt idx="136">
                  <c:v>43661</c:v>
                </c:pt>
                <c:pt idx="137">
                  <c:v>43662</c:v>
                </c:pt>
                <c:pt idx="138">
                  <c:v>43663</c:v>
                </c:pt>
                <c:pt idx="139">
                  <c:v>43664</c:v>
                </c:pt>
                <c:pt idx="140">
                  <c:v>43665</c:v>
                </c:pt>
                <c:pt idx="141">
                  <c:v>43666</c:v>
                </c:pt>
                <c:pt idx="142">
                  <c:v>43667</c:v>
                </c:pt>
                <c:pt idx="143">
                  <c:v>43668</c:v>
                </c:pt>
                <c:pt idx="144">
                  <c:v>43669</c:v>
                </c:pt>
                <c:pt idx="145">
                  <c:v>43670</c:v>
                </c:pt>
                <c:pt idx="146">
                  <c:v>43671</c:v>
                </c:pt>
                <c:pt idx="147">
                  <c:v>43672</c:v>
                </c:pt>
                <c:pt idx="148">
                  <c:v>43673</c:v>
                </c:pt>
                <c:pt idx="149">
                  <c:v>43674</c:v>
                </c:pt>
                <c:pt idx="150">
                  <c:v>43675</c:v>
                </c:pt>
                <c:pt idx="151">
                  <c:v>43676</c:v>
                </c:pt>
                <c:pt idx="152">
                  <c:v>43677</c:v>
                </c:pt>
                <c:pt idx="153">
                  <c:v>43678</c:v>
                </c:pt>
                <c:pt idx="154">
                  <c:v>43679</c:v>
                </c:pt>
                <c:pt idx="155">
                  <c:v>43680</c:v>
                </c:pt>
                <c:pt idx="156">
                  <c:v>43681</c:v>
                </c:pt>
                <c:pt idx="157">
                  <c:v>43682</c:v>
                </c:pt>
                <c:pt idx="158">
                  <c:v>43683</c:v>
                </c:pt>
                <c:pt idx="159">
                  <c:v>43684</c:v>
                </c:pt>
                <c:pt idx="160">
                  <c:v>43685</c:v>
                </c:pt>
                <c:pt idx="161">
                  <c:v>43686</c:v>
                </c:pt>
                <c:pt idx="162">
                  <c:v>43687</c:v>
                </c:pt>
                <c:pt idx="163">
                  <c:v>43688</c:v>
                </c:pt>
                <c:pt idx="164">
                  <c:v>43689</c:v>
                </c:pt>
                <c:pt idx="165">
                  <c:v>43690</c:v>
                </c:pt>
                <c:pt idx="166">
                  <c:v>43691</c:v>
                </c:pt>
                <c:pt idx="167">
                  <c:v>43692</c:v>
                </c:pt>
                <c:pt idx="168">
                  <c:v>43693</c:v>
                </c:pt>
                <c:pt idx="169">
                  <c:v>43694</c:v>
                </c:pt>
                <c:pt idx="170">
                  <c:v>43695</c:v>
                </c:pt>
                <c:pt idx="171">
                  <c:v>43696</c:v>
                </c:pt>
                <c:pt idx="172">
                  <c:v>43697</c:v>
                </c:pt>
                <c:pt idx="173">
                  <c:v>43698</c:v>
                </c:pt>
                <c:pt idx="174">
                  <c:v>43699</c:v>
                </c:pt>
                <c:pt idx="175">
                  <c:v>43700</c:v>
                </c:pt>
                <c:pt idx="176">
                  <c:v>43701</c:v>
                </c:pt>
                <c:pt idx="177">
                  <c:v>43702</c:v>
                </c:pt>
                <c:pt idx="178">
                  <c:v>43703</c:v>
                </c:pt>
              </c:numCache>
            </c:numRef>
          </c:xVal>
          <c:yVal>
            <c:numRef>
              <c:f>Sheet1!$B$2:$B$180</c:f>
              <c:numCache>
                <c:formatCode>General</c:formatCode>
                <c:ptCount val="179"/>
                <c:pt idx="0">
                  <c:v>6.577</c:v>
                </c:pt>
                <c:pt idx="1">
                  <c:v>4.2469999999999999</c:v>
                </c:pt>
                <c:pt idx="2">
                  <c:v>2.7149999999999999</c:v>
                </c:pt>
                <c:pt idx="3">
                  <c:v>1.036</c:v>
                </c:pt>
                <c:pt idx="4">
                  <c:v>0.20399999999999999</c:v>
                </c:pt>
                <c:pt idx="5">
                  <c:v>2E-3</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30.367999999999999</c:v>
                </c:pt>
                <c:pt idx="27">
                  <c:v>190.34</c:v>
                </c:pt>
                <c:pt idx="28">
                  <c:v>158.471</c:v>
                </c:pt>
                <c:pt idx="29">
                  <c:v>120.05</c:v>
                </c:pt>
                <c:pt idx="30">
                  <c:v>79.176000000000002</c:v>
                </c:pt>
                <c:pt idx="31">
                  <c:v>55.552</c:v>
                </c:pt>
                <c:pt idx="32">
                  <c:v>41.204999999999998</c:v>
                </c:pt>
                <c:pt idx="33">
                  <c:v>32.058</c:v>
                </c:pt>
                <c:pt idx="34">
                  <c:v>25.835000000000001</c:v>
                </c:pt>
                <c:pt idx="35">
                  <c:v>21.302</c:v>
                </c:pt>
                <c:pt idx="36">
                  <c:v>18.663</c:v>
                </c:pt>
                <c:pt idx="37">
                  <c:v>16.908000000000001</c:v>
                </c:pt>
                <c:pt idx="38">
                  <c:v>17.463000000000001</c:v>
                </c:pt>
                <c:pt idx="39">
                  <c:v>18.814</c:v>
                </c:pt>
                <c:pt idx="40">
                  <c:v>18.536999999999999</c:v>
                </c:pt>
                <c:pt idx="41">
                  <c:v>17.806000000000001</c:v>
                </c:pt>
                <c:pt idx="42">
                  <c:v>15.435</c:v>
                </c:pt>
                <c:pt idx="43">
                  <c:v>15.266</c:v>
                </c:pt>
                <c:pt idx="44">
                  <c:v>17.277999999999999</c:v>
                </c:pt>
                <c:pt idx="45">
                  <c:v>18.716999999999999</c:v>
                </c:pt>
                <c:pt idx="46">
                  <c:v>17.588999999999999</c:v>
                </c:pt>
                <c:pt idx="47">
                  <c:v>16.318999999999999</c:v>
                </c:pt>
                <c:pt idx="48">
                  <c:v>15.590999999999999</c:v>
                </c:pt>
                <c:pt idx="49">
                  <c:v>13.587999999999999</c:v>
                </c:pt>
                <c:pt idx="50">
                  <c:v>12.840999999999999</c:v>
                </c:pt>
                <c:pt idx="51">
                  <c:v>11.404</c:v>
                </c:pt>
                <c:pt idx="52">
                  <c:v>11.722</c:v>
                </c:pt>
                <c:pt idx="53">
                  <c:v>12.864000000000001</c:v>
                </c:pt>
                <c:pt idx="54">
                  <c:v>19.152999999999999</c:v>
                </c:pt>
                <c:pt idx="55">
                  <c:v>20.553999999999998</c:v>
                </c:pt>
                <c:pt idx="56">
                  <c:v>16.675999999999998</c:v>
                </c:pt>
                <c:pt idx="57">
                  <c:v>8.1579999999999995</c:v>
                </c:pt>
                <c:pt idx="58">
                  <c:v>3.22</c:v>
                </c:pt>
                <c:pt idx="59">
                  <c:v>1.4490000000000001</c:v>
                </c:pt>
                <c:pt idx="60">
                  <c:v>0.57699999999999996</c:v>
                </c:pt>
                <c:pt idx="61">
                  <c:v>0.15</c:v>
                </c:pt>
                <c:pt idx="62">
                  <c:v>2.1000000000000001E-2</c:v>
                </c:pt>
                <c:pt idx="63">
                  <c:v>0</c:v>
                </c:pt>
                <c:pt idx="64">
                  <c:v>0.12</c:v>
                </c:pt>
                <c:pt idx="65">
                  <c:v>2.8000000000000001E-2</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64.081999999999994</c:v>
                </c:pt>
                <c:pt idx="84">
                  <c:v>155.404</c:v>
                </c:pt>
                <c:pt idx="85">
                  <c:v>145.25800000000001</c:v>
                </c:pt>
                <c:pt idx="86">
                  <c:v>125.41500000000001</c:v>
                </c:pt>
                <c:pt idx="87">
                  <c:v>108.506</c:v>
                </c:pt>
                <c:pt idx="88">
                  <c:v>95.177999999999997</c:v>
                </c:pt>
                <c:pt idx="89">
                  <c:v>80.528000000000006</c:v>
                </c:pt>
                <c:pt idx="90">
                  <c:v>60.811</c:v>
                </c:pt>
                <c:pt idx="91">
                  <c:v>50.991</c:v>
                </c:pt>
                <c:pt idx="92">
                  <c:v>44.186999999999998</c:v>
                </c:pt>
                <c:pt idx="93">
                  <c:v>40.619</c:v>
                </c:pt>
                <c:pt idx="94">
                  <c:v>35.875999999999998</c:v>
                </c:pt>
                <c:pt idx="95">
                  <c:v>30.550999999999998</c:v>
                </c:pt>
                <c:pt idx="96">
                  <c:v>26.202000000000002</c:v>
                </c:pt>
                <c:pt idx="97">
                  <c:v>22.626000000000001</c:v>
                </c:pt>
                <c:pt idx="98">
                  <c:v>19.664999999999999</c:v>
                </c:pt>
                <c:pt idx="99">
                  <c:v>17.757999999999999</c:v>
                </c:pt>
                <c:pt idx="100">
                  <c:v>17.283000000000001</c:v>
                </c:pt>
                <c:pt idx="101">
                  <c:v>16.364000000000001</c:v>
                </c:pt>
                <c:pt idx="102">
                  <c:v>13.202</c:v>
                </c:pt>
                <c:pt idx="103">
                  <c:v>11.766</c:v>
                </c:pt>
                <c:pt idx="104">
                  <c:v>9.9990000000000006</c:v>
                </c:pt>
                <c:pt idx="105">
                  <c:v>8.7910000000000004</c:v>
                </c:pt>
                <c:pt idx="106">
                  <c:v>8.09</c:v>
                </c:pt>
                <c:pt idx="107">
                  <c:v>7.2690000000000001</c:v>
                </c:pt>
                <c:pt idx="108">
                  <c:v>6.4080000000000004</c:v>
                </c:pt>
                <c:pt idx="109">
                  <c:v>5.8230000000000004</c:v>
                </c:pt>
                <c:pt idx="110">
                  <c:v>4.9859999999999998</c:v>
                </c:pt>
                <c:pt idx="111">
                  <c:v>4.4130000000000003</c:v>
                </c:pt>
                <c:pt idx="112">
                  <c:v>3.5129999999999999</c:v>
                </c:pt>
                <c:pt idx="113">
                  <c:v>2.8839999999999999</c:v>
                </c:pt>
                <c:pt idx="114">
                  <c:v>2.2949999999999999</c:v>
                </c:pt>
                <c:pt idx="115">
                  <c:v>1.69</c:v>
                </c:pt>
                <c:pt idx="116">
                  <c:v>1.028</c:v>
                </c:pt>
                <c:pt idx="117">
                  <c:v>0.61199999999999999</c:v>
                </c:pt>
                <c:pt idx="118">
                  <c:v>0.25900000000000001</c:v>
                </c:pt>
                <c:pt idx="119">
                  <c:v>9.1999999999999998E-2</c:v>
                </c:pt>
                <c:pt idx="120">
                  <c:v>1.4999999999999999E-2</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numCache>
            </c:numRef>
          </c:yVal>
          <c:smooth val="1"/>
          <c:extLst xmlns:c16r2="http://schemas.microsoft.com/office/drawing/2015/06/chart">
            <c:ext xmlns:c16="http://schemas.microsoft.com/office/drawing/2014/chart" uri="{C3380CC4-5D6E-409C-BE32-E72D297353CC}">
              <c16:uniqueId val="{00000000-3F1A-4E18-AA08-29CD7D7C6E3A}"/>
            </c:ext>
          </c:extLst>
        </c:ser>
        <c:ser>
          <c:idx val="1"/>
          <c:order val="1"/>
          <c:tx>
            <c:strRef>
              <c:f>Sheet1!$C$1</c:f>
              <c:strCache>
                <c:ptCount val="1"/>
                <c:pt idx="0">
                  <c:v>Collarenebri</c:v>
                </c:pt>
              </c:strCache>
            </c:strRef>
          </c:tx>
          <c:spPr>
            <a:ln w="19050" cap="rnd">
              <a:solidFill>
                <a:schemeClr val="accent2"/>
              </a:solidFill>
              <a:round/>
            </a:ln>
            <a:effectLst/>
          </c:spPr>
          <c:marker>
            <c:symbol val="none"/>
          </c:marker>
          <c:xVal>
            <c:numRef>
              <c:f>Sheet1!$A$2:$A$180</c:f>
              <c:numCache>
                <c:formatCode>m\/d\/yyyy</c:formatCode>
                <c:ptCount val="179"/>
                <c:pt idx="0">
                  <c:v>43525</c:v>
                </c:pt>
                <c:pt idx="1">
                  <c:v>43526</c:v>
                </c:pt>
                <c:pt idx="2">
                  <c:v>43527</c:v>
                </c:pt>
                <c:pt idx="3">
                  <c:v>43528</c:v>
                </c:pt>
                <c:pt idx="4">
                  <c:v>43529</c:v>
                </c:pt>
                <c:pt idx="5">
                  <c:v>43530</c:v>
                </c:pt>
                <c:pt idx="6">
                  <c:v>43531</c:v>
                </c:pt>
                <c:pt idx="7">
                  <c:v>43532</c:v>
                </c:pt>
                <c:pt idx="8">
                  <c:v>43533</c:v>
                </c:pt>
                <c:pt idx="9">
                  <c:v>43534</c:v>
                </c:pt>
                <c:pt idx="10">
                  <c:v>43535</c:v>
                </c:pt>
                <c:pt idx="11">
                  <c:v>43536</c:v>
                </c:pt>
                <c:pt idx="12">
                  <c:v>43537</c:v>
                </c:pt>
                <c:pt idx="13">
                  <c:v>43538</c:v>
                </c:pt>
                <c:pt idx="14">
                  <c:v>43539</c:v>
                </c:pt>
                <c:pt idx="15">
                  <c:v>43540</c:v>
                </c:pt>
                <c:pt idx="16">
                  <c:v>43541</c:v>
                </c:pt>
                <c:pt idx="17">
                  <c:v>43542</c:v>
                </c:pt>
                <c:pt idx="18">
                  <c:v>43543</c:v>
                </c:pt>
                <c:pt idx="19">
                  <c:v>43544</c:v>
                </c:pt>
                <c:pt idx="20">
                  <c:v>43545</c:v>
                </c:pt>
                <c:pt idx="21">
                  <c:v>43546</c:v>
                </c:pt>
                <c:pt idx="22">
                  <c:v>43547</c:v>
                </c:pt>
                <c:pt idx="23">
                  <c:v>43548</c:v>
                </c:pt>
                <c:pt idx="24">
                  <c:v>43549</c:v>
                </c:pt>
                <c:pt idx="25">
                  <c:v>43550</c:v>
                </c:pt>
                <c:pt idx="26">
                  <c:v>43551</c:v>
                </c:pt>
                <c:pt idx="27">
                  <c:v>43552</c:v>
                </c:pt>
                <c:pt idx="28">
                  <c:v>43553</c:v>
                </c:pt>
                <c:pt idx="29">
                  <c:v>43554</c:v>
                </c:pt>
                <c:pt idx="30">
                  <c:v>43555</c:v>
                </c:pt>
                <c:pt idx="31">
                  <c:v>43556</c:v>
                </c:pt>
                <c:pt idx="32">
                  <c:v>43557</c:v>
                </c:pt>
                <c:pt idx="33">
                  <c:v>43558</c:v>
                </c:pt>
                <c:pt idx="34">
                  <c:v>43559</c:v>
                </c:pt>
                <c:pt idx="35">
                  <c:v>43560</c:v>
                </c:pt>
                <c:pt idx="36">
                  <c:v>43561</c:v>
                </c:pt>
                <c:pt idx="37">
                  <c:v>43562</c:v>
                </c:pt>
                <c:pt idx="38">
                  <c:v>43563</c:v>
                </c:pt>
                <c:pt idx="39">
                  <c:v>43564</c:v>
                </c:pt>
                <c:pt idx="40">
                  <c:v>43565</c:v>
                </c:pt>
                <c:pt idx="41">
                  <c:v>43566</c:v>
                </c:pt>
                <c:pt idx="42">
                  <c:v>43567</c:v>
                </c:pt>
                <c:pt idx="43">
                  <c:v>43568</c:v>
                </c:pt>
                <c:pt idx="44">
                  <c:v>43569</c:v>
                </c:pt>
                <c:pt idx="45">
                  <c:v>43570</c:v>
                </c:pt>
                <c:pt idx="46">
                  <c:v>43571</c:v>
                </c:pt>
                <c:pt idx="47">
                  <c:v>43572</c:v>
                </c:pt>
                <c:pt idx="48">
                  <c:v>43573</c:v>
                </c:pt>
                <c:pt idx="49">
                  <c:v>43574</c:v>
                </c:pt>
                <c:pt idx="50">
                  <c:v>43575</c:v>
                </c:pt>
                <c:pt idx="51">
                  <c:v>43576</c:v>
                </c:pt>
                <c:pt idx="52">
                  <c:v>43577</c:v>
                </c:pt>
                <c:pt idx="53">
                  <c:v>43578</c:v>
                </c:pt>
                <c:pt idx="54">
                  <c:v>43579</c:v>
                </c:pt>
                <c:pt idx="55">
                  <c:v>43580</c:v>
                </c:pt>
                <c:pt idx="56">
                  <c:v>43581</c:v>
                </c:pt>
                <c:pt idx="57">
                  <c:v>43582</c:v>
                </c:pt>
                <c:pt idx="58">
                  <c:v>43583</c:v>
                </c:pt>
                <c:pt idx="59">
                  <c:v>43584</c:v>
                </c:pt>
                <c:pt idx="60">
                  <c:v>43585</c:v>
                </c:pt>
                <c:pt idx="61">
                  <c:v>43586</c:v>
                </c:pt>
                <c:pt idx="62">
                  <c:v>43587</c:v>
                </c:pt>
                <c:pt idx="63">
                  <c:v>43588</c:v>
                </c:pt>
                <c:pt idx="64">
                  <c:v>43589</c:v>
                </c:pt>
                <c:pt idx="65">
                  <c:v>43590</c:v>
                </c:pt>
                <c:pt idx="66">
                  <c:v>43591</c:v>
                </c:pt>
                <c:pt idx="67">
                  <c:v>43592</c:v>
                </c:pt>
                <c:pt idx="68">
                  <c:v>43593</c:v>
                </c:pt>
                <c:pt idx="69">
                  <c:v>43594</c:v>
                </c:pt>
                <c:pt idx="70">
                  <c:v>43595</c:v>
                </c:pt>
                <c:pt idx="71">
                  <c:v>43596</c:v>
                </c:pt>
                <c:pt idx="72">
                  <c:v>43597</c:v>
                </c:pt>
                <c:pt idx="73">
                  <c:v>43598</c:v>
                </c:pt>
                <c:pt idx="74">
                  <c:v>43599</c:v>
                </c:pt>
                <c:pt idx="75">
                  <c:v>43600</c:v>
                </c:pt>
                <c:pt idx="76">
                  <c:v>43601</c:v>
                </c:pt>
                <c:pt idx="77">
                  <c:v>43602</c:v>
                </c:pt>
                <c:pt idx="78">
                  <c:v>43603</c:v>
                </c:pt>
                <c:pt idx="79">
                  <c:v>43604</c:v>
                </c:pt>
                <c:pt idx="80">
                  <c:v>43605</c:v>
                </c:pt>
                <c:pt idx="81">
                  <c:v>43606</c:v>
                </c:pt>
                <c:pt idx="82">
                  <c:v>43607</c:v>
                </c:pt>
                <c:pt idx="83">
                  <c:v>43608</c:v>
                </c:pt>
                <c:pt idx="84">
                  <c:v>43609</c:v>
                </c:pt>
                <c:pt idx="85">
                  <c:v>43610</c:v>
                </c:pt>
                <c:pt idx="86">
                  <c:v>43611</c:v>
                </c:pt>
                <c:pt idx="87">
                  <c:v>43612</c:v>
                </c:pt>
                <c:pt idx="88">
                  <c:v>43613</c:v>
                </c:pt>
                <c:pt idx="89">
                  <c:v>43614</c:v>
                </c:pt>
                <c:pt idx="90">
                  <c:v>43615</c:v>
                </c:pt>
                <c:pt idx="91">
                  <c:v>43616</c:v>
                </c:pt>
                <c:pt idx="92">
                  <c:v>43617</c:v>
                </c:pt>
                <c:pt idx="93">
                  <c:v>43618</c:v>
                </c:pt>
                <c:pt idx="94">
                  <c:v>43619</c:v>
                </c:pt>
                <c:pt idx="95">
                  <c:v>43620</c:v>
                </c:pt>
                <c:pt idx="96">
                  <c:v>43621</c:v>
                </c:pt>
                <c:pt idx="97">
                  <c:v>43622</c:v>
                </c:pt>
                <c:pt idx="98">
                  <c:v>43623</c:v>
                </c:pt>
                <c:pt idx="99">
                  <c:v>43624</c:v>
                </c:pt>
                <c:pt idx="100">
                  <c:v>43625</c:v>
                </c:pt>
                <c:pt idx="101">
                  <c:v>43626</c:v>
                </c:pt>
                <c:pt idx="102">
                  <c:v>43627</c:v>
                </c:pt>
                <c:pt idx="103">
                  <c:v>43628</c:v>
                </c:pt>
                <c:pt idx="104">
                  <c:v>43629</c:v>
                </c:pt>
                <c:pt idx="105">
                  <c:v>43630</c:v>
                </c:pt>
                <c:pt idx="106">
                  <c:v>43631</c:v>
                </c:pt>
                <c:pt idx="107">
                  <c:v>43632</c:v>
                </c:pt>
                <c:pt idx="108">
                  <c:v>43633</c:v>
                </c:pt>
                <c:pt idx="109">
                  <c:v>43634</c:v>
                </c:pt>
                <c:pt idx="110">
                  <c:v>43635</c:v>
                </c:pt>
                <c:pt idx="111">
                  <c:v>43636</c:v>
                </c:pt>
                <c:pt idx="112">
                  <c:v>43637</c:v>
                </c:pt>
                <c:pt idx="113">
                  <c:v>43638</c:v>
                </c:pt>
                <c:pt idx="114">
                  <c:v>43639</c:v>
                </c:pt>
                <c:pt idx="115">
                  <c:v>43640</c:v>
                </c:pt>
                <c:pt idx="116">
                  <c:v>43641</c:v>
                </c:pt>
                <c:pt idx="117">
                  <c:v>43642</c:v>
                </c:pt>
                <c:pt idx="118">
                  <c:v>43643</c:v>
                </c:pt>
                <c:pt idx="119">
                  <c:v>43644</c:v>
                </c:pt>
                <c:pt idx="120">
                  <c:v>43645</c:v>
                </c:pt>
                <c:pt idx="121">
                  <c:v>43646</c:v>
                </c:pt>
                <c:pt idx="122">
                  <c:v>43647</c:v>
                </c:pt>
                <c:pt idx="123">
                  <c:v>43648</c:v>
                </c:pt>
                <c:pt idx="124">
                  <c:v>43649</c:v>
                </c:pt>
                <c:pt idx="125">
                  <c:v>43650</c:v>
                </c:pt>
                <c:pt idx="126">
                  <c:v>43651</c:v>
                </c:pt>
                <c:pt idx="127">
                  <c:v>43652</c:v>
                </c:pt>
                <c:pt idx="128">
                  <c:v>43653</c:v>
                </c:pt>
                <c:pt idx="129">
                  <c:v>43654</c:v>
                </c:pt>
                <c:pt idx="130">
                  <c:v>43655</c:v>
                </c:pt>
                <c:pt idx="131">
                  <c:v>43656</c:v>
                </c:pt>
                <c:pt idx="132">
                  <c:v>43657</c:v>
                </c:pt>
                <c:pt idx="133">
                  <c:v>43658</c:v>
                </c:pt>
                <c:pt idx="134">
                  <c:v>43659</c:v>
                </c:pt>
                <c:pt idx="135">
                  <c:v>43660</c:v>
                </c:pt>
                <c:pt idx="136">
                  <c:v>43661</c:v>
                </c:pt>
                <c:pt idx="137">
                  <c:v>43662</c:v>
                </c:pt>
                <c:pt idx="138">
                  <c:v>43663</c:v>
                </c:pt>
                <c:pt idx="139">
                  <c:v>43664</c:v>
                </c:pt>
                <c:pt idx="140">
                  <c:v>43665</c:v>
                </c:pt>
                <c:pt idx="141">
                  <c:v>43666</c:v>
                </c:pt>
                <c:pt idx="142">
                  <c:v>43667</c:v>
                </c:pt>
                <c:pt idx="143">
                  <c:v>43668</c:v>
                </c:pt>
                <c:pt idx="144">
                  <c:v>43669</c:v>
                </c:pt>
                <c:pt idx="145">
                  <c:v>43670</c:v>
                </c:pt>
                <c:pt idx="146">
                  <c:v>43671</c:v>
                </c:pt>
                <c:pt idx="147">
                  <c:v>43672</c:v>
                </c:pt>
                <c:pt idx="148">
                  <c:v>43673</c:v>
                </c:pt>
                <c:pt idx="149">
                  <c:v>43674</c:v>
                </c:pt>
                <c:pt idx="150">
                  <c:v>43675</c:v>
                </c:pt>
                <c:pt idx="151">
                  <c:v>43676</c:v>
                </c:pt>
                <c:pt idx="152">
                  <c:v>43677</c:v>
                </c:pt>
                <c:pt idx="153">
                  <c:v>43678</c:v>
                </c:pt>
                <c:pt idx="154">
                  <c:v>43679</c:v>
                </c:pt>
                <c:pt idx="155">
                  <c:v>43680</c:v>
                </c:pt>
                <c:pt idx="156">
                  <c:v>43681</c:v>
                </c:pt>
                <c:pt idx="157">
                  <c:v>43682</c:v>
                </c:pt>
                <c:pt idx="158">
                  <c:v>43683</c:v>
                </c:pt>
                <c:pt idx="159">
                  <c:v>43684</c:v>
                </c:pt>
                <c:pt idx="160">
                  <c:v>43685</c:v>
                </c:pt>
                <c:pt idx="161">
                  <c:v>43686</c:v>
                </c:pt>
                <c:pt idx="162">
                  <c:v>43687</c:v>
                </c:pt>
                <c:pt idx="163">
                  <c:v>43688</c:v>
                </c:pt>
                <c:pt idx="164">
                  <c:v>43689</c:v>
                </c:pt>
                <c:pt idx="165">
                  <c:v>43690</c:v>
                </c:pt>
                <c:pt idx="166">
                  <c:v>43691</c:v>
                </c:pt>
                <c:pt idx="167">
                  <c:v>43692</c:v>
                </c:pt>
                <c:pt idx="168">
                  <c:v>43693</c:v>
                </c:pt>
                <c:pt idx="169">
                  <c:v>43694</c:v>
                </c:pt>
                <c:pt idx="170">
                  <c:v>43695</c:v>
                </c:pt>
                <c:pt idx="171">
                  <c:v>43696</c:v>
                </c:pt>
                <c:pt idx="172">
                  <c:v>43697</c:v>
                </c:pt>
                <c:pt idx="173">
                  <c:v>43698</c:v>
                </c:pt>
                <c:pt idx="174">
                  <c:v>43699</c:v>
                </c:pt>
                <c:pt idx="175">
                  <c:v>43700</c:v>
                </c:pt>
                <c:pt idx="176">
                  <c:v>43701</c:v>
                </c:pt>
                <c:pt idx="177">
                  <c:v>43702</c:v>
                </c:pt>
                <c:pt idx="178">
                  <c:v>43703</c:v>
                </c:pt>
              </c:numCache>
            </c:numRef>
          </c:xVal>
          <c:yVal>
            <c:numRef>
              <c:f>Sheet1!$C$2:$C$180</c:f>
              <c:numCache>
                <c:formatCode>General</c:formatCode>
                <c:ptCount val="17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48.875999999999998</c:v>
                </c:pt>
                <c:pt idx="88">
                  <c:v>316.536</c:v>
                </c:pt>
                <c:pt idx="89">
                  <c:v>356.53500000000003</c:v>
                </c:pt>
                <c:pt idx="90">
                  <c:v>381.83100000000002</c:v>
                </c:pt>
                <c:pt idx="91">
                  <c:v>395.89499999999998</c:v>
                </c:pt>
                <c:pt idx="92">
                  <c:v>410.83800000000002</c:v>
                </c:pt>
                <c:pt idx="93">
                  <c:v>441.46600000000001</c:v>
                </c:pt>
                <c:pt idx="94">
                  <c:v>446.12799999999999</c:v>
                </c:pt>
                <c:pt idx="95">
                  <c:v>411.88</c:v>
                </c:pt>
                <c:pt idx="96">
                  <c:v>427.09699999999998</c:v>
                </c:pt>
                <c:pt idx="97">
                  <c:v>427.94499999999999</c:v>
                </c:pt>
                <c:pt idx="98">
                  <c:v>423.50099999999998</c:v>
                </c:pt>
                <c:pt idx="99">
                  <c:v>438.68400000000003</c:v>
                </c:pt>
                <c:pt idx="100">
                  <c:v>465.01900000000001</c:v>
                </c:pt>
                <c:pt idx="101">
                  <c:v>476.44099999999997</c:v>
                </c:pt>
                <c:pt idx="102">
                  <c:v>486.61099999999999</c:v>
                </c:pt>
                <c:pt idx="103">
                  <c:v>489.827</c:v>
                </c:pt>
                <c:pt idx="104">
                  <c:v>486.38900000000001</c:v>
                </c:pt>
                <c:pt idx="105">
                  <c:v>478.17899999999997</c:v>
                </c:pt>
                <c:pt idx="106">
                  <c:v>484.90800000000002</c:v>
                </c:pt>
                <c:pt idx="107">
                  <c:v>492.33100000000002</c:v>
                </c:pt>
                <c:pt idx="108">
                  <c:v>491.75</c:v>
                </c:pt>
                <c:pt idx="109">
                  <c:v>494.28199999999998</c:v>
                </c:pt>
                <c:pt idx="110">
                  <c:v>488.19299999999998</c:v>
                </c:pt>
                <c:pt idx="111">
                  <c:v>475.68799999999999</c:v>
                </c:pt>
                <c:pt idx="112">
                  <c:v>451.041</c:v>
                </c:pt>
                <c:pt idx="113">
                  <c:v>442.10399999999998</c:v>
                </c:pt>
                <c:pt idx="114">
                  <c:v>426.33499999999998</c:v>
                </c:pt>
                <c:pt idx="115">
                  <c:v>405.22199999999998</c:v>
                </c:pt>
                <c:pt idx="116">
                  <c:v>368.98399999999998</c:v>
                </c:pt>
                <c:pt idx="117">
                  <c:v>319.053</c:v>
                </c:pt>
                <c:pt idx="118">
                  <c:v>273.98200000000003</c:v>
                </c:pt>
                <c:pt idx="119">
                  <c:v>237.20400000000001</c:v>
                </c:pt>
                <c:pt idx="120">
                  <c:v>203.64400000000001</c:v>
                </c:pt>
                <c:pt idx="121">
                  <c:v>173.15799999999999</c:v>
                </c:pt>
                <c:pt idx="122">
                  <c:v>153.50299999999999</c:v>
                </c:pt>
                <c:pt idx="123">
                  <c:v>131.96799999999999</c:v>
                </c:pt>
                <c:pt idx="124">
                  <c:v>118.264</c:v>
                </c:pt>
                <c:pt idx="125">
                  <c:v>103.95399999999999</c:v>
                </c:pt>
                <c:pt idx="126">
                  <c:v>91.65</c:v>
                </c:pt>
                <c:pt idx="127">
                  <c:v>81.873000000000005</c:v>
                </c:pt>
                <c:pt idx="128">
                  <c:v>77.414000000000001</c:v>
                </c:pt>
                <c:pt idx="129">
                  <c:v>72.921000000000006</c:v>
                </c:pt>
                <c:pt idx="130">
                  <c:v>63.901000000000003</c:v>
                </c:pt>
                <c:pt idx="131">
                  <c:v>54.24</c:v>
                </c:pt>
                <c:pt idx="132">
                  <c:v>45.198999999999998</c:v>
                </c:pt>
                <c:pt idx="133">
                  <c:v>42.072000000000003</c:v>
                </c:pt>
                <c:pt idx="134">
                  <c:v>33.527000000000001</c:v>
                </c:pt>
                <c:pt idx="135">
                  <c:v>31.879000000000001</c:v>
                </c:pt>
                <c:pt idx="136">
                  <c:v>26.841999999999999</c:v>
                </c:pt>
                <c:pt idx="137">
                  <c:v>23.616</c:v>
                </c:pt>
                <c:pt idx="138">
                  <c:v>23.434999999999999</c:v>
                </c:pt>
                <c:pt idx="139">
                  <c:v>21.236000000000001</c:v>
                </c:pt>
                <c:pt idx="140">
                  <c:v>18.574000000000002</c:v>
                </c:pt>
                <c:pt idx="141">
                  <c:v>16.649999999999999</c:v>
                </c:pt>
                <c:pt idx="142">
                  <c:v>13.994</c:v>
                </c:pt>
                <c:pt idx="143">
                  <c:v>12.279</c:v>
                </c:pt>
                <c:pt idx="144">
                  <c:v>10.224</c:v>
                </c:pt>
                <c:pt idx="145">
                  <c:v>8.3079999999999998</c:v>
                </c:pt>
                <c:pt idx="146">
                  <c:v>7.101</c:v>
                </c:pt>
                <c:pt idx="147">
                  <c:v>6.1929999999999996</c:v>
                </c:pt>
                <c:pt idx="148">
                  <c:v>4.8789999999999996</c:v>
                </c:pt>
                <c:pt idx="149">
                  <c:v>3.9049999999999998</c:v>
                </c:pt>
                <c:pt idx="150">
                  <c:v>3.069</c:v>
                </c:pt>
                <c:pt idx="151">
                  <c:v>2.3290000000000002</c:v>
                </c:pt>
                <c:pt idx="152">
                  <c:v>1.847</c:v>
                </c:pt>
                <c:pt idx="153">
                  <c:v>1.621</c:v>
                </c:pt>
                <c:pt idx="154">
                  <c:v>1.075</c:v>
                </c:pt>
                <c:pt idx="155">
                  <c:v>0.69899999999999995</c:v>
                </c:pt>
                <c:pt idx="156">
                  <c:v>0.439</c:v>
                </c:pt>
                <c:pt idx="157">
                  <c:v>0.32700000000000001</c:v>
                </c:pt>
                <c:pt idx="158">
                  <c:v>0.29299999999999998</c:v>
                </c:pt>
                <c:pt idx="159">
                  <c:v>0.27100000000000002</c:v>
                </c:pt>
                <c:pt idx="160">
                  <c:v>0.23200000000000001</c:v>
                </c:pt>
                <c:pt idx="161">
                  <c:v>0.20599999999999999</c:v>
                </c:pt>
                <c:pt idx="162">
                  <c:v>0.16500000000000001</c:v>
                </c:pt>
                <c:pt idx="163">
                  <c:v>0.14000000000000001</c:v>
                </c:pt>
                <c:pt idx="164">
                  <c:v>0.128</c:v>
                </c:pt>
                <c:pt idx="165">
                  <c:v>0.104</c:v>
                </c:pt>
                <c:pt idx="166">
                  <c:v>7.9000000000000001E-2</c:v>
                </c:pt>
                <c:pt idx="167">
                  <c:v>5.0999999999999997E-2</c:v>
                </c:pt>
                <c:pt idx="168">
                  <c:v>2.5000000000000001E-2</c:v>
                </c:pt>
                <c:pt idx="169">
                  <c:v>4.0000000000000001E-3</c:v>
                </c:pt>
                <c:pt idx="170">
                  <c:v>0</c:v>
                </c:pt>
                <c:pt idx="171">
                  <c:v>0</c:v>
                </c:pt>
                <c:pt idx="172">
                  <c:v>0</c:v>
                </c:pt>
                <c:pt idx="173">
                  <c:v>0</c:v>
                </c:pt>
                <c:pt idx="174">
                  <c:v>0</c:v>
                </c:pt>
                <c:pt idx="175">
                  <c:v>0</c:v>
                </c:pt>
                <c:pt idx="176">
                  <c:v>0</c:v>
                </c:pt>
                <c:pt idx="177">
                  <c:v>0</c:v>
                </c:pt>
              </c:numCache>
            </c:numRef>
          </c:yVal>
          <c:smooth val="1"/>
          <c:extLst xmlns:c16r2="http://schemas.microsoft.com/office/drawing/2015/06/chart">
            <c:ext xmlns:c16="http://schemas.microsoft.com/office/drawing/2014/chart" uri="{C3380CC4-5D6E-409C-BE32-E72D297353CC}">
              <c16:uniqueId val="{00000001-3F1A-4E18-AA08-29CD7D7C6E3A}"/>
            </c:ext>
          </c:extLst>
        </c:ser>
        <c:ser>
          <c:idx val="2"/>
          <c:order val="2"/>
          <c:tx>
            <c:strRef>
              <c:f>Sheet1!$D$1</c:f>
              <c:strCache>
                <c:ptCount val="1"/>
                <c:pt idx="0">
                  <c:v>Walgett</c:v>
                </c:pt>
              </c:strCache>
            </c:strRef>
          </c:tx>
          <c:spPr>
            <a:ln w="19050" cap="rnd">
              <a:solidFill>
                <a:schemeClr val="accent3"/>
              </a:solidFill>
              <a:round/>
            </a:ln>
            <a:effectLst/>
          </c:spPr>
          <c:marker>
            <c:symbol val="none"/>
          </c:marker>
          <c:xVal>
            <c:numRef>
              <c:f>Sheet1!$A$2:$A$180</c:f>
              <c:numCache>
                <c:formatCode>m\/d\/yyyy</c:formatCode>
                <c:ptCount val="179"/>
                <c:pt idx="0">
                  <c:v>43525</c:v>
                </c:pt>
                <c:pt idx="1">
                  <c:v>43526</c:v>
                </c:pt>
                <c:pt idx="2">
                  <c:v>43527</c:v>
                </c:pt>
                <c:pt idx="3">
                  <c:v>43528</c:v>
                </c:pt>
                <c:pt idx="4">
                  <c:v>43529</c:v>
                </c:pt>
                <c:pt idx="5">
                  <c:v>43530</c:v>
                </c:pt>
                <c:pt idx="6">
                  <c:v>43531</c:v>
                </c:pt>
                <c:pt idx="7">
                  <c:v>43532</c:v>
                </c:pt>
                <c:pt idx="8">
                  <c:v>43533</c:v>
                </c:pt>
                <c:pt idx="9">
                  <c:v>43534</c:v>
                </c:pt>
                <c:pt idx="10">
                  <c:v>43535</c:v>
                </c:pt>
                <c:pt idx="11">
                  <c:v>43536</c:v>
                </c:pt>
                <c:pt idx="12">
                  <c:v>43537</c:v>
                </c:pt>
                <c:pt idx="13">
                  <c:v>43538</c:v>
                </c:pt>
                <c:pt idx="14">
                  <c:v>43539</c:v>
                </c:pt>
                <c:pt idx="15">
                  <c:v>43540</c:v>
                </c:pt>
                <c:pt idx="16">
                  <c:v>43541</c:v>
                </c:pt>
                <c:pt idx="17">
                  <c:v>43542</c:v>
                </c:pt>
                <c:pt idx="18">
                  <c:v>43543</c:v>
                </c:pt>
                <c:pt idx="19">
                  <c:v>43544</c:v>
                </c:pt>
                <c:pt idx="20">
                  <c:v>43545</c:v>
                </c:pt>
                <c:pt idx="21">
                  <c:v>43546</c:v>
                </c:pt>
                <c:pt idx="22">
                  <c:v>43547</c:v>
                </c:pt>
                <c:pt idx="23">
                  <c:v>43548</c:v>
                </c:pt>
                <c:pt idx="24">
                  <c:v>43549</c:v>
                </c:pt>
                <c:pt idx="25">
                  <c:v>43550</c:v>
                </c:pt>
                <c:pt idx="26">
                  <c:v>43551</c:v>
                </c:pt>
                <c:pt idx="27">
                  <c:v>43552</c:v>
                </c:pt>
                <c:pt idx="28">
                  <c:v>43553</c:v>
                </c:pt>
                <c:pt idx="29">
                  <c:v>43554</c:v>
                </c:pt>
                <c:pt idx="30">
                  <c:v>43555</c:v>
                </c:pt>
                <c:pt idx="31">
                  <c:v>43556</c:v>
                </c:pt>
                <c:pt idx="32">
                  <c:v>43557</c:v>
                </c:pt>
                <c:pt idx="33">
                  <c:v>43558</c:v>
                </c:pt>
                <c:pt idx="34">
                  <c:v>43559</c:v>
                </c:pt>
                <c:pt idx="35">
                  <c:v>43560</c:v>
                </c:pt>
                <c:pt idx="36">
                  <c:v>43561</c:v>
                </c:pt>
                <c:pt idx="37">
                  <c:v>43562</c:v>
                </c:pt>
                <c:pt idx="38">
                  <c:v>43563</c:v>
                </c:pt>
                <c:pt idx="39">
                  <c:v>43564</c:v>
                </c:pt>
                <c:pt idx="40">
                  <c:v>43565</c:v>
                </c:pt>
                <c:pt idx="41">
                  <c:v>43566</c:v>
                </c:pt>
                <c:pt idx="42">
                  <c:v>43567</c:v>
                </c:pt>
                <c:pt idx="43">
                  <c:v>43568</c:v>
                </c:pt>
                <c:pt idx="44">
                  <c:v>43569</c:v>
                </c:pt>
                <c:pt idx="45">
                  <c:v>43570</c:v>
                </c:pt>
                <c:pt idx="46">
                  <c:v>43571</c:v>
                </c:pt>
                <c:pt idx="47">
                  <c:v>43572</c:v>
                </c:pt>
                <c:pt idx="48">
                  <c:v>43573</c:v>
                </c:pt>
                <c:pt idx="49">
                  <c:v>43574</c:v>
                </c:pt>
                <c:pt idx="50">
                  <c:v>43575</c:v>
                </c:pt>
                <c:pt idx="51">
                  <c:v>43576</c:v>
                </c:pt>
                <c:pt idx="52">
                  <c:v>43577</c:v>
                </c:pt>
                <c:pt idx="53">
                  <c:v>43578</c:v>
                </c:pt>
                <c:pt idx="54">
                  <c:v>43579</c:v>
                </c:pt>
                <c:pt idx="55">
                  <c:v>43580</c:v>
                </c:pt>
                <c:pt idx="56">
                  <c:v>43581</c:v>
                </c:pt>
                <c:pt idx="57">
                  <c:v>43582</c:v>
                </c:pt>
                <c:pt idx="58">
                  <c:v>43583</c:v>
                </c:pt>
                <c:pt idx="59">
                  <c:v>43584</c:v>
                </c:pt>
                <c:pt idx="60">
                  <c:v>43585</c:v>
                </c:pt>
                <c:pt idx="61">
                  <c:v>43586</c:v>
                </c:pt>
                <c:pt idx="62">
                  <c:v>43587</c:v>
                </c:pt>
                <c:pt idx="63">
                  <c:v>43588</c:v>
                </c:pt>
                <c:pt idx="64">
                  <c:v>43589</c:v>
                </c:pt>
                <c:pt idx="65">
                  <c:v>43590</c:v>
                </c:pt>
                <c:pt idx="66">
                  <c:v>43591</c:v>
                </c:pt>
                <c:pt idx="67">
                  <c:v>43592</c:v>
                </c:pt>
                <c:pt idx="68">
                  <c:v>43593</c:v>
                </c:pt>
                <c:pt idx="69">
                  <c:v>43594</c:v>
                </c:pt>
                <c:pt idx="70">
                  <c:v>43595</c:v>
                </c:pt>
                <c:pt idx="71">
                  <c:v>43596</c:v>
                </c:pt>
                <c:pt idx="72">
                  <c:v>43597</c:v>
                </c:pt>
                <c:pt idx="73">
                  <c:v>43598</c:v>
                </c:pt>
                <c:pt idx="74">
                  <c:v>43599</c:v>
                </c:pt>
                <c:pt idx="75">
                  <c:v>43600</c:v>
                </c:pt>
                <c:pt idx="76">
                  <c:v>43601</c:v>
                </c:pt>
                <c:pt idx="77">
                  <c:v>43602</c:v>
                </c:pt>
                <c:pt idx="78">
                  <c:v>43603</c:v>
                </c:pt>
                <c:pt idx="79">
                  <c:v>43604</c:v>
                </c:pt>
                <c:pt idx="80">
                  <c:v>43605</c:v>
                </c:pt>
                <c:pt idx="81">
                  <c:v>43606</c:v>
                </c:pt>
                <c:pt idx="82">
                  <c:v>43607</c:v>
                </c:pt>
                <c:pt idx="83">
                  <c:v>43608</c:v>
                </c:pt>
                <c:pt idx="84">
                  <c:v>43609</c:v>
                </c:pt>
                <c:pt idx="85">
                  <c:v>43610</c:v>
                </c:pt>
                <c:pt idx="86">
                  <c:v>43611</c:v>
                </c:pt>
                <c:pt idx="87">
                  <c:v>43612</c:v>
                </c:pt>
                <c:pt idx="88">
                  <c:v>43613</c:v>
                </c:pt>
                <c:pt idx="89">
                  <c:v>43614</c:v>
                </c:pt>
                <c:pt idx="90">
                  <c:v>43615</c:v>
                </c:pt>
                <c:pt idx="91">
                  <c:v>43616</c:v>
                </c:pt>
                <c:pt idx="92">
                  <c:v>43617</c:v>
                </c:pt>
                <c:pt idx="93">
                  <c:v>43618</c:v>
                </c:pt>
                <c:pt idx="94">
                  <c:v>43619</c:v>
                </c:pt>
                <c:pt idx="95">
                  <c:v>43620</c:v>
                </c:pt>
                <c:pt idx="96">
                  <c:v>43621</c:v>
                </c:pt>
                <c:pt idx="97">
                  <c:v>43622</c:v>
                </c:pt>
                <c:pt idx="98">
                  <c:v>43623</c:v>
                </c:pt>
                <c:pt idx="99">
                  <c:v>43624</c:v>
                </c:pt>
                <c:pt idx="100">
                  <c:v>43625</c:v>
                </c:pt>
                <c:pt idx="101">
                  <c:v>43626</c:v>
                </c:pt>
                <c:pt idx="102">
                  <c:v>43627</c:v>
                </c:pt>
                <c:pt idx="103">
                  <c:v>43628</c:v>
                </c:pt>
                <c:pt idx="104">
                  <c:v>43629</c:v>
                </c:pt>
                <c:pt idx="105">
                  <c:v>43630</c:v>
                </c:pt>
                <c:pt idx="106">
                  <c:v>43631</c:v>
                </c:pt>
                <c:pt idx="107">
                  <c:v>43632</c:v>
                </c:pt>
                <c:pt idx="108">
                  <c:v>43633</c:v>
                </c:pt>
                <c:pt idx="109">
                  <c:v>43634</c:v>
                </c:pt>
                <c:pt idx="110">
                  <c:v>43635</c:v>
                </c:pt>
                <c:pt idx="111">
                  <c:v>43636</c:v>
                </c:pt>
                <c:pt idx="112">
                  <c:v>43637</c:v>
                </c:pt>
                <c:pt idx="113">
                  <c:v>43638</c:v>
                </c:pt>
                <c:pt idx="114">
                  <c:v>43639</c:v>
                </c:pt>
                <c:pt idx="115">
                  <c:v>43640</c:v>
                </c:pt>
                <c:pt idx="116">
                  <c:v>43641</c:v>
                </c:pt>
                <c:pt idx="117">
                  <c:v>43642</c:v>
                </c:pt>
                <c:pt idx="118">
                  <c:v>43643</c:v>
                </c:pt>
                <c:pt idx="119">
                  <c:v>43644</c:v>
                </c:pt>
                <c:pt idx="120">
                  <c:v>43645</c:v>
                </c:pt>
                <c:pt idx="121">
                  <c:v>43646</c:v>
                </c:pt>
                <c:pt idx="122">
                  <c:v>43647</c:v>
                </c:pt>
                <c:pt idx="123">
                  <c:v>43648</c:v>
                </c:pt>
                <c:pt idx="124">
                  <c:v>43649</c:v>
                </c:pt>
                <c:pt idx="125">
                  <c:v>43650</c:v>
                </c:pt>
                <c:pt idx="126">
                  <c:v>43651</c:v>
                </c:pt>
                <c:pt idx="127">
                  <c:v>43652</c:v>
                </c:pt>
                <c:pt idx="128">
                  <c:v>43653</c:v>
                </c:pt>
                <c:pt idx="129">
                  <c:v>43654</c:v>
                </c:pt>
                <c:pt idx="130">
                  <c:v>43655</c:v>
                </c:pt>
                <c:pt idx="131">
                  <c:v>43656</c:v>
                </c:pt>
                <c:pt idx="132">
                  <c:v>43657</c:v>
                </c:pt>
                <c:pt idx="133">
                  <c:v>43658</c:v>
                </c:pt>
                <c:pt idx="134">
                  <c:v>43659</c:v>
                </c:pt>
                <c:pt idx="135">
                  <c:v>43660</c:v>
                </c:pt>
                <c:pt idx="136">
                  <c:v>43661</c:v>
                </c:pt>
                <c:pt idx="137">
                  <c:v>43662</c:v>
                </c:pt>
                <c:pt idx="138">
                  <c:v>43663</c:v>
                </c:pt>
                <c:pt idx="139">
                  <c:v>43664</c:v>
                </c:pt>
                <c:pt idx="140">
                  <c:v>43665</c:v>
                </c:pt>
                <c:pt idx="141">
                  <c:v>43666</c:v>
                </c:pt>
                <c:pt idx="142">
                  <c:v>43667</c:v>
                </c:pt>
                <c:pt idx="143">
                  <c:v>43668</c:v>
                </c:pt>
                <c:pt idx="144">
                  <c:v>43669</c:v>
                </c:pt>
                <c:pt idx="145">
                  <c:v>43670</c:v>
                </c:pt>
                <c:pt idx="146">
                  <c:v>43671</c:v>
                </c:pt>
                <c:pt idx="147">
                  <c:v>43672</c:v>
                </c:pt>
                <c:pt idx="148">
                  <c:v>43673</c:v>
                </c:pt>
                <c:pt idx="149">
                  <c:v>43674</c:v>
                </c:pt>
                <c:pt idx="150">
                  <c:v>43675</c:v>
                </c:pt>
                <c:pt idx="151">
                  <c:v>43676</c:v>
                </c:pt>
                <c:pt idx="152">
                  <c:v>43677</c:v>
                </c:pt>
                <c:pt idx="153">
                  <c:v>43678</c:v>
                </c:pt>
                <c:pt idx="154">
                  <c:v>43679</c:v>
                </c:pt>
                <c:pt idx="155">
                  <c:v>43680</c:v>
                </c:pt>
                <c:pt idx="156">
                  <c:v>43681</c:v>
                </c:pt>
                <c:pt idx="157">
                  <c:v>43682</c:v>
                </c:pt>
                <c:pt idx="158">
                  <c:v>43683</c:v>
                </c:pt>
                <c:pt idx="159">
                  <c:v>43684</c:v>
                </c:pt>
                <c:pt idx="160">
                  <c:v>43685</c:v>
                </c:pt>
                <c:pt idx="161">
                  <c:v>43686</c:v>
                </c:pt>
                <c:pt idx="162">
                  <c:v>43687</c:v>
                </c:pt>
                <c:pt idx="163">
                  <c:v>43688</c:v>
                </c:pt>
                <c:pt idx="164">
                  <c:v>43689</c:v>
                </c:pt>
                <c:pt idx="165">
                  <c:v>43690</c:v>
                </c:pt>
                <c:pt idx="166">
                  <c:v>43691</c:v>
                </c:pt>
                <c:pt idx="167">
                  <c:v>43692</c:v>
                </c:pt>
                <c:pt idx="168">
                  <c:v>43693</c:v>
                </c:pt>
                <c:pt idx="169">
                  <c:v>43694</c:v>
                </c:pt>
                <c:pt idx="170">
                  <c:v>43695</c:v>
                </c:pt>
                <c:pt idx="171">
                  <c:v>43696</c:v>
                </c:pt>
                <c:pt idx="172">
                  <c:v>43697</c:v>
                </c:pt>
                <c:pt idx="173">
                  <c:v>43698</c:v>
                </c:pt>
                <c:pt idx="174">
                  <c:v>43699</c:v>
                </c:pt>
                <c:pt idx="175">
                  <c:v>43700</c:v>
                </c:pt>
                <c:pt idx="176">
                  <c:v>43701</c:v>
                </c:pt>
                <c:pt idx="177">
                  <c:v>43702</c:v>
                </c:pt>
                <c:pt idx="178">
                  <c:v>43703</c:v>
                </c:pt>
              </c:numCache>
            </c:numRef>
          </c:xVal>
          <c:yVal>
            <c:numRef>
              <c:f>Sheet1!$D$2:$D$180</c:f>
              <c:numCache>
                <c:formatCode>General</c:formatCode>
                <c:ptCount val="17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56.470999999999997</c:v>
                </c:pt>
                <c:pt idx="104">
                  <c:v>272.416</c:v>
                </c:pt>
                <c:pt idx="105">
                  <c:v>356.63799999999998</c:v>
                </c:pt>
                <c:pt idx="106">
                  <c:v>389.286</c:v>
                </c:pt>
                <c:pt idx="107">
                  <c:v>408.02800000000002</c:v>
                </c:pt>
                <c:pt idx="108">
                  <c:v>423.49400000000003</c:v>
                </c:pt>
                <c:pt idx="109">
                  <c:v>433.13299999999998</c:v>
                </c:pt>
                <c:pt idx="110">
                  <c:v>440.93700000000001</c:v>
                </c:pt>
                <c:pt idx="111">
                  <c:v>449.97399999999999</c:v>
                </c:pt>
                <c:pt idx="112">
                  <c:v>455.82799999999997</c:v>
                </c:pt>
                <c:pt idx="113">
                  <c:v>457.39100000000002</c:v>
                </c:pt>
                <c:pt idx="114">
                  <c:v>453.09</c:v>
                </c:pt>
                <c:pt idx="115">
                  <c:v>440.58800000000002</c:v>
                </c:pt>
                <c:pt idx="116">
                  <c:v>425.93299999999999</c:v>
                </c:pt>
                <c:pt idx="117">
                  <c:v>411.22699999999998</c:v>
                </c:pt>
                <c:pt idx="118">
                  <c:v>395.63900000000001</c:v>
                </c:pt>
                <c:pt idx="119">
                  <c:v>375.029</c:v>
                </c:pt>
                <c:pt idx="120">
                  <c:v>345.81799999999998</c:v>
                </c:pt>
                <c:pt idx="121">
                  <c:v>305.339</c:v>
                </c:pt>
                <c:pt idx="122">
                  <c:v>261.971</c:v>
                </c:pt>
                <c:pt idx="123">
                  <c:v>224.745</c:v>
                </c:pt>
                <c:pt idx="124">
                  <c:v>196.31399999999999</c:v>
                </c:pt>
                <c:pt idx="125">
                  <c:v>170.21700000000001</c:v>
                </c:pt>
                <c:pt idx="126">
                  <c:v>146.41</c:v>
                </c:pt>
                <c:pt idx="127">
                  <c:v>126.91</c:v>
                </c:pt>
                <c:pt idx="128">
                  <c:v>109.31</c:v>
                </c:pt>
                <c:pt idx="129">
                  <c:v>96.206999999999994</c:v>
                </c:pt>
                <c:pt idx="130">
                  <c:v>87.9</c:v>
                </c:pt>
                <c:pt idx="131">
                  <c:v>78.171000000000006</c:v>
                </c:pt>
                <c:pt idx="132">
                  <c:v>68.715000000000003</c:v>
                </c:pt>
                <c:pt idx="133">
                  <c:v>60.079000000000001</c:v>
                </c:pt>
                <c:pt idx="134">
                  <c:v>52.621000000000002</c:v>
                </c:pt>
                <c:pt idx="135">
                  <c:v>44.372999999999998</c:v>
                </c:pt>
                <c:pt idx="136">
                  <c:v>38.115000000000002</c:v>
                </c:pt>
                <c:pt idx="137">
                  <c:v>32.094999999999999</c:v>
                </c:pt>
                <c:pt idx="138">
                  <c:v>26.869</c:v>
                </c:pt>
                <c:pt idx="139">
                  <c:v>22.646000000000001</c:v>
                </c:pt>
                <c:pt idx="140">
                  <c:v>19.242999999999999</c:v>
                </c:pt>
                <c:pt idx="141">
                  <c:v>16.593</c:v>
                </c:pt>
                <c:pt idx="142">
                  <c:v>14.238</c:v>
                </c:pt>
                <c:pt idx="143">
                  <c:v>12.125</c:v>
                </c:pt>
                <c:pt idx="144">
                  <c:v>10.196999999999999</c:v>
                </c:pt>
                <c:pt idx="145">
                  <c:v>8.3650000000000002</c:v>
                </c:pt>
                <c:pt idx="146">
                  <c:v>6.8150000000000004</c:v>
                </c:pt>
                <c:pt idx="147">
                  <c:v>5.5380000000000003</c:v>
                </c:pt>
                <c:pt idx="148">
                  <c:v>4.2919999999999998</c:v>
                </c:pt>
                <c:pt idx="149">
                  <c:v>3.161</c:v>
                </c:pt>
                <c:pt idx="150">
                  <c:v>1.9490000000000001</c:v>
                </c:pt>
                <c:pt idx="151">
                  <c:v>0.91400000000000003</c:v>
                </c:pt>
                <c:pt idx="152">
                  <c:v>6.3E-2</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numCache>
            </c:numRef>
          </c:yVal>
          <c:smooth val="1"/>
          <c:extLst xmlns:c16r2="http://schemas.microsoft.com/office/drawing/2015/06/chart">
            <c:ext xmlns:c16="http://schemas.microsoft.com/office/drawing/2014/chart" uri="{C3380CC4-5D6E-409C-BE32-E72D297353CC}">
              <c16:uniqueId val="{00000002-3F1A-4E18-AA08-29CD7D7C6E3A}"/>
            </c:ext>
          </c:extLst>
        </c:ser>
        <c:ser>
          <c:idx val="3"/>
          <c:order val="3"/>
          <c:tx>
            <c:strRef>
              <c:f>Sheet1!$E$1</c:f>
              <c:strCache>
                <c:ptCount val="1"/>
                <c:pt idx="0">
                  <c:v>Brewarrina</c:v>
                </c:pt>
              </c:strCache>
            </c:strRef>
          </c:tx>
          <c:spPr>
            <a:ln w="19050" cap="rnd">
              <a:solidFill>
                <a:schemeClr val="accent4"/>
              </a:solidFill>
              <a:round/>
            </a:ln>
            <a:effectLst/>
          </c:spPr>
          <c:marker>
            <c:symbol val="none"/>
          </c:marker>
          <c:xVal>
            <c:numRef>
              <c:f>Sheet1!$A$2:$A$180</c:f>
              <c:numCache>
                <c:formatCode>m\/d\/yyyy</c:formatCode>
                <c:ptCount val="179"/>
                <c:pt idx="0">
                  <c:v>43525</c:v>
                </c:pt>
                <c:pt idx="1">
                  <c:v>43526</c:v>
                </c:pt>
                <c:pt idx="2">
                  <c:v>43527</c:v>
                </c:pt>
                <c:pt idx="3">
                  <c:v>43528</c:v>
                </c:pt>
                <c:pt idx="4">
                  <c:v>43529</c:v>
                </c:pt>
                <c:pt idx="5">
                  <c:v>43530</c:v>
                </c:pt>
                <c:pt idx="6">
                  <c:v>43531</c:v>
                </c:pt>
                <c:pt idx="7">
                  <c:v>43532</c:v>
                </c:pt>
                <c:pt idx="8">
                  <c:v>43533</c:v>
                </c:pt>
                <c:pt idx="9">
                  <c:v>43534</c:v>
                </c:pt>
                <c:pt idx="10">
                  <c:v>43535</c:v>
                </c:pt>
                <c:pt idx="11">
                  <c:v>43536</c:v>
                </c:pt>
                <c:pt idx="12">
                  <c:v>43537</c:v>
                </c:pt>
                <c:pt idx="13">
                  <c:v>43538</c:v>
                </c:pt>
                <c:pt idx="14">
                  <c:v>43539</c:v>
                </c:pt>
                <c:pt idx="15">
                  <c:v>43540</c:v>
                </c:pt>
                <c:pt idx="16">
                  <c:v>43541</c:v>
                </c:pt>
                <c:pt idx="17">
                  <c:v>43542</c:v>
                </c:pt>
                <c:pt idx="18">
                  <c:v>43543</c:v>
                </c:pt>
                <c:pt idx="19">
                  <c:v>43544</c:v>
                </c:pt>
                <c:pt idx="20">
                  <c:v>43545</c:v>
                </c:pt>
                <c:pt idx="21">
                  <c:v>43546</c:v>
                </c:pt>
                <c:pt idx="22">
                  <c:v>43547</c:v>
                </c:pt>
                <c:pt idx="23">
                  <c:v>43548</c:v>
                </c:pt>
                <c:pt idx="24">
                  <c:v>43549</c:v>
                </c:pt>
                <c:pt idx="25">
                  <c:v>43550</c:v>
                </c:pt>
                <c:pt idx="26">
                  <c:v>43551</c:v>
                </c:pt>
                <c:pt idx="27">
                  <c:v>43552</c:v>
                </c:pt>
                <c:pt idx="28">
                  <c:v>43553</c:v>
                </c:pt>
                <c:pt idx="29">
                  <c:v>43554</c:v>
                </c:pt>
                <c:pt idx="30">
                  <c:v>43555</c:v>
                </c:pt>
                <c:pt idx="31">
                  <c:v>43556</c:v>
                </c:pt>
                <c:pt idx="32">
                  <c:v>43557</c:v>
                </c:pt>
                <c:pt idx="33">
                  <c:v>43558</c:v>
                </c:pt>
                <c:pt idx="34">
                  <c:v>43559</c:v>
                </c:pt>
                <c:pt idx="35">
                  <c:v>43560</c:v>
                </c:pt>
                <c:pt idx="36">
                  <c:v>43561</c:v>
                </c:pt>
                <c:pt idx="37">
                  <c:v>43562</c:v>
                </c:pt>
                <c:pt idx="38">
                  <c:v>43563</c:v>
                </c:pt>
                <c:pt idx="39">
                  <c:v>43564</c:v>
                </c:pt>
                <c:pt idx="40">
                  <c:v>43565</c:v>
                </c:pt>
                <c:pt idx="41">
                  <c:v>43566</c:v>
                </c:pt>
                <c:pt idx="42">
                  <c:v>43567</c:v>
                </c:pt>
                <c:pt idx="43">
                  <c:v>43568</c:v>
                </c:pt>
                <c:pt idx="44">
                  <c:v>43569</c:v>
                </c:pt>
                <c:pt idx="45">
                  <c:v>43570</c:v>
                </c:pt>
                <c:pt idx="46">
                  <c:v>43571</c:v>
                </c:pt>
                <c:pt idx="47">
                  <c:v>43572</c:v>
                </c:pt>
                <c:pt idx="48">
                  <c:v>43573</c:v>
                </c:pt>
                <c:pt idx="49">
                  <c:v>43574</c:v>
                </c:pt>
                <c:pt idx="50">
                  <c:v>43575</c:v>
                </c:pt>
                <c:pt idx="51">
                  <c:v>43576</c:v>
                </c:pt>
                <c:pt idx="52">
                  <c:v>43577</c:v>
                </c:pt>
                <c:pt idx="53">
                  <c:v>43578</c:v>
                </c:pt>
                <c:pt idx="54">
                  <c:v>43579</c:v>
                </c:pt>
                <c:pt idx="55">
                  <c:v>43580</c:v>
                </c:pt>
                <c:pt idx="56">
                  <c:v>43581</c:v>
                </c:pt>
                <c:pt idx="57">
                  <c:v>43582</c:v>
                </c:pt>
                <c:pt idx="58">
                  <c:v>43583</c:v>
                </c:pt>
                <c:pt idx="59">
                  <c:v>43584</c:v>
                </c:pt>
                <c:pt idx="60">
                  <c:v>43585</c:v>
                </c:pt>
                <c:pt idx="61">
                  <c:v>43586</c:v>
                </c:pt>
                <c:pt idx="62">
                  <c:v>43587</c:v>
                </c:pt>
                <c:pt idx="63">
                  <c:v>43588</c:v>
                </c:pt>
                <c:pt idx="64">
                  <c:v>43589</c:v>
                </c:pt>
                <c:pt idx="65">
                  <c:v>43590</c:v>
                </c:pt>
                <c:pt idx="66">
                  <c:v>43591</c:v>
                </c:pt>
                <c:pt idx="67">
                  <c:v>43592</c:v>
                </c:pt>
                <c:pt idx="68">
                  <c:v>43593</c:v>
                </c:pt>
                <c:pt idx="69">
                  <c:v>43594</c:v>
                </c:pt>
                <c:pt idx="70">
                  <c:v>43595</c:v>
                </c:pt>
                <c:pt idx="71">
                  <c:v>43596</c:v>
                </c:pt>
                <c:pt idx="72">
                  <c:v>43597</c:v>
                </c:pt>
                <c:pt idx="73">
                  <c:v>43598</c:v>
                </c:pt>
                <c:pt idx="74">
                  <c:v>43599</c:v>
                </c:pt>
                <c:pt idx="75">
                  <c:v>43600</c:v>
                </c:pt>
                <c:pt idx="76">
                  <c:v>43601</c:v>
                </c:pt>
                <c:pt idx="77">
                  <c:v>43602</c:v>
                </c:pt>
                <c:pt idx="78">
                  <c:v>43603</c:v>
                </c:pt>
                <c:pt idx="79">
                  <c:v>43604</c:v>
                </c:pt>
                <c:pt idx="80">
                  <c:v>43605</c:v>
                </c:pt>
                <c:pt idx="81">
                  <c:v>43606</c:v>
                </c:pt>
                <c:pt idx="82">
                  <c:v>43607</c:v>
                </c:pt>
                <c:pt idx="83">
                  <c:v>43608</c:v>
                </c:pt>
                <c:pt idx="84">
                  <c:v>43609</c:v>
                </c:pt>
                <c:pt idx="85">
                  <c:v>43610</c:v>
                </c:pt>
                <c:pt idx="86">
                  <c:v>43611</c:v>
                </c:pt>
                <c:pt idx="87">
                  <c:v>43612</c:v>
                </c:pt>
                <c:pt idx="88">
                  <c:v>43613</c:v>
                </c:pt>
                <c:pt idx="89">
                  <c:v>43614</c:v>
                </c:pt>
                <c:pt idx="90">
                  <c:v>43615</c:v>
                </c:pt>
                <c:pt idx="91">
                  <c:v>43616</c:v>
                </c:pt>
                <c:pt idx="92">
                  <c:v>43617</c:v>
                </c:pt>
                <c:pt idx="93">
                  <c:v>43618</c:v>
                </c:pt>
                <c:pt idx="94">
                  <c:v>43619</c:v>
                </c:pt>
                <c:pt idx="95">
                  <c:v>43620</c:v>
                </c:pt>
                <c:pt idx="96">
                  <c:v>43621</c:v>
                </c:pt>
                <c:pt idx="97">
                  <c:v>43622</c:v>
                </c:pt>
                <c:pt idx="98">
                  <c:v>43623</c:v>
                </c:pt>
                <c:pt idx="99">
                  <c:v>43624</c:v>
                </c:pt>
                <c:pt idx="100">
                  <c:v>43625</c:v>
                </c:pt>
                <c:pt idx="101">
                  <c:v>43626</c:v>
                </c:pt>
                <c:pt idx="102">
                  <c:v>43627</c:v>
                </c:pt>
                <c:pt idx="103">
                  <c:v>43628</c:v>
                </c:pt>
                <c:pt idx="104">
                  <c:v>43629</c:v>
                </c:pt>
                <c:pt idx="105">
                  <c:v>43630</c:v>
                </c:pt>
                <c:pt idx="106">
                  <c:v>43631</c:v>
                </c:pt>
                <c:pt idx="107">
                  <c:v>43632</c:v>
                </c:pt>
                <c:pt idx="108">
                  <c:v>43633</c:v>
                </c:pt>
                <c:pt idx="109">
                  <c:v>43634</c:v>
                </c:pt>
                <c:pt idx="110">
                  <c:v>43635</c:v>
                </c:pt>
                <c:pt idx="111">
                  <c:v>43636</c:v>
                </c:pt>
                <c:pt idx="112">
                  <c:v>43637</c:v>
                </c:pt>
                <c:pt idx="113">
                  <c:v>43638</c:v>
                </c:pt>
                <c:pt idx="114">
                  <c:v>43639</c:v>
                </c:pt>
                <c:pt idx="115">
                  <c:v>43640</c:v>
                </c:pt>
                <c:pt idx="116">
                  <c:v>43641</c:v>
                </c:pt>
                <c:pt idx="117">
                  <c:v>43642</c:v>
                </c:pt>
                <c:pt idx="118">
                  <c:v>43643</c:v>
                </c:pt>
                <c:pt idx="119">
                  <c:v>43644</c:v>
                </c:pt>
                <c:pt idx="120">
                  <c:v>43645</c:v>
                </c:pt>
                <c:pt idx="121">
                  <c:v>43646</c:v>
                </c:pt>
                <c:pt idx="122">
                  <c:v>43647</c:v>
                </c:pt>
                <c:pt idx="123">
                  <c:v>43648</c:v>
                </c:pt>
                <c:pt idx="124">
                  <c:v>43649</c:v>
                </c:pt>
                <c:pt idx="125">
                  <c:v>43650</c:v>
                </c:pt>
                <c:pt idx="126">
                  <c:v>43651</c:v>
                </c:pt>
                <c:pt idx="127">
                  <c:v>43652</c:v>
                </c:pt>
                <c:pt idx="128">
                  <c:v>43653</c:v>
                </c:pt>
                <c:pt idx="129">
                  <c:v>43654</c:v>
                </c:pt>
                <c:pt idx="130">
                  <c:v>43655</c:v>
                </c:pt>
                <c:pt idx="131">
                  <c:v>43656</c:v>
                </c:pt>
                <c:pt idx="132">
                  <c:v>43657</c:v>
                </c:pt>
                <c:pt idx="133">
                  <c:v>43658</c:v>
                </c:pt>
                <c:pt idx="134">
                  <c:v>43659</c:v>
                </c:pt>
                <c:pt idx="135">
                  <c:v>43660</c:v>
                </c:pt>
                <c:pt idx="136">
                  <c:v>43661</c:v>
                </c:pt>
                <c:pt idx="137">
                  <c:v>43662</c:v>
                </c:pt>
                <c:pt idx="138">
                  <c:v>43663</c:v>
                </c:pt>
                <c:pt idx="139">
                  <c:v>43664</c:v>
                </c:pt>
                <c:pt idx="140">
                  <c:v>43665</c:v>
                </c:pt>
                <c:pt idx="141">
                  <c:v>43666</c:v>
                </c:pt>
                <c:pt idx="142">
                  <c:v>43667</c:v>
                </c:pt>
                <c:pt idx="143">
                  <c:v>43668</c:v>
                </c:pt>
                <c:pt idx="144">
                  <c:v>43669</c:v>
                </c:pt>
                <c:pt idx="145">
                  <c:v>43670</c:v>
                </c:pt>
                <c:pt idx="146">
                  <c:v>43671</c:v>
                </c:pt>
                <c:pt idx="147">
                  <c:v>43672</c:v>
                </c:pt>
                <c:pt idx="148">
                  <c:v>43673</c:v>
                </c:pt>
                <c:pt idx="149">
                  <c:v>43674</c:v>
                </c:pt>
                <c:pt idx="150">
                  <c:v>43675</c:v>
                </c:pt>
                <c:pt idx="151">
                  <c:v>43676</c:v>
                </c:pt>
                <c:pt idx="152">
                  <c:v>43677</c:v>
                </c:pt>
                <c:pt idx="153">
                  <c:v>43678</c:v>
                </c:pt>
                <c:pt idx="154">
                  <c:v>43679</c:v>
                </c:pt>
                <c:pt idx="155">
                  <c:v>43680</c:v>
                </c:pt>
                <c:pt idx="156">
                  <c:v>43681</c:v>
                </c:pt>
                <c:pt idx="157">
                  <c:v>43682</c:v>
                </c:pt>
                <c:pt idx="158">
                  <c:v>43683</c:v>
                </c:pt>
                <c:pt idx="159">
                  <c:v>43684</c:v>
                </c:pt>
                <c:pt idx="160">
                  <c:v>43685</c:v>
                </c:pt>
                <c:pt idx="161">
                  <c:v>43686</c:v>
                </c:pt>
                <c:pt idx="162">
                  <c:v>43687</c:v>
                </c:pt>
                <c:pt idx="163">
                  <c:v>43688</c:v>
                </c:pt>
                <c:pt idx="164">
                  <c:v>43689</c:v>
                </c:pt>
                <c:pt idx="165">
                  <c:v>43690</c:v>
                </c:pt>
                <c:pt idx="166">
                  <c:v>43691</c:v>
                </c:pt>
                <c:pt idx="167">
                  <c:v>43692</c:v>
                </c:pt>
                <c:pt idx="168">
                  <c:v>43693</c:v>
                </c:pt>
                <c:pt idx="169">
                  <c:v>43694</c:v>
                </c:pt>
                <c:pt idx="170">
                  <c:v>43695</c:v>
                </c:pt>
                <c:pt idx="171">
                  <c:v>43696</c:v>
                </c:pt>
                <c:pt idx="172">
                  <c:v>43697</c:v>
                </c:pt>
                <c:pt idx="173">
                  <c:v>43698</c:v>
                </c:pt>
                <c:pt idx="174">
                  <c:v>43699</c:v>
                </c:pt>
                <c:pt idx="175">
                  <c:v>43700</c:v>
                </c:pt>
                <c:pt idx="176">
                  <c:v>43701</c:v>
                </c:pt>
                <c:pt idx="177">
                  <c:v>43702</c:v>
                </c:pt>
                <c:pt idx="178">
                  <c:v>43703</c:v>
                </c:pt>
              </c:numCache>
            </c:numRef>
          </c:xVal>
          <c:yVal>
            <c:numRef>
              <c:f>Sheet1!$E$2:$E$180</c:f>
              <c:numCache>
                <c:formatCode>General</c:formatCode>
                <c:ptCount val="17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1.391</c:v>
                </c:pt>
                <c:pt idx="53">
                  <c:v>4.8159999999999998</c:v>
                </c:pt>
                <c:pt idx="54">
                  <c:v>8.1539999999999999</c:v>
                </c:pt>
                <c:pt idx="55">
                  <c:v>9.5210000000000008</c:v>
                </c:pt>
                <c:pt idx="56">
                  <c:v>10.481999999999999</c:v>
                </c:pt>
                <c:pt idx="57">
                  <c:v>11.198</c:v>
                </c:pt>
                <c:pt idx="58">
                  <c:v>11.510999999999999</c:v>
                </c:pt>
                <c:pt idx="59">
                  <c:v>11.731</c:v>
                </c:pt>
                <c:pt idx="60">
                  <c:v>11.821999999999999</c:v>
                </c:pt>
                <c:pt idx="61">
                  <c:v>11.955</c:v>
                </c:pt>
                <c:pt idx="62">
                  <c:v>12.044</c:v>
                </c:pt>
                <c:pt idx="63">
                  <c:v>12.497999999999999</c:v>
                </c:pt>
                <c:pt idx="64">
                  <c:v>12.881</c:v>
                </c:pt>
                <c:pt idx="65">
                  <c:v>12.862</c:v>
                </c:pt>
                <c:pt idx="66">
                  <c:v>12.749000000000001</c:v>
                </c:pt>
                <c:pt idx="67">
                  <c:v>12.586</c:v>
                </c:pt>
                <c:pt idx="68">
                  <c:v>12.567</c:v>
                </c:pt>
                <c:pt idx="69">
                  <c:v>12.635</c:v>
                </c:pt>
                <c:pt idx="70">
                  <c:v>12.294</c:v>
                </c:pt>
                <c:pt idx="71">
                  <c:v>12.409000000000001</c:v>
                </c:pt>
                <c:pt idx="72">
                  <c:v>12.413</c:v>
                </c:pt>
                <c:pt idx="73">
                  <c:v>12.22</c:v>
                </c:pt>
                <c:pt idx="74">
                  <c:v>12.071</c:v>
                </c:pt>
                <c:pt idx="75">
                  <c:v>11.859</c:v>
                </c:pt>
                <c:pt idx="76">
                  <c:v>11.542</c:v>
                </c:pt>
                <c:pt idx="77">
                  <c:v>11.288</c:v>
                </c:pt>
                <c:pt idx="78">
                  <c:v>11.021000000000001</c:v>
                </c:pt>
                <c:pt idx="79">
                  <c:v>10.656000000000001</c:v>
                </c:pt>
                <c:pt idx="80">
                  <c:v>10.298</c:v>
                </c:pt>
                <c:pt idx="81">
                  <c:v>9.9469999999999992</c:v>
                </c:pt>
                <c:pt idx="82">
                  <c:v>9.609</c:v>
                </c:pt>
                <c:pt idx="83">
                  <c:v>9.234</c:v>
                </c:pt>
                <c:pt idx="84">
                  <c:v>8.8650000000000002</c:v>
                </c:pt>
                <c:pt idx="85">
                  <c:v>8.4489999999999998</c:v>
                </c:pt>
                <c:pt idx="86">
                  <c:v>7.98</c:v>
                </c:pt>
                <c:pt idx="87">
                  <c:v>7.4059999999999997</c:v>
                </c:pt>
                <c:pt idx="88">
                  <c:v>7.08</c:v>
                </c:pt>
                <c:pt idx="89">
                  <c:v>6.55</c:v>
                </c:pt>
                <c:pt idx="90">
                  <c:v>6.3609999999999998</c:v>
                </c:pt>
                <c:pt idx="91">
                  <c:v>5.931</c:v>
                </c:pt>
                <c:pt idx="92">
                  <c:v>5.5789999999999997</c:v>
                </c:pt>
                <c:pt idx="93">
                  <c:v>5.1340000000000003</c:v>
                </c:pt>
                <c:pt idx="94">
                  <c:v>4.5839999999999996</c:v>
                </c:pt>
                <c:pt idx="95">
                  <c:v>4.2709999999999999</c:v>
                </c:pt>
                <c:pt idx="96">
                  <c:v>4.1340000000000003</c:v>
                </c:pt>
                <c:pt idx="97">
                  <c:v>3.7290000000000001</c:v>
                </c:pt>
                <c:pt idx="98">
                  <c:v>3.339</c:v>
                </c:pt>
                <c:pt idx="99">
                  <c:v>3.0329999999999999</c:v>
                </c:pt>
                <c:pt idx="100">
                  <c:v>2.7629999999999999</c:v>
                </c:pt>
                <c:pt idx="101">
                  <c:v>2.3719999999999999</c:v>
                </c:pt>
                <c:pt idx="102">
                  <c:v>2.12</c:v>
                </c:pt>
                <c:pt idx="103">
                  <c:v>1.722</c:v>
                </c:pt>
                <c:pt idx="104">
                  <c:v>1.452</c:v>
                </c:pt>
                <c:pt idx="105">
                  <c:v>1.2829999999999999</c:v>
                </c:pt>
                <c:pt idx="106">
                  <c:v>0.89100000000000001</c:v>
                </c:pt>
                <c:pt idx="107">
                  <c:v>0.379</c:v>
                </c:pt>
                <c:pt idx="108">
                  <c:v>0.127</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0.41699999999999998</c:v>
                </c:pt>
                <c:pt idx="123">
                  <c:v>5.024</c:v>
                </c:pt>
                <c:pt idx="124">
                  <c:v>10.645</c:v>
                </c:pt>
                <c:pt idx="125">
                  <c:v>16.071999999999999</c:v>
                </c:pt>
                <c:pt idx="126">
                  <c:v>21.916</c:v>
                </c:pt>
                <c:pt idx="127">
                  <c:v>31.824000000000002</c:v>
                </c:pt>
                <c:pt idx="128">
                  <c:v>41.970999999999997</c:v>
                </c:pt>
                <c:pt idx="129">
                  <c:v>60.697000000000003</c:v>
                </c:pt>
                <c:pt idx="130">
                  <c:v>136.67699999999999</c:v>
                </c:pt>
                <c:pt idx="131">
                  <c:v>172.708</c:v>
                </c:pt>
                <c:pt idx="132">
                  <c:v>169.251</c:v>
                </c:pt>
                <c:pt idx="133">
                  <c:v>157.55799999999999</c:v>
                </c:pt>
                <c:pt idx="134">
                  <c:v>145.27600000000001</c:v>
                </c:pt>
                <c:pt idx="135">
                  <c:v>132.71</c:v>
                </c:pt>
                <c:pt idx="136">
                  <c:v>118.431</c:v>
                </c:pt>
                <c:pt idx="137">
                  <c:v>107.962</c:v>
                </c:pt>
                <c:pt idx="138">
                  <c:v>96.617999999999995</c:v>
                </c:pt>
                <c:pt idx="139">
                  <c:v>86.626000000000005</c:v>
                </c:pt>
                <c:pt idx="140">
                  <c:v>80.766999999999996</c:v>
                </c:pt>
                <c:pt idx="141">
                  <c:v>69.162000000000006</c:v>
                </c:pt>
                <c:pt idx="142">
                  <c:v>57.683</c:v>
                </c:pt>
                <c:pt idx="143">
                  <c:v>51.826000000000001</c:v>
                </c:pt>
                <c:pt idx="144">
                  <c:v>50.079000000000001</c:v>
                </c:pt>
                <c:pt idx="145">
                  <c:v>48.567</c:v>
                </c:pt>
                <c:pt idx="146">
                  <c:v>47.188000000000002</c:v>
                </c:pt>
                <c:pt idx="147">
                  <c:v>45.174999999999997</c:v>
                </c:pt>
                <c:pt idx="148">
                  <c:v>43.475000000000001</c:v>
                </c:pt>
                <c:pt idx="149">
                  <c:v>41.569000000000003</c:v>
                </c:pt>
                <c:pt idx="150">
                  <c:v>39.473999999999997</c:v>
                </c:pt>
                <c:pt idx="151">
                  <c:v>37.780999999999999</c:v>
                </c:pt>
                <c:pt idx="152">
                  <c:v>35.939</c:v>
                </c:pt>
                <c:pt idx="153">
                  <c:v>34.305999999999997</c:v>
                </c:pt>
                <c:pt idx="154">
                  <c:v>19.675000000000001</c:v>
                </c:pt>
                <c:pt idx="155">
                  <c:v>6.35</c:v>
                </c:pt>
                <c:pt idx="156">
                  <c:v>4.899</c:v>
                </c:pt>
                <c:pt idx="157">
                  <c:v>2.8170000000000002</c:v>
                </c:pt>
                <c:pt idx="158">
                  <c:v>1.772</c:v>
                </c:pt>
                <c:pt idx="159">
                  <c:v>1.0740000000000001</c:v>
                </c:pt>
                <c:pt idx="160">
                  <c:v>0.59</c:v>
                </c:pt>
                <c:pt idx="161">
                  <c:v>0.48299999999999998</c:v>
                </c:pt>
                <c:pt idx="162">
                  <c:v>0.46600000000000003</c:v>
                </c:pt>
                <c:pt idx="163">
                  <c:v>0.45600000000000002</c:v>
                </c:pt>
                <c:pt idx="164">
                  <c:v>0.45700000000000002</c:v>
                </c:pt>
                <c:pt idx="165">
                  <c:v>0.44900000000000001</c:v>
                </c:pt>
                <c:pt idx="166">
                  <c:v>0.438</c:v>
                </c:pt>
                <c:pt idx="167">
                  <c:v>0.42499999999999999</c:v>
                </c:pt>
                <c:pt idx="168">
                  <c:v>0.40899999999999997</c:v>
                </c:pt>
                <c:pt idx="169">
                  <c:v>0.39900000000000002</c:v>
                </c:pt>
                <c:pt idx="170">
                  <c:v>0.38200000000000001</c:v>
                </c:pt>
                <c:pt idx="171">
                  <c:v>0.36799999999999999</c:v>
                </c:pt>
                <c:pt idx="172">
                  <c:v>0.35399999999999998</c:v>
                </c:pt>
                <c:pt idx="173">
                  <c:v>0.34</c:v>
                </c:pt>
                <c:pt idx="174">
                  <c:v>0.32900000000000001</c:v>
                </c:pt>
                <c:pt idx="175">
                  <c:v>0.32100000000000001</c:v>
                </c:pt>
                <c:pt idx="176">
                  <c:v>0.30599999999999999</c:v>
                </c:pt>
                <c:pt idx="177">
                  <c:v>0.29399999999999998</c:v>
                </c:pt>
              </c:numCache>
            </c:numRef>
          </c:yVal>
          <c:smooth val="1"/>
          <c:extLst xmlns:c16r2="http://schemas.microsoft.com/office/drawing/2015/06/chart">
            <c:ext xmlns:c16="http://schemas.microsoft.com/office/drawing/2014/chart" uri="{C3380CC4-5D6E-409C-BE32-E72D297353CC}">
              <c16:uniqueId val="{00000003-3F1A-4E18-AA08-29CD7D7C6E3A}"/>
            </c:ext>
          </c:extLst>
        </c:ser>
        <c:ser>
          <c:idx val="4"/>
          <c:order val="4"/>
          <c:tx>
            <c:strRef>
              <c:f>Sheet1!$F$1</c:f>
              <c:strCache>
                <c:ptCount val="1"/>
                <c:pt idx="0">
                  <c:v>Bourke</c:v>
                </c:pt>
              </c:strCache>
            </c:strRef>
          </c:tx>
          <c:spPr>
            <a:ln w="19050" cap="rnd">
              <a:solidFill>
                <a:schemeClr val="accent5"/>
              </a:solidFill>
              <a:round/>
            </a:ln>
            <a:effectLst/>
          </c:spPr>
          <c:marker>
            <c:symbol val="none"/>
          </c:marker>
          <c:xVal>
            <c:numRef>
              <c:f>Sheet1!$A$2:$A$180</c:f>
              <c:numCache>
                <c:formatCode>m\/d\/yyyy</c:formatCode>
                <c:ptCount val="179"/>
                <c:pt idx="0">
                  <c:v>43525</c:v>
                </c:pt>
                <c:pt idx="1">
                  <c:v>43526</c:v>
                </c:pt>
                <c:pt idx="2">
                  <c:v>43527</c:v>
                </c:pt>
                <c:pt idx="3">
                  <c:v>43528</c:v>
                </c:pt>
                <c:pt idx="4">
                  <c:v>43529</c:v>
                </c:pt>
                <c:pt idx="5">
                  <c:v>43530</c:v>
                </c:pt>
                <c:pt idx="6">
                  <c:v>43531</c:v>
                </c:pt>
                <c:pt idx="7">
                  <c:v>43532</c:v>
                </c:pt>
                <c:pt idx="8">
                  <c:v>43533</c:v>
                </c:pt>
                <c:pt idx="9">
                  <c:v>43534</c:v>
                </c:pt>
                <c:pt idx="10">
                  <c:v>43535</c:v>
                </c:pt>
                <c:pt idx="11">
                  <c:v>43536</c:v>
                </c:pt>
                <c:pt idx="12">
                  <c:v>43537</c:v>
                </c:pt>
                <c:pt idx="13">
                  <c:v>43538</c:v>
                </c:pt>
                <c:pt idx="14">
                  <c:v>43539</c:v>
                </c:pt>
                <c:pt idx="15">
                  <c:v>43540</c:v>
                </c:pt>
                <c:pt idx="16">
                  <c:v>43541</c:v>
                </c:pt>
                <c:pt idx="17">
                  <c:v>43542</c:v>
                </c:pt>
                <c:pt idx="18">
                  <c:v>43543</c:v>
                </c:pt>
                <c:pt idx="19">
                  <c:v>43544</c:v>
                </c:pt>
                <c:pt idx="20">
                  <c:v>43545</c:v>
                </c:pt>
                <c:pt idx="21">
                  <c:v>43546</c:v>
                </c:pt>
                <c:pt idx="22">
                  <c:v>43547</c:v>
                </c:pt>
                <c:pt idx="23">
                  <c:v>43548</c:v>
                </c:pt>
                <c:pt idx="24">
                  <c:v>43549</c:v>
                </c:pt>
                <c:pt idx="25">
                  <c:v>43550</c:v>
                </c:pt>
                <c:pt idx="26">
                  <c:v>43551</c:v>
                </c:pt>
                <c:pt idx="27">
                  <c:v>43552</c:v>
                </c:pt>
                <c:pt idx="28">
                  <c:v>43553</c:v>
                </c:pt>
                <c:pt idx="29">
                  <c:v>43554</c:v>
                </c:pt>
                <c:pt idx="30">
                  <c:v>43555</c:v>
                </c:pt>
                <c:pt idx="31">
                  <c:v>43556</c:v>
                </c:pt>
                <c:pt idx="32">
                  <c:v>43557</c:v>
                </c:pt>
                <c:pt idx="33">
                  <c:v>43558</c:v>
                </c:pt>
                <c:pt idx="34">
                  <c:v>43559</c:v>
                </c:pt>
                <c:pt idx="35">
                  <c:v>43560</c:v>
                </c:pt>
                <c:pt idx="36">
                  <c:v>43561</c:v>
                </c:pt>
                <c:pt idx="37">
                  <c:v>43562</c:v>
                </c:pt>
                <c:pt idx="38">
                  <c:v>43563</c:v>
                </c:pt>
                <c:pt idx="39">
                  <c:v>43564</c:v>
                </c:pt>
                <c:pt idx="40">
                  <c:v>43565</c:v>
                </c:pt>
                <c:pt idx="41">
                  <c:v>43566</c:v>
                </c:pt>
                <c:pt idx="42">
                  <c:v>43567</c:v>
                </c:pt>
                <c:pt idx="43">
                  <c:v>43568</c:v>
                </c:pt>
                <c:pt idx="44">
                  <c:v>43569</c:v>
                </c:pt>
                <c:pt idx="45">
                  <c:v>43570</c:v>
                </c:pt>
                <c:pt idx="46">
                  <c:v>43571</c:v>
                </c:pt>
                <c:pt idx="47">
                  <c:v>43572</c:v>
                </c:pt>
                <c:pt idx="48">
                  <c:v>43573</c:v>
                </c:pt>
                <c:pt idx="49">
                  <c:v>43574</c:v>
                </c:pt>
                <c:pt idx="50">
                  <c:v>43575</c:v>
                </c:pt>
                <c:pt idx="51">
                  <c:v>43576</c:v>
                </c:pt>
                <c:pt idx="52">
                  <c:v>43577</c:v>
                </c:pt>
                <c:pt idx="53">
                  <c:v>43578</c:v>
                </c:pt>
                <c:pt idx="54">
                  <c:v>43579</c:v>
                </c:pt>
                <c:pt idx="55">
                  <c:v>43580</c:v>
                </c:pt>
                <c:pt idx="56">
                  <c:v>43581</c:v>
                </c:pt>
                <c:pt idx="57">
                  <c:v>43582</c:v>
                </c:pt>
                <c:pt idx="58">
                  <c:v>43583</c:v>
                </c:pt>
                <c:pt idx="59">
                  <c:v>43584</c:v>
                </c:pt>
                <c:pt idx="60">
                  <c:v>43585</c:v>
                </c:pt>
                <c:pt idx="61">
                  <c:v>43586</c:v>
                </c:pt>
                <c:pt idx="62">
                  <c:v>43587</c:v>
                </c:pt>
                <c:pt idx="63">
                  <c:v>43588</c:v>
                </c:pt>
                <c:pt idx="64">
                  <c:v>43589</c:v>
                </c:pt>
                <c:pt idx="65">
                  <c:v>43590</c:v>
                </c:pt>
                <c:pt idx="66">
                  <c:v>43591</c:v>
                </c:pt>
                <c:pt idx="67">
                  <c:v>43592</c:v>
                </c:pt>
                <c:pt idx="68">
                  <c:v>43593</c:v>
                </c:pt>
                <c:pt idx="69">
                  <c:v>43594</c:v>
                </c:pt>
                <c:pt idx="70">
                  <c:v>43595</c:v>
                </c:pt>
                <c:pt idx="71">
                  <c:v>43596</c:v>
                </c:pt>
                <c:pt idx="72">
                  <c:v>43597</c:v>
                </c:pt>
                <c:pt idx="73">
                  <c:v>43598</c:v>
                </c:pt>
                <c:pt idx="74">
                  <c:v>43599</c:v>
                </c:pt>
                <c:pt idx="75">
                  <c:v>43600</c:v>
                </c:pt>
                <c:pt idx="76">
                  <c:v>43601</c:v>
                </c:pt>
                <c:pt idx="77">
                  <c:v>43602</c:v>
                </c:pt>
                <c:pt idx="78">
                  <c:v>43603</c:v>
                </c:pt>
                <c:pt idx="79">
                  <c:v>43604</c:v>
                </c:pt>
                <c:pt idx="80">
                  <c:v>43605</c:v>
                </c:pt>
                <c:pt idx="81">
                  <c:v>43606</c:v>
                </c:pt>
                <c:pt idx="82">
                  <c:v>43607</c:v>
                </c:pt>
                <c:pt idx="83">
                  <c:v>43608</c:v>
                </c:pt>
                <c:pt idx="84">
                  <c:v>43609</c:v>
                </c:pt>
                <c:pt idx="85">
                  <c:v>43610</c:v>
                </c:pt>
                <c:pt idx="86">
                  <c:v>43611</c:v>
                </c:pt>
                <c:pt idx="87">
                  <c:v>43612</c:v>
                </c:pt>
                <c:pt idx="88">
                  <c:v>43613</c:v>
                </c:pt>
                <c:pt idx="89">
                  <c:v>43614</c:v>
                </c:pt>
                <c:pt idx="90">
                  <c:v>43615</c:v>
                </c:pt>
                <c:pt idx="91">
                  <c:v>43616</c:v>
                </c:pt>
                <c:pt idx="92">
                  <c:v>43617</c:v>
                </c:pt>
                <c:pt idx="93">
                  <c:v>43618</c:v>
                </c:pt>
                <c:pt idx="94">
                  <c:v>43619</c:v>
                </c:pt>
                <c:pt idx="95">
                  <c:v>43620</c:v>
                </c:pt>
                <c:pt idx="96">
                  <c:v>43621</c:v>
                </c:pt>
                <c:pt idx="97">
                  <c:v>43622</c:v>
                </c:pt>
                <c:pt idx="98">
                  <c:v>43623</c:v>
                </c:pt>
                <c:pt idx="99">
                  <c:v>43624</c:v>
                </c:pt>
                <c:pt idx="100">
                  <c:v>43625</c:v>
                </c:pt>
                <c:pt idx="101">
                  <c:v>43626</c:v>
                </c:pt>
                <c:pt idx="102">
                  <c:v>43627</c:v>
                </c:pt>
                <c:pt idx="103">
                  <c:v>43628</c:v>
                </c:pt>
                <c:pt idx="104">
                  <c:v>43629</c:v>
                </c:pt>
                <c:pt idx="105">
                  <c:v>43630</c:v>
                </c:pt>
                <c:pt idx="106">
                  <c:v>43631</c:v>
                </c:pt>
                <c:pt idx="107">
                  <c:v>43632</c:v>
                </c:pt>
                <c:pt idx="108">
                  <c:v>43633</c:v>
                </c:pt>
                <c:pt idx="109">
                  <c:v>43634</c:v>
                </c:pt>
                <c:pt idx="110">
                  <c:v>43635</c:v>
                </c:pt>
                <c:pt idx="111">
                  <c:v>43636</c:v>
                </c:pt>
                <c:pt idx="112">
                  <c:v>43637</c:v>
                </c:pt>
                <c:pt idx="113">
                  <c:v>43638</c:v>
                </c:pt>
                <c:pt idx="114">
                  <c:v>43639</c:v>
                </c:pt>
                <c:pt idx="115">
                  <c:v>43640</c:v>
                </c:pt>
                <c:pt idx="116">
                  <c:v>43641</c:v>
                </c:pt>
                <c:pt idx="117">
                  <c:v>43642</c:v>
                </c:pt>
                <c:pt idx="118">
                  <c:v>43643</c:v>
                </c:pt>
                <c:pt idx="119">
                  <c:v>43644</c:v>
                </c:pt>
                <c:pt idx="120">
                  <c:v>43645</c:v>
                </c:pt>
                <c:pt idx="121">
                  <c:v>43646</c:v>
                </c:pt>
                <c:pt idx="122">
                  <c:v>43647</c:v>
                </c:pt>
                <c:pt idx="123">
                  <c:v>43648</c:v>
                </c:pt>
                <c:pt idx="124">
                  <c:v>43649</c:v>
                </c:pt>
                <c:pt idx="125">
                  <c:v>43650</c:v>
                </c:pt>
                <c:pt idx="126">
                  <c:v>43651</c:v>
                </c:pt>
                <c:pt idx="127">
                  <c:v>43652</c:v>
                </c:pt>
                <c:pt idx="128">
                  <c:v>43653</c:v>
                </c:pt>
                <c:pt idx="129">
                  <c:v>43654</c:v>
                </c:pt>
                <c:pt idx="130">
                  <c:v>43655</c:v>
                </c:pt>
                <c:pt idx="131">
                  <c:v>43656</c:v>
                </c:pt>
                <c:pt idx="132">
                  <c:v>43657</c:v>
                </c:pt>
                <c:pt idx="133">
                  <c:v>43658</c:v>
                </c:pt>
                <c:pt idx="134">
                  <c:v>43659</c:v>
                </c:pt>
                <c:pt idx="135">
                  <c:v>43660</c:v>
                </c:pt>
                <c:pt idx="136">
                  <c:v>43661</c:v>
                </c:pt>
                <c:pt idx="137">
                  <c:v>43662</c:v>
                </c:pt>
                <c:pt idx="138">
                  <c:v>43663</c:v>
                </c:pt>
                <c:pt idx="139">
                  <c:v>43664</c:v>
                </c:pt>
                <c:pt idx="140">
                  <c:v>43665</c:v>
                </c:pt>
                <c:pt idx="141">
                  <c:v>43666</c:v>
                </c:pt>
                <c:pt idx="142">
                  <c:v>43667</c:v>
                </c:pt>
                <c:pt idx="143">
                  <c:v>43668</c:v>
                </c:pt>
                <c:pt idx="144">
                  <c:v>43669</c:v>
                </c:pt>
                <c:pt idx="145">
                  <c:v>43670</c:v>
                </c:pt>
                <c:pt idx="146">
                  <c:v>43671</c:v>
                </c:pt>
                <c:pt idx="147">
                  <c:v>43672</c:v>
                </c:pt>
                <c:pt idx="148">
                  <c:v>43673</c:v>
                </c:pt>
                <c:pt idx="149">
                  <c:v>43674</c:v>
                </c:pt>
                <c:pt idx="150">
                  <c:v>43675</c:v>
                </c:pt>
                <c:pt idx="151">
                  <c:v>43676</c:v>
                </c:pt>
                <c:pt idx="152">
                  <c:v>43677</c:v>
                </c:pt>
                <c:pt idx="153">
                  <c:v>43678</c:v>
                </c:pt>
                <c:pt idx="154">
                  <c:v>43679</c:v>
                </c:pt>
                <c:pt idx="155">
                  <c:v>43680</c:v>
                </c:pt>
                <c:pt idx="156">
                  <c:v>43681</c:v>
                </c:pt>
                <c:pt idx="157">
                  <c:v>43682</c:v>
                </c:pt>
                <c:pt idx="158">
                  <c:v>43683</c:v>
                </c:pt>
                <c:pt idx="159">
                  <c:v>43684</c:v>
                </c:pt>
                <c:pt idx="160">
                  <c:v>43685</c:v>
                </c:pt>
                <c:pt idx="161">
                  <c:v>43686</c:v>
                </c:pt>
                <c:pt idx="162">
                  <c:v>43687</c:v>
                </c:pt>
                <c:pt idx="163">
                  <c:v>43688</c:v>
                </c:pt>
                <c:pt idx="164">
                  <c:v>43689</c:v>
                </c:pt>
                <c:pt idx="165">
                  <c:v>43690</c:v>
                </c:pt>
                <c:pt idx="166">
                  <c:v>43691</c:v>
                </c:pt>
                <c:pt idx="167">
                  <c:v>43692</c:v>
                </c:pt>
                <c:pt idx="168">
                  <c:v>43693</c:v>
                </c:pt>
                <c:pt idx="169">
                  <c:v>43694</c:v>
                </c:pt>
                <c:pt idx="170">
                  <c:v>43695</c:v>
                </c:pt>
                <c:pt idx="171">
                  <c:v>43696</c:v>
                </c:pt>
                <c:pt idx="172">
                  <c:v>43697</c:v>
                </c:pt>
                <c:pt idx="173">
                  <c:v>43698</c:v>
                </c:pt>
                <c:pt idx="174">
                  <c:v>43699</c:v>
                </c:pt>
                <c:pt idx="175">
                  <c:v>43700</c:v>
                </c:pt>
                <c:pt idx="176">
                  <c:v>43701</c:v>
                </c:pt>
                <c:pt idx="177">
                  <c:v>43702</c:v>
                </c:pt>
                <c:pt idx="178">
                  <c:v>43703</c:v>
                </c:pt>
              </c:numCache>
            </c:numRef>
          </c:xVal>
          <c:yVal>
            <c:numRef>
              <c:f>Sheet1!$F$2:$F$180</c:f>
              <c:numCache>
                <c:formatCode>General</c:formatCode>
                <c:ptCount val="17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numCache>
            </c:numRef>
          </c:yVal>
          <c:smooth val="1"/>
          <c:extLst xmlns:c16r2="http://schemas.microsoft.com/office/drawing/2015/06/chart">
            <c:ext xmlns:c16="http://schemas.microsoft.com/office/drawing/2014/chart" uri="{C3380CC4-5D6E-409C-BE32-E72D297353CC}">
              <c16:uniqueId val="{00000004-3F1A-4E18-AA08-29CD7D7C6E3A}"/>
            </c:ext>
          </c:extLst>
        </c:ser>
        <c:dLbls>
          <c:showLegendKey val="0"/>
          <c:showVal val="0"/>
          <c:showCatName val="0"/>
          <c:showSerName val="0"/>
          <c:showPercent val="0"/>
          <c:showBubbleSize val="0"/>
        </c:dLbls>
        <c:axId val="517443112"/>
        <c:axId val="203503224"/>
      </c:scatterChart>
      <c:valAx>
        <c:axId val="517443112"/>
        <c:scaling>
          <c:orientation val="minMax"/>
          <c:max val="43700"/>
          <c:min val="43540"/>
        </c:scaling>
        <c:delete val="0"/>
        <c:axPos val="b"/>
        <c:numFmt formatCode="m/d/yyyy"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503224"/>
        <c:crosses val="autoZero"/>
        <c:crossBetween val="midCat"/>
        <c:majorUnit val="30"/>
      </c:valAx>
      <c:valAx>
        <c:axId val="203503224"/>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Flow (ML/d)</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44311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0482122814082E-2"/>
          <c:y val="5.5231115261492172E-2"/>
          <c:w val="0.8288980661965677"/>
          <c:h val="0.58810903713177987"/>
        </c:manualLayout>
      </c:layout>
      <c:scatterChart>
        <c:scatterStyle val="lineMarker"/>
        <c:varyColors val="0"/>
        <c:dLbls>
          <c:showLegendKey val="0"/>
          <c:showVal val="0"/>
          <c:showCatName val="0"/>
          <c:showSerName val="0"/>
          <c:showPercent val="0"/>
          <c:showBubbleSize val="0"/>
        </c:dLbls>
        <c:axId val="517957640"/>
        <c:axId val="516930592"/>
      </c:scatterChart>
      <c:valAx>
        <c:axId val="517957640"/>
        <c:scaling>
          <c:orientation val="minMax"/>
          <c:max val="43655"/>
          <c:min val="43524"/>
        </c:scaling>
        <c:delete val="1"/>
        <c:axPos val="b"/>
        <c:numFmt formatCode="m/d/yyyy" sourceLinked="1"/>
        <c:majorTickMark val="out"/>
        <c:minorTickMark val="none"/>
        <c:tickLblPos val="nextTo"/>
        <c:crossAx val="516930592"/>
        <c:crosses val="autoZero"/>
        <c:crossBetween val="midCat"/>
        <c:majorUnit val="5"/>
      </c:valAx>
      <c:valAx>
        <c:axId val="516930592"/>
        <c:scaling>
          <c:orientation val="minMax"/>
        </c:scaling>
        <c:delete val="0"/>
        <c:axPos val="l"/>
        <c:title>
          <c:tx>
            <c:rich>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Flow (ML/d)</a:t>
                </a:r>
              </a:p>
            </c:rich>
          </c:tx>
          <c:layout>
            <c:manualLayout>
              <c:xMode val="edge"/>
              <c:yMode val="edge"/>
              <c:x val="0.96304421958136621"/>
              <c:y val="0.18947127455860818"/>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957640"/>
        <c:crossesAt val="43655"/>
        <c:crossBetween val="midCat"/>
      </c:valAx>
      <c:spPr>
        <a:noFill/>
        <a:ln>
          <a:noFill/>
        </a:ln>
        <a:effectLst/>
      </c:spPr>
    </c:plotArea>
    <c:legend>
      <c:legendPos val="r"/>
      <c:layout>
        <c:manualLayout>
          <c:xMode val="edge"/>
          <c:yMode val="edge"/>
          <c:x val="0.6381487923367577"/>
          <c:y val="0.89210646792847903"/>
          <c:w val="0.16288948103467474"/>
          <c:h val="6.385094191456215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0482122814082E-2"/>
          <c:y val="5.5231115261492172E-2"/>
          <c:w val="0.82454550906925539"/>
          <c:h val="0.58810903713177987"/>
        </c:manualLayout>
      </c:layout>
      <c:scatterChart>
        <c:scatterStyle val="lineMarker"/>
        <c:varyColors val="0"/>
        <c:dLbls>
          <c:showLegendKey val="0"/>
          <c:showVal val="0"/>
          <c:showCatName val="0"/>
          <c:showSerName val="0"/>
          <c:showPercent val="0"/>
          <c:showBubbleSize val="0"/>
        </c:dLbls>
        <c:axId val="520708856"/>
        <c:axId val="520709248"/>
      </c:scatterChart>
      <c:valAx>
        <c:axId val="520708856"/>
        <c:scaling>
          <c:orientation val="minMax"/>
          <c:max val="43655"/>
          <c:min val="43524"/>
        </c:scaling>
        <c:delete val="0"/>
        <c:axPos val="b"/>
        <c:numFmt formatCode="m/d/yyyy" sourceLinked="1"/>
        <c:majorTickMark val="out"/>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709248"/>
        <c:crosses val="autoZero"/>
        <c:crossBetween val="midCat"/>
        <c:majorUnit val="5"/>
      </c:valAx>
      <c:valAx>
        <c:axId val="520709248"/>
        <c:scaling>
          <c:orientation val="minMax"/>
        </c:scaling>
        <c:delete val="0"/>
        <c:axPos val="l"/>
        <c:title>
          <c:tx>
            <c:rich>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Flow (ML/d)</a:t>
                </a:r>
              </a:p>
            </c:rich>
          </c:tx>
          <c:layout>
            <c:manualLayout>
              <c:xMode val="edge"/>
              <c:yMode val="edge"/>
              <c:x val="0.96304421958136621"/>
              <c:y val="0.18947127455860818"/>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708856"/>
        <c:crossesAt val="43655"/>
        <c:crossBetween val="midCat"/>
      </c:valAx>
      <c:spPr>
        <a:noFill/>
        <a:ln w="25400">
          <a:noFill/>
        </a:ln>
        <a:effectLst/>
      </c:spPr>
    </c:plotArea>
    <c:legend>
      <c:legendPos val="r"/>
      <c:layout>
        <c:manualLayout>
          <c:xMode val="edge"/>
          <c:yMode val="edge"/>
          <c:x val="0.65555902084600681"/>
          <c:y val="0.90149922422595208"/>
          <c:w val="0.16288948103467474"/>
          <c:h val="6.385094191456215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Colli 2</a:t>
            </a:r>
          </a:p>
        </c:rich>
      </c:tx>
      <c:layout>
        <c:manualLayout>
          <c:xMode val="edge"/>
          <c:yMode val="edge"/>
          <c:x val="0.37951631046119244"/>
          <c:y val="2.777788702206016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178937007874017"/>
          <c:y val="0.20871956649371737"/>
          <c:w val="0.831321741032371"/>
          <c:h val="0.56873821917461875"/>
        </c:manualLayout>
      </c:layout>
      <c:scatterChart>
        <c:scatterStyle val="lineMarker"/>
        <c:varyColors val="0"/>
        <c:ser>
          <c:idx val="0"/>
          <c:order val="0"/>
          <c:tx>
            <c:strRef>
              <c:f>Colli!$E$3</c:f>
              <c:strCache>
                <c:ptCount val="1"/>
                <c:pt idx="0">
                  <c:v>DO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Colli!$E$9:$E$13</c:f>
              <c:numCache>
                <c:formatCode>General</c:formatCode>
                <c:ptCount val="5"/>
                <c:pt idx="0">
                  <c:v>5.38</c:v>
                </c:pt>
                <c:pt idx="1">
                  <c:v>6.25</c:v>
                </c:pt>
                <c:pt idx="2">
                  <c:v>6.8</c:v>
                </c:pt>
                <c:pt idx="3">
                  <c:v>1.78</c:v>
                </c:pt>
                <c:pt idx="4">
                  <c:v>0.78</c:v>
                </c:pt>
              </c:numCache>
            </c:numRef>
          </c:xVal>
          <c:yVal>
            <c:numRef>
              <c:f>Colli!$A$9:$A$13</c:f>
              <c:numCache>
                <c:formatCode>General</c:formatCode>
                <c:ptCount val="5"/>
                <c:pt idx="0">
                  <c:v>0</c:v>
                </c:pt>
                <c:pt idx="1">
                  <c:v>1</c:v>
                </c:pt>
                <c:pt idx="2">
                  <c:v>2</c:v>
                </c:pt>
                <c:pt idx="3">
                  <c:v>3</c:v>
                </c:pt>
                <c:pt idx="4">
                  <c:v>4</c:v>
                </c:pt>
              </c:numCache>
            </c:numRef>
          </c:yVal>
          <c:smooth val="0"/>
          <c:extLst xmlns:c16r2="http://schemas.microsoft.com/office/drawing/2015/06/chart">
            <c:ext xmlns:c16="http://schemas.microsoft.com/office/drawing/2014/chart" uri="{C3380CC4-5D6E-409C-BE32-E72D297353CC}">
              <c16:uniqueId val="{00000000-01DF-42A4-B072-B34269D170F2}"/>
            </c:ext>
          </c:extLst>
        </c:ser>
        <c:dLbls>
          <c:showLegendKey val="0"/>
          <c:showVal val="0"/>
          <c:showCatName val="0"/>
          <c:showSerName val="0"/>
          <c:showPercent val="0"/>
          <c:showBubbleSize val="0"/>
        </c:dLbls>
        <c:axId val="516928632"/>
        <c:axId val="516929024"/>
      </c:scatterChart>
      <c:valAx>
        <c:axId val="516928632"/>
        <c:scaling>
          <c:orientation val="minMax"/>
          <c:max val="10"/>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DO mg/l</a:t>
                </a:r>
              </a:p>
            </c:rich>
          </c:tx>
          <c:layout>
            <c:manualLayout>
              <c:xMode val="edge"/>
              <c:yMode val="edge"/>
              <c:x val="0.49557524059492564"/>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929024"/>
        <c:crossesAt val="5"/>
        <c:crossBetween val="midCat"/>
      </c:valAx>
      <c:valAx>
        <c:axId val="516929024"/>
        <c:scaling>
          <c:orientation val="maxMin"/>
          <c:max val="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Depth (m)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928632"/>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Colli Spot 3</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178937007874017"/>
          <c:y val="0.18724297363185474"/>
          <c:w val="0.831321741032371"/>
          <c:h val="0.59037464622971947"/>
        </c:manualLayout>
      </c:layout>
      <c:scatterChart>
        <c:scatterStyle val="lineMarker"/>
        <c:varyColors val="0"/>
        <c:ser>
          <c:idx val="0"/>
          <c:order val="0"/>
          <c:tx>
            <c:strRef>
              <c:f>Colli!$E$3</c:f>
              <c:strCache>
                <c:ptCount val="1"/>
                <c:pt idx="0">
                  <c:v>DO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Colli!$E$16:$E$20</c:f>
              <c:numCache>
                <c:formatCode>General</c:formatCode>
                <c:ptCount val="5"/>
                <c:pt idx="0">
                  <c:v>5.94</c:v>
                </c:pt>
                <c:pt idx="1">
                  <c:v>7.01</c:v>
                </c:pt>
                <c:pt idx="2">
                  <c:v>6.42</c:v>
                </c:pt>
                <c:pt idx="3">
                  <c:v>3.43</c:v>
                </c:pt>
                <c:pt idx="4">
                  <c:v>0.45</c:v>
                </c:pt>
              </c:numCache>
            </c:numRef>
          </c:xVal>
          <c:yVal>
            <c:numRef>
              <c:f>Colli!$A$16:$A$20</c:f>
              <c:numCache>
                <c:formatCode>General</c:formatCode>
                <c:ptCount val="5"/>
                <c:pt idx="0">
                  <c:v>0</c:v>
                </c:pt>
                <c:pt idx="1">
                  <c:v>1</c:v>
                </c:pt>
                <c:pt idx="2">
                  <c:v>2</c:v>
                </c:pt>
                <c:pt idx="3">
                  <c:v>3</c:v>
                </c:pt>
                <c:pt idx="4">
                  <c:v>4</c:v>
                </c:pt>
              </c:numCache>
            </c:numRef>
          </c:yVal>
          <c:smooth val="0"/>
          <c:extLst xmlns:c16r2="http://schemas.microsoft.com/office/drawing/2015/06/chart">
            <c:ext xmlns:c16="http://schemas.microsoft.com/office/drawing/2014/chart" uri="{C3380CC4-5D6E-409C-BE32-E72D297353CC}">
              <c16:uniqueId val="{00000000-F606-4031-A3A7-BE206480B33C}"/>
            </c:ext>
          </c:extLst>
        </c:ser>
        <c:dLbls>
          <c:showLegendKey val="0"/>
          <c:showVal val="0"/>
          <c:showCatName val="0"/>
          <c:showSerName val="0"/>
          <c:showPercent val="0"/>
          <c:showBubbleSize val="0"/>
        </c:dLbls>
        <c:axId val="516929808"/>
        <c:axId val="516930200"/>
      </c:scatterChart>
      <c:valAx>
        <c:axId val="516929808"/>
        <c:scaling>
          <c:orientation val="minMax"/>
          <c:max val="10"/>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DO mg/l</a:t>
                </a:r>
              </a:p>
            </c:rich>
          </c:tx>
          <c:layout>
            <c:manualLayout>
              <c:xMode val="edge"/>
              <c:yMode val="edge"/>
              <c:x val="0.49557524059492564"/>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930200"/>
        <c:crossesAt val="5"/>
        <c:crossBetween val="midCat"/>
      </c:valAx>
      <c:valAx>
        <c:axId val="516930200"/>
        <c:scaling>
          <c:orientation val="maxMin"/>
          <c:max val="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Depth (m)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92980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66702592864643"/>
          <c:y val="2.6350502466086681E-2"/>
          <c:w val="0.78829984416725607"/>
          <c:h val="0.68127119331161734"/>
        </c:manualLayout>
      </c:layout>
      <c:scatterChart>
        <c:scatterStyle val="lineMarker"/>
        <c:varyColors val="0"/>
        <c:ser>
          <c:idx val="1"/>
          <c:order val="0"/>
          <c:tx>
            <c:strRef>
              <c:f>'depth averages'!$P$1</c:f>
              <c:strCache>
                <c:ptCount val="1"/>
                <c:pt idx="0">
                  <c:v>Devils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'depth averages'!$Q$9:$Q$13</c:f>
              <c:numCache>
                <c:formatCode>0.00</c:formatCode>
                <c:ptCount val="5"/>
                <c:pt idx="0">
                  <c:v>25.01</c:v>
                </c:pt>
                <c:pt idx="1">
                  <c:v>24.85</c:v>
                </c:pt>
                <c:pt idx="2">
                  <c:v>24.54</c:v>
                </c:pt>
                <c:pt idx="3">
                  <c:v>23.130000000000003</c:v>
                </c:pt>
                <c:pt idx="4">
                  <c:v>19.164999999999999</c:v>
                </c:pt>
              </c:numCache>
            </c:numRef>
          </c:xVal>
          <c:yVal>
            <c:numRef>
              <c:f>'depth averages'!$M$9:$M$13</c:f>
              <c:numCache>
                <c:formatCode>General</c:formatCode>
                <c:ptCount val="5"/>
                <c:pt idx="0">
                  <c:v>0.2</c:v>
                </c:pt>
                <c:pt idx="1">
                  <c:v>1</c:v>
                </c:pt>
                <c:pt idx="2">
                  <c:v>2</c:v>
                </c:pt>
                <c:pt idx="3">
                  <c:v>3</c:v>
                </c:pt>
                <c:pt idx="4">
                  <c:v>4</c:v>
                </c:pt>
              </c:numCache>
            </c:numRef>
          </c:yVal>
          <c:smooth val="0"/>
          <c:extLst xmlns:c16r2="http://schemas.microsoft.com/office/drawing/2015/06/chart">
            <c:ext xmlns:c16="http://schemas.microsoft.com/office/drawing/2014/chart" uri="{C3380CC4-5D6E-409C-BE32-E72D297353CC}">
              <c16:uniqueId val="{00000001-15A0-4C3D-9405-20F90D0F826E}"/>
            </c:ext>
          </c:extLst>
        </c:ser>
        <c:ser>
          <c:idx val="2"/>
          <c:order val="1"/>
          <c:tx>
            <c:strRef>
              <c:f>'depth averages'!$R$1</c:f>
              <c:strCache>
                <c:ptCount val="1"/>
                <c:pt idx="0">
                  <c:v>DS Colli weir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'depth averages'!$S$3:$S$4</c:f>
              <c:numCache>
                <c:formatCode>0.00</c:formatCode>
                <c:ptCount val="2"/>
                <c:pt idx="0">
                  <c:v>24.63</c:v>
                </c:pt>
                <c:pt idx="1">
                  <c:v>23.869999999999997</c:v>
                </c:pt>
              </c:numCache>
            </c:numRef>
          </c:xVal>
          <c:yVal>
            <c:numRef>
              <c:f>'depth averages'!$M$3:$M$4</c:f>
              <c:numCache>
                <c:formatCode>General</c:formatCode>
                <c:ptCount val="2"/>
                <c:pt idx="0">
                  <c:v>0.2</c:v>
                </c:pt>
                <c:pt idx="1">
                  <c:v>1</c:v>
                </c:pt>
              </c:numCache>
            </c:numRef>
          </c:yVal>
          <c:smooth val="0"/>
          <c:extLst xmlns:c16r2="http://schemas.microsoft.com/office/drawing/2015/06/chart">
            <c:ext xmlns:c16="http://schemas.microsoft.com/office/drawing/2014/chart" uri="{C3380CC4-5D6E-409C-BE32-E72D297353CC}">
              <c16:uniqueId val="{00000002-15A0-4C3D-9405-20F90D0F826E}"/>
            </c:ext>
          </c:extLst>
        </c:ser>
        <c:dLbls>
          <c:showLegendKey val="0"/>
          <c:showVal val="0"/>
          <c:showCatName val="0"/>
          <c:showSerName val="0"/>
          <c:showPercent val="0"/>
          <c:showBubbleSize val="0"/>
        </c:dLbls>
        <c:axId val="516931376"/>
        <c:axId val="516931768"/>
      </c:scatterChart>
      <c:valAx>
        <c:axId val="516931376"/>
        <c:scaling>
          <c:orientation val="minMax"/>
          <c:max val="27"/>
          <c:min val="19"/>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 (</a:t>
                </a:r>
                <a:r>
                  <a:rPr lang="en-AU" baseline="30000"/>
                  <a:t>o</a:t>
                </a:r>
                <a:r>
                  <a:rPr lang="en-AU"/>
                  <a:t>C)</a:t>
                </a:r>
              </a:p>
            </c:rich>
          </c:tx>
          <c:layout>
            <c:manualLayout>
              <c:xMode val="edge"/>
              <c:yMode val="edge"/>
              <c:x val="0.466451338308082"/>
              <c:y val="0.809971050711332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in"/>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931768"/>
        <c:crossesAt val="5"/>
        <c:crossBetween val="midCat"/>
      </c:valAx>
      <c:valAx>
        <c:axId val="516931768"/>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Depth (m)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931376"/>
        <c:crosses val="autoZero"/>
        <c:crossBetween val="midCat"/>
      </c:valAx>
      <c:spPr>
        <a:noFill/>
        <a:ln>
          <a:noFill/>
        </a:ln>
        <a:effectLst/>
      </c:spPr>
    </c:plotArea>
    <c:legend>
      <c:legendPos val="r"/>
      <c:layout>
        <c:manualLayout>
          <c:xMode val="edge"/>
          <c:yMode val="edge"/>
          <c:x val="8.3777003836058947E-2"/>
          <c:y val="0.90256937672304216"/>
          <c:w val="0.91622299616394109"/>
          <c:h val="9.74305304204710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03263074648421"/>
          <c:y val="7.0955104296173507E-2"/>
          <c:w val="0.76015541725406599"/>
          <c:h val="0.64857231599437604"/>
        </c:manualLayout>
      </c:layout>
      <c:scatterChart>
        <c:scatterStyle val="lineMarker"/>
        <c:varyColors val="0"/>
        <c:ser>
          <c:idx val="1"/>
          <c:order val="0"/>
          <c:tx>
            <c:strRef>
              <c:f>'depth averages'!$P$1</c:f>
              <c:strCache>
                <c:ptCount val="1"/>
                <c:pt idx="0">
                  <c:v>Devils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'depth averages'!$P$9:$P$13</c:f>
              <c:numCache>
                <c:formatCode>0.00</c:formatCode>
                <c:ptCount val="5"/>
                <c:pt idx="0">
                  <c:v>7.1</c:v>
                </c:pt>
                <c:pt idx="1">
                  <c:v>6.9</c:v>
                </c:pt>
                <c:pt idx="2">
                  <c:v>6.98</c:v>
                </c:pt>
                <c:pt idx="3">
                  <c:v>1.6300000000000001</c:v>
                </c:pt>
                <c:pt idx="4">
                  <c:v>1.3450000000000002</c:v>
                </c:pt>
              </c:numCache>
            </c:numRef>
          </c:xVal>
          <c:yVal>
            <c:numRef>
              <c:f>'depth averages'!$M$9:$M$13</c:f>
              <c:numCache>
                <c:formatCode>General</c:formatCode>
                <c:ptCount val="5"/>
                <c:pt idx="0">
                  <c:v>0.2</c:v>
                </c:pt>
                <c:pt idx="1">
                  <c:v>1</c:v>
                </c:pt>
                <c:pt idx="2">
                  <c:v>2</c:v>
                </c:pt>
                <c:pt idx="3">
                  <c:v>3</c:v>
                </c:pt>
                <c:pt idx="4">
                  <c:v>4</c:v>
                </c:pt>
              </c:numCache>
            </c:numRef>
          </c:yVal>
          <c:smooth val="0"/>
          <c:extLst xmlns:c16r2="http://schemas.microsoft.com/office/drawing/2015/06/chart">
            <c:ext xmlns:c16="http://schemas.microsoft.com/office/drawing/2014/chart" uri="{C3380CC4-5D6E-409C-BE32-E72D297353CC}">
              <c16:uniqueId val="{00000001-0291-48B8-8981-22537F0393C2}"/>
            </c:ext>
          </c:extLst>
        </c:ser>
        <c:ser>
          <c:idx val="2"/>
          <c:order val="1"/>
          <c:tx>
            <c:strRef>
              <c:f>'depth averages'!$R$1</c:f>
              <c:strCache>
                <c:ptCount val="1"/>
                <c:pt idx="0">
                  <c:v>DS Colli weir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'depth averages'!$R$3:$R$4</c:f>
              <c:numCache>
                <c:formatCode>0.00</c:formatCode>
                <c:ptCount val="2"/>
                <c:pt idx="0">
                  <c:v>8.913333333333334</c:v>
                </c:pt>
                <c:pt idx="1">
                  <c:v>9.49</c:v>
                </c:pt>
              </c:numCache>
            </c:numRef>
          </c:xVal>
          <c:yVal>
            <c:numRef>
              <c:f>'depth averages'!$M$3:$M$4</c:f>
              <c:numCache>
                <c:formatCode>General</c:formatCode>
                <c:ptCount val="2"/>
                <c:pt idx="0">
                  <c:v>0.2</c:v>
                </c:pt>
                <c:pt idx="1">
                  <c:v>1</c:v>
                </c:pt>
              </c:numCache>
            </c:numRef>
          </c:yVal>
          <c:smooth val="0"/>
          <c:extLst xmlns:c16r2="http://schemas.microsoft.com/office/drawing/2015/06/chart">
            <c:ext xmlns:c16="http://schemas.microsoft.com/office/drawing/2014/chart" uri="{C3380CC4-5D6E-409C-BE32-E72D297353CC}">
              <c16:uniqueId val="{00000002-0291-48B8-8981-22537F0393C2}"/>
            </c:ext>
          </c:extLst>
        </c:ser>
        <c:dLbls>
          <c:showLegendKey val="0"/>
          <c:showVal val="0"/>
          <c:showCatName val="0"/>
          <c:showSerName val="0"/>
          <c:showPercent val="0"/>
          <c:showBubbleSize val="0"/>
        </c:dLbls>
        <c:axId val="519352008"/>
        <c:axId val="519352400"/>
      </c:scatterChart>
      <c:valAx>
        <c:axId val="519352008"/>
        <c:scaling>
          <c:orientation val="minMax"/>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Dissolved</a:t>
                </a:r>
                <a:r>
                  <a:rPr lang="en-AU" baseline="0"/>
                  <a:t> Oxygen (mg/l)</a:t>
                </a:r>
                <a:endParaRPr lang="en-AU"/>
              </a:p>
            </c:rich>
          </c:tx>
          <c:layout>
            <c:manualLayout>
              <c:xMode val="edge"/>
              <c:yMode val="edge"/>
              <c:x val="0.33052951896296806"/>
              <c:y val="0.82197564057880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in"/>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352400"/>
        <c:crossesAt val="4.5"/>
        <c:crossBetween val="midCat"/>
      </c:valAx>
      <c:valAx>
        <c:axId val="519352400"/>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Depth (m)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352008"/>
        <c:crosses val="autoZero"/>
        <c:crossBetween val="midCat"/>
      </c:valAx>
      <c:spPr>
        <a:noFill/>
        <a:ln>
          <a:noFill/>
        </a:ln>
        <a:effectLst/>
      </c:spPr>
    </c:plotArea>
    <c:legend>
      <c:legendPos val="r"/>
      <c:layout>
        <c:manualLayout>
          <c:xMode val="edge"/>
          <c:yMode val="edge"/>
          <c:x val="7.8217746820109013E-2"/>
          <c:y val="0.90272562083585695"/>
          <c:w val="0.87691045830809611"/>
          <c:h val="8.08202450629500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Bre 1</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734492563429571"/>
          <c:y val="0.17641301224208289"/>
          <c:w val="0.81550240594925638"/>
          <c:h val="0.62484510604057708"/>
        </c:manualLayout>
      </c:layout>
      <c:scatterChart>
        <c:scatterStyle val="lineMarker"/>
        <c:varyColors val="0"/>
        <c:ser>
          <c:idx val="0"/>
          <c:order val="0"/>
          <c:tx>
            <c:strRef>
              <c:f>Bre!$E$3</c:f>
              <c:strCache>
                <c:ptCount val="1"/>
                <c:pt idx="0">
                  <c:v>DO</c:v>
                </c:pt>
              </c:strCache>
            </c:strRef>
          </c:tx>
          <c:spPr>
            <a:ln w="19050" cap="rnd">
              <a:solidFill>
                <a:srgbClr val="00853F"/>
              </a:solidFill>
              <a:round/>
            </a:ln>
            <a:effectLst/>
          </c:spPr>
          <c:marker>
            <c:symbol val="circle"/>
            <c:size val="5"/>
            <c:spPr>
              <a:solidFill>
                <a:srgbClr val="00853F"/>
              </a:solidFill>
              <a:ln w="9525">
                <a:solidFill>
                  <a:srgbClr val="00853F"/>
                </a:solidFill>
              </a:ln>
              <a:effectLst/>
            </c:spPr>
          </c:marker>
          <c:xVal>
            <c:numRef>
              <c:f>Bre!$E$4:$E$8</c:f>
              <c:numCache>
                <c:formatCode>General</c:formatCode>
                <c:ptCount val="5"/>
                <c:pt idx="0">
                  <c:v>7.96</c:v>
                </c:pt>
                <c:pt idx="1">
                  <c:v>8.4499999999999993</c:v>
                </c:pt>
                <c:pt idx="2">
                  <c:v>8.7899999999999991</c:v>
                </c:pt>
                <c:pt idx="3">
                  <c:v>8.9700000000000006</c:v>
                </c:pt>
                <c:pt idx="4">
                  <c:v>8.74</c:v>
                </c:pt>
              </c:numCache>
            </c:numRef>
          </c:xVal>
          <c:yVal>
            <c:numRef>
              <c:f>Bre!$A$4:$A$8</c:f>
              <c:numCache>
                <c:formatCode>General</c:formatCode>
                <c:ptCount val="5"/>
                <c:pt idx="0">
                  <c:v>0</c:v>
                </c:pt>
                <c:pt idx="1">
                  <c:v>1</c:v>
                </c:pt>
                <c:pt idx="2">
                  <c:v>2</c:v>
                </c:pt>
                <c:pt idx="3">
                  <c:v>3</c:v>
                </c:pt>
                <c:pt idx="4">
                  <c:v>4</c:v>
                </c:pt>
              </c:numCache>
            </c:numRef>
          </c:yVal>
          <c:smooth val="0"/>
          <c:extLst xmlns:c16r2="http://schemas.microsoft.com/office/drawing/2015/06/chart">
            <c:ext xmlns:c16="http://schemas.microsoft.com/office/drawing/2014/chart" uri="{C3380CC4-5D6E-409C-BE32-E72D297353CC}">
              <c16:uniqueId val="{00000000-6CF4-4D6A-9E21-6C7313A00163}"/>
            </c:ext>
          </c:extLst>
        </c:ser>
        <c:dLbls>
          <c:showLegendKey val="0"/>
          <c:showVal val="0"/>
          <c:showCatName val="0"/>
          <c:showSerName val="0"/>
          <c:showPercent val="0"/>
          <c:showBubbleSize val="0"/>
        </c:dLbls>
        <c:axId val="519354752"/>
        <c:axId val="519355144"/>
      </c:scatterChart>
      <c:valAx>
        <c:axId val="519354752"/>
        <c:scaling>
          <c:orientation val="minMax"/>
          <c:min val="0"/>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DO (mg/l)</a:t>
                </a:r>
                <a:endParaRPr lang="en-AU"/>
              </a:p>
            </c:rich>
          </c:tx>
          <c:layout>
            <c:manualLayout>
              <c:xMode val="edge"/>
              <c:yMode val="edge"/>
              <c:x val="0.48624890638670165"/>
              <c:y val="0.912453703703703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355144"/>
        <c:crossesAt val="5"/>
        <c:crossBetween val="midCat"/>
      </c:valAx>
      <c:valAx>
        <c:axId val="519355144"/>
        <c:scaling>
          <c:orientation val="maxMin"/>
          <c:max val="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Depth (m)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354752"/>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Bre 2</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734492563429571"/>
          <c:y val="0.15451520202310473"/>
          <c:w val="0.81550240594925638"/>
          <c:h val="0.64674291625955516"/>
        </c:manualLayout>
      </c:layout>
      <c:scatterChart>
        <c:scatterStyle val="lineMarker"/>
        <c:varyColors val="0"/>
        <c:ser>
          <c:idx val="0"/>
          <c:order val="0"/>
          <c:tx>
            <c:strRef>
              <c:f>Bre!$E$3</c:f>
              <c:strCache>
                <c:ptCount val="1"/>
                <c:pt idx="0">
                  <c:v>DO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Bre!$E$11:$E$15</c:f>
              <c:numCache>
                <c:formatCode>General</c:formatCode>
                <c:ptCount val="5"/>
                <c:pt idx="0">
                  <c:v>6.33</c:v>
                </c:pt>
                <c:pt idx="1">
                  <c:v>6.72</c:v>
                </c:pt>
                <c:pt idx="2">
                  <c:v>7.9</c:v>
                </c:pt>
                <c:pt idx="3">
                  <c:v>7.92</c:v>
                </c:pt>
                <c:pt idx="4">
                  <c:v>7.3</c:v>
                </c:pt>
              </c:numCache>
            </c:numRef>
          </c:xVal>
          <c:yVal>
            <c:numRef>
              <c:f>Bre!$A$11:$A$15</c:f>
              <c:numCache>
                <c:formatCode>General</c:formatCode>
                <c:ptCount val="5"/>
                <c:pt idx="0">
                  <c:v>0</c:v>
                </c:pt>
                <c:pt idx="1">
                  <c:v>1</c:v>
                </c:pt>
                <c:pt idx="2">
                  <c:v>2</c:v>
                </c:pt>
                <c:pt idx="3">
                  <c:v>3</c:v>
                </c:pt>
                <c:pt idx="4">
                  <c:v>4</c:v>
                </c:pt>
              </c:numCache>
            </c:numRef>
          </c:yVal>
          <c:smooth val="0"/>
          <c:extLst xmlns:c16r2="http://schemas.microsoft.com/office/drawing/2015/06/chart">
            <c:ext xmlns:c16="http://schemas.microsoft.com/office/drawing/2014/chart" uri="{C3380CC4-5D6E-409C-BE32-E72D297353CC}">
              <c16:uniqueId val="{00000000-32CB-4F93-897F-A4AC73E75670}"/>
            </c:ext>
          </c:extLst>
        </c:ser>
        <c:dLbls>
          <c:showLegendKey val="0"/>
          <c:showVal val="0"/>
          <c:showCatName val="0"/>
          <c:showSerName val="0"/>
          <c:showPercent val="0"/>
          <c:showBubbleSize val="0"/>
        </c:dLbls>
        <c:axId val="517954112"/>
        <c:axId val="517954504"/>
      </c:scatterChart>
      <c:valAx>
        <c:axId val="517954112"/>
        <c:scaling>
          <c:orientation val="minMax"/>
          <c:min val="0"/>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DO (mg/l)</a:t>
                </a:r>
                <a:endParaRPr lang="en-AU"/>
              </a:p>
            </c:rich>
          </c:tx>
          <c:layout>
            <c:manualLayout>
              <c:xMode val="edge"/>
              <c:yMode val="edge"/>
              <c:x val="0.48624890638670165"/>
              <c:y val="0.912453703703703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954504"/>
        <c:crossesAt val="5"/>
        <c:crossBetween val="midCat"/>
      </c:valAx>
      <c:valAx>
        <c:axId val="517954504"/>
        <c:scaling>
          <c:orientation val="maxMin"/>
          <c:max val="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Depth (m)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954112"/>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018600060991881E-2"/>
          <c:y val="0.12131962671332749"/>
          <c:w val="0.87698042813098065"/>
          <c:h val="0.65091061533974914"/>
        </c:manualLayout>
      </c:layout>
      <c:scatterChart>
        <c:scatterStyle val="smoothMarker"/>
        <c:varyColors val="0"/>
        <c:ser>
          <c:idx val="0"/>
          <c:order val="0"/>
          <c:tx>
            <c:strRef>
              <c:f>Sheet1!$C$1</c:f>
              <c:strCache>
                <c:ptCount val="1"/>
                <c:pt idx="0">
                  <c:v>neg depth</c:v>
                </c:pt>
              </c:strCache>
            </c:strRef>
          </c:tx>
          <c:spPr>
            <a:ln w="19050" cap="rnd">
              <a:solidFill>
                <a:schemeClr val="accent1"/>
              </a:solidFill>
              <a:round/>
            </a:ln>
            <a:effectLst/>
          </c:spPr>
          <c:marker>
            <c:symbol val="circle"/>
            <c:size val="4"/>
            <c:spPr>
              <a:solidFill>
                <a:schemeClr val="accent1"/>
              </a:solidFill>
              <a:ln w="3175">
                <a:solidFill>
                  <a:schemeClr val="accent1"/>
                </a:solidFill>
              </a:ln>
              <a:effectLst/>
            </c:spPr>
          </c:marker>
          <c:xVal>
            <c:numRef>
              <c:f>Sheet1!$E$2:$E$162</c:f>
              <c:numCache>
                <c:formatCode>0.00</c:formatCode>
                <c:ptCount val="161"/>
                <c:pt idx="0" formatCode="General">
                  <c:v>0</c:v>
                </c:pt>
                <c:pt idx="1">
                  <c:v>60</c:v>
                </c:pt>
                <c:pt idx="2">
                  <c:v>107.6922013791</c:v>
                </c:pt>
                <c:pt idx="3">
                  <c:v>162.43354337509999</c:v>
                </c:pt>
                <c:pt idx="4">
                  <c:v>224.148922954</c:v>
                </c:pt>
                <c:pt idx="5">
                  <c:v>302.06198895839998</c:v>
                </c:pt>
                <c:pt idx="6">
                  <c:v>340.71987609309997</c:v>
                </c:pt>
                <c:pt idx="7">
                  <c:v>400.34688132249994</c:v>
                </c:pt>
                <c:pt idx="8">
                  <c:v>464.47577458519993</c:v>
                </c:pt>
                <c:pt idx="9">
                  <c:v>527.66956230679989</c:v>
                </c:pt>
                <c:pt idx="10">
                  <c:v>590.32598557969993</c:v>
                </c:pt>
                <c:pt idx="11">
                  <c:v>609.24597904999996</c:v>
                </c:pt>
                <c:pt idx="12">
                  <c:v>698.87831546370001</c:v>
                </c:pt>
                <c:pt idx="13">
                  <c:v>736.85835450829995</c:v>
                </c:pt>
                <c:pt idx="14">
                  <c:v>765.78790041409991</c:v>
                </c:pt>
                <c:pt idx="15">
                  <c:v>805.59151804729993</c:v>
                </c:pt>
                <c:pt idx="16">
                  <c:v>878.33906108779991</c:v>
                </c:pt>
                <c:pt idx="17">
                  <c:v>926.44861748559993</c:v>
                </c:pt>
                <c:pt idx="18">
                  <c:v>980.76905092159996</c:v>
                </c:pt>
                <c:pt idx="19">
                  <c:v>1004.4478806832</c:v>
                </c:pt>
                <c:pt idx="20">
                  <c:v>1072.2706581534999</c:v>
                </c:pt>
                <c:pt idx="21">
                  <c:v>1162.6414708293999</c:v>
                </c:pt>
                <c:pt idx="22">
                  <c:v>1176.8928620363999</c:v>
                </c:pt>
                <c:pt idx="23">
                  <c:v>1214.6833037193001</c:v>
                </c:pt>
                <c:pt idx="24">
                  <c:v>1269.4293074802001</c:v>
                </c:pt>
                <c:pt idx="25">
                  <c:v>1315.4363269492001</c:v>
                </c:pt>
                <c:pt idx="26">
                  <c:v>1384.4805385991001</c:v>
                </c:pt>
                <c:pt idx="27">
                  <c:v>1449.2927746779001</c:v>
                </c:pt>
                <c:pt idx="28">
                  <c:v>1468.4614635093001</c:v>
                </c:pt>
                <c:pt idx="29">
                  <c:v>1523.9343274308001</c:v>
                </c:pt>
                <c:pt idx="30">
                  <c:v>1571.4810241171001</c:v>
                </c:pt>
                <c:pt idx="31">
                  <c:v>1630.067717977</c:v>
                </c:pt>
                <c:pt idx="32">
                  <c:v>1673.1300929268</c:v>
                </c:pt>
                <c:pt idx="33">
                  <c:v>1727.4429840946</c:v>
                </c:pt>
                <c:pt idx="34">
                  <c:v>1793.8704212738999</c:v>
                </c:pt>
                <c:pt idx="35">
                  <c:v>1862.2773904329999</c:v>
                </c:pt>
                <c:pt idx="36">
                  <c:v>1879.1841799352999</c:v>
                </c:pt>
                <c:pt idx="37">
                  <c:v>1946.0664749811999</c:v>
                </c:pt>
                <c:pt idx="38">
                  <c:v>2010.2151678746</c:v>
                </c:pt>
                <c:pt idx="39">
                  <c:v>2098.4931774799998</c:v>
                </c:pt>
                <c:pt idx="40">
                  <c:v>2155.5824570607997</c:v>
                </c:pt>
                <c:pt idx="41">
                  <c:v>2201.8739996628997</c:v>
                </c:pt>
                <c:pt idx="42">
                  <c:v>2250.0946477210996</c:v>
                </c:pt>
                <c:pt idx="43">
                  <c:v>2309.4999773462996</c:v>
                </c:pt>
                <c:pt idx="44">
                  <c:v>2357.2023314393996</c:v>
                </c:pt>
                <c:pt idx="45">
                  <c:v>2394.9029481855996</c:v>
                </c:pt>
                <c:pt idx="46">
                  <c:v>2442.4521144934997</c:v>
                </c:pt>
                <c:pt idx="47">
                  <c:v>2486.4091720400997</c:v>
                </c:pt>
                <c:pt idx="48">
                  <c:v>2557.6631126208999</c:v>
                </c:pt>
                <c:pt idx="49">
                  <c:v>2615.6418895449001</c:v>
                </c:pt>
                <c:pt idx="50">
                  <c:v>2651.8355496839999</c:v>
                </c:pt>
                <c:pt idx="51">
                  <c:v>2665.7428388705998</c:v>
                </c:pt>
                <c:pt idx="52">
                  <c:v>2721.7183637475</c:v>
                </c:pt>
                <c:pt idx="53">
                  <c:v>2785.3866913918</c:v>
                </c:pt>
                <c:pt idx="54">
                  <c:v>2857.2791689793999</c:v>
                </c:pt>
                <c:pt idx="55">
                  <c:v>2948.3865591019999</c:v>
                </c:pt>
                <c:pt idx="56">
                  <c:v>3010.1657334577999</c:v>
                </c:pt>
                <c:pt idx="57">
                  <c:v>3063.6872479539998</c:v>
                </c:pt>
                <c:pt idx="58">
                  <c:v>3085.3882223634996</c:v>
                </c:pt>
                <c:pt idx="59">
                  <c:v>3153.7452637408996</c:v>
                </c:pt>
                <c:pt idx="60">
                  <c:v>3230.5334737987996</c:v>
                </c:pt>
                <c:pt idx="61">
                  <c:v>3300.8325975432995</c:v>
                </c:pt>
                <c:pt idx="62">
                  <c:v>3362.1970019334995</c:v>
                </c:pt>
                <c:pt idx="63">
                  <c:v>3421.4217117777994</c:v>
                </c:pt>
                <c:pt idx="64">
                  <c:v>3470.7005009908994</c:v>
                </c:pt>
                <c:pt idx="65">
                  <c:v>3545.5461564219995</c:v>
                </c:pt>
                <c:pt idx="66">
                  <c:v>3625.9461866223996</c:v>
                </c:pt>
                <c:pt idx="67">
                  <c:v>3707.6227587245994</c:v>
                </c:pt>
                <c:pt idx="68">
                  <c:v>3742.2715470401995</c:v>
                </c:pt>
                <c:pt idx="69">
                  <c:v>3759.1620241490996</c:v>
                </c:pt>
                <c:pt idx="70">
                  <c:v>3820.1094304989997</c:v>
                </c:pt>
                <c:pt idx="71">
                  <c:v>3889.4652125149996</c:v>
                </c:pt>
                <c:pt idx="72">
                  <c:v>3967.0870565090995</c:v>
                </c:pt>
                <c:pt idx="73">
                  <c:v>4040.9950838250993</c:v>
                </c:pt>
                <c:pt idx="74">
                  <c:v>4096.1918201121989</c:v>
                </c:pt>
                <c:pt idx="75">
                  <c:v>4144.2014206963986</c:v>
                </c:pt>
                <c:pt idx="76">
                  <c:v>4214.1673533757985</c:v>
                </c:pt>
                <c:pt idx="77">
                  <c:v>4265.2913216849984</c:v>
                </c:pt>
                <c:pt idx="78">
                  <c:v>4334.6882838041984</c:v>
                </c:pt>
                <c:pt idx="79">
                  <c:v>4407.5384670621979</c:v>
                </c:pt>
                <c:pt idx="80">
                  <c:v>4477.1356976663983</c:v>
                </c:pt>
                <c:pt idx="81">
                  <c:v>4518.2097593358985</c:v>
                </c:pt>
                <c:pt idx="82">
                  <c:v>4584.0449094289988</c:v>
                </c:pt>
                <c:pt idx="83">
                  <c:v>4603.2943000589985</c:v>
                </c:pt>
                <c:pt idx="84">
                  <c:v>4659.7936598299984</c:v>
                </c:pt>
                <c:pt idx="85">
                  <c:v>4734.4815719590988</c:v>
                </c:pt>
                <c:pt idx="86">
                  <c:v>4827.4425874067992</c:v>
                </c:pt>
                <c:pt idx="87">
                  <c:v>4894.1583858752992</c:v>
                </c:pt>
                <c:pt idx="88">
                  <c:v>4955.9711242402991</c:v>
                </c:pt>
                <c:pt idx="89">
                  <c:v>5026.9867082655992</c:v>
                </c:pt>
                <c:pt idx="90">
                  <c:v>5092.4589497155994</c:v>
                </c:pt>
                <c:pt idx="91">
                  <c:v>5129.9293340836994</c:v>
                </c:pt>
                <c:pt idx="92">
                  <c:v>5162.5392942052995</c:v>
                </c:pt>
                <c:pt idx="93">
                  <c:v>5232.5870730190991</c:v>
                </c:pt>
                <c:pt idx="94">
                  <c:v>5251.4513265449987</c:v>
                </c:pt>
                <c:pt idx="95">
                  <c:v>5301.5351861170984</c:v>
                </c:pt>
                <c:pt idx="96">
                  <c:v>5373.1686175437981</c:v>
                </c:pt>
                <c:pt idx="97">
                  <c:v>5425.6363140598978</c:v>
                </c:pt>
                <c:pt idx="98">
                  <c:v>5492.9898239884978</c:v>
                </c:pt>
                <c:pt idx="99">
                  <c:v>5578.201801750698</c:v>
                </c:pt>
                <c:pt idx="100">
                  <c:v>5685.307758124698</c:v>
                </c:pt>
                <c:pt idx="101">
                  <c:v>5758.1958620208979</c:v>
                </c:pt>
                <c:pt idx="102">
                  <c:v>5845.8667007743979</c:v>
                </c:pt>
                <c:pt idx="103">
                  <c:v>5908.1508551825982</c:v>
                </c:pt>
                <c:pt idx="104">
                  <c:v>5970.5386321421984</c:v>
                </c:pt>
                <c:pt idx="105">
                  <c:v>6057.2237087033982</c:v>
                </c:pt>
                <c:pt idx="106">
                  <c:v>6104.8986420285983</c:v>
                </c:pt>
                <c:pt idx="107">
                  <c:v>6167.8845826823981</c:v>
                </c:pt>
                <c:pt idx="108">
                  <c:v>6209.2114044515984</c:v>
                </c:pt>
                <c:pt idx="109">
                  <c:v>6270.7942800195988</c:v>
                </c:pt>
                <c:pt idx="110">
                  <c:v>6325.9658088714987</c:v>
                </c:pt>
                <c:pt idx="111">
                  <c:v>6378.6203902154984</c:v>
                </c:pt>
                <c:pt idx="112">
                  <c:v>6441.9938636918987</c:v>
                </c:pt>
                <c:pt idx="113">
                  <c:v>6496.6157356989988</c:v>
                </c:pt>
                <c:pt idx="114">
                  <c:v>6533.0799695809992</c:v>
                </c:pt>
                <c:pt idx="115">
                  <c:v>6585.4036864845993</c:v>
                </c:pt>
                <c:pt idx="116">
                  <c:v>6647.211700980999</c:v>
                </c:pt>
                <c:pt idx="117">
                  <c:v>6705.9344098851989</c:v>
                </c:pt>
                <c:pt idx="118">
                  <c:v>6758.7560270165986</c:v>
                </c:pt>
                <c:pt idx="119">
                  <c:v>6865.409697593599</c:v>
                </c:pt>
                <c:pt idx="120">
                  <c:v>6920.1420253151991</c:v>
                </c:pt>
                <c:pt idx="121">
                  <c:v>6979.3451508040989</c:v>
                </c:pt>
                <c:pt idx="122">
                  <c:v>7053.0274244999991</c:v>
                </c:pt>
                <c:pt idx="123">
                  <c:v>7110.5134804841991</c:v>
                </c:pt>
                <c:pt idx="124">
                  <c:v>7154.2879753089992</c:v>
                </c:pt>
                <c:pt idx="125">
                  <c:v>7169.9012544435991</c:v>
                </c:pt>
                <c:pt idx="126">
                  <c:v>7215.5031689223988</c:v>
                </c:pt>
                <c:pt idx="127">
                  <c:v>7260.1827246438988</c:v>
                </c:pt>
                <c:pt idx="128">
                  <c:v>7307.178301806799</c:v>
                </c:pt>
                <c:pt idx="129">
                  <c:v>7355.7008546141988</c:v>
                </c:pt>
                <c:pt idx="130">
                  <c:v>7392.4298917605984</c:v>
                </c:pt>
                <c:pt idx="131">
                  <c:v>7417.5330498774983</c:v>
                </c:pt>
                <c:pt idx="132">
                  <c:v>7463.5330498774983</c:v>
                </c:pt>
                <c:pt idx="133">
                  <c:v>7579.5330498774983</c:v>
                </c:pt>
                <c:pt idx="134">
                  <c:v>7794.5330498774983</c:v>
                </c:pt>
                <c:pt idx="135">
                  <c:v>7844.5330498774983</c:v>
                </c:pt>
                <c:pt idx="136">
                  <c:v>7849.8928379087383</c:v>
                </c:pt>
                <c:pt idx="137">
                  <c:v>7879.8496101795381</c:v>
                </c:pt>
                <c:pt idx="138">
                  <c:v>7922.0789172513378</c:v>
                </c:pt>
                <c:pt idx="139">
                  <c:v>7985.3293337595378</c:v>
                </c:pt>
                <c:pt idx="140">
                  <c:v>8020.3721789466381</c:v>
                </c:pt>
                <c:pt idx="141">
                  <c:v>8083.5849368063382</c:v>
                </c:pt>
                <c:pt idx="142">
                  <c:v>8120.9830828988379</c:v>
                </c:pt>
                <c:pt idx="143">
                  <c:v>8208.7287151993387</c:v>
                </c:pt>
                <c:pt idx="144">
                  <c:v>8262.8509218289382</c:v>
                </c:pt>
                <c:pt idx="145">
                  <c:v>8346.8373705957383</c:v>
                </c:pt>
                <c:pt idx="146">
                  <c:v>8417.7708958636376</c:v>
                </c:pt>
                <c:pt idx="147">
                  <c:v>8451.6199866489369</c:v>
                </c:pt>
                <c:pt idx="148">
                  <c:v>8501.1969741742378</c:v>
                </c:pt>
                <c:pt idx="149">
                  <c:v>8532.531225073637</c:v>
                </c:pt>
                <c:pt idx="150">
                  <c:v>8574.8148350740375</c:v>
                </c:pt>
                <c:pt idx="151">
                  <c:v>8616.683750093538</c:v>
                </c:pt>
                <c:pt idx="152">
                  <c:v>8676.8930650662387</c:v>
                </c:pt>
                <c:pt idx="153">
                  <c:v>8863.8201180622382</c:v>
                </c:pt>
                <c:pt idx="154">
                  <c:v>8918.2308867068386</c:v>
                </c:pt>
                <c:pt idx="155">
                  <c:v>8978.0663643134394</c:v>
                </c:pt>
                <c:pt idx="156">
                  <c:v>9049.8795644441398</c:v>
                </c:pt>
                <c:pt idx="157">
                  <c:v>9117.7476672555404</c:v>
                </c:pt>
                <c:pt idx="158">
                  <c:v>9169.1886403111403</c:v>
                </c:pt>
                <c:pt idx="159">
                  <c:v>9223.6675226840398</c:v>
                </c:pt>
                <c:pt idx="160">
                  <c:v>9287.6675226840398</c:v>
                </c:pt>
              </c:numCache>
            </c:numRef>
          </c:xVal>
          <c:yVal>
            <c:numRef>
              <c:f>Sheet1!$B$2:$B$162</c:f>
              <c:numCache>
                <c:formatCode>0.00</c:formatCode>
                <c:ptCount val="161"/>
                <c:pt idx="0">
                  <c:v>0</c:v>
                </c:pt>
                <c:pt idx="1">
                  <c:v>1.1000000000000001</c:v>
                </c:pt>
                <c:pt idx="2">
                  <c:v>2.1</c:v>
                </c:pt>
                <c:pt idx="3">
                  <c:v>0.9</c:v>
                </c:pt>
                <c:pt idx="4">
                  <c:v>2.2999999999999998</c:v>
                </c:pt>
                <c:pt idx="5">
                  <c:v>1.3</c:v>
                </c:pt>
                <c:pt idx="6">
                  <c:v>1.3</c:v>
                </c:pt>
                <c:pt idx="7">
                  <c:v>2.4</c:v>
                </c:pt>
                <c:pt idx="8">
                  <c:v>2</c:v>
                </c:pt>
                <c:pt idx="9">
                  <c:v>2.9</c:v>
                </c:pt>
                <c:pt idx="10">
                  <c:v>3.1</c:v>
                </c:pt>
                <c:pt idx="11">
                  <c:v>3.1</c:v>
                </c:pt>
                <c:pt idx="12">
                  <c:v>2.8</c:v>
                </c:pt>
                <c:pt idx="13">
                  <c:v>3.8</c:v>
                </c:pt>
                <c:pt idx="14">
                  <c:v>3.4</c:v>
                </c:pt>
                <c:pt idx="15">
                  <c:v>2.6</c:v>
                </c:pt>
                <c:pt idx="16">
                  <c:v>2.5</c:v>
                </c:pt>
                <c:pt idx="17">
                  <c:v>2.5</c:v>
                </c:pt>
                <c:pt idx="18">
                  <c:v>2.4</c:v>
                </c:pt>
                <c:pt idx="19">
                  <c:v>2.2999999999999998</c:v>
                </c:pt>
                <c:pt idx="20">
                  <c:v>2.6</c:v>
                </c:pt>
                <c:pt idx="21">
                  <c:v>3.9</c:v>
                </c:pt>
                <c:pt idx="22">
                  <c:v>4.0999999999999996</c:v>
                </c:pt>
                <c:pt idx="23">
                  <c:v>3.6</c:v>
                </c:pt>
                <c:pt idx="24">
                  <c:v>3.4</c:v>
                </c:pt>
                <c:pt idx="25">
                  <c:v>3.2</c:v>
                </c:pt>
                <c:pt idx="26">
                  <c:v>3.2</c:v>
                </c:pt>
                <c:pt idx="27">
                  <c:v>3.6</c:v>
                </c:pt>
                <c:pt idx="28">
                  <c:v>3.7</c:v>
                </c:pt>
                <c:pt idx="29">
                  <c:v>3.7</c:v>
                </c:pt>
                <c:pt idx="30">
                  <c:v>3.9</c:v>
                </c:pt>
                <c:pt idx="31">
                  <c:v>3.8</c:v>
                </c:pt>
                <c:pt idx="32">
                  <c:v>3.7</c:v>
                </c:pt>
                <c:pt idx="33">
                  <c:v>2.9</c:v>
                </c:pt>
                <c:pt idx="34">
                  <c:v>2.7</c:v>
                </c:pt>
                <c:pt idx="35">
                  <c:v>2.9</c:v>
                </c:pt>
                <c:pt idx="36">
                  <c:v>2.9</c:v>
                </c:pt>
                <c:pt idx="37">
                  <c:v>1.6</c:v>
                </c:pt>
                <c:pt idx="38">
                  <c:v>2.8</c:v>
                </c:pt>
                <c:pt idx="39">
                  <c:v>2.4</c:v>
                </c:pt>
                <c:pt idx="40">
                  <c:v>2.6</c:v>
                </c:pt>
                <c:pt idx="41">
                  <c:v>3</c:v>
                </c:pt>
                <c:pt idx="42">
                  <c:v>3.2</c:v>
                </c:pt>
                <c:pt idx="43">
                  <c:v>3.1</c:v>
                </c:pt>
                <c:pt idx="44">
                  <c:v>3.1</c:v>
                </c:pt>
                <c:pt idx="45">
                  <c:v>2.4</c:v>
                </c:pt>
                <c:pt idx="46">
                  <c:v>2.7</c:v>
                </c:pt>
                <c:pt idx="47">
                  <c:v>2.7</c:v>
                </c:pt>
                <c:pt idx="48">
                  <c:v>2.9</c:v>
                </c:pt>
                <c:pt idx="49">
                  <c:v>3.1</c:v>
                </c:pt>
                <c:pt idx="50">
                  <c:v>3.2</c:v>
                </c:pt>
                <c:pt idx="51">
                  <c:v>3.2</c:v>
                </c:pt>
                <c:pt idx="52">
                  <c:v>3.3</c:v>
                </c:pt>
                <c:pt idx="53">
                  <c:v>3.4</c:v>
                </c:pt>
                <c:pt idx="54">
                  <c:v>3.1</c:v>
                </c:pt>
                <c:pt idx="55">
                  <c:v>3.2</c:v>
                </c:pt>
                <c:pt idx="56">
                  <c:v>3.1</c:v>
                </c:pt>
                <c:pt idx="57">
                  <c:v>3.2</c:v>
                </c:pt>
                <c:pt idx="58">
                  <c:v>3.1</c:v>
                </c:pt>
                <c:pt idx="59">
                  <c:v>3.7</c:v>
                </c:pt>
                <c:pt idx="60">
                  <c:v>4.2</c:v>
                </c:pt>
                <c:pt idx="61">
                  <c:v>3.9</c:v>
                </c:pt>
                <c:pt idx="62">
                  <c:v>3.9</c:v>
                </c:pt>
                <c:pt idx="63">
                  <c:v>4</c:v>
                </c:pt>
                <c:pt idx="64">
                  <c:v>4</c:v>
                </c:pt>
                <c:pt idx="65">
                  <c:v>4</c:v>
                </c:pt>
                <c:pt idx="66">
                  <c:v>4.0999999999999996</c:v>
                </c:pt>
                <c:pt idx="67">
                  <c:v>4.0999999999999996</c:v>
                </c:pt>
                <c:pt idx="68">
                  <c:v>3.9</c:v>
                </c:pt>
                <c:pt idx="69">
                  <c:v>3.8</c:v>
                </c:pt>
                <c:pt idx="70">
                  <c:v>3.3</c:v>
                </c:pt>
                <c:pt idx="71">
                  <c:v>2.5</c:v>
                </c:pt>
                <c:pt idx="72">
                  <c:v>2.1</c:v>
                </c:pt>
                <c:pt idx="73">
                  <c:v>2.4</c:v>
                </c:pt>
                <c:pt idx="74">
                  <c:v>3.5</c:v>
                </c:pt>
                <c:pt idx="75">
                  <c:v>3.1</c:v>
                </c:pt>
                <c:pt idx="76">
                  <c:v>3.7</c:v>
                </c:pt>
                <c:pt idx="77">
                  <c:v>4.3</c:v>
                </c:pt>
                <c:pt idx="78">
                  <c:v>3.4</c:v>
                </c:pt>
                <c:pt idx="79">
                  <c:v>3.3</c:v>
                </c:pt>
                <c:pt idx="80">
                  <c:v>3.1</c:v>
                </c:pt>
                <c:pt idx="81">
                  <c:v>4.2</c:v>
                </c:pt>
                <c:pt idx="82">
                  <c:v>4.2</c:v>
                </c:pt>
                <c:pt idx="83">
                  <c:v>3.7</c:v>
                </c:pt>
                <c:pt idx="84">
                  <c:v>3.9</c:v>
                </c:pt>
                <c:pt idx="85">
                  <c:v>3.6</c:v>
                </c:pt>
                <c:pt idx="86">
                  <c:v>4.3</c:v>
                </c:pt>
                <c:pt idx="87">
                  <c:v>4.4000000000000004</c:v>
                </c:pt>
                <c:pt idx="88">
                  <c:v>4</c:v>
                </c:pt>
                <c:pt idx="89">
                  <c:v>4</c:v>
                </c:pt>
                <c:pt idx="90">
                  <c:v>3.7</c:v>
                </c:pt>
                <c:pt idx="91">
                  <c:v>3.5</c:v>
                </c:pt>
                <c:pt idx="92">
                  <c:v>3.8</c:v>
                </c:pt>
                <c:pt idx="93">
                  <c:v>3.4</c:v>
                </c:pt>
                <c:pt idx="94">
                  <c:v>2.9</c:v>
                </c:pt>
                <c:pt idx="95">
                  <c:v>2.9</c:v>
                </c:pt>
                <c:pt idx="96">
                  <c:v>2.6</c:v>
                </c:pt>
                <c:pt idx="97">
                  <c:v>2.7</c:v>
                </c:pt>
                <c:pt idx="98">
                  <c:v>2.8</c:v>
                </c:pt>
                <c:pt idx="99">
                  <c:v>2.5</c:v>
                </c:pt>
                <c:pt idx="100">
                  <c:v>2.2999999999999998</c:v>
                </c:pt>
                <c:pt idx="101">
                  <c:v>2.8</c:v>
                </c:pt>
                <c:pt idx="102">
                  <c:v>3.1</c:v>
                </c:pt>
                <c:pt idx="103">
                  <c:v>3.1</c:v>
                </c:pt>
                <c:pt idx="104">
                  <c:v>3</c:v>
                </c:pt>
                <c:pt idx="105">
                  <c:v>3.1</c:v>
                </c:pt>
                <c:pt idx="106">
                  <c:v>2.6</c:v>
                </c:pt>
                <c:pt idx="107">
                  <c:v>2.8</c:v>
                </c:pt>
                <c:pt idx="108">
                  <c:v>3.7</c:v>
                </c:pt>
                <c:pt idx="109">
                  <c:v>3.4</c:v>
                </c:pt>
                <c:pt idx="110">
                  <c:v>2.8</c:v>
                </c:pt>
                <c:pt idx="111">
                  <c:v>2.1</c:v>
                </c:pt>
                <c:pt idx="112">
                  <c:v>2.1</c:v>
                </c:pt>
                <c:pt idx="113">
                  <c:v>2.2000000000000002</c:v>
                </c:pt>
                <c:pt idx="114">
                  <c:v>2.2000000000000002</c:v>
                </c:pt>
                <c:pt idx="115">
                  <c:v>3</c:v>
                </c:pt>
                <c:pt idx="116">
                  <c:v>2.1</c:v>
                </c:pt>
                <c:pt idx="117">
                  <c:v>1.9</c:v>
                </c:pt>
                <c:pt idx="118">
                  <c:v>2.5</c:v>
                </c:pt>
                <c:pt idx="119">
                  <c:v>3</c:v>
                </c:pt>
                <c:pt idx="120">
                  <c:v>3.3</c:v>
                </c:pt>
                <c:pt idx="121">
                  <c:v>2.6</c:v>
                </c:pt>
                <c:pt idx="122">
                  <c:v>1.8</c:v>
                </c:pt>
                <c:pt idx="123">
                  <c:v>2.1</c:v>
                </c:pt>
                <c:pt idx="124">
                  <c:v>2.9</c:v>
                </c:pt>
                <c:pt idx="125">
                  <c:v>2.6</c:v>
                </c:pt>
                <c:pt idx="126">
                  <c:v>2</c:v>
                </c:pt>
                <c:pt idx="127">
                  <c:v>2.7</c:v>
                </c:pt>
                <c:pt idx="128">
                  <c:v>2.5</c:v>
                </c:pt>
                <c:pt idx="129">
                  <c:v>1.9</c:v>
                </c:pt>
                <c:pt idx="130">
                  <c:v>0.8</c:v>
                </c:pt>
                <c:pt idx="131">
                  <c:v>0.8</c:v>
                </c:pt>
                <c:pt idx="132">
                  <c:v>0.2</c:v>
                </c:pt>
                <c:pt idx="133">
                  <c:v>1</c:v>
                </c:pt>
                <c:pt idx="134">
                  <c:v>0.2</c:v>
                </c:pt>
                <c:pt idx="135">
                  <c:v>1.9</c:v>
                </c:pt>
                <c:pt idx="136">
                  <c:v>2.2000000000000002</c:v>
                </c:pt>
                <c:pt idx="137">
                  <c:v>2.2000000000000002</c:v>
                </c:pt>
                <c:pt idx="138">
                  <c:v>1.7</c:v>
                </c:pt>
                <c:pt idx="139">
                  <c:v>2.7</c:v>
                </c:pt>
                <c:pt idx="140">
                  <c:v>2.6</c:v>
                </c:pt>
                <c:pt idx="141">
                  <c:v>3.2</c:v>
                </c:pt>
                <c:pt idx="142">
                  <c:v>3.1</c:v>
                </c:pt>
                <c:pt idx="143">
                  <c:v>3.4</c:v>
                </c:pt>
                <c:pt idx="144">
                  <c:v>2.9</c:v>
                </c:pt>
                <c:pt idx="145">
                  <c:v>2.8</c:v>
                </c:pt>
                <c:pt idx="146">
                  <c:v>3.3</c:v>
                </c:pt>
                <c:pt idx="147">
                  <c:v>3.3</c:v>
                </c:pt>
                <c:pt idx="148">
                  <c:v>3</c:v>
                </c:pt>
                <c:pt idx="149">
                  <c:v>3.3</c:v>
                </c:pt>
                <c:pt idx="150">
                  <c:v>4.2</c:v>
                </c:pt>
                <c:pt idx="151">
                  <c:v>4.5</c:v>
                </c:pt>
                <c:pt idx="152">
                  <c:v>4.0999999999999996</c:v>
                </c:pt>
                <c:pt idx="153">
                  <c:v>3.4</c:v>
                </c:pt>
                <c:pt idx="154">
                  <c:v>2.7</c:v>
                </c:pt>
                <c:pt idx="155">
                  <c:v>2.4</c:v>
                </c:pt>
                <c:pt idx="156">
                  <c:v>2.8</c:v>
                </c:pt>
                <c:pt idx="157">
                  <c:v>2.6</c:v>
                </c:pt>
                <c:pt idx="158">
                  <c:v>2.2999999999999998</c:v>
                </c:pt>
                <c:pt idx="159">
                  <c:v>1.7</c:v>
                </c:pt>
                <c:pt idx="160">
                  <c:v>0</c:v>
                </c:pt>
              </c:numCache>
            </c:numRef>
          </c:yVal>
          <c:smooth val="1"/>
          <c:extLst xmlns:c16r2="http://schemas.microsoft.com/office/drawing/2015/06/chart">
            <c:ext xmlns:c16="http://schemas.microsoft.com/office/drawing/2014/chart" uri="{C3380CC4-5D6E-409C-BE32-E72D297353CC}">
              <c16:uniqueId val="{00000000-03A4-452B-B807-0E0BAB2917C8}"/>
            </c:ext>
          </c:extLst>
        </c:ser>
        <c:dLbls>
          <c:showLegendKey val="0"/>
          <c:showVal val="0"/>
          <c:showCatName val="0"/>
          <c:showSerName val="0"/>
          <c:showPercent val="0"/>
          <c:showBubbleSize val="0"/>
        </c:dLbls>
        <c:axId val="517955680"/>
        <c:axId val="517956072"/>
      </c:scatterChart>
      <c:valAx>
        <c:axId val="517955680"/>
        <c:scaling>
          <c:orientation val="minMax"/>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Distance from Weir wall (m)</a:t>
                </a:r>
              </a:p>
            </c:rich>
          </c:tx>
          <c:layout>
            <c:manualLayout>
              <c:xMode val="edge"/>
              <c:yMode val="edge"/>
              <c:x val="0.43949763942880971"/>
              <c:y val="0.87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in"/>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956072"/>
        <c:crossesAt val="5"/>
        <c:crossBetween val="midCat"/>
      </c:valAx>
      <c:valAx>
        <c:axId val="517956072"/>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Water depth (m)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95568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124949435084055E-2"/>
          <c:y val="4.9521156009344987E-2"/>
          <c:w val="0.82997069159121484"/>
          <c:h val="0.57972774899767787"/>
        </c:manualLayout>
      </c:layout>
      <c:scatterChart>
        <c:scatterStyle val="lineMarker"/>
        <c:varyColors val="0"/>
        <c:dLbls>
          <c:showLegendKey val="0"/>
          <c:showVal val="0"/>
          <c:showCatName val="0"/>
          <c:showSerName val="0"/>
          <c:showPercent val="0"/>
          <c:showBubbleSize val="0"/>
        </c:dLbls>
        <c:axId val="519353576"/>
        <c:axId val="517956856"/>
      </c:scatterChart>
      <c:valAx>
        <c:axId val="519353576"/>
        <c:scaling>
          <c:orientation val="minMax"/>
          <c:max val="43682"/>
          <c:min val="43524"/>
        </c:scaling>
        <c:delete val="1"/>
        <c:axPos val="b"/>
        <c:numFmt formatCode="m/d/yyyy" sourceLinked="1"/>
        <c:majorTickMark val="out"/>
        <c:minorTickMark val="none"/>
        <c:tickLblPos val="nextTo"/>
        <c:crossAx val="517956856"/>
        <c:crosses val="autoZero"/>
        <c:crossBetween val="midCat"/>
        <c:majorUnit val="5"/>
      </c:valAx>
      <c:valAx>
        <c:axId val="517956856"/>
        <c:scaling>
          <c:orientation val="minMax"/>
        </c:scaling>
        <c:delete val="0"/>
        <c:axPos val="l"/>
        <c:title>
          <c:tx>
            <c:rich>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Flow (ML/d)</a:t>
                </a:r>
              </a:p>
            </c:rich>
          </c:tx>
          <c:layout>
            <c:manualLayout>
              <c:xMode val="edge"/>
              <c:yMode val="edge"/>
              <c:x val="0.96507809446595338"/>
              <c:y val="0.2130584061607683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353576"/>
        <c:crossesAt val="43682"/>
        <c:crossBetween val="midCat"/>
      </c:valAx>
      <c:spPr>
        <a:noFill/>
        <a:ln>
          <a:noFill/>
        </a:ln>
        <a:effectLst/>
      </c:spPr>
    </c:plotArea>
    <c:legend>
      <c:legendPos val="r"/>
      <c:layout>
        <c:manualLayout>
          <c:xMode val="edge"/>
          <c:yMode val="edge"/>
          <c:x val="0.7197784294558488"/>
          <c:y val="0.87909552207670516"/>
          <c:w val="6.5167807103290981E-2"/>
          <c:h val="9.70258801312396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0.47343</cdr:x>
      <cdr:y>0.15544</cdr:y>
    </cdr:from>
    <cdr:to>
      <cdr:x>0.71599</cdr:x>
      <cdr:y>0.15544</cdr:y>
    </cdr:to>
    <cdr:cxnSp macro="">
      <cdr:nvCxnSpPr>
        <cdr:cNvPr id="3" name="Straight Arrow Connector 2">
          <a:extLst xmlns:a="http://schemas.openxmlformats.org/drawingml/2006/main">
            <a:ext uri="{FF2B5EF4-FFF2-40B4-BE49-F238E27FC236}">
              <a16:creationId xmlns:a16="http://schemas.microsoft.com/office/drawing/2014/main" xmlns="" id="{8E53EAAE-FA72-4281-A27E-9168456E16F0}"/>
            </a:ext>
          </a:extLst>
        </cdr:cNvPr>
        <cdr:cNvCxnSpPr/>
      </cdr:nvCxnSpPr>
      <cdr:spPr>
        <a:xfrm xmlns:a="http://schemas.openxmlformats.org/drawingml/2006/main" flipH="1">
          <a:off x="3272023" y="616500"/>
          <a:ext cx="1676415" cy="0"/>
        </a:xfrm>
        <a:prstGeom xmlns:a="http://schemas.openxmlformats.org/drawingml/2006/main" prst="straightConnector1">
          <a:avLst/>
        </a:prstGeom>
        <a:ln xmlns:a="http://schemas.openxmlformats.org/drawingml/2006/main" w="38100">
          <a:solidFill>
            <a:schemeClr val="accent6"/>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0.12338</cdr:x>
      <cdr:y>0.20209</cdr:y>
    </cdr:from>
    <cdr:to>
      <cdr:x>0.44571</cdr:x>
      <cdr:y>0.777</cdr:y>
    </cdr:to>
    <cdr:sp macro="" textlink="">
      <cdr:nvSpPr>
        <cdr:cNvPr id="2" name="Rectangle 1"/>
        <cdr:cNvSpPr/>
      </cdr:nvSpPr>
      <cdr:spPr>
        <a:xfrm xmlns:a="http://schemas.openxmlformats.org/drawingml/2006/main">
          <a:off x="357259" y="361883"/>
          <a:ext cx="933351" cy="1029491"/>
        </a:xfrm>
        <a:prstGeom xmlns:a="http://schemas.openxmlformats.org/drawingml/2006/main" prst="rect">
          <a:avLst/>
        </a:prstGeom>
        <a:solidFill xmlns:a="http://schemas.openxmlformats.org/drawingml/2006/main">
          <a:schemeClr val="bg1">
            <a:lumMod val="65000"/>
            <a:alpha val="20000"/>
          </a:schemeClr>
        </a:solidFill>
        <a:ln xmlns:a="http://schemas.openxmlformats.org/drawingml/2006/main">
          <a:solidFill>
            <a:schemeClr val="bg1">
              <a:lumMod val="65000"/>
            </a:schemeClr>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relSizeAnchor>
</c:userShapes>
</file>

<file path=word/drawings/drawing3.xml><?xml version="1.0" encoding="utf-8"?>
<c:userShapes xmlns:c="http://schemas.openxmlformats.org/drawingml/2006/chart">
  <cdr:relSizeAnchor xmlns:cdr="http://schemas.openxmlformats.org/drawingml/2006/chartDrawing">
    <cdr:from>
      <cdr:x>0.12311</cdr:x>
      <cdr:y>0.19298</cdr:y>
    </cdr:from>
    <cdr:to>
      <cdr:x>0.44997</cdr:x>
      <cdr:y>0.77193</cdr:y>
    </cdr:to>
    <cdr:sp macro="" textlink="">
      <cdr:nvSpPr>
        <cdr:cNvPr id="2" name="Rectangle 1"/>
        <cdr:cNvSpPr/>
      </cdr:nvSpPr>
      <cdr:spPr>
        <a:xfrm xmlns:a="http://schemas.openxmlformats.org/drawingml/2006/main">
          <a:off x="358823" y="345569"/>
          <a:ext cx="952688" cy="1036726"/>
        </a:xfrm>
        <a:prstGeom xmlns:a="http://schemas.openxmlformats.org/drawingml/2006/main" prst="rect">
          <a:avLst/>
        </a:prstGeom>
        <a:solidFill xmlns:a="http://schemas.openxmlformats.org/drawingml/2006/main">
          <a:schemeClr val="bg1">
            <a:lumMod val="65000"/>
            <a:alpha val="20000"/>
          </a:schemeClr>
        </a:solidFill>
        <a:ln xmlns:a="http://schemas.openxmlformats.org/drawingml/2006/main">
          <a:solidFill>
            <a:schemeClr val="bg1">
              <a:lumMod val="65000"/>
            </a:schemeClr>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AU"/>
        </a:p>
      </cdr:txBody>
    </cdr:sp>
  </cdr:relSizeAnchor>
</c:userShapes>
</file>

<file path=word/drawings/drawing4.xml><?xml version="1.0" encoding="utf-8"?>
<c:userShapes xmlns:c="http://schemas.openxmlformats.org/drawingml/2006/chart">
  <cdr:relSizeAnchor xmlns:cdr="http://schemas.openxmlformats.org/drawingml/2006/chartDrawing">
    <cdr:from>
      <cdr:x>0.14246</cdr:x>
      <cdr:y>0.14964</cdr:y>
    </cdr:from>
    <cdr:to>
      <cdr:x>0.45759</cdr:x>
      <cdr:y>0.80292</cdr:y>
    </cdr:to>
    <cdr:sp macro="" textlink="">
      <cdr:nvSpPr>
        <cdr:cNvPr id="2" name="Rectangle 1"/>
        <cdr:cNvSpPr/>
      </cdr:nvSpPr>
      <cdr:spPr>
        <a:xfrm xmlns:a="http://schemas.openxmlformats.org/drawingml/2006/main">
          <a:off x="417030" y="260351"/>
          <a:ext cx="922496" cy="1136649"/>
        </a:xfrm>
        <a:prstGeom xmlns:a="http://schemas.openxmlformats.org/drawingml/2006/main" prst="rect">
          <a:avLst/>
        </a:prstGeom>
        <a:solidFill xmlns:a="http://schemas.openxmlformats.org/drawingml/2006/main">
          <a:schemeClr val="bg1">
            <a:lumMod val="65000"/>
            <a:alpha val="20000"/>
          </a:schemeClr>
        </a:solidFill>
        <a:ln xmlns:a="http://schemas.openxmlformats.org/drawingml/2006/main">
          <a:solidFill>
            <a:schemeClr val="bg1">
              <a:lumMod val="65000"/>
            </a:schemeClr>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1B641B040D3415FA4B98A287548464A"/>
        <w:category>
          <w:name w:val="General"/>
          <w:gallery w:val="placeholder"/>
        </w:category>
        <w:types>
          <w:type w:val="bbPlcHdr"/>
        </w:types>
        <w:behaviors>
          <w:behavior w:val="content"/>
        </w:behaviors>
        <w:guid w:val="{B6F7DB1A-4186-477B-9ADC-64EE73919FEF}"/>
      </w:docPartPr>
      <w:docPartBody>
        <w:p w:rsidR="0008670D" w:rsidRDefault="00131CE1" w:rsidP="00131CE1">
          <w:pPr>
            <w:pStyle w:val="61B641B040D3415FA4B98A287548464A3"/>
          </w:pPr>
          <w:r w:rsidRPr="00CF4E05">
            <w:rPr>
              <w:rStyle w:val="PlaceholderText"/>
            </w:rPr>
            <w:t>Click or tap here to enter text.</w:t>
          </w:r>
        </w:p>
      </w:docPartBody>
    </w:docPart>
    <w:docPart>
      <w:docPartPr>
        <w:name w:val="AECBE27273334F8C9830761C13AB40F1"/>
        <w:category>
          <w:name w:val="General"/>
          <w:gallery w:val="placeholder"/>
        </w:category>
        <w:types>
          <w:type w:val="bbPlcHdr"/>
        </w:types>
        <w:behaviors>
          <w:behavior w:val="content"/>
        </w:behaviors>
        <w:guid w:val="{D38ECCC7-1062-428D-9DD8-2151901BE10D}"/>
      </w:docPartPr>
      <w:docPartBody>
        <w:p w:rsidR="0008670D" w:rsidRDefault="00131CE1" w:rsidP="00131CE1">
          <w:pPr>
            <w:pStyle w:val="AECBE27273334F8C9830761C13AB40F13"/>
          </w:pPr>
          <w:r w:rsidRPr="00CF4E05">
            <w:rPr>
              <w:rStyle w:val="PlaceholderText"/>
            </w:rPr>
            <w:t>Click or tap here to enter text.</w:t>
          </w:r>
        </w:p>
      </w:docPartBody>
    </w:docPart>
    <w:docPart>
      <w:docPartPr>
        <w:name w:val="F4B131BE0CA54F629B0C838716D42132"/>
        <w:category>
          <w:name w:val="General"/>
          <w:gallery w:val="placeholder"/>
        </w:category>
        <w:types>
          <w:type w:val="bbPlcHdr"/>
        </w:types>
        <w:behaviors>
          <w:behavior w:val="content"/>
        </w:behaviors>
        <w:guid w:val="{7D57AEED-9D47-470B-ADFE-FDFE815FCC0C}"/>
      </w:docPartPr>
      <w:docPartBody>
        <w:p w:rsidR="0008670D" w:rsidRDefault="00131CE1" w:rsidP="00131CE1">
          <w:pPr>
            <w:pStyle w:val="F4B131BE0CA54F629B0C838716D421323"/>
          </w:pPr>
          <w:r w:rsidRPr="00CF4E05">
            <w:rPr>
              <w:rStyle w:val="PlaceholderText"/>
            </w:rPr>
            <w:t>Click or tap here to enter text.</w:t>
          </w:r>
        </w:p>
      </w:docPartBody>
    </w:docPart>
    <w:docPart>
      <w:docPartPr>
        <w:name w:val="38CEA0EA8E6B4AB9B39FB19AF44130C2"/>
        <w:category>
          <w:name w:val="General"/>
          <w:gallery w:val="placeholder"/>
        </w:category>
        <w:types>
          <w:type w:val="bbPlcHdr"/>
        </w:types>
        <w:behaviors>
          <w:behavior w:val="content"/>
        </w:behaviors>
        <w:guid w:val="{694822AE-84FA-4515-B632-F98F4F04D770}"/>
      </w:docPartPr>
      <w:docPartBody>
        <w:p w:rsidR="0008670D" w:rsidRDefault="00131CE1" w:rsidP="00131CE1">
          <w:pPr>
            <w:pStyle w:val="38CEA0EA8E6B4AB9B39FB19AF44130C23"/>
          </w:pPr>
          <w:r w:rsidRPr="00E13EA9">
            <w:rPr>
              <w:rStyle w:val="PlaceholderText"/>
            </w:rPr>
            <w:t>Click or tap here to enter text.</w:t>
          </w:r>
        </w:p>
      </w:docPartBody>
    </w:docPart>
    <w:docPart>
      <w:docPartPr>
        <w:name w:val="AFEEE5746B7A4D75A0178864EAB89964"/>
        <w:category>
          <w:name w:val="General"/>
          <w:gallery w:val="placeholder"/>
        </w:category>
        <w:types>
          <w:type w:val="bbPlcHdr"/>
        </w:types>
        <w:behaviors>
          <w:behavior w:val="content"/>
        </w:behaviors>
        <w:guid w:val="{41938F11-A598-4D10-AEF4-94794826538F}"/>
      </w:docPartPr>
      <w:docPartBody>
        <w:p w:rsidR="0008670D" w:rsidRDefault="0008670D">
          <w:pPr>
            <w:pStyle w:val="AFEEE5746B7A4D75A0178864EAB89964"/>
          </w:pPr>
          <w:r w:rsidRPr="00BE7534">
            <w:rPr>
              <w:rStyle w:val="PlaceholderText"/>
              <w:b/>
              <w:sz w:val="18"/>
              <w:szCs w:val="18"/>
              <w:shd w:val="clear" w:color="auto" w:fill="FFFFFF" w:themeFill="background1"/>
            </w:rPr>
            <w:t>&lt;Manager&gt;</w:t>
          </w:r>
        </w:p>
      </w:docPartBody>
    </w:docPart>
    <w:docPart>
      <w:docPartPr>
        <w:name w:val="5FAFB663FA7A45CE9E5C02C306AAEE58"/>
        <w:category>
          <w:name w:val="General"/>
          <w:gallery w:val="placeholder"/>
        </w:category>
        <w:types>
          <w:type w:val="bbPlcHdr"/>
        </w:types>
        <w:behaviors>
          <w:behavior w:val="content"/>
        </w:behaviors>
        <w:guid w:val="{5A954ED5-FC8C-476F-91C0-C255ADE0CF2F}"/>
      </w:docPartPr>
      <w:docPartBody>
        <w:p w:rsidR="0008670D" w:rsidRDefault="00131CE1" w:rsidP="00131CE1">
          <w:pPr>
            <w:pStyle w:val="5FAFB663FA7A45CE9E5C02C306AAEE583"/>
          </w:pPr>
          <w:r w:rsidRPr="00BE7534">
            <w:rPr>
              <w:rStyle w:val="PlaceholderText"/>
              <w:b/>
              <w:sz w:val="18"/>
              <w:szCs w:val="18"/>
              <w:shd w:val="clear" w:color="auto" w:fill="FFFFFF" w:themeFill="background1"/>
            </w:rPr>
            <w:t>Choose an item.</w:t>
          </w:r>
        </w:p>
      </w:docPartBody>
    </w:docPart>
    <w:docPart>
      <w:docPartPr>
        <w:name w:val="E2879D9BF8BE405294EAEB5A7A001987"/>
        <w:category>
          <w:name w:val="General"/>
          <w:gallery w:val="placeholder"/>
        </w:category>
        <w:types>
          <w:type w:val="bbPlcHdr"/>
        </w:types>
        <w:behaviors>
          <w:behavior w:val="content"/>
        </w:behaviors>
        <w:guid w:val="{7753F023-B8D0-4DD7-AC80-F1AE0E669AB7}"/>
      </w:docPartPr>
      <w:docPartBody>
        <w:p w:rsidR="0008670D" w:rsidRDefault="00131CE1" w:rsidP="00131CE1">
          <w:pPr>
            <w:pStyle w:val="E2879D9BF8BE405294EAEB5A7A0019873"/>
          </w:pPr>
          <w:r w:rsidRPr="00BE7534">
            <w:rPr>
              <w:rStyle w:val="PlaceholderText"/>
              <w:b/>
              <w:sz w:val="18"/>
              <w:szCs w:val="18"/>
              <w:shd w:val="clear" w:color="auto" w:fill="FFFFFF" w:themeFill="background1"/>
            </w:rPr>
            <w:t>&lt;Document number&gt;</w:t>
          </w:r>
        </w:p>
      </w:docPartBody>
    </w:docPart>
    <w:docPart>
      <w:docPartPr>
        <w:name w:val="7D0C367D0E8F43FCA19904AB5A445197"/>
        <w:category>
          <w:name w:val="General"/>
          <w:gallery w:val="placeholder"/>
        </w:category>
        <w:types>
          <w:type w:val="bbPlcHdr"/>
        </w:types>
        <w:behaviors>
          <w:behavior w:val="content"/>
        </w:behaviors>
        <w:guid w:val="{5F0260A6-A07D-4D76-B2A3-73525F571E4B}"/>
      </w:docPartPr>
      <w:docPartBody>
        <w:p w:rsidR="0008670D" w:rsidRDefault="00131CE1" w:rsidP="00131CE1">
          <w:pPr>
            <w:pStyle w:val="7D0C367D0E8F43FCA19904AB5A4451973"/>
          </w:pPr>
          <w:r>
            <w:rPr>
              <w:shd w:val="clear" w:color="auto" w:fill="FFFFFF" w:themeFill="background1"/>
            </w:rPr>
            <w:t>Click here to enter a year</w:t>
          </w:r>
        </w:p>
      </w:docPartBody>
    </w:docPart>
    <w:docPart>
      <w:docPartPr>
        <w:name w:val="D18D54DBDB7640CAB308E77E4900AB83"/>
        <w:category>
          <w:name w:val="General"/>
          <w:gallery w:val="placeholder"/>
        </w:category>
        <w:types>
          <w:type w:val="bbPlcHdr"/>
        </w:types>
        <w:behaviors>
          <w:behavior w:val="content"/>
        </w:behaviors>
        <w:guid w:val="{05C6B472-8CAF-400A-A3B9-F470DF166EA9}"/>
      </w:docPartPr>
      <w:docPartBody>
        <w:p w:rsidR="0008670D" w:rsidRDefault="0008670D">
          <w:pPr>
            <w:pStyle w:val="D18D54DBDB7640CAB308E77E4900AB83"/>
          </w:pPr>
          <w:r w:rsidRPr="00DB6444">
            <w:rPr>
              <w:rStyle w:val="PlaceholderText"/>
            </w:rPr>
            <w:t>Click or tap here to enter text.</w:t>
          </w:r>
        </w:p>
      </w:docPartBody>
    </w:docPart>
    <w:docPart>
      <w:docPartPr>
        <w:name w:val="0C0DFA2F02134256B5A971ADD2011F82"/>
        <w:category>
          <w:name w:val="General"/>
          <w:gallery w:val="placeholder"/>
        </w:category>
        <w:types>
          <w:type w:val="bbPlcHdr"/>
        </w:types>
        <w:behaviors>
          <w:behavior w:val="content"/>
        </w:behaviors>
        <w:guid w:val="{B29B1476-919D-4D1C-A0AA-3E20D478C21E}"/>
      </w:docPartPr>
      <w:docPartBody>
        <w:p w:rsidR="006D0B63" w:rsidRDefault="00717B56" w:rsidP="00717B56">
          <w:pPr>
            <w:pStyle w:val="0C0DFA2F02134256B5A971ADD2011F82"/>
          </w:pPr>
          <w:r w:rsidRPr="00CF4E0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C6D44"/>
    <w:multiLevelType w:val="multilevel"/>
    <w:tmpl w:val="2F48248C"/>
    <w:lvl w:ilvl="0">
      <w:start w:val="1"/>
      <w:numFmt w:val="decimal"/>
      <w:pStyle w:val="F4B131BE0CA54F629B0C838716D4213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E2B5F49"/>
    <w:multiLevelType w:val="multilevel"/>
    <w:tmpl w:val="9000EEAE"/>
    <w:lvl w:ilvl="0">
      <w:start w:val="1"/>
      <w:numFmt w:val="decimal"/>
      <w:pStyle w:val="F4B131BE0CA54F629B0C838716D42132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24751BC"/>
    <w:multiLevelType w:val="multilevel"/>
    <w:tmpl w:val="D11EF22C"/>
    <w:lvl w:ilvl="0">
      <w:start w:val="1"/>
      <w:numFmt w:val="decimal"/>
      <w:pStyle w:val="F4B131BE0CA54F629B0C838716D4213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70D"/>
    <w:rsid w:val="0008670D"/>
    <w:rsid w:val="000922C9"/>
    <w:rsid w:val="00131CE1"/>
    <w:rsid w:val="0025015F"/>
    <w:rsid w:val="003E734A"/>
    <w:rsid w:val="0061602B"/>
    <w:rsid w:val="006410A8"/>
    <w:rsid w:val="006D0B63"/>
    <w:rsid w:val="006E0914"/>
    <w:rsid w:val="00717B56"/>
    <w:rsid w:val="007D605F"/>
    <w:rsid w:val="008017B7"/>
    <w:rsid w:val="00825F75"/>
    <w:rsid w:val="0083128C"/>
    <w:rsid w:val="0088108F"/>
    <w:rsid w:val="008E4DA8"/>
    <w:rsid w:val="008F2296"/>
    <w:rsid w:val="009675B1"/>
    <w:rsid w:val="00A33FE5"/>
    <w:rsid w:val="00A40948"/>
    <w:rsid w:val="00AD51A6"/>
    <w:rsid w:val="00AF51F8"/>
    <w:rsid w:val="00C01BED"/>
    <w:rsid w:val="00C2112B"/>
    <w:rsid w:val="00D075D2"/>
    <w:rsid w:val="00D42BD0"/>
    <w:rsid w:val="00E810BE"/>
    <w:rsid w:val="00E845CA"/>
    <w:rsid w:val="00EE6B27"/>
    <w:rsid w:val="00F451A2"/>
    <w:rsid w:val="00F85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17B56"/>
    <w:rPr>
      <w:rFonts w:ascii="Calibri" w:hAnsi="Calibri"/>
      <w:noProof w:val="0"/>
      <w:color w:val="000000" w:themeColor="text1"/>
      <w:sz w:val="22"/>
      <w:bdr w:val="none" w:sz="0" w:space="0" w:color="auto"/>
      <w:shd w:val="clear" w:color="auto" w:fill="FFFF00"/>
      <w:lang w:val="en-AU"/>
    </w:rPr>
  </w:style>
  <w:style w:type="paragraph" w:customStyle="1" w:styleId="61B641B040D3415FA4B98A287548464A">
    <w:name w:val="61B641B040D3415FA4B98A287548464A"/>
  </w:style>
  <w:style w:type="paragraph" w:customStyle="1" w:styleId="AECBE27273334F8C9830761C13AB40F1">
    <w:name w:val="AECBE27273334F8C9830761C13AB40F1"/>
  </w:style>
  <w:style w:type="paragraph" w:customStyle="1" w:styleId="F4B131BE0CA54F629B0C838716D42132">
    <w:name w:val="F4B131BE0CA54F629B0C838716D42132"/>
  </w:style>
  <w:style w:type="paragraph" w:customStyle="1" w:styleId="38CEA0EA8E6B4AB9B39FB19AF44130C2">
    <w:name w:val="38CEA0EA8E6B4AB9B39FB19AF44130C2"/>
  </w:style>
  <w:style w:type="paragraph" w:customStyle="1" w:styleId="AFEEE5746B7A4D75A0178864EAB89964">
    <w:name w:val="AFEEE5746B7A4D75A0178864EAB89964"/>
  </w:style>
  <w:style w:type="paragraph" w:customStyle="1" w:styleId="5FAFB663FA7A45CE9E5C02C306AAEE58">
    <w:name w:val="5FAFB663FA7A45CE9E5C02C306AAEE58"/>
  </w:style>
  <w:style w:type="paragraph" w:customStyle="1" w:styleId="E2879D9BF8BE405294EAEB5A7A001987">
    <w:name w:val="E2879D9BF8BE405294EAEB5A7A001987"/>
  </w:style>
  <w:style w:type="paragraph" w:customStyle="1" w:styleId="7D0C367D0E8F43FCA19904AB5A445197">
    <w:name w:val="7D0C367D0E8F43FCA19904AB5A445197"/>
  </w:style>
  <w:style w:type="paragraph" w:customStyle="1" w:styleId="362A1482ABB745A6BC07E0C95FDB6289">
    <w:name w:val="362A1482ABB745A6BC07E0C95FDB6289"/>
  </w:style>
  <w:style w:type="paragraph" w:customStyle="1" w:styleId="5BF5F84B04784FF9886B88CAE5395D7E">
    <w:name w:val="5BF5F84B04784FF9886B88CAE5395D7E"/>
  </w:style>
  <w:style w:type="paragraph" w:customStyle="1" w:styleId="9893B77F8B0D4C30A9AAFC7D9B570AFC">
    <w:name w:val="9893B77F8B0D4C30A9AAFC7D9B570AFC"/>
  </w:style>
  <w:style w:type="paragraph" w:customStyle="1" w:styleId="D18D54DBDB7640CAB308E77E4900AB83">
    <w:name w:val="D18D54DBDB7640CAB308E77E4900AB83"/>
  </w:style>
  <w:style w:type="paragraph" w:customStyle="1" w:styleId="61B641B040D3415FA4B98A287548464A1">
    <w:name w:val="61B641B040D3415FA4B98A287548464A1"/>
    <w:rsid w:val="0088108F"/>
    <w:pPr>
      <w:spacing w:before="1700" w:after="200" w:line="504" w:lineRule="exact"/>
      <w:contextualSpacing/>
      <w:jc w:val="both"/>
    </w:pPr>
    <w:rPr>
      <w:rFonts w:asciiTheme="majorHAnsi" w:eastAsiaTheme="majorEastAsia" w:hAnsiTheme="majorHAnsi" w:cstheme="majorBidi"/>
      <w:color w:val="5B9BD5" w:themeColor="accent1"/>
      <w:sz w:val="42"/>
      <w:szCs w:val="52"/>
      <w:lang w:val="en-AU"/>
    </w:rPr>
  </w:style>
  <w:style w:type="paragraph" w:customStyle="1" w:styleId="AECBE27273334F8C9830761C13AB40F11">
    <w:name w:val="AECBE27273334F8C9830761C13AB40F11"/>
    <w:rsid w:val="0088108F"/>
    <w:pPr>
      <w:numPr>
        <w:ilvl w:val="1"/>
      </w:numPr>
      <w:pBdr>
        <w:top w:val="single" w:sz="4" w:space="6" w:color="44546A" w:themeColor="text2"/>
        <w:bottom w:val="single" w:sz="4" w:space="2" w:color="44546A" w:themeColor="text2"/>
      </w:pBdr>
      <w:spacing w:after="240" w:line="276" w:lineRule="auto"/>
      <w:jc w:val="both"/>
    </w:pPr>
    <w:rPr>
      <w:b/>
      <w:color w:val="44546A" w:themeColor="text2"/>
      <w:sz w:val="36"/>
      <w:lang w:val="en-AU"/>
    </w:rPr>
  </w:style>
  <w:style w:type="paragraph" w:customStyle="1" w:styleId="F4B131BE0CA54F629B0C838716D421321">
    <w:name w:val="F4B131BE0CA54F629B0C838716D421321"/>
    <w:rsid w:val="0088108F"/>
    <w:pPr>
      <w:numPr>
        <w:numId w:val="1"/>
      </w:numPr>
      <w:spacing w:after="200" w:line="276" w:lineRule="auto"/>
      <w:jc w:val="both"/>
    </w:pPr>
    <w:rPr>
      <w:rFonts w:ascii="Calibri" w:eastAsiaTheme="minorHAnsi" w:hAnsi="Calibri"/>
      <w:lang w:val="en-AU"/>
    </w:rPr>
  </w:style>
  <w:style w:type="paragraph" w:customStyle="1" w:styleId="38CEA0EA8E6B4AB9B39FB19AF44130C21">
    <w:name w:val="38CEA0EA8E6B4AB9B39FB19AF44130C21"/>
    <w:rsid w:val="0088108F"/>
    <w:pPr>
      <w:tabs>
        <w:tab w:val="num" w:pos="720"/>
      </w:tabs>
      <w:spacing w:after="200" w:line="276" w:lineRule="auto"/>
      <w:ind w:left="720" w:hanging="720"/>
      <w:jc w:val="both"/>
    </w:pPr>
    <w:rPr>
      <w:rFonts w:ascii="Calibri" w:eastAsiaTheme="minorHAnsi" w:hAnsi="Calibri"/>
      <w:lang w:val="en-AU"/>
    </w:rPr>
  </w:style>
  <w:style w:type="paragraph" w:customStyle="1" w:styleId="5FAFB663FA7A45CE9E5C02C306AAEE581">
    <w:name w:val="5FAFB663FA7A45CE9E5C02C306AAEE581"/>
    <w:rsid w:val="0088108F"/>
    <w:pPr>
      <w:tabs>
        <w:tab w:val="num" w:pos="720"/>
      </w:tabs>
      <w:spacing w:after="200" w:line="276" w:lineRule="auto"/>
      <w:ind w:left="720" w:hanging="720"/>
      <w:jc w:val="both"/>
    </w:pPr>
    <w:rPr>
      <w:rFonts w:ascii="Calibri" w:eastAsiaTheme="minorHAnsi" w:hAnsi="Calibri"/>
      <w:lang w:val="en-AU"/>
    </w:rPr>
  </w:style>
  <w:style w:type="paragraph" w:customStyle="1" w:styleId="E2879D9BF8BE405294EAEB5A7A0019871">
    <w:name w:val="E2879D9BF8BE405294EAEB5A7A0019871"/>
    <w:rsid w:val="0088108F"/>
    <w:pPr>
      <w:tabs>
        <w:tab w:val="num" w:pos="720"/>
      </w:tabs>
      <w:spacing w:after="200" w:line="276" w:lineRule="auto"/>
      <w:ind w:left="720" w:hanging="720"/>
      <w:jc w:val="both"/>
    </w:pPr>
    <w:rPr>
      <w:rFonts w:ascii="Calibri" w:eastAsiaTheme="minorHAnsi" w:hAnsi="Calibri"/>
      <w:lang w:val="en-AU"/>
    </w:rPr>
  </w:style>
  <w:style w:type="paragraph" w:customStyle="1" w:styleId="7D0C367D0E8F43FCA19904AB5A4451971">
    <w:name w:val="7D0C367D0E8F43FCA19904AB5A4451971"/>
    <w:rsid w:val="0088108F"/>
    <w:pPr>
      <w:tabs>
        <w:tab w:val="num" w:pos="720"/>
      </w:tabs>
      <w:spacing w:after="200" w:line="276" w:lineRule="auto"/>
      <w:ind w:left="720" w:hanging="720"/>
      <w:jc w:val="both"/>
    </w:pPr>
    <w:rPr>
      <w:rFonts w:ascii="Calibri" w:eastAsiaTheme="minorHAnsi" w:hAnsi="Calibri"/>
      <w:lang w:val="en-AU"/>
    </w:rPr>
  </w:style>
  <w:style w:type="paragraph" w:customStyle="1" w:styleId="362A1482ABB745A6BC07E0C95FDB62891">
    <w:name w:val="362A1482ABB745A6BC07E0C95FDB62891"/>
    <w:rsid w:val="0088108F"/>
    <w:pPr>
      <w:tabs>
        <w:tab w:val="num" w:pos="720"/>
      </w:tabs>
      <w:spacing w:after="200" w:line="276" w:lineRule="auto"/>
      <w:ind w:left="720" w:hanging="720"/>
      <w:jc w:val="both"/>
    </w:pPr>
    <w:rPr>
      <w:rFonts w:ascii="Calibri" w:eastAsiaTheme="minorHAnsi" w:hAnsi="Calibri"/>
      <w:lang w:val="en-AU"/>
    </w:rPr>
  </w:style>
  <w:style w:type="paragraph" w:customStyle="1" w:styleId="5BF5F84B04784FF9886B88CAE5395D7E1">
    <w:name w:val="5BF5F84B04784FF9886B88CAE5395D7E1"/>
    <w:rsid w:val="0088108F"/>
    <w:pPr>
      <w:tabs>
        <w:tab w:val="num" w:pos="720"/>
      </w:tabs>
      <w:spacing w:after="200" w:line="276" w:lineRule="auto"/>
      <w:ind w:left="720" w:hanging="720"/>
      <w:jc w:val="both"/>
    </w:pPr>
    <w:rPr>
      <w:rFonts w:ascii="Calibri" w:eastAsiaTheme="minorHAnsi" w:hAnsi="Calibri"/>
      <w:lang w:val="en-AU"/>
    </w:rPr>
  </w:style>
  <w:style w:type="paragraph" w:customStyle="1" w:styleId="61B641B040D3415FA4B98A287548464A2">
    <w:name w:val="61B641B040D3415FA4B98A287548464A2"/>
    <w:rsid w:val="0083128C"/>
    <w:pPr>
      <w:spacing w:before="1700" w:after="200" w:line="504" w:lineRule="exact"/>
      <w:contextualSpacing/>
      <w:jc w:val="both"/>
    </w:pPr>
    <w:rPr>
      <w:rFonts w:asciiTheme="majorHAnsi" w:eastAsiaTheme="majorEastAsia" w:hAnsiTheme="majorHAnsi" w:cstheme="majorBidi"/>
      <w:color w:val="5B9BD5" w:themeColor="accent1"/>
      <w:sz w:val="42"/>
      <w:szCs w:val="52"/>
      <w:lang w:val="en-AU"/>
    </w:rPr>
  </w:style>
  <w:style w:type="paragraph" w:customStyle="1" w:styleId="AECBE27273334F8C9830761C13AB40F12">
    <w:name w:val="AECBE27273334F8C9830761C13AB40F12"/>
    <w:rsid w:val="0083128C"/>
    <w:pPr>
      <w:numPr>
        <w:ilvl w:val="1"/>
      </w:numPr>
      <w:pBdr>
        <w:top w:val="single" w:sz="4" w:space="6" w:color="44546A" w:themeColor="text2"/>
        <w:bottom w:val="single" w:sz="4" w:space="2" w:color="44546A" w:themeColor="text2"/>
      </w:pBdr>
      <w:spacing w:after="240" w:line="276" w:lineRule="auto"/>
      <w:jc w:val="both"/>
    </w:pPr>
    <w:rPr>
      <w:b/>
      <w:color w:val="44546A" w:themeColor="text2"/>
      <w:sz w:val="36"/>
      <w:lang w:val="en-AU"/>
    </w:rPr>
  </w:style>
  <w:style w:type="paragraph" w:customStyle="1" w:styleId="F4B131BE0CA54F629B0C838716D421322">
    <w:name w:val="F4B131BE0CA54F629B0C838716D421322"/>
    <w:rsid w:val="0083128C"/>
    <w:pPr>
      <w:numPr>
        <w:numId w:val="2"/>
      </w:numPr>
      <w:spacing w:after="200" w:line="276" w:lineRule="auto"/>
      <w:jc w:val="both"/>
    </w:pPr>
    <w:rPr>
      <w:rFonts w:ascii="Calibri" w:eastAsiaTheme="minorHAnsi" w:hAnsi="Calibri"/>
      <w:lang w:val="en-AU"/>
    </w:rPr>
  </w:style>
  <w:style w:type="paragraph" w:customStyle="1" w:styleId="38CEA0EA8E6B4AB9B39FB19AF44130C22">
    <w:name w:val="38CEA0EA8E6B4AB9B39FB19AF44130C22"/>
    <w:rsid w:val="0083128C"/>
    <w:pPr>
      <w:tabs>
        <w:tab w:val="num" w:pos="720"/>
      </w:tabs>
      <w:spacing w:after="200" w:line="276" w:lineRule="auto"/>
      <w:ind w:left="720" w:hanging="720"/>
      <w:jc w:val="both"/>
    </w:pPr>
    <w:rPr>
      <w:rFonts w:ascii="Calibri" w:eastAsiaTheme="minorHAnsi" w:hAnsi="Calibri"/>
      <w:lang w:val="en-AU"/>
    </w:rPr>
  </w:style>
  <w:style w:type="paragraph" w:customStyle="1" w:styleId="5FAFB663FA7A45CE9E5C02C306AAEE582">
    <w:name w:val="5FAFB663FA7A45CE9E5C02C306AAEE582"/>
    <w:rsid w:val="0083128C"/>
    <w:pPr>
      <w:tabs>
        <w:tab w:val="num" w:pos="720"/>
      </w:tabs>
      <w:spacing w:after="200" w:line="276" w:lineRule="auto"/>
      <w:ind w:left="720" w:hanging="720"/>
      <w:jc w:val="both"/>
    </w:pPr>
    <w:rPr>
      <w:rFonts w:ascii="Calibri" w:eastAsiaTheme="minorHAnsi" w:hAnsi="Calibri"/>
      <w:lang w:val="en-AU"/>
    </w:rPr>
  </w:style>
  <w:style w:type="paragraph" w:customStyle="1" w:styleId="E2879D9BF8BE405294EAEB5A7A0019872">
    <w:name w:val="E2879D9BF8BE405294EAEB5A7A0019872"/>
    <w:rsid w:val="0083128C"/>
    <w:pPr>
      <w:tabs>
        <w:tab w:val="num" w:pos="720"/>
      </w:tabs>
      <w:spacing w:after="200" w:line="276" w:lineRule="auto"/>
      <w:ind w:left="720" w:hanging="720"/>
      <w:jc w:val="both"/>
    </w:pPr>
    <w:rPr>
      <w:rFonts w:ascii="Calibri" w:eastAsiaTheme="minorHAnsi" w:hAnsi="Calibri"/>
      <w:lang w:val="en-AU"/>
    </w:rPr>
  </w:style>
  <w:style w:type="paragraph" w:customStyle="1" w:styleId="7D0C367D0E8F43FCA19904AB5A4451972">
    <w:name w:val="7D0C367D0E8F43FCA19904AB5A4451972"/>
    <w:rsid w:val="0083128C"/>
    <w:pPr>
      <w:tabs>
        <w:tab w:val="num" w:pos="720"/>
      </w:tabs>
      <w:spacing w:after="200" w:line="276" w:lineRule="auto"/>
      <w:ind w:left="720" w:hanging="720"/>
      <w:jc w:val="both"/>
    </w:pPr>
    <w:rPr>
      <w:rFonts w:ascii="Calibri" w:eastAsiaTheme="minorHAnsi" w:hAnsi="Calibri"/>
      <w:lang w:val="en-AU"/>
    </w:rPr>
  </w:style>
  <w:style w:type="paragraph" w:customStyle="1" w:styleId="362A1482ABB745A6BC07E0C95FDB62892">
    <w:name w:val="362A1482ABB745A6BC07E0C95FDB62892"/>
    <w:rsid w:val="0083128C"/>
    <w:pPr>
      <w:tabs>
        <w:tab w:val="num" w:pos="720"/>
      </w:tabs>
      <w:spacing w:after="200" w:line="276" w:lineRule="auto"/>
      <w:ind w:left="720" w:hanging="720"/>
      <w:jc w:val="both"/>
    </w:pPr>
    <w:rPr>
      <w:rFonts w:ascii="Calibri" w:eastAsiaTheme="minorHAnsi" w:hAnsi="Calibri"/>
      <w:lang w:val="en-AU"/>
    </w:rPr>
  </w:style>
  <w:style w:type="paragraph" w:customStyle="1" w:styleId="5BF5F84B04784FF9886B88CAE5395D7E2">
    <w:name w:val="5BF5F84B04784FF9886B88CAE5395D7E2"/>
    <w:rsid w:val="0083128C"/>
    <w:pPr>
      <w:tabs>
        <w:tab w:val="num" w:pos="720"/>
      </w:tabs>
      <w:spacing w:after="200" w:line="276" w:lineRule="auto"/>
      <w:ind w:left="720" w:hanging="720"/>
      <w:jc w:val="both"/>
    </w:pPr>
    <w:rPr>
      <w:rFonts w:ascii="Calibri" w:eastAsiaTheme="minorHAnsi" w:hAnsi="Calibri"/>
      <w:lang w:val="en-AU"/>
    </w:rPr>
  </w:style>
  <w:style w:type="paragraph" w:customStyle="1" w:styleId="61B641B040D3415FA4B98A287548464A3">
    <w:name w:val="61B641B040D3415FA4B98A287548464A3"/>
    <w:rsid w:val="00131CE1"/>
    <w:pPr>
      <w:spacing w:before="1700" w:after="200" w:line="504" w:lineRule="exact"/>
      <w:contextualSpacing/>
      <w:jc w:val="both"/>
    </w:pPr>
    <w:rPr>
      <w:rFonts w:asciiTheme="majorHAnsi" w:eastAsiaTheme="majorEastAsia" w:hAnsiTheme="majorHAnsi" w:cstheme="majorBidi"/>
      <w:color w:val="5B9BD5" w:themeColor="accent1"/>
      <w:sz w:val="42"/>
      <w:szCs w:val="52"/>
      <w:lang w:val="en-AU"/>
    </w:rPr>
  </w:style>
  <w:style w:type="paragraph" w:customStyle="1" w:styleId="AECBE27273334F8C9830761C13AB40F13">
    <w:name w:val="AECBE27273334F8C9830761C13AB40F13"/>
    <w:rsid w:val="00131CE1"/>
    <w:pPr>
      <w:numPr>
        <w:ilvl w:val="1"/>
      </w:numPr>
      <w:pBdr>
        <w:top w:val="single" w:sz="4" w:space="6" w:color="44546A" w:themeColor="text2"/>
        <w:bottom w:val="single" w:sz="4" w:space="2" w:color="44546A" w:themeColor="text2"/>
      </w:pBdr>
      <w:spacing w:after="240" w:line="276" w:lineRule="auto"/>
      <w:jc w:val="both"/>
    </w:pPr>
    <w:rPr>
      <w:b/>
      <w:color w:val="44546A" w:themeColor="text2"/>
      <w:sz w:val="36"/>
      <w:lang w:val="en-AU"/>
    </w:rPr>
  </w:style>
  <w:style w:type="paragraph" w:customStyle="1" w:styleId="F4B131BE0CA54F629B0C838716D421323">
    <w:name w:val="F4B131BE0CA54F629B0C838716D421323"/>
    <w:rsid w:val="00131CE1"/>
    <w:pPr>
      <w:numPr>
        <w:numId w:val="3"/>
      </w:numPr>
      <w:spacing w:after="200" w:line="276" w:lineRule="auto"/>
      <w:jc w:val="both"/>
    </w:pPr>
    <w:rPr>
      <w:rFonts w:ascii="Calibri" w:eastAsiaTheme="minorHAnsi" w:hAnsi="Calibri"/>
      <w:lang w:val="en-AU"/>
    </w:rPr>
  </w:style>
  <w:style w:type="paragraph" w:customStyle="1" w:styleId="38CEA0EA8E6B4AB9B39FB19AF44130C23">
    <w:name w:val="38CEA0EA8E6B4AB9B39FB19AF44130C23"/>
    <w:rsid w:val="00131CE1"/>
    <w:pPr>
      <w:tabs>
        <w:tab w:val="num" w:pos="720"/>
      </w:tabs>
      <w:spacing w:after="200" w:line="276" w:lineRule="auto"/>
      <w:ind w:left="720" w:hanging="720"/>
      <w:jc w:val="both"/>
    </w:pPr>
    <w:rPr>
      <w:rFonts w:ascii="Calibri" w:eastAsiaTheme="minorHAnsi" w:hAnsi="Calibri"/>
      <w:lang w:val="en-AU"/>
    </w:rPr>
  </w:style>
  <w:style w:type="paragraph" w:customStyle="1" w:styleId="5FAFB663FA7A45CE9E5C02C306AAEE583">
    <w:name w:val="5FAFB663FA7A45CE9E5C02C306AAEE583"/>
    <w:rsid w:val="00131CE1"/>
    <w:pPr>
      <w:tabs>
        <w:tab w:val="num" w:pos="720"/>
      </w:tabs>
      <w:spacing w:after="200" w:line="276" w:lineRule="auto"/>
      <w:ind w:left="720" w:hanging="720"/>
      <w:jc w:val="both"/>
    </w:pPr>
    <w:rPr>
      <w:rFonts w:ascii="Calibri" w:eastAsiaTheme="minorHAnsi" w:hAnsi="Calibri"/>
      <w:lang w:val="en-AU"/>
    </w:rPr>
  </w:style>
  <w:style w:type="paragraph" w:customStyle="1" w:styleId="E2879D9BF8BE405294EAEB5A7A0019873">
    <w:name w:val="E2879D9BF8BE405294EAEB5A7A0019873"/>
    <w:rsid w:val="00131CE1"/>
    <w:pPr>
      <w:tabs>
        <w:tab w:val="num" w:pos="720"/>
      </w:tabs>
      <w:spacing w:after="200" w:line="276" w:lineRule="auto"/>
      <w:ind w:left="720" w:hanging="720"/>
      <w:jc w:val="both"/>
    </w:pPr>
    <w:rPr>
      <w:rFonts w:ascii="Calibri" w:eastAsiaTheme="minorHAnsi" w:hAnsi="Calibri"/>
      <w:lang w:val="en-AU"/>
    </w:rPr>
  </w:style>
  <w:style w:type="paragraph" w:customStyle="1" w:styleId="7D0C367D0E8F43FCA19904AB5A4451973">
    <w:name w:val="7D0C367D0E8F43FCA19904AB5A4451973"/>
    <w:rsid w:val="00131CE1"/>
    <w:pPr>
      <w:tabs>
        <w:tab w:val="num" w:pos="720"/>
      </w:tabs>
      <w:spacing w:after="200" w:line="276" w:lineRule="auto"/>
      <w:ind w:left="720" w:hanging="720"/>
      <w:jc w:val="both"/>
    </w:pPr>
    <w:rPr>
      <w:rFonts w:ascii="Calibri" w:eastAsiaTheme="minorHAnsi" w:hAnsi="Calibri"/>
      <w:lang w:val="en-AU"/>
    </w:rPr>
  </w:style>
  <w:style w:type="paragraph" w:customStyle="1" w:styleId="362A1482ABB745A6BC07E0C95FDB62893">
    <w:name w:val="362A1482ABB745A6BC07E0C95FDB62893"/>
    <w:rsid w:val="00131CE1"/>
    <w:pPr>
      <w:tabs>
        <w:tab w:val="num" w:pos="720"/>
      </w:tabs>
      <w:spacing w:after="200" w:line="276" w:lineRule="auto"/>
      <w:ind w:left="720" w:hanging="720"/>
      <w:jc w:val="both"/>
    </w:pPr>
    <w:rPr>
      <w:rFonts w:ascii="Calibri" w:eastAsiaTheme="minorHAnsi" w:hAnsi="Calibri"/>
      <w:lang w:val="en-AU"/>
    </w:rPr>
  </w:style>
  <w:style w:type="paragraph" w:customStyle="1" w:styleId="5BF5F84B04784FF9886B88CAE5395D7E3">
    <w:name w:val="5BF5F84B04784FF9886B88CAE5395D7E3"/>
    <w:rsid w:val="00131CE1"/>
    <w:pPr>
      <w:tabs>
        <w:tab w:val="num" w:pos="720"/>
      </w:tabs>
      <w:spacing w:after="200" w:line="276" w:lineRule="auto"/>
      <w:ind w:left="720" w:hanging="720"/>
      <w:jc w:val="both"/>
    </w:pPr>
    <w:rPr>
      <w:rFonts w:ascii="Calibri" w:eastAsiaTheme="minorHAnsi" w:hAnsi="Calibri"/>
      <w:lang w:val="en-AU"/>
    </w:rPr>
  </w:style>
  <w:style w:type="paragraph" w:customStyle="1" w:styleId="0C0DFA2F02134256B5A971ADD2011F82">
    <w:name w:val="0C0DFA2F02134256B5A971ADD2011F82"/>
    <w:rsid w:val="00717B56"/>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EcoAus">
      <a:dk1>
        <a:srgbClr val="231F20"/>
      </a:dk1>
      <a:lt1>
        <a:sysClr val="window" lastClr="FFFFFF"/>
      </a:lt1>
      <a:dk2>
        <a:srgbClr val="4D4D4F"/>
      </a:dk2>
      <a:lt2>
        <a:srgbClr val="D1D3D4"/>
      </a:lt2>
      <a:accent1>
        <a:srgbClr val="00853F"/>
      </a:accent1>
      <a:accent2>
        <a:srgbClr val="8DC63F"/>
      </a:accent2>
      <a:accent3>
        <a:srgbClr val="00421F"/>
      </a:accent3>
      <a:accent4>
        <a:srgbClr val="46641D"/>
      </a:accent4>
      <a:accent5>
        <a:srgbClr val="00C85F"/>
      </a:accent5>
      <a:accent6>
        <a:srgbClr val="D1E8B2"/>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51D861DF.dotm</Template>
  <TotalTime>4</TotalTime>
  <Pages>38</Pages>
  <Words>8465</Words>
  <Characters>48254</Characters>
  <Application>Microsoft Office Word</Application>
  <DocSecurity>4</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Barwon Darling Water Quality during the Northern Fish Flow March-August 2019</dc:title>
  <dc:creator>Eco Logical Australia</dc:creator>
  <cp:lastModifiedBy>Bec Durack</cp:lastModifiedBy>
  <cp:revision>2</cp:revision>
  <dcterms:created xsi:type="dcterms:W3CDTF">2020-05-07T01:11:00Z</dcterms:created>
  <dcterms:modified xsi:type="dcterms:W3CDTF">2020-05-07T01:11:00Z</dcterms:modified>
</cp:coreProperties>
</file>