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B332" w14:textId="77777777" w:rsidR="00200DC1" w:rsidRPr="009D3999" w:rsidRDefault="00200DC1" w:rsidP="00200DC1">
      <w:pPr>
        <w:pStyle w:val="Title"/>
      </w:pPr>
      <w:r w:rsidRPr="009D3999">
        <w:rPr>
          <w:noProof/>
          <w:szCs w:val="22"/>
          <w:lang w:eastAsia="en-AU"/>
        </w:rPr>
        <w:drawing>
          <wp:inline distT="0" distB="0" distL="0" distR="0" wp14:anchorId="1C88BA51" wp14:editId="4460787D">
            <wp:extent cx="17907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14:paraId="133B5C9C" w14:textId="77777777" w:rsidR="00200DC1" w:rsidRPr="009D3999" w:rsidRDefault="00200DC1" w:rsidP="00200DC1">
      <w:pPr>
        <w:pStyle w:val="Title"/>
      </w:pPr>
    </w:p>
    <w:p w14:paraId="0E08B85D" w14:textId="77777777" w:rsidR="00200DC1" w:rsidRPr="004C2F64" w:rsidRDefault="00200DC1" w:rsidP="00200DC1">
      <w:pPr>
        <w:spacing w:after="160"/>
        <w:rPr>
          <w:rFonts w:ascii="Calibri" w:eastAsia="Times New Roman" w:hAnsi="Calibri"/>
          <w:b/>
          <w:color w:val="0070C0"/>
          <w:kern w:val="28"/>
          <w:sz w:val="40"/>
          <w:szCs w:val="28"/>
          <w:lang w:eastAsia="en-US"/>
        </w:rPr>
      </w:pPr>
      <w:bookmarkStart w:id="0" w:name="_Hlk532990092"/>
      <w:bookmarkStart w:id="1" w:name="_GoBack"/>
      <w:r w:rsidRPr="004C2F64">
        <w:rPr>
          <w:rFonts w:ascii="Calibri" w:eastAsia="Times New Roman" w:hAnsi="Calibri"/>
          <w:b/>
          <w:color w:val="0070C0"/>
          <w:kern w:val="28"/>
          <w:sz w:val="40"/>
          <w:szCs w:val="28"/>
          <w:lang w:eastAsia="en-US"/>
        </w:rPr>
        <w:t xml:space="preserve">Basin Matter </w:t>
      </w:r>
      <w:r>
        <w:rPr>
          <w:rFonts w:ascii="Calibri" w:eastAsia="Times New Roman" w:hAnsi="Calibri"/>
          <w:b/>
          <w:color w:val="0070C0"/>
          <w:kern w:val="28"/>
          <w:sz w:val="40"/>
          <w:szCs w:val="28"/>
          <w:lang w:eastAsia="en-US"/>
        </w:rPr>
        <w:t>–</w:t>
      </w:r>
      <w:r w:rsidRPr="004C2F64">
        <w:rPr>
          <w:rFonts w:ascii="Calibri" w:eastAsia="Times New Roman" w:hAnsi="Calibri"/>
          <w:b/>
          <w:color w:val="0070C0"/>
          <w:kern w:val="28"/>
          <w:sz w:val="40"/>
          <w:szCs w:val="28"/>
          <w:lang w:eastAsia="en-US"/>
        </w:rPr>
        <w:t xml:space="preserve"> Aggregation of Selected Area biodiversity outcomes (</w:t>
      </w:r>
      <w:r>
        <w:rPr>
          <w:rFonts w:ascii="Calibri" w:eastAsia="Times New Roman" w:hAnsi="Calibri"/>
          <w:b/>
          <w:color w:val="0070C0"/>
          <w:kern w:val="28"/>
          <w:sz w:val="40"/>
          <w:szCs w:val="28"/>
          <w:lang w:eastAsia="en-US"/>
        </w:rPr>
        <w:t>bio</w:t>
      </w:r>
      <w:r w:rsidRPr="004C2F64">
        <w:rPr>
          <w:rFonts w:ascii="Calibri" w:eastAsia="Times New Roman" w:hAnsi="Calibri"/>
          <w:b/>
          <w:color w:val="0070C0"/>
          <w:kern w:val="28"/>
          <w:sz w:val="40"/>
          <w:szCs w:val="28"/>
          <w:lang w:eastAsia="en-US"/>
        </w:rPr>
        <w:t xml:space="preserve">diversity) foundation report </w:t>
      </w:r>
      <w:r>
        <w:rPr>
          <w:rFonts w:ascii="Calibri" w:eastAsia="Times New Roman" w:hAnsi="Calibri"/>
          <w:b/>
          <w:color w:val="0070C0"/>
          <w:kern w:val="28"/>
          <w:sz w:val="40"/>
          <w:szCs w:val="28"/>
          <w:lang w:eastAsia="en-US"/>
        </w:rPr>
        <w:t>– 2018 revision</w:t>
      </w:r>
      <w:bookmarkEnd w:id="1"/>
    </w:p>
    <w:bookmarkEnd w:id="0"/>
    <w:p w14:paraId="6287A528" w14:textId="77777777" w:rsidR="00200DC1" w:rsidRPr="009D3999" w:rsidRDefault="00200DC1" w:rsidP="00200DC1"/>
    <w:p w14:paraId="08D7D823" w14:textId="77777777" w:rsidR="00200DC1" w:rsidRPr="009D3999" w:rsidRDefault="00200DC1" w:rsidP="00200DC1"/>
    <w:p w14:paraId="5B8B59B4" w14:textId="77777777" w:rsidR="00200DC1" w:rsidRPr="009D3999" w:rsidRDefault="00200DC1" w:rsidP="00200DC1">
      <w:pPr>
        <w:pStyle w:val="Authors"/>
        <w:spacing w:after="0"/>
      </w:pPr>
      <w:r w:rsidRPr="009D3999">
        <w:rPr>
          <w:rStyle w:val="Strong"/>
        </w:rPr>
        <w:t>Prepared by:</w:t>
      </w:r>
      <w:r w:rsidRPr="009D3999">
        <w:t xml:space="preserve"> Jennifer Hale</w:t>
      </w:r>
    </w:p>
    <w:p w14:paraId="0BFD47EE" w14:textId="77777777" w:rsidR="00200DC1" w:rsidRPr="009D3999" w:rsidRDefault="00200DC1" w:rsidP="00200DC1">
      <w:pPr>
        <w:spacing w:after="0"/>
        <w:rPr>
          <w:lang w:eastAsia="en-AU"/>
        </w:rPr>
      </w:pPr>
    </w:p>
    <w:p w14:paraId="0EBD1A67" w14:textId="77777777" w:rsidR="00200DC1" w:rsidRPr="009D3999" w:rsidRDefault="00200DC1" w:rsidP="00200DC1">
      <w:pPr>
        <w:spacing w:after="0"/>
        <w:jc w:val="center"/>
      </w:pPr>
    </w:p>
    <w:p w14:paraId="07AAA9F4" w14:textId="77777777" w:rsidR="00200DC1" w:rsidRPr="009D3999" w:rsidRDefault="00200DC1" w:rsidP="00200DC1">
      <w:pPr>
        <w:pStyle w:val="DraftReport"/>
        <w:tabs>
          <w:tab w:val="left" w:pos="964"/>
          <w:tab w:val="center" w:pos="4680"/>
        </w:tabs>
        <w:spacing w:after="0"/>
      </w:pPr>
    </w:p>
    <w:p w14:paraId="3946A286" w14:textId="77777777" w:rsidR="00200DC1" w:rsidRPr="009D3999" w:rsidRDefault="00200DC1" w:rsidP="00200DC1">
      <w:pPr>
        <w:pStyle w:val="DraftReport"/>
        <w:tabs>
          <w:tab w:val="left" w:pos="964"/>
          <w:tab w:val="center" w:pos="4680"/>
        </w:tabs>
        <w:spacing w:after="0"/>
      </w:pPr>
    </w:p>
    <w:p w14:paraId="65D5C0F3" w14:textId="77777777" w:rsidR="00200DC1" w:rsidRPr="009D3999" w:rsidRDefault="00200DC1" w:rsidP="00200DC1">
      <w:pPr>
        <w:pStyle w:val="DraftReport"/>
        <w:tabs>
          <w:tab w:val="left" w:pos="964"/>
          <w:tab w:val="center" w:pos="4680"/>
        </w:tabs>
        <w:spacing w:after="0"/>
      </w:pPr>
    </w:p>
    <w:p w14:paraId="5458150D" w14:textId="77777777" w:rsidR="00200DC1" w:rsidRPr="009D3999" w:rsidRDefault="00200DC1" w:rsidP="00200DC1">
      <w:pPr>
        <w:pStyle w:val="DraftReport"/>
        <w:tabs>
          <w:tab w:val="left" w:pos="964"/>
          <w:tab w:val="center" w:pos="4680"/>
        </w:tabs>
        <w:spacing w:after="0"/>
        <w:jc w:val="right"/>
      </w:pPr>
    </w:p>
    <w:p w14:paraId="522C6758" w14:textId="2C1D86A4" w:rsidR="00200DC1" w:rsidRPr="009D3999" w:rsidRDefault="00200DC1" w:rsidP="00200DC1">
      <w:pPr>
        <w:pStyle w:val="DraftReport"/>
        <w:tabs>
          <w:tab w:val="left" w:pos="964"/>
          <w:tab w:val="center" w:pos="4680"/>
        </w:tabs>
        <w:spacing w:after="0"/>
      </w:pPr>
      <w:r w:rsidRPr="009D3999">
        <w:rPr>
          <w:noProof/>
          <w:lang w:eastAsia="en-AU"/>
        </w:rPr>
        <w:drawing>
          <wp:anchor distT="36576" distB="36576" distL="36576" distR="36576" simplePos="0" relativeHeight="251661312" behindDoc="0" locked="0" layoutInCell="1" allowOverlap="1" wp14:anchorId="43FB1CB1" wp14:editId="13887E82">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lang w:eastAsia="en-GB"/>
        </w:rPr>
        <w:t>Final</w:t>
      </w:r>
      <w:r w:rsidRPr="009D3999">
        <w:t xml:space="preserve"> Report</w:t>
      </w:r>
      <w:r>
        <w:t>- revision 2018</w:t>
      </w:r>
    </w:p>
    <w:p w14:paraId="0C8569B9" w14:textId="55C3B071" w:rsidR="00200DC1" w:rsidRPr="009D3999" w:rsidRDefault="00200DC1" w:rsidP="00200DC1">
      <w:pPr>
        <w:tabs>
          <w:tab w:val="left" w:pos="1002"/>
          <w:tab w:val="center" w:pos="4513"/>
        </w:tabs>
        <w:spacing w:after="0"/>
        <w:rPr>
          <w:b/>
          <w:color w:val="330033"/>
        </w:rPr>
      </w:pPr>
      <w:r w:rsidRPr="009D3999">
        <w:rPr>
          <w:b/>
          <w:color w:val="330033"/>
        </w:rPr>
        <w:tab/>
      </w:r>
      <w:r w:rsidRPr="009D3999">
        <w:rPr>
          <w:b/>
          <w:color w:val="330033"/>
        </w:rPr>
        <w:tab/>
        <w:t xml:space="preserve">La Trobe Publication </w:t>
      </w:r>
      <w:r w:rsidR="00407078">
        <w:rPr>
          <w:b/>
          <w:color w:val="330033"/>
        </w:rPr>
        <w:t>207</w:t>
      </w:r>
      <w:r w:rsidRPr="009D3999">
        <w:rPr>
          <w:b/>
          <w:color w:val="330033"/>
        </w:rPr>
        <w:t>/2018</w:t>
      </w:r>
    </w:p>
    <w:p w14:paraId="75358E02" w14:textId="77777777" w:rsidR="00200DC1" w:rsidRPr="009D3999" w:rsidRDefault="00200DC1" w:rsidP="00200DC1">
      <w:pPr>
        <w:tabs>
          <w:tab w:val="left" w:pos="1002"/>
          <w:tab w:val="center" w:pos="4513"/>
        </w:tabs>
        <w:spacing w:after="0"/>
        <w:rPr>
          <w:b/>
          <w:color w:val="330033"/>
        </w:rPr>
      </w:pPr>
    </w:p>
    <w:p w14:paraId="2295DE96" w14:textId="77777777" w:rsidR="00200DC1" w:rsidRPr="009D3999" w:rsidRDefault="00200DC1" w:rsidP="00200DC1">
      <w:pPr>
        <w:tabs>
          <w:tab w:val="left" w:pos="1002"/>
          <w:tab w:val="center" w:pos="4513"/>
        </w:tabs>
        <w:spacing w:after="0"/>
        <w:rPr>
          <w:b/>
          <w:color w:val="330033"/>
        </w:rPr>
      </w:pPr>
    </w:p>
    <w:p w14:paraId="6A88DDB5" w14:textId="77777777" w:rsidR="00200DC1" w:rsidRPr="009D3999" w:rsidRDefault="00200DC1" w:rsidP="00200DC1">
      <w:pPr>
        <w:tabs>
          <w:tab w:val="left" w:pos="1002"/>
          <w:tab w:val="center" w:pos="4513"/>
        </w:tabs>
        <w:spacing w:after="0"/>
      </w:pPr>
    </w:p>
    <w:p w14:paraId="1FAE51F5" w14:textId="77777777" w:rsidR="00200DC1" w:rsidRPr="009D3999" w:rsidRDefault="00200DC1" w:rsidP="00200DC1">
      <w:pPr>
        <w:rPr>
          <w:rFonts w:cs="Arial"/>
          <w:b/>
          <w:color w:val="0070C0"/>
          <w:sz w:val="28"/>
          <w:szCs w:val="28"/>
          <w:highlight w:val="yellow"/>
        </w:rPr>
        <w:sectPr w:rsidR="00200DC1" w:rsidRPr="009D3999" w:rsidSect="00200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14:paraId="3701064C" w14:textId="77777777" w:rsidR="00407078" w:rsidRPr="00407078" w:rsidRDefault="00407078" w:rsidP="00407078">
      <w:pPr>
        <w:pStyle w:val="PrelimTextLeftAlign"/>
        <w:rPr>
          <w:b/>
          <w:sz w:val="28"/>
          <w:szCs w:val="28"/>
        </w:rPr>
      </w:pPr>
      <w:r w:rsidRPr="00407078">
        <w:rPr>
          <w:b/>
          <w:sz w:val="28"/>
          <w:szCs w:val="28"/>
        </w:rPr>
        <w:lastRenderedPageBreak/>
        <w:t>Basin Matter – Aggregation of Selected Area biodiversity outcomes (biodiversity) foundation report – 2018 revision</w:t>
      </w:r>
    </w:p>
    <w:p w14:paraId="529BD9CD" w14:textId="77777777" w:rsidR="00200DC1" w:rsidRPr="009D3999" w:rsidRDefault="00200DC1" w:rsidP="00200DC1">
      <w:pPr>
        <w:pStyle w:val="PrelimTextLeftAlign"/>
      </w:pPr>
      <w:r w:rsidRPr="009D3999">
        <w:t>Report prepared for the Commonwealth Environmental Water Office by La Trobe University</w:t>
      </w:r>
    </w:p>
    <w:p w14:paraId="3FFF8249" w14:textId="77777777" w:rsidR="00200DC1" w:rsidRPr="009D3999" w:rsidRDefault="00200DC1" w:rsidP="00200DC1">
      <w:pPr>
        <w:pStyle w:val="PrelimText"/>
      </w:pPr>
    </w:p>
    <w:p w14:paraId="48360B2D" w14:textId="77777777" w:rsidR="00200DC1" w:rsidRPr="009D3999" w:rsidRDefault="00200DC1" w:rsidP="00200DC1">
      <w:pPr>
        <w:pStyle w:val="PrelimText"/>
      </w:pPr>
    </w:p>
    <w:p w14:paraId="5C57A353" w14:textId="77777777" w:rsidR="00200DC1" w:rsidRPr="009D3999" w:rsidRDefault="00200DC1" w:rsidP="00200DC1">
      <w:pPr>
        <w:pStyle w:val="PrelimText"/>
      </w:pPr>
      <w:r w:rsidRPr="009D3999">
        <w:t>For further information contact:</w:t>
      </w:r>
    </w:p>
    <w:p w14:paraId="29218929" w14:textId="77777777" w:rsidR="00200DC1" w:rsidRPr="009D3999" w:rsidRDefault="00200DC1" w:rsidP="00200DC1">
      <w:pPr>
        <w:pStyle w:val="PrelimTextLeftAlign"/>
        <w:rPr>
          <w:rStyle w:val="Strong"/>
        </w:rPr>
      </w:pPr>
      <w:r w:rsidRPr="009D3999">
        <w:rPr>
          <w:rStyle w:val="Strong"/>
        </w:rPr>
        <w:t>Nick Bond</w:t>
      </w:r>
    </w:p>
    <w:p w14:paraId="0697B3DA" w14:textId="77777777" w:rsidR="00200DC1" w:rsidRPr="009D3999" w:rsidRDefault="00200DC1" w:rsidP="00200DC1">
      <w:pPr>
        <w:pStyle w:val="PrelimTextLeftAlign"/>
      </w:pPr>
      <w:r w:rsidRPr="009D3999">
        <w:t>La Trobe University</w:t>
      </w:r>
      <w:r w:rsidRPr="009D3999">
        <w:br/>
        <w:t xml:space="preserve">PO Box 991 </w:t>
      </w:r>
      <w:r w:rsidRPr="009D3999">
        <w:br/>
        <w:t xml:space="preserve">Wodonga VIC 3689 </w:t>
      </w:r>
    </w:p>
    <w:p w14:paraId="04DB7064" w14:textId="77777777" w:rsidR="00200DC1" w:rsidRPr="009D3999" w:rsidRDefault="00200DC1" w:rsidP="00200DC1">
      <w:pPr>
        <w:pStyle w:val="PrelimTextLeftAlign"/>
      </w:pPr>
      <w:proofErr w:type="spellStart"/>
      <w:r w:rsidRPr="009D3999">
        <w:t>Ph</w:t>
      </w:r>
      <w:proofErr w:type="spellEnd"/>
      <w:r w:rsidRPr="009D3999">
        <w:t xml:space="preserve">: (02) 6024 9650 </w:t>
      </w:r>
    </w:p>
    <w:p w14:paraId="717356A9" w14:textId="77777777" w:rsidR="00200DC1" w:rsidRPr="009D3999" w:rsidRDefault="00200DC1" w:rsidP="00200DC1">
      <w:pPr>
        <w:rPr>
          <w:rFonts w:cs="Arial"/>
          <w:b/>
          <w:szCs w:val="22"/>
        </w:rPr>
      </w:pPr>
    </w:p>
    <w:p w14:paraId="70D08348" w14:textId="77777777" w:rsidR="00200DC1" w:rsidRPr="009D3999" w:rsidRDefault="00200DC1" w:rsidP="00200DC1">
      <w:pPr>
        <w:tabs>
          <w:tab w:val="left" w:pos="1418"/>
        </w:tabs>
        <w:rPr>
          <w:rFonts w:cs="Arial"/>
          <w:b/>
          <w:szCs w:val="22"/>
        </w:rPr>
      </w:pPr>
      <w:r w:rsidRPr="009D3999">
        <w:rPr>
          <w:rFonts w:cs="Arial"/>
          <w:szCs w:val="22"/>
        </w:rPr>
        <w:t>Email:</w:t>
      </w:r>
      <w:r w:rsidRPr="009D3999">
        <w:rPr>
          <w:rFonts w:cs="Arial"/>
          <w:szCs w:val="22"/>
        </w:rPr>
        <w:tab/>
      </w:r>
      <w:hyperlink r:id="rId15" w:history="1">
        <w:r w:rsidRPr="009D3999">
          <w:rPr>
            <w:rStyle w:val="Hyperlink"/>
            <w:rFonts w:cs="Arial"/>
            <w:szCs w:val="22"/>
          </w:rPr>
          <w:t>N.Bond@latrobe.edu.au</w:t>
        </w:r>
      </w:hyperlink>
      <w:r w:rsidRPr="009D3999">
        <w:rPr>
          <w:rFonts w:cs="Arial"/>
          <w:szCs w:val="22"/>
        </w:rPr>
        <w:t xml:space="preserve"> </w:t>
      </w:r>
      <w:r w:rsidRPr="009D3999">
        <w:rPr>
          <w:rStyle w:val="Hyperlink"/>
        </w:rPr>
        <w:br/>
      </w:r>
      <w:r w:rsidRPr="009D3999">
        <w:rPr>
          <w:rFonts w:cs="Arial"/>
          <w:szCs w:val="22"/>
        </w:rPr>
        <w:t>Web:</w:t>
      </w:r>
      <w:r w:rsidRPr="009D3999">
        <w:rPr>
          <w:rFonts w:cs="Arial"/>
          <w:szCs w:val="22"/>
        </w:rPr>
        <w:tab/>
      </w:r>
      <w:hyperlink r:id="rId16" w:history="1">
        <w:r w:rsidRPr="009D3999">
          <w:rPr>
            <w:rStyle w:val="Hyperlink"/>
            <w:rFonts w:eastAsiaTheme="majorEastAsia"/>
          </w:rPr>
          <w:t>www.la</w:t>
        </w:r>
      </w:hyperlink>
      <w:r w:rsidRPr="009D3999">
        <w:rPr>
          <w:rStyle w:val="Hyperlink"/>
          <w:rFonts w:eastAsiaTheme="majorEastAsia"/>
        </w:rPr>
        <w:t>trobe.edu.au</w:t>
      </w:r>
      <w:r w:rsidRPr="009D3999">
        <w:rPr>
          <w:rFonts w:cs="Arial"/>
          <w:szCs w:val="22"/>
        </w:rPr>
        <w:br/>
        <w:t>Enquiries:</w:t>
      </w:r>
      <w:r w:rsidRPr="009D3999">
        <w:rPr>
          <w:rFonts w:cs="Arial"/>
          <w:szCs w:val="22"/>
        </w:rPr>
        <w:tab/>
      </w:r>
      <w:hyperlink r:id="rId17" w:history="1">
        <w:r w:rsidRPr="009D3999">
          <w:rPr>
            <w:rStyle w:val="Hyperlink"/>
            <w:rFonts w:eastAsiaTheme="majorEastAsia"/>
          </w:rPr>
          <w:t>cfe@latrobe.edu.au</w:t>
        </w:r>
      </w:hyperlink>
      <w:r w:rsidRPr="009D3999">
        <w:t xml:space="preserve"> </w:t>
      </w:r>
    </w:p>
    <w:p w14:paraId="0A4964F5" w14:textId="77777777" w:rsidR="00200DC1" w:rsidRPr="009D3999" w:rsidRDefault="00200DC1" w:rsidP="00200DC1">
      <w:pPr>
        <w:rPr>
          <w:rFonts w:cs="Arial"/>
          <w:szCs w:val="22"/>
        </w:rPr>
      </w:pPr>
    </w:p>
    <w:p w14:paraId="3CB2D1F6" w14:textId="520B5A2F" w:rsidR="00200DC1" w:rsidRPr="009D3999" w:rsidRDefault="00200DC1" w:rsidP="00200DC1">
      <w:pPr>
        <w:pStyle w:val="PrelimText"/>
      </w:pPr>
      <w:r w:rsidRPr="009D3999">
        <w:rPr>
          <w:rStyle w:val="Strong"/>
        </w:rPr>
        <w:t>Report Citation:</w:t>
      </w:r>
      <w:r w:rsidRPr="009D3999">
        <w:t xml:space="preserve"> Hale J (2018) </w:t>
      </w:r>
      <w:r w:rsidRPr="00200DC1">
        <w:t>Basin Matter – Aggregation of Selected Area biodiversity outcomes (biodiversity) foundation report – 2018 revision</w:t>
      </w:r>
      <w:r>
        <w:t xml:space="preserve">. </w:t>
      </w:r>
      <w:r w:rsidRPr="009D3999">
        <w:t xml:space="preserve"> Final Report prepared for the Commonwealth Environmental Water Office by La Trobe University, Publication 193/2018, September, </w:t>
      </w:r>
      <w:r w:rsidR="0092060B">
        <w:t>9</w:t>
      </w:r>
      <w:r w:rsidRPr="009D3999">
        <w:t>pp.</w:t>
      </w:r>
    </w:p>
    <w:p w14:paraId="332DA4BB" w14:textId="77777777" w:rsidR="00200DC1" w:rsidRPr="009D3999" w:rsidRDefault="00200DC1" w:rsidP="00200DC1">
      <w:pPr>
        <w:spacing w:after="200" w:line="276" w:lineRule="auto"/>
      </w:pPr>
      <w:r w:rsidRPr="009D3999">
        <w:br w:type="page"/>
      </w:r>
    </w:p>
    <w:p w14:paraId="79157604" w14:textId="77777777" w:rsidR="00200DC1" w:rsidRPr="009D3999" w:rsidRDefault="00200DC1" w:rsidP="00200DC1">
      <w:r w:rsidRPr="009D3999">
        <w:lastRenderedPageBreak/>
        <w:t>This monitoring project was commissioned and funded by Commonwealth Environmental Water Office.</w:t>
      </w:r>
    </w:p>
    <w:p w14:paraId="475D80B9" w14:textId="77777777" w:rsidR="00200DC1" w:rsidRPr="009D3999" w:rsidRDefault="00200DC1" w:rsidP="00200DC1">
      <w:pPr>
        <w:rPr>
          <w:b/>
          <w:bCs/>
        </w:rPr>
      </w:pPr>
      <w:r w:rsidRPr="009D3999">
        <w:rPr>
          <w:b/>
          <w:bCs/>
        </w:rPr>
        <w:t xml:space="preserve">Copyright </w:t>
      </w:r>
    </w:p>
    <w:p w14:paraId="69200A0D" w14:textId="1D499B0A" w:rsidR="00200DC1" w:rsidRPr="009D3999" w:rsidRDefault="00200DC1" w:rsidP="00200DC1">
      <w:pPr>
        <w:spacing w:line="240" w:lineRule="exact"/>
      </w:pPr>
      <w:r w:rsidRPr="009D3999">
        <w:t>© Copyright</w:t>
      </w:r>
      <w:r w:rsidR="004F3D90">
        <w:t xml:space="preserve"> Commonwealth of Australia, 2018</w:t>
      </w:r>
    </w:p>
    <w:p w14:paraId="0D2E948E" w14:textId="77777777" w:rsidR="00200DC1" w:rsidRPr="009D3999" w:rsidRDefault="00200DC1" w:rsidP="00200DC1">
      <w:pPr>
        <w:spacing w:line="240" w:lineRule="exact"/>
      </w:pPr>
      <w:r w:rsidRPr="009D3999">
        <w:rPr>
          <w:noProof/>
          <w:sz w:val="18"/>
          <w:szCs w:val="18"/>
          <w:lang w:eastAsia="en-AU"/>
        </w:rPr>
        <w:drawing>
          <wp:anchor distT="0" distB="0" distL="114300" distR="114300" simplePos="0" relativeHeight="251662336" behindDoc="0" locked="0" layoutInCell="1" allowOverlap="1" wp14:anchorId="7669EA49" wp14:editId="584DE10A">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14:paraId="4F05BA6A" w14:textId="77777777" w:rsidR="00200DC1" w:rsidRPr="009D3999" w:rsidRDefault="00200DC1" w:rsidP="00200DC1">
      <w:pPr>
        <w:spacing w:line="240" w:lineRule="exact"/>
      </w:pPr>
    </w:p>
    <w:p w14:paraId="29CD6281" w14:textId="77777777" w:rsidR="00200DC1" w:rsidRPr="009D3999" w:rsidRDefault="00200DC1" w:rsidP="00200DC1">
      <w:pPr>
        <w:spacing w:line="240" w:lineRule="exact"/>
      </w:pPr>
    </w:p>
    <w:p w14:paraId="4748BB37" w14:textId="77777777" w:rsidR="00200DC1" w:rsidRPr="009D3999" w:rsidRDefault="00200DC1" w:rsidP="00200DC1"/>
    <w:p w14:paraId="4C430A57" w14:textId="4A1797B2" w:rsidR="00200DC1" w:rsidRPr="009D3999" w:rsidRDefault="00072D31" w:rsidP="00200DC1">
      <w:r w:rsidRPr="00200DC1">
        <w:t>Basin Matter – Aggregation of Selected Area biodiversity outcomes (biodiversity) foundation report – 2018 revision</w:t>
      </w:r>
      <w:r w:rsidR="00200DC1" w:rsidRPr="009D3999">
        <w:t xml:space="preserve"> (2018)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9" w:history="1">
        <w:r w:rsidR="00200DC1" w:rsidRPr="009D3999">
          <w:rPr>
            <w:rStyle w:val="Hyperlink"/>
            <w:rFonts w:eastAsiaTheme="majorEastAsia"/>
          </w:rPr>
          <w:t>http://creativecommons.org/licenses/by/3.0/au/</w:t>
        </w:r>
      </w:hyperlink>
      <w:r w:rsidR="00200DC1" w:rsidRPr="009D3999">
        <w:t xml:space="preserve"> </w:t>
      </w:r>
    </w:p>
    <w:p w14:paraId="42F091E2" w14:textId="45614D1F" w:rsidR="00200DC1" w:rsidRPr="009D3999" w:rsidRDefault="00200DC1" w:rsidP="00200DC1">
      <w:r w:rsidRPr="009D3999">
        <w:t xml:space="preserve">This report should be attributed as Hale J (2018) </w:t>
      </w:r>
      <w:r w:rsidR="004F3D90" w:rsidRPr="004F3D90">
        <w:t>Basin Matter – Aggregation of Selected Area biodiversity outcomes (biodiversity) foundation report – 2018 revision</w:t>
      </w:r>
      <w:r w:rsidRPr="009D3999">
        <w:t xml:space="preserve">. Final Report prepared for the Commonwealth Environmental Water Office by La Trobe University, Publication </w:t>
      </w:r>
      <w:r w:rsidR="004F3D90">
        <w:t>207</w:t>
      </w:r>
      <w:r w:rsidRPr="009D3999">
        <w:t>/2018, September, 55pp.</w:t>
      </w:r>
    </w:p>
    <w:p w14:paraId="2219629F" w14:textId="77777777" w:rsidR="00200DC1" w:rsidRPr="009D3999" w:rsidRDefault="00200DC1" w:rsidP="00200DC1">
      <w:pPr>
        <w:rPr>
          <w:b/>
          <w:bCs/>
        </w:rPr>
      </w:pPr>
      <w:r w:rsidRPr="009D3999">
        <w:rPr>
          <w:b/>
          <w:bCs/>
        </w:rPr>
        <w:t>Disclaimer</w:t>
      </w:r>
    </w:p>
    <w:p w14:paraId="42E9273B" w14:textId="77777777" w:rsidR="00200DC1" w:rsidRPr="009D3999" w:rsidRDefault="00200DC1" w:rsidP="00200DC1">
      <w:r w:rsidRPr="009D3999">
        <w:t xml:space="preserve">The views and opinions expressed in this publication are those of the authors and do not necessarily reflect those of the Australian Government or the Minister for the Environment. </w:t>
      </w:r>
    </w:p>
    <w:p w14:paraId="0592E87D" w14:textId="77777777" w:rsidR="00200DC1" w:rsidRPr="009D3999" w:rsidRDefault="00200DC1" w:rsidP="00200DC1">
      <w:r w:rsidRPr="009D3999">
        <w:rPr>
          <w:b/>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6FEDC605" w14:textId="77777777" w:rsidR="00200DC1" w:rsidRPr="009D3999" w:rsidRDefault="00200DC1" w:rsidP="00200DC1">
      <w:pPr>
        <w:rPr>
          <w:b/>
          <w:szCs w:val="22"/>
        </w:rPr>
      </w:pPr>
      <w:r w:rsidRPr="009D3999">
        <w:rPr>
          <w:b/>
          <w:szCs w:val="22"/>
        </w:rPr>
        <w:t>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completeness and up-to-date status of the information in this publication.</w:t>
      </w:r>
    </w:p>
    <w:p w14:paraId="0FD29A04" w14:textId="77777777" w:rsidR="00200DC1" w:rsidRPr="009D3999" w:rsidRDefault="00200DC1" w:rsidP="00200DC1">
      <w:pPr>
        <w:pStyle w:val="PrelimText"/>
      </w:pPr>
      <w:r w:rsidRPr="009D3999">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p>
    <w:p w14:paraId="1D6B4A05" w14:textId="77777777" w:rsidR="00200DC1" w:rsidRPr="009D3999" w:rsidRDefault="00200DC1" w:rsidP="00200DC1">
      <w:pPr>
        <w:spacing w:after="200" w:line="276" w:lineRule="auto"/>
        <w:rPr>
          <w:rFonts w:cs="Arial"/>
          <w:b/>
          <w:szCs w:val="22"/>
        </w:rPr>
      </w:pPr>
      <w:r w:rsidRPr="009D3999">
        <w:br w:type="page"/>
      </w:r>
    </w:p>
    <w:p w14:paraId="38036EFE" w14:textId="77777777" w:rsidR="00200DC1" w:rsidRPr="009D3999" w:rsidRDefault="00200DC1" w:rsidP="00200DC1">
      <w:pPr>
        <w:pStyle w:val="PrelimHeadings"/>
      </w:pPr>
      <w:r w:rsidRPr="009D3999">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200DC1" w:rsidRPr="009D3999" w14:paraId="5637C18C" w14:textId="77777777" w:rsidTr="00D13FA8">
        <w:tc>
          <w:tcPr>
            <w:tcW w:w="1149" w:type="dxa"/>
            <w:shd w:val="clear" w:color="auto" w:fill="D9D9D9"/>
          </w:tcPr>
          <w:p w14:paraId="76C5E38E" w14:textId="77777777" w:rsidR="00200DC1" w:rsidRPr="009D3999" w:rsidRDefault="00200DC1" w:rsidP="00D13FA8">
            <w:pPr>
              <w:pStyle w:val="TableText"/>
              <w:rPr>
                <w:b/>
              </w:rPr>
            </w:pPr>
            <w:r w:rsidRPr="009D3999">
              <w:rPr>
                <w:b/>
              </w:rPr>
              <w:t>Version</w:t>
            </w:r>
          </w:p>
        </w:tc>
        <w:tc>
          <w:tcPr>
            <w:tcW w:w="1369" w:type="dxa"/>
            <w:shd w:val="clear" w:color="auto" w:fill="D9D9D9"/>
          </w:tcPr>
          <w:p w14:paraId="20B7C443" w14:textId="77777777" w:rsidR="00200DC1" w:rsidRPr="009D3999" w:rsidRDefault="00200DC1" w:rsidP="00D13FA8">
            <w:pPr>
              <w:pStyle w:val="TableText"/>
              <w:rPr>
                <w:b/>
              </w:rPr>
            </w:pPr>
            <w:r w:rsidRPr="009D3999">
              <w:rPr>
                <w:b/>
              </w:rPr>
              <w:t>Date Issued</w:t>
            </w:r>
          </w:p>
        </w:tc>
        <w:tc>
          <w:tcPr>
            <w:tcW w:w="1588" w:type="dxa"/>
            <w:shd w:val="clear" w:color="auto" w:fill="D9D9D9"/>
          </w:tcPr>
          <w:p w14:paraId="44F0F39D" w14:textId="77777777" w:rsidR="00200DC1" w:rsidRPr="009D3999" w:rsidRDefault="00200DC1" w:rsidP="00D13FA8">
            <w:pPr>
              <w:pStyle w:val="TableText"/>
              <w:rPr>
                <w:b/>
              </w:rPr>
            </w:pPr>
            <w:r w:rsidRPr="009D3999">
              <w:rPr>
                <w:b/>
              </w:rPr>
              <w:t>Reviewed by</w:t>
            </w:r>
          </w:p>
        </w:tc>
        <w:tc>
          <w:tcPr>
            <w:tcW w:w="1531" w:type="dxa"/>
            <w:shd w:val="clear" w:color="auto" w:fill="D9D9D9"/>
          </w:tcPr>
          <w:p w14:paraId="6ABEAD7E" w14:textId="77777777" w:rsidR="00200DC1" w:rsidRPr="009D3999" w:rsidRDefault="00200DC1" w:rsidP="00D13FA8">
            <w:pPr>
              <w:pStyle w:val="TableText"/>
              <w:rPr>
                <w:b/>
              </w:rPr>
            </w:pPr>
            <w:r w:rsidRPr="009D3999">
              <w:rPr>
                <w:b/>
              </w:rPr>
              <w:t>Approved by</w:t>
            </w:r>
          </w:p>
        </w:tc>
        <w:tc>
          <w:tcPr>
            <w:tcW w:w="2268" w:type="dxa"/>
            <w:shd w:val="clear" w:color="auto" w:fill="D9D9D9"/>
          </w:tcPr>
          <w:p w14:paraId="3012A459" w14:textId="77777777" w:rsidR="00200DC1" w:rsidRPr="009D3999" w:rsidRDefault="00200DC1" w:rsidP="00D13FA8">
            <w:pPr>
              <w:pStyle w:val="TableText"/>
              <w:rPr>
                <w:b/>
              </w:rPr>
            </w:pPr>
            <w:r w:rsidRPr="009D3999">
              <w:rPr>
                <w:b/>
              </w:rPr>
              <w:t>Revision type</w:t>
            </w:r>
          </w:p>
        </w:tc>
      </w:tr>
      <w:tr w:rsidR="00200DC1" w:rsidRPr="009D3999" w14:paraId="319C1DAB" w14:textId="77777777" w:rsidTr="00D13FA8">
        <w:tc>
          <w:tcPr>
            <w:tcW w:w="1149" w:type="dxa"/>
          </w:tcPr>
          <w:p w14:paraId="27F13E45" w14:textId="77777777" w:rsidR="00200DC1" w:rsidRPr="009D3999" w:rsidRDefault="00200DC1" w:rsidP="00D13FA8">
            <w:pPr>
              <w:pStyle w:val="TableText"/>
            </w:pPr>
            <w:r w:rsidRPr="009D3999">
              <w:t>Final</w:t>
            </w:r>
          </w:p>
        </w:tc>
        <w:tc>
          <w:tcPr>
            <w:tcW w:w="1369" w:type="dxa"/>
          </w:tcPr>
          <w:p w14:paraId="6CEE9A6E" w14:textId="029DD6C8" w:rsidR="00200DC1" w:rsidRPr="009D3999" w:rsidRDefault="00200DC1" w:rsidP="00D13FA8">
            <w:pPr>
              <w:pStyle w:val="TableText"/>
            </w:pPr>
            <w:r>
              <w:t>16/11/2018</w:t>
            </w:r>
          </w:p>
        </w:tc>
        <w:tc>
          <w:tcPr>
            <w:tcW w:w="1588" w:type="dxa"/>
          </w:tcPr>
          <w:p w14:paraId="18A7651A" w14:textId="77777777" w:rsidR="00200DC1" w:rsidRPr="009D3999" w:rsidRDefault="00200DC1" w:rsidP="00D13FA8">
            <w:pPr>
              <w:pStyle w:val="TableText"/>
            </w:pPr>
            <w:r>
              <w:t>Jennifer Hale</w:t>
            </w:r>
          </w:p>
        </w:tc>
        <w:tc>
          <w:tcPr>
            <w:tcW w:w="1531" w:type="dxa"/>
          </w:tcPr>
          <w:p w14:paraId="68DE42BA" w14:textId="77777777" w:rsidR="00200DC1" w:rsidRPr="009D3999" w:rsidRDefault="00200DC1" w:rsidP="00D13FA8">
            <w:pPr>
              <w:pStyle w:val="TableText"/>
            </w:pPr>
            <w:r>
              <w:t xml:space="preserve">Nicole </w:t>
            </w:r>
            <w:proofErr w:type="spellStart"/>
            <w:r>
              <w:t>Thurgate</w:t>
            </w:r>
            <w:proofErr w:type="spellEnd"/>
          </w:p>
        </w:tc>
        <w:tc>
          <w:tcPr>
            <w:tcW w:w="2268" w:type="dxa"/>
          </w:tcPr>
          <w:p w14:paraId="31B2C0D3" w14:textId="77777777" w:rsidR="00200DC1" w:rsidRPr="009D3999" w:rsidRDefault="00200DC1" w:rsidP="00D13FA8">
            <w:pPr>
              <w:pStyle w:val="TableText"/>
            </w:pPr>
            <w:r>
              <w:t>Internal</w:t>
            </w:r>
          </w:p>
        </w:tc>
      </w:tr>
      <w:tr w:rsidR="00200DC1" w:rsidRPr="009D3999" w14:paraId="146C3542" w14:textId="77777777" w:rsidTr="00D13FA8">
        <w:tc>
          <w:tcPr>
            <w:tcW w:w="1149" w:type="dxa"/>
          </w:tcPr>
          <w:p w14:paraId="4D2AF9BE" w14:textId="77777777" w:rsidR="00200DC1" w:rsidRPr="009D3999" w:rsidRDefault="00200DC1" w:rsidP="00D13FA8">
            <w:pPr>
              <w:pStyle w:val="TableText"/>
            </w:pPr>
            <w:r>
              <w:t>Final</w:t>
            </w:r>
          </w:p>
        </w:tc>
        <w:tc>
          <w:tcPr>
            <w:tcW w:w="1369" w:type="dxa"/>
          </w:tcPr>
          <w:p w14:paraId="04BBD8F3" w14:textId="0523B20D" w:rsidR="00200DC1" w:rsidRDefault="00200DC1" w:rsidP="00D13FA8">
            <w:pPr>
              <w:pStyle w:val="TableText"/>
            </w:pPr>
            <w:r>
              <w:t>10/12/2018</w:t>
            </w:r>
          </w:p>
        </w:tc>
        <w:tc>
          <w:tcPr>
            <w:tcW w:w="1588" w:type="dxa"/>
          </w:tcPr>
          <w:p w14:paraId="357E9D79" w14:textId="77777777" w:rsidR="00200DC1" w:rsidRDefault="00200DC1" w:rsidP="00D13FA8">
            <w:pPr>
              <w:pStyle w:val="TableText"/>
            </w:pPr>
            <w:r>
              <w:t>CEWO</w:t>
            </w:r>
          </w:p>
        </w:tc>
        <w:tc>
          <w:tcPr>
            <w:tcW w:w="1531" w:type="dxa"/>
          </w:tcPr>
          <w:p w14:paraId="556BF177" w14:textId="77777777" w:rsidR="00200DC1" w:rsidRDefault="00200DC1" w:rsidP="00D13FA8">
            <w:pPr>
              <w:pStyle w:val="TableText"/>
            </w:pPr>
            <w:r>
              <w:t>Sam Roseby</w:t>
            </w:r>
          </w:p>
        </w:tc>
        <w:tc>
          <w:tcPr>
            <w:tcW w:w="2268" w:type="dxa"/>
          </w:tcPr>
          <w:p w14:paraId="291B3926" w14:textId="77777777" w:rsidR="00200DC1" w:rsidRDefault="00200DC1" w:rsidP="00D13FA8">
            <w:pPr>
              <w:pStyle w:val="TableText"/>
            </w:pPr>
            <w:r>
              <w:t>External</w:t>
            </w:r>
          </w:p>
        </w:tc>
      </w:tr>
    </w:tbl>
    <w:p w14:paraId="1643DF46" w14:textId="77777777" w:rsidR="00200DC1" w:rsidRPr="009D3999" w:rsidRDefault="00200DC1" w:rsidP="00200DC1">
      <w:pPr>
        <w:pStyle w:val="PrelimHeadings"/>
      </w:pPr>
    </w:p>
    <w:p w14:paraId="44D9400B" w14:textId="77777777" w:rsidR="00200DC1" w:rsidRPr="009D3999" w:rsidRDefault="00200DC1" w:rsidP="00200DC1">
      <w:pPr>
        <w:pStyle w:val="PrelimHeadings"/>
      </w:pPr>
      <w:r w:rsidRPr="009D3999">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200DC1" w:rsidRPr="009D3999" w14:paraId="1C5250E2" w14:textId="77777777" w:rsidTr="00D13FA8">
        <w:tc>
          <w:tcPr>
            <w:tcW w:w="1242" w:type="dxa"/>
            <w:shd w:val="clear" w:color="auto" w:fill="D9D9D9"/>
          </w:tcPr>
          <w:p w14:paraId="5D7AC800" w14:textId="77777777" w:rsidR="00200DC1" w:rsidRPr="009D3999" w:rsidRDefault="00200DC1" w:rsidP="00D13FA8">
            <w:pPr>
              <w:pStyle w:val="TableText"/>
              <w:rPr>
                <w:b/>
              </w:rPr>
            </w:pPr>
            <w:r w:rsidRPr="009D3999">
              <w:rPr>
                <w:b/>
              </w:rPr>
              <w:t>Version</w:t>
            </w:r>
          </w:p>
        </w:tc>
        <w:tc>
          <w:tcPr>
            <w:tcW w:w="2410" w:type="dxa"/>
            <w:shd w:val="clear" w:color="auto" w:fill="D9D9D9"/>
          </w:tcPr>
          <w:p w14:paraId="4A579851" w14:textId="77777777" w:rsidR="00200DC1" w:rsidRPr="009D3999" w:rsidRDefault="00200DC1" w:rsidP="00D13FA8">
            <w:pPr>
              <w:pStyle w:val="TableText"/>
              <w:rPr>
                <w:b/>
              </w:rPr>
            </w:pPr>
            <w:r w:rsidRPr="009D3999">
              <w:rPr>
                <w:b/>
              </w:rPr>
              <w:t>Quantity</w:t>
            </w:r>
          </w:p>
        </w:tc>
        <w:tc>
          <w:tcPr>
            <w:tcW w:w="4256" w:type="dxa"/>
            <w:shd w:val="clear" w:color="auto" w:fill="D9D9D9"/>
          </w:tcPr>
          <w:p w14:paraId="1D7B3FFB" w14:textId="77777777" w:rsidR="00200DC1" w:rsidRPr="009D3999" w:rsidRDefault="00200DC1" w:rsidP="00D13FA8">
            <w:pPr>
              <w:pStyle w:val="TableText"/>
              <w:rPr>
                <w:b/>
              </w:rPr>
            </w:pPr>
            <w:r w:rsidRPr="009D3999">
              <w:rPr>
                <w:b/>
              </w:rPr>
              <w:t>Issued to</w:t>
            </w:r>
          </w:p>
        </w:tc>
      </w:tr>
      <w:tr w:rsidR="00200DC1" w:rsidRPr="009D3999" w14:paraId="0CE19495" w14:textId="77777777" w:rsidTr="00D13FA8">
        <w:tc>
          <w:tcPr>
            <w:tcW w:w="1242" w:type="dxa"/>
          </w:tcPr>
          <w:p w14:paraId="1CF5B9A2" w14:textId="77777777" w:rsidR="00200DC1" w:rsidRPr="009D3999" w:rsidRDefault="00200DC1" w:rsidP="00D13FA8">
            <w:pPr>
              <w:pStyle w:val="TableText"/>
            </w:pPr>
            <w:r w:rsidRPr="009D3999">
              <w:t>Draft</w:t>
            </w:r>
          </w:p>
        </w:tc>
        <w:tc>
          <w:tcPr>
            <w:tcW w:w="2410" w:type="dxa"/>
          </w:tcPr>
          <w:p w14:paraId="19DF32ED" w14:textId="45724DE0" w:rsidR="00200DC1" w:rsidRPr="009D3999" w:rsidRDefault="00200DC1" w:rsidP="00D13FA8">
            <w:pPr>
              <w:pStyle w:val="TableText"/>
            </w:pPr>
            <w:r w:rsidRPr="009D3999">
              <w:t>1 x Word</w:t>
            </w:r>
          </w:p>
        </w:tc>
        <w:tc>
          <w:tcPr>
            <w:tcW w:w="4256" w:type="dxa"/>
          </w:tcPr>
          <w:p w14:paraId="22B174FB" w14:textId="4D226A35" w:rsidR="00200DC1" w:rsidRPr="009D3999" w:rsidRDefault="00200DC1" w:rsidP="00D13FA8">
            <w:pPr>
              <w:pStyle w:val="TableText"/>
            </w:pPr>
            <w:r w:rsidRPr="009D3999">
              <w:t xml:space="preserve">CEWO </w:t>
            </w:r>
          </w:p>
        </w:tc>
      </w:tr>
      <w:tr w:rsidR="00200DC1" w:rsidRPr="009D3999" w14:paraId="239AEEDD" w14:textId="77777777" w:rsidTr="00D13FA8">
        <w:tc>
          <w:tcPr>
            <w:tcW w:w="1242" w:type="dxa"/>
          </w:tcPr>
          <w:p w14:paraId="450DD1F9" w14:textId="77777777" w:rsidR="00200DC1" w:rsidRPr="009D3999" w:rsidRDefault="00200DC1" w:rsidP="00D13FA8">
            <w:pPr>
              <w:pStyle w:val="TableText"/>
            </w:pPr>
            <w:r w:rsidRPr="009D3999">
              <w:t>Final</w:t>
            </w:r>
          </w:p>
        </w:tc>
        <w:tc>
          <w:tcPr>
            <w:tcW w:w="2410" w:type="dxa"/>
          </w:tcPr>
          <w:p w14:paraId="3E3D1FFD" w14:textId="77777777" w:rsidR="00200DC1" w:rsidRPr="009D3999" w:rsidRDefault="00200DC1" w:rsidP="00D13FA8">
            <w:pPr>
              <w:pStyle w:val="TableText"/>
            </w:pPr>
            <w:r w:rsidRPr="009D3999">
              <w:t>1 x PDF 1 x Word</w:t>
            </w:r>
          </w:p>
        </w:tc>
        <w:tc>
          <w:tcPr>
            <w:tcW w:w="4256" w:type="dxa"/>
          </w:tcPr>
          <w:p w14:paraId="4A010147" w14:textId="3C51594F" w:rsidR="00200DC1" w:rsidRPr="009D3999" w:rsidRDefault="00200DC1" w:rsidP="00D13FA8">
            <w:pPr>
              <w:pStyle w:val="TableText"/>
            </w:pPr>
            <w:r w:rsidRPr="009D3999">
              <w:t xml:space="preserve">Sam Roseby </w:t>
            </w:r>
          </w:p>
        </w:tc>
      </w:tr>
    </w:tbl>
    <w:p w14:paraId="09CA679C" w14:textId="77777777" w:rsidR="00200DC1" w:rsidRPr="009D3999" w:rsidRDefault="00200DC1" w:rsidP="00200DC1">
      <w:pPr>
        <w:jc w:val="both"/>
        <w:rPr>
          <w:rFonts w:cs="Arial"/>
          <w:szCs w:val="22"/>
        </w:rPr>
      </w:pPr>
    </w:p>
    <w:p w14:paraId="34F57E8D" w14:textId="77777777" w:rsidR="00200DC1" w:rsidRPr="009D3999" w:rsidRDefault="00200DC1" w:rsidP="00200DC1">
      <w:pPr>
        <w:pStyle w:val="DocumentDetails"/>
        <w:rPr>
          <w:rStyle w:val="Strong"/>
        </w:rPr>
      </w:pPr>
    </w:p>
    <w:p w14:paraId="4904A783" w14:textId="444E7109" w:rsidR="00200DC1" w:rsidRPr="009D3999" w:rsidRDefault="00200DC1" w:rsidP="00200DC1">
      <w:pPr>
        <w:pStyle w:val="DocumentDetails"/>
      </w:pPr>
      <w:r w:rsidRPr="009D3999">
        <w:rPr>
          <w:rStyle w:val="Strong"/>
        </w:rPr>
        <w:t>Filename and path:</w:t>
      </w:r>
      <w:r w:rsidRPr="009D3999">
        <w:tab/>
      </w:r>
      <w:r w:rsidR="0092060B" w:rsidRPr="0092060B">
        <w:t>G:\SHE - Life Sciences\MDFRC\Projects\CEWO\CEWH Long Term Monitoring Project\499 LTIM Stage 2 - 2014-2019 Basin Evaluation\Basin Matter Evaluation\Basin Matters Foundation Report\updated reports</w:t>
      </w:r>
    </w:p>
    <w:p w14:paraId="529B2095" w14:textId="77777777" w:rsidR="00200DC1" w:rsidRPr="009D3999" w:rsidRDefault="00200DC1" w:rsidP="00200DC1">
      <w:pPr>
        <w:pStyle w:val="DocumentDetails"/>
        <w:rPr>
          <w:rStyle w:val="Strong"/>
        </w:rPr>
      </w:pPr>
      <w:r w:rsidRPr="009D3999">
        <w:rPr>
          <w:rStyle w:val="Strong"/>
        </w:rPr>
        <w:t>Author(s):</w:t>
      </w:r>
      <w:r w:rsidRPr="009D3999">
        <w:rPr>
          <w:rStyle w:val="Strong"/>
        </w:rPr>
        <w:tab/>
      </w:r>
      <w:r w:rsidRPr="009D3999">
        <w:t>Jennifer Hale</w:t>
      </w:r>
    </w:p>
    <w:p w14:paraId="243DE5B9" w14:textId="77777777" w:rsidR="00200DC1" w:rsidRPr="009D3999" w:rsidRDefault="00200DC1" w:rsidP="00200DC1">
      <w:pPr>
        <w:pStyle w:val="DocumentDetails"/>
        <w:rPr>
          <w:rStyle w:val="Strong"/>
        </w:rPr>
      </w:pPr>
      <w:r w:rsidRPr="009D3999">
        <w:rPr>
          <w:rStyle w:val="Strong"/>
        </w:rPr>
        <w:t>Author affiliation(s):</w:t>
      </w:r>
      <w:r w:rsidRPr="009D3999">
        <w:rPr>
          <w:rStyle w:val="Strong"/>
        </w:rPr>
        <w:tab/>
      </w:r>
    </w:p>
    <w:p w14:paraId="75A2ABC4" w14:textId="77777777" w:rsidR="00200DC1" w:rsidRPr="009D3999" w:rsidRDefault="00200DC1" w:rsidP="00200DC1">
      <w:pPr>
        <w:pStyle w:val="DocumentDetails"/>
        <w:rPr>
          <w:rStyle w:val="Strong"/>
        </w:rPr>
      </w:pPr>
      <w:r w:rsidRPr="009D3999">
        <w:rPr>
          <w:rStyle w:val="Strong"/>
        </w:rPr>
        <w:t>Project Manager:</w:t>
      </w:r>
      <w:r w:rsidRPr="009D3999">
        <w:rPr>
          <w:rStyle w:val="Strong"/>
        </w:rPr>
        <w:tab/>
      </w:r>
      <w:r w:rsidRPr="009D3999">
        <w:t xml:space="preserve">Nicole </w:t>
      </w:r>
      <w:proofErr w:type="spellStart"/>
      <w:r w:rsidRPr="009D3999">
        <w:t>Thurgate</w:t>
      </w:r>
      <w:proofErr w:type="spellEnd"/>
    </w:p>
    <w:p w14:paraId="7CA47BEE" w14:textId="77777777" w:rsidR="00200DC1" w:rsidRPr="009D3999" w:rsidRDefault="00200DC1" w:rsidP="00200DC1">
      <w:pPr>
        <w:pStyle w:val="DocumentDetails"/>
        <w:rPr>
          <w:rStyle w:val="Strong"/>
        </w:rPr>
      </w:pPr>
      <w:r w:rsidRPr="009D3999">
        <w:rPr>
          <w:rStyle w:val="Strong"/>
        </w:rPr>
        <w:t>Client:</w:t>
      </w:r>
      <w:r w:rsidRPr="009D3999">
        <w:rPr>
          <w:rStyle w:val="Strong"/>
        </w:rPr>
        <w:tab/>
      </w:r>
      <w:r w:rsidRPr="009D3999">
        <w:t>Commonwealth Environmental Water Office</w:t>
      </w:r>
    </w:p>
    <w:p w14:paraId="0368D071" w14:textId="77777777" w:rsidR="0092060B" w:rsidRPr="0092060B" w:rsidRDefault="00200DC1" w:rsidP="0092060B">
      <w:pPr>
        <w:pStyle w:val="DocumentDetails"/>
      </w:pPr>
      <w:r w:rsidRPr="009D3999">
        <w:rPr>
          <w:rStyle w:val="Strong"/>
        </w:rPr>
        <w:t>Project Title:</w:t>
      </w:r>
      <w:r w:rsidRPr="009D3999">
        <w:rPr>
          <w:rStyle w:val="Strong"/>
        </w:rPr>
        <w:tab/>
      </w:r>
      <w:r w:rsidR="0092060B" w:rsidRPr="0092060B">
        <w:t>Basin Matter – Aggregation of Selected Area biodiversity outcomes (biodiversity) foundation report – 2018 revision</w:t>
      </w:r>
    </w:p>
    <w:p w14:paraId="44D8ADF4" w14:textId="6B86CB48" w:rsidR="00200DC1" w:rsidRPr="009D3999" w:rsidRDefault="00200DC1" w:rsidP="00200DC1">
      <w:pPr>
        <w:pStyle w:val="DocumentDetails"/>
      </w:pPr>
      <w:r w:rsidRPr="009D3999">
        <w:rPr>
          <w:rStyle w:val="Strong"/>
        </w:rPr>
        <w:t>Document Version:</w:t>
      </w:r>
      <w:r w:rsidRPr="009D3999">
        <w:tab/>
        <w:t>Final</w:t>
      </w:r>
      <w:r w:rsidR="0092060B">
        <w:t xml:space="preserve"> revision</w:t>
      </w:r>
    </w:p>
    <w:p w14:paraId="47965098" w14:textId="77777777" w:rsidR="00200DC1" w:rsidRPr="009D3999" w:rsidRDefault="00200DC1" w:rsidP="00200DC1">
      <w:pPr>
        <w:pStyle w:val="DocumentDetails"/>
      </w:pPr>
      <w:r w:rsidRPr="009D3999">
        <w:rPr>
          <w:rStyle w:val="Strong"/>
        </w:rPr>
        <w:t>Project Number:</w:t>
      </w:r>
      <w:r w:rsidRPr="009D3999">
        <w:tab/>
        <w:t>M/BUS/499</w:t>
      </w:r>
    </w:p>
    <w:p w14:paraId="6C9EA0B9" w14:textId="77777777" w:rsidR="00200DC1" w:rsidRPr="009D3999" w:rsidRDefault="00200DC1" w:rsidP="00200DC1">
      <w:pPr>
        <w:pStyle w:val="DocumentDetails"/>
        <w:rPr>
          <w:rStyle w:val="Strong"/>
        </w:rPr>
      </w:pPr>
      <w:r w:rsidRPr="009D3999">
        <w:rPr>
          <w:rStyle w:val="Strong"/>
        </w:rPr>
        <w:t>Contract Number:</w:t>
      </w:r>
      <w:r w:rsidRPr="009D3999">
        <w:rPr>
          <w:rStyle w:val="Strong"/>
        </w:rPr>
        <w:tab/>
      </w:r>
      <w:r w:rsidRPr="009D3999">
        <w:t>PRN 1213-0427</w:t>
      </w:r>
    </w:p>
    <w:p w14:paraId="6720A8DA"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6AFAADC7"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2DE98B6D"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7396B03B"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76F3CD41"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7BCC0CC4" w14:textId="3506DD22" w:rsidR="00407078" w:rsidRDefault="00407078">
      <w:pPr>
        <w:spacing w:after="0"/>
        <w:rPr>
          <w:rFonts w:ascii="Calibri" w:eastAsia="Times New Roman" w:hAnsi="Calibri" w:cs="Arial"/>
          <w:b/>
          <w:bCs/>
          <w:color w:val="000000"/>
          <w:kern w:val="28"/>
          <w:sz w:val="22"/>
          <w:szCs w:val="22"/>
          <w:lang w:eastAsia="en-US"/>
        </w:rPr>
      </w:pPr>
      <w:r>
        <w:rPr>
          <w:rFonts w:ascii="Calibri" w:eastAsia="Times New Roman" w:hAnsi="Calibri" w:cs="Arial"/>
          <w:b/>
          <w:bCs/>
          <w:color w:val="000000"/>
          <w:kern w:val="28"/>
          <w:sz w:val="22"/>
          <w:szCs w:val="22"/>
          <w:lang w:eastAsia="en-US"/>
        </w:rPr>
        <w:br w:type="page"/>
      </w:r>
    </w:p>
    <w:p w14:paraId="635E34BF" w14:textId="77777777" w:rsidR="004C2F64" w:rsidRPr="004C2F64" w:rsidRDefault="004C2F64" w:rsidP="004C2F64">
      <w:pPr>
        <w:tabs>
          <w:tab w:val="left" w:pos="2552"/>
        </w:tabs>
        <w:spacing w:after="160"/>
        <w:ind w:left="2552" w:hanging="2552"/>
        <w:rPr>
          <w:rFonts w:ascii="Calibri" w:eastAsia="Times New Roman" w:hAnsi="Calibri" w:cs="Arial"/>
          <w:b/>
          <w:bCs/>
          <w:color w:val="000000"/>
          <w:kern w:val="28"/>
          <w:sz w:val="22"/>
          <w:szCs w:val="22"/>
          <w:lang w:eastAsia="en-US"/>
        </w:rPr>
      </w:pPr>
    </w:p>
    <w:p w14:paraId="5E12AE5E" w14:textId="77777777" w:rsidR="004C2F64" w:rsidRPr="004C2F64" w:rsidRDefault="004C2F64" w:rsidP="004C2F64">
      <w:pPr>
        <w:keepNext/>
        <w:rPr>
          <w:rFonts w:ascii="Calibri" w:eastAsia="Times New Roman" w:hAnsi="Calibri" w:cs="Arial"/>
          <w:b/>
          <w:bCs/>
          <w:color w:val="000000"/>
          <w:sz w:val="32"/>
          <w:szCs w:val="32"/>
          <w:lang w:eastAsia="en-AU"/>
        </w:rPr>
      </w:pPr>
      <w:r w:rsidRPr="004C2F64">
        <w:rPr>
          <w:rFonts w:ascii="Calibri" w:eastAsia="Times New Roman" w:hAnsi="Calibri" w:cs="Arial"/>
          <w:b/>
          <w:bCs/>
          <w:color w:val="000000"/>
          <w:sz w:val="32"/>
          <w:szCs w:val="32"/>
          <w:lang w:eastAsia="en-AU"/>
        </w:rPr>
        <w:t>Contents</w:t>
      </w:r>
    </w:p>
    <w:p w14:paraId="79D29DDF" w14:textId="7A30379F" w:rsidR="004C2F64" w:rsidRDefault="004C2F64">
      <w:pPr>
        <w:pStyle w:val="TOC1"/>
        <w:tabs>
          <w:tab w:val="left" w:pos="480"/>
          <w:tab w:val="right" w:leader="dot" w:pos="9017"/>
        </w:tabs>
        <w:rPr>
          <w:rFonts w:asciiTheme="minorHAnsi" w:hAnsiTheme="minorHAnsi" w:cstheme="minorBidi"/>
          <w:noProof/>
          <w:sz w:val="24"/>
          <w:szCs w:val="24"/>
          <w:lang w:eastAsia="en-US"/>
        </w:rPr>
      </w:pPr>
      <w:r w:rsidRPr="004C2F64">
        <w:rPr>
          <w:rFonts w:ascii="Calibri" w:eastAsia="Times New Roman" w:hAnsi="Calibri" w:cs="Arial"/>
          <w:i/>
          <w:color w:val="000000"/>
          <w:kern w:val="28"/>
          <w:szCs w:val="22"/>
          <w:lang w:eastAsia="en-US"/>
        </w:rPr>
        <w:fldChar w:fldCharType="begin"/>
      </w:r>
      <w:r w:rsidRPr="004C2F64">
        <w:rPr>
          <w:rFonts w:ascii="Calibri" w:eastAsia="Times New Roman" w:hAnsi="Calibri" w:cs="Arial"/>
          <w:b/>
          <w:i/>
          <w:noProof/>
          <w:color w:val="000000"/>
          <w:kern w:val="28"/>
          <w:szCs w:val="22"/>
          <w:lang w:eastAsia="en-US"/>
        </w:rPr>
        <w:instrText xml:space="preserve"> TOC \o "1-3" \h \z \u </w:instrText>
      </w:r>
      <w:r w:rsidRPr="004C2F64">
        <w:rPr>
          <w:rFonts w:ascii="Calibri" w:eastAsia="Times New Roman" w:hAnsi="Calibri" w:cs="Arial"/>
          <w:i/>
          <w:color w:val="000000"/>
          <w:kern w:val="28"/>
          <w:szCs w:val="22"/>
          <w:lang w:eastAsia="en-US"/>
        </w:rPr>
        <w:fldChar w:fldCharType="separate"/>
      </w:r>
      <w:hyperlink w:anchor="_Toc530155724" w:history="1">
        <w:r w:rsidRPr="00141628">
          <w:rPr>
            <w:rStyle w:val="Hyperlink"/>
            <w:rFonts w:ascii="Calibri" w:eastAsia="Times New Roman" w:hAnsi="Calibri"/>
            <w:b/>
            <w:bCs/>
            <w:noProof/>
            <w:kern w:val="28"/>
            <w:lang w:eastAsia="en-US"/>
          </w:rPr>
          <w:t>1.</w:t>
        </w:r>
        <w:r>
          <w:rPr>
            <w:rFonts w:asciiTheme="minorHAnsi" w:hAnsiTheme="minorHAnsi" w:cstheme="minorBidi"/>
            <w:noProof/>
            <w:sz w:val="24"/>
            <w:szCs w:val="24"/>
            <w:lang w:eastAsia="en-US"/>
          </w:rPr>
          <w:tab/>
        </w:r>
        <w:r w:rsidRPr="00141628">
          <w:rPr>
            <w:rStyle w:val="Hyperlink"/>
            <w:rFonts w:ascii="Calibri" w:eastAsia="Times New Roman" w:hAnsi="Calibri"/>
            <w:b/>
            <w:bCs/>
            <w:noProof/>
            <w:kern w:val="28"/>
            <w:lang w:eastAsia="en-US"/>
          </w:rPr>
          <w:t>Why?</w:t>
        </w:r>
        <w:r>
          <w:rPr>
            <w:noProof/>
            <w:webHidden/>
          </w:rPr>
          <w:tab/>
        </w:r>
        <w:r>
          <w:rPr>
            <w:noProof/>
            <w:webHidden/>
          </w:rPr>
          <w:fldChar w:fldCharType="begin"/>
        </w:r>
        <w:r>
          <w:rPr>
            <w:noProof/>
            <w:webHidden/>
          </w:rPr>
          <w:instrText xml:space="preserve"> PAGEREF _Toc530155724 \h </w:instrText>
        </w:r>
        <w:r>
          <w:rPr>
            <w:noProof/>
            <w:webHidden/>
          </w:rPr>
        </w:r>
        <w:r>
          <w:rPr>
            <w:noProof/>
            <w:webHidden/>
          </w:rPr>
          <w:fldChar w:fldCharType="separate"/>
        </w:r>
        <w:r w:rsidR="00AC1FE1">
          <w:rPr>
            <w:noProof/>
            <w:webHidden/>
          </w:rPr>
          <w:t>1</w:t>
        </w:r>
        <w:r>
          <w:rPr>
            <w:noProof/>
            <w:webHidden/>
          </w:rPr>
          <w:fldChar w:fldCharType="end"/>
        </w:r>
      </w:hyperlink>
    </w:p>
    <w:p w14:paraId="1FFF71BE" w14:textId="40FBE8EC" w:rsidR="004C2F64" w:rsidRDefault="001362B0">
      <w:pPr>
        <w:pStyle w:val="TOC1"/>
        <w:tabs>
          <w:tab w:val="left" w:pos="480"/>
          <w:tab w:val="right" w:leader="dot" w:pos="9017"/>
        </w:tabs>
        <w:rPr>
          <w:rFonts w:asciiTheme="minorHAnsi" w:hAnsiTheme="minorHAnsi" w:cstheme="minorBidi"/>
          <w:noProof/>
          <w:sz w:val="24"/>
          <w:szCs w:val="24"/>
          <w:lang w:eastAsia="en-US"/>
        </w:rPr>
      </w:pPr>
      <w:hyperlink w:anchor="_Toc530155725" w:history="1">
        <w:r w:rsidR="004C2F64" w:rsidRPr="00141628">
          <w:rPr>
            <w:rStyle w:val="Hyperlink"/>
            <w:rFonts w:ascii="Calibri" w:eastAsia="Times New Roman" w:hAnsi="Calibri"/>
            <w:b/>
            <w:bCs/>
            <w:noProof/>
            <w:kern w:val="28"/>
            <w:lang w:eastAsia="en-US"/>
          </w:rPr>
          <w:t>2.</w:t>
        </w:r>
        <w:r w:rsidR="004C2F64">
          <w:rPr>
            <w:rFonts w:asciiTheme="minorHAnsi" w:hAnsiTheme="minorHAnsi" w:cstheme="minorBidi"/>
            <w:noProof/>
            <w:sz w:val="24"/>
            <w:szCs w:val="24"/>
            <w:lang w:eastAsia="en-US"/>
          </w:rPr>
          <w:tab/>
        </w:r>
        <w:r w:rsidR="004C2F64" w:rsidRPr="00141628">
          <w:rPr>
            <w:rStyle w:val="Hyperlink"/>
            <w:rFonts w:ascii="Calibri" w:eastAsia="Times New Roman" w:hAnsi="Calibri"/>
            <w:b/>
            <w:bCs/>
            <w:noProof/>
            <w:kern w:val="28"/>
            <w:lang w:eastAsia="en-US"/>
          </w:rPr>
          <w:t>What?</w:t>
        </w:r>
        <w:r w:rsidR="004C2F64">
          <w:rPr>
            <w:noProof/>
            <w:webHidden/>
          </w:rPr>
          <w:tab/>
        </w:r>
        <w:r w:rsidR="004C2F64">
          <w:rPr>
            <w:noProof/>
            <w:webHidden/>
          </w:rPr>
          <w:fldChar w:fldCharType="begin"/>
        </w:r>
        <w:r w:rsidR="004C2F64">
          <w:rPr>
            <w:noProof/>
            <w:webHidden/>
          </w:rPr>
          <w:instrText xml:space="preserve"> PAGEREF _Toc530155725 \h </w:instrText>
        </w:r>
        <w:r w:rsidR="004C2F64">
          <w:rPr>
            <w:noProof/>
            <w:webHidden/>
          </w:rPr>
        </w:r>
        <w:r w:rsidR="004C2F64">
          <w:rPr>
            <w:noProof/>
            <w:webHidden/>
          </w:rPr>
          <w:fldChar w:fldCharType="separate"/>
        </w:r>
        <w:r w:rsidR="00AC1FE1">
          <w:rPr>
            <w:noProof/>
            <w:webHidden/>
          </w:rPr>
          <w:t>1</w:t>
        </w:r>
        <w:r w:rsidR="004C2F64">
          <w:rPr>
            <w:noProof/>
            <w:webHidden/>
          </w:rPr>
          <w:fldChar w:fldCharType="end"/>
        </w:r>
      </w:hyperlink>
    </w:p>
    <w:p w14:paraId="25BB5812" w14:textId="3C71B59C" w:rsidR="004C2F64" w:rsidRDefault="001362B0">
      <w:pPr>
        <w:pStyle w:val="TOC1"/>
        <w:tabs>
          <w:tab w:val="left" w:pos="480"/>
          <w:tab w:val="right" w:leader="dot" w:pos="9017"/>
        </w:tabs>
        <w:rPr>
          <w:rFonts w:asciiTheme="minorHAnsi" w:hAnsiTheme="minorHAnsi" w:cstheme="minorBidi"/>
          <w:noProof/>
          <w:sz w:val="24"/>
          <w:szCs w:val="24"/>
          <w:lang w:eastAsia="en-US"/>
        </w:rPr>
      </w:pPr>
      <w:hyperlink w:anchor="_Toc530155726" w:history="1">
        <w:r w:rsidR="004C2F64" w:rsidRPr="00141628">
          <w:rPr>
            <w:rStyle w:val="Hyperlink"/>
            <w:rFonts w:ascii="Calibri" w:eastAsia="Times New Roman" w:hAnsi="Calibri"/>
            <w:b/>
            <w:bCs/>
            <w:noProof/>
            <w:kern w:val="28"/>
            <w:lang w:eastAsia="en-US"/>
          </w:rPr>
          <w:t>3.</w:t>
        </w:r>
        <w:r w:rsidR="004C2F64">
          <w:rPr>
            <w:rFonts w:asciiTheme="minorHAnsi" w:hAnsiTheme="minorHAnsi" w:cstheme="minorBidi"/>
            <w:noProof/>
            <w:sz w:val="24"/>
            <w:szCs w:val="24"/>
            <w:lang w:eastAsia="en-US"/>
          </w:rPr>
          <w:tab/>
        </w:r>
        <w:r w:rsidR="004C2F64" w:rsidRPr="00141628">
          <w:rPr>
            <w:rStyle w:val="Hyperlink"/>
            <w:rFonts w:ascii="Calibri" w:eastAsia="Times New Roman" w:hAnsi="Calibri"/>
            <w:b/>
            <w:bCs/>
            <w:noProof/>
            <w:kern w:val="28"/>
            <w:lang w:eastAsia="en-US"/>
          </w:rPr>
          <w:t>How?</w:t>
        </w:r>
        <w:r w:rsidR="004C2F64">
          <w:rPr>
            <w:noProof/>
            <w:webHidden/>
          </w:rPr>
          <w:tab/>
        </w:r>
        <w:r w:rsidR="004C2F64">
          <w:rPr>
            <w:noProof/>
            <w:webHidden/>
          </w:rPr>
          <w:fldChar w:fldCharType="begin"/>
        </w:r>
        <w:r w:rsidR="004C2F64">
          <w:rPr>
            <w:noProof/>
            <w:webHidden/>
          </w:rPr>
          <w:instrText xml:space="preserve"> PAGEREF _Toc530155726 \h </w:instrText>
        </w:r>
        <w:r w:rsidR="004C2F64">
          <w:rPr>
            <w:noProof/>
            <w:webHidden/>
          </w:rPr>
        </w:r>
        <w:r w:rsidR="004C2F64">
          <w:rPr>
            <w:noProof/>
            <w:webHidden/>
          </w:rPr>
          <w:fldChar w:fldCharType="separate"/>
        </w:r>
        <w:r w:rsidR="00AC1FE1">
          <w:rPr>
            <w:noProof/>
            <w:webHidden/>
          </w:rPr>
          <w:t>2</w:t>
        </w:r>
        <w:r w:rsidR="004C2F64">
          <w:rPr>
            <w:noProof/>
            <w:webHidden/>
          </w:rPr>
          <w:fldChar w:fldCharType="end"/>
        </w:r>
      </w:hyperlink>
    </w:p>
    <w:p w14:paraId="1F2E8069" w14:textId="489A3B9C" w:rsidR="004C2F64" w:rsidRDefault="001362B0">
      <w:pPr>
        <w:pStyle w:val="TOC1"/>
        <w:tabs>
          <w:tab w:val="left" w:pos="480"/>
          <w:tab w:val="right" w:leader="dot" w:pos="9017"/>
        </w:tabs>
        <w:rPr>
          <w:rFonts w:asciiTheme="minorHAnsi" w:hAnsiTheme="minorHAnsi" w:cstheme="minorBidi"/>
          <w:noProof/>
          <w:sz w:val="24"/>
          <w:szCs w:val="24"/>
          <w:lang w:eastAsia="en-US"/>
        </w:rPr>
      </w:pPr>
      <w:hyperlink w:anchor="_Toc530155727" w:history="1">
        <w:r w:rsidR="004C2F64" w:rsidRPr="00141628">
          <w:rPr>
            <w:rStyle w:val="Hyperlink"/>
            <w:rFonts w:ascii="Calibri" w:eastAsia="Times New Roman" w:hAnsi="Calibri"/>
            <w:b/>
            <w:bCs/>
            <w:noProof/>
            <w:kern w:val="28"/>
            <w:lang w:eastAsia="en-US"/>
          </w:rPr>
          <w:t>4.</w:t>
        </w:r>
        <w:r w:rsidR="004C2F64">
          <w:rPr>
            <w:rFonts w:asciiTheme="minorHAnsi" w:hAnsiTheme="minorHAnsi" w:cstheme="minorBidi"/>
            <w:noProof/>
            <w:sz w:val="24"/>
            <w:szCs w:val="24"/>
            <w:lang w:eastAsia="en-US"/>
          </w:rPr>
          <w:tab/>
        </w:r>
        <w:r w:rsidR="004C2F64" w:rsidRPr="00141628">
          <w:rPr>
            <w:rStyle w:val="Hyperlink"/>
            <w:rFonts w:ascii="Calibri" w:eastAsia="Times New Roman" w:hAnsi="Calibri"/>
            <w:b/>
            <w:bCs/>
            <w:noProof/>
            <w:kern w:val="28"/>
            <w:lang w:eastAsia="en-US"/>
          </w:rPr>
          <w:t>Risks</w:t>
        </w:r>
        <w:r w:rsidR="004C2F64">
          <w:rPr>
            <w:noProof/>
            <w:webHidden/>
          </w:rPr>
          <w:tab/>
        </w:r>
        <w:r w:rsidR="004C2F64">
          <w:rPr>
            <w:noProof/>
            <w:webHidden/>
          </w:rPr>
          <w:fldChar w:fldCharType="begin"/>
        </w:r>
        <w:r w:rsidR="004C2F64">
          <w:rPr>
            <w:noProof/>
            <w:webHidden/>
          </w:rPr>
          <w:instrText xml:space="preserve"> PAGEREF _Toc530155727 \h </w:instrText>
        </w:r>
        <w:r w:rsidR="004C2F64">
          <w:rPr>
            <w:noProof/>
            <w:webHidden/>
          </w:rPr>
        </w:r>
        <w:r w:rsidR="004C2F64">
          <w:rPr>
            <w:noProof/>
            <w:webHidden/>
          </w:rPr>
          <w:fldChar w:fldCharType="separate"/>
        </w:r>
        <w:r w:rsidR="00AC1FE1">
          <w:rPr>
            <w:noProof/>
            <w:webHidden/>
          </w:rPr>
          <w:t>3</w:t>
        </w:r>
        <w:r w:rsidR="004C2F64">
          <w:rPr>
            <w:noProof/>
            <w:webHidden/>
          </w:rPr>
          <w:fldChar w:fldCharType="end"/>
        </w:r>
      </w:hyperlink>
    </w:p>
    <w:p w14:paraId="5600F5C3" w14:textId="3BD1D529" w:rsidR="004C2F64" w:rsidRDefault="001362B0">
      <w:pPr>
        <w:pStyle w:val="TOC2"/>
        <w:tabs>
          <w:tab w:val="right" w:leader="dot" w:pos="9017"/>
        </w:tabs>
        <w:rPr>
          <w:rFonts w:asciiTheme="minorHAnsi" w:hAnsiTheme="minorHAnsi" w:cstheme="minorBidi"/>
          <w:noProof/>
          <w:sz w:val="24"/>
          <w:szCs w:val="24"/>
          <w:lang w:eastAsia="en-US"/>
        </w:rPr>
      </w:pPr>
      <w:hyperlink w:anchor="_Toc530155728" w:history="1">
        <w:r w:rsidR="004C2F64" w:rsidRPr="00141628">
          <w:rPr>
            <w:rStyle w:val="Hyperlink"/>
            <w:rFonts w:ascii="Calibri" w:eastAsia="Times New Roman" w:hAnsi="Calibri"/>
            <w:b/>
            <w:bCs/>
            <w:noProof/>
            <w:kern w:val="28"/>
            <w:lang w:eastAsia="en-US"/>
          </w:rPr>
          <w:t>References</w:t>
        </w:r>
        <w:r w:rsidR="004C2F64">
          <w:rPr>
            <w:noProof/>
            <w:webHidden/>
          </w:rPr>
          <w:tab/>
        </w:r>
        <w:r w:rsidR="004C2F64">
          <w:rPr>
            <w:noProof/>
            <w:webHidden/>
          </w:rPr>
          <w:fldChar w:fldCharType="begin"/>
        </w:r>
        <w:r w:rsidR="004C2F64">
          <w:rPr>
            <w:noProof/>
            <w:webHidden/>
          </w:rPr>
          <w:instrText xml:space="preserve"> PAGEREF _Toc530155728 \h </w:instrText>
        </w:r>
        <w:r w:rsidR="004C2F64">
          <w:rPr>
            <w:noProof/>
            <w:webHidden/>
          </w:rPr>
        </w:r>
        <w:r w:rsidR="004C2F64">
          <w:rPr>
            <w:noProof/>
            <w:webHidden/>
          </w:rPr>
          <w:fldChar w:fldCharType="separate"/>
        </w:r>
        <w:r w:rsidR="00AC1FE1">
          <w:rPr>
            <w:noProof/>
            <w:webHidden/>
          </w:rPr>
          <w:t>4</w:t>
        </w:r>
        <w:r w:rsidR="004C2F64">
          <w:rPr>
            <w:noProof/>
            <w:webHidden/>
          </w:rPr>
          <w:fldChar w:fldCharType="end"/>
        </w:r>
      </w:hyperlink>
    </w:p>
    <w:p w14:paraId="625C621B" w14:textId="14DCE890"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s="Arial"/>
          <w:b/>
          <w:i/>
          <w:noProof/>
          <w:color w:val="000000"/>
          <w:kern w:val="28"/>
          <w:szCs w:val="22"/>
          <w:lang w:eastAsia="en-US"/>
        </w:rPr>
        <w:fldChar w:fldCharType="end"/>
      </w:r>
      <w:bookmarkStart w:id="2" w:name="_Toc353023386"/>
      <w:bookmarkStart w:id="3" w:name="_Toc353025166"/>
    </w:p>
    <w:p w14:paraId="0D2C9501" w14:textId="77777777" w:rsidR="004C2F64" w:rsidRPr="004C2F64" w:rsidRDefault="004C2F64" w:rsidP="004C2F64">
      <w:pPr>
        <w:spacing w:after="160"/>
        <w:rPr>
          <w:rFonts w:ascii="Calibri" w:eastAsia="Times New Roman" w:hAnsi="Calibri"/>
          <w:color w:val="000000"/>
          <w:kern w:val="28"/>
          <w:sz w:val="22"/>
          <w:lang w:eastAsia="en-AU"/>
        </w:rPr>
      </w:pPr>
    </w:p>
    <w:p w14:paraId="025D101F" w14:textId="77777777" w:rsidR="004C2F64" w:rsidRPr="004C2F64" w:rsidRDefault="004C2F64" w:rsidP="004C2F64">
      <w:pPr>
        <w:spacing w:after="160"/>
        <w:rPr>
          <w:rFonts w:ascii="Calibri" w:eastAsia="Times New Roman" w:hAnsi="Calibri"/>
          <w:color w:val="000000"/>
          <w:kern w:val="28"/>
          <w:sz w:val="22"/>
          <w:lang w:eastAsia="en-AU"/>
        </w:rPr>
      </w:pPr>
    </w:p>
    <w:p w14:paraId="4740370C" w14:textId="77777777" w:rsidR="004C2F64" w:rsidRPr="004C2F64" w:rsidRDefault="004C2F64" w:rsidP="004C2F64">
      <w:pPr>
        <w:spacing w:after="160"/>
        <w:rPr>
          <w:rFonts w:ascii="Calibri" w:eastAsia="Times New Roman" w:hAnsi="Calibri"/>
          <w:color w:val="000000"/>
          <w:kern w:val="28"/>
          <w:sz w:val="22"/>
          <w:lang w:eastAsia="en-AU"/>
        </w:rPr>
      </w:pPr>
    </w:p>
    <w:p w14:paraId="058CB3A3" w14:textId="77777777" w:rsidR="004C2F64" w:rsidRPr="004C2F64" w:rsidRDefault="004C2F64" w:rsidP="004C2F64">
      <w:pPr>
        <w:spacing w:after="160"/>
        <w:ind w:left="567"/>
        <w:contextualSpacing/>
        <w:rPr>
          <w:rFonts w:ascii="Calibri" w:eastAsia="Times New Roman" w:hAnsi="Calibri" w:cs="Arial"/>
          <w:color w:val="000000"/>
          <w:kern w:val="28"/>
          <w:sz w:val="22"/>
          <w:szCs w:val="22"/>
          <w:lang w:eastAsia="en-AU"/>
        </w:rPr>
        <w:sectPr w:rsidR="004C2F64" w:rsidRPr="004C2F64" w:rsidSect="005F696C">
          <w:headerReference w:type="default" r:id="rId20"/>
          <w:footerReference w:type="default" r:id="rId21"/>
          <w:pgSz w:w="11907" w:h="16839" w:code="9"/>
          <w:pgMar w:top="1440" w:right="1440" w:bottom="1440" w:left="1440" w:header="708" w:footer="708" w:gutter="0"/>
          <w:pgNumType w:fmt="lowerRoman" w:start="1"/>
          <w:cols w:space="708"/>
          <w:docGrid w:linePitch="360"/>
        </w:sectPr>
      </w:pPr>
    </w:p>
    <w:p w14:paraId="01D42A64" w14:textId="34905ACC" w:rsidR="004C2F64" w:rsidRPr="004C2F64" w:rsidRDefault="004C2F64" w:rsidP="004C2F64">
      <w:pPr>
        <w:rPr>
          <w:rFonts w:asciiTheme="minorHAnsi" w:hAnsiTheme="minorHAnsi" w:cstheme="minorHAnsi"/>
          <w:b/>
          <w:sz w:val="32"/>
          <w:szCs w:val="32"/>
        </w:rPr>
      </w:pPr>
      <w:bookmarkStart w:id="4" w:name="_Toc396824366"/>
      <w:bookmarkStart w:id="5" w:name="_Toc275585531"/>
      <w:bookmarkStart w:id="6" w:name="_Toc275585653"/>
      <w:bookmarkEnd w:id="2"/>
      <w:bookmarkEnd w:id="3"/>
      <w:r w:rsidRPr="004C2F64">
        <w:rPr>
          <w:rFonts w:asciiTheme="minorHAnsi" w:hAnsiTheme="minorHAnsi" w:cstheme="minorHAnsi"/>
          <w:b/>
          <w:sz w:val="32"/>
          <w:szCs w:val="32"/>
        </w:rPr>
        <w:lastRenderedPageBreak/>
        <w:t>Basin Matter - Aggregation of Selected Area biodiversity outcomes (biodiversity)</w:t>
      </w:r>
      <w:bookmarkEnd w:id="4"/>
      <w:bookmarkEnd w:id="5"/>
      <w:bookmarkEnd w:id="6"/>
      <w:r w:rsidRPr="004C2F64">
        <w:rPr>
          <w:rFonts w:asciiTheme="minorHAnsi" w:hAnsiTheme="minorHAnsi" w:cstheme="minorHAnsi"/>
          <w:b/>
          <w:sz w:val="32"/>
          <w:szCs w:val="32"/>
        </w:rPr>
        <w:t xml:space="preserve"> foundation report </w:t>
      </w:r>
    </w:p>
    <w:p w14:paraId="436AFE51" w14:textId="77777777" w:rsidR="004C2F64" w:rsidRPr="004C2F64" w:rsidRDefault="004C2F64" w:rsidP="004C2F64">
      <w:pPr>
        <w:keepNext/>
        <w:keepLines/>
        <w:numPr>
          <w:ilvl w:val="0"/>
          <w:numId w:val="9"/>
        </w:numPr>
        <w:spacing w:before="240" w:after="160"/>
        <w:ind w:left="851" w:hanging="851"/>
        <w:outlineLvl w:val="0"/>
        <w:rPr>
          <w:rFonts w:ascii="Calibri" w:eastAsia="Times New Roman" w:hAnsi="Calibri"/>
          <w:b/>
          <w:bCs/>
          <w:kern w:val="28"/>
          <w:sz w:val="32"/>
          <w:szCs w:val="28"/>
          <w:lang w:eastAsia="en-US"/>
        </w:rPr>
      </w:pPr>
      <w:bookmarkStart w:id="7" w:name="_Toc275585524"/>
      <w:bookmarkStart w:id="8" w:name="_Toc530155724"/>
      <w:r w:rsidRPr="004C2F64">
        <w:rPr>
          <w:rFonts w:ascii="Calibri" w:eastAsia="Times New Roman" w:hAnsi="Calibri"/>
          <w:b/>
          <w:bCs/>
          <w:kern w:val="28"/>
          <w:sz w:val="32"/>
          <w:szCs w:val="28"/>
          <w:lang w:eastAsia="en-US"/>
        </w:rPr>
        <w:t>Why</w:t>
      </w:r>
      <w:bookmarkEnd w:id="7"/>
      <w:r w:rsidRPr="004C2F64">
        <w:rPr>
          <w:rFonts w:ascii="Calibri" w:eastAsia="Times New Roman" w:hAnsi="Calibri"/>
          <w:b/>
          <w:bCs/>
          <w:kern w:val="28"/>
          <w:sz w:val="32"/>
          <w:szCs w:val="28"/>
          <w:lang w:eastAsia="en-US"/>
        </w:rPr>
        <w:t>?</w:t>
      </w:r>
      <w:bookmarkEnd w:id="8"/>
    </w:p>
    <w:p w14:paraId="7AAB47E9" w14:textId="77777777" w:rsidR="004C2F64" w:rsidRPr="004C2F64" w:rsidRDefault="004C2F64" w:rsidP="004C2F64">
      <w:pPr>
        <w:spacing w:before="120" w:after="160" w:line="276" w:lineRule="auto"/>
        <w:rPr>
          <w:rFonts w:ascii="Calibri" w:eastAsia="Times New Roman" w:hAnsi="Calibri" w:cs="Arial"/>
          <w:color w:val="000000"/>
          <w:kern w:val="28"/>
          <w:sz w:val="22"/>
          <w:lang w:eastAsia="en-AU"/>
        </w:rPr>
      </w:pPr>
      <w:r w:rsidRPr="004C2F64">
        <w:rPr>
          <w:rFonts w:ascii="Calibri" w:eastAsia="Times New Roman" w:hAnsi="Calibri" w:cs="Arial"/>
          <w:color w:val="000000"/>
          <w:kern w:val="28"/>
          <w:sz w:val="22"/>
          <w:lang w:eastAsia="en-AU"/>
        </w:rPr>
        <w:t xml:space="preserve">The Basin Plan seeks to protect or restore biodiversity that is dependent on Basin water resources. Biodiversity is defined as (Water Act 2007, section 4): </w:t>
      </w:r>
    </w:p>
    <w:p w14:paraId="17F2A85D" w14:textId="77777777" w:rsidR="004C2F64" w:rsidRPr="004C2F64" w:rsidRDefault="004C2F64" w:rsidP="004C2F64">
      <w:pPr>
        <w:spacing w:before="120" w:after="160" w:line="276" w:lineRule="auto"/>
        <w:rPr>
          <w:rFonts w:ascii="Calibri" w:eastAsia="Times New Roman" w:hAnsi="Calibri" w:cs="Arial"/>
          <w:i/>
          <w:color w:val="000000"/>
          <w:kern w:val="28"/>
          <w:sz w:val="22"/>
          <w:lang w:eastAsia="en-AU"/>
        </w:rPr>
      </w:pPr>
      <w:r w:rsidRPr="004C2F64">
        <w:rPr>
          <w:rFonts w:ascii="Calibri" w:eastAsia="Times New Roman" w:hAnsi="Calibri" w:cs="Arial"/>
          <w:color w:val="000000"/>
          <w:kern w:val="28"/>
          <w:sz w:val="22"/>
          <w:lang w:eastAsia="en-AU"/>
        </w:rPr>
        <w:t>“</w:t>
      </w:r>
      <w:r w:rsidRPr="004C2F64">
        <w:rPr>
          <w:rFonts w:ascii="Calibri" w:eastAsia="Times New Roman" w:hAnsi="Calibri" w:cs="Arial"/>
          <w:i/>
          <w:color w:val="000000"/>
          <w:kern w:val="28"/>
          <w:sz w:val="22"/>
          <w:lang w:eastAsia="en-AU"/>
        </w:rPr>
        <w:t>..</w:t>
      </w:r>
      <w:proofErr w:type="gramStart"/>
      <w:r w:rsidRPr="004C2F64">
        <w:rPr>
          <w:rFonts w:ascii="Calibri" w:eastAsia="Times New Roman" w:hAnsi="Calibri" w:cs="Arial"/>
          <w:i/>
          <w:color w:val="000000"/>
          <w:kern w:val="28"/>
          <w:sz w:val="22"/>
          <w:lang w:eastAsia="en-AU"/>
        </w:rPr>
        <w:t>the</w:t>
      </w:r>
      <w:proofErr w:type="gramEnd"/>
      <w:r w:rsidRPr="004C2F64">
        <w:rPr>
          <w:rFonts w:ascii="Calibri" w:eastAsia="Times New Roman" w:hAnsi="Calibri" w:cs="Arial"/>
          <w:i/>
          <w:color w:val="000000"/>
          <w:kern w:val="28"/>
          <w:sz w:val="22"/>
          <w:lang w:eastAsia="en-AU"/>
        </w:rPr>
        <w:t xml:space="preserve"> variability among living organisms from all sources (including terrestrial, marine and aquatic ecosystems and the ecological complexes of which they are a part) and includes: </w:t>
      </w:r>
    </w:p>
    <w:p w14:paraId="5331AEDB" w14:textId="77777777" w:rsidR="004C2F64" w:rsidRPr="004C2F64" w:rsidRDefault="004C2F64" w:rsidP="004C2F64">
      <w:pPr>
        <w:spacing w:before="120" w:after="160" w:line="276" w:lineRule="auto"/>
        <w:rPr>
          <w:rFonts w:ascii="Calibri" w:eastAsia="Times New Roman" w:hAnsi="Calibri" w:cs="Arial"/>
          <w:i/>
          <w:color w:val="000000"/>
          <w:kern w:val="28"/>
          <w:sz w:val="22"/>
          <w:lang w:eastAsia="en-AU"/>
        </w:rPr>
      </w:pPr>
      <w:r w:rsidRPr="004C2F64">
        <w:rPr>
          <w:rFonts w:ascii="Calibri" w:eastAsia="Times New Roman" w:hAnsi="Calibri" w:cs="Arial"/>
          <w:i/>
          <w:color w:val="000000"/>
          <w:kern w:val="28"/>
          <w:sz w:val="22"/>
          <w:lang w:eastAsia="en-AU"/>
        </w:rPr>
        <w:t xml:space="preserve">                     (a)  </w:t>
      </w:r>
      <w:proofErr w:type="gramStart"/>
      <w:r w:rsidRPr="004C2F64">
        <w:rPr>
          <w:rFonts w:ascii="Calibri" w:eastAsia="Times New Roman" w:hAnsi="Calibri" w:cs="Arial"/>
          <w:i/>
          <w:color w:val="000000"/>
          <w:kern w:val="28"/>
          <w:sz w:val="22"/>
          <w:lang w:eastAsia="en-AU"/>
        </w:rPr>
        <w:t>diversity</w:t>
      </w:r>
      <w:proofErr w:type="gramEnd"/>
      <w:r w:rsidRPr="004C2F64">
        <w:rPr>
          <w:rFonts w:ascii="Calibri" w:eastAsia="Times New Roman" w:hAnsi="Calibri" w:cs="Arial"/>
          <w:i/>
          <w:color w:val="000000"/>
          <w:kern w:val="28"/>
          <w:sz w:val="22"/>
          <w:lang w:eastAsia="en-AU"/>
        </w:rPr>
        <w:t xml:space="preserve"> within species and between species; and </w:t>
      </w:r>
    </w:p>
    <w:p w14:paraId="340DF4CE" w14:textId="77777777" w:rsidR="004C2F64" w:rsidRPr="004C2F64" w:rsidRDefault="004C2F64" w:rsidP="004C2F64">
      <w:pPr>
        <w:spacing w:before="120" w:after="160" w:line="276" w:lineRule="auto"/>
        <w:rPr>
          <w:rFonts w:ascii="Calibri" w:eastAsia="Times New Roman" w:hAnsi="Calibri" w:cs="Arial"/>
          <w:i/>
          <w:color w:val="000000"/>
          <w:kern w:val="28"/>
          <w:sz w:val="22"/>
          <w:lang w:eastAsia="en-AU"/>
        </w:rPr>
      </w:pPr>
      <w:r w:rsidRPr="004C2F64">
        <w:rPr>
          <w:rFonts w:ascii="Calibri" w:eastAsia="Times New Roman" w:hAnsi="Calibri" w:cs="Arial"/>
          <w:i/>
          <w:color w:val="000000"/>
          <w:kern w:val="28"/>
          <w:sz w:val="22"/>
          <w:lang w:eastAsia="en-AU"/>
        </w:rPr>
        <w:t xml:space="preserve">                     (b)  </w:t>
      </w:r>
      <w:proofErr w:type="gramStart"/>
      <w:r w:rsidRPr="004C2F64">
        <w:rPr>
          <w:rFonts w:ascii="Calibri" w:eastAsia="Times New Roman" w:hAnsi="Calibri" w:cs="Arial"/>
          <w:i/>
          <w:color w:val="000000"/>
          <w:kern w:val="28"/>
          <w:sz w:val="22"/>
          <w:lang w:eastAsia="en-AU"/>
        </w:rPr>
        <w:t>diversity</w:t>
      </w:r>
      <w:proofErr w:type="gramEnd"/>
      <w:r w:rsidRPr="004C2F64">
        <w:rPr>
          <w:rFonts w:ascii="Calibri" w:eastAsia="Times New Roman" w:hAnsi="Calibri" w:cs="Arial"/>
          <w:i/>
          <w:color w:val="000000"/>
          <w:kern w:val="28"/>
          <w:sz w:val="22"/>
          <w:lang w:eastAsia="en-AU"/>
        </w:rPr>
        <w:t xml:space="preserve"> of ecosystems. </w:t>
      </w:r>
    </w:p>
    <w:p w14:paraId="1675563C"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r w:rsidRPr="004C2F64">
        <w:rPr>
          <w:rFonts w:ascii="Calibri" w:eastAsia="Times New Roman" w:hAnsi="Calibri" w:cs="Arial"/>
          <w:color w:val="000000"/>
          <w:kern w:val="28"/>
          <w:sz w:val="22"/>
          <w:lang w:eastAsia="en-AU"/>
        </w:rPr>
        <w:t xml:space="preserve">The protection of biodiversity is through two instruments: supporting listed threatened species or listed threatened ecological communities and ensuring that representative populations and communities of native biota are protected and, if necessary, restored (Basin Plan, section 8.05 (3)). </w:t>
      </w:r>
    </w:p>
    <w:p w14:paraId="2E79F5A5"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p>
    <w:p w14:paraId="17D1771D"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r w:rsidRPr="004C2F64">
        <w:rPr>
          <w:rFonts w:ascii="Calibri" w:eastAsia="Times New Roman" w:hAnsi="Calibri" w:cs="Arial"/>
          <w:color w:val="000000"/>
          <w:kern w:val="28"/>
          <w:sz w:val="22"/>
          <w:lang w:eastAsia="en-AU"/>
        </w:rPr>
        <w:t xml:space="preserve">According the Australian National Aquatic Ecosystem (ANAE) mapping project, the Basin contains over 200,000 aquatic ecosystems, including approximately 8000 lakes and 34,000 floodplain wetlands (Brooks </w:t>
      </w:r>
      <w:r w:rsidRPr="004C2F64">
        <w:rPr>
          <w:rFonts w:ascii="Calibri" w:eastAsia="Times New Roman" w:hAnsi="Calibri" w:cs="Arial"/>
          <w:i/>
          <w:color w:val="000000"/>
          <w:kern w:val="28"/>
          <w:sz w:val="22"/>
          <w:lang w:eastAsia="en-AU"/>
        </w:rPr>
        <w:t>et al.</w:t>
      </w:r>
      <w:r w:rsidRPr="004C2F64">
        <w:rPr>
          <w:rFonts w:ascii="Calibri" w:eastAsia="Times New Roman" w:hAnsi="Calibri" w:cs="Arial"/>
          <w:color w:val="000000"/>
          <w:kern w:val="28"/>
          <w:sz w:val="22"/>
          <w:lang w:eastAsia="en-AU"/>
        </w:rPr>
        <w:t xml:space="preserve"> 2013). Sixteen wetlands of international importance, listed under the </w:t>
      </w:r>
      <w:proofErr w:type="spellStart"/>
      <w:r w:rsidRPr="004C2F64">
        <w:rPr>
          <w:rFonts w:ascii="Calibri" w:eastAsia="Times New Roman" w:hAnsi="Calibri" w:cs="Arial"/>
          <w:color w:val="000000"/>
          <w:kern w:val="28"/>
          <w:sz w:val="22"/>
          <w:lang w:eastAsia="en-AU"/>
        </w:rPr>
        <w:t>Ramsar</w:t>
      </w:r>
      <w:proofErr w:type="spellEnd"/>
      <w:r w:rsidRPr="004C2F64">
        <w:rPr>
          <w:rFonts w:ascii="Calibri" w:eastAsia="Times New Roman" w:hAnsi="Calibri" w:cs="Arial"/>
          <w:color w:val="000000"/>
          <w:kern w:val="28"/>
          <w:sz w:val="22"/>
          <w:lang w:eastAsia="en-AU"/>
        </w:rPr>
        <w:t xml:space="preserve"> Convention are within the Basin, as are over 200 nationally important wetlands </w:t>
      </w:r>
      <w:r w:rsidRPr="004C2F64">
        <w:rPr>
          <w:rFonts w:ascii="Calibri" w:eastAsia="Times New Roman" w:hAnsi="Calibri" w:cs="Arial"/>
          <w:color w:val="000000"/>
          <w:kern w:val="28"/>
          <w:sz w:val="22"/>
          <w:lang w:eastAsia="en-AU"/>
        </w:rPr>
        <w:fldChar w:fldCharType="begin"/>
      </w:r>
      <w:r w:rsidRPr="004C2F64">
        <w:rPr>
          <w:rFonts w:ascii="Calibri" w:eastAsia="Times New Roman" w:hAnsi="Calibri" w:cs="Arial"/>
          <w:color w:val="000000"/>
          <w:kern w:val="28"/>
          <w:sz w:val="22"/>
          <w:lang w:eastAsia="en-AU"/>
        </w:rPr>
        <w:instrText xml:space="preserve"> ADDIN ZOTERO_ITEM CSL_CITATION {"citationID":"f9a8i66kj","properties":{"formattedCitation":"(Leblanc et al. 2012)","plainCitation":"(Leblanc et al. 2012)"},"citationItems":[{"id":2865,"uris":["http://zotero.org/users/2336876/items/7HZI4AJI"],"uri":["http://zotero.org/users/2336876/items/7HZI4AJI"],"itemData":{"id":2865,"type":"article-journal","title":"A review of historic and future hydrological changes in the Murray-Darling Basin","container-title":"Global and Planetary Change","page":"226-246","volume":"80–81","source":"ScienceDirect","abstract":"The Murray–Darling Basin is Australia's food bowl and home to many iconic water bodies that are culturally and ecologically highly valued. The recent Millennium Drought (from mid-1990s to 2009) was the most severe hydrological drought since records started in the late 19th century. It severely impacted on the basin and for many acted as a wake-up call. To address the ongoing declines in water resources and environmental conditions and to prepare the region for climate change, Australia's Governments are currently attempting to introduce a new comprehensive, and integrated approach to the management of the basin's water resources. In this paper, long-term time series of climate, hydrological and environmental data are used to analyze how compounding stresses have gradually affected the hydrological system and its services. Major hydroclimatic stresses considered in this paper include salinity, water use, droughts, and climate change. Other, more localized or minor stresses exist (groundwater extraction, farm dams, afforestation, bush fires, cyanobacterial blooms and pollutants) and are reviewed more briefly. The history of water policy and planning shows that Government actions have been strongly influential on the basin. A shift in the strategic goals from water development to the protection and restoration of environmental assets is noticeable since the mid 1990s. Median climate change projections by 2030 indicate smaller reductions in rainfall and runoff than those observed during the recent Millennium Drought, but have a relatively high uncertainty attached to them. The use of regional approaches to reduce that uncertainty, such as statistical downscaling, points to a sizeable decline in rainfall by the end of the century. Most climate projections used for planning consider greenhouse emission scenarios that have smaller global emission trends than the one observed over the last decade. Other, ‘less optimistic’ scenarios have to be considered for long-term water planning and food security. Compounding all these stresses, is the naturally high hydroclimatic variability of this semi-arid region, that may have been insufficiently considered during previous water development and planning efforts. Successful water planning will need to balance cultural and ecological values with food production, account for high natural variability and uncertainty in climate change projections, learn from past mistakes and be cognizant of future hydrological changes.","DOI":"10.1016/j.gloplacha.2011.10.012","ISSN":"0921-8181","journalAbbreviation":"Global and Planetary Change","author":[{"family":"Leblanc","given":"Marc"},{"family":"Tweed","given":"Sarah"},{"family":"Van Dijk","given":"Albert"},{"family":"Timbal","given":"Bertrand"}],"issued":{"date-parts":[["2012",1]]},"accessed":{"date-parts":[["2015",5,11]]}}}],"schema":"https://github.com/citation-style-language/schema/raw/master/csl-citation.json"} </w:instrText>
      </w:r>
      <w:r w:rsidRPr="004C2F64">
        <w:rPr>
          <w:rFonts w:ascii="Calibri" w:eastAsia="Times New Roman" w:hAnsi="Calibri" w:cs="Arial"/>
          <w:color w:val="000000"/>
          <w:kern w:val="28"/>
          <w:sz w:val="22"/>
          <w:lang w:eastAsia="en-AU"/>
        </w:rPr>
        <w:fldChar w:fldCharType="separate"/>
      </w:r>
      <w:r w:rsidRPr="004C2F64">
        <w:rPr>
          <w:rFonts w:ascii="Calibri" w:eastAsia="Times New Roman" w:hAnsi="Calibri" w:cs="Arial"/>
          <w:noProof/>
          <w:color w:val="000000"/>
          <w:kern w:val="28"/>
          <w:sz w:val="22"/>
          <w:lang w:eastAsia="en-AU"/>
        </w:rPr>
        <w:t xml:space="preserve">(Leblanc </w:t>
      </w:r>
      <w:r w:rsidRPr="004C2F64">
        <w:rPr>
          <w:rFonts w:ascii="Calibri" w:eastAsia="Times New Roman" w:hAnsi="Calibri" w:cs="Arial"/>
          <w:i/>
          <w:noProof/>
          <w:color w:val="000000"/>
          <w:kern w:val="28"/>
          <w:sz w:val="22"/>
          <w:lang w:eastAsia="en-AU"/>
        </w:rPr>
        <w:t>et al.</w:t>
      </w:r>
      <w:r w:rsidRPr="004C2F64">
        <w:rPr>
          <w:rFonts w:ascii="Calibri" w:eastAsia="Times New Roman" w:hAnsi="Calibri" w:cs="Arial"/>
          <w:noProof/>
          <w:color w:val="000000"/>
          <w:kern w:val="28"/>
          <w:sz w:val="22"/>
          <w:lang w:eastAsia="en-AU"/>
        </w:rPr>
        <w:t xml:space="preserve"> 2012)</w:t>
      </w:r>
      <w:r w:rsidRPr="004C2F64">
        <w:rPr>
          <w:rFonts w:ascii="Calibri" w:eastAsia="Times New Roman" w:hAnsi="Calibri" w:cs="Arial"/>
          <w:color w:val="000000"/>
          <w:kern w:val="28"/>
          <w:sz w:val="22"/>
          <w:lang w:eastAsia="en-AU"/>
        </w:rPr>
        <w:fldChar w:fldCharType="end"/>
      </w:r>
      <w:r w:rsidRPr="004C2F64">
        <w:rPr>
          <w:rFonts w:ascii="Calibri" w:eastAsia="Times New Roman" w:hAnsi="Calibri" w:cs="Arial"/>
          <w:color w:val="000000"/>
          <w:kern w:val="28"/>
          <w:sz w:val="22"/>
          <w:lang w:eastAsia="en-AU"/>
        </w:rPr>
        <w:t xml:space="preserve">. These ecosystems support a broad range of species and ecological communities that are inundation dependent, or dependent on vegetation communities that are classified as wetland or floodplain systems. The Basin's aquatic ecosystems also support a large number of nationally and internationally significant plant and animal species, including 95 species listed as threatened under national or State legislation </w:t>
      </w:r>
      <w:r w:rsidRPr="004C2F64">
        <w:rPr>
          <w:rFonts w:ascii="Calibri" w:eastAsia="Times New Roman" w:hAnsi="Calibri" w:cs="Arial"/>
          <w:color w:val="000000"/>
          <w:kern w:val="28"/>
          <w:sz w:val="22"/>
          <w:lang w:eastAsia="en-AU"/>
        </w:rPr>
        <w:fldChar w:fldCharType="begin"/>
      </w:r>
      <w:r w:rsidRPr="004C2F64">
        <w:rPr>
          <w:rFonts w:ascii="Calibri" w:eastAsia="Times New Roman" w:hAnsi="Calibri" w:cs="Arial"/>
          <w:color w:val="000000"/>
          <w:kern w:val="28"/>
          <w:sz w:val="22"/>
          <w:lang w:eastAsia="en-AU"/>
        </w:rPr>
        <w:instrText xml:space="preserve"> ADDIN ZOTERO_ITEM CSL_CITATION {"citationID":"ZxHOU4wE","properties":{"formattedCitation":"(Leblanc et al. 2012)","plainCitation":"(Leblanc et al. 2012)"},"citationItems":[{"id":2865,"uris":["http://zotero.org/users/2336876/items/7HZI4AJI"],"uri":["http://zotero.org/users/2336876/items/7HZI4AJI"],"itemData":{"id":2865,"type":"article-journal","title":"A review of historic and future hydrological changes in the Murray-Darling Basin","container-title":"Global and Planetary Change","page":"226-246","volume":"80–81","source":"ScienceDirect","abstract":"The Murray–Darling Basin is Australia's food bowl and home to many iconic water bodies that are culturally and ecologically highly valued. The recent Millennium Drought (from mid-1990s to 2009) was the most severe hydrological drought since records started in the late 19th century. It severely impacted on the basin and for many acted as a wake-up call. To address the ongoing declines in water resources and environmental conditions and to prepare the region for climate change, Australia's Governments are currently attempting to introduce a new comprehensive, and integrated approach to the management of the basin's water resources. In this paper, long-term time series of climate, hydrological and environmental data are used to analyze how compounding stresses have gradually affected the hydrological system and its services. Major hydroclimatic stresses considered in this paper include salinity, water use, droughts, and climate change. Other, more localized or minor stresses exist (groundwater extraction, farm dams, afforestation, bush fires, cyanobacterial blooms and pollutants) and are reviewed more briefly. The history of water policy and planning shows that Government actions have been strongly influential on the basin. A shift in the strategic goals from water development to the protection and restoration of environmental assets is noticeable since the mid 1990s. Median climate change projections by 2030 indicate smaller reductions in rainfall and runoff than those observed during the recent Millennium Drought, but have a relatively high uncertainty attached to them. The use of regional approaches to reduce that uncertainty, such as statistical downscaling, points to a sizeable decline in rainfall by the end of the century. Most climate projections used for planning consider greenhouse emission scenarios that have smaller global emission trends than the one observed over the last decade. Other, ‘less optimistic’ scenarios have to be considered for long-term water planning and food security. Compounding all these stresses, is the naturally high hydroclimatic variability of this semi-arid region, that may have been insufficiently considered during previous water development and planning efforts. Successful water planning will need to balance cultural and ecological values with food production, account for high natural variability and uncertainty in climate change projections, learn from past mistakes and be cognizant of future hydrological changes.","DOI":"10.1016/j.gloplacha.2011.10.012","ISSN":"0921-8181","journalAbbreviation":"Global and Planetary Change","author":[{"family":"Leblanc","given":"Marc"},{"family":"Tweed","given":"Sarah"},{"family":"Van Dijk","given":"Albert"},{"family":"Timbal","given":"Bertrand"}],"issued":{"date-parts":[["2012",1]]},"accessed":{"date-parts":[["2015",5,11]]}}}],"schema":"https://github.com/citation-style-language/schema/raw/master/csl-citation.json"} </w:instrText>
      </w:r>
      <w:r w:rsidRPr="004C2F64">
        <w:rPr>
          <w:rFonts w:ascii="Calibri" w:eastAsia="Times New Roman" w:hAnsi="Calibri" w:cs="Arial"/>
          <w:color w:val="000000"/>
          <w:kern w:val="28"/>
          <w:sz w:val="22"/>
          <w:lang w:eastAsia="en-AU"/>
        </w:rPr>
        <w:fldChar w:fldCharType="separate"/>
      </w:r>
      <w:r w:rsidRPr="004C2F64">
        <w:rPr>
          <w:rFonts w:ascii="Calibri" w:eastAsia="Times New Roman" w:hAnsi="Calibri" w:cs="Arial"/>
          <w:noProof/>
          <w:color w:val="000000"/>
          <w:kern w:val="28"/>
          <w:sz w:val="22"/>
          <w:lang w:eastAsia="en-AU"/>
        </w:rPr>
        <w:t xml:space="preserve">(Leblanc </w:t>
      </w:r>
      <w:r w:rsidRPr="004C2F64">
        <w:rPr>
          <w:rFonts w:ascii="Calibri" w:eastAsia="Times New Roman" w:hAnsi="Calibri" w:cs="Arial"/>
          <w:i/>
          <w:noProof/>
          <w:color w:val="000000"/>
          <w:kern w:val="28"/>
          <w:sz w:val="22"/>
          <w:lang w:eastAsia="en-AU"/>
        </w:rPr>
        <w:t>et al.</w:t>
      </w:r>
      <w:r w:rsidRPr="004C2F64">
        <w:rPr>
          <w:rFonts w:ascii="Calibri" w:eastAsia="Times New Roman" w:hAnsi="Calibri" w:cs="Arial"/>
          <w:noProof/>
          <w:color w:val="000000"/>
          <w:kern w:val="28"/>
          <w:sz w:val="22"/>
          <w:lang w:eastAsia="en-AU"/>
        </w:rPr>
        <w:t xml:space="preserve"> 2012)</w:t>
      </w:r>
      <w:r w:rsidRPr="004C2F64">
        <w:rPr>
          <w:rFonts w:ascii="Calibri" w:eastAsia="Times New Roman" w:hAnsi="Calibri" w:cs="Arial"/>
          <w:color w:val="000000"/>
          <w:kern w:val="28"/>
          <w:sz w:val="22"/>
          <w:lang w:eastAsia="en-AU"/>
        </w:rPr>
        <w:fldChar w:fldCharType="end"/>
      </w:r>
      <w:r w:rsidRPr="004C2F64">
        <w:rPr>
          <w:rFonts w:ascii="Calibri" w:eastAsia="Times New Roman" w:hAnsi="Calibri" w:cs="Arial"/>
          <w:color w:val="000000"/>
          <w:kern w:val="28"/>
          <w:sz w:val="22"/>
          <w:lang w:eastAsia="en-AU"/>
        </w:rPr>
        <w:t>.</w:t>
      </w:r>
    </w:p>
    <w:p w14:paraId="59D3418A"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p>
    <w:p w14:paraId="18863935"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r w:rsidRPr="004C2F64">
        <w:rPr>
          <w:rFonts w:ascii="Calibri" w:eastAsia="Times New Roman" w:hAnsi="Calibri" w:cs="Arial"/>
          <w:color w:val="000000"/>
          <w:kern w:val="28"/>
          <w:sz w:val="22"/>
          <w:lang w:eastAsia="en-AU"/>
        </w:rPr>
        <w:t xml:space="preserve">Species and communities can be dependent on flow and water regimes for all or parts of their lifecycles. Most of the biota within the Murray Darling Basin are adapted to cycles of wetting and drying, with many important breeding, migration or germination cues linked to water regime </w:t>
      </w:r>
      <w:r w:rsidRPr="004C2F64">
        <w:rPr>
          <w:rFonts w:ascii="Calibri" w:eastAsia="Times New Roman" w:hAnsi="Calibri" w:cs="Arial"/>
          <w:color w:val="000000"/>
          <w:kern w:val="28"/>
          <w:sz w:val="22"/>
          <w:lang w:eastAsia="en-AU"/>
        </w:rPr>
        <w:fldChar w:fldCharType="begin"/>
      </w:r>
      <w:r w:rsidRPr="004C2F64">
        <w:rPr>
          <w:rFonts w:ascii="Calibri" w:eastAsia="Times New Roman" w:hAnsi="Calibri" w:cs="Arial"/>
          <w:color w:val="000000"/>
          <w:kern w:val="28"/>
          <w:sz w:val="22"/>
          <w:lang w:eastAsia="en-AU"/>
        </w:rPr>
        <w:instrText xml:space="preserve"> ADDIN ZOTERO_ITEM CSL_CITATION {"citationID":"756f0jtpb","properties":{"formattedCitation":"(Brock and Casanova 1997, Young et al. 2001, Roberts and Marston 2011)","plainCitation":"(Brock and Casanova 1997, Young et al. 2001, Roberts and Marston 2011)"},"citationItems":[{"id":1783,"uris":["http://zotero.org/users/2336876/items/FKNMDDG4"],"uri":["http://zotero.org/users/2336876/items/FKNMDDG4"],"itemData":{"id":1783,"type":"chapter","title":"Plant life at the edge of wetlands: ecological responses to wetting and drying patterns","container-title":"Frontiers in Ecology: Building the Links","publisher":"Elsevier Science","publisher-place":"Oxford","page":"181-192","event-place":"Oxford","author":[{"family":"Brock","given":"M. A."},{"family":"Casanova","given":"M.T."}],"editor":[{"family":"Klomp","given":"N."},{"family":"Lunt","given":""}],"issued":{"date-parts":[["1997"]]}}},{"id":1851,"uris":["http://zotero.org/users/2336876/items/3U6X83US"],"uri":["http://zotero.org/users/2336876/items/3U6X83US"],"itemData":{"id":1851,"type":"chapter","title":"River flow, processes, habitats and river life","container-title":"Rivers as Ecological Systems: The Murray-Darling Basin","publisher":"Murray-Darling Basin Commission","publisher-place":"Canberra","page":"45-99","event-place":"Canberra","author":[{"family":"Young","given":"W. J."},{"family":"Schiller","given":"C.B."},{"family":"Harris","given":"J. H."},{"family":"Roberts","given":"Jane"},{"family":"Hillman","given":"T. J."}],"editor":[{"family":"Young","given":"W. J."}],"issued":{"date-parts":[["2001"]]}}},{"id":435,"uris":["http://zotero.org/users/2336876/items/JUJ2XN6Q"],"uri":["http://zotero.org/users/2336876/items/JUJ2XN6Q"],"itemData":{"id":435,"type":"book","title":"Water regime for wetland and floodplain plants : a source book for the Murray-Darling Basin","publisher":"National Water Commission","publisher-place":"Canberra","source":"Open WorldCat","event-place":"Canberra","ISBN":"9781921853036 1921853034","shortTitle":"Water regime for wetland and floodplain plants","language":"English","author":[{"family":"Roberts","given":"Jane"},{"family":"Marston","given":"Frances"}],"issued":{"date-parts":[["2011"]]}}}],"schema":"https://github.com/citation-style-language/schema/raw/master/csl-citation.json"} </w:instrText>
      </w:r>
      <w:r w:rsidRPr="004C2F64">
        <w:rPr>
          <w:rFonts w:ascii="Calibri" w:eastAsia="Times New Roman" w:hAnsi="Calibri" w:cs="Arial"/>
          <w:color w:val="000000"/>
          <w:kern w:val="28"/>
          <w:sz w:val="22"/>
          <w:lang w:eastAsia="en-AU"/>
        </w:rPr>
        <w:fldChar w:fldCharType="separate"/>
      </w:r>
      <w:r w:rsidRPr="004C2F64">
        <w:rPr>
          <w:rFonts w:ascii="Calibri" w:eastAsia="Times New Roman" w:hAnsi="Calibri" w:cs="Arial"/>
          <w:noProof/>
          <w:color w:val="000000"/>
          <w:kern w:val="28"/>
          <w:sz w:val="22"/>
          <w:lang w:eastAsia="en-AU"/>
        </w:rPr>
        <w:t xml:space="preserve">(Brock and Casanova 1997, Young </w:t>
      </w:r>
      <w:r w:rsidRPr="004C2F64">
        <w:rPr>
          <w:rFonts w:ascii="Calibri" w:eastAsia="Times New Roman" w:hAnsi="Calibri" w:cs="Arial"/>
          <w:i/>
          <w:noProof/>
          <w:color w:val="000000"/>
          <w:kern w:val="28"/>
          <w:sz w:val="22"/>
          <w:lang w:eastAsia="en-AU"/>
        </w:rPr>
        <w:t>et al.</w:t>
      </w:r>
      <w:r w:rsidRPr="004C2F64">
        <w:rPr>
          <w:rFonts w:ascii="Calibri" w:eastAsia="Times New Roman" w:hAnsi="Calibri" w:cs="Arial"/>
          <w:noProof/>
          <w:color w:val="000000"/>
          <w:kern w:val="28"/>
          <w:sz w:val="22"/>
          <w:lang w:eastAsia="en-AU"/>
        </w:rPr>
        <w:t xml:space="preserve"> 2001, Roberts and Marston 2011)</w:t>
      </w:r>
      <w:r w:rsidRPr="004C2F64">
        <w:rPr>
          <w:rFonts w:ascii="Calibri" w:eastAsia="Times New Roman" w:hAnsi="Calibri" w:cs="Arial"/>
          <w:color w:val="000000"/>
          <w:kern w:val="28"/>
          <w:sz w:val="22"/>
          <w:lang w:eastAsia="en-AU"/>
        </w:rPr>
        <w:fldChar w:fldCharType="end"/>
      </w:r>
      <w:r w:rsidRPr="004C2F64">
        <w:rPr>
          <w:rFonts w:ascii="Calibri" w:eastAsia="Times New Roman" w:hAnsi="Calibri" w:cs="Arial"/>
          <w:color w:val="000000"/>
          <w:kern w:val="28"/>
          <w:sz w:val="22"/>
          <w:lang w:eastAsia="en-AU"/>
        </w:rPr>
        <w:t xml:space="preserve">. In a climate of increasing pressures on water resources, environmental watering actions can play a crucial role in maintaining species and ecosystem diversity </w:t>
      </w:r>
      <w:r w:rsidRPr="004C2F64">
        <w:rPr>
          <w:rFonts w:ascii="Calibri" w:eastAsia="Times New Roman" w:hAnsi="Calibri" w:cs="Arial"/>
          <w:color w:val="000000"/>
          <w:kern w:val="28"/>
          <w:sz w:val="22"/>
          <w:lang w:eastAsia="en-AU"/>
        </w:rPr>
        <w:fldChar w:fldCharType="begin"/>
      </w:r>
      <w:r w:rsidRPr="004C2F64">
        <w:rPr>
          <w:rFonts w:ascii="Calibri" w:eastAsia="Times New Roman" w:hAnsi="Calibri" w:cs="Arial"/>
          <w:color w:val="000000"/>
          <w:kern w:val="28"/>
          <w:sz w:val="22"/>
          <w:lang w:eastAsia="en-AU"/>
        </w:rPr>
        <w:instrText xml:space="preserve"> ADDIN ZOTERO_ITEM CSL_CITATION {"citationID":"cef07qhu2","properties":{"formattedCitation":"(Beesley et al. 2009, Brandis 2010)","plainCitation":"(Beesley et al. 2009, Brandis 2010)"},"citationItems":[{"id":1952,"uris":["http://zotero.org/users/2336876/items/4IZP35RU"],"uri":["http://zotero.org/users/2336876/items/4IZP35RU"],"itemData":{"id":1952,"type":"book","title":"Watering floodplain wetlands in the Murray-Darling Basin for native fish","publisher":"National Water Commission","publisher-place":"Canberra, A.C.T.","source":"Open WorldCat","event-place":"Canberra, A.C.T.","ISBN":"9781921853333  1921853336","language":"English","author":[{"family":"Beesley","given":"Leah"},{"family":"Price","given":"A"},{"family":"King","given":"A. J"},{"family":"Gawne","given":"Ben"},{"family":"Nielsen","given":"D. L"},{"family":"Koehn","given":"J. D"},{"family":"Meredith","given":"Shaun"},{"family":"Vilizzi","given":"L"},{"family":"Hladyz","given":"S"},{"family":"Arthur Rylah Institute for Environmental Research","given":""},{"family":"Murray-Darling Freshwater Research Centre","given":""},{"family":"Australia","given":""},{"family":"National Water Commission","given":""}],"issued":{"date-parts":[["2009"]]}}},{"id":1362,"uris":["http://zotero.org/users/2336876/items/JNU2C8IA"],"uri":["http://zotero.org/users/2336876/items/JNU2C8IA"],"itemData":{"id":1362,"type":"thesis","title":"Colonial waterbird breeding in Australia: Wetlands, water requirements and environmental flows","publisher":"University of NSW","author":[{"family":"Brandis","given":"Kate"}],"issued":{"date-parts":[["2010"]]}}}],"schema":"https://github.com/citation-style-language/schema/raw/master/csl-citation.json"} </w:instrText>
      </w:r>
      <w:r w:rsidRPr="004C2F64">
        <w:rPr>
          <w:rFonts w:ascii="Calibri" w:eastAsia="Times New Roman" w:hAnsi="Calibri" w:cs="Arial"/>
          <w:color w:val="000000"/>
          <w:kern w:val="28"/>
          <w:sz w:val="22"/>
          <w:lang w:eastAsia="en-AU"/>
        </w:rPr>
        <w:fldChar w:fldCharType="separate"/>
      </w:r>
      <w:r w:rsidRPr="004C2F64">
        <w:rPr>
          <w:rFonts w:ascii="Calibri" w:eastAsia="Times New Roman" w:hAnsi="Calibri" w:cs="Arial"/>
          <w:noProof/>
          <w:color w:val="000000"/>
          <w:kern w:val="28"/>
          <w:sz w:val="22"/>
          <w:lang w:eastAsia="en-AU"/>
        </w:rPr>
        <w:t xml:space="preserve">(Beesley </w:t>
      </w:r>
      <w:r w:rsidRPr="004C2F64">
        <w:rPr>
          <w:rFonts w:ascii="Calibri" w:eastAsia="Times New Roman" w:hAnsi="Calibri" w:cs="Arial"/>
          <w:i/>
          <w:noProof/>
          <w:color w:val="000000"/>
          <w:kern w:val="28"/>
          <w:sz w:val="22"/>
          <w:lang w:eastAsia="en-AU"/>
        </w:rPr>
        <w:t>et al.</w:t>
      </w:r>
      <w:r w:rsidRPr="004C2F64">
        <w:rPr>
          <w:rFonts w:ascii="Calibri" w:eastAsia="Times New Roman" w:hAnsi="Calibri" w:cs="Arial"/>
          <w:noProof/>
          <w:color w:val="000000"/>
          <w:kern w:val="28"/>
          <w:sz w:val="22"/>
          <w:lang w:eastAsia="en-AU"/>
        </w:rPr>
        <w:t xml:space="preserve"> 2009, Brandis 2010)</w:t>
      </w:r>
      <w:r w:rsidRPr="004C2F64">
        <w:rPr>
          <w:rFonts w:ascii="Calibri" w:eastAsia="Times New Roman" w:hAnsi="Calibri" w:cs="Arial"/>
          <w:color w:val="000000"/>
          <w:kern w:val="28"/>
          <w:sz w:val="22"/>
          <w:lang w:eastAsia="en-AU"/>
        </w:rPr>
        <w:fldChar w:fldCharType="end"/>
      </w:r>
      <w:r w:rsidRPr="004C2F64">
        <w:rPr>
          <w:rFonts w:ascii="Calibri" w:eastAsia="Times New Roman" w:hAnsi="Calibri" w:cs="Arial"/>
          <w:color w:val="000000"/>
          <w:kern w:val="28"/>
          <w:sz w:val="22"/>
          <w:lang w:eastAsia="en-AU"/>
        </w:rPr>
        <w:t xml:space="preserve">.  </w:t>
      </w:r>
    </w:p>
    <w:p w14:paraId="704D5335" w14:textId="77777777" w:rsidR="004C2F64" w:rsidRPr="004C2F64" w:rsidRDefault="004C2F64" w:rsidP="004C2F64">
      <w:pPr>
        <w:keepNext/>
        <w:keepLines/>
        <w:numPr>
          <w:ilvl w:val="0"/>
          <w:numId w:val="9"/>
        </w:numPr>
        <w:spacing w:before="240" w:after="160"/>
        <w:ind w:left="851" w:hanging="851"/>
        <w:outlineLvl w:val="0"/>
        <w:rPr>
          <w:rFonts w:ascii="Calibri" w:eastAsia="Times New Roman" w:hAnsi="Calibri"/>
          <w:b/>
          <w:bCs/>
          <w:kern w:val="28"/>
          <w:sz w:val="32"/>
          <w:szCs w:val="28"/>
          <w:lang w:eastAsia="en-US"/>
        </w:rPr>
      </w:pPr>
      <w:bookmarkStart w:id="9" w:name="_Toc275585525"/>
      <w:bookmarkStart w:id="10" w:name="_Toc530155725"/>
      <w:r w:rsidRPr="004C2F64">
        <w:rPr>
          <w:rFonts w:ascii="Calibri" w:eastAsia="Times New Roman" w:hAnsi="Calibri"/>
          <w:b/>
          <w:bCs/>
          <w:kern w:val="28"/>
          <w:sz w:val="32"/>
          <w:szCs w:val="28"/>
          <w:lang w:eastAsia="en-US"/>
        </w:rPr>
        <w:t>What</w:t>
      </w:r>
      <w:bookmarkEnd w:id="9"/>
      <w:r w:rsidRPr="004C2F64">
        <w:rPr>
          <w:rFonts w:ascii="Calibri" w:eastAsia="Times New Roman" w:hAnsi="Calibri"/>
          <w:b/>
          <w:bCs/>
          <w:kern w:val="28"/>
          <w:sz w:val="32"/>
          <w:szCs w:val="28"/>
          <w:lang w:eastAsia="en-US"/>
        </w:rPr>
        <w:t>?</w:t>
      </w:r>
      <w:bookmarkEnd w:id="10"/>
    </w:p>
    <w:p w14:paraId="617E17DB" w14:textId="77777777" w:rsidR="004C2F64" w:rsidRPr="004C2F64" w:rsidRDefault="004C2F64" w:rsidP="004C2F64">
      <w:pPr>
        <w:spacing w:after="160" w:line="276" w:lineRule="auto"/>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This component of the Basin Evaluation will address the following short-term (one-year) and long-term (five-year) Basin-scale evaluation questions:</w:t>
      </w:r>
    </w:p>
    <w:p w14:paraId="1DD32DBF" w14:textId="77777777" w:rsidR="004C2F64" w:rsidRPr="009D3999" w:rsidRDefault="004C2F64" w:rsidP="004C2F64">
      <w:pPr>
        <w:pStyle w:val="ListBullet"/>
        <w:ind w:left="360" w:hanging="360"/>
        <w:rPr>
          <w:lang w:eastAsia="en-AU"/>
        </w:rPr>
      </w:pPr>
      <w:r w:rsidRPr="009D3999">
        <w:rPr>
          <w:lang w:eastAsia="en-AU"/>
        </w:rPr>
        <w:t>What did Commonwealth environmental water contribute to species diversity?</w:t>
      </w:r>
    </w:p>
    <w:p w14:paraId="498EBC1F" w14:textId="77777777" w:rsidR="004C2F64" w:rsidRPr="009D3999" w:rsidRDefault="004C2F64" w:rsidP="004C2F64">
      <w:pPr>
        <w:pStyle w:val="ListBullet"/>
        <w:numPr>
          <w:ilvl w:val="1"/>
          <w:numId w:val="14"/>
        </w:numPr>
        <w:ind w:left="720"/>
        <w:rPr>
          <w:lang w:eastAsia="en-AU"/>
        </w:rPr>
      </w:pPr>
      <w:r w:rsidRPr="009D3999">
        <w:rPr>
          <w:lang w:eastAsia="en-AU"/>
        </w:rPr>
        <w:t xml:space="preserve">How did Commonwealth environmental water affect the presence, distribution and abundance of plant, fish, bird, frog, </w:t>
      </w:r>
      <w:proofErr w:type="gramStart"/>
      <w:r w:rsidRPr="009D3999">
        <w:rPr>
          <w:lang w:eastAsia="en-AU"/>
        </w:rPr>
        <w:t>turtle</w:t>
      </w:r>
      <w:proofErr w:type="gramEnd"/>
      <w:r w:rsidRPr="009D3999">
        <w:rPr>
          <w:lang w:eastAsia="en-AU"/>
        </w:rPr>
        <w:t xml:space="preserve"> and aquatic ecosystem dependent mammal species?</w:t>
      </w:r>
    </w:p>
    <w:p w14:paraId="03D3D2E6" w14:textId="77777777" w:rsidR="004C2F64" w:rsidRPr="009D3999" w:rsidRDefault="004C2F64" w:rsidP="004C2F64">
      <w:pPr>
        <w:pStyle w:val="ListBullet"/>
        <w:numPr>
          <w:ilvl w:val="1"/>
          <w:numId w:val="14"/>
        </w:numPr>
        <w:ind w:left="720"/>
        <w:rPr>
          <w:lang w:eastAsia="en-AU"/>
        </w:rPr>
      </w:pPr>
      <w:r w:rsidRPr="009D3999">
        <w:rPr>
          <w:lang w:eastAsia="en-AU"/>
        </w:rPr>
        <w:t>What listed threatened species and ecological communities benefited from Commonwealth environmental water?</w:t>
      </w:r>
    </w:p>
    <w:p w14:paraId="704E68AA" w14:textId="77777777" w:rsidR="004C2F64" w:rsidRPr="009D3999" w:rsidRDefault="004C2F64" w:rsidP="004C2F64">
      <w:pPr>
        <w:pStyle w:val="ListBullet"/>
        <w:numPr>
          <w:ilvl w:val="1"/>
          <w:numId w:val="14"/>
        </w:numPr>
        <w:ind w:left="720"/>
        <w:rPr>
          <w:lang w:eastAsia="en-AU"/>
        </w:rPr>
      </w:pPr>
      <w:r w:rsidRPr="009D3999">
        <w:rPr>
          <w:lang w:eastAsia="en-AU"/>
        </w:rPr>
        <w:t>What migratory species listed under international agreements (Bonn Convention, CAMBA, JAMBA or ROKAMBA) benefited from Commonwealth environmental water?</w:t>
      </w:r>
    </w:p>
    <w:p w14:paraId="39120628" w14:textId="77777777" w:rsidR="004C2F64" w:rsidRPr="004C2F64" w:rsidRDefault="004C2F64" w:rsidP="004C2F64">
      <w:pPr>
        <w:spacing w:after="160" w:line="276" w:lineRule="auto"/>
        <w:ind w:left="924" w:hanging="357"/>
        <w:contextualSpacing/>
        <w:rPr>
          <w:rFonts w:ascii="Calibri" w:eastAsia="Times New Roman" w:hAnsi="Calibri" w:cs="Arial"/>
          <w:color w:val="000000"/>
          <w:kern w:val="28"/>
          <w:sz w:val="22"/>
          <w:szCs w:val="22"/>
          <w:lang w:eastAsia="en-US"/>
        </w:rPr>
      </w:pPr>
      <w:r w:rsidRPr="004C2F64">
        <w:rPr>
          <w:rFonts w:ascii="Calibri" w:eastAsia="Times New Roman" w:hAnsi="Calibri" w:cs="Arial"/>
          <w:color w:val="000000"/>
          <w:kern w:val="28"/>
          <w:sz w:val="22"/>
          <w:szCs w:val="22"/>
          <w:lang w:eastAsia="en-US"/>
        </w:rPr>
        <w:br w:type="page"/>
      </w:r>
    </w:p>
    <w:p w14:paraId="709E89BA" w14:textId="77777777" w:rsidR="004C2F64" w:rsidRPr="004C2F64" w:rsidRDefault="004C2F64" w:rsidP="004C2F64">
      <w:pPr>
        <w:spacing w:before="160" w:after="160" w:line="276" w:lineRule="auto"/>
        <w:rPr>
          <w:rFonts w:ascii="Calibri" w:eastAsia="Times New Roman" w:hAnsi="Calibri"/>
          <w:bCs/>
          <w:color w:val="000000"/>
          <w:kern w:val="28"/>
          <w:sz w:val="22"/>
          <w:lang w:eastAsia="en-US"/>
        </w:rPr>
      </w:pPr>
      <w:r w:rsidRPr="004C2F64">
        <w:rPr>
          <w:rFonts w:ascii="Calibri" w:eastAsia="Times New Roman" w:hAnsi="Calibri"/>
          <w:color w:val="000000"/>
          <w:kern w:val="28"/>
          <w:sz w:val="22"/>
          <w:lang w:eastAsia="en-US"/>
        </w:rPr>
        <w:lastRenderedPageBreak/>
        <w:t xml:space="preserve">The analysis will examine changes in species metrics and community composition in response to watering actions to develop lists of species having benefited from Commonwealth environmental water. The species lists for individual Selected Areas and years will be aggregated to provide a list of the species that were protected or restored by Commonwealth environmental water across the Basin. </w:t>
      </w:r>
      <w:bookmarkStart w:id="11" w:name="_Toc275585526"/>
    </w:p>
    <w:p w14:paraId="0D1694AB" w14:textId="77777777" w:rsidR="004C2F64" w:rsidRPr="004C2F64" w:rsidRDefault="004C2F64" w:rsidP="004C2F64">
      <w:pPr>
        <w:keepNext/>
        <w:keepLines/>
        <w:numPr>
          <w:ilvl w:val="0"/>
          <w:numId w:val="9"/>
        </w:numPr>
        <w:spacing w:before="240" w:after="160"/>
        <w:ind w:left="851" w:hanging="851"/>
        <w:outlineLvl w:val="0"/>
        <w:rPr>
          <w:rFonts w:ascii="Calibri" w:eastAsia="Times New Roman" w:hAnsi="Calibri"/>
          <w:b/>
          <w:bCs/>
          <w:kern w:val="28"/>
          <w:sz w:val="32"/>
          <w:szCs w:val="28"/>
          <w:lang w:eastAsia="en-US"/>
        </w:rPr>
      </w:pPr>
      <w:bookmarkStart w:id="12" w:name="_Toc530155726"/>
      <w:r w:rsidRPr="004C2F64">
        <w:rPr>
          <w:rFonts w:ascii="Calibri" w:eastAsia="Times New Roman" w:hAnsi="Calibri"/>
          <w:b/>
          <w:bCs/>
          <w:kern w:val="28"/>
          <w:sz w:val="32"/>
          <w:szCs w:val="28"/>
          <w:lang w:eastAsia="en-US"/>
        </w:rPr>
        <w:t>How</w:t>
      </w:r>
      <w:bookmarkEnd w:id="11"/>
      <w:r w:rsidRPr="004C2F64">
        <w:rPr>
          <w:rFonts w:ascii="Calibri" w:eastAsia="Times New Roman" w:hAnsi="Calibri"/>
          <w:b/>
          <w:bCs/>
          <w:kern w:val="28"/>
          <w:sz w:val="32"/>
          <w:szCs w:val="28"/>
          <w:lang w:eastAsia="en-US"/>
        </w:rPr>
        <w:t>?</w:t>
      </w:r>
      <w:bookmarkEnd w:id="12"/>
    </w:p>
    <w:p w14:paraId="4D29B48A" w14:textId="77777777" w:rsidR="004C2F64" w:rsidRPr="004C2F64" w:rsidRDefault="004C2F64" w:rsidP="004C2F64">
      <w:pPr>
        <w:rPr>
          <w:rFonts w:ascii="Calibri" w:eastAsia="Times New Roman" w:hAnsi="Calibri"/>
          <w:sz w:val="22"/>
          <w:szCs w:val="24"/>
          <w:lang w:eastAsia="en-US"/>
        </w:rPr>
      </w:pPr>
      <w:r w:rsidRPr="004C2F64">
        <w:rPr>
          <w:rFonts w:ascii="Calibri" w:eastAsia="Times New Roman" w:hAnsi="Calibri"/>
          <w:sz w:val="22"/>
          <w:szCs w:val="24"/>
          <w:lang w:eastAsia="en-US"/>
        </w:rPr>
        <w:t>The main output of the Biodiversity evaluation is an aggregated list of species and communities that potentially benefited from Commonwealth environmental water each year. This list has been derived from a number of sources, including: other Basin Matter reports, Selected Area reports, and other monitoring programs (external to LTIM).</w:t>
      </w:r>
    </w:p>
    <w:p w14:paraId="53FFE5FA" w14:textId="547FF066" w:rsidR="004C2F64" w:rsidRPr="004C2F64" w:rsidRDefault="004C2F64" w:rsidP="004C2F64">
      <w:pPr>
        <w:spacing w:after="60"/>
        <w:rPr>
          <w:rFonts w:ascii="Calibri" w:eastAsia="Times New Roman" w:hAnsi="Calibri"/>
          <w:sz w:val="22"/>
          <w:szCs w:val="24"/>
          <w:lang w:eastAsia="en-US"/>
        </w:rPr>
      </w:pPr>
      <w:r w:rsidRPr="004C2F64">
        <w:rPr>
          <w:rFonts w:ascii="Calibri" w:eastAsia="Times New Roman" w:hAnsi="Calibri"/>
          <w:sz w:val="22"/>
          <w:szCs w:val="24"/>
          <w:lang w:eastAsia="en-US"/>
        </w:rPr>
        <w:t>Determining if a species or community benefited from Commonwealth environmental water is not straightforward. The presence of a species at a site that received Commonwealth environmental water does not necessarily indicate that the species benefited, nor does it provide any indication of the temporal or spatial scale over which that species may have benefited. The Biodiversity Basin Matter (formerly termed “generic diversity”) undertakes a qualitative evaluation of expected outcomes of watering actions undertaken by CEWO. The approach uses information from different sources to identify species that potentially benefited from Commonwealth environmental water. The sources of information include (</w:t>
      </w:r>
      <w:r w:rsidRPr="004C2F64">
        <w:rPr>
          <w:rFonts w:ascii="Calibri" w:eastAsia="Times New Roman" w:hAnsi="Calibri"/>
          <w:sz w:val="22"/>
          <w:szCs w:val="24"/>
          <w:lang w:eastAsia="en-US"/>
        </w:rPr>
        <w:fldChar w:fldCharType="begin"/>
      </w:r>
      <w:r w:rsidRPr="004C2F64">
        <w:rPr>
          <w:rFonts w:ascii="Calibri" w:eastAsia="Times New Roman" w:hAnsi="Calibri"/>
          <w:sz w:val="22"/>
          <w:szCs w:val="24"/>
          <w:lang w:eastAsia="en-US"/>
        </w:rPr>
        <w:instrText xml:space="preserve"> REF _Ref336075796 \h </w:instrText>
      </w:r>
      <w:r w:rsidRPr="004C2F64">
        <w:rPr>
          <w:rFonts w:ascii="Calibri" w:eastAsia="Times New Roman" w:hAnsi="Calibri"/>
          <w:sz w:val="22"/>
          <w:szCs w:val="24"/>
          <w:lang w:eastAsia="en-US"/>
        </w:rPr>
      </w:r>
      <w:r w:rsidRPr="004C2F64">
        <w:rPr>
          <w:rFonts w:ascii="Calibri" w:eastAsia="Times New Roman" w:hAnsi="Calibri"/>
          <w:sz w:val="22"/>
          <w:szCs w:val="24"/>
          <w:lang w:eastAsia="en-US"/>
        </w:rPr>
        <w:fldChar w:fldCharType="separate"/>
      </w:r>
      <w:r w:rsidR="00AC1FE1" w:rsidRPr="004C2F64">
        <w:rPr>
          <w:rFonts w:ascii="Calibri" w:eastAsia="Times New Roman" w:hAnsi="Calibri"/>
          <w:b/>
          <w:szCs w:val="24"/>
          <w:lang w:eastAsia="en-US"/>
        </w:rPr>
        <w:t xml:space="preserve">Figure </w:t>
      </w:r>
      <w:r w:rsidR="00AC1FE1">
        <w:rPr>
          <w:rFonts w:ascii="Calibri" w:eastAsia="Times New Roman" w:hAnsi="Calibri"/>
          <w:b/>
          <w:noProof/>
          <w:szCs w:val="24"/>
          <w:lang w:eastAsia="en-US"/>
        </w:rPr>
        <w:t>1</w:t>
      </w:r>
      <w:r w:rsidRPr="004C2F64">
        <w:rPr>
          <w:rFonts w:ascii="Calibri" w:eastAsia="Times New Roman" w:hAnsi="Calibri"/>
          <w:sz w:val="22"/>
          <w:szCs w:val="24"/>
          <w:lang w:eastAsia="en-US"/>
        </w:rPr>
        <w:fldChar w:fldCharType="end"/>
      </w:r>
      <w:r w:rsidRPr="004C2F64">
        <w:rPr>
          <w:rFonts w:ascii="Calibri" w:eastAsia="Times New Roman" w:hAnsi="Calibri"/>
          <w:sz w:val="22"/>
          <w:szCs w:val="24"/>
          <w:lang w:eastAsia="en-US"/>
        </w:rPr>
        <w:t>):</w:t>
      </w:r>
    </w:p>
    <w:p w14:paraId="1B268B7A" w14:textId="77777777" w:rsidR="004C2F64" w:rsidRPr="004C2F64" w:rsidRDefault="004C2F64" w:rsidP="004C2F64">
      <w:pPr>
        <w:numPr>
          <w:ilvl w:val="0"/>
          <w:numId w:val="15"/>
        </w:numPr>
        <w:tabs>
          <w:tab w:val="left" w:pos="360"/>
        </w:tabs>
        <w:ind w:left="360"/>
        <w:contextualSpacing/>
        <w:rPr>
          <w:rFonts w:ascii="Calibri" w:eastAsia="Times New Roman" w:hAnsi="Calibri"/>
          <w:sz w:val="22"/>
          <w:szCs w:val="24"/>
          <w:lang w:eastAsia="en-US"/>
        </w:rPr>
      </w:pPr>
      <w:r w:rsidRPr="004C2F64">
        <w:rPr>
          <w:rFonts w:ascii="Calibri" w:eastAsia="Times New Roman" w:hAnsi="Calibri"/>
          <w:sz w:val="22"/>
          <w:szCs w:val="24"/>
          <w:lang w:eastAsia="en-US"/>
        </w:rPr>
        <w:t>evaluations from other Basin Matters (Vegetation, Fish, Ecosystem Diversity)</w:t>
      </w:r>
    </w:p>
    <w:p w14:paraId="30C19120" w14:textId="77777777" w:rsidR="004C2F64" w:rsidRPr="004C2F64" w:rsidRDefault="004C2F64" w:rsidP="004C2F64">
      <w:pPr>
        <w:numPr>
          <w:ilvl w:val="0"/>
          <w:numId w:val="15"/>
        </w:numPr>
        <w:tabs>
          <w:tab w:val="left" w:pos="360"/>
        </w:tabs>
        <w:ind w:left="360"/>
        <w:contextualSpacing/>
        <w:rPr>
          <w:rFonts w:ascii="Calibri" w:eastAsia="Times New Roman" w:hAnsi="Calibri"/>
          <w:sz w:val="22"/>
          <w:szCs w:val="24"/>
          <w:lang w:eastAsia="en-US"/>
        </w:rPr>
      </w:pPr>
      <w:r w:rsidRPr="004C2F64">
        <w:rPr>
          <w:rFonts w:ascii="Calibri" w:eastAsia="Times New Roman" w:hAnsi="Calibri"/>
          <w:sz w:val="22"/>
          <w:szCs w:val="24"/>
          <w:lang w:eastAsia="en-US"/>
        </w:rPr>
        <w:t>monitoring at Selected Areas</w:t>
      </w:r>
    </w:p>
    <w:p w14:paraId="0CE94F3F" w14:textId="77777777" w:rsidR="004C2F64" w:rsidRPr="004C2F64" w:rsidRDefault="004C2F64" w:rsidP="004C2F64">
      <w:pPr>
        <w:numPr>
          <w:ilvl w:val="0"/>
          <w:numId w:val="15"/>
        </w:numPr>
        <w:tabs>
          <w:tab w:val="left" w:pos="360"/>
        </w:tabs>
        <w:ind w:left="360"/>
        <w:contextualSpacing/>
        <w:rPr>
          <w:rFonts w:ascii="Calibri" w:eastAsia="Times New Roman" w:hAnsi="Calibri"/>
          <w:sz w:val="22"/>
          <w:szCs w:val="24"/>
          <w:lang w:eastAsia="en-US"/>
        </w:rPr>
      </w:pPr>
      <w:r w:rsidRPr="004C2F64">
        <w:rPr>
          <w:rFonts w:ascii="Calibri" w:eastAsia="Times New Roman" w:hAnsi="Calibri"/>
          <w:sz w:val="22"/>
          <w:szCs w:val="24"/>
          <w:lang w:eastAsia="en-US"/>
        </w:rPr>
        <w:t>monitoring/observations at sites watered but not monitored as part of LTIM</w:t>
      </w:r>
    </w:p>
    <w:p w14:paraId="6D91D676" w14:textId="77777777" w:rsidR="004C2F64" w:rsidRPr="004C2F64" w:rsidRDefault="004C2F64" w:rsidP="004C2F64">
      <w:pPr>
        <w:numPr>
          <w:ilvl w:val="0"/>
          <w:numId w:val="15"/>
        </w:numPr>
        <w:tabs>
          <w:tab w:val="left" w:pos="360"/>
        </w:tabs>
        <w:ind w:left="360"/>
        <w:contextualSpacing/>
        <w:rPr>
          <w:rFonts w:ascii="Calibri" w:eastAsia="Times New Roman" w:hAnsi="Calibri"/>
          <w:sz w:val="22"/>
          <w:szCs w:val="24"/>
          <w:lang w:eastAsia="en-US"/>
        </w:rPr>
      </w:pPr>
      <w:proofErr w:type="gramStart"/>
      <w:r w:rsidRPr="004C2F64">
        <w:rPr>
          <w:rFonts w:ascii="Calibri" w:eastAsia="Times New Roman" w:hAnsi="Calibri"/>
          <w:sz w:val="22"/>
          <w:szCs w:val="24"/>
          <w:lang w:eastAsia="en-US"/>
        </w:rPr>
        <w:t>a</w:t>
      </w:r>
      <w:proofErr w:type="gramEnd"/>
      <w:r w:rsidRPr="004C2F64">
        <w:rPr>
          <w:rFonts w:ascii="Calibri" w:eastAsia="Times New Roman" w:hAnsi="Calibri"/>
          <w:sz w:val="22"/>
          <w:szCs w:val="24"/>
          <w:lang w:eastAsia="en-US"/>
        </w:rPr>
        <w:t xml:space="preserve"> case study approach for wetlands that are nationally or internationally recognised as important (i.e. listed on the Directory of Important Wetlands in Australia (DIWA) or under the </w:t>
      </w:r>
      <w:proofErr w:type="spellStart"/>
      <w:r w:rsidRPr="004C2F64">
        <w:rPr>
          <w:rFonts w:ascii="Calibri" w:eastAsia="Times New Roman" w:hAnsi="Calibri"/>
          <w:sz w:val="22"/>
          <w:szCs w:val="24"/>
          <w:lang w:eastAsia="en-US"/>
        </w:rPr>
        <w:t>Ramsar</w:t>
      </w:r>
      <w:proofErr w:type="spellEnd"/>
      <w:r w:rsidRPr="004C2F64">
        <w:rPr>
          <w:rFonts w:ascii="Calibri" w:eastAsia="Times New Roman" w:hAnsi="Calibri"/>
          <w:sz w:val="22"/>
          <w:szCs w:val="24"/>
          <w:lang w:eastAsia="en-US"/>
        </w:rPr>
        <w:t xml:space="preserve"> Convention).</w:t>
      </w:r>
    </w:p>
    <w:p w14:paraId="0EDD5E03" w14:textId="3E4A2D70" w:rsidR="004C2F64" w:rsidRPr="004C2F64" w:rsidRDefault="004C2F64" w:rsidP="004C2F64">
      <w:pPr>
        <w:rPr>
          <w:rFonts w:ascii="Calibri" w:eastAsia="Times New Roman" w:hAnsi="Calibri"/>
          <w:sz w:val="22"/>
          <w:szCs w:val="24"/>
          <w:lang w:eastAsia="en-US"/>
        </w:rPr>
      </w:pPr>
      <w:r w:rsidRPr="009D3999">
        <w:rPr>
          <w:noProof/>
          <w:lang w:eastAsia="en-AU"/>
        </w:rPr>
        <w:drawing>
          <wp:inline distT="0" distB="0" distL="0" distR="0" wp14:anchorId="3EBDFBC0" wp14:editId="196FDB54">
            <wp:extent cx="5474335" cy="330206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7324" cy="3303869"/>
                    </a:xfrm>
                    <a:prstGeom prst="rect">
                      <a:avLst/>
                    </a:prstGeom>
                  </pic:spPr>
                </pic:pic>
              </a:graphicData>
            </a:graphic>
          </wp:inline>
        </w:drawing>
      </w:r>
    </w:p>
    <w:p w14:paraId="5D6C575B" w14:textId="704D5344" w:rsidR="004C2F64" w:rsidRPr="004C2F64" w:rsidRDefault="004C2F64" w:rsidP="004C2F64">
      <w:pPr>
        <w:rPr>
          <w:rFonts w:ascii="Calibri" w:eastAsia="Times New Roman" w:hAnsi="Calibri"/>
          <w:szCs w:val="24"/>
          <w:lang w:eastAsia="en-US"/>
        </w:rPr>
      </w:pPr>
      <w:bookmarkStart w:id="13" w:name="_Ref336075796"/>
      <w:bookmarkStart w:id="14" w:name="_Toc521324945"/>
      <w:r w:rsidRPr="004C2F64">
        <w:rPr>
          <w:rFonts w:ascii="Calibri" w:eastAsia="Times New Roman" w:hAnsi="Calibri"/>
          <w:b/>
          <w:szCs w:val="24"/>
          <w:lang w:eastAsia="en-US"/>
        </w:rPr>
        <w:t xml:space="preserve">Figure </w:t>
      </w:r>
      <w:r w:rsidRPr="004C2F64">
        <w:rPr>
          <w:rFonts w:ascii="Calibri" w:eastAsia="Times New Roman" w:hAnsi="Calibri"/>
          <w:b/>
          <w:noProof/>
          <w:szCs w:val="24"/>
          <w:lang w:eastAsia="en-US"/>
        </w:rPr>
        <w:fldChar w:fldCharType="begin"/>
      </w:r>
      <w:r w:rsidRPr="004C2F64">
        <w:rPr>
          <w:rFonts w:ascii="Calibri" w:eastAsia="Times New Roman" w:hAnsi="Calibri"/>
          <w:b/>
          <w:noProof/>
          <w:szCs w:val="24"/>
          <w:lang w:eastAsia="en-US"/>
        </w:rPr>
        <w:instrText xml:space="preserve"> SEQ Figure \* ARABIC </w:instrText>
      </w:r>
      <w:r w:rsidRPr="004C2F64">
        <w:rPr>
          <w:rFonts w:ascii="Calibri" w:eastAsia="Times New Roman" w:hAnsi="Calibri"/>
          <w:b/>
          <w:noProof/>
          <w:szCs w:val="24"/>
          <w:lang w:eastAsia="en-US"/>
        </w:rPr>
        <w:fldChar w:fldCharType="separate"/>
      </w:r>
      <w:r w:rsidR="00AC1FE1">
        <w:rPr>
          <w:rFonts w:ascii="Calibri" w:eastAsia="Times New Roman" w:hAnsi="Calibri"/>
          <w:b/>
          <w:noProof/>
          <w:szCs w:val="24"/>
          <w:lang w:eastAsia="en-US"/>
        </w:rPr>
        <w:t>1</w:t>
      </w:r>
      <w:r w:rsidRPr="004C2F64">
        <w:rPr>
          <w:rFonts w:ascii="Calibri" w:eastAsia="Times New Roman" w:hAnsi="Calibri"/>
          <w:b/>
          <w:noProof/>
          <w:szCs w:val="24"/>
          <w:lang w:eastAsia="en-US"/>
        </w:rPr>
        <w:fldChar w:fldCharType="end"/>
      </w:r>
      <w:bookmarkEnd w:id="13"/>
      <w:r w:rsidRPr="004C2F64">
        <w:rPr>
          <w:rFonts w:ascii="Calibri" w:eastAsia="Times New Roman" w:hAnsi="Calibri"/>
          <w:b/>
          <w:szCs w:val="24"/>
          <w:lang w:eastAsia="en-US"/>
        </w:rPr>
        <w:t xml:space="preserve">. </w:t>
      </w:r>
      <w:r w:rsidRPr="004C2F64">
        <w:rPr>
          <w:rFonts w:ascii="Calibri" w:eastAsia="Times New Roman" w:hAnsi="Calibri"/>
          <w:szCs w:val="24"/>
          <w:lang w:eastAsia="en-US"/>
        </w:rPr>
        <w:t>Basin evaluation of Biodiversity.</w:t>
      </w:r>
      <w:bookmarkEnd w:id="14"/>
      <w:r w:rsidRPr="004C2F64">
        <w:rPr>
          <w:rFonts w:ascii="Calibri" w:eastAsia="Times New Roman" w:hAnsi="Calibri"/>
          <w:szCs w:val="24"/>
          <w:lang w:eastAsia="en-US"/>
        </w:rPr>
        <w:t xml:space="preserve"> </w:t>
      </w:r>
    </w:p>
    <w:p w14:paraId="206015BA" w14:textId="77777777" w:rsidR="004C2F64" w:rsidRPr="004C2F64" w:rsidRDefault="004C2F64" w:rsidP="004C2F64">
      <w:pPr>
        <w:rPr>
          <w:rFonts w:ascii="Calibri" w:eastAsia="Times New Roman" w:hAnsi="Calibri"/>
          <w:sz w:val="22"/>
          <w:szCs w:val="24"/>
          <w:lang w:eastAsia="en-US"/>
        </w:rPr>
      </w:pPr>
      <w:r w:rsidRPr="004C2F64">
        <w:rPr>
          <w:rFonts w:ascii="Calibri" w:eastAsia="Times New Roman" w:hAnsi="Calibri"/>
          <w:sz w:val="22"/>
          <w:szCs w:val="24"/>
          <w:lang w:eastAsia="en-US"/>
        </w:rPr>
        <w:t xml:space="preserve">General information about a species life-history or habitat requirements and broad assumptions about the hydraulic outcomes are used to infer benefit. Increased confidence in the assessment that a species or community benefited from environmental water is assigned as a result of repeated </w:t>
      </w:r>
      <w:r w:rsidRPr="004C2F64">
        <w:rPr>
          <w:rFonts w:ascii="Calibri" w:eastAsia="Times New Roman" w:hAnsi="Calibri"/>
          <w:sz w:val="22"/>
          <w:szCs w:val="24"/>
          <w:lang w:eastAsia="en-US"/>
        </w:rPr>
        <w:lastRenderedPageBreak/>
        <w:t>observations over space and time. That is, as a species or community is observed at sites that receive Commonwealth environmental water at different locations in the Basin and in multiple years, confidence that the species benefited from environmental water is increased.</w:t>
      </w:r>
    </w:p>
    <w:p w14:paraId="28A8E962" w14:textId="589D68A5" w:rsidR="004C2F64" w:rsidRPr="004C2F64" w:rsidRDefault="004C2F64" w:rsidP="004C2F64">
      <w:pPr>
        <w:rPr>
          <w:rFonts w:ascii="Calibri" w:eastAsia="Times New Roman" w:hAnsi="Calibri"/>
          <w:sz w:val="22"/>
          <w:szCs w:val="24"/>
          <w:lang w:eastAsia="en-US"/>
        </w:rPr>
      </w:pPr>
      <w:r w:rsidRPr="004C2F64">
        <w:rPr>
          <w:rFonts w:ascii="Calibri" w:eastAsia="Times New Roman" w:hAnsi="Calibri"/>
          <w:sz w:val="22"/>
          <w:szCs w:val="24"/>
          <w:lang w:eastAsia="en-US"/>
        </w:rPr>
        <w:t xml:space="preserve">It was initially envisioned that we would be able to take information from the Ecosystem Diversity Basin Matter about the types and extent of wetlands that received environmental water together with hydrological outputs about timing, extent and duration of inundation to predict outcomes at a variety of aquatic ecosystems that received Commonwealth environmental water but were not monitored. This has proven to be difficult due to very little available information about the hydrological regimes and ecology at unmonitored sites. At this stage, therefore, this analysis is limited to a smaller number of locations, where we have better information about the number of plants and animal species that are likely to occur and therefore potential benefit arising from Commonwealth environmental water. These important wetland sites (DIWA and </w:t>
      </w:r>
      <w:proofErr w:type="spellStart"/>
      <w:r w:rsidRPr="004C2F64">
        <w:rPr>
          <w:rFonts w:ascii="Calibri" w:eastAsia="Times New Roman" w:hAnsi="Calibri"/>
          <w:sz w:val="22"/>
          <w:szCs w:val="24"/>
          <w:lang w:eastAsia="en-US"/>
        </w:rPr>
        <w:t>Ramsar</w:t>
      </w:r>
      <w:proofErr w:type="spellEnd"/>
      <w:r w:rsidRPr="004C2F64">
        <w:rPr>
          <w:rFonts w:ascii="Calibri" w:eastAsia="Times New Roman" w:hAnsi="Calibri"/>
          <w:sz w:val="22"/>
          <w:szCs w:val="24"/>
          <w:lang w:eastAsia="en-US"/>
        </w:rPr>
        <w:t xml:space="preserve"> Sites) were listed for their high biodiversity values and the effects of Commonwealth environmental water on diversity at these locations provides a good representation of the effects Basin wide.</w:t>
      </w:r>
    </w:p>
    <w:p w14:paraId="730E188F" w14:textId="77777777" w:rsidR="004C2F64" w:rsidRPr="004C2F64" w:rsidRDefault="004C2F64" w:rsidP="004C2F64">
      <w:pPr>
        <w:rPr>
          <w:rFonts w:asciiTheme="minorHAnsi" w:hAnsiTheme="minorHAnsi" w:cstheme="minorHAnsi"/>
          <w:b/>
          <w:sz w:val="24"/>
          <w:szCs w:val="24"/>
        </w:rPr>
      </w:pPr>
      <w:r w:rsidRPr="004C2F64">
        <w:rPr>
          <w:rFonts w:asciiTheme="minorHAnsi" w:hAnsiTheme="minorHAnsi" w:cstheme="minorHAnsi"/>
          <w:b/>
          <w:sz w:val="24"/>
          <w:szCs w:val="24"/>
        </w:rPr>
        <w:t>Evaluation approach for vegetation, fish and ecosystem diversity</w:t>
      </w:r>
    </w:p>
    <w:p w14:paraId="7ED11C7B"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 xml:space="preserve">Vegetation, fish and ecosystem diversity are covered by other Basin matter evaluations. To avoid duplication of effort, the outputs of the evaluation of these matters will be synthesised with respect to Commonwealth environmental water effects on diversity, threatened species and nationally and internationally important wetlands. </w:t>
      </w:r>
    </w:p>
    <w:p w14:paraId="373EA8AC" w14:textId="77777777" w:rsidR="004C2F64" w:rsidRPr="004C2F64" w:rsidRDefault="004C2F64" w:rsidP="004C2F64">
      <w:pPr>
        <w:rPr>
          <w:rFonts w:asciiTheme="minorHAnsi" w:hAnsiTheme="minorHAnsi" w:cstheme="minorHAnsi"/>
          <w:b/>
          <w:sz w:val="24"/>
          <w:szCs w:val="24"/>
        </w:rPr>
      </w:pPr>
      <w:r w:rsidRPr="004C2F64">
        <w:rPr>
          <w:rFonts w:asciiTheme="minorHAnsi" w:hAnsiTheme="minorHAnsi" w:cstheme="minorHAnsi"/>
          <w:b/>
          <w:sz w:val="24"/>
          <w:szCs w:val="24"/>
        </w:rPr>
        <w:t>Outputs</w:t>
      </w:r>
    </w:p>
    <w:p w14:paraId="79D9B06A" w14:textId="77777777" w:rsidR="004C2F64" w:rsidRPr="004C2F64" w:rsidRDefault="004C2F64" w:rsidP="004C2F64">
      <w:pPr>
        <w:spacing w:after="160" w:line="276" w:lineRule="auto"/>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The outputs of the two approaches described above will be combined to develop an annotated list of species that benefited from Commonwealth environmental water, both in terms of diversity of all species, and in terms of threatened species and communities.</w:t>
      </w:r>
    </w:p>
    <w:p w14:paraId="2F51BBDC" w14:textId="77777777" w:rsidR="004C2F64" w:rsidRPr="004C2F64" w:rsidRDefault="004C2F64" w:rsidP="004C2F64">
      <w:pPr>
        <w:keepNext/>
        <w:keepLines/>
        <w:numPr>
          <w:ilvl w:val="0"/>
          <w:numId w:val="9"/>
        </w:numPr>
        <w:spacing w:before="240" w:after="160"/>
        <w:ind w:left="851" w:hanging="851"/>
        <w:outlineLvl w:val="0"/>
        <w:rPr>
          <w:rFonts w:ascii="Calibri" w:eastAsia="Times New Roman" w:hAnsi="Calibri"/>
          <w:b/>
          <w:bCs/>
          <w:kern w:val="28"/>
          <w:sz w:val="32"/>
          <w:szCs w:val="28"/>
          <w:lang w:eastAsia="en-US"/>
        </w:rPr>
      </w:pPr>
      <w:bookmarkStart w:id="15" w:name="_Toc530155727"/>
      <w:r w:rsidRPr="004C2F64">
        <w:rPr>
          <w:rFonts w:ascii="Calibri" w:eastAsia="Times New Roman" w:hAnsi="Calibri"/>
          <w:b/>
          <w:bCs/>
          <w:kern w:val="28"/>
          <w:sz w:val="32"/>
          <w:szCs w:val="28"/>
          <w:lang w:eastAsia="en-US"/>
        </w:rPr>
        <w:t>Risks</w:t>
      </w:r>
      <w:bookmarkEnd w:id="15"/>
    </w:p>
    <w:p w14:paraId="6DA0A961"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There is a risk that significant outcomes may not be recorded due to:</w:t>
      </w:r>
    </w:p>
    <w:p w14:paraId="478EF2DC" w14:textId="77777777" w:rsidR="004C2F64" w:rsidRPr="004C2F64" w:rsidRDefault="004C2F64" w:rsidP="004C2F64">
      <w:pPr>
        <w:spacing w:after="160"/>
        <w:ind w:left="720" w:hanging="360"/>
        <w:contextualSpacing/>
        <w:rPr>
          <w:rFonts w:ascii="Calibri" w:eastAsia="Times New Roman" w:hAnsi="Calibri" w:cs="Arial"/>
          <w:color w:val="000000"/>
          <w:kern w:val="28"/>
          <w:sz w:val="22"/>
          <w:szCs w:val="22"/>
          <w:lang w:eastAsia="en-US"/>
        </w:rPr>
      </w:pPr>
      <w:proofErr w:type="gramStart"/>
      <w:r w:rsidRPr="004C2F64">
        <w:rPr>
          <w:rFonts w:ascii="Calibri" w:eastAsia="Times New Roman" w:hAnsi="Calibri" w:cs="Arial"/>
          <w:color w:val="000000"/>
          <w:kern w:val="28"/>
          <w:sz w:val="22"/>
          <w:szCs w:val="22"/>
          <w:lang w:eastAsia="en-US"/>
        </w:rPr>
        <w:t>monitoring</w:t>
      </w:r>
      <w:proofErr w:type="gramEnd"/>
      <w:r w:rsidRPr="004C2F64">
        <w:rPr>
          <w:rFonts w:ascii="Calibri" w:eastAsia="Times New Roman" w:hAnsi="Calibri" w:cs="Arial"/>
          <w:color w:val="000000"/>
          <w:kern w:val="28"/>
          <w:sz w:val="22"/>
          <w:szCs w:val="22"/>
          <w:lang w:eastAsia="en-US"/>
        </w:rPr>
        <w:t xml:space="preserve"> being focussed on other faunal groups</w:t>
      </w:r>
    </w:p>
    <w:p w14:paraId="5207CF3E" w14:textId="77777777" w:rsidR="004C2F64" w:rsidRPr="004C2F64" w:rsidRDefault="004C2F64" w:rsidP="004C2F64">
      <w:pPr>
        <w:spacing w:after="160"/>
        <w:ind w:left="720" w:hanging="360"/>
        <w:contextualSpacing/>
        <w:rPr>
          <w:rFonts w:ascii="Calibri" w:eastAsia="Times New Roman" w:hAnsi="Calibri" w:cs="Arial"/>
          <w:color w:val="000000"/>
          <w:kern w:val="28"/>
          <w:sz w:val="22"/>
          <w:szCs w:val="22"/>
          <w:lang w:eastAsia="en-US"/>
        </w:rPr>
      </w:pPr>
      <w:proofErr w:type="gramStart"/>
      <w:r w:rsidRPr="004C2F64">
        <w:rPr>
          <w:rFonts w:ascii="Calibri" w:eastAsia="Times New Roman" w:hAnsi="Calibri" w:cs="Arial"/>
          <w:color w:val="000000"/>
          <w:kern w:val="28"/>
          <w:sz w:val="22"/>
          <w:szCs w:val="22"/>
          <w:lang w:eastAsia="en-US"/>
        </w:rPr>
        <w:t>the</w:t>
      </w:r>
      <w:proofErr w:type="gramEnd"/>
      <w:r w:rsidRPr="004C2F64">
        <w:rPr>
          <w:rFonts w:ascii="Calibri" w:eastAsia="Times New Roman" w:hAnsi="Calibri" w:cs="Arial"/>
          <w:color w:val="000000"/>
          <w:kern w:val="28"/>
          <w:sz w:val="22"/>
          <w:szCs w:val="22"/>
          <w:lang w:eastAsia="en-US"/>
        </w:rPr>
        <w:t xml:space="preserve"> species being rare and/or cryptic</w:t>
      </w:r>
    </w:p>
    <w:p w14:paraId="10A657E4" w14:textId="77777777" w:rsidR="004C2F64" w:rsidRPr="004C2F64" w:rsidRDefault="004C2F64" w:rsidP="004C2F64">
      <w:pPr>
        <w:spacing w:after="160"/>
        <w:ind w:left="720" w:hanging="360"/>
        <w:contextualSpacing/>
        <w:rPr>
          <w:rFonts w:ascii="Calibri" w:eastAsia="Times New Roman" w:hAnsi="Calibri" w:cs="Arial"/>
          <w:color w:val="000000"/>
          <w:kern w:val="28"/>
          <w:sz w:val="22"/>
          <w:szCs w:val="22"/>
          <w:lang w:eastAsia="en-US"/>
        </w:rPr>
      </w:pPr>
      <w:proofErr w:type="gramStart"/>
      <w:r w:rsidRPr="004C2F64">
        <w:rPr>
          <w:rFonts w:ascii="Calibri" w:eastAsia="Times New Roman" w:hAnsi="Calibri" w:cs="Arial"/>
          <w:color w:val="000000"/>
          <w:kern w:val="28"/>
          <w:sz w:val="22"/>
          <w:szCs w:val="22"/>
          <w:lang w:eastAsia="en-US"/>
        </w:rPr>
        <w:t>the</w:t>
      </w:r>
      <w:proofErr w:type="gramEnd"/>
      <w:r w:rsidRPr="004C2F64">
        <w:rPr>
          <w:rFonts w:ascii="Calibri" w:eastAsia="Times New Roman" w:hAnsi="Calibri" w:cs="Arial"/>
          <w:color w:val="000000"/>
          <w:kern w:val="28"/>
          <w:sz w:val="22"/>
          <w:szCs w:val="22"/>
          <w:lang w:eastAsia="en-US"/>
        </w:rPr>
        <w:t xml:space="preserve"> specific outcome (e.g. change in individual condition or distribution) not being included in the monitoring.</w:t>
      </w:r>
    </w:p>
    <w:p w14:paraId="58867B8D"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This is an inevitable risk in the design of any monitoring program and the evaluation will seek to reduce this risk through utilising multiple lines of evidence and conceptual models to support evaluation in the absence of dedicated monitoring information.</w:t>
      </w:r>
    </w:p>
    <w:p w14:paraId="3A3EB321"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There will be a higher level of uncertainty around defining the outcomes for watering actions due to the lack of predictive capacity that would support development of expected and without environmental water outcomes. This will affect the levels of confidence in reporting outcomes and will limit the opportunities for adaptive management, particularly in situations where water actions lead to relatively small changes in biodiversity.</w:t>
      </w:r>
    </w:p>
    <w:p w14:paraId="126AC9D7"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Given the diversity of species that may be included in this section, it is not anticipated that predictions of without environmental water outcomes will be based on quantitative models, rather they will rely on a combination of information from conceptual models or control situations (such as sites that did not receive environmental water). Over time, the information generated by the LTIM Project will be used to refine conceptual models and thereby improve their predictions.</w:t>
      </w:r>
      <w:r w:rsidRPr="004C2F64">
        <w:rPr>
          <w:rFonts w:ascii="Calibri" w:eastAsia="Times New Roman" w:hAnsi="Calibri"/>
          <w:color w:val="000000"/>
          <w:kern w:val="28"/>
          <w:sz w:val="22"/>
          <w:lang w:eastAsia="en-US"/>
        </w:rPr>
        <w:br w:type="page"/>
      </w:r>
    </w:p>
    <w:p w14:paraId="25CDF035"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bookmarkStart w:id="16" w:name="_Toc530155728"/>
      <w:r w:rsidRPr="004C2F64">
        <w:rPr>
          <w:rFonts w:ascii="Calibri" w:eastAsia="Times New Roman" w:hAnsi="Calibri"/>
          <w:b/>
          <w:bCs/>
          <w:kern w:val="28"/>
          <w:sz w:val="26"/>
          <w:szCs w:val="26"/>
          <w:lang w:eastAsia="en-US"/>
        </w:rPr>
        <w:lastRenderedPageBreak/>
        <w:t>References</w:t>
      </w:r>
      <w:bookmarkEnd w:id="16"/>
    </w:p>
    <w:p w14:paraId="6884F672"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eastAsia="en-US"/>
        </w:rPr>
        <w:fldChar w:fldCharType="begin"/>
      </w:r>
      <w:r w:rsidRPr="004C2F64">
        <w:rPr>
          <w:rFonts w:ascii="Calibri" w:eastAsia="Times New Roman" w:hAnsi="Calibri" w:cs="Arial"/>
          <w:color w:val="000000"/>
          <w:kern w:val="28"/>
          <w:sz w:val="22"/>
          <w:szCs w:val="22"/>
          <w:lang w:eastAsia="en-US"/>
        </w:rPr>
        <w:instrText xml:space="preserve"> ADDIN ZOTERO_BIBL {"custom":[]} CSL_BIBLIOGRAPHY </w:instrText>
      </w:r>
      <w:r w:rsidRPr="004C2F64">
        <w:rPr>
          <w:rFonts w:ascii="Calibri" w:eastAsia="Times New Roman" w:hAnsi="Calibri" w:cs="Arial"/>
          <w:color w:val="000000"/>
          <w:kern w:val="28"/>
          <w:sz w:val="22"/>
          <w:szCs w:val="22"/>
          <w:lang w:eastAsia="en-US"/>
        </w:rPr>
        <w:fldChar w:fldCharType="separate"/>
      </w:r>
      <w:r w:rsidRPr="004C2F64">
        <w:rPr>
          <w:rFonts w:ascii="Calibri" w:eastAsia="Times New Roman" w:hAnsi="Calibri" w:cs="Arial"/>
          <w:color w:val="000000"/>
          <w:kern w:val="28"/>
          <w:sz w:val="22"/>
          <w:szCs w:val="22"/>
          <w:lang w:val="en-US" w:eastAsia="en-US"/>
        </w:rPr>
        <w:t>Beesley L, Price A, King AJ, Gawne B, Nielsen, DL, Koehn JD, Meredith S, Vilizzi L, Hladyz S, Arthur Rylah Institute for Environmental Research, Murray-Darling Freshwater Research Centre, Australia, and National Water Commission (2009) Watering floodplain wetlands in the Murray-Darling Basin for native fish. National Water Commission, Canberra, ACT.</w:t>
      </w:r>
    </w:p>
    <w:p w14:paraId="4FEF6168"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Brandis K (2010) Colonial waterbird breeding in Australia: Wetlands, water requirements and environmental flows. University of NSW.</w:t>
      </w:r>
    </w:p>
    <w:p w14:paraId="2D78C57F"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 xml:space="preserve">Brock MA and Casanova MT (1997) Plant life at the edge of wetlands: ecological responses to wetting and drying patterns. </w:t>
      </w:r>
      <w:r w:rsidRPr="004C2F64">
        <w:rPr>
          <w:rFonts w:ascii="Calibri" w:eastAsia="Times New Roman" w:hAnsi="Calibri" w:cs="Arial"/>
          <w:i/>
          <w:iCs/>
          <w:color w:val="000000"/>
          <w:kern w:val="28"/>
          <w:sz w:val="22"/>
          <w:szCs w:val="22"/>
          <w:lang w:val="en-US" w:eastAsia="en-US"/>
        </w:rPr>
        <w:t>In</w:t>
      </w:r>
      <w:r w:rsidRPr="004C2F64">
        <w:rPr>
          <w:rFonts w:ascii="Calibri" w:eastAsia="Times New Roman" w:hAnsi="Calibri" w:cs="Arial"/>
          <w:color w:val="000000"/>
          <w:kern w:val="28"/>
          <w:sz w:val="22"/>
          <w:szCs w:val="22"/>
          <w:lang w:val="en-US" w:eastAsia="en-US"/>
        </w:rPr>
        <w:t xml:space="preserve"> Frontiers in Ecology: Building the Links. </w:t>
      </w:r>
      <w:r w:rsidRPr="004C2F64">
        <w:rPr>
          <w:rFonts w:ascii="Calibri" w:eastAsia="Times New Roman" w:hAnsi="Calibri" w:cs="Arial"/>
          <w:i/>
          <w:iCs/>
          <w:color w:val="000000"/>
          <w:kern w:val="28"/>
          <w:sz w:val="22"/>
          <w:szCs w:val="22"/>
          <w:lang w:val="en-US" w:eastAsia="en-US"/>
        </w:rPr>
        <w:t>Edited by</w:t>
      </w:r>
      <w:r w:rsidRPr="004C2F64">
        <w:rPr>
          <w:rFonts w:ascii="Calibri" w:eastAsia="Times New Roman" w:hAnsi="Calibri" w:cs="Arial"/>
          <w:color w:val="000000"/>
          <w:kern w:val="28"/>
          <w:sz w:val="22"/>
          <w:szCs w:val="22"/>
          <w:lang w:val="en-US" w:eastAsia="en-US"/>
        </w:rPr>
        <w:t xml:space="preserve"> N. Klomp and Lunt. Elsevier Science, Oxford. pp. 181–192.</w:t>
      </w:r>
    </w:p>
    <w:p w14:paraId="0D3D7680"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 xml:space="preserve">Leblanc M, Tweed S, Van Dijk A and Timbal B (2012) A review of historic and future hydrological changes in the Murray-Darling Basin. Global and Planetary Change </w:t>
      </w:r>
      <w:r w:rsidRPr="004C2F64">
        <w:rPr>
          <w:rFonts w:ascii="Calibri" w:eastAsia="Times New Roman" w:hAnsi="Calibri" w:cs="Arial"/>
          <w:b/>
          <w:bCs/>
          <w:color w:val="000000"/>
          <w:kern w:val="28"/>
          <w:sz w:val="22"/>
          <w:szCs w:val="22"/>
          <w:lang w:val="en-US" w:eastAsia="en-US"/>
        </w:rPr>
        <w:t>80–81</w:t>
      </w:r>
      <w:r w:rsidRPr="004C2F64">
        <w:rPr>
          <w:rFonts w:ascii="Calibri" w:eastAsia="Times New Roman" w:hAnsi="Calibri" w:cs="Arial"/>
          <w:color w:val="000000"/>
          <w:kern w:val="28"/>
          <w:sz w:val="22"/>
          <w:szCs w:val="22"/>
          <w:lang w:val="en-US" w:eastAsia="en-US"/>
        </w:rPr>
        <w:t>: 226–246.</w:t>
      </w:r>
    </w:p>
    <w:p w14:paraId="09F7CC6B"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Roberts J and Marston F (2011) Water regime for wetland and floodplain plants : a source book for the Murray-Darling Basin. National Water Commission, Canberra.</w:t>
      </w:r>
    </w:p>
    <w:p w14:paraId="0269D607"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Rogers K and Ralph TJ (2011) Floodplain Wetland Biota in the Murray-Darling Basin: Water and Habitat Requirements. CSIRO Publishing, Collingwood.</w:t>
      </w:r>
    </w:p>
    <w:p w14:paraId="31448404"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 xml:space="preserve">Young WJ, Schiller CB, Harris JH, Roberts J and Hillman TJ (2001) River flow, processes, habitats and river life. </w:t>
      </w:r>
      <w:r w:rsidRPr="004C2F64">
        <w:rPr>
          <w:rFonts w:ascii="Calibri" w:eastAsia="Times New Roman" w:hAnsi="Calibri" w:cs="Arial"/>
          <w:i/>
          <w:iCs/>
          <w:color w:val="000000"/>
          <w:kern w:val="28"/>
          <w:sz w:val="22"/>
          <w:szCs w:val="22"/>
          <w:lang w:val="en-US" w:eastAsia="en-US"/>
        </w:rPr>
        <w:t>In</w:t>
      </w:r>
      <w:r w:rsidRPr="004C2F64">
        <w:rPr>
          <w:rFonts w:ascii="Calibri" w:eastAsia="Times New Roman" w:hAnsi="Calibri" w:cs="Arial"/>
          <w:color w:val="000000"/>
          <w:kern w:val="28"/>
          <w:sz w:val="22"/>
          <w:szCs w:val="22"/>
          <w:lang w:val="en-US" w:eastAsia="en-US"/>
        </w:rPr>
        <w:t xml:space="preserve"> Rivers as Ecological Systems: The Murray-Darling Basin. </w:t>
      </w:r>
      <w:r w:rsidRPr="004C2F64">
        <w:rPr>
          <w:rFonts w:ascii="Calibri" w:eastAsia="Times New Roman" w:hAnsi="Calibri" w:cs="Arial"/>
          <w:i/>
          <w:iCs/>
          <w:color w:val="000000"/>
          <w:kern w:val="28"/>
          <w:sz w:val="22"/>
          <w:szCs w:val="22"/>
          <w:lang w:val="en-US" w:eastAsia="en-US"/>
        </w:rPr>
        <w:t>Edited by</w:t>
      </w:r>
      <w:r w:rsidRPr="004C2F64">
        <w:rPr>
          <w:rFonts w:ascii="Calibri" w:eastAsia="Times New Roman" w:hAnsi="Calibri" w:cs="Arial"/>
          <w:color w:val="000000"/>
          <w:kern w:val="28"/>
          <w:sz w:val="22"/>
          <w:szCs w:val="22"/>
          <w:lang w:val="en-US" w:eastAsia="en-US"/>
        </w:rPr>
        <w:t xml:space="preserve"> W.J. Young. Murray-Darling Basin Commission, Canberra. pp. 45–99.</w:t>
      </w:r>
    </w:p>
    <w:p w14:paraId="2C894D25" w14:textId="77777777" w:rsidR="004C2F64" w:rsidRPr="004C2F64" w:rsidRDefault="004C2F64" w:rsidP="004C2F64">
      <w:pPr>
        <w:spacing w:after="160"/>
        <w:ind w:left="357" w:hanging="357"/>
        <w:rPr>
          <w:rFonts w:ascii="Calibri" w:eastAsia="Times New Roman" w:hAnsi="Calibri" w:cs="Arial"/>
          <w:kern w:val="28"/>
          <w:sz w:val="22"/>
          <w:szCs w:val="22"/>
          <w:lang w:eastAsia="en-US"/>
        </w:rPr>
      </w:pPr>
      <w:r w:rsidRPr="004C2F64">
        <w:rPr>
          <w:rFonts w:ascii="Calibri" w:eastAsia="Times New Roman" w:hAnsi="Calibri" w:cs="Arial"/>
          <w:color w:val="000000"/>
          <w:kern w:val="28"/>
          <w:sz w:val="22"/>
          <w:szCs w:val="22"/>
          <w:lang w:eastAsia="en-US"/>
        </w:rPr>
        <w:fldChar w:fldCharType="end"/>
      </w:r>
    </w:p>
    <w:p w14:paraId="54287A6F" w14:textId="77777777" w:rsidR="00991E64" w:rsidRDefault="001362B0"/>
    <w:sectPr w:rsidR="00991E64" w:rsidSect="001C0A85">
      <w:footerReference w:type="default" r:id="rId23"/>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F7CF2" w14:textId="77777777" w:rsidR="00312CF0" w:rsidRDefault="004F3D90">
      <w:pPr>
        <w:spacing w:after="0"/>
      </w:pPr>
      <w:r>
        <w:separator/>
      </w:r>
    </w:p>
  </w:endnote>
  <w:endnote w:type="continuationSeparator" w:id="0">
    <w:p w14:paraId="443A52BF" w14:textId="77777777" w:rsidR="00312CF0" w:rsidRDefault="004F3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F137A" w14:textId="77777777" w:rsidR="00200DC1" w:rsidRDefault="00200DC1" w:rsidP="00FF1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AF6CD" w14:textId="77777777" w:rsidR="00200DC1" w:rsidRDefault="00200DC1" w:rsidP="00A436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ABDB" w14:textId="38286BA8" w:rsidR="00200DC1" w:rsidRDefault="00200DC1" w:rsidP="00D93DAE">
    <w:pPr>
      <w:pStyle w:val="Footer"/>
    </w:pPr>
    <w:r>
      <w:rPr>
        <w:noProof/>
        <w:lang w:eastAsia="en-AU"/>
      </w:rPr>
      <w:drawing>
        <wp:anchor distT="36576" distB="36576" distL="36576" distR="36576" simplePos="0" relativeHeight="251664384" behindDoc="0" locked="0" layoutInCell="1" allowOverlap="1" wp14:anchorId="47BDF68E" wp14:editId="5DA87C80">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1" allowOverlap="1" wp14:anchorId="23BD2F51" wp14:editId="2BCCF0B9">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sidR="00AC1FE1">
      <w:rPr>
        <w:noProof/>
      </w:rPr>
      <w:t>Biodiversity Foundation Report Revision Final</w:t>
    </w:r>
    <w:r>
      <w:rPr>
        <w:noProof/>
      </w:rPr>
      <w:fldChar w:fldCharType="end"/>
    </w:r>
    <w:r>
      <w:t xml:space="preserve"> </w:t>
    </w:r>
    <w:r>
      <w:tab/>
    </w:r>
    <w:r>
      <w:tab/>
    </w:r>
    <w:r>
      <w:fldChar w:fldCharType="begin"/>
    </w:r>
    <w:r>
      <w:instrText xml:space="preserve"> PAGE   \* MERGEFORMAT </w:instrText>
    </w:r>
    <w:r>
      <w:fldChar w:fldCharType="separate"/>
    </w:r>
    <w:r w:rsidR="001362B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2AC3" w14:textId="28A0AFB4" w:rsidR="00200DC1" w:rsidRDefault="00200DC1">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sidR="00AC1FE1">
      <w:rPr>
        <w:noProof/>
      </w:rPr>
      <w:t>Biodiversity Foundation Report Revision Final</w:t>
    </w:r>
    <w:r>
      <w:rPr>
        <w:noProof/>
      </w:rPr>
      <w:fldChar w:fldCharType="end"/>
    </w:r>
  </w:p>
  <w:p w14:paraId="6C5D83E2" w14:textId="77777777" w:rsidR="00200DC1" w:rsidRDefault="00200D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37A7" w14:textId="77777777" w:rsidR="004C2F64" w:rsidRDefault="004C2F64" w:rsidP="009A4D65">
    <w:pPr>
      <w:pStyle w:val="Footer"/>
    </w:pPr>
    <w:r>
      <w:t xml:space="preserve">Basin Matter - Aggregation of Selected Area biodiversity outcomes (generic diversity) foundation report </w:t>
    </w:r>
    <w:r>
      <w:tab/>
    </w:r>
    <w:r>
      <w:fldChar w:fldCharType="begin"/>
    </w:r>
    <w:r>
      <w:instrText xml:space="preserve"> PAGE   \* MERGEFORMAT </w:instrText>
    </w:r>
    <w:r>
      <w:fldChar w:fldCharType="separate"/>
    </w:r>
    <w:r w:rsidR="001362B0">
      <w:rPr>
        <w:noProof/>
      </w:rPr>
      <w:t>iv</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6017" w14:textId="77777777" w:rsidR="005F696C" w:rsidRDefault="00D52887" w:rsidP="009C5875">
    <w:pPr>
      <w:pStyle w:val="Footer"/>
      <w:jc w:val="right"/>
    </w:pPr>
    <w:r>
      <w:t>Basin Matter - Aggregation of Selected Area biodiversity outcomes (generic diversity) foundation report</w:t>
    </w:r>
    <w:r>
      <w:tab/>
    </w:r>
    <w:r>
      <w:fldChar w:fldCharType="begin"/>
    </w:r>
    <w:r>
      <w:instrText xml:space="preserve"> PAGE   \* MERGEFORMAT </w:instrText>
    </w:r>
    <w:r>
      <w:fldChar w:fldCharType="separate"/>
    </w:r>
    <w:r w:rsidR="001362B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B988E" w14:textId="77777777" w:rsidR="00312CF0" w:rsidRDefault="004F3D90">
      <w:pPr>
        <w:spacing w:after="0"/>
      </w:pPr>
      <w:r>
        <w:separator/>
      </w:r>
    </w:p>
  </w:footnote>
  <w:footnote w:type="continuationSeparator" w:id="0">
    <w:p w14:paraId="4648E12A" w14:textId="77777777" w:rsidR="00312CF0" w:rsidRDefault="004F3D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B2FE" w14:textId="77777777" w:rsidR="001362B0" w:rsidRDefault="00136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9C8F6" w14:textId="77777777" w:rsidR="001362B0" w:rsidRDefault="00136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F0290" w14:textId="77777777" w:rsidR="001362B0" w:rsidRDefault="001362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B72B" w14:textId="77777777" w:rsidR="004C2F64" w:rsidRDefault="004C2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5BB3"/>
    <w:multiLevelType w:val="hybridMultilevel"/>
    <w:tmpl w:val="62B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05DAD"/>
    <w:multiLevelType w:val="hybridMultilevel"/>
    <w:tmpl w:val="F92A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10203"/>
    <w:multiLevelType w:val="hybridMultilevel"/>
    <w:tmpl w:val="D27C9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81AC7"/>
    <w:multiLevelType w:val="hybridMultilevel"/>
    <w:tmpl w:val="756E8BB6"/>
    <w:lvl w:ilvl="0" w:tplc="B8E4A89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5C4A86"/>
    <w:multiLevelType w:val="multilevel"/>
    <w:tmpl w:val="AEE2C82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525"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2B5547F"/>
    <w:multiLevelType w:val="hybridMultilevel"/>
    <w:tmpl w:val="AA8E8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736E1092"/>
    <w:multiLevelType w:val="hybridMultilevel"/>
    <w:tmpl w:val="66B2500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6C25A7"/>
    <w:multiLevelType w:val="hybridMultilevel"/>
    <w:tmpl w:val="54DA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6"/>
  </w:num>
  <w:num w:numId="10">
    <w:abstractNumId w:val="7"/>
  </w:num>
  <w:num w:numId="11">
    <w:abstractNumId w:val="0"/>
  </w:num>
  <w:num w:numId="12">
    <w:abstractNumId w:val="2"/>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64"/>
    <w:rsid w:val="00010135"/>
    <w:rsid w:val="00026AB3"/>
    <w:rsid w:val="00072D31"/>
    <w:rsid w:val="00114F26"/>
    <w:rsid w:val="001362B0"/>
    <w:rsid w:val="001E5E06"/>
    <w:rsid w:val="00200DC1"/>
    <w:rsid w:val="00312CF0"/>
    <w:rsid w:val="00407078"/>
    <w:rsid w:val="004222DC"/>
    <w:rsid w:val="00436FCE"/>
    <w:rsid w:val="00452E89"/>
    <w:rsid w:val="004C2F64"/>
    <w:rsid w:val="004F3D90"/>
    <w:rsid w:val="005E2B06"/>
    <w:rsid w:val="006903D7"/>
    <w:rsid w:val="008026D7"/>
    <w:rsid w:val="0092060B"/>
    <w:rsid w:val="00924253"/>
    <w:rsid w:val="00AC1FE1"/>
    <w:rsid w:val="00BE35D4"/>
    <w:rsid w:val="00D06588"/>
    <w:rsid w:val="00D33045"/>
    <w:rsid w:val="00D52887"/>
    <w:rsid w:val="00EE4F5F"/>
    <w:rsid w:val="00EF7681"/>
    <w:rsid w:val="00F8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8239D"/>
  <w15:chartTrackingRefBased/>
  <w15:docId w15:val="{FB72ED29-782B-1F4D-934D-98B973F6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45"/>
    <w:pPr>
      <w:spacing w:after="120"/>
    </w:pPr>
    <w:rPr>
      <w:rFonts w:ascii="Arial" w:eastAsiaTheme="minorEastAsia" w:hAnsi="Arial" w:cs="Times New Roman"/>
      <w:sz w:val="20"/>
      <w:szCs w:val="20"/>
      <w:lang w:eastAsia="ja-JP"/>
    </w:rPr>
  </w:style>
  <w:style w:type="paragraph" w:styleId="Heading1">
    <w:name w:val="heading 1"/>
    <w:basedOn w:val="Normal"/>
    <w:next w:val="Normal"/>
    <w:link w:val="Heading1Char"/>
    <w:autoRedefine/>
    <w:qFormat/>
    <w:rsid w:val="00D33045"/>
    <w:pPr>
      <w:keepNext/>
      <w:numPr>
        <w:numId w:val="8"/>
      </w:numPr>
      <w:jc w:val="both"/>
      <w:outlineLvl w:val="0"/>
    </w:pPr>
    <w:rPr>
      <w:rFonts w:ascii="Georgia" w:eastAsia="Times New Roman" w:hAnsi="Georgia"/>
      <w:b/>
      <w:color w:val="31849B" w:themeColor="accent5" w:themeShade="BF"/>
      <w:sz w:val="30"/>
      <w:lang w:eastAsia="en-US"/>
    </w:rPr>
  </w:style>
  <w:style w:type="paragraph" w:styleId="Heading2">
    <w:name w:val="heading 2"/>
    <w:aliases w:val="H2"/>
    <w:basedOn w:val="Normal"/>
    <w:next w:val="Normal"/>
    <w:link w:val="Heading2Char"/>
    <w:autoRedefine/>
    <w:uiPriority w:val="6"/>
    <w:qFormat/>
    <w:rsid w:val="00D33045"/>
    <w:pPr>
      <w:keepNext/>
      <w:spacing w:after="40"/>
      <w:jc w:val="both"/>
      <w:outlineLvl w:val="1"/>
    </w:pPr>
    <w:rPr>
      <w:rFonts w:ascii="Georgia" w:eastAsia="Times New Roman" w:hAnsi="Georgia"/>
      <w:b/>
      <w:color w:val="31849B" w:themeColor="accent5" w:themeShade="BF"/>
      <w:sz w:val="24"/>
      <w:lang w:eastAsia="en-US"/>
    </w:rPr>
  </w:style>
  <w:style w:type="paragraph" w:styleId="Heading3">
    <w:name w:val="heading 3"/>
    <w:basedOn w:val="Normal"/>
    <w:next w:val="Normal"/>
    <w:link w:val="Heading3Char"/>
    <w:autoRedefine/>
    <w:qFormat/>
    <w:rsid w:val="00D33045"/>
    <w:pPr>
      <w:keepNext/>
      <w:numPr>
        <w:ilvl w:val="2"/>
        <w:numId w:val="8"/>
      </w:numPr>
      <w:spacing w:before="60" w:after="60"/>
      <w:outlineLvl w:val="2"/>
    </w:pPr>
    <w:rPr>
      <w:rFonts w:ascii="Georgia" w:eastAsia="Times New Roman" w:hAnsi="Georgia"/>
      <w:b/>
      <w:i/>
      <w:color w:val="31849B" w:themeColor="accent5" w:themeShade="BF"/>
      <w:lang w:eastAsia="en-US"/>
    </w:rPr>
  </w:style>
  <w:style w:type="paragraph" w:styleId="Heading4">
    <w:name w:val="heading 4"/>
    <w:basedOn w:val="Normal"/>
    <w:next w:val="Normal"/>
    <w:link w:val="Heading4Char"/>
    <w:qFormat/>
    <w:rsid w:val="00D33045"/>
    <w:pPr>
      <w:keepNext/>
      <w:numPr>
        <w:ilvl w:val="3"/>
        <w:numId w:val="4"/>
      </w:numPr>
      <w:jc w:val="both"/>
      <w:outlineLvl w:val="3"/>
    </w:pPr>
    <w:rPr>
      <w:rFonts w:ascii="Georgia" w:eastAsia="Times New Roman" w:hAnsi="Georgia"/>
      <w:b/>
      <w:color w:val="31849B" w:themeColor="accent5"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045"/>
    <w:rPr>
      <w:rFonts w:ascii="Georgia" w:eastAsia="Times New Roman" w:hAnsi="Georgia" w:cs="Times New Roman"/>
      <w:b/>
      <w:color w:val="31849B" w:themeColor="accent5" w:themeShade="BF"/>
      <w:sz w:val="30"/>
      <w:szCs w:val="20"/>
    </w:rPr>
  </w:style>
  <w:style w:type="paragraph" w:customStyle="1" w:styleId="Heading1-nonumbers">
    <w:name w:val="Heading 1 - no numbers"/>
    <w:basedOn w:val="Heading1"/>
    <w:next w:val="Normal"/>
    <w:link w:val="Heading1-nonumbersChar"/>
    <w:qFormat/>
    <w:rsid w:val="00D33045"/>
    <w:pPr>
      <w:numPr>
        <w:numId w:val="0"/>
      </w:numPr>
    </w:pPr>
  </w:style>
  <w:style w:type="character" w:customStyle="1" w:styleId="Heading1-nonumbersChar">
    <w:name w:val="Heading 1 - no numbers Char"/>
    <w:basedOn w:val="Heading1Char"/>
    <w:link w:val="Heading1-nonumbers"/>
    <w:rsid w:val="00D33045"/>
    <w:rPr>
      <w:rFonts w:ascii="Georgia" w:eastAsia="Times New Roman" w:hAnsi="Georgia" w:cs="Times New Roman"/>
      <w:b/>
      <w:color w:val="31849B" w:themeColor="accent5" w:themeShade="BF"/>
      <w:sz w:val="30"/>
      <w:szCs w:val="20"/>
    </w:rPr>
  </w:style>
  <w:style w:type="paragraph" w:customStyle="1" w:styleId="Heading1nonumbers">
    <w:name w:val="Heading 1 no numbers"/>
    <w:basedOn w:val="Heading1"/>
    <w:next w:val="Normal"/>
    <w:link w:val="Heading1nonumbersChar"/>
    <w:qFormat/>
    <w:rsid w:val="00D33045"/>
    <w:pPr>
      <w:numPr>
        <w:numId w:val="0"/>
      </w:numPr>
    </w:pPr>
  </w:style>
  <w:style w:type="character" w:customStyle="1" w:styleId="Heading1nonumbersChar">
    <w:name w:val="Heading 1 no numbers Char"/>
    <w:basedOn w:val="Heading1Char"/>
    <w:link w:val="Heading1nonumbers"/>
    <w:rsid w:val="00D33045"/>
    <w:rPr>
      <w:rFonts w:ascii="Georgia" w:eastAsia="Times New Roman" w:hAnsi="Georgia" w:cs="Times New Roman"/>
      <w:b/>
      <w:color w:val="31849B" w:themeColor="accent5" w:themeShade="BF"/>
      <w:sz w:val="30"/>
      <w:szCs w:val="20"/>
    </w:rPr>
  </w:style>
  <w:style w:type="character" w:customStyle="1" w:styleId="Heading2Char">
    <w:name w:val="Heading 2 Char"/>
    <w:aliases w:val="H2 Char"/>
    <w:basedOn w:val="DefaultParagraphFont"/>
    <w:link w:val="Heading2"/>
    <w:uiPriority w:val="6"/>
    <w:rsid w:val="00D33045"/>
    <w:rPr>
      <w:rFonts w:ascii="Georgia" w:eastAsia="Times New Roman" w:hAnsi="Georgia" w:cs="Times New Roman"/>
      <w:b/>
      <w:color w:val="31849B" w:themeColor="accent5" w:themeShade="BF"/>
      <w:szCs w:val="20"/>
    </w:rPr>
  </w:style>
  <w:style w:type="paragraph" w:customStyle="1" w:styleId="Heading2nonumbers">
    <w:name w:val="Heading 2 no numbers"/>
    <w:basedOn w:val="Heading2"/>
    <w:next w:val="Normal"/>
    <w:link w:val="Heading2nonumbersChar"/>
    <w:qFormat/>
    <w:rsid w:val="00D33045"/>
  </w:style>
  <w:style w:type="character" w:customStyle="1" w:styleId="Heading2nonumbersChar">
    <w:name w:val="Heading 2 no numbers Char"/>
    <w:basedOn w:val="Heading2Char"/>
    <w:link w:val="Heading2nonumbers"/>
    <w:rsid w:val="00D33045"/>
    <w:rPr>
      <w:rFonts w:ascii="Georgia" w:eastAsia="Times New Roman" w:hAnsi="Georgia" w:cs="Times New Roman"/>
      <w:b/>
      <w:color w:val="31849B" w:themeColor="accent5" w:themeShade="BF"/>
      <w:szCs w:val="20"/>
    </w:rPr>
  </w:style>
  <w:style w:type="character" w:customStyle="1" w:styleId="Heading3Char">
    <w:name w:val="Heading 3 Char"/>
    <w:basedOn w:val="DefaultParagraphFont"/>
    <w:link w:val="Heading3"/>
    <w:rsid w:val="00D33045"/>
    <w:rPr>
      <w:rFonts w:ascii="Georgia" w:eastAsia="Times New Roman" w:hAnsi="Georgia" w:cs="Times New Roman"/>
      <w:b/>
      <w:i/>
      <w:color w:val="31849B" w:themeColor="accent5" w:themeShade="BF"/>
      <w:sz w:val="20"/>
      <w:szCs w:val="20"/>
    </w:rPr>
  </w:style>
  <w:style w:type="character" w:customStyle="1" w:styleId="Heading4Char">
    <w:name w:val="Heading 4 Char"/>
    <w:basedOn w:val="DefaultParagraphFont"/>
    <w:link w:val="Heading4"/>
    <w:rsid w:val="00D33045"/>
    <w:rPr>
      <w:rFonts w:ascii="Georgia" w:eastAsia="Times New Roman" w:hAnsi="Georgia" w:cs="Times New Roman"/>
      <w:b/>
      <w:color w:val="31849B" w:themeColor="accent5" w:themeShade="BF"/>
      <w:sz w:val="20"/>
      <w:szCs w:val="20"/>
      <w:lang w:val="en-US"/>
    </w:rPr>
  </w:style>
  <w:style w:type="paragraph" w:customStyle="1" w:styleId="Heading4nonumbers">
    <w:name w:val="Heading 4 no numbers"/>
    <w:basedOn w:val="Heading3"/>
    <w:next w:val="Normal"/>
    <w:link w:val="Heading4nonumbersChar"/>
    <w:qFormat/>
    <w:rsid w:val="00D33045"/>
    <w:pPr>
      <w:numPr>
        <w:ilvl w:val="0"/>
        <w:numId w:val="0"/>
      </w:numPr>
      <w:ind w:left="432" w:hanging="432"/>
    </w:pPr>
    <w:rPr>
      <w:b w:val="0"/>
    </w:rPr>
  </w:style>
  <w:style w:type="character" w:customStyle="1" w:styleId="Heading4nonumbersChar">
    <w:name w:val="Heading 4 no numbers Char"/>
    <w:basedOn w:val="Heading1-nonumbersChar"/>
    <w:link w:val="Heading4nonumbers"/>
    <w:rsid w:val="00D33045"/>
    <w:rPr>
      <w:rFonts w:ascii="Georgia" w:eastAsia="Times New Roman" w:hAnsi="Georgia" w:cs="Times New Roman"/>
      <w:b w:val="0"/>
      <w:i/>
      <w:color w:val="31849B" w:themeColor="accent5" w:themeShade="BF"/>
      <w:sz w:val="20"/>
      <w:szCs w:val="20"/>
    </w:rPr>
  </w:style>
  <w:style w:type="paragraph" w:customStyle="1" w:styleId="TableHeadingLeft">
    <w:name w:val="Table Heading Left"/>
    <w:basedOn w:val="Normal"/>
    <w:qFormat/>
    <w:rsid w:val="00D33045"/>
    <w:pPr>
      <w:keepNext/>
      <w:keepLines/>
      <w:spacing w:before="60" w:after="60" w:line="220" w:lineRule="atLeast"/>
      <w:ind w:left="113" w:right="113"/>
    </w:pPr>
    <w:rPr>
      <w:rFonts w:eastAsia="Times New Roman" w:cs="Arial"/>
      <w:b/>
      <w:color w:val="FFFFFF"/>
      <w:sz w:val="18"/>
      <w:lang w:eastAsia="en-AU"/>
    </w:rPr>
  </w:style>
  <w:style w:type="paragraph" w:styleId="Title">
    <w:name w:val="Title"/>
    <w:basedOn w:val="Normal"/>
    <w:next w:val="Normal"/>
    <w:link w:val="TitleChar"/>
    <w:uiPriority w:val="17"/>
    <w:qFormat/>
    <w:rsid w:val="00D33045"/>
    <w:pPr>
      <w:pBdr>
        <w:bottom w:val="single" w:sz="8" w:space="4" w:color="215868" w:themeColor="accent5" w:themeShade="80"/>
      </w:pBdr>
      <w:spacing w:after="300"/>
      <w:contextualSpacing/>
    </w:pPr>
    <w:rPr>
      <w:rFonts w:asciiTheme="majorHAnsi" w:eastAsiaTheme="majorEastAsia" w:hAnsiTheme="majorHAnsi" w:cstheme="majorBidi"/>
      <w:color w:val="31849B" w:themeColor="accent5" w:themeShade="BF"/>
      <w:spacing w:val="5"/>
      <w:kern w:val="28"/>
      <w:sz w:val="52"/>
      <w:szCs w:val="52"/>
    </w:rPr>
  </w:style>
  <w:style w:type="character" w:customStyle="1" w:styleId="TitleChar">
    <w:name w:val="Title Char"/>
    <w:basedOn w:val="DefaultParagraphFont"/>
    <w:link w:val="Title"/>
    <w:uiPriority w:val="17"/>
    <w:rsid w:val="00D33045"/>
    <w:rPr>
      <w:rFonts w:asciiTheme="majorHAnsi" w:eastAsiaTheme="majorEastAsia" w:hAnsiTheme="majorHAnsi" w:cstheme="majorBidi"/>
      <w:color w:val="31849B" w:themeColor="accent5" w:themeShade="BF"/>
      <w:spacing w:val="5"/>
      <w:kern w:val="28"/>
      <w:sz w:val="52"/>
      <w:szCs w:val="52"/>
      <w:lang w:eastAsia="ja-JP"/>
    </w:rPr>
  </w:style>
  <w:style w:type="paragraph" w:styleId="FootnoteText">
    <w:name w:val="footnote text"/>
    <w:basedOn w:val="Normal"/>
    <w:link w:val="FootnoteTextChar"/>
    <w:rsid w:val="00EE4F5F"/>
    <w:rPr>
      <w:rFonts w:eastAsiaTheme="minorHAnsi"/>
      <w:color w:val="404040" w:themeColor="text1" w:themeTint="BF"/>
      <w:sz w:val="18"/>
      <w:lang w:eastAsia="en-US"/>
    </w:rPr>
  </w:style>
  <w:style w:type="character" w:customStyle="1" w:styleId="FootnoteTextChar">
    <w:name w:val="Footnote Text Char"/>
    <w:basedOn w:val="DefaultParagraphFont"/>
    <w:link w:val="FootnoteText"/>
    <w:rsid w:val="00EE4F5F"/>
    <w:rPr>
      <w:rFonts w:ascii="Arial" w:hAnsi="Arial" w:cs="Times New Roman"/>
      <w:color w:val="404040" w:themeColor="text1" w:themeTint="BF"/>
      <w:sz w:val="18"/>
      <w:szCs w:val="20"/>
    </w:rPr>
  </w:style>
  <w:style w:type="paragraph" w:styleId="Header">
    <w:name w:val="header"/>
    <w:basedOn w:val="Normal"/>
    <w:link w:val="HeaderChar"/>
    <w:uiPriority w:val="99"/>
    <w:unhideWhenUsed/>
    <w:rsid w:val="004C2F64"/>
    <w:pPr>
      <w:tabs>
        <w:tab w:val="center" w:pos="4680"/>
        <w:tab w:val="right" w:pos="9360"/>
      </w:tabs>
      <w:spacing w:after="0"/>
    </w:pPr>
  </w:style>
  <w:style w:type="character" w:customStyle="1" w:styleId="HeaderChar">
    <w:name w:val="Header Char"/>
    <w:basedOn w:val="DefaultParagraphFont"/>
    <w:link w:val="Header"/>
    <w:uiPriority w:val="99"/>
    <w:rsid w:val="004C2F64"/>
    <w:rPr>
      <w:rFonts w:ascii="Arial" w:eastAsiaTheme="minorEastAsia" w:hAnsi="Arial" w:cs="Times New Roman"/>
      <w:sz w:val="20"/>
      <w:szCs w:val="20"/>
      <w:lang w:eastAsia="ja-JP"/>
    </w:rPr>
  </w:style>
  <w:style w:type="paragraph" w:styleId="Footer">
    <w:name w:val="footer"/>
    <w:basedOn w:val="Normal"/>
    <w:link w:val="FooterChar"/>
    <w:uiPriority w:val="99"/>
    <w:unhideWhenUsed/>
    <w:rsid w:val="004C2F64"/>
    <w:pPr>
      <w:tabs>
        <w:tab w:val="center" w:pos="4680"/>
        <w:tab w:val="right" w:pos="9360"/>
      </w:tabs>
      <w:spacing w:after="0"/>
    </w:pPr>
  </w:style>
  <w:style w:type="character" w:customStyle="1" w:styleId="FooterChar">
    <w:name w:val="Footer Char"/>
    <w:basedOn w:val="DefaultParagraphFont"/>
    <w:link w:val="Footer"/>
    <w:uiPriority w:val="99"/>
    <w:rsid w:val="004C2F64"/>
    <w:rPr>
      <w:rFonts w:ascii="Arial" w:eastAsiaTheme="minorEastAsia" w:hAnsi="Arial" w:cs="Times New Roman"/>
      <w:sz w:val="20"/>
      <w:szCs w:val="20"/>
      <w:lang w:eastAsia="ja-JP"/>
    </w:rPr>
  </w:style>
  <w:style w:type="paragraph" w:styleId="ListBullet">
    <w:name w:val="List Bullet"/>
    <w:basedOn w:val="ListParagraph"/>
    <w:uiPriority w:val="22"/>
    <w:qFormat/>
    <w:rsid w:val="004C2F64"/>
    <w:pPr>
      <w:numPr>
        <w:numId w:val="14"/>
      </w:numPr>
      <w:ind w:left="357" w:hanging="357"/>
    </w:pPr>
    <w:rPr>
      <w:rFonts w:asciiTheme="minorHAnsi" w:eastAsia="Times New Roman" w:hAnsiTheme="minorHAnsi" w:cs="Arial"/>
      <w:sz w:val="22"/>
      <w:szCs w:val="22"/>
      <w:lang w:eastAsia="en-US"/>
    </w:rPr>
  </w:style>
  <w:style w:type="paragraph" w:styleId="ListParagraph">
    <w:name w:val="List Paragraph"/>
    <w:basedOn w:val="Normal"/>
    <w:uiPriority w:val="34"/>
    <w:qFormat/>
    <w:rsid w:val="004C2F64"/>
    <w:pPr>
      <w:ind w:left="720"/>
      <w:contextualSpacing/>
    </w:pPr>
  </w:style>
  <w:style w:type="paragraph" w:styleId="TOC1">
    <w:name w:val="toc 1"/>
    <w:basedOn w:val="Normal"/>
    <w:next w:val="Normal"/>
    <w:autoRedefine/>
    <w:uiPriority w:val="39"/>
    <w:unhideWhenUsed/>
    <w:rsid w:val="004C2F64"/>
    <w:pPr>
      <w:spacing w:after="100"/>
    </w:pPr>
  </w:style>
  <w:style w:type="paragraph" w:styleId="TOC2">
    <w:name w:val="toc 2"/>
    <w:basedOn w:val="Normal"/>
    <w:next w:val="Normal"/>
    <w:autoRedefine/>
    <w:uiPriority w:val="39"/>
    <w:unhideWhenUsed/>
    <w:rsid w:val="004C2F64"/>
    <w:pPr>
      <w:spacing w:after="100"/>
      <w:ind w:left="200"/>
    </w:pPr>
  </w:style>
  <w:style w:type="character" w:styleId="Hyperlink">
    <w:name w:val="Hyperlink"/>
    <w:basedOn w:val="DefaultParagraphFont"/>
    <w:uiPriority w:val="99"/>
    <w:unhideWhenUsed/>
    <w:rsid w:val="004C2F64"/>
    <w:rPr>
      <w:color w:val="0000FF" w:themeColor="hyperlink"/>
      <w:u w:val="single"/>
    </w:rPr>
  </w:style>
  <w:style w:type="paragraph" w:customStyle="1" w:styleId="TableText">
    <w:name w:val="TableText"/>
    <w:basedOn w:val="Normal"/>
    <w:next w:val="Normal"/>
    <w:uiPriority w:val="14"/>
    <w:qFormat/>
    <w:rsid w:val="00200DC1"/>
    <w:pPr>
      <w:spacing w:before="120" w:after="0"/>
      <w:jc w:val="both"/>
    </w:pPr>
    <w:rPr>
      <w:rFonts w:asciiTheme="minorHAnsi" w:eastAsia="Times New Roman" w:hAnsiTheme="minorHAnsi" w:cs="Arial"/>
      <w:szCs w:val="22"/>
      <w:lang w:eastAsia="en-US"/>
    </w:rPr>
  </w:style>
  <w:style w:type="paragraph" w:customStyle="1" w:styleId="DocumentDetails">
    <w:name w:val="DocumentDetails"/>
    <w:basedOn w:val="Normal"/>
    <w:uiPriority w:val="99"/>
    <w:rsid w:val="00200DC1"/>
    <w:pPr>
      <w:tabs>
        <w:tab w:val="left" w:pos="2552"/>
      </w:tabs>
      <w:ind w:left="2552" w:hanging="2552"/>
    </w:pPr>
    <w:rPr>
      <w:rFonts w:asciiTheme="minorHAnsi" w:eastAsia="Times New Roman" w:hAnsiTheme="minorHAnsi" w:cs="Arial"/>
      <w:sz w:val="22"/>
      <w:szCs w:val="22"/>
      <w:lang w:eastAsia="en-US"/>
    </w:rPr>
  </w:style>
  <w:style w:type="character" w:styleId="Strong">
    <w:name w:val="Strong"/>
    <w:basedOn w:val="DefaultParagraphFont"/>
    <w:uiPriority w:val="1"/>
    <w:qFormat/>
    <w:rsid w:val="00200DC1"/>
    <w:rPr>
      <w:b/>
      <w:bCs/>
    </w:rPr>
  </w:style>
  <w:style w:type="paragraph" w:customStyle="1" w:styleId="PrelimHeadings">
    <w:name w:val="PrelimHeadings"/>
    <w:basedOn w:val="Normal"/>
    <w:next w:val="Normal"/>
    <w:uiPriority w:val="99"/>
    <w:rsid w:val="00200DC1"/>
    <w:pPr>
      <w:jc w:val="both"/>
    </w:pPr>
    <w:rPr>
      <w:rFonts w:asciiTheme="minorHAnsi" w:eastAsia="Times New Roman" w:hAnsiTheme="minorHAnsi" w:cs="Arial"/>
      <w:b/>
      <w:sz w:val="22"/>
      <w:szCs w:val="22"/>
      <w:lang w:eastAsia="en-US"/>
    </w:rPr>
  </w:style>
  <w:style w:type="paragraph" w:customStyle="1" w:styleId="PrelimText">
    <w:name w:val="PrelimText"/>
    <w:basedOn w:val="Normal"/>
    <w:uiPriority w:val="99"/>
    <w:rsid w:val="00200DC1"/>
    <w:pPr>
      <w:jc w:val="both"/>
    </w:pPr>
    <w:rPr>
      <w:rFonts w:asciiTheme="minorHAnsi" w:eastAsia="Times New Roman" w:hAnsiTheme="minorHAnsi" w:cs="Arial"/>
      <w:sz w:val="22"/>
      <w:szCs w:val="22"/>
      <w:lang w:eastAsia="en-US"/>
    </w:rPr>
  </w:style>
  <w:style w:type="paragraph" w:customStyle="1" w:styleId="PrelimTextLeftAlign">
    <w:name w:val="PrelimText+LeftAlign"/>
    <w:basedOn w:val="Normal"/>
    <w:uiPriority w:val="99"/>
    <w:rsid w:val="00200DC1"/>
    <w:rPr>
      <w:rFonts w:asciiTheme="minorHAnsi" w:eastAsia="Times New Roman" w:hAnsiTheme="minorHAnsi" w:cs="Arial"/>
      <w:sz w:val="22"/>
      <w:szCs w:val="22"/>
      <w:lang w:eastAsia="en-US"/>
    </w:rPr>
  </w:style>
  <w:style w:type="paragraph" w:customStyle="1" w:styleId="Authors">
    <w:name w:val="Authors"/>
    <w:basedOn w:val="Normal"/>
    <w:uiPriority w:val="19"/>
    <w:qFormat/>
    <w:rsid w:val="00200DC1"/>
    <w:pPr>
      <w:pBdr>
        <w:top w:val="single" w:sz="18" w:space="15" w:color="4F81BD" w:themeColor="accent1"/>
        <w:bottom w:val="single" w:sz="18" w:space="30" w:color="4F81BD" w:themeColor="accent1"/>
      </w:pBdr>
      <w:tabs>
        <w:tab w:val="left" w:pos="7740"/>
      </w:tabs>
      <w:spacing w:before="320" w:after="320"/>
    </w:pPr>
    <w:rPr>
      <w:rFonts w:asciiTheme="minorHAnsi" w:eastAsia="Times New Roman" w:hAnsiTheme="minorHAnsi" w:cs="Arial"/>
      <w:sz w:val="28"/>
      <w:szCs w:val="28"/>
      <w:lang w:eastAsia="en-US"/>
    </w:rPr>
  </w:style>
  <w:style w:type="paragraph" w:customStyle="1" w:styleId="DraftReport">
    <w:name w:val="DraftReport"/>
    <w:basedOn w:val="Normal"/>
    <w:next w:val="Normal"/>
    <w:uiPriority w:val="99"/>
    <w:rsid w:val="00200DC1"/>
    <w:pPr>
      <w:spacing w:after="360"/>
      <w:jc w:val="center"/>
    </w:pPr>
    <w:rPr>
      <w:rFonts w:ascii="Arial Bold" w:eastAsia="Times New Roman" w:hAnsi="Arial Bold"/>
      <w:color w:val="999999"/>
      <w:sz w:val="72"/>
      <w:szCs w:val="24"/>
      <w:lang w:eastAsia="en-US"/>
    </w:rPr>
  </w:style>
  <w:style w:type="paragraph" w:customStyle="1" w:styleId="ReportSubtitle">
    <w:name w:val="ReportSubtitle"/>
    <w:basedOn w:val="Normal"/>
    <w:uiPriority w:val="18"/>
    <w:qFormat/>
    <w:rsid w:val="00200DC1"/>
    <w:rPr>
      <w:rFonts w:asciiTheme="minorHAnsi" w:eastAsia="Times New Roman" w:hAnsiTheme="minorHAnsi"/>
      <w:b/>
      <w:sz w:val="28"/>
      <w:szCs w:val="28"/>
      <w:lang w:eastAsia="en-US"/>
    </w:rPr>
  </w:style>
  <w:style w:type="character" w:styleId="PageNumber">
    <w:name w:val="page number"/>
    <w:basedOn w:val="DefaultParagraphFont"/>
    <w:uiPriority w:val="99"/>
    <w:semiHidden/>
    <w:unhideWhenUsed/>
    <w:rsid w:val="0020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mdfrc@latrobe.edu.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Bond@latrobe.edu.au"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4540B311.dotm</Template>
  <TotalTime>2</TotalTime>
  <Pages>9</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Matter – Aggregation of Selected Area biodiversity outcomes (biodiversity) foundation report – 2018 revision</dc:title>
  <dc:subject/>
  <dc:creator>La Trobe University</dc:creator>
  <cp:keywords/>
  <dc:description/>
  <cp:lastModifiedBy>Bec Durack</cp:lastModifiedBy>
  <cp:revision>2</cp:revision>
  <dcterms:created xsi:type="dcterms:W3CDTF">2019-02-22T00:23:00Z</dcterms:created>
  <dcterms:modified xsi:type="dcterms:W3CDTF">2019-02-22T00:23:00Z</dcterms:modified>
</cp:coreProperties>
</file>