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2DD0" w14:textId="24B590FC" w:rsidR="00B82095" w:rsidRPr="000170A9" w:rsidRDefault="00F76D2A" w:rsidP="009B6EBB">
      <w:pPr>
        <w:pStyle w:val="Heading1"/>
        <w:spacing w:before="840"/>
        <w:rPr>
          <w:sz w:val="44"/>
          <w:szCs w:val="32"/>
        </w:rPr>
      </w:pPr>
      <w:r>
        <w:t>C</w:t>
      </w:r>
      <w:r w:rsidR="00816A43" w:rsidRPr="000170A9">
        <w:t xml:space="preserve">harges </w:t>
      </w:r>
      <w:r w:rsidR="009A39D4">
        <w:t>i</w:t>
      </w:r>
      <w:r w:rsidR="00E80363">
        <w:rPr>
          <w:shd w:val="clear" w:color="auto" w:fill="FFFFFF"/>
        </w:rPr>
        <w:t>n the mail and traveller pathways</w:t>
      </w:r>
      <w:r w:rsidR="00816A43" w:rsidRPr="000170A9">
        <w:t xml:space="preserve"> </w:t>
      </w:r>
    </w:p>
    <w:p w14:paraId="19FBBCFC" w14:textId="42592E91" w:rsidR="00FD1BDD" w:rsidRDefault="00E80363" w:rsidP="00FD1BDD">
      <w:pPr>
        <w:pStyle w:val="Heading2"/>
      </w:pPr>
      <w:bookmarkStart w:id="0" w:name="_Hlk163645417"/>
      <w:bookmarkStart w:id="1" w:name="_Hlk170106629"/>
      <w:bookmarkStart w:id="2" w:name="_Hlk199157121"/>
      <w:r>
        <w:t>C</w:t>
      </w:r>
      <w:r w:rsidR="00FD1BDD" w:rsidRPr="00816A43">
        <w:t xml:space="preserve">harges for biosecurity regulatory activity from 1 July </w:t>
      </w:r>
      <w:r w:rsidR="00F0550C">
        <w:t>2025</w:t>
      </w:r>
    </w:p>
    <w:p w14:paraId="5F2BB642" w14:textId="1A785120" w:rsidR="00C44DD8" w:rsidRDefault="00961F7F" w:rsidP="00961F7F">
      <w:pPr>
        <w:pStyle w:val="Caption"/>
      </w:pPr>
      <w:bookmarkStart w:id="3" w:name="_Ref163637138"/>
      <w:bookmarkEnd w:id="0"/>
      <w:bookmarkEnd w:id="1"/>
      <w:r>
        <w:t xml:space="preserve">Table </w:t>
      </w:r>
      <w:r>
        <w:fldChar w:fldCharType="begin"/>
      </w:r>
      <w:r>
        <w:instrText xml:space="preserve"> SEQ Table \* ARABIC </w:instrText>
      </w:r>
      <w:r>
        <w:fldChar w:fldCharType="separate"/>
      </w:r>
      <w:r w:rsidR="00615DBF">
        <w:rPr>
          <w:noProof/>
        </w:rPr>
        <w:t>1</w:t>
      </w:r>
      <w:r>
        <w:fldChar w:fldCharType="end"/>
      </w:r>
      <w:bookmarkEnd w:id="3"/>
      <w:r w:rsidRPr="008B148D">
        <w:t xml:space="preserve"> charges for </w:t>
      </w:r>
      <w:r w:rsidR="00A7474D">
        <w:t>treatment and storage fees</w:t>
      </w:r>
    </w:p>
    <w:tbl>
      <w:tblPr>
        <w:tblW w:w="5121" w:type="pct"/>
        <w:tblBorders>
          <w:top w:val="single" w:sz="4" w:space="0" w:color="auto"/>
          <w:bottom w:val="single" w:sz="4" w:space="0" w:color="auto"/>
          <w:insideH w:val="single" w:sz="4" w:space="0" w:color="auto"/>
        </w:tblBorders>
        <w:tblLook w:val="04A0" w:firstRow="1" w:lastRow="0" w:firstColumn="1" w:lastColumn="0" w:noHBand="0" w:noVBand="1"/>
      </w:tblPr>
      <w:tblGrid>
        <w:gridCol w:w="1658"/>
        <w:gridCol w:w="3445"/>
        <w:gridCol w:w="2127"/>
        <w:gridCol w:w="1134"/>
        <w:gridCol w:w="1276"/>
      </w:tblGrid>
      <w:tr w:rsidR="00C44DD8" w14:paraId="65AD18A5" w14:textId="2ED31B32" w:rsidTr="00483F5E">
        <w:trPr>
          <w:cantSplit/>
          <w:tblHeader/>
        </w:trPr>
        <w:tc>
          <w:tcPr>
            <w:tcW w:w="860" w:type="pct"/>
          </w:tcPr>
          <w:bookmarkStart w:id="4" w:name="Title_1"/>
          <w:bookmarkEnd w:id="4"/>
          <w:p w14:paraId="7339BC7B" w14:textId="05BDDF2B" w:rsidR="00C44DD8" w:rsidRPr="00BA7C58" w:rsidRDefault="00D2429D" w:rsidP="00BA7C58">
            <w:pPr>
              <w:pStyle w:val="TableHeading"/>
              <w:rPr>
                <w:rStyle w:val="Strong"/>
                <w:b/>
                <w:bCs w:val="0"/>
              </w:rPr>
            </w:pPr>
            <w:r w:rsidRPr="00BA7C58">
              <w:rPr>
                <w:rStyle w:val="Strong"/>
                <w:b/>
                <w:bCs w:val="0"/>
              </w:rPr>
              <w:fldChar w:fldCharType="begin"/>
            </w:r>
            <w:r w:rsidRPr="00BA7C58">
              <w:rPr>
                <w:rStyle w:val="Strong"/>
                <w:b/>
                <w:bCs w:val="0"/>
              </w:rPr>
              <w:instrText xml:space="preserve"> REF Title_1 \h </w:instrText>
            </w:r>
            <w:r w:rsidR="00A7474D" w:rsidRPr="00BA7C58">
              <w:rPr>
                <w:rStyle w:val="Strong"/>
                <w:b/>
                <w:bCs w:val="0"/>
              </w:rPr>
              <w:instrText xml:space="preserve"> \* MERGEFORMAT </w:instrText>
            </w:r>
            <w:r w:rsidRPr="00BA7C58">
              <w:rPr>
                <w:rStyle w:val="Strong"/>
                <w:b/>
                <w:bCs w:val="0"/>
              </w:rPr>
            </w:r>
            <w:r w:rsidRPr="00BA7C58">
              <w:rPr>
                <w:rStyle w:val="Strong"/>
                <w:b/>
                <w:bCs w:val="0"/>
              </w:rPr>
              <w:fldChar w:fldCharType="end"/>
            </w:r>
            <w:r w:rsidR="00E80363">
              <w:rPr>
                <w:rStyle w:val="Strong"/>
                <w:b/>
                <w:bCs w:val="0"/>
              </w:rPr>
              <w:t>C</w:t>
            </w:r>
            <w:r w:rsidR="00C44DD8" w:rsidRPr="00BA7C58">
              <w:rPr>
                <w:rStyle w:val="Strong"/>
                <w:b/>
                <w:bCs w:val="0"/>
              </w:rPr>
              <w:t>harge</w:t>
            </w:r>
            <w:r w:rsidR="00E80363">
              <w:rPr>
                <w:rStyle w:val="Strong"/>
                <w:b/>
                <w:bCs w:val="0"/>
              </w:rPr>
              <w:t xml:space="preserve"> </w:t>
            </w:r>
            <w:r w:rsidR="00E80363">
              <w:rPr>
                <w:rStyle w:val="Strong"/>
                <w:b/>
              </w:rPr>
              <w:t>pathway</w:t>
            </w:r>
          </w:p>
        </w:tc>
        <w:tc>
          <w:tcPr>
            <w:tcW w:w="1787" w:type="pct"/>
          </w:tcPr>
          <w:p w14:paraId="09009F04" w14:textId="4AADF016" w:rsidR="00C44DD8" w:rsidRPr="00BA7C58" w:rsidRDefault="00C44DD8" w:rsidP="00BA7C58">
            <w:pPr>
              <w:pStyle w:val="TableHeading"/>
              <w:rPr>
                <w:rStyle w:val="Strong"/>
                <w:b/>
                <w:bCs w:val="0"/>
              </w:rPr>
            </w:pPr>
            <w:r w:rsidRPr="00BA7C58">
              <w:rPr>
                <w:rStyle w:val="Strong"/>
                <w:b/>
                <w:bCs w:val="0"/>
              </w:rPr>
              <w:t>Charge point</w:t>
            </w:r>
          </w:p>
        </w:tc>
        <w:tc>
          <w:tcPr>
            <w:tcW w:w="1103" w:type="pct"/>
          </w:tcPr>
          <w:p w14:paraId="77E11851" w14:textId="0DE05BD4" w:rsidR="00C44DD8" w:rsidRPr="00BA7C58" w:rsidRDefault="00C44DD8" w:rsidP="00BA7C58">
            <w:pPr>
              <w:pStyle w:val="TableHeading"/>
              <w:rPr>
                <w:rStyle w:val="Strong"/>
                <w:b/>
                <w:bCs w:val="0"/>
              </w:rPr>
            </w:pPr>
            <w:r w:rsidRPr="00BA7C58">
              <w:rPr>
                <w:rStyle w:val="Strong"/>
                <w:b/>
                <w:bCs w:val="0"/>
              </w:rPr>
              <w:t>Unit</w:t>
            </w:r>
          </w:p>
        </w:tc>
        <w:tc>
          <w:tcPr>
            <w:tcW w:w="588" w:type="pct"/>
          </w:tcPr>
          <w:p w14:paraId="116EE0A7" w14:textId="350D021E" w:rsidR="00C44DD8" w:rsidRPr="00DA3233" w:rsidRDefault="00A91633" w:rsidP="00DA3233">
            <w:pPr>
              <w:pStyle w:val="TableText"/>
              <w:jc w:val="right"/>
            </w:pPr>
            <w:r w:rsidRPr="00DA3233">
              <w:rPr>
                <w:b/>
              </w:rPr>
              <w:t>2</w:t>
            </w:r>
            <w:r w:rsidRPr="00DA3233">
              <w:rPr>
                <w:b/>
                <w:bCs/>
              </w:rPr>
              <w:t>024-2025 price</w:t>
            </w:r>
            <w:r w:rsidR="00C44DD8" w:rsidRPr="00DA3233">
              <w:rPr>
                <w:b/>
              </w:rPr>
              <w:t xml:space="preserve"> ($)</w:t>
            </w:r>
          </w:p>
        </w:tc>
        <w:tc>
          <w:tcPr>
            <w:tcW w:w="662" w:type="pct"/>
          </w:tcPr>
          <w:p w14:paraId="73C72B7F" w14:textId="4F1704BA" w:rsidR="00C44DD8" w:rsidRPr="00DA3233" w:rsidRDefault="00A91633" w:rsidP="00DA3233">
            <w:pPr>
              <w:pStyle w:val="TableText"/>
              <w:jc w:val="right"/>
            </w:pPr>
            <w:r w:rsidRPr="00DA3233">
              <w:rPr>
                <w:b/>
              </w:rPr>
              <w:t>2025-2026 price</w:t>
            </w:r>
            <w:r w:rsidR="00C44DD8" w:rsidRPr="00DA3233">
              <w:rPr>
                <w:b/>
              </w:rPr>
              <w:t xml:space="preserve"> ($)</w:t>
            </w:r>
          </w:p>
        </w:tc>
      </w:tr>
      <w:tr w:rsidR="00E80363" w14:paraId="1FF91B22" w14:textId="3ADC9B47" w:rsidTr="00483F5E">
        <w:tc>
          <w:tcPr>
            <w:tcW w:w="860" w:type="pct"/>
          </w:tcPr>
          <w:p w14:paraId="3C9751B3" w14:textId="10706E3A" w:rsidR="00E80363" w:rsidRDefault="00E80363" w:rsidP="00056631">
            <w:pPr>
              <w:pStyle w:val="TableText"/>
            </w:pPr>
            <w:r>
              <w:t>International Mail</w:t>
            </w:r>
          </w:p>
        </w:tc>
        <w:tc>
          <w:tcPr>
            <w:tcW w:w="1787" w:type="pct"/>
          </w:tcPr>
          <w:p w14:paraId="14261F1D" w14:textId="557A8880" w:rsidR="00E80363" w:rsidRDefault="00E80363" w:rsidP="00056631">
            <w:pPr>
              <w:pStyle w:val="TableText"/>
            </w:pPr>
            <w:r w:rsidRPr="00FA291D">
              <w:t xml:space="preserve">Treatment </w:t>
            </w:r>
            <w:r>
              <w:t>–</w:t>
            </w:r>
            <w:r w:rsidRPr="00FA291D">
              <w:t xml:space="preserve"> Ethylene Oxide</w:t>
            </w:r>
          </w:p>
        </w:tc>
        <w:tc>
          <w:tcPr>
            <w:tcW w:w="1103" w:type="pct"/>
          </w:tcPr>
          <w:p w14:paraId="15846245" w14:textId="0A1B8730" w:rsidR="00E80363" w:rsidRDefault="00E80363" w:rsidP="00056631">
            <w:pPr>
              <w:pStyle w:val="TableText"/>
            </w:pPr>
            <w:r w:rsidRPr="000920AA">
              <w:t xml:space="preserve">Per </w:t>
            </w:r>
            <w:r>
              <w:t>treatment</w:t>
            </w:r>
          </w:p>
        </w:tc>
        <w:tc>
          <w:tcPr>
            <w:tcW w:w="588" w:type="pct"/>
          </w:tcPr>
          <w:p w14:paraId="12BAB687" w14:textId="5B75344F" w:rsidR="00E80363" w:rsidRDefault="00D47FC5" w:rsidP="00056631">
            <w:pPr>
              <w:pStyle w:val="TableText"/>
              <w:jc w:val="right"/>
            </w:pPr>
            <w:r>
              <w:t>94</w:t>
            </w:r>
          </w:p>
        </w:tc>
        <w:tc>
          <w:tcPr>
            <w:tcW w:w="662" w:type="pct"/>
          </w:tcPr>
          <w:p w14:paraId="3C3DBB40" w14:textId="3A64AD6A" w:rsidR="00E80363" w:rsidRDefault="00D47FC5" w:rsidP="00056631">
            <w:pPr>
              <w:pStyle w:val="TableText"/>
              <w:jc w:val="right"/>
            </w:pPr>
            <w:r>
              <w:t>96</w:t>
            </w:r>
          </w:p>
        </w:tc>
      </w:tr>
      <w:tr w:rsidR="00E80363" w14:paraId="49692EE4" w14:textId="27455287" w:rsidTr="00483F5E">
        <w:tc>
          <w:tcPr>
            <w:tcW w:w="860" w:type="pct"/>
          </w:tcPr>
          <w:p w14:paraId="3292A2C5" w14:textId="60E4FF27" w:rsidR="00E80363" w:rsidRDefault="00E80363" w:rsidP="00056631">
            <w:pPr>
              <w:pStyle w:val="TableText"/>
            </w:pPr>
            <w:r>
              <w:t>International Mail</w:t>
            </w:r>
          </w:p>
        </w:tc>
        <w:tc>
          <w:tcPr>
            <w:tcW w:w="1787" w:type="pct"/>
          </w:tcPr>
          <w:p w14:paraId="3E7B3AFB" w14:textId="38D8277B" w:rsidR="00E80363" w:rsidRDefault="00E80363" w:rsidP="00056631">
            <w:pPr>
              <w:pStyle w:val="TableText"/>
            </w:pPr>
            <w:r w:rsidRPr="00FA291D">
              <w:t xml:space="preserve">Treatment </w:t>
            </w:r>
            <w:r>
              <w:t>–</w:t>
            </w:r>
            <w:r w:rsidRPr="00FA291D">
              <w:t xml:space="preserve"> Fumigation </w:t>
            </w:r>
          </w:p>
        </w:tc>
        <w:tc>
          <w:tcPr>
            <w:tcW w:w="1103" w:type="pct"/>
          </w:tcPr>
          <w:p w14:paraId="189279BD" w14:textId="087D344F" w:rsidR="00E80363" w:rsidRDefault="00E80363" w:rsidP="00056631">
            <w:pPr>
              <w:pStyle w:val="TableText"/>
            </w:pPr>
            <w:r w:rsidRPr="000920AA">
              <w:t xml:space="preserve">Per </w:t>
            </w:r>
            <w:r>
              <w:t>treatment</w:t>
            </w:r>
          </w:p>
        </w:tc>
        <w:tc>
          <w:tcPr>
            <w:tcW w:w="588" w:type="pct"/>
          </w:tcPr>
          <w:p w14:paraId="4655173C" w14:textId="435D98DE" w:rsidR="00E80363" w:rsidRDefault="00D47FC5" w:rsidP="00056631">
            <w:pPr>
              <w:pStyle w:val="TableText"/>
              <w:jc w:val="right"/>
            </w:pPr>
            <w:r>
              <w:t>94</w:t>
            </w:r>
          </w:p>
        </w:tc>
        <w:tc>
          <w:tcPr>
            <w:tcW w:w="662" w:type="pct"/>
          </w:tcPr>
          <w:p w14:paraId="297BDB70" w14:textId="78BE62EC" w:rsidR="00E80363" w:rsidRDefault="00D47FC5" w:rsidP="00056631">
            <w:pPr>
              <w:pStyle w:val="TableText"/>
              <w:jc w:val="right"/>
            </w:pPr>
            <w:r>
              <w:t>96</w:t>
            </w:r>
          </w:p>
        </w:tc>
      </w:tr>
      <w:tr w:rsidR="00E80363" w14:paraId="3EC07896" w14:textId="0F9E1BBA" w:rsidTr="00483F5E">
        <w:tc>
          <w:tcPr>
            <w:tcW w:w="860" w:type="pct"/>
          </w:tcPr>
          <w:p w14:paraId="6338AF5A" w14:textId="4C1D6F15" w:rsidR="00E80363" w:rsidRDefault="00E80363" w:rsidP="00056631">
            <w:pPr>
              <w:pStyle w:val="TableText"/>
            </w:pPr>
            <w:r>
              <w:t>International Mail</w:t>
            </w:r>
          </w:p>
        </w:tc>
        <w:tc>
          <w:tcPr>
            <w:tcW w:w="1787" w:type="pct"/>
          </w:tcPr>
          <w:p w14:paraId="10ABF753" w14:textId="576F78B1" w:rsidR="00E80363" w:rsidRDefault="00E80363" w:rsidP="00056631">
            <w:pPr>
              <w:pStyle w:val="TableText"/>
            </w:pPr>
            <w:r w:rsidRPr="00FA291D">
              <w:t xml:space="preserve">Treatment </w:t>
            </w:r>
            <w:r>
              <w:t>–</w:t>
            </w:r>
            <w:r w:rsidRPr="00FA291D">
              <w:t xml:space="preserve"> Gamma Irradiation </w:t>
            </w:r>
          </w:p>
        </w:tc>
        <w:tc>
          <w:tcPr>
            <w:tcW w:w="1103" w:type="pct"/>
          </w:tcPr>
          <w:p w14:paraId="303BE6A6" w14:textId="593CCA37" w:rsidR="00E80363" w:rsidRDefault="00E80363" w:rsidP="00056631">
            <w:pPr>
              <w:pStyle w:val="TableText"/>
            </w:pPr>
            <w:r w:rsidRPr="000920AA">
              <w:t xml:space="preserve">Per </w:t>
            </w:r>
            <w:r>
              <w:t>treatment</w:t>
            </w:r>
          </w:p>
        </w:tc>
        <w:tc>
          <w:tcPr>
            <w:tcW w:w="588" w:type="pct"/>
          </w:tcPr>
          <w:p w14:paraId="050C2A54" w14:textId="3AE5F59D" w:rsidR="00E80363" w:rsidRDefault="00D47FC5" w:rsidP="00056631">
            <w:pPr>
              <w:pStyle w:val="TableText"/>
              <w:jc w:val="right"/>
            </w:pPr>
            <w:r>
              <w:t>94</w:t>
            </w:r>
          </w:p>
        </w:tc>
        <w:tc>
          <w:tcPr>
            <w:tcW w:w="662" w:type="pct"/>
          </w:tcPr>
          <w:p w14:paraId="3F9A5F59" w14:textId="230C67DF" w:rsidR="00E80363" w:rsidRDefault="00D47FC5" w:rsidP="00056631">
            <w:pPr>
              <w:pStyle w:val="TableText"/>
              <w:jc w:val="right"/>
            </w:pPr>
            <w:r>
              <w:t>96</w:t>
            </w:r>
          </w:p>
        </w:tc>
      </w:tr>
      <w:tr w:rsidR="00E80363" w14:paraId="1E273A52" w14:textId="2048BCB0" w:rsidTr="00483F5E">
        <w:tc>
          <w:tcPr>
            <w:tcW w:w="860" w:type="pct"/>
          </w:tcPr>
          <w:p w14:paraId="78DEE270" w14:textId="203B5265" w:rsidR="00E80363" w:rsidRDefault="00E80363" w:rsidP="00056631">
            <w:pPr>
              <w:pStyle w:val="TableText"/>
            </w:pPr>
            <w:r>
              <w:t>International Mail</w:t>
            </w:r>
          </w:p>
        </w:tc>
        <w:tc>
          <w:tcPr>
            <w:tcW w:w="1787" w:type="pct"/>
          </w:tcPr>
          <w:p w14:paraId="19A1DBA0" w14:textId="566F7AEE" w:rsidR="00E80363" w:rsidRDefault="00E80363" w:rsidP="00056631">
            <w:pPr>
              <w:pStyle w:val="TableText"/>
            </w:pPr>
            <w:r w:rsidRPr="00FA291D">
              <w:t xml:space="preserve">Treatment </w:t>
            </w:r>
            <w:r>
              <w:t>–</w:t>
            </w:r>
            <w:r w:rsidRPr="00FA291D">
              <w:t xml:space="preserve"> Heat Treatment</w:t>
            </w:r>
          </w:p>
        </w:tc>
        <w:tc>
          <w:tcPr>
            <w:tcW w:w="1103" w:type="pct"/>
          </w:tcPr>
          <w:p w14:paraId="71734331" w14:textId="0F2435BC" w:rsidR="00E80363" w:rsidRDefault="00E80363" w:rsidP="00056631">
            <w:pPr>
              <w:pStyle w:val="TableText"/>
            </w:pPr>
            <w:r w:rsidRPr="000920AA">
              <w:t xml:space="preserve">Per </w:t>
            </w:r>
            <w:r>
              <w:t>treatment</w:t>
            </w:r>
          </w:p>
        </w:tc>
        <w:tc>
          <w:tcPr>
            <w:tcW w:w="588" w:type="pct"/>
          </w:tcPr>
          <w:p w14:paraId="6DE5A63C" w14:textId="2DF995B4" w:rsidR="00E80363" w:rsidRDefault="00D47FC5" w:rsidP="00056631">
            <w:pPr>
              <w:pStyle w:val="TableText"/>
              <w:jc w:val="right"/>
            </w:pPr>
            <w:r>
              <w:t>94</w:t>
            </w:r>
          </w:p>
        </w:tc>
        <w:tc>
          <w:tcPr>
            <w:tcW w:w="662" w:type="pct"/>
          </w:tcPr>
          <w:p w14:paraId="217B803C" w14:textId="5AF0DD00" w:rsidR="00E80363" w:rsidRDefault="00D47FC5" w:rsidP="00056631">
            <w:pPr>
              <w:pStyle w:val="TableText"/>
              <w:jc w:val="right"/>
            </w:pPr>
            <w:r>
              <w:t>96</w:t>
            </w:r>
          </w:p>
        </w:tc>
      </w:tr>
      <w:tr w:rsidR="00E80363" w14:paraId="2F0C0D3C" w14:textId="2110217C" w:rsidTr="00483F5E">
        <w:tc>
          <w:tcPr>
            <w:tcW w:w="860" w:type="pct"/>
          </w:tcPr>
          <w:p w14:paraId="58AE92C6" w14:textId="3EA00089" w:rsidR="00E80363" w:rsidRDefault="00E80363" w:rsidP="00056631">
            <w:pPr>
              <w:pStyle w:val="TableText"/>
            </w:pPr>
            <w:r>
              <w:t>Travellers</w:t>
            </w:r>
          </w:p>
        </w:tc>
        <w:tc>
          <w:tcPr>
            <w:tcW w:w="1787" w:type="pct"/>
            <w:vAlign w:val="bottom"/>
          </w:tcPr>
          <w:p w14:paraId="3C419F94" w14:textId="3C114372" w:rsidR="00E80363" w:rsidRDefault="00E80363" w:rsidP="00056631">
            <w:pPr>
              <w:pStyle w:val="TableText"/>
            </w:pPr>
            <w:r w:rsidRPr="00AC6230">
              <w:t xml:space="preserve">Treatment </w:t>
            </w:r>
          </w:p>
        </w:tc>
        <w:tc>
          <w:tcPr>
            <w:tcW w:w="1103" w:type="pct"/>
          </w:tcPr>
          <w:p w14:paraId="3C93CEF3" w14:textId="5D948239" w:rsidR="00E80363" w:rsidRDefault="00E80363" w:rsidP="00056631">
            <w:pPr>
              <w:pStyle w:val="TableText"/>
            </w:pPr>
            <w:r w:rsidRPr="000920AA">
              <w:t xml:space="preserve">Per </w:t>
            </w:r>
            <w:r>
              <w:t>treatment</w:t>
            </w:r>
          </w:p>
        </w:tc>
        <w:tc>
          <w:tcPr>
            <w:tcW w:w="588" w:type="pct"/>
          </w:tcPr>
          <w:p w14:paraId="0D77267C" w14:textId="776AA3A0" w:rsidR="00E80363" w:rsidRDefault="00D47FC5" w:rsidP="00056631">
            <w:pPr>
              <w:pStyle w:val="TableText"/>
              <w:jc w:val="right"/>
            </w:pPr>
            <w:r>
              <w:t>129</w:t>
            </w:r>
          </w:p>
        </w:tc>
        <w:tc>
          <w:tcPr>
            <w:tcW w:w="662" w:type="pct"/>
          </w:tcPr>
          <w:p w14:paraId="02E155DC" w14:textId="51141E72" w:rsidR="00E80363" w:rsidRDefault="00D47FC5" w:rsidP="00056631">
            <w:pPr>
              <w:pStyle w:val="TableText"/>
              <w:jc w:val="right"/>
            </w:pPr>
            <w:r>
              <w:t>132</w:t>
            </w:r>
          </w:p>
        </w:tc>
      </w:tr>
      <w:tr w:rsidR="00E80363" w14:paraId="6EB006B9" w14:textId="77777777" w:rsidTr="00483F5E">
        <w:tc>
          <w:tcPr>
            <w:tcW w:w="860" w:type="pct"/>
          </w:tcPr>
          <w:p w14:paraId="0D6EC3B9" w14:textId="6F3F5CAD" w:rsidR="00E80363" w:rsidRDefault="00E80363" w:rsidP="00056631">
            <w:pPr>
              <w:pStyle w:val="TableText"/>
            </w:pPr>
            <w:r>
              <w:t>Travellers</w:t>
            </w:r>
          </w:p>
        </w:tc>
        <w:tc>
          <w:tcPr>
            <w:tcW w:w="1787" w:type="pct"/>
          </w:tcPr>
          <w:p w14:paraId="6D57518B" w14:textId="559538C7" w:rsidR="00E80363" w:rsidRDefault="0090260C" w:rsidP="00056631">
            <w:pPr>
              <w:pStyle w:val="TableText"/>
            </w:pPr>
            <w:r>
              <w:t xml:space="preserve">Temporary storage </w:t>
            </w:r>
          </w:p>
        </w:tc>
        <w:tc>
          <w:tcPr>
            <w:tcW w:w="1103" w:type="pct"/>
          </w:tcPr>
          <w:p w14:paraId="49E02A52" w14:textId="41172360" w:rsidR="00E80363" w:rsidRDefault="006A55C3" w:rsidP="00056631">
            <w:pPr>
              <w:pStyle w:val="TableText"/>
            </w:pPr>
            <w:r>
              <w:t>Per 30 days</w:t>
            </w:r>
            <w:r w:rsidR="00483F5E">
              <w:t xml:space="preserve"> </w:t>
            </w:r>
            <w:r w:rsidR="00582031">
              <w:t>(</w:t>
            </w:r>
            <w:r w:rsidR="00483F5E">
              <w:t xml:space="preserve">or </w:t>
            </w:r>
            <w:r w:rsidR="00B73946">
              <w:t>part thereof</w:t>
            </w:r>
            <w:r w:rsidR="00582031">
              <w:t xml:space="preserve"> a </w:t>
            </w:r>
            <w:r w:rsidR="008C0137">
              <w:t>30-day</w:t>
            </w:r>
            <w:r w:rsidR="00582031">
              <w:t xml:space="preserve"> </w:t>
            </w:r>
            <w:r w:rsidR="0090260C">
              <w:t>period</w:t>
            </w:r>
            <w:r w:rsidR="00582031">
              <w:t>)</w:t>
            </w:r>
            <w:r w:rsidR="00483F5E">
              <w:t xml:space="preserve"> </w:t>
            </w:r>
          </w:p>
        </w:tc>
        <w:tc>
          <w:tcPr>
            <w:tcW w:w="588" w:type="pct"/>
          </w:tcPr>
          <w:p w14:paraId="37C46A20" w14:textId="0BE0D5DB" w:rsidR="00E80363" w:rsidRDefault="00D47FC5" w:rsidP="00056631">
            <w:pPr>
              <w:pStyle w:val="TableText"/>
              <w:jc w:val="right"/>
            </w:pPr>
            <w:r>
              <w:t>47</w:t>
            </w:r>
          </w:p>
        </w:tc>
        <w:tc>
          <w:tcPr>
            <w:tcW w:w="662" w:type="pct"/>
          </w:tcPr>
          <w:p w14:paraId="05281B68" w14:textId="4B78EF40" w:rsidR="00E80363" w:rsidRDefault="00D47FC5" w:rsidP="00056631">
            <w:pPr>
              <w:pStyle w:val="TableText"/>
              <w:jc w:val="right"/>
            </w:pPr>
            <w:r>
              <w:t>48</w:t>
            </w:r>
          </w:p>
        </w:tc>
      </w:tr>
    </w:tbl>
    <w:bookmarkEnd w:id="2"/>
    <w:p w14:paraId="05D3C6F5" w14:textId="77777777" w:rsidR="00A7474D" w:rsidRPr="0080517C" w:rsidRDefault="00A7474D" w:rsidP="00A7474D">
      <w:pPr>
        <w:pStyle w:val="Heading2"/>
        <w:spacing w:before="360"/>
      </w:pPr>
      <w:r>
        <w:t>More</w:t>
      </w:r>
      <w:r w:rsidRPr="0080517C">
        <w:t xml:space="preserve"> information</w:t>
      </w:r>
    </w:p>
    <w:p w14:paraId="64659933" w14:textId="03534DA0" w:rsidR="004704C5" w:rsidRDefault="0065156A" w:rsidP="00A7474D">
      <w:pPr>
        <w:spacing w:after="360"/>
        <w:rPr>
          <w:lang w:eastAsia="ja-JP"/>
        </w:rPr>
      </w:pPr>
      <w:bookmarkStart w:id="5" w:name="_Hlk163653999"/>
      <w:bookmarkStart w:id="6" w:name="_Hlk163653973"/>
      <w:r>
        <w:rPr>
          <w:lang w:eastAsia="ja-JP"/>
        </w:rPr>
        <w:t xml:space="preserve">On </w:t>
      </w:r>
      <w:r w:rsidR="008C0137">
        <w:rPr>
          <w:lang w:eastAsia="ja-JP"/>
        </w:rPr>
        <w:t xml:space="preserve">all </w:t>
      </w:r>
      <w:r>
        <w:rPr>
          <w:lang w:eastAsia="ja-JP"/>
        </w:rPr>
        <w:t xml:space="preserve">fees and charges visit our </w:t>
      </w:r>
      <w:hyperlink r:id="rId11" w:history="1">
        <w:r w:rsidR="004704C5" w:rsidRPr="004704C5">
          <w:rPr>
            <w:rStyle w:val="Hyperlink"/>
            <w:lang w:eastAsia="ja-JP"/>
          </w:rPr>
          <w:t>Biosecurity cost recovery implementation statements</w:t>
        </w:r>
      </w:hyperlink>
      <w:bookmarkEnd w:id="5"/>
      <w:r>
        <w:t xml:space="preserve"> </w:t>
      </w:r>
      <w:r>
        <w:rPr>
          <w:lang w:eastAsia="ja-JP"/>
        </w:rPr>
        <w:t xml:space="preserve">page. </w:t>
      </w:r>
    </w:p>
    <w:p w14:paraId="76353005" w14:textId="375A05F2" w:rsidR="00A7474D" w:rsidRDefault="00A7474D" w:rsidP="00A7474D">
      <w:pPr>
        <w:spacing w:after="360"/>
        <w:rPr>
          <w:lang w:eastAsia="ja-JP"/>
        </w:rPr>
      </w:pPr>
      <w:r>
        <w:rPr>
          <w:lang w:eastAsia="ja-JP"/>
        </w:rPr>
        <w:t xml:space="preserve">For information on </w:t>
      </w:r>
      <w:r w:rsidR="00983299">
        <w:rPr>
          <w:lang w:eastAsia="ja-JP"/>
        </w:rPr>
        <w:t>2025-26 prices</w:t>
      </w:r>
      <w:r w:rsidR="004704C5">
        <w:rPr>
          <w:lang w:eastAsia="ja-JP"/>
        </w:rPr>
        <w:t>,</w:t>
      </w:r>
      <w:r>
        <w:rPr>
          <w:lang w:eastAsia="ja-JP"/>
        </w:rPr>
        <w:t xml:space="preserve"> email </w:t>
      </w:r>
      <w:hyperlink r:id="rId12" w:history="1">
        <w:r w:rsidRPr="00367022">
          <w:rPr>
            <w:rStyle w:val="Hyperlink"/>
            <w:lang w:eastAsia="ja-JP"/>
          </w:rPr>
          <w:t>BioCRIS@aff.gov.au</w:t>
        </w:r>
      </w:hyperlink>
      <w:r>
        <w:rPr>
          <w:rStyle w:val="Hyperlink"/>
          <w:lang w:eastAsia="ja-JP"/>
        </w:rPr>
        <w:t>.</w:t>
      </w:r>
    </w:p>
    <w:bookmarkEnd w:id="6"/>
    <w:p w14:paraId="71802274" w14:textId="77777777" w:rsidR="00A7474D" w:rsidRDefault="00A7474D" w:rsidP="00A7474D">
      <w:pPr>
        <w:pStyle w:val="Normalsmall"/>
      </w:pPr>
      <w:r>
        <w:rPr>
          <w:rStyle w:val="Strong"/>
        </w:rPr>
        <w:t>Acknowledgement of Country</w:t>
      </w:r>
    </w:p>
    <w:p w14:paraId="5BB6B90B" w14:textId="77777777" w:rsidR="00A7474D" w:rsidRPr="000A5BA0" w:rsidRDefault="00A7474D" w:rsidP="00A7474D">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BE5D369" w14:textId="0F6A3482" w:rsidR="00A7474D" w:rsidRDefault="00A7474D" w:rsidP="00A7474D">
      <w:pPr>
        <w:pStyle w:val="Normalsmall"/>
        <w:spacing w:before="360"/>
      </w:pPr>
      <w:r>
        <w:t>© Commonwealth of Australia 202</w:t>
      </w:r>
      <w:r w:rsidR="003E37C8">
        <w:t>5</w:t>
      </w:r>
    </w:p>
    <w:p w14:paraId="0AEC12A7" w14:textId="77777777" w:rsidR="00A7474D" w:rsidRDefault="00A7474D" w:rsidP="00A7474D">
      <w:pPr>
        <w:pStyle w:val="Normalsmall"/>
      </w:pPr>
      <w:r>
        <w:t xml:space="preserve">Unless otherwise noted, copyright (and any other intellectual property rights) in this publication </w:t>
      </w:r>
      <w:proofErr w:type="gramStart"/>
      <w:r>
        <w:t>is owned</w:t>
      </w:r>
      <w:proofErr w:type="gramEnd"/>
      <w:r>
        <w:t xml:space="preserve"> by the Commonwealth of Australia (referred to as the Commonwealth).</w:t>
      </w:r>
    </w:p>
    <w:p w14:paraId="1D944A4A" w14:textId="77777777" w:rsidR="00A7474D" w:rsidRDefault="00A7474D" w:rsidP="00A7474D">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0E7050AD" w14:textId="312CACB0" w:rsidR="00A7474D" w:rsidRPr="00056631" w:rsidRDefault="00A7474D" w:rsidP="00BA7C58">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A7474D" w:rsidRPr="00056631" w:rsidSect="00816A43">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B1F4B" w14:textId="77777777" w:rsidR="00816A43" w:rsidRDefault="00816A43">
      <w:r>
        <w:separator/>
      </w:r>
    </w:p>
    <w:p w14:paraId="3C1C5CB5" w14:textId="77777777" w:rsidR="00816A43" w:rsidRDefault="00816A43"/>
    <w:p w14:paraId="271D6B24" w14:textId="77777777" w:rsidR="00816A43" w:rsidRDefault="00816A43"/>
  </w:endnote>
  <w:endnote w:type="continuationSeparator" w:id="0">
    <w:p w14:paraId="64AD2520" w14:textId="77777777" w:rsidR="00816A43" w:rsidRDefault="00816A43">
      <w:r>
        <w:continuationSeparator/>
      </w:r>
    </w:p>
    <w:p w14:paraId="61762692" w14:textId="77777777" w:rsidR="00816A43" w:rsidRDefault="00816A43"/>
    <w:p w14:paraId="0CB2A91A" w14:textId="77777777" w:rsidR="00816A43" w:rsidRDefault="00816A43"/>
  </w:endnote>
  <w:endnote w:type="continuationNotice" w:id="1">
    <w:p w14:paraId="5C34FF85" w14:textId="77777777" w:rsidR="00816A43" w:rsidRDefault="00816A43">
      <w:pPr>
        <w:pStyle w:val="Footer"/>
      </w:pPr>
    </w:p>
    <w:p w14:paraId="783B672E" w14:textId="77777777" w:rsidR="00816A43" w:rsidRDefault="00816A43"/>
    <w:p w14:paraId="19F2560F" w14:textId="77777777" w:rsidR="00816A43" w:rsidRDefault="00816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B3D2"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33BCB098" wp14:editId="68CF939A">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3F97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BCB098"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5C3F97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0A2D" w14:textId="6801D3BC" w:rsidR="00863E83" w:rsidRDefault="00863E83" w:rsidP="00863E83">
    <w:pPr>
      <w:pStyle w:val="Footer"/>
    </w:pPr>
    <w:r w:rsidRPr="007B1F92">
      <w:t>Department of Agriculture, Fisheries and Forestry</w:t>
    </w:r>
  </w:p>
  <w:p w14:paraId="32D6388A" w14:textId="77777777" w:rsidR="000542B4" w:rsidRDefault="00615DBF"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040093"/>
      <w:docPartObj>
        <w:docPartGallery w:val="Page Numbers (Bottom of Page)"/>
        <w:docPartUnique/>
      </w:docPartObj>
    </w:sdtPr>
    <w:sdtEndPr>
      <w:rPr>
        <w:noProof/>
      </w:rPr>
    </w:sdtEndPr>
    <w:sdtContent>
      <w:p w14:paraId="44415380"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9B8D9" w14:textId="77777777" w:rsidR="00816A43" w:rsidRDefault="00816A43">
      <w:r>
        <w:separator/>
      </w:r>
    </w:p>
    <w:p w14:paraId="3CE54AD4" w14:textId="77777777" w:rsidR="00816A43" w:rsidRDefault="00816A43"/>
    <w:p w14:paraId="4374735E" w14:textId="77777777" w:rsidR="00816A43" w:rsidRDefault="00816A43"/>
  </w:footnote>
  <w:footnote w:type="continuationSeparator" w:id="0">
    <w:p w14:paraId="3051F381" w14:textId="77777777" w:rsidR="00816A43" w:rsidRDefault="00816A43">
      <w:r>
        <w:continuationSeparator/>
      </w:r>
    </w:p>
    <w:p w14:paraId="52F77361" w14:textId="77777777" w:rsidR="00816A43" w:rsidRDefault="00816A43"/>
    <w:p w14:paraId="7A123011" w14:textId="77777777" w:rsidR="00816A43" w:rsidRDefault="00816A43"/>
  </w:footnote>
  <w:footnote w:type="continuationNotice" w:id="1">
    <w:p w14:paraId="561571FB" w14:textId="77777777" w:rsidR="00816A43" w:rsidRDefault="00816A43">
      <w:pPr>
        <w:pStyle w:val="Footer"/>
      </w:pPr>
    </w:p>
    <w:p w14:paraId="0FC27DF5" w14:textId="77777777" w:rsidR="00816A43" w:rsidRDefault="00816A43"/>
    <w:p w14:paraId="3366D654" w14:textId="77777777" w:rsidR="00816A43" w:rsidRDefault="00816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D882" w14:textId="77777777" w:rsidR="00F637B6" w:rsidRDefault="00F637B6">
    <w:pPr>
      <w:pStyle w:val="Header"/>
    </w:pPr>
    <w:r>
      <w:rPr>
        <w:noProof/>
      </w:rPr>
      <mc:AlternateContent>
        <mc:Choice Requires="wps">
          <w:drawing>
            <wp:anchor distT="0" distB="0" distL="0" distR="0" simplePos="0" relativeHeight="251661312" behindDoc="0" locked="0" layoutInCell="1" allowOverlap="1" wp14:anchorId="1A921D10" wp14:editId="7271ABBA">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9909A"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921D10"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719909A"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0AB3" w14:textId="460676BE" w:rsidR="000542B4" w:rsidRDefault="00736D8A">
    <w:pPr>
      <w:pStyle w:val="Header"/>
    </w:pPr>
    <w:r w:rsidRPr="00736D8A">
      <w:t xml:space="preserve">Fees and charges for biosecurity </w:t>
    </w:r>
    <w:r w:rsidR="00B43E79">
      <w:t xml:space="preserve">and imported food </w:t>
    </w:r>
    <w:r w:rsidRPr="00736D8A">
      <w:t>regulatory activity from 1 July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92F7"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3F0E6FDD" wp14:editId="27E63F5D">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50D3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78042045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43"/>
    <w:rsid w:val="0000059E"/>
    <w:rsid w:val="0000066F"/>
    <w:rsid w:val="00001B53"/>
    <w:rsid w:val="000170A9"/>
    <w:rsid w:val="00017ACB"/>
    <w:rsid w:val="00021590"/>
    <w:rsid w:val="00025D1B"/>
    <w:rsid w:val="000266C4"/>
    <w:rsid w:val="000542B4"/>
    <w:rsid w:val="00056631"/>
    <w:rsid w:val="000618F3"/>
    <w:rsid w:val="00066D0B"/>
    <w:rsid w:val="000717D2"/>
    <w:rsid w:val="00074A56"/>
    <w:rsid w:val="00080827"/>
    <w:rsid w:val="0008277A"/>
    <w:rsid w:val="00084523"/>
    <w:rsid w:val="000904C1"/>
    <w:rsid w:val="000913B5"/>
    <w:rsid w:val="0009583E"/>
    <w:rsid w:val="000A08B5"/>
    <w:rsid w:val="000A5BA0"/>
    <w:rsid w:val="000B3924"/>
    <w:rsid w:val="000B3C44"/>
    <w:rsid w:val="000C0412"/>
    <w:rsid w:val="000C29E2"/>
    <w:rsid w:val="000C4558"/>
    <w:rsid w:val="000C67CF"/>
    <w:rsid w:val="000E455C"/>
    <w:rsid w:val="000E4D74"/>
    <w:rsid w:val="000E7803"/>
    <w:rsid w:val="000F0491"/>
    <w:rsid w:val="000F4F40"/>
    <w:rsid w:val="0010223A"/>
    <w:rsid w:val="001150A3"/>
    <w:rsid w:val="001233A8"/>
    <w:rsid w:val="0013083A"/>
    <w:rsid w:val="0013173D"/>
    <w:rsid w:val="001414E9"/>
    <w:rsid w:val="00143A7B"/>
    <w:rsid w:val="00144601"/>
    <w:rsid w:val="00144B4C"/>
    <w:rsid w:val="00171C98"/>
    <w:rsid w:val="00187F44"/>
    <w:rsid w:val="00190D7E"/>
    <w:rsid w:val="001929D2"/>
    <w:rsid w:val="001A0900"/>
    <w:rsid w:val="001A6968"/>
    <w:rsid w:val="001B01A6"/>
    <w:rsid w:val="001C7ED5"/>
    <w:rsid w:val="001D0EF3"/>
    <w:rsid w:val="001D6909"/>
    <w:rsid w:val="00201BFB"/>
    <w:rsid w:val="00203DE1"/>
    <w:rsid w:val="002149B6"/>
    <w:rsid w:val="0021506A"/>
    <w:rsid w:val="00215464"/>
    <w:rsid w:val="00220618"/>
    <w:rsid w:val="00226D54"/>
    <w:rsid w:val="00231DC5"/>
    <w:rsid w:val="00232141"/>
    <w:rsid w:val="002359E0"/>
    <w:rsid w:val="00237A69"/>
    <w:rsid w:val="0025659A"/>
    <w:rsid w:val="002629AD"/>
    <w:rsid w:val="00275B58"/>
    <w:rsid w:val="00284B53"/>
    <w:rsid w:val="002A22D6"/>
    <w:rsid w:val="002A7913"/>
    <w:rsid w:val="002B1FAF"/>
    <w:rsid w:val="002B5F26"/>
    <w:rsid w:val="002C1046"/>
    <w:rsid w:val="002E04D3"/>
    <w:rsid w:val="002E3FD4"/>
    <w:rsid w:val="002F1D43"/>
    <w:rsid w:val="002F4595"/>
    <w:rsid w:val="00300AFD"/>
    <w:rsid w:val="003032C0"/>
    <w:rsid w:val="00314AE9"/>
    <w:rsid w:val="00315F42"/>
    <w:rsid w:val="00320517"/>
    <w:rsid w:val="00320AA4"/>
    <w:rsid w:val="00320E7F"/>
    <w:rsid w:val="00336B60"/>
    <w:rsid w:val="0035108D"/>
    <w:rsid w:val="003569F9"/>
    <w:rsid w:val="003609AA"/>
    <w:rsid w:val="00360ACC"/>
    <w:rsid w:val="00366721"/>
    <w:rsid w:val="003705D4"/>
    <w:rsid w:val="00370990"/>
    <w:rsid w:val="0037698A"/>
    <w:rsid w:val="00383EB0"/>
    <w:rsid w:val="00392124"/>
    <w:rsid w:val="003937B8"/>
    <w:rsid w:val="003C5959"/>
    <w:rsid w:val="003E37C8"/>
    <w:rsid w:val="003E5E68"/>
    <w:rsid w:val="003F73D7"/>
    <w:rsid w:val="00411260"/>
    <w:rsid w:val="004277DA"/>
    <w:rsid w:val="00437040"/>
    <w:rsid w:val="00442630"/>
    <w:rsid w:val="0044304D"/>
    <w:rsid w:val="00446CB3"/>
    <w:rsid w:val="004704C5"/>
    <w:rsid w:val="00474BB1"/>
    <w:rsid w:val="00477888"/>
    <w:rsid w:val="00483F5E"/>
    <w:rsid w:val="00485201"/>
    <w:rsid w:val="00495068"/>
    <w:rsid w:val="004C2DA2"/>
    <w:rsid w:val="004D0888"/>
    <w:rsid w:val="004D17CB"/>
    <w:rsid w:val="004E6316"/>
    <w:rsid w:val="005019C1"/>
    <w:rsid w:val="005070C8"/>
    <w:rsid w:val="005149C8"/>
    <w:rsid w:val="00514CEE"/>
    <w:rsid w:val="00515287"/>
    <w:rsid w:val="005157CF"/>
    <w:rsid w:val="00530D2E"/>
    <w:rsid w:val="00531B5A"/>
    <w:rsid w:val="00553E9D"/>
    <w:rsid w:val="0055447F"/>
    <w:rsid w:val="00560322"/>
    <w:rsid w:val="00562C39"/>
    <w:rsid w:val="00567DFC"/>
    <w:rsid w:val="00571888"/>
    <w:rsid w:val="00577F29"/>
    <w:rsid w:val="00582031"/>
    <w:rsid w:val="005A48A6"/>
    <w:rsid w:val="005A7457"/>
    <w:rsid w:val="005B613F"/>
    <w:rsid w:val="005B656B"/>
    <w:rsid w:val="005C2BFD"/>
    <w:rsid w:val="005E2125"/>
    <w:rsid w:val="0060682D"/>
    <w:rsid w:val="00607A21"/>
    <w:rsid w:val="00607A36"/>
    <w:rsid w:val="00613137"/>
    <w:rsid w:val="006156DF"/>
    <w:rsid w:val="00615DBF"/>
    <w:rsid w:val="00616C5C"/>
    <w:rsid w:val="00624383"/>
    <w:rsid w:val="00625D8D"/>
    <w:rsid w:val="00625F97"/>
    <w:rsid w:val="006360F9"/>
    <w:rsid w:val="00642F36"/>
    <w:rsid w:val="00646917"/>
    <w:rsid w:val="0065156A"/>
    <w:rsid w:val="00656587"/>
    <w:rsid w:val="00657989"/>
    <w:rsid w:val="00696682"/>
    <w:rsid w:val="006A55C3"/>
    <w:rsid w:val="006B0030"/>
    <w:rsid w:val="006B49DE"/>
    <w:rsid w:val="006D413F"/>
    <w:rsid w:val="006D4B91"/>
    <w:rsid w:val="006E353E"/>
    <w:rsid w:val="006E4781"/>
    <w:rsid w:val="006F162E"/>
    <w:rsid w:val="006F6FE8"/>
    <w:rsid w:val="00700A80"/>
    <w:rsid w:val="0070464B"/>
    <w:rsid w:val="00712991"/>
    <w:rsid w:val="00721291"/>
    <w:rsid w:val="007258B1"/>
    <w:rsid w:val="00725C8B"/>
    <w:rsid w:val="00736D8A"/>
    <w:rsid w:val="00741C88"/>
    <w:rsid w:val="00746C52"/>
    <w:rsid w:val="00754CA3"/>
    <w:rsid w:val="0076317A"/>
    <w:rsid w:val="0076549B"/>
    <w:rsid w:val="00766E9C"/>
    <w:rsid w:val="00780288"/>
    <w:rsid w:val="007811B3"/>
    <w:rsid w:val="00793E18"/>
    <w:rsid w:val="007B2A2D"/>
    <w:rsid w:val="007B4C63"/>
    <w:rsid w:val="007C0010"/>
    <w:rsid w:val="007E69AF"/>
    <w:rsid w:val="007F3077"/>
    <w:rsid w:val="007F3922"/>
    <w:rsid w:val="007F4986"/>
    <w:rsid w:val="008040B2"/>
    <w:rsid w:val="0080517C"/>
    <w:rsid w:val="00813E69"/>
    <w:rsid w:val="00816A43"/>
    <w:rsid w:val="00816A44"/>
    <w:rsid w:val="00832638"/>
    <w:rsid w:val="00837596"/>
    <w:rsid w:val="00853F69"/>
    <w:rsid w:val="00863E83"/>
    <w:rsid w:val="00865130"/>
    <w:rsid w:val="00871043"/>
    <w:rsid w:val="008722E0"/>
    <w:rsid w:val="008733E9"/>
    <w:rsid w:val="00892F53"/>
    <w:rsid w:val="00895341"/>
    <w:rsid w:val="008A346F"/>
    <w:rsid w:val="008B13CA"/>
    <w:rsid w:val="008C0137"/>
    <w:rsid w:val="008C5C16"/>
    <w:rsid w:val="008E3B54"/>
    <w:rsid w:val="008F1712"/>
    <w:rsid w:val="008F1769"/>
    <w:rsid w:val="008F1AFE"/>
    <w:rsid w:val="008F382A"/>
    <w:rsid w:val="008F786B"/>
    <w:rsid w:val="0090260C"/>
    <w:rsid w:val="00902E92"/>
    <w:rsid w:val="0090743D"/>
    <w:rsid w:val="00911F4A"/>
    <w:rsid w:val="00916FC3"/>
    <w:rsid w:val="00935EFC"/>
    <w:rsid w:val="00943779"/>
    <w:rsid w:val="009527E9"/>
    <w:rsid w:val="009537EA"/>
    <w:rsid w:val="00961F7F"/>
    <w:rsid w:val="009648BA"/>
    <w:rsid w:val="009677E0"/>
    <w:rsid w:val="00974CD6"/>
    <w:rsid w:val="00983299"/>
    <w:rsid w:val="009844EA"/>
    <w:rsid w:val="009A39D4"/>
    <w:rsid w:val="009A5D19"/>
    <w:rsid w:val="009B6EBB"/>
    <w:rsid w:val="009B7461"/>
    <w:rsid w:val="009C1267"/>
    <w:rsid w:val="009C206F"/>
    <w:rsid w:val="009C37F9"/>
    <w:rsid w:val="009C3FA3"/>
    <w:rsid w:val="009C5CE4"/>
    <w:rsid w:val="009C6CEF"/>
    <w:rsid w:val="009D7044"/>
    <w:rsid w:val="009E6E21"/>
    <w:rsid w:val="009E7262"/>
    <w:rsid w:val="00A0018B"/>
    <w:rsid w:val="00A005B3"/>
    <w:rsid w:val="00A0289A"/>
    <w:rsid w:val="00A04AFD"/>
    <w:rsid w:val="00A130F7"/>
    <w:rsid w:val="00A163B2"/>
    <w:rsid w:val="00A227E8"/>
    <w:rsid w:val="00A32860"/>
    <w:rsid w:val="00A62CD6"/>
    <w:rsid w:val="00A62F99"/>
    <w:rsid w:val="00A65D84"/>
    <w:rsid w:val="00A661FD"/>
    <w:rsid w:val="00A7016C"/>
    <w:rsid w:val="00A735A0"/>
    <w:rsid w:val="00A7474D"/>
    <w:rsid w:val="00A77E8E"/>
    <w:rsid w:val="00A8157A"/>
    <w:rsid w:val="00A8338F"/>
    <w:rsid w:val="00A91633"/>
    <w:rsid w:val="00AA1D89"/>
    <w:rsid w:val="00AA213D"/>
    <w:rsid w:val="00AC035E"/>
    <w:rsid w:val="00AC0FB7"/>
    <w:rsid w:val="00AC772A"/>
    <w:rsid w:val="00AE1E6E"/>
    <w:rsid w:val="00AE40DE"/>
    <w:rsid w:val="00AE4763"/>
    <w:rsid w:val="00AE5230"/>
    <w:rsid w:val="00AE6B3E"/>
    <w:rsid w:val="00B0121B"/>
    <w:rsid w:val="00B0455B"/>
    <w:rsid w:val="00B11E02"/>
    <w:rsid w:val="00B3190C"/>
    <w:rsid w:val="00B3476F"/>
    <w:rsid w:val="00B37E04"/>
    <w:rsid w:val="00B404AB"/>
    <w:rsid w:val="00B43568"/>
    <w:rsid w:val="00B43E79"/>
    <w:rsid w:val="00B477F1"/>
    <w:rsid w:val="00B50AE4"/>
    <w:rsid w:val="00B65B69"/>
    <w:rsid w:val="00B73946"/>
    <w:rsid w:val="00B82095"/>
    <w:rsid w:val="00B8353E"/>
    <w:rsid w:val="00B87465"/>
    <w:rsid w:val="00B90975"/>
    <w:rsid w:val="00B93571"/>
    <w:rsid w:val="00B940D3"/>
    <w:rsid w:val="00B94CBD"/>
    <w:rsid w:val="00BA0454"/>
    <w:rsid w:val="00BA2806"/>
    <w:rsid w:val="00BA7C58"/>
    <w:rsid w:val="00BC321A"/>
    <w:rsid w:val="00BD4F8E"/>
    <w:rsid w:val="00BE345B"/>
    <w:rsid w:val="00BE7C56"/>
    <w:rsid w:val="00BF2FA5"/>
    <w:rsid w:val="00C10509"/>
    <w:rsid w:val="00C312B5"/>
    <w:rsid w:val="00C44DD8"/>
    <w:rsid w:val="00C52FF0"/>
    <w:rsid w:val="00C6128D"/>
    <w:rsid w:val="00C71DF3"/>
    <w:rsid w:val="00C73278"/>
    <w:rsid w:val="00C765C8"/>
    <w:rsid w:val="00C82029"/>
    <w:rsid w:val="00C850D5"/>
    <w:rsid w:val="00C86A5B"/>
    <w:rsid w:val="00C9283A"/>
    <w:rsid w:val="00C93EA0"/>
    <w:rsid w:val="00C95039"/>
    <w:rsid w:val="00CA4615"/>
    <w:rsid w:val="00CA7C6F"/>
    <w:rsid w:val="00CC214A"/>
    <w:rsid w:val="00CD3A6F"/>
    <w:rsid w:val="00CD507C"/>
    <w:rsid w:val="00CD6263"/>
    <w:rsid w:val="00CE7F36"/>
    <w:rsid w:val="00CF7D08"/>
    <w:rsid w:val="00D04A3C"/>
    <w:rsid w:val="00D06C32"/>
    <w:rsid w:val="00D20F1E"/>
    <w:rsid w:val="00D22097"/>
    <w:rsid w:val="00D22887"/>
    <w:rsid w:val="00D22A23"/>
    <w:rsid w:val="00D2429D"/>
    <w:rsid w:val="00D36C41"/>
    <w:rsid w:val="00D4039B"/>
    <w:rsid w:val="00D47FC5"/>
    <w:rsid w:val="00D50496"/>
    <w:rsid w:val="00D533AE"/>
    <w:rsid w:val="00D55A85"/>
    <w:rsid w:val="00D574D5"/>
    <w:rsid w:val="00D750D0"/>
    <w:rsid w:val="00D7737C"/>
    <w:rsid w:val="00D77CBA"/>
    <w:rsid w:val="00D8006B"/>
    <w:rsid w:val="00D87480"/>
    <w:rsid w:val="00D95823"/>
    <w:rsid w:val="00DA3233"/>
    <w:rsid w:val="00DB71FD"/>
    <w:rsid w:val="00DC453F"/>
    <w:rsid w:val="00DC547C"/>
    <w:rsid w:val="00DC57F0"/>
    <w:rsid w:val="00DC5E3D"/>
    <w:rsid w:val="00DD39BD"/>
    <w:rsid w:val="00DE546F"/>
    <w:rsid w:val="00DF241E"/>
    <w:rsid w:val="00E25A07"/>
    <w:rsid w:val="00E333DF"/>
    <w:rsid w:val="00E44E91"/>
    <w:rsid w:val="00E564F7"/>
    <w:rsid w:val="00E6122D"/>
    <w:rsid w:val="00E80363"/>
    <w:rsid w:val="00E83C41"/>
    <w:rsid w:val="00E87842"/>
    <w:rsid w:val="00E93631"/>
    <w:rsid w:val="00E9781D"/>
    <w:rsid w:val="00EA1AC0"/>
    <w:rsid w:val="00EA5648"/>
    <w:rsid w:val="00EA5D76"/>
    <w:rsid w:val="00EB035E"/>
    <w:rsid w:val="00EC2925"/>
    <w:rsid w:val="00EC5579"/>
    <w:rsid w:val="00EC5C40"/>
    <w:rsid w:val="00EC6E32"/>
    <w:rsid w:val="00ED4F75"/>
    <w:rsid w:val="00ED774B"/>
    <w:rsid w:val="00EE0118"/>
    <w:rsid w:val="00EE49CE"/>
    <w:rsid w:val="00EE7C8D"/>
    <w:rsid w:val="00EF24B1"/>
    <w:rsid w:val="00EF3918"/>
    <w:rsid w:val="00F01A62"/>
    <w:rsid w:val="00F0550C"/>
    <w:rsid w:val="00F16EF0"/>
    <w:rsid w:val="00F17081"/>
    <w:rsid w:val="00F23AF2"/>
    <w:rsid w:val="00F30857"/>
    <w:rsid w:val="00F330C3"/>
    <w:rsid w:val="00F35230"/>
    <w:rsid w:val="00F3602D"/>
    <w:rsid w:val="00F44380"/>
    <w:rsid w:val="00F46889"/>
    <w:rsid w:val="00F61DBE"/>
    <w:rsid w:val="00F637B6"/>
    <w:rsid w:val="00F715A1"/>
    <w:rsid w:val="00F75F33"/>
    <w:rsid w:val="00F76852"/>
    <w:rsid w:val="00F76D2A"/>
    <w:rsid w:val="00F84236"/>
    <w:rsid w:val="00FA38A8"/>
    <w:rsid w:val="00FC2568"/>
    <w:rsid w:val="00FC2CE4"/>
    <w:rsid w:val="00FC379E"/>
    <w:rsid w:val="00FD1BDD"/>
    <w:rsid w:val="00FD337C"/>
    <w:rsid w:val="00FD3BAE"/>
    <w:rsid w:val="00FD5236"/>
    <w:rsid w:val="00FD7D5B"/>
    <w:rsid w:val="00FE0F23"/>
    <w:rsid w:val="00FE5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7078"/>
  <w15:docId w15:val="{476C1B5F-259F-41C5-8212-78086C52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numbering" w:customStyle="1" w:styleId="List11">
    <w:name w:val="List11"/>
    <w:basedOn w:val="NoList"/>
    <w:uiPriority w:val="99"/>
    <w:rsid w:val="00FD1BDD"/>
  </w:style>
  <w:style w:type="numbering" w:customStyle="1" w:styleId="Numberlist1">
    <w:name w:val="Number list1"/>
    <w:uiPriority w:val="99"/>
    <w:rsid w:val="00FD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oCRIS@aff.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bout/fees/biosecurity-cri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B3615E5-E183-4640-94F8-43195DB2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c527c9b7-9ec8-4c5f-a515-89657b782942"/>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Fact_sheet_template</Template>
  <TotalTime>310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2024-25 fees and charges for all treatments and storage fees for exports with a traveller from 1 July 2024</vt:lpstr>
    </vt:vector>
  </TitlesOfParts>
  <Company/>
  <LinksUpToDate>false</LinksUpToDate>
  <CharactersWithSpaces>2303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fees and charges for all treatments and storage fees for exports with a traveller from 1 July 2024</dc:title>
  <dc:creator>Department of Agriculture, Fisheries and Forestry</dc:creator>
  <cp:lastModifiedBy>Payne, Leanne</cp:lastModifiedBy>
  <cp:revision>21</cp:revision>
  <cp:lastPrinted>2025-06-25T05:22:00Z</cp:lastPrinted>
  <dcterms:created xsi:type="dcterms:W3CDTF">2025-04-30T00:49:00Z</dcterms:created>
  <dcterms:modified xsi:type="dcterms:W3CDTF">2025-06-25T05:22:00Z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ies>
</file>