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314576" w14:textId="43BDC8E6" w:rsidR="00331180" w:rsidRPr="001D3FAB" w:rsidRDefault="00556365" w:rsidP="00331180">
      <w:pPr>
        <w:pStyle w:val="Heading1"/>
      </w:pPr>
      <w:r w:rsidRPr="001D3FAB">
        <w:t xml:space="preserve">Biosecurity </w:t>
      </w:r>
      <w:r w:rsidR="00B262C0" w:rsidRPr="003B2D42">
        <w:t>cost recovery implementation statement</w:t>
      </w:r>
      <w:r w:rsidR="00B262C0" w:rsidRPr="009D5301">
        <w:t xml:space="preserve"> </w:t>
      </w:r>
      <w:r w:rsidRPr="00E5351A">
        <w:t>2025</w:t>
      </w:r>
      <w:r w:rsidR="009D5301">
        <w:t>–</w:t>
      </w:r>
      <w:r w:rsidRPr="006D12C7">
        <w:t>26</w:t>
      </w:r>
      <w:bookmarkStart w:id="0" w:name="_Hlk183592697"/>
    </w:p>
    <w:p w14:paraId="31D07CF5" w14:textId="5D40C7EB" w:rsidR="00764D6A" w:rsidRDefault="00331180" w:rsidP="006769C4">
      <w:pPr>
        <w:pStyle w:val="Normalsmall"/>
      </w:pPr>
      <w:r>
        <w:rPr>
          <w:highlight w:val="green"/>
        </w:rPr>
        <w:br w:type="page"/>
      </w:r>
      <w:bookmarkEnd w:id="0"/>
      <w:r w:rsidR="00E91D72">
        <w:lastRenderedPageBreak/>
        <w:t xml:space="preserve">© Commonwealth of Australia </w:t>
      </w:r>
      <w:r w:rsidR="00B97E61">
        <w:t>202</w:t>
      </w:r>
      <w:r w:rsidR="0031683D">
        <w:t>5</w:t>
      </w:r>
    </w:p>
    <w:p w14:paraId="2656992D" w14:textId="77777777" w:rsidR="00764D6A" w:rsidRDefault="00E91D72">
      <w:pPr>
        <w:pStyle w:val="Normalsmall"/>
        <w:rPr>
          <w:rStyle w:val="Strong"/>
        </w:rPr>
      </w:pPr>
      <w:r>
        <w:rPr>
          <w:rStyle w:val="Strong"/>
        </w:rPr>
        <w:t>Ownership of intellectual property rights</w:t>
      </w:r>
    </w:p>
    <w:p w14:paraId="633F197B" w14:textId="77777777" w:rsidR="00764D6A" w:rsidRDefault="00E91D72">
      <w:pPr>
        <w:pStyle w:val="Normalsmall"/>
      </w:pPr>
      <w:r>
        <w:t>Unless otherwise noted, copyright (and any other intellectual property rights) in this publication is owned by the Commonwealth of Australia (referred to as the Commonwealth).</w:t>
      </w:r>
    </w:p>
    <w:p w14:paraId="06C15E20" w14:textId="77777777" w:rsidR="00764D6A" w:rsidRDefault="00E91D72">
      <w:pPr>
        <w:pStyle w:val="Normalsmall"/>
        <w:rPr>
          <w:rStyle w:val="Strong"/>
        </w:rPr>
      </w:pPr>
      <w:r>
        <w:rPr>
          <w:rStyle w:val="Strong"/>
        </w:rPr>
        <w:t>Creative Commons licence</w:t>
      </w:r>
    </w:p>
    <w:p w14:paraId="4344AE51" w14:textId="77777777" w:rsidR="00764D6A" w:rsidRDefault="00E91D72">
      <w:pPr>
        <w:pStyle w:val="Normalsmall"/>
      </w:pPr>
      <w:r>
        <w:t xml:space="preserve">All material in this publication is licensed under a </w:t>
      </w:r>
      <w:hyperlink r:id="rId13" w:history="1">
        <w:r>
          <w:rPr>
            <w:rStyle w:val="Hyperlink"/>
          </w:rPr>
          <w:t>Creative Commons Attribution 4.0 International Licence</w:t>
        </w:r>
      </w:hyperlink>
      <w:r>
        <w:t xml:space="preserve"> except content supplied by third parties, logos and the Commonwealth Coat of Arms.</w:t>
      </w:r>
    </w:p>
    <w:p w14:paraId="3CE03836" w14:textId="77777777" w:rsidR="00764D6A" w:rsidRPr="00364A4A" w:rsidRDefault="00E91D72">
      <w:pPr>
        <w:pStyle w:val="Normalsmall"/>
      </w:pPr>
      <w:r w:rsidRPr="00364A4A">
        <w:rPr>
          <w:noProof/>
          <w:lang w:eastAsia="en-AU"/>
        </w:rPr>
        <w:drawing>
          <wp:inline distT="0" distB="0" distL="0" distR="0" wp14:anchorId="06F7879C" wp14:editId="611A152E">
            <wp:extent cx="724535" cy="255270"/>
            <wp:effectExtent l="0" t="0" r="0" b="0"/>
            <wp:docPr id="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C183D7F6-B498-43B3-948B-1728B52AA6E4}">
                          <adec:decorative xmlns:adec="http://schemas.microsoft.com/office/drawing/2017/decorative" val="1"/>
                        </a:ext>
                      </a:extLst>
                    </pic:cNvPr>
                    <pic:cNvPicPr>
                      <a:picLocks noChangeAspect="1" noChangeArrowheads="1"/>
                    </pic:cNvPicPr>
                  </pic:nvPicPr>
                  <pic:blipFill>
                    <a:blip r:embed="rId14" cstate="print"/>
                    <a:srcRect/>
                    <a:stretch>
                      <a:fillRect/>
                    </a:stretch>
                  </pic:blipFill>
                  <pic:spPr bwMode="auto">
                    <a:xfrm>
                      <a:off x="0" y="0"/>
                      <a:ext cx="724535" cy="255270"/>
                    </a:xfrm>
                    <a:prstGeom prst="rect">
                      <a:avLst/>
                    </a:prstGeom>
                    <a:noFill/>
                    <a:ln w="9525">
                      <a:noFill/>
                      <a:miter lim="800000"/>
                      <a:headEnd/>
                      <a:tailEnd/>
                    </a:ln>
                  </pic:spPr>
                </pic:pic>
              </a:graphicData>
            </a:graphic>
          </wp:inline>
        </w:drawing>
      </w:r>
    </w:p>
    <w:p w14:paraId="00D940D8" w14:textId="77777777" w:rsidR="00764D6A" w:rsidRPr="00364A4A" w:rsidRDefault="00E91D72">
      <w:pPr>
        <w:pStyle w:val="Normalsmall"/>
        <w:rPr>
          <w:rStyle w:val="Strong"/>
        </w:rPr>
      </w:pPr>
      <w:r w:rsidRPr="00364A4A">
        <w:rPr>
          <w:rStyle w:val="Strong"/>
        </w:rPr>
        <w:t>Cataloguing data</w:t>
      </w:r>
    </w:p>
    <w:p w14:paraId="29994E0D" w14:textId="32527D6D" w:rsidR="00764D6A" w:rsidRDefault="00E91D72">
      <w:pPr>
        <w:pStyle w:val="Normalsmall"/>
      </w:pPr>
      <w:r w:rsidRPr="00364A4A">
        <w:t xml:space="preserve">This publication (and any material sourced from it) should be attributed as: </w:t>
      </w:r>
      <w:r w:rsidR="009D5007" w:rsidRPr="008103A5">
        <w:t>DA</w:t>
      </w:r>
      <w:r w:rsidR="00DE0AAE" w:rsidRPr="008103A5">
        <w:t>FF</w:t>
      </w:r>
      <w:r w:rsidR="00B97E61" w:rsidRPr="008103A5">
        <w:t xml:space="preserve"> 202</w:t>
      </w:r>
      <w:r w:rsidR="00121C20">
        <w:t>5</w:t>
      </w:r>
      <w:r w:rsidRPr="008103A5">
        <w:t xml:space="preserve">, </w:t>
      </w:r>
      <w:r w:rsidR="00B262C0" w:rsidRPr="001D3FAB">
        <w:rPr>
          <w:rStyle w:val="Emphasis"/>
        </w:rPr>
        <w:t>Biosecurity cost recovery implementation statement 2025–26</w:t>
      </w:r>
      <w:r w:rsidRPr="008103A5">
        <w:t xml:space="preserve">, </w:t>
      </w:r>
      <w:r w:rsidR="00DE0AAE" w:rsidRPr="008103A5">
        <w:t>Department of Agriculture, Fisheries and Forestry</w:t>
      </w:r>
      <w:r>
        <w:t xml:space="preserve">, Canberra, </w:t>
      </w:r>
      <w:r w:rsidR="00162673">
        <w:t>June</w:t>
      </w:r>
      <w:r>
        <w:t>. CC BY 4.0.</w:t>
      </w:r>
    </w:p>
    <w:p w14:paraId="14059659" w14:textId="5C5F3A71" w:rsidR="00253987" w:rsidRDefault="00E91D72">
      <w:pPr>
        <w:pStyle w:val="Normalsmall"/>
      </w:pPr>
      <w:r>
        <w:t xml:space="preserve">This </w:t>
      </w:r>
      <w:r w:rsidRPr="00364A4A">
        <w:t xml:space="preserve">publication is available at </w:t>
      </w:r>
      <w:hyperlink r:id="rId15" w:history="1">
        <w:r w:rsidR="00B262C0">
          <w:rPr>
            <w:rStyle w:val="Hyperlink"/>
          </w:rPr>
          <w:t>agriculture.gov.au/about/fees/biosecurity-cris</w:t>
        </w:r>
      </w:hyperlink>
      <w:r w:rsidR="00B262C0">
        <w:t>.</w:t>
      </w:r>
    </w:p>
    <w:p w14:paraId="27F61712" w14:textId="77777777" w:rsidR="00DE0AAE" w:rsidRDefault="00DE0AAE">
      <w:pPr>
        <w:pStyle w:val="Normalsmall"/>
        <w:spacing w:after="0"/>
      </w:pPr>
      <w:r w:rsidRPr="00DE0AAE">
        <w:t>Department of Agriculture, Fisheries and Forestry</w:t>
      </w:r>
    </w:p>
    <w:p w14:paraId="26DFD70C" w14:textId="77777777" w:rsidR="00764D6A" w:rsidRPr="00364A4A" w:rsidRDefault="00E91D72">
      <w:pPr>
        <w:pStyle w:val="Normalsmall"/>
        <w:spacing w:after="0"/>
      </w:pPr>
      <w:r w:rsidRPr="00364A4A">
        <w:t>GPO Box 858 Canberra ACT 2601</w:t>
      </w:r>
    </w:p>
    <w:p w14:paraId="7449A21A" w14:textId="77777777" w:rsidR="00764D6A" w:rsidRPr="00364A4A" w:rsidRDefault="00E91D72">
      <w:pPr>
        <w:pStyle w:val="Normalsmall"/>
        <w:spacing w:after="0"/>
      </w:pPr>
      <w:r w:rsidRPr="00364A4A">
        <w:t>Telephone 1800 900 090</w:t>
      </w:r>
    </w:p>
    <w:p w14:paraId="47DCA8DF" w14:textId="77777777" w:rsidR="00764D6A" w:rsidRPr="00364A4A" w:rsidRDefault="00E91D72">
      <w:pPr>
        <w:pStyle w:val="Normalsmall"/>
      </w:pPr>
      <w:r w:rsidRPr="00364A4A">
        <w:t xml:space="preserve">Web </w:t>
      </w:r>
      <w:hyperlink r:id="rId16" w:history="1">
        <w:r w:rsidR="00DE0AAE" w:rsidRPr="00364A4A">
          <w:rPr>
            <w:rStyle w:val="Hyperlink"/>
          </w:rPr>
          <w:t>agriculture.gov.au</w:t>
        </w:r>
      </w:hyperlink>
    </w:p>
    <w:p w14:paraId="77473C5D" w14:textId="77777777" w:rsidR="007C358A" w:rsidRDefault="007C358A">
      <w:pPr>
        <w:pStyle w:val="Normalsmall"/>
      </w:pPr>
      <w:r w:rsidRPr="00364A4A">
        <w:rPr>
          <w:rStyle w:val="Strong"/>
        </w:rPr>
        <w:t>Disclaimer</w:t>
      </w:r>
    </w:p>
    <w:p w14:paraId="02E3B553" w14:textId="77777777" w:rsidR="00764D6A" w:rsidRDefault="00E91D72">
      <w:pPr>
        <w:pStyle w:val="Normalsmall"/>
      </w:pPr>
      <w:r>
        <w:t xml:space="preserve">The Australian Government acting through the </w:t>
      </w:r>
      <w:r w:rsidR="00DE0AAE" w:rsidRPr="00DE0AAE">
        <w:t>Department of Agriculture, Fisheries and Forestry</w:t>
      </w:r>
      <w:r>
        <w:t xml:space="preserve"> has exercised due care and skill in preparing and compiling the information and data in this publication. Notwithstanding, the </w:t>
      </w:r>
      <w:r w:rsidR="00DE0AAE" w:rsidRPr="00DE0AAE">
        <w:t>Department of Agriculture, Fisheries and Forestry</w:t>
      </w:r>
      <w:r>
        <w:t>, its employees and advisers disclaim all liability, including liability for negligence and for any loss, damage, injury, expense or cost incurred by any person as a result of accessing, using or relying on any of the information or data in this publication to the maximum extent permitted by law.</w:t>
      </w:r>
    </w:p>
    <w:p w14:paraId="5409985B" w14:textId="77777777" w:rsidR="00B02B9B" w:rsidRDefault="00B02B9B" w:rsidP="00B02B9B">
      <w:pPr>
        <w:pStyle w:val="Normalsmall"/>
      </w:pPr>
      <w:r>
        <w:rPr>
          <w:rStyle w:val="Strong"/>
        </w:rPr>
        <w:t>Acknowledgement of Country</w:t>
      </w:r>
    </w:p>
    <w:p w14:paraId="0F26ABFC" w14:textId="77777777" w:rsidR="00517A68" w:rsidRDefault="00DE21ED" w:rsidP="00432172">
      <w:pPr>
        <w:pStyle w:val="Normalsmall"/>
      </w:pPr>
      <w:r w:rsidRPr="00DE21ED">
        <w:t>We acknowledge the continuous connection of First Nations Traditional Owners and Custodians to the lands, seas and waters of Australia. We recognise their care for and cultivation of Country. We pay respect to Elders past and present, and recognise their knowledge and contribution to the productivity, innovation and sustainability of Australia’s agriculture, fisheries and forestry industries.</w:t>
      </w:r>
    </w:p>
    <w:p w14:paraId="49A5D4A0" w14:textId="4D3D6FFA" w:rsidR="00347D5F" w:rsidRPr="008336F3" w:rsidRDefault="00347D5F" w:rsidP="008336F3">
      <w:r>
        <w:rPr>
          <w:rStyle w:val="Hyperlink"/>
        </w:rPr>
        <w:br w:type="page"/>
      </w:r>
    </w:p>
    <w:bookmarkStart w:id="1" w:name="_Toc183501103" w:displacedByCustomXml="next"/>
    <w:bookmarkStart w:id="2" w:name="_Toc430782149" w:displacedByCustomXml="next"/>
    <w:sdt>
      <w:sdtPr>
        <w:rPr>
          <w:rFonts w:asciiTheme="minorHAnsi" w:eastAsiaTheme="minorHAnsi" w:hAnsiTheme="minorHAnsi"/>
          <w:b/>
          <w:bCs w:val="0"/>
          <w:noProof/>
          <w:sz w:val="22"/>
          <w:szCs w:val="22"/>
          <w:lang w:eastAsia="en-US"/>
        </w:rPr>
        <w:id w:val="-1099400785"/>
        <w:docPartObj>
          <w:docPartGallery w:val="Table of Contents"/>
          <w:docPartUnique/>
        </w:docPartObj>
      </w:sdtPr>
      <w:sdtEndPr/>
      <w:sdtContent>
        <w:p w14:paraId="05D3CB2E" w14:textId="345941C4" w:rsidR="00B005E0" w:rsidRDefault="00B005E0">
          <w:pPr>
            <w:pStyle w:val="TOCHeading"/>
          </w:pPr>
          <w:r>
            <w:t>Contents</w:t>
          </w:r>
        </w:p>
        <w:p w14:paraId="67AE213E" w14:textId="07918494" w:rsidR="008336F3" w:rsidRDefault="00DB1BA9">
          <w:pPr>
            <w:pStyle w:val="TOC1"/>
            <w:rPr>
              <w:rFonts w:eastAsiaTheme="minorEastAsia"/>
              <w:b w:val="0"/>
              <w:kern w:val="2"/>
              <w:sz w:val="24"/>
              <w:szCs w:val="24"/>
              <w:lang w:eastAsia="en-AU"/>
              <w14:ligatures w14:val="standardContextual"/>
            </w:rPr>
          </w:pPr>
          <w:r>
            <w:rPr>
              <w:b w:val="0"/>
            </w:rPr>
            <w:fldChar w:fldCharType="begin"/>
          </w:r>
          <w:r>
            <w:rPr>
              <w:b w:val="0"/>
            </w:rPr>
            <w:instrText xml:space="preserve"> TOC \h \z \u \t "Heading 2,1,Heading 3,2,Subtitle,1,TOA Heading,1" </w:instrText>
          </w:r>
          <w:r>
            <w:rPr>
              <w:b w:val="0"/>
            </w:rPr>
            <w:fldChar w:fldCharType="separate"/>
          </w:r>
          <w:hyperlink w:anchor="_Toc200115582" w:history="1">
            <w:r w:rsidR="008336F3" w:rsidRPr="00553AAC">
              <w:rPr>
                <w:rStyle w:val="Hyperlink"/>
              </w:rPr>
              <w:t>Introduction</w:t>
            </w:r>
            <w:r w:rsidR="008336F3">
              <w:rPr>
                <w:webHidden/>
              </w:rPr>
              <w:tab/>
            </w:r>
            <w:r w:rsidR="008336F3">
              <w:rPr>
                <w:webHidden/>
              </w:rPr>
              <w:fldChar w:fldCharType="begin"/>
            </w:r>
            <w:r w:rsidR="008336F3">
              <w:rPr>
                <w:webHidden/>
              </w:rPr>
              <w:instrText xml:space="preserve"> PAGEREF _Toc200115582 \h </w:instrText>
            </w:r>
            <w:r w:rsidR="008336F3">
              <w:rPr>
                <w:webHidden/>
              </w:rPr>
            </w:r>
            <w:r w:rsidR="008336F3">
              <w:rPr>
                <w:webHidden/>
              </w:rPr>
              <w:fldChar w:fldCharType="separate"/>
            </w:r>
            <w:r w:rsidR="005A290D">
              <w:rPr>
                <w:webHidden/>
              </w:rPr>
              <w:t>1</w:t>
            </w:r>
            <w:r w:rsidR="008336F3">
              <w:rPr>
                <w:webHidden/>
              </w:rPr>
              <w:fldChar w:fldCharType="end"/>
            </w:r>
          </w:hyperlink>
        </w:p>
        <w:p w14:paraId="1E3E2FE7" w14:textId="1C0D415A" w:rsidR="008336F3" w:rsidRDefault="008336F3">
          <w:pPr>
            <w:pStyle w:val="TOC2"/>
            <w:rPr>
              <w:rFonts w:eastAsiaTheme="minorEastAsia"/>
              <w:kern w:val="2"/>
              <w:sz w:val="24"/>
              <w:szCs w:val="24"/>
              <w:lang w:eastAsia="en-AU"/>
              <w14:ligatures w14:val="standardContextual"/>
            </w:rPr>
          </w:pPr>
          <w:hyperlink w:anchor="_Toc200115583" w:history="1">
            <w:r w:rsidRPr="00553AAC">
              <w:rPr>
                <w:rStyle w:val="Hyperlink"/>
                <w:lang w:eastAsia="ja-JP"/>
              </w:rPr>
              <w:t>Purpose</w:t>
            </w:r>
            <w:r>
              <w:rPr>
                <w:webHidden/>
              </w:rPr>
              <w:tab/>
            </w:r>
            <w:r>
              <w:rPr>
                <w:webHidden/>
              </w:rPr>
              <w:fldChar w:fldCharType="begin"/>
            </w:r>
            <w:r>
              <w:rPr>
                <w:webHidden/>
              </w:rPr>
              <w:instrText xml:space="preserve"> PAGEREF _Toc200115583 \h </w:instrText>
            </w:r>
            <w:r>
              <w:rPr>
                <w:webHidden/>
              </w:rPr>
            </w:r>
            <w:r>
              <w:rPr>
                <w:webHidden/>
              </w:rPr>
              <w:fldChar w:fldCharType="separate"/>
            </w:r>
            <w:r w:rsidR="005A290D">
              <w:rPr>
                <w:webHidden/>
              </w:rPr>
              <w:t>1</w:t>
            </w:r>
            <w:r>
              <w:rPr>
                <w:webHidden/>
              </w:rPr>
              <w:fldChar w:fldCharType="end"/>
            </w:r>
          </w:hyperlink>
        </w:p>
        <w:p w14:paraId="52C0655E" w14:textId="17809E5E" w:rsidR="008336F3" w:rsidRDefault="008336F3">
          <w:pPr>
            <w:pStyle w:val="TOC1"/>
            <w:rPr>
              <w:rFonts w:eastAsiaTheme="minorEastAsia"/>
              <w:b w:val="0"/>
              <w:kern w:val="2"/>
              <w:sz w:val="24"/>
              <w:szCs w:val="24"/>
              <w:lang w:eastAsia="en-AU"/>
              <w14:ligatures w14:val="standardContextual"/>
            </w:rPr>
          </w:pPr>
          <w:hyperlink w:anchor="_Toc200115584" w:history="1">
            <w:r w:rsidRPr="00553AAC">
              <w:rPr>
                <w:rStyle w:val="Hyperlink"/>
              </w:rPr>
              <w:t>1</w:t>
            </w:r>
            <w:r>
              <w:rPr>
                <w:rFonts w:eastAsiaTheme="minorEastAsia"/>
                <w:b w:val="0"/>
                <w:kern w:val="2"/>
                <w:sz w:val="24"/>
                <w:szCs w:val="24"/>
                <w:lang w:eastAsia="en-AU"/>
                <w14:ligatures w14:val="standardContextual"/>
              </w:rPr>
              <w:tab/>
            </w:r>
            <w:r w:rsidRPr="00553AAC">
              <w:rPr>
                <w:rStyle w:val="Hyperlink"/>
              </w:rPr>
              <w:t>The regulatory environment</w:t>
            </w:r>
            <w:r>
              <w:rPr>
                <w:webHidden/>
              </w:rPr>
              <w:tab/>
            </w:r>
            <w:r>
              <w:rPr>
                <w:webHidden/>
              </w:rPr>
              <w:fldChar w:fldCharType="begin"/>
            </w:r>
            <w:r>
              <w:rPr>
                <w:webHidden/>
              </w:rPr>
              <w:instrText xml:space="preserve"> PAGEREF _Toc200115584 \h </w:instrText>
            </w:r>
            <w:r>
              <w:rPr>
                <w:webHidden/>
              </w:rPr>
            </w:r>
            <w:r>
              <w:rPr>
                <w:webHidden/>
              </w:rPr>
              <w:fldChar w:fldCharType="separate"/>
            </w:r>
            <w:r w:rsidR="005A290D">
              <w:rPr>
                <w:webHidden/>
              </w:rPr>
              <w:t>2</w:t>
            </w:r>
            <w:r>
              <w:rPr>
                <w:webHidden/>
              </w:rPr>
              <w:fldChar w:fldCharType="end"/>
            </w:r>
          </w:hyperlink>
        </w:p>
        <w:p w14:paraId="39FDA6AF" w14:textId="33901A56" w:rsidR="008336F3" w:rsidRDefault="008336F3">
          <w:pPr>
            <w:pStyle w:val="TOC2"/>
            <w:tabs>
              <w:tab w:val="left" w:pos="1200"/>
            </w:tabs>
            <w:rPr>
              <w:rFonts w:eastAsiaTheme="minorEastAsia"/>
              <w:kern w:val="2"/>
              <w:sz w:val="24"/>
              <w:szCs w:val="24"/>
              <w:lang w:eastAsia="en-AU"/>
              <w14:ligatures w14:val="standardContextual"/>
            </w:rPr>
          </w:pPr>
          <w:hyperlink w:anchor="_Toc200115585" w:history="1">
            <w:r w:rsidRPr="00553AAC">
              <w:rPr>
                <w:rStyle w:val="Hyperlink"/>
              </w:rPr>
              <w:t>1.1</w:t>
            </w:r>
            <w:r>
              <w:rPr>
                <w:rFonts w:eastAsiaTheme="minorEastAsia"/>
                <w:kern w:val="2"/>
                <w:sz w:val="24"/>
                <w:szCs w:val="24"/>
                <w:lang w:eastAsia="en-AU"/>
                <w14:ligatures w14:val="standardContextual"/>
              </w:rPr>
              <w:tab/>
            </w:r>
            <w:r w:rsidRPr="00553AAC">
              <w:rPr>
                <w:rStyle w:val="Hyperlink"/>
              </w:rPr>
              <w:t>Description of regulatory activity</w:t>
            </w:r>
            <w:r>
              <w:rPr>
                <w:webHidden/>
              </w:rPr>
              <w:tab/>
            </w:r>
            <w:r>
              <w:rPr>
                <w:webHidden/>
              </w:rPr>
              <w:fldChar w:fldCharType="begin"/>
            </w:r>
            <w:r>
              <w:rPr>
                <w:webHidden/>
              </w:rPr>
              <w:instrText xml:space="preserve"> PAGEREF _Toc200115585 \h </w:instrText>
            </w:r>
            <w:r>
              <w:rPr>
                <w:webHidden/>
              </w:rPr>
            </w:r>
            <w:r>
              <w:rPr>
                <w:webHidden/>
              </w:rPr>
              <w:fldChar w:fldCharType="separate"/>
            </w:r>
            <w:r w:rsidR="005A290D">
              <w:rPr>
                <w:webHidden/>
              </w:rPr>
              <w:t>2</w:t>
            </w:r>
            <w:r>
              <w:rPr>
                <w:webHidden/>
              </w:rPr>
              <w:fldChar w:fldCharType="end"/>
            </w:r>
          </w:hyperlink>
        </w:p>
        <w:p w14:paraId="52F051C1" w14:textId="63BD7C4C" w:rsidR="008336F3" w:rsidRDefault="008336F3">
          <w:pPr>
            <w:pStyle w:val="TOC2"/>
            <w:tabs>
              <w:tab w:val="left" w:pos="1200"/>
            </w:tabs>
            <w:rPr>
              <w:rFonts w:eastAsiaTheme="minorEastAsia"/>
              <w:kern w:val="2"/>
              <w:sz w:val="24"/>
              <w:szCs w:val="24"/>
              <w:lang w:eastAsia="en-AU"/>
              <w14:ligatures w14:val="standardContextual"/>
            </w:rPr>
          </w:pPr>
          <w:hyperlink w:anchor="_Toc200115586" w:history="1">
            <w:r w:rsidRPr="00553AAC">
              <w:rPr>
                <w:rStyle w:val="Hyperlink"/>
              </w:rPr>
              <w:t>1.2</w:t>
            </w:r>
            <w:r>
              <w:rPr>
                <w:rFonts w:eastAsiaTheme="minorEastAsia"/>
                <w:kern w:val="2"/>
                <w:sz w:val="24"/>
                <w:szCs w:val="24"/>
                <w:lang w:eastAsia="en-AU"/>
                <w14:ligatures w14:val="standardContextual"/>
              </w:rPr>
              <w:tab/>
            </w:r>
            <w:r w:rsidRPr="00553AAC">
              <w:rPr>
                <w:rStyle w:val="Hyperlink"/>
              </w:rPr>
              <w:t>Industry and regulatory groups</w:t>
            </w:r>
            <w:r>
              <w:rPr>
                <w:webHidden/>
              </w:rPr>
              <w:tab/>
            </w:r>
            <w:r>
              <w:rPr>
                <w:webHidden/>
              </w:rPr>
              <w:fldChar w:fldCharType="begin"/>
            </w:r>
            <w:r>
              <w:rPr>
                <w:webHidden/>
              </w:rPr>
              <w:instrText xml:space="preserve"> PAGEREF _Toc200115586 \h </w:instrText>
            </w:r>
            <w:r>
              <w:rPr>
                <w:webHidden/>
              </w:rPr>
            </w:r>
            <w:r>
              <w:rPr>
                <w:webHidden/>
              </w:rPr>
              <w:fldChar w:fldCharType="separate"/>
            </w:r>
            <w:r w:rsidR="005A290D">
              <w:rPr>
                <w:webHidden/>
              </w:rPr>
              <w:t>2</w:t>
            </w:r>
            <w:r>
              <w:rPr>
                <w:webHidden/>
              </w:rPr>
              <w:fldChar w:fldCharType="end"/>
            </w:r>
          </w:hyperlink>
        </w:p>
        <w:p w14:paraId="687D2C35" w14:textId="0254294D" w:rsidR="008336F3" w:rsidRDefault="008336F3">
          <w:pPr>
            <w:pStyle w:val="TOC2"/>
            <w:tabs>
              <w:tab w:val="left" w:pos="1200"/>
            </w:tabs>
            <w:rPr>
              <w:rFonts w:eastAsiaTheme="minorEastAsia"/>
              <w:kern w:val="2"/>
              <w:sz w:val="24"/>
              <w:szCs w:val="24"/>
              <w:lang w:eastAsia="en-AU"/>
              <w14:ligatures w14:val="standardContextual"/>
            </w:rPr>
          </w:pPr>
          <w:hyperlink w:anchor="_Toc200115587" w:history="1">
            <w:r w:rsidRPr="00553AAC">
              <w:rPr>
                <w:rStyle w:val="Hyperlink"/>
              </w:rPr>
              <w:t>1.3</w:t>
            </w:r>
            <w:r>
              <w:rPr>
                <w:rFonts w:eastAsiaTheme="minorEastAsia"/>
                <w:kern w:val="2"/>
                <w:sz w:val="24"/>
                <w:szCs w:val="24"/>
                <w:lang w:eastAsia="en-AU"/>
                <w14:ligatures w14:val="standardContextual"/>
              </w:rPr>
              <w:tab/>
            </w:r>
            <w:r w:rsidRPr="00553AAC">
              <w:rPr>
                <w:rStyle w:val="Hyperlink"/>
              </w:rPr>
              <w:t>Biosecurity system</w:t>
            </w:r>
            <w:r>
              <w:rPr>
                <w:webHidden/>
              </w:rPr>
              <w:tab/>
            </w:r>
            <w:r>
              <w:rPr>
                <w:webHidden/>
              </w:rPr>
              <w:fldChar w:fldCharType="begin"/>
            </w:r>
            <w:r>
              <w:rPr>
                <w:webHidden/>
              </w:rPr>
              <w:instrText xml:space="preserve"> PAGEREF _Toc200115587 \h </w:instrText>
            </w:r>
            <w:r>
              <w:rPr>
                <w:webHidden/>
              </w:rPr>
            </w:r>
            <w:r>
              <w:rPr>
                <w:webHidden/>
              </w:rPr>
              <w:fldChar w:fldCharType="separate"/>
            </w:r>
            <w:r w:rsidR="005A290D">
              <w:rPr>
                <w:webHidden/>
              </w:rPr>
              <w:t>3</w:t>
            </w:r>
            <w:r>
              <w:rPr>
                <w:webHidden/>
              </w:rPr>
              <w:fldChar w:fldCharType="end"/>
            </w:r>
          </w:hyperlink>
        </w:p>
        <w:p w14:paraId="2515D7F4" w14:textId="682FBA14" w:rsidR="008336F3" w:rsidRDefault="008336F3">
          <w:pPr>
            <w:pStyle w:val="TOC1"/>
            <w:rPr>
              <w:rFonts w:eastAsiaTheme="minorEastAsia"/>
              <w:b w:val="0"/>
              <w:kern w:val="2"/>
              <w:sz w:val="24"/>
              <w:szCs w:val="24"/>
              <w:lang w:eastAsia="en-AU"/>
              <w14:ligatures w14:val="standardContextual"/>
            </w:rPr>
          </w:pPr>
          <w:hyperlink w:anchor="_Toc200115588" w:history="1">
            <w:r w:rsidRPr="00553AAC">
              <w:rPr>
                <w:rStyle w:val="Hyperlink"/>
              </w:rPr>
              <w:t>2</w:t>
            </w:r>
            <w:r>
              <w:rPr>
                <w:rFonts w:eastAsiaTheme="minorEastAsia"/>
                <w:b w:val="0"/>
                <w:kern w:val="2"/>
                <w:sz w:val="24"/>
                <w:szCs w:val="24"/>
                <w:lang w:eastAsia="en-AU"/>
                <w14:ligatures w14:val="standardContextual"/>
              </w:rPr>
              <w:tab/>
            </w:r>
            <w:r w:rsidRPr="00553AAC">
              <w:rPr>
                <w:rStyle w:val="Hyperlink"/>
              </w:rPr>
              <w:t>Policy and statutory authority to cost recover</w:t>
            </w:r>
            <w:r>
              <w:rPr>
                <w:webHidden/>
              </w:rPr>
              <w:tab/>
            </w:r>
            <w:r>
              <w:rPr>
                <w:webHidden/>
              </w:rPr>
              <w:fldChar w:fldCharType="begin"/>
            </w:r>
            <w:r>
              <w:rPr>
                <w:webHidden/>
              </w:rPr>
              <w:instrText xml:space="preserve"> PAGEREF _Toc200115588 \h </w:instrText>
            </w:r>
            <w:r>
              <w:rPr>
                <w:webHidden/>
              </w:rPr>
            </w:r>
            <w:r>
              <w:rPr>
                <w:webHidden/>
              </w:rPr>
              <w:fldChar w:fldCharType="separate"/>
            </w:r>
            <w:r w:rsidR="005A290D">
              <w:rPr>
                <w:webHidden/>
              </w:rPr>
              <w:t>4</w:t>
            </w:r>
            <w:r>
              <w:rPr>
                <w:webHidden/>
              </w:rPr>
              <w:fldChar w:fldCharType="end"/>
            </w:r>
          </w:hyperlink>
        </w:p>
        <w:p w14:paraId="520A784B" w14:textId="4A3B781B" w:rsidR="008336F3" w:rsidRDefault="008336F3">
          <w:pPr>
            <w:pStyle w:val="TOC2"/>
            <w:tabs>
              <w:tab w:val="left" w:pos="1200"/>
            </w:tabs>
            <w:rPr>
              <w:rFonts w:eastAsiaTheme="minorEastAsia"/>
              <w:kern w:val="2"/>
              <w:sz w:val="24"/>
              <w:szCs w:val="24"/>
              <w:lang w:eastAsia="en-AU"/>
              <w14:ligatures w14:val="standardContextual"/>
            </w:rPr>
          </w:pPr>
          <w:hyperlink w:anchor="_Toc200115589" w:history="1">
            <w:r w:rsidRPr="00553AAC">
              <w:rPr>
                <w:rStyle w:val="Hyperlink"/>
                <w:lang w:eastAsia="ja-JP"/>
              </w:rPr>
              <w:t>2.1</w:t>
            </w:r>
            <w:r>
              <w:rPr>
                <w:rFonts w:eastAsiaTheme="minorEastAsia"/>
                <w:kern w:val="2"/>
                <w:sz w:val="24"/>
                <w:szCs w:val="24"/>
                <w:lang w:eastAsia="en-AU"/>
                <w14:ligatures w14:val="standardContextual"/>
              </w:rPr>
              <w:tab/>
            </w:r>
            <w:r w:rsidRPr="00553AAC">
              <w:rPr>
                <w:rStyle w:val="Hyperlink"/>
                <w:lang w:eastAsia="ja-JP"/>
              </w:rPr>
              <w:t>Government policy approval for this regulatory activity</w:t>
            </w:r>
            <w:r>
              <w:rPr>
                <w:webHidden/>
              </w:rPr>
              <w:tab/>
            </w:r>
            <w:r>
              <w:rPr>
                <w:webHidden/>
              </w:rPr>
              <w:fldChar w:fldCharType="begin"/>
            </w:r>
            <w:r>
              <w:rPr>
                <w:webHidden/>
              </w:rPr>
              <w:instrText xml:space="preserve"> PAGEREF _Toc200115589 \h </w:instrText>
            </w:r>
            <w:r>
              <w:rPr>
                <w:webHidden/>
              </w:rPr>
            </w:r>
            <w:r>
              <w:rPr>
                <w:webHidden/>
              </w:rPr>
              <w:fldChar w:fldCharType="separate"/>
            </w:r>
            <w:r w:rsidR="005A290D">
              <w:rPr>
                <w:webHidden/>
              </w:rPr>
              <w:t>4</w:t>
            </w:r>
            <w:r>
              <w:rPr>
                <w:webHidden/>
              </w:rPr>
              <w:fldChar w:fldCharType="end"/>
            </w:r>
          </w:hyperlink>
        </w:p>
        <w:p w14:paraId="76B5A81D" w14:textId="0F9B86B4" w:rsidR="008336F3" w:rsidRDefault="008336F3">
          <w:pPr>
            <w:pStyle w:val="TOC2"/>
            <w:tabs>
              <w:tab w:val="left" w:pos="1200"/>
            </w:tabs>
            <w:rPr>
              <w:rFonts w:eastAsiaTheme="minorEastAsia"/>
              <w:kern w:val="2"/>
              <w:sz w:val="24"/>
              <w:szCs w:val="24"/>
              <w:lang w:eastAsia="en-AU"/>
              <w14:ligatures w14:val="standardContextual"/>
            </w:rPr>
          </w:pPr>
          <w:hyperlink w:anchor="_Toc200115590" w:history="1">
            <w:r w:rsidRPr="00553AAC">
              <w:rPr>
                <w:rStyle w:val="Hyperlink"/>
                <w:lang w:eastAsia="ja-JP"/>
              </w:rPr>
              <w:t>2.2</w:t>
            </w:r>
            <w:r>
              <w:rPr>
                <w:rFonts w:eastAsiaTheme="minorEastAsia"/>
                <w:kern w:val="2"/>
                <w:sz w:val="24"/>
                <w:szCs w:val="24"/>
                <w:lang w:eastAsia="en-AU"/>
                <w14:ligatures w14:val="standardContextual"/>
              </w:rPr>
              <w:tab/>
            </w:r>
            <w:r w:rsidRPr="00553AAC">
              <w:rPr>
                <w:rStyle w:val="Hyperlink"/>
                <w:lang w:eastAsia="ja-JP"/>
              </w:rPr>
              <w:t>Statutory authority to charge</w:t>
            </w:r>
            <w:r>
              <w:rPr>
                <w:webHidden/>
              </w:rPr>
              <w:tab/>
            </w:r>
            <w:r>
              <w:rPr>
                <w:webHidden/>
              </w:rPr>
              <w:fldChar w:fldCharType="begin"/>
            </w:r>
            <w:r>
              <w:rPr>
                <w:webHidden/>
              </w:rPr>
              <w:instrText xml:space="preserve"> PAGEREF _Toc200115590 \h </w:instrText>
            </w:r>
            <w:r>
              <w:rPr>
                <w:webHidden/>
              </w:rPr>
            </w:r>
            <w:r>
              <w:rPr>
                <w:webHidden/>
              </w:rPr>
              <w:fldChar w:fldCharType="separate"/>
            </w:r>
            <w:r w:rsidR="005A290D">
              <w:rPr>
                <w:webHidden/>
              </w:rPr>
              <w:t>6</w:t>
            </w:r>
            <w:r>
              <w:rPr>
                <w:webHidden/>
              </w:rPr>
              <w:fldChar w:fldCharType="end"/>
            </w:r>
          </w:hyperlink>
        </w:p>
        <w:p w14:paraId="31FF5CB1" w14:textId="6B3FF38E" w:rsidR="008336F3" w:rsidRDefault="008336F3">
          <w:pPr>
            <w:pStyle w:val="TOC1"/>
            <w:rPr>
              <w:rFonts w:eastAsiaTheme="minorEastAsia"/>
              <w:b w:val="0"/>
              <w:kern w:val="2"/>
              <w:sz w:val="24"/>
              <w:szCs w:val="24"/>
              <w:lang w:eastAsia="en-AU"/>
              <w14:ligatures w14:val="standardContextual"/>
            </w:rPr>
          </w:pPr>
          <w:hyperlink w:anchor="_Toc200115591" w:history="1">
            <w:r w:rsidRPr="00553AAC">
              <w:rPr>
                <w:rStyle w:val="Hyperlink"/>
              </w:rPr>
              <w:t>3</w:t>
            </w:r>
            <w:r>
              <w:rPr>
                <w:rFonts w:eastAsiaTheme="minorEastAsia"/>
                <w:b w:val="0"/>
                <w:kern w:val="2"/>
                <w:sz w:val="24"/>
                <w:szCs w:val="24"/>
                <w:lang w:eastAsia="en-AU"/>
                <w14:ligatures w14:val="standardContextual"/>
              </w:rPr>
              <w:tab/>
            </w:r>
            <w:r w:rsidRPr="00553AAC">
              <w:rPr>
                <w:rStyle w:val="Hyperlink"/>
              </w:rPr>
              <w:t>Regulatory (cost recovery) charging model</w:t>
            </w:r>
            <w:r>
              <w:rPr>
                <w:webHidden/>
              </w:rPr>
              <w:tab/>
            </w:r>
            <w:r>
              <w:rPr>
                <w:webHidden/>
              </w:rPr>
              <w:fldChar w:fldCharType="begin"/>
            </w:r>
            <w:r>
              <w:rPr>
                <w:webHidden/>
              </w:rPr>
              <w:instrText xml:space="preserve"> PAGEREF _Toc200115591 \h </w:instrText>
            </w:r>
            <w:r>
              <w:rPr>
                <w:webHidden/>
              </w:rPr>
            </w:r>
            <w:r>
              <w:rPr>
                <w:webHidden/>
              </w:rPr>
              <w:fldChar w:fldCharType="separate"/>
            </w:r>
            <w:r w:rsidR="005A290D">
              <w:rPr>
                <w:webHidden/>
              </w:rPr>
              <w:t>8</w:t>
            </w:r>
            <w:r>
              <w:rPr>
                <w:webHidden/>
              </w:rPr>
              <w:fldChar w:fldCharType="end"/>
            </w:r>
          </w:hyperlink>
        </w:p>
        <w:p w14:paraId="2C93CB64" w14:textId="362CF4E5" w:rsidR="008336F3" w:rsidRDefault="008336F3">
          <w:pPr>
            <w:pStyle w:val="TOC2"/>
            <w:tabs>
              <w:tab w:val="left" w:pos="1200"/>
            </w:tabs>
            <w:rPr>
              <w:rFonts w:eastAsiaTheme="minorEastAsia"/>
              <w:kern w:val="2"/>
              <w:sz w:val="24"/>
              <w:szCs w:val="24"/>
              <w:lang w:eastAsia="en-AU"/>
              <w14:ligatures w14:val="standardContextual"/>
            </w:rPr>
          </w:pPr>
          <w:hyperlink w:anchor="_Toc200115592" w:history="1">
            <w:r w:rsidRPr="00553AAC">
              <w:rPr>
                <w:rStyle w:val="Hyperlink"/>
                <w:lang w:eastAsia="ja-JP"/>
              </w:rPr>
              <w:t>3.1</w:t>
            </w:r>
            <w:r>
              <w:rPr>
                <w:rFonts w:eastAsiaTheme="minorEastAsia"/>
                <w:kern w:val="2"/>
                <w:sz w:val="24"/>
                <w:szCs w:val="24"/>
                <w:lang w:eastAsia="en-AU"/>
                <w14:ligatures w14:val="standardContextual"/>
              </w:rPr>
              <w:tab/>
            </w:r>
            <w:r w:rsidRPr="00553AAC">
              <w:rPr>
                <w:rStyle w:val="Hyperlink"/>
                <w:lang w:eastAsia="ja-JP"/>
              </w:rPr>
              <w:t>Outputs and business processes of cost recovery</w:t>
            </w:r>
            <w:r>
              <w:rPr>
                <w:webHidden/>
              </w:rPr>
              <w:tab/>
            </w:r>
            <w:r>
              <w:rPr>
                <w:webHidden/>
              </w:rPr>
              <w:fldChar w:fldCharType="begin"/>
            </w:r>
            <w:r>
              <w:rPr>
                <w:webHidden/>
              </w:rPr>
              <w:instrText xml:space="preserve"> PAGEREF _Toc200115592 \h </w:instrText>
            </w:r>
            <w:r>
              <w:rPr>
                <w:webHidden/>
              </w:rPr>
            </w:r>
            <w:r>
              <w:rPr>
                <w:webHidden/>
              </w:rPr>
              <w:fldChar w:fldCharType="separate"/>
            </w:r>
            <w:r w:rsidR="005A290D">
              <w:rPr>
                <w:webHidden/>
              </w:rPr>
              <w:t>8</w:t>
            </w:r>
            <w:r>
              <w:rPr>
                <w:webHidden/>
              </w:rPr>
              <w:fldChar w:fldCharType="end"/>
            </w:r>
          </w:hyperlink>
        </w:p>
        <w:p w14:paraId="3CEE940B" w14:textId="060FBA01" w:rsidR="008336F3" w:rsidRDefault="008336F3">
          <w:pPr>
            <w:pStyle w:val="TOC2"/>
            <w:tabs>
              <w:tab w:val="left" w:pos="1200"/>
            </w:tabs>
            <w:rPr>
              <w:rFonts w:eastAsiaTheme="minorEastAsia"/>
              <w:kern w:val="2"/>
              <w:sz w:val="24"/>
              <w:szCs w:val="24"/>
              <w:lang w:eastAsia="en-AU"/>
              <w14:ligatures w14:val="standardContextual"/>
            </w:rPr>
          </w:pPr>
          <w:hyperlink w:anchor="_Toc200115593" w:history="1">
            <w:r w:rsidRPr="00553AAC">
              <w:rPr>
                <w:rStyle w:val="Hyperlink"/>
                <w:lang w:eastAsia="ja-JP"/>
              </w:rPr>
              <w:t>3.2</w:t>
            </w:r>
            <w:r>
              <w:rPr>
                <w:rFonts w:eastAsiaTheme="minorEastAsia"/>
                <w:kern w:val="2"/>
                <w:sz w:val="24"/>
                <w:szCs w:val="24"/>
                <w:lang w:eastAsia="en-AU"/>
                <w14:ligatures w14:val="standardContextual"/>
              </w:rPr>
              <w:tab/>
            </w:r>
            <w:r w:rsidRPr="00553AAC">
              <w:rPr>
                <w:rStyle w:val="Hyperlink"/>
                <w:lang w:eastAsia="ja-JP"/>
              </w:rPr>
              <w:t>Cost of the regulatory activity</w:t>
            </w:r>
            <w:r>
              <w:rPr>
                <w:webHidden/>
              </w:rPr>
              <w:tab/>
            </w:r>
            <w:r>
              <w:rPr>
                <w:webHidden/>
              </w:rPr>
              <w:fldChar w:fldCharType="begin"/>
            </w:r>
            <w:r>
              <w:rPr>
                <w:webHidden/>
              </w:rPr>
              <w:instrText xml:space="preserve"> PAGEREF _Toc200115593 \h </w:instrText>
            </w:r>
            <w:r>
              <w:rPr>
                <w:webHidden/>
              </w:rPr>
            </w:r>
            <w:r>
              <w:rPr>
                <w:webHidden/>
              </w:rPr>
              <w:fldChar w:fldCharType="separate"/>
            </w:r>
            <w:r w:rsidR="005A290D">
              <w:rPr>
                <w:webHidden/>
              </w:rPr>
              <w:t>10</w:t>
            </w:r>
            <w:r>
              <w:rPr>
                <w:webHidden/>
              </w:rPr>
              <w:fldChar w:fldCharType="end"/>
            </w:r>
          </w:hyperlink>
        </w:p>
        <w:p w14:paraId="27B2463C" w14:textId="6052EC09" w:rsidR="008336F3" w:rsidRDefault="008336F3">
          <w:pPr>
            <w:pStyle w:val="TOC2"/>
            <w:tabs>
              <w:tab w:val="left" w:pos="1200"/>
            </w:tabs>
            <w:rPr>
              <w:rFonts w:eastAsiaTheme="minorEastAsia"/>
              <w:kern w:val="2"/>
              <w:sz w:val="24"/>
              <w:szCs w:val="24"/>
              <w:lang w:eastAsia="en-AU"/>
              <w14:ligatures w14:val="standardContextual"/>
            </w:rPr>
          </w:pPr>
          <w:hyperlink w:anchor="_Toc200115594" w:history="1">
            <w:r w:rsidRPr="00553AAC">
              <w:rPr>
                <w:rStyle w:val="Hyperlink"/>
                <w:lang w:eastAsia="ja-JP"/>
              </w:rPr>
              <w:t>3.3</w:t>
            </w:r>
            <w:r>
              <w:rPr>
                <w:rFonts w:eastAsiaTheme="minorEastAsia"/>
                <w:kern w:val="2"/>
                <w:sz w:val="24"/>
                <w:szCs w:val="24"/>
                <w:lang w:eastAsia="en-AU"/>
                <w14:ligatures w14:val="standardContextual"/>
              </w:rPr>
              <w:tab/>
            </w:r>
            <w:r w:rsidRPr="00553AAC">
              <w:rPr>
                <w:rStyle w:val="Hyperlink"/>
                <w:lang w:eastAsia="ja-JP"/>
              </w:rPr>
              <w:t>Cost drivers</w:t>
            </w:r>
            <w:r>
              <w:rPr>
                <w:webHidden/>
              </w:rPr>
              <w:tab/>
            </w:r>
            <w:r>
              <w:rPr>
                <w:webHidden/>
              </w:rPr>
              <w:fldChar w:fldCharType="begin"/>
            </w:r>
            <w:r>
              <w:rPr>
                <w:webHidden/>
              </w:rPr>
              <w:instrText xml:space="preserve"> PAGEREF _Toc200115594 \h </w:instrText>
            </w:r>
            <w:r>
              <w:rPr>
                <w:webHidden/>
              </w:rPr>
            </w:r>
            <w:r>
              <w:rPr>
                <w:webHidden/>
              </w:rPr>
              <w:fldChar w:fldCharType="separate"/>
            </w:r>
            <w:r w:rsidR="005A290D">
              <w:rPr>
                <w:webHidden/>
              </w:rPr>
              <w:t>11</w:t>
            </w:r>
            <w:r>
              <w:rPr>
                <w:webHidden/>
              </w:rPr>
              <w:fldChar w:fldCharType="end"/>
            </w:r>
          </w:hyperlink>
        </w:p>
        <w:p w14:paraId="7D3D3646" w14:textId="119D11C5" w:rsidR="008336F3" w:rsidRDefault="008336F3">
          <w:pPr>
            <w:pStyle w:val="TOC2"/>
            <w:tabs>
              <w:tab w:val="left" w:pos="1200"/>
            </w:tabs>
            <w:rPr>
              <w:rFonts w:eastAsiaTheme="minorEastAsia"/>
              <w:kern w:val="2"/>
              <w:sz w:val="24"/>
              <w:szCs w:val="24"/>
              <w:lang w:eastAsia="en-AU"/>
              <w14:ligatures w14:val="standardContextual"/>
            </w:rPr>
          </w:pPr>
          <w:hyperlink w:anchor="_Toc200115595" w:history="1">
            <w:r w:rsidRPr="00553AAC">
              <w:rPr>
                <w:rStyle w:val="Hyperlink"/>
                <w:lang w:eastAsia="ja-JP"/>
              </w:rPr>
              <w:t>3.4</w:t>
            </w:r>
            <w:r>
              <w:rPr>
                <w:rFonts w:eastAsiaTheme="minorEastAsia"/>
                <w:kern w:val="2"/>
                <w:sz w:val="24"/>
                <w:szCs w:val="24"/>
                <w:lang w:eastAsia="en-AU"/>
                <w14:ligatures w14:val="standardContextual"/>
              </w:rPr>
              <w:tab/>
            </w:r>
            <w:r w:rsidRPr="00553AAC">
              <w:rPr>
                <w:rStyle w:val="Hyperlink"/>
                <w:lang w:eastAsia="ja-JP"/>
              </w:rPr>
              <w:t>Output volume assumptions</w:t>
            </w:r>
            <w:r>
              <w:rPr>
                <w:webHidden/>
              </w:rPr>
              <w:tab/>
            </w:r>
            <w:r>
              <w:rPr>
                <w:webHidden/>
              </w:rPr>
              <w:fldChar w:fldCharType="begin"/>
            </w:r>
            <w:r>
              <w:rPr>
                <w:webHidden/>
              </w:rPr>
              <w:instrText xml:space="preserve"> PAGEREF _Toc200115595 \h </w:instrText>
            </w:r>
            <w:r>
              <w:rPr>
                <w:webHidden/>
              </w:rPr>
            </w:r>
            <w:r>
              <w:rPr>
                <w:webHidden/>
              </w:rPr>
              <w:fldChar w:fldCharType="separate"/>
            </w:r>
            <w:r w:rsidR="005A290D">
              <w:rPr>
                <w:webHidden/>
              </w:rPr>
              <w:t>12</w:t>
            </w:r>
            <w:r>
              <w:rPr>
                <w:webHidden/>
              </w:rPr>
              <w:fldChar w:fldCharType="end"/>
            </w:r>
          </w:hyperlink>
        </w:p>
        <w:p w14:paraId="30580A66" w14:textId="5AF66612" w:rsidR="008336F3" w:rsidRDefault="008336F3">
          <w:pPr>
            <w:pStyle w:val="TOC2"/>
            <w:tabs>
              <w:tab w:val="left" w:pos="1200"/>
            </w:tabs>
            <w:rPr>
              <w:rFonts w:eastAsiaTheme="minorEastAsia"/>
              <w:kern w:val="2"/>
              <w:sz w:val="24"/>
              <w:szCs w:val="24"/>
              <w:lang w:eastAsia="en-AU"/>
              <w14:ligatures w14:val="standardContextual"/>
            </w:rPr>
          </w:pPr>
          <w:hyperlink w:anchor="_Toc200115596" w:history="1">
            <w:r w:rsidRPr="00553AAC">
              <w:rPr>
                <w:rStyle w:val="Hyperlink"/>
                <w:lang w:eastAsia="ja-JP"/>
              </w:rPr>
              <w:t>3.5</w:t>
            </w:r>
            <w:r>
              <w:rPr>
                <w:rFonts w:eastAsiaTheme="minorEastAsia"/>
                <w:kern w:val="2"/>
                <w:sz w:val="24"/>
                <w:szCs w:val="24"/>
                <w:lang w:eastAsia="en-AU"/>
                <w14:ligatures w14:val="standardContextual"/>
              </w:rPr>
              <w:tab/>
            </w:r>
            <w:r w:rsidRPr="00553AAC">
              <w:rPr>
                <w:rStyle w:val="Hyperlink"/>
                <w:lang w:eastAsia="ja-JP"/>
              </w:rPr>
              <w:t>Design of regulatory charges</w:t>
            </w:r>
            <w:r>
              <w:rPr>
                <w:webHidden/>
              </w:rPr>
              <w:tab/>
            </w:r>
            <w:r>
              <w:rPr>
                <w:webHidden/>
              </w:rPr>
              <w:fldChar w:fldCharType="begin"/>
            </w:r>
            <w:r>
              <w:rPr>
                <w:webHidden/>
              </w:rPr>
              <w:instrText xml:space="preserve"> PAGEREF _Toc200115596 \h </w:instrText>
            </w:r>
            <w:r>
              <w:rPr>
                <w:webHidden/>
              </w:rPr>
            </w:r>
            <w:r>
              <w:rPr>
                <w:webHidden/>
              </w:rPr>
              <w:fldChar w:fldCharType="separate"/>
            </w:r>
            <w:r w:rsidR="005A290D">
              <w:rPr>
                <w:webHidden/>
              </w:rPr>
              <w:t>13</w:t>
            </w:r>
            <w:r>
              <w:rPr>
                <w:webHidden/>
              </w:rPr>
              <w:fldChar w:fldCharType="end"/>
            </w:r>
          </w:hyperlink>
        </w:p>
        <w:p w14:paraId="3C93C558" w14:textId="0FEA20B2" w:rsidR="008336F3" w:rsidRDefault="008336F3">
          <w:pPr>
            <w:pStyle w:val="TOC2"/>
            <w:tabs>
              <w:tab w:val="left" w:pos="1200"/>
            </w:tabs>
            <w:rPr>
              <w:rFonts w:eastAsiaTheme="minorEastAsia"/>
              <w:kern w:val="2"/>
              <w:sz w:val="24"/>
              <w:szCs w:val="24"/>
              <w:lang w:eastAsia="en-AU"/>
              <w14:ligatures w14:val="standardContextual"/>
            </w:rPr>
          </w:pPr>
          <w:hyperlink w:anchor="_Toc200115597" w:history="1">
            <w:r w:rsidRPr="00553AAC">
              <w:rPr>
                <w:rStyle w:val="Hyperlink"/>
                <w:lang w:eastAsia="ja-JP"/>
              </w:rPr>
              <w:t>3.6</w:t>
            </w:r>
            <w:r>
              <w:rPr>
                <w:rFonts w:eastAsiaTheme="minorEastAsia"/>
                <w:kern w:val="2"/>
                <w:sz w:val="24"/>
                <w:szCs w:val="24"/>
                <w:lang w:eastAsia="en-AU"/>
                <w14:ligatures w14:val="standardContextual"/>
              </w:rPr>
              <w:tab/>
            </w:r>
            <w:r w:rsidRPr="00553AAC">
              <w:rPr>
                <w:rStyle w:val="Hyperlink"/>
                <w:lang w:eastAsia="ja-JP"/>
              </w:rPr>
              <w:t>Changes to regulatory charging in 2025–26</w:t>
            </w:r>
            <w:r>
              <w:rPr>
                <w:webHidden/>
              </w:rPr>
              <w:tab/>
            </w:r>
            <w:r>
              <w:rPr>
                <w:webHidden/>
              </w:rPr>
              <w:fldChar w:fldCharType="begin"/>
            </w:r>
            <w:r>
              <w:rPr>
                <w:webHidden/>
              </w:rPr>
              <w:instrText xml:space="preserve"> PAGEREF _Toc200115597 \h </w:instrText>
            </w:r>
            <w:r>
              <w:rPr>
                <w:webHidden/>
              </w:rPr>
            </w:r>
            <w:r>
              <w:rPr>
                <w:webHidden/>
              </w:rPr>
              <w:fldChar w:fldCharType="separate"/>
            </w:r>
            <w:r w:rsidR="005A290D">
              <w:rPr>
                <w:webHidden/>
              </w:rPr>
              <w:t>19</w:t>
            </w:r>
            <w:r>
              <w:rPr>
                <w:webHidden/>
              </w:rPr>
              <w:fldChar w:fldCharType="end"/>
            </w:r>
          </w:hyperlink>
        </w:p>
        <w:p w14:paraId="0C069617" w14:textId="02299F9B" w:rsidR="008336F3" w:rsidRDefault="008336F3">
          <w:pPr>
            <w:pStyle w:val="TOC1"/>
            <w:rPr>
              <w:rFonts w:eastAsiaTheme="minorEastAsia"/>
              <w:b w:val="0"/>
              <w:kern w:val="2"/>
              <w:sz w:val="24"/>
              <w:szCs w:val="24"/>
              <w:lang w:eastAsia="en-AU"/>
              <w14:ligatures w14:val="standardContextual"/>
            </w:rPr>
          </w:pPr>
          <w:hyperlink w:anchor="_Toc200115598" w:history="1">
            <w:r w:rsidRPr="00553AAC">
              <w:rPr>
                <w:rStyle w:val="Hyperlink"/>
              </w:rPr>
              <w:t>4</w:t>
            </w:r>
            <w:r>
              <w:rPr>
                <w:rFonts w:eastAsiaTheme="minorEastAsia"/>
                <w:b w:val="0"/>
                <w:kern w:val="2"/>
                <w:sz w:val="24"/>
                <w:szCs w:val="24"/>
                <w:lang w:eastAsia="en-AU"/>
                <w14:ligatures w14:val="standardContextual"/>
              </w:rPr>
              <w:tab/>
            </w:r>
            <w:r w:rsidRPr="00553AAC">
              <w:rPr>
                <w:rStyle w:val="Hyperlink"/>
              </w:rPr>
              <w:t>Risk assessment</w:t>
            </w:r>
            <w:r>
              <w:rPr>
                <w:webHidden/>
              </w:rPr>
              <w:tab/>
            </w:r>
            <w:r>
              <w:rPr>
                <w:webHidden/>
              </w:rPr>
              <w:fldChar w:fldCharType="begin"/>
            </w:r>
            <w:r>
              <w:rPr>
                <w:webHidden/>
              </w:rPr>
              <w:instrText xml:space="preserve"> PAGEREF _Toc200115598 \h </w:instrText>
            </w:r>
            <w:r>
              <w:rPr>
                <w:webHidden/>
              </w:rPr>
            </w:r>
            <w:r>
              <w:rPr>
                <w:webHidden/>
              </w:rPr>
              <w:fldChar w:fldCharType="separate"/>
            </w:r>
            <w:r w:rsidR="005A290D">
              <w:rPr>
                <w:webHidden/>
              </w:rPr>
              <w:t>21</w:t>
            </w:r>
            <w:r>
              <w:rPr>
                <w:webHidden/>
              </w:rPr>
              <w:fldChar w:fldCharType="end"/>
            </w:r>
          </w:hyperlink>
        </w:p>
        <w:p w14:paraId="73B8B104" w14:textId="7004AA33" w:rsidR="008336F3" w:rsidRDefault="008336F3">
          <w:pPr>
            <w:pStyle w:val="TOC2"/>
            <w:tabs>
              <w:tab w:val="left" w:pos="1200"/>
            </w:tabs>
            <w:rPr>
              <w:rFonts w:eastAsiaTheme="minorEastAsia"/>
              <w:kern w:val="2"/>
              <w:sz w:val="24"/>
              <w:szCs w:val="24"/>
              <w:lang w:eastAsia="en-AU"/>
              <w14:ligatures w14:val="standardContextual"/>
            </w:rPr>
          </w:pPr>
          <w:hyperlink w:anchor="_Toc200115599" w:history="1">
            <w:r w:rsidRPr="00553AAC">
              <w:rPr>
                <w:rStyle w:val="Hyperlink"/>
              </w:rPr>
              <w:t>4.1</w:t>
            </w:r>
            <w:r>
              <w:rPr>
                <w:rFonts w:eastAsiaTheme="minorEastAsia"/>
                <w:kern w:val="2"/>
                <w:sz w:val="24"/>
                <w:szCs w:val="24"/>
                <w:lang w:eastAsia="en-AU"/>
                <w14:ligatures w14:val="standardContextual"/>
              </w:rPr>
              <w:tab/>
            </w:r>
            <w:r w:rsidRPr="00553AAC">
              <w:rPr>
                <w:rStyle w:val="Hyperlink"/>
              </w:rPr>
              <w:t>Charging risk assessment and mitigation</w:t>
            </w:r>
            <w:r>
              <w:rPr>
                <w:webHidden/>
              </w:rPr>
              <w:tab/>
            </w:r>
            <w:r>
              <w:rPr>
                <w:webHidden/>
              </w:rPr>
              <w:fldChar w:fldCharType="begin"/>
            </w:r>
            <w:r>
              <w:rPr>
                <w:webHidden/>
              </w:rPr>
              <w:instrText xml:space="preserve"> PAGEREF _Toc200115599 \h </w:instrText>
            </w:r>
            <w:r>
              <w:rPr>
                <w:webHidden/>
              </w:rPr>
            </w:r>
            <w:r>
              <w:rPr>
                <w:webHidden/>
              </w:rPr>
              <w:fldChar w:fldCharType="separate"/>
            </w:r>
            <w:r w:rsidR="005A290D">
              <w:rPr>
                <w:webHidden/>
              </w:rPr>
              <w:t>21</w:t>
            </w:r>
            <w:r>
              <w:rPr>
                <w:webHidden/>
              </w:rPr>
              <w:fldChar w:fldCharType="end"/>
            </w:r>
          </w:hyperlink>
        </w:p>
        <w:p w14:paraId="0F6BDD4B" w14:textId="09D067DD" w:rsidR="008336F3" w:rsidRDefault="008336F3">
          <w:pPr>
            <w:pStyle w:val="TOC2"/>
            <w:tabs>
              <w:tab w:val="left" w:pos="1200"/>
            </w:tabs>
            <w:rPr>
              <w:rFonts w:eastAsiaTheme="minorEastAsia"/>
              <w:kern w:val="2"/>
              <w:sz w:val="24"/>
              <w:szCs w:val="24"/>
              <w:lang w:eastAsia="en-AU"/>
              <w14:ligatures w14:val="standardContextual"/>
            </w:rPr>
          </w:pPr>
          <w:hyperlink w:anchor="_Toc200115600" w:history="1">
            <w:r w:rsidRPr="00553AAC">
              <w:rPr>
                <w:rStyle w:val="Hyperlink"/>
              </w:rPr>
              <w:t>4.2</w:t>
            </w:r>
            <w:r>
              <w:rPr>
                <w:rFonts w:eastAsiaTheme="minorEastAsia"/>
                <w:kern w:val="2"/>
                <w:sz w:val="24"/>
                <w:szCs w:val="24"/>
                <w:lang w:eastAsia="en-AU"/>
                <w14:ligatures w14:val="standardContextual"/>
              </w:rPr>
              <w:tab/>
            </w:r>
            <w:r w:rsidRPr="00553AAC">
              <w:rPr>
                <w:rStyle w:val="Hyperlink"/>
              </w:rPr>
              <w:t>Management of accumulated balances and under or over recovery</w:t>
            </w:r>
            <w:r>
              <w:rPr>
                <w:webHidden/>
              </w:rPr>
              <w:tab/>
            </w:r>
            <w:r>
              <w:rPr>
                <w:webHidden/>
              </w:rPr>
              <w:fldChar w:fldCharType="begin"/>
            </w:r>
            <w:r>
              <w:rPr>
                <w:webHidden/>
              </w:rPr>
              <w:instrText xml:space="preserve"> PAGEREF _Toc200115600 \h </w:instrText>
            </w:r>
            <w:r>
              <w:rPr>
                <w:webHidden/>
              </w:rPr>
            </w:r>
            <w:r>
              <w:rPr>
                <w:webHidden/>
              </w:rPr>
              <w:fldChar w:fldCharType="separate"/>
            </w:r>
            <w:r w:rsidR="005A290D">
              <w:rPr>
                <w:webHidden/>
              </w:rPr>
              <w:t>21</w:t>
            </w:r>
            <w:r>
              <w:rPr>
                <w:webHidden/>
              </w:rPr>
              <w:fldChar w:fldCharType="end"/>
            </w:r>
          </w:hyperlink>
        </w:p>
        <w:p w14:paraId="38153D05" w14:textId="412997B9" w:rsidR="008336F3" w:rsidRDefault="008336F3">
          <w:pPr>
            <w:pStyle w:val="TOC1"/>
            <w:rPr>
              <w:rFonts w:eastAsiaTheme="minorEastAsia"/>
              <w:b w:val="0"/>
              <w:kern w:val="2"/>
              <w:sz w:val="24"/>
              <w:szCs w:val="24"/>
              <w:lang w:eastAsia="en-AU"/>
              <w14:ligatures w14:val="standardContextual"/>
            </w:rPr>
          </w:pPr>
          <w:hyperlink w:anchor="_Toc200115601" w:history="1">
            <w:r w:rsidRPr="00553AAC">
              <w:rPr>
                <w:rStyle w:val="Hyperlink"/>
              </w:rPr>
              <w:t>5</w:t>
            </w:r>
            <w:r>
              <w:rPr>
                <w:rFonts w:eastAsiaTheme="minorEastAsia"/>
                <w:b w:val="0"/>
                <w:kern w:val="2"/>
                <w:sz w:val="24"/>
                <w:szCs w:val="24"/>
                <w:lang w:eastAsia="en-AU"/>
                <w14:ligatures w14:val="standardContextual"/>
              </w:rPr>
              <w:tab/>
            </w:r>
            <w:r w:rsidRPr="00553AAC">
              <w:rPr>
                <w:rStyle w:val="Hyperlink"/>
              </w:rPr>
              <w:t>Stakeholder engagement</w:t>
            </w:r>
            <w:r>
              <w:rPr>
                <w:webHidden/>
              </w:rPr>
              <w:tab/>
            </w:r>
            <w:r>
              <w:rPr>
                <w:webHidden/>
              </w:rPr>
              <w:fldChar w:fldCharType="begin"/>
            </w:r>
            <w:r>
              <w:rPr>
                <w:webHidden/>
              </w:rPr>
              <w:instrText xml:space="preserve"> PAGEREF _Toc200115601 \h </w:instrText>
            </w:r>
            <w:r>
              <w:rPr>
                <w:webHidden/>
              </w:rPr>
            </w:r>
            <w:r>
              <w:rPr>
                <w:webHidden/>
              </w:rPr>
              <w:fldChar w:fldCharType="separate"/>
            </w:r>
            <w:r w:rsidR="005A290D">
              <w:rPr>
                <w:webHidden/>
              </w:rPr>
              <w:t>23</w:t>
            </w:r>
            <w:r>
              <w:rPr>
                <w:webHidden/>
              </w:rPr>
              <w:fldChar w:fldCharType="end"/>
            </w:r>
          </w:hyperlink>
        </w:p>
        <w:p w14:paraId="21D2BA31" w14:textId="4CB29C90" w:rsidR="008336F3" w:rsidRDefault="008336F3">
          <w:pPr>
            <w:pStyle w:val="TOC2"/>
            <w:tabs>
              <w:tab w:val="left" w:pos="1200"/>
            </w:tabs>
            <w:rPr>
              <w:rFonts w:eastAsiaTheme="minorEastAsia"/>
              <w:kern w:val="2"/>
              <w:sz w:val="24"/>
              <w:szCs w:val="24"/>
              <w:lang w:eastAsia="en-AU"/>
              <w14:ligatures w14:val="standardContextual"/>
            </w:rPr>
          </w:pPr>
          <w:hyperlink w:anchor="_Toc200115602" w:history="1">
            <w:r w:rsidRPr="00553AAC">
              <w:rPr>
                <w:rStyle w:val="Hyperlink"/>
                <w:rFonts w:cstheme="minorHAnsi"/>
                <w:lang w:eastAsia="ja-JP"/>
              </w:rPr>
              <w:t>5.1</w:t>
            </w:r>
            <w:r>
              <w:rPr>
                <w:rFonts w:eastAsiaTheme="minorEastAsia"/>
                <w:kern w:val="2"/>
                <w:sz w:val="24"/>
                <w:szCs w:val="24"/>
                <w:lang w:eastAsia="en-AU"/>
                <w14:ligatures w14:val="standardContextual"/>
              </w:rPr>
              <w:tab/>
            </w:r>
            <w:r w:rsidRPr="00553AAC">
              <w:rPr>
                <w:rStyle w:val="Hyperlink"/>
                <w:lang w:eastAsia="ja-JP"/>
              </w:rPr>
              <w:t>Engagement summary for 2025–26</w:t>
            </w:r>
            <w:r>
              <w:rPr>
                <w:webHidden/>
              </w:rPr>
              <w:tab/>
            </w:r>
            <w:r>
              <w:rPr>
                <w:webHidden/>
              </w:rPr>
              <w:fldChar w:fldCharType="begin"/>
            </w:r>
            <w:r>
              <w:rPr>
                <w:webHidden/>
              </w:rPr>
              <w:instrText xml:space="preserve"> PAGEREF _Toc200115602 \h </w:instrText>
            </w:r>
            <w:r>
              <w:rPr>
                <w:webHidden/>
              </w:rPr>
            </w:r>
            <w:r>
              <w:rPr>
                <w:webHidden/>
              </w:rPr>
              <w:fldChar w:fldCharType="separate"/>
            </w:r>
            <w:r w:rsidR="005A290D">
              <w:rPr>
                <w:webHidden/>
              </w:rPr>
              <w:t>23</w:t>
            </w:r>
            <w:r>
              <w:rPr>
                <w:webHidden/>
              </w:rPr>
              <w:fldChar w:fldCharType="end"/>
            </w:r>
          </w:hyperlink>
        </w:p>
        <w:p w14:paraId="2C3DA752" w14:textId="7D9D5863" w:rsidR="008336F3" w:rsidRDefault="008336F3">
          <w:pPr>
            <w:pStyle w:val="TOC2"/>
            <w:tabs>
              <w:tab w:val="left" w:pos="1200"/>
            </w:tabs>
            <w:rPr>
              <w:rFonts w:eastAsiaTheme="minorEastAsia"/>
              <w:kern w:val="2"/>
              <w:sz w:val="24"/>
              <w:szCs w:val="24"/>
              <w:lang w:eastAsia="en-AU"/>
              <w14:ligatures w14:val="standardContextual"/>
            </w:rPr>
          </w:pPr>
          <w:hyperlink w:anchor="_Toc200115603" w:history="1">
            <w:r w:rsidRPr="00553AAC">
              <w:rPr>
                <w:rStyle w:val="Hyperlink"/>
                <w:lang w:eastAsia="ja-JP"/>
              </w:rPr>
              <w:t>5.2</w:t>
            </w:r>
            <w:r>
              <w:rPr>
                <w:rFonts w:eastAsiaTheme="minorEastAsia"/>
                <w:kern w:val="2"/>
                <w:sz w:val="24"/>
                <w:szCs w:val="24"/>
                <w:lang w:eastAsia="en-AU"/>
                <w14:ligatures w14:val="standardContextual"/>
              </w:rPr>
              <w:tab/>
            </w:r>
            <w:r w:rsidRPr="00553AAC">
              <w:rPr>
                <w:rStyle w:val="Hyperlink"/>
                <w:lang w:eastAsia="ja-JP"/>
              </w:rPr>
              <w:t>Industry engagement</w:t>
            </w:r>
            <w:r>
              <w:rPr>
                <w:webHidden/>
              </w:rPr>
              <w:tab/>
            </w:r>
            <w:r>
              <w:rPr>
                <w:webHidden/>
              </w:rPr>
              <w:fldChar w:fldCharType="begin"/>
            </w:r>
            <w:r>
              <w:rPr>
                <w:webHidden/>
              </w:rPr>
              <w:instrText xml:space="preserve"> PAGEREF _Toc200115603 \h </w:instrText>
            </w:r>
            <w:r>
              <w:rPr>
                <w:webHidden/>
              </w:rPr>
            </w:r>
            <w:r>
              <w:rPr>
                <w:webHidden/>
              </w:rPr>
              <w:fldChar w:fldCharType="separate"/>
            </w:r>
            <w:r w:rsidR="005A290D">
              <w:rPr>
                <w:webHidden/>
              </w:rPr>
              <w:t>23</w:t>
            </w:r>
            <w:r>
              <w:rPr>
                <w:webHidden/>
              </w:rPr>
              <w:fldChar w:fldCharType="end"/>
            </w:r>
          </w:hyperlink>
        </w:p>
        <w:p w14:paraId="5448AD22" w14:textId="15B12723" w:rsidR="008336F3" w:rsidRDefault="008336F3">
          <w:pPr>
            <w:pStyle w:val="TOC2"/>
            <w:tabs>
              <w:tab w:val="left" w:pos="1200"/>
            </w:tabs>
            <w:rPr>
              <w:rFonts w:eastAsiaTheme="minorEastAsia"/>
              <w:kern w:val="2"/>
              <w:sz w:val="24"/>
              <w:szCs w:val="24"/>
              <w:lang w:eastAsia="en-AU"/>
              <w14:ligatures w14:val="standardContextual"/>
            </w:rPr>
          </w:pPr>
          <w:hyperlink w:anchor="_Toc200115604" w:history="1">
            <w:r w:rsidRPr="00553AAC">
              <w:rPr>
                <w:rStyle w:val="Hyperlink"/>
                <w:lang w:eastAsia="ja-JP"/>
              </w:rPr>
              <w:t>5.3</w:t>
            </w:r>
            <w:r>
              <w:rPr>
                <w:rFonts w:eastAsiaTheme="minorEastAsia"/>
                <w:kern w:val="2"/>
                <w:sz w:val="24"/>
                <w:szCs w:val="24"/>
                <w:lang w:eastAsia="en-AU"/>
                <w14:ligatures w14:val="standardContextual"/>
              </w:rPr>
              <w:tab/>
            </w:r>
            <w:r w:rsidRPr="00553AAC">
              <w:rPr>
                <w:rStyle w:val="Hyperlink"/>
                <w:lang w:eastAsia="ja-JP"/>
              </w:rPr>
              <w:t>Ongoing engagement strategy</w:t>
            </w:r>
            <w:r>
              <w:rPr>
                <w:webHidden/>
              </w:rPr>
              <w:tab/>
            </w:r>
            <w:r>
              <w:rPr>
                <w:webHidden/>
              </w:rPr>
              <w:fldChar w:fldCharType="begin"/>
            </w:r>
            <w:r>
              <w:rPr>
                <w:webHidden/>
              </w:rPr>
              <w:instrText xml:space="preserve"> PAGEREF _Toc200115604 \h </w:instrText>
            </w:r>
            <w:r>
              <w:rPr>
                <w:webHidden/>
              </w:rPr>
            </w:r>
            <w:r>
              <w:rPr>
                <w:webHidden/>
              </w:rPr>
              <w:fldChar w:fldCharType="separate"/>
            </w:r>
            <w:r w:rsidR="005A290D">
              <w:rPr>
                <w:webHidden/>
              </w:rPr>
              <w:t>24</w:t>
            </w:r>
            <w:r>
              <w:rPr>
                <w:webHidden/>
              </w:rPr>
              <w:fldChar w:fldCharType="end"/>
            </w:r>
          </w:hyperlink>
        </w:p>
        <w:p w14:paraId="0326E1F9" w14:textId="3F47D729" w:rsidR="008336F3" w:rsidRDefault="008336F3">
          <w:pPr>
            <w:pStyle w:val="TOC1"/>
            <w:rPr>
              <w:rFonts w:eastAsiaTheme="minorEastAsia"/>
              <w:b w:val="0"/>
              <w:kern w:val="2"/>
              <w:sz w:val="24"/>
              <w:szCs w:val="24"/>
              <w:lang w:eastAsia="en-AU"/>
              <w14:ligatures w14:val="standardContextual"/>
            </w:rPr>
          </w:pPr>
          <w:hyperlink w:anchor="_Toc200115605" w:history="1">
            <w:r w:rsidRPr="00553AAC">
              <w:rPr>
                <w:rStyle w:val="Hyperlink"/>
              </w:rPr>
              <w:t>6</w:t>
            </w:r>
            <w:r>
              <w:rPr>
                <w:rFonts w:eastAsiaTheme="minorEastAsia"/>
                <w:b w:val="0"/>
                <w:kern w:val="2"/>
                <w:sz w:val="24"/>
                <w:szCs w:val="24"/>
                <w:lang w:eastAsia="en-AU"/>
                <w14:ligatures w14:val="standardContextual"/>
              </w:rPr>
              <w:tab/>
            </w:r>
            <w:r w:rsidRPr="00553AAC">
              <w:rPr>
                <w:rStyle w:val="Hyperlink"/>
              </w:rPr>
              <w:t>Financial estimates</w:t>
            </w:r>
            <w:r>
              <w:rPr>
                <w:webHidden/>
              </w:rPr>
              <w:tab/>
            </w:r>
            <w:r>
              <w:rPr>
                <w:webHidden/>
              </w:rPr>
              <w:fldChar w:fldCharType="begin"/>
            </w:r>
            <w:r>
              <w:rPr>
                <w:webHidden/>
              </w:rPr>
              <w:instrText xml:space="preserve"> PAGEREF _Toc200115605 \h </w:instrText>
            </w:r>
            <w:r>
              <w:rPr>
                <w:webHidden/>
              </w:rPr>
            </w:r>
            <w:r>
              <w:rPr>
                <w:webHidden/>
              </w:rPr>
              <w:fldChar w:fldCharType="separate"/>
            </w:r>
            <w:r w:rsidR="005A290D">
              <w:rPr>
                <w:webHidden/>
              </w:rPr>
              <w:t>25</w:t>
            </w:r>
            <w:r>
              <w:rPr>
                <w:webHidden/>
              </w:rPr>
              <w:fldChar w:fldCharType="end"/>
            </w:r>
          </w:hyperlink>
        </w:p>
        <w:p w14:paraId="05B7C129" w14:textId="689EBBE2" w:rsidR="008336F3" w:rsidRDefault="008336F3">
          <w:pPr>
            <w:pStyle w:val="TOC2"/>
            <w:tabs>
              <w:tab w:val="left" w:pos="1200"/>
            </w:tabs>
            <w:rPr>
              <w:rFonts w:eastAsiaTheme="minorEastAsia"/>
              <w:kern w:val="2"/>
              <w:sz w:val="24"/>
              <w:szCs w:val="24"/>
              <w:lang w:eastAsia="en-AU"/>
              <w14:ligatures w14:val="standardContextual"/>
            </w:rPr>
          </w:pPr>
          <w:hyperlink w:anchor="_Toc200115606" w:history="1">
            <w:r w:rsidRPr="00553AAC">
              <w:rPr>
                <w:rStyle w:val="Hyperlink"/>
                <w:lang w:eastAsia="ja-JP"/>
              </w:rPr>
              <w:t>6.1</w:t>
            </w:r>
            <w:r>
              <w:rPr>
                <w:rFonts w:eastAsiaTheme="minorEastAsia"/>
                <w:kern w:val="2"/>
                <w:sz w:val="24"/>
                <w:szCs w:val="24"/>
                <w:lang w:eastAsia="en-AU"/>
                <w14:ligatures w14:val="standardContextual"/>
              </w:rPr>
              <w:tab/>
            </w:r>
            <w:r w:rsidRPr="00553AAC">
              <w:rPr>
                <w:rStyle w:val="Hyperlink"/>
                <w:lang w:eastAsia="ja-JP"/>
              </w:rPr>
              <w:t>Annual estimates</w:t>
            </w:r>
            <w:r>
              <w:rPr>
                <w:webHidden/>
              </w:rPr>
              <w:tab/>
            </w:r>
            <w:r>
              <w:rPr>
                <w:webHidden/>
              </w:rPr>
              <w:fldChar w:fldCharType="begin"/>
            </w:r>
            <w:r>
              <w:rPr>
                <w:webHidden/>
              </w:rPr>
              <w:instrText xml:space="preserve"> PAGEREF _Toc200115606 \h </w:instrText>
            </w:r>
            <w:r>
              <w:rPr>
                <w:webHidden/>
              </w:rPr>
            </w:r>
            <w:r>
              <w:rPr>
                <w:webHidden/>
              </w:rPr>
              <w:fldChar w:fldCharType="separate"/>
            </w:r>
            <w:r w:rsidR="005A290D">
              <w:rPr>
                <w:webHidden/>
              </w:rPr>
              <w:t>25</w:t>
            </w:r>
            <w:r>
              <w:rPr>
                <w:webHidden/>
              </w:rPr>
              <w:fldChar w:fldCharType="end"/>
            </w:r>
          </w:hyperlink>
        </w:p>
        <w:p w14:paraId="757A021C" w14:textId="256850E9" w:rsidR="008336F3" w:rsidRDefault="008336F3">
          <w:pPr>
            <w:pStyle w:val="TOC2"/>
            <w:tabs>
              <w:tab w:val="left" w:pos="1200"/>
            </w:tabs>
            <w:rPr>
              <w:rFonts w:eastAsiaTheme="minorEastAsia"/>
              <w:kern w:val="2"/>
              <w:sz w:val="24"/>
              <w:szCs w:val="24"/>
              <w:lang w:eastAsia="en-AU"/>
              <w14:ligatures w14:val="standardContextual"/>
            </w:rPr>
          </w:pPr>
          <w:hyperlink w:anchor="_Toc200115607" w:history="1">
            <w:r w:rsidRPr="00553AAC">
              <w:rPr>
                <w:rStyle w:val="Hyperlink"/>
                <w:lang w:eastAsia="ja-JP"/>
              </w:rPr>
              <w:t>6.2</w:t>
            </w:r>
            <w:r>
              <w:rPr>
                <w:rFonts w:eastAsiaTheme="minorEastAsia"/>
                <w:kern w:val="2"/>
                <w:sz w:val="24"/>
                <w:szCs w:val="24"/>
                <w:lang w:eastAsia="en-AU"/>
                <w14:ligatures w14:val="standardContextual"/>
              </w:rPr>
              <w:tab/>
            </w:r>
            <w:r w:rsidRPr="00553AAC">
              <w:rPr>
                <w:rStyle w:val="Hyperlink"/>
                <w:lang w:eastAsia="ja-JP"/>
              </w:rPr>
              <w:t>Financial performance</w:t>
            </w:r>
            <w:r>
              <w:rPr>
                <w:webHidden/>
              </w:rPr>
              <w:tab/>
            </w:r>
            <w:r>
              <w:rPr>
                <w:webHidden/>
              </w:rPr>
              <w:fldChar w:fldCharType="begin"/>
            </w:r>
            <w:r>
              <w:rPr>
                <w:webHidden/>
              </w:rPr>
              <w:instrText xml:space="preserve"> PAGEREF _Toc200115607 \h </w:instrText>
            </w:r>
            <w:r>
              <w:rPr>
                <w:webHidden/>
              </w:rPr>
            </w:r>
            <w:r>
              <w:rPr>
                <w:webHidden/>
              </w:rPr>
              <w:fldChar w:fldCharType="separate"/>
            </w:r>
            <w:r w:rsidR="005A290D">
              <w:rPr>
                <w:webHidden/>
              </w:rPr>
              <w:t>26</w:t>
            </w:r>
            <w:r>
              <w:rPr>
                <w:webHidden/>
              </w:rPr>
              <w:fldChar w:fldCharType="end"/>
            </w:r>
          </w:hyperlink>
        </w:p>
        <w:p w14:paraId="64AFD031" w14:textId="0A5674F5" w:rsidR="008336F3" w:rsidRDefault="008336F3">
          <w:pPr>
            <w:pStyle w:val="TOC1"/>
            <w:rPr>
              <w:rFonts w:eastAsiaTheme="minorEastAsia"/>
              <w:b w:val="0"/>
              <w:kern w:val="2"/>
              <w:sz w:val="24"/>
              <w:szCs w:val="24"/>
              <w:lang w:eastAsia="en-AU"/>
              <w14:ligatures w14:val="standardContextual"/>
            </w:rPr>
          </w:pPr>
          <w:hyperlink w:anchor="_Toc200115608" w:history="1">
            <w:r w:rsidRPr="00553AAC">
              <w:rPr>
                <w:rStyle w:val="Hyperlink"/>
              </w:rPr>
              <w:t>7</w:t>
            </w:r>
            <w:r>
              <w:rPr>
                <w:rFonts w:eastAsiaTheme="minorEastAsia"/>
                <w:b w:val="0"/>
                <w:kern w:val="2"/>
                <w:sz w:val="24"/>
                <w:szCs w:val="24"/>
                <w:lang w:eastAsia="en-AU"/>
                <w14:ligatures w14:val="standardContextual"/>
              </w:rPr>
              <w:tab/>
            </w:r>
            <w:r w:rsidRPr="00553AAC">
              <w:rPr>
                <w:rStyle w:val="Hyperlink"/>
              </w:rPr>
              <w:t>Non-financial performance</w:t>
            </w:r>
            <w:r>
              <w:rPr>
                <w:webHidden/>
              </w:rPr>
              <w:tab/>
            </w:r>
            <w:r>
              <w:rPr>
                <w:webHidden/>
              </w:rPr>
              <w:fldChar w:fldCharType="begin"/>
            </w:r>
            <w:r>
              <w:rPr>
                <w:webHidden/>
              </w:rPr>
              <w:instrText xml:space="preserve"> PAGEREF _Toc200115608 \h </w:instrText>
            </w:r>
            <w:r>
              <w:rPr>
                <w:webHidden/>
              </w:rPr>
            </w:r>
            <w:r>
              <w:rPr>
                <w:webHidden/>
              </w:rPr>
              <w:fldChar w:fldCharType="separate"/>
            </w:r>
            <w:r w:rsidR="005A290D">
              <w:rPr>
                <w:webHidden/>
              </w:rPr>
              <w:t>27</w:t>
            </w:r>
            <w:r>
              <w:rPr>
                <w:webHidden/>
              </w:rPr>
              <w:fldChar w:fldCharType="end"/>
            </w:r>
          </w:hyperlink>
        </w:p>
        <w:p w14:paraId="47D2C53C" w14:textId="317CD3E0" w:rsidR="008336F3" w:rsidRDefault="008336F3">
          <w:pPr>
            <w:pStyle w:val="TOC1"/>
            <w:rPr>
              <w:rFonts w:eastAsiaTheme="minorEastAsia"/>
              <w:b w:val="0"/>
              <w:kern w:val="2"/>
              <w:sz w:val="24"/>
              <w:szCs w:val="24"/>
              <w:lang w:eastAsia="en-AU"/>
              <w14:ligatures w14:val="standardContextual"/>
            </w:rPr>
          </w:pPr>
          <w:hyperlink w:anchor="_Toc200115609" w:history="1">
            <w:r w:rsidRPr="00553AAC">
              <w:rPr>
                <w:rStyle w:val="Hyperlink"/>
              </w:rPr>
              <w:t>8</w:t>
            </w:r>
            <w:r>
              <w:rPr>
                <w:rFonts w:eastAsiaTheme="minorEastAsia"/>
                <w:b w:val="0"/>
                <w:kern w:val="2"/>
                <w:sz w:val="24"/>
                <w:szCs w:val="24"/>
                <w:lang w:eastAsia="en-AU"/>
                <w14:ligatures w14:val="standardContextual"/>
              </w:rPr>
              <w:tab/>
            </w:r>
            <w:r w:rsidRPr="00553AAC">
              <w:rPr>
                <w:rStyle w:val="Hyperlink"/>
              </w:rPr>
              <w:t>Key dates and events</w:t>
            </w:r>
            <w:r>
              <w:rPr>
                <w:webHidden/>
              </w:rPr>
              <w:tab/>
            </w:r>
            <w:r>
              <w:rPr>
                <w:webHidden/>
              </w:rPr>
              <w:fldChar w:fldCharType="begin"/>
            </w:r>
            <w:r>
              <w:rPr>
                <w:webHidden/>
              </w:rPr>
              <w:instrText xml:space="preserve"> PAGEREF _Toc200115609 \h </w:instrText>
            </w:r>
            <w:r>
              <w:rPr>
                <w:webHidden/>
              </w:rPr>
            </w:r>
            <w:r>
              <w:rPr>
                <w:webHidden/>
              </w:rPr>
              <w:fldChar w:fldCharType="separate"/>
            </w:r>
            <w:r w:rsidR="005A290D">
              <w:rPr>
                <w:webHidden/>
              </w:rPr>
              <w:t>28</w:t>
            </w:r>
            <w:r>
              <w:rPr>
                <w:webHidden/>
              </w:rPr>
              <w:fldChar w:fldCharType="end"/>
            </w:r>
          </w:hyperlink>
        </w:p>
        <w:p w14:paraId="7BE57C0A" w14:textId="274F70A6" w:rsidR="008336F3" w:rsidRDefault="008336F3">
          <w:pPr>
            <w:pStyle w:val="TOC1"/>
            <w:rPr>
              <w:rFonts w:eastAsiaTheme="minorEastAsia"/>
              <w:b w:val="0"/>
              <w:kern w:val="2"/>
              <w:sz w:val="24"/>
              <w:szCs w:val="24"/>
              <w:lang w:eastAsia="en-AU"/>
              <w14:ligatures w14:val="standardContextual"/>
            </w:rPr>
          </w:pPr>
          <w:hyperlink w:anchor="_Toc200115610" w:history="1">
            <w:r w:rsidRPr="00553AAC">
              <w:rPr>
                <w:rStyle w:val="Hyperlink"/>
              </w:rPr>
              <w:t>9</w:t>
            </w:r>
            <w:r>
              <w:rPr>
                <w:rFonts w:eastAsiaTheme="minorEastAsia"/>
                <w:b w:val="0"/>
                <w:kern w:val="2"/>
                <w:sz w:val="24"/>
                <w:szCs w:val="24"/>
                <w:lang w:eastAsia="en-AU"/>
                <w14:ligatures w14:val="standardContextual"/>
              </w:rPr>
              <w:tab/>
            </w:r>
            <w:r w:rsidRPr="00553AAC">
              <w:rPr>
                <w:rStyle w:val="Hyperlink"/>
              </w:rPr>
              <w:t>CRIS approval and change register</w:t>
            </w:r>
            <w:r>
              <w:rPr>
                <w:webHidden/>
              </w:rPr>
              <w:tab/>
            </w:r>
            <w:r>
              <w:rPr>
                <w:webHidden/>
              </w:rPr>
              <w:fldChar w:fldCharType="begin"/>
            </w:r>
            <w:r>
              <w:rPr>
                <w:webHidden/>
              </w:rPr>
              <w:instrText xml:space="preserve"> PAGEREF _Toc200115610 \h </w:instrText>
            </w:r>
            <w:r>
              <w:rPr>
                <w:webHidden/>
              </w:rPr>
            </w:r>
            <w:r>
              <w:rPr>
                <w:webHidden/>
              </w:rPr>
              <w:fldChar w:fldCharType="separate"/>
            </w:r>
            <w:r w:rsidR="005A290D">
              <w:rPr>
                <w:webHidden/>
              </w:rPr>
              <w:t>29</w:t>
            </w:r>
            <w:r>
              <w:rPr>
                <w:webHidden/>
              </w:rPr>
              <w:fldChar w:fldCharType="end"/>
            </w:r>
          </w:hyperlink>
        </w:p>
        <w:p w14:paraId="2DD48565" w14:textId="0FF74F60" w:rsidR="008336F3" w:rsidRDefault="008336F3">
          <w:pPr>
            <w:pStyle w:val="TOC1"/>
            <w:rPr>
              <w:rFonts w:eastAsiaTheme="minorEastAsia"/>
              <w:b w:val="0"/>
              <w:kern w:val="2"/>
              <w:sz w:val="24"/>
              <w:szCs w:val="24"/>
              <w:lang w:eastAsia="en-AU"/>
              <w14:ligatures w14:val="standardContextual"/>
            </w:rPr>
          </w:pPr>
          <w:hyperlink w:anchor="_Toc200115611" w:history="1">
            <w:r w:rsidRPr="00553AAC">
              <w:rPr>
                <w:rStyle w:val="Hyperlink"/>
              </w:rPr>
              <w:t>Appendix A: Summary of key regulatory activity volumes</w:t>
            </w:r>
            <w:r>
              <w:rPr>
                <w:webHidden/>
              </w:rPr>
              <w:tab/>
            </w:r>
            <w:r>
              <w:rPr>
                <w:webHidden/>
              </w:rPr>
              <w:fldChar w:fldCharType="begin"/>
            </w:r>
            <w:r>
              <w:rPr>
                <w:webHidden/>
              </w:rPr>
              <w:instrText xml:space="preserve"> PAGEREF _Toc200115611 \h </w:instrText>
            </w:r>
            <w:r>
              <w:rPr>
                <w:webHidden/>
              </w:rPr>
            </w:r>
            <w:r>
              <w:rPr>
                <w:webHidden/>
              </w:rPr>
              <w:fldChar w:fldCharType="separate"/>
            </w:r>
            <w:r w:rsidR="005A290D">
              <w:rPr>
                <w:webHidden/>
              </w:rPr>
              <w:t>30</w:t>
            </w:r>
            <w:r>
              <w:rPr>
                <w:webHidden/>
              </w:rPr>
              <w:fldChar w:fldCharType="end"/>
            </w:r>
          </w:hyperlink>
        </w:p>
        <w:p w14:paraId="4D0E2D9C" w14:textId="30483BB7" w:rsidR="008336F3" w:rsidRDefault="008336F3">
          <w:pPr>
            <w:pStyle w:val="TOC1"/>
            <w:rPr>
              <w:rFonts w:eastAsiaTheme="minorEastAsia"/>
              <w:b w:val="0"/>
              <w:kern w:val="2"/>
              <w:sz w:val="24"/>
              <w:szCs w:val="24"/>
              <w:lang w:eastAsia="en-AU"/>
              <w14:ligatures w14:val="standardContextual"/>
            </w:rPr>
          </w:pPr>
          <w:hyperlink w:anchor="_Toc200115612" w:history="1">
            <w:r w:rsidRPr="00553AAC">
              <w:rPr>
                <w:rStyle w:val="Hyperlink"/>
              </w:rPr>
              <w:t>Appendix B: Cost-model activities</w:t>
            </w:r>
            <w:r>
              <w:rPr>
                <w:webHidden/>
              </w:rPr>
              <w:tab/>
            </w:r>
            <w:r>
              <w:rPr>
                <w:webHidden/>
              </w:rPr>
              <w:fldChar w:fldCharType="begin"/>
            </w:r>
            <w:r>
              <w:rPr>
                <w:webHidden/>
              </w:rPr>
              <w:instrText xml:space="preserve"> PAGEREF _Toc200115612 \h </w:instrText>
            </w:r>
            <w:r>
              <w:rPr>
                <w:webHidden/>
              </w:rPr>
            </w:r>
            <w:r>
              <w:rPr>
                <w:webHidden/>
              </w:rPr>
              <w:fldChar w:fldCharType="separate"/>
            </w:r>
            <w:r w:rsidR="005A290D">
              <w:rPr>
                <w:webHidden/>
              </w:rPr>
              <w:t>31</w:t>
            </w:r>
            <w:r>
              <w:rPr>
                <w:webHidden/>
              </w:rPr>
              <w:fldChar w:fldCharType="end"/>
            </w:r>
          </w:hyperlink>
        </w:p>
        <w:p w14:paraId="33F8A32C" w14:textId="531D3423" w:rsidR="008336F3" w:rsidRDefault="008336F3">
          <w:pPr>
            <w:pStyle w:val="TOC2"/>
            <w:rPr>
              <w:rFonts w:eastAsiaTheme="minorEastAsia"/>
              <w:kern w:val="2"/>
              <w:sz w:val="24"/>
              <w:szCs w:val="24"/>
              <w:lang w:eastAsia="en-AU"/>
              <w14:ligatures w14:val="standardContextual"/>
            </w:rPr>
          </w:pPr>
          <w:hyperlink w:anchor="_Toc200115613" w:history="1">
            <w:r w:rsidRPr="00553AAC">
              <w:rPr>
                <w:rStyle w:val="Hyperlink"/>
                <w:lang w:eastAsia="ja-JP"/>
              </w:rPr>
              <w:t>Program management and administration activities (charge)</w:t>
            </w:r>
            <w:r>
              <w:rPr>
                <w:webHidden/>
              </w:rPr>
              <w:tab/>
            </w:r>
            <w:r>
              <w:rPr>
                <w:webHidden/>
              </w:rPr>
              <w:fldChar w:fldCharType="begin"/>
            </w:r>
            <w:r>
              <w:rPr>
                <w:webHidden/>
              </w:rPr>
              <w:instrText xml:space="preserve"> PAGEREF _Toc200115613 \h </w:instrText>
            </w:r>
            <w:r>
              <w:rPr>
                <w:webHidden/>
              </w:rPr>
            </w:r>
            <w:r>
              <w:rPr>
                <w:webHidden/>
              </w:rPr>
              <w:fldChar w:fldCharType="separate"/>
            </w:r>
            <w:r w:rsidR="005A290D">
              <w:rPr>
                <w:webHidden/>
              </w:rPr>
              <w:t>31</w:t>
            </w:r>
            <w:r>
              <w:rPr>
                <w:webHidden/>
              </w:rPr>
              <w:fldChar w:fldCharType="end"/>
            </w:r>
          </w:hyperlink>
        </w:p>
        <w:p w14:paraId="64989F3B" w14:textId="5CDCE00D" w:rsidR="008336F3" w:rsidRDefault="008336F3">
          <w:pPr>
            <w:pStyle w:val="TOC2"/>
            <w:rPr>
              <w:rFonts w:eastAsiaTheme="minorEastAsia"/>
              <w:kern w:val="2"/>
              <w:sz w:val="24"/>
              <w:szCs w:val="24"/>
              <w:lang w:eastAsia="en-AU"/>
              <w14:ligatures w14:val="standardContextual"/>
            </w:rPr>
          </w:pPr>
          <w:hyperlink w:anchor="_Toc200115614" w:history="1">
            <w:r w:rsidRPr="00553AAC">
              <w:rPr>
                <w:rStyle w:val="Hyperlink"/>
                <w:lang w:eastAsia="ja-JP"/>
              </w:rPr>
              <w:t>Assurance activities (charge)</w:t>
            </w:r>
            <w:r>
              <w:rPr>
                <w:webHidden/>
              </w:rPr>
              <w:tab/>
            </w:r>
            <w:r>
              <w:rPr>
                <w:webHidden/>
              </w:rPr>
              <w:fldChar w:fldCharType="begin"/>
            </w:r>
            <w:r>
              <w:rPr>
                <w:webHidden/>
              </w:rPr>
              <w:instrText xml:space="preserve"> PAGEREF _Toc200115614 \h </w:instrText>
            </w:r>
            <w:r>
              <w:rPr>
                <w:webHidden/>
              </w:rPr>
            </w:r>
            <w:r>
              <w:rPr>
                <w:webHidden/>
              </w:rPr>
              <w:fldChar w:fldCharType="separate"/>
            </w:r>
            <w:r w:rsidR="005A290D">
              <w:rPr>
                <w:webHidden/>
              </w:rPr>
              <w:t>31</w:t>
            </w:r>
            <w:r>
              <w:rPr>
                <w:webHidden/>
              </w:rPr>
              <w:fldChar w:fldCharType="end"/>
            </w:r>
          </w:hyperlink>
        </w:p>
        <w:p w14:paraId="4E2188E1" w14:textId="5FF4A0E6" w:rsidR="008336F3" w:rsidRDefault="008336F3">
          <w:pPr>
            <w:pStyle w:val="TOC2"/>
            <w:rPr>
              <w:rFonts w:eastAsiaTheme="minorEastAsia"/>
              <w:kern w:val="2"/>
              <w:sz w:val="24"/>
              <w:szCs w:val="24"/>
              <w:lang w:eastAsia="en-AU"/>
              <w14:ligatures w14:val="standardContextual"/>
            </w:rPr>
          </w:pPr>
          <w:hyperlink w:anchor="_Toc200115615" w:history="1">
            <w:r w:rsidRPr="00553AAC">
              <w:rPr>
                <w:rStyle w:val="Hyperlink"/>
              </w:rPr>
              <w:t>Incident management activities (charge)</w:t>
            </w:r>
            <w:r>
              <w:rPr>
                <w:webHidden/>
              </w:rPr>
              <w:tab/>
            </w:r>
            <w:r>
              <w:rPr>
                <w:webHidden/>
              </w:rPr>
              <w:fldChar w:fldCharType="begin"/>
            </w:r>
            <w:r>
              <w:rPr>
                <w:webHidden/>
              </w:rPr>
              <w:instrText xml:space="preserve"> PAGEREF _Toc200115615 \h </w:instrText>
            </w:r>
            <w:r>
              <w:rPr>
                <w:webHidden/>
              </w:rPr>
            </w:r>
            <w:r>
              <w:rPr>
                <w:webHidden/>
              </w:rPr>
              <w:fldChar w:fldCharType="separate"/>
            </w:r>
            <w:r w:rsidR="005A290D">
              <w:rPr>
                <w:webHidden/>
              </w:rPr>
              <w:t>32</w:t>
            </w:r>
            <w:r>
              <w:rPr>
                <w:webHidden/>
              </w:rPr>
              <w:fldChar w:fldCharType="end"/>
            </w:r>
          </w:hyperlink>
        </w:p>
        <w:p w14:paraId="778CEF89" w14:textId="0125E2C3" w:rsidR="008336F3" w:rsidRDefault="008336F3">
          <w:pPr>
            <w:pStyle w:val="TOC2"/>
            <w:rPr>
              <w:rFonts w:eastAsiaTheme="minorEastAsia"/>
              <w:kern w:val="2"/>
              <w:sz w:val="24"/>
              <w:szCs w:val="24"/>
              <w:lang w:eastAsia="en-AU"/>
              <w14:ligatures w14:val="standardContextual"/>
            </w:rPr>
          </w:pPr>
          <w:hyperlink w:anchor="_Toc200115616" w:history="1">
            <w:r w:rsidRPr="00553AAC">
              <w:rPr>
                <w:rStyle w:val="Hyperlink"/>
                <w:lang w:eastAsia="ja-JP"/>
              </w:rPr>
              <w:t>Intervention activities (fee)</w:t>
            </w:r>
            <w:r>
              <w:rPr>
                <w:webHidden/>
              </w:rPr>
              <w:tab/>
            </w:r>
            <w:r>
              <w:rPr>
                <w:webHidden/>
              </w:rPr>
              <w:fldChar w:fldCharType="begin"/>
            </w:r>
            <w:r>
              <w:rPr>
                <w:webHidden/>
              </w:rPr>
              <w:instrText xml:space="preserve"> PAGEREF _Toc200115616 \h </w:instrText>
            </w:r>
            <w:r>
              <w:rPr>
                <w:webHidden/>
              </w:rPr>
            </w:r>
            <w:r>
              <w:rPr>
                <w:webHidden/>
              </w:rPr>
              <w:fldChar w:fldCharType="separate"/>
            </w:r>
            <w:r w:rsidR="005A290D">
              <w:rPr>
                <w:webHidden/>
              </w:rPr>
              <w:t>32</w:t>
            </w:r>
            <w:r>
              <w:rPr>
                <w:webHidden/>
              </w:rPr>
              <w:fldChar w:fldCharType="end"/>
            </w:r>
          </w:hyperlink>
        </w:p>
        <w:p w14:paraId="74CE45C4" w14:textId="51CE5A77" w:rsidR="008336F3" w:rsidRDefault="008336F3">
          <w:pPr>
            <w:pStyle w:val="TOC1"/>
            <w:rPr>
              <w:rFonts w:eastAsiaTheme="minorEastAsia"/>
              <w:b w:val="0"/>
              <w:kern w:val="2"/>
              <w:sz w:val="24"/>
              <w:szCs w:val="24"/>
              <w:lang w:eastAsia="en-AU"/>
              <w14:ligatures w14:val="standardContextual"/>
            </w:rPr>
          </w:pPr>
          <w:hyperlink w:anchor="_Toc200115617" w:history="1">
            <w:r w:rsidRPr="00553AAC">
              <w:rPr>
                <w:rStyle w:val="Hyperlink"/>
              </w:rPr>
              <w:t>Appendix C: Indexation</w:t>
            </w:r>
            <w:r>
              <w:rPr>
                <w:webHidden/>
              </w:rPr>
              <w:tab/>
            </w:r>
            <w:r>
              <w:rPr>
                <w:webHidden/>
              </w:rPr>
              <w:fldChar w:fldCharType="begin"/>
            </w:r>
            <w:r>
              <w:rPr>
                <w:webHidden/>
              </w:rPr>
              <w:instrText xml:space="preserve"> PAGEREF _Toc200115617 \h </w:instrText>
            </w:r>
            <w:r>
              <w:rPr>
                <w:webHidden/>
              </w:rPr>
            </w:r>
            <w:r>
              <w:rPr>
                <w:webHidden/>
              </w:rPr>
              <w:fldChar w:fldCharType="separate"/>
            </w:r>
            <w:r w:rsidR="005A290D">
              <w:rPr>
                <w:webHidden/>
              </w:rPr>
              <w:t>34</w:t>
            </w:r>
            <w:r>
              <w:rPr>
                <w:webHidden/>
              </w:rPr>
              <w:fldChar w:fldCharType="end"/>
            </w:r>
          </w:hyperlink>
        </w:p>
        <w:p w14:paraId="285758BB" w14:textId="7E528DB8" w:rsidR="008336F3" w:rsidRDefault="008336F3">
          <w:pPr>
            <w:pStyle w:val="TOC2"/>
            <w:rPr>
              <w:rFonts w:eastAsiaTheme="minorEastAsia"/>
              <w:kern w:val="2"/>
              <w:sz w:val="24"/>
              <w:szCs w:val="24"/>
              <w:lang w:eastAsia="en-AU"/>
              <w14:ligatures w14:val="standardContextual"/>
            </w:rPr>
          </w:pPr>
          <w:hyperlink w:anchor="_Toc200115618" w:history="1">
            <w:r w:rsidRPr="00553AAC">
              <w:rPr>
                <w:rStyle w:val="Hyperlink"/>
              </w:rPr>
              <w:t>Legislation</w:t>
            </w:r>
            <w:r>
              <w:rPr>
                <w:webHidden/>
              </w:rPr>
              <w:tab/>
            </w:r>
            <w:r>
              <w:rPr>
                <w:webHidden/>
              </w:rPr>
              <w:fldChar w:fldCharType="begin"/>
            </w:r>
            <w:r>
              <w:rPr>
                <w:webHidden/>
              </w:rPr>
              <w:instrText xml:space="preserve"> PAGEREF _Toc200115618 \h </w:instrText>
            </w:r>
            <w:r>
              <w:rPr>
                <w:webHidden/>
              </w:rPr>
            </w:r>
            <w:r>
              <w:rPr>
                <w:webHidden/>
              </w:rPr>
              <w:fldChar w:fldCharType="separate"/>
            </w:r>
            <w:r w:rsidR="005A290D">
              <w:rPr>
                <w:webHidden/>
              </w:rPr>
              <w:t>34</w:t>
            </w:r>
            <w:r>
              <w:rPr>
                <w:webHidden/>
              </w:rPr>
              <w:fldChar w:fldCharType="end"/>
            </w:r>
          </w:hyperlink>
        </w:p>
        <w:p w14:paraId="39F3C065" w14:textId="4E191B9B" w:rsidR="008336F3" w:rsidRDefault="008336F3">
          <w:pPr>
            <w:pStyle w:val="TOC2"/>
            <w:rPr>
              <w:rFonts w:eastAsiaTheme="minorEastAsia"/>
              <w:kern w:val="2"/>
              <w:sz w:val="24"/>
              <w:szCs w:val="24"/>
              <w:lang w:eastAsia="en-AU"/>
              <w14:ligatures w14:val="standardContextual"/>
            </w:rPr>
          </w:pPr>
          <w:hyperlink w:anchor="_Toc200115619" w:history="1">
            <w:r w:rsidRPr="00553AAC">
              <w:rPr>
                <w:rStyle w:val="Hyperlink"/>
              </w:rPr>
              <w:t>Price calculation methodology</w:t>
            </w:r>
            <w:r>
              <w:rPr>
                <w:webHidden/>
              </w:rPr>
              <w:tab/>
            </w:r>
            <w:r>
              <w:rPr>
                <w:webHidden/>
              </w:rPr>
              <w:fldChar w:fldCharType="begin"/>
            </w:r>
            <w:r>
              <w:rPr>
                <w:webHidden/>
              </w:rPr>
              <w:instrText xml:space="preserve"> PAGEREF _Toc200115619 \h </w:instrText>
            </w:r>
            <w:r>
              <w:rPr>
                <w:webHidden/>
              </w:rPr>
            </w:r>
            <w:r>
              <w:rPr>
                <w:webHidden/>
              </w:rPr>
              <w:fldChar w:fldCharType="separate"/>
            </w:r>
            <w:r w:rsidR="005A290D">
              <w:rPr>
                <w:webHidden/>
              </w:rPr>
              <w:t>34</w:t>
            </w:r>
            <w:r>
              <w:rPr>
                <w:webHidden/>
              </w:rPr>
              <w:fldChar w:fldCharType="end"/>
            </w:r>
          </w:hyperlink>
        </w:p>
        <w:p w14:paraId="29265085" w14:textId="05196101" w:rsidR="00B005E0" w:rsidRDefault="008336F3" w:rsidP="005B4D28">
          <w:pPr>
            <w:pStyle w:val="TOC1"/>
          </w:pPr>
          <w:hyperlink w:anchor="_Toc200115620" w:history="1">
            <w:r w:rsidRPr="00553AAC">
              <w:rPr>
                <w:rStyle w:val="Hyperlink"/>
              </w:rPr>
              <w:t>References</w:t>
            </w:r>
            <w:r>
              <w:rPr>
                <w:webHidden/>
              </w:rPr>
              <w:tab/>
            </w:r>
            <w:r>
              <w:rPr>
                <w:webHidden/>
              </w:rPr>
              <w:fldChar w:fldCharType="begin"/>
            </w:r>
            <w:r>
              <w:rPr>
                <w:webHidden/>
              </w:rPr>
              <w:instrText xml:space="preserve"> PAGEREF _Toc200115620 \h </w:instrText>
            </w:r>
            <w:r>
              <w:rPr>
                <w:webHidden/>
              </w:rPr>
            </w:r>
            <w:r>
              <w:rPr>
                <w:webHidden/>
              </w:rPr>
              <w:fldChar w:fldCharType="separate"/>
            </w:r>
            <w:r w:rsidR="005A290D">
              <w:rPr>
                <w:webHidden/>
              </w:rPr>
              <w:t>35</w:t>
            </w:r>
            <w:r>
              <w:rPr>
                <w:webHidden/>
              </w:rPr>
              <w:fldChar w:fldCharType="end"/>
            </w:r>
          </w:hyperlink>
          <w:r w:rsidR="00DB1BA9">
            <w:rPr>
              <w:b w:val="0"/>
            </w:rPr>
            <w:fldChar w:fldCharType="end"/>
          </w:r>
        </w:p>
      </w:sdtContent>
    </w:sdt>
    <w:p w14:paraId="2933E35B" w14:textId="77777777" w:rsidR="00E83CB8" w:rsidRPr="00E83CB8" w:rsidRDefault="00E83CB8" w:rsidP="00D4152B">
      <w:pPr>
        <w:pStyle w:val="TOCHeading2"/>
      </w:pPr>
      <w:r w:rsidRPr="00A92F7D">
        <w:t>Tables</w:t>
      </w:r>
    </w:p>
    <w:p w14:paraId="15B2A472" w14:textId="6DAEE227" w:rsidR="0071457B" w:rsidRDefault="00E83CB8">
      <w:pPr>
        <w:pStyle w:val="TableofFigures"/>
        <w:tabs>
          <w:tab w:val="right" w:leader="dot" w:pos="9174"/>
        </w:tabs>
        <w:rPr>
          <w:rFonts w:eastAsiaTheme="minorEastAsia"/>
          <w:noProof/>
          <w:kern w:val="2"/>
          <w:sz w:val="24"/>
          <w:szCs w:val="24"/>
          <w:lang w:eastAsia="en-AU"/>
          <w14:ligatures w14:val="standardContextual"/>
        </w:rPr>
      </w:pPr>
      <w:r w:rsidRPr="00E83CB8">
        <w:rPr>
          <w:rFonts w:cstheme="minorHAnsi"/>
        </w:rPr>
        <w:fldChar w:fldCharType="begin"/>
      </w:r>
      <w:r w:rsidRPr="00E83CB8">
        <w:rPr>
          <w:rFonts w:cstheme="minorHAnsi"/>
        </w:rPr>
        <w:instrText xml:space="preserve"> TOC \h \z \c "Table" </w:instrText>
      </w:r>
      <w:r w:rsidRPr="00E83CB8">
        <w:rPr>
          <w:rFonts w:cstheme="minorHAnsi"/>
        </w:rPr>
        <w:fldChar w:fldCharType="separate"/>
      </w:r>
      <w:hyperlink w:anchor="_Toc200534241" w:history="1">
        <w:r w:rsidR="0071457B" w:rsidRPr="00D062CC">
          <w:rPr>
            <w:rStyle w:val="Hyperlink"/>
            <w:noProof/>
          </w:rPr>
          <w:t>Table 1 Summary of government approvals for cost recovery of biosecurity and imported food activities</w:t>
        </w:r>
        <w:r w:rsidR="0071457B">
          <w:rPr>
            <w:noProof/>
            <w:webHidden/>
          </w:rPr>
          <w:tab/>
        </w:r>
        <w:r w:rsidR="0071457B">
          <w:rPr>
            <w:noProof/>
            <w:webHidden/>
          </w:rPr>
          <w:fldChar w:fldCharType="begin"/>
        </w:r>
        <w:r w:rsidR="0071457B">
          <w:rPr>
            <w:noProof/>
            <w:webHidden/>
          </w:rPr>
          <w:instrText xml:space="preserve"> PAGEREF _Toc200534241 \h </w:instrText>
        </w:r>
        <w:r w:rsidR="0071457B">
          <w:rPr>
            <w:noProof/>
            <w:webHidden/>
          </w:rPr>
        </w:r>
        <w:r w:rsidR="0071457B">
          <w:rPr>
            <w:noProof/>
            <w:webHidden/>
          </w:rPr>
          <w:fldChar w:fldCharType="separate"/>
        </w:r>
        <w:r w:rsidR="0071457B">
          <w:rPr>
            <w:noProof/>
            <w:webHidden/>
          </w:rPr>
          <w:t>4</w:t>
        </w:r>
        <w:r w:rsidR="0071457B">
          <w:rPr>
            <w:noProof/>
            <w:webHidden/>
          </w:rPr>
          <w:fldChar w:fldCharType="end"/>
        </w:r>
      </w:hyperlink>
    </w:p>
    <w:p w14:paraId="015B6B48" w14:textId="58C231CD" w:rsidR="0071457B" w:rsidRDefault="0071457B">
      <w:pPr>
        <w:pStyle w:val="TableofFigures"/>
        <w:tabs>
          <w:tab w:val="right" w:leader="dot" w:pos="9174"/>
        </w:tabs>
        <w:rPr>
          <w:rFonts w:eastAsiaTheme="minorEastAsia"/>
          <w:noProof/>
          <w:kern w:val="2"/>
          <w:sz w:val="24"/>
          <w:szCs w:val="24"/>
          <w:lang w:eastAsia="en-AU"/>
          <w14:ligatures w14:val="standardContextual"/>
        </w:rPr>
      </w:pPr>
      <w:hyperlink w:anchor="_Toc200534242" w:history="1">
        <w:r w:rsidRPr="00D062CC">
          <w:rPr>
            <w:rStyle w:val="Hyperlink"/>
            <w:noProof/>
          </w:rPr>
          <w:t>Table 2 Biosecurity cost recovery arrangement cost breakdown, 2025–26</w:t>
        </w:r>
        <w:r>
          <w:rPr>
            <w:noProof/>
            <w:webHidden/>
          </w:rPr>
          <w:tab/>
        </w:r>
        <w:r>
          <w:rPr>
            <w:noProof/>
            <w:webHidden/>
          </w:rPr>
          <w:fldChar w:fldCharType="begin"/>
        </w:r>
        <w:r>
          <w:rPr>
            <w:noProof/>
            <w:webHidden/>
          </w:rPr>
          <w:instrText xml:space="preserve"> PAGEREF _Toc200534242 \h </w:instrText>
        </w:r>
        <w:r>
          <w:rPr>
            <w:noProof/>
            <w:webHidden/>
          </w:rPr>
        </w:r>
        <w:r>
          <w:rPr>
            <w:noProof/>
            <w:webHidden/>
          </w:rPr>
          <w:fldChar w:fldCharType="separate"/>
        </w:r>
        <w:r>
          <w:rPr>
            <w:noProof/>
            <w:webHidden/>
          </w:rPr>
          <w:t>11</w:t>
        </w:r>
        <w:r>
          <w:rPr>
            <w:noProof/>
            <w:webHidden/>
          </w:rPr>
          <w:fldChar w:fldCharType="end"/>
        </w:r>
      </w:hyperlink>
    </w:p>
    <w:p w14:paraId="2B2F4FAC" w14:textId="7DCA41BA" w:rsidR="0071457B" w:rsidRDefault="0071457B">
      <w:pPr>
        <w:pStyle w:val="TableofFigures"/>
        <w:tabs>
          <w:tab w:val="right" w:leader="dot" w:pos="9174"/>
        </w:tabs>
        <w:rPr>
          <w:rFonts w:eastAsiaTheme="minorEastAsia"/>
          <w:noProof/>
          <w:kern w:val="2"/>
          <w:sz w:val="24"/>
          <w:szCs w:val="24"/>
          <w:lang w:eastAsia="en-AU"/>
          <w14:ligatures w14:val="standardContextual"/>
        </w:rPr>
      </w:pPr>
      <w:hyperlink w:anchor="_Toc200534243" w:history="1">
        <w:r w:rsidRPr="00D062CC">
          <w:rPr>
            <w:rStyle w:val="Hyperlink"/>
            <w:noProof/>
          </w:rPr>
          <w:t>Table 3 Fees and charges – estimated costs, volumes and revenue for biosecurity cost recovery arrangement, 2025–26</w:t>
        </w:r>
        <w:r>
          <w:rPr>
            <w:noProof/>
            <w:webHidden/>
          </w:rPr>
          <w:tab/>
        </w:r>
        <w:r>
          <w:rPr>
            <w:noProof/>
            <w:webHidden/>
          </w:rPr>
          <w:fldChar w:fldCharType="begin"/>
        </w:r>
        <w:r>
          <w:rPr>
            <w:noProof/>
            <w:webHidden/>
          </w:rPr>
          <w:instrText xml:space="preserve"> PAGEREF _Toc200534243 \h </w:instrText>
        </w:r>
        <w:r>
          <w:rPr>
            <w:noProof/>
            <w:webHidden/>
          </w:rPr>
        </w:r>
        <w:r>
          <w:rPr>
            <w:noProof/>
            <w:webHidden/>
          </w:rPr>
          <w:fldChar w:fldCharType="separate"/>
        </w:r>
        <w:r>
          <w:rPr>
            <w:noProof/>
            <w:webHidden/>
          </w:rPr>
          <w:t>14</w:t>
        </w:r>
        <w:r>
          <w:rPr>
            <w:noProof/>
            <w:webHidden/>
          </w:rPr>
          <w:fldChar w:fldCharType="end"/>
        </w:r>
      </w:hyperlink>
    </w:p>
    <w:p w14:paraId="51103AE6" w14:textId="4556082F" w:rsidR="0071457B" w:rsidRDefault="0071457B">
      <w:pPr>
        <w:pStyle w:val="TableofFigures"/>
        <w:tabs>
          <w:tab w:val="right" w:leader="dot" w:pos="9174"/>
        </w:tabs>
        <w:rPr>
          <w:rFonts w:eastAsiaTheme="minorEastAsia"/>
          <w:noProof/>
          <w:kern w:val="2"/>
          <w:sz w:val="24"/>
          <w:szCs w:val="24"/>
          <w:lang w:eastAsia="en-AU"/>
          <w14:ligatures w14:val="standardContextual"/>
        </w:rPr>
      </w:pPr>
      <w:hyperlink w:anchor="_Toc200534244" w:history="1">
        <w:r w:rsidRPr="00D062CC">
          <w:rPr>
            <w:rStyle w:val="Hyperlink"/>
            <w:noProof/>
          </w:rPr>
          <w:t>Table 4 Fee for service on demand prices, 2025–26</w:t>
        </w:r>
        <w:r>
          <w:rPr>
            <w:noProof/>
            <w:webHidden/>
          </w:rPr>
          <w:tab/>
        </w:r>
        <w:r>
          <w:rPr>
            <w:noProof/>
            <w:webHidden/>
          </w:rPr>
          <w:fldChar w:fldCharType="begin"/>
        </w:r>
        <w:r>
          <w:rPr>
            <w:noProof/>
            <w:webHidden/>
          </w:rPr>
          <w:instrText xml:space="preserve"> PAGEREF _Toc200534244 \h </w:instrText>
        </w:r>
        <w:r>
          <w:rPr>
            <w:noProof/>
            <w:webHidden/>
          </w:rPr>
        </w:r>
        <w:r>
          <w:rPr>
            <w:noProof/>
            <w:webHidden/>
          </w:rPr>
          <w:fldChar w:fldCharType="separate"/>
        </w:r>
        <w:r>
          <w:rPr>
            <w:noProof/>
            <w:webHidden/>
          </w:rPr>
          <w:t>18</w:t>
        </w:r>
        <w:r>
          <w:rPr>
            <w:noProof/>
            <w:webHidden/>
          </w:rPr>
          <w:fldChar w:fldCharType="end"/>
        </w:r>
      </w:hyperlink>
    </w:p>
    <w:p w14:paraId="76B05E7C" w14:textId="0C884C25" w:rsidR="0071457B" w:rsidRDefault="0071457B">
      <w:pPr>
        <w:pStyle w:val="TableofFigures"/>
        <w:tabs>
          <w:tab w:val="right" w:leader="dot" w:pos="9174"/>
        </w:tabs>
        <w:rPr>
          <w:rFonts w:eastAsiaTheme="minorEastAsia"/>
          <w:noProof/>
          <w:kern w:val="2"/>
          <w:sz w:val="24"/>
          <w:szCs w:val="24"/>
          <w:lang w:eastAsia="en-AU"/>
          <w14:ligatures w14:val="standardContextual"/>
        </w:rPr>
      </w:pPr>
      <w:hyperlink w:anchor="_Toc200534245" w:history="1">
        <w:r w:rsidRPr="00D062CC">
          <w:rPr>
            <w:rStyle w:val="Hyperlink"/>
            <w:noProof/>
          </w:rPr>
          <w:t>Table 5 Cost type breakdown by activity and output</w:t>
        </w:r>
        <w:r>
          <w:rPr>
            <w:noProof/>
            <w:webHidden/>
          </w:rPr>
          <w:tab/>
        </w:r>
        <w:r>
          <w:rPr>
            <w:noProof/>
            <w:webHidden/>
          </w:rPr>
          <w:fldChar w:fldCharType="begin"/>
        </w:r>
        <w:r>
          <w:rPr>
            <w:noProof/>
            <w:webHidden/>
          </w:rPr>
          <w:instrText xml:space="preserve"> PAGEREF _Toc200534245 \h </w:instrText>
        </w:r>
        <w:r>
          <w:rPr>
            <w:noProof/>
            <w:webHidden/>
          </w:rPr>
        </w:r>
        <w:r>
          <w:rPr>
            <w:noProof/>
            <w:webHidden/>
          </w:rPr>
          <w:fldChar w:fldCharType="separate"/>
        </w:r>
        <w:r>
          <w:rPr>
            <w:noProof/>
            <w:webHidden/>
          </w:rPr>
          <w:t>18</w:t>
        </w:r>
        <w:r>
          <w:rPr>
            <w:noProof/>
            <w:webHidden/>
          </w:rPr>
          <w:fldChar w:fldCharType="end"/>
        </w:r>
      </w:hyperlink>
    </w:p>
    <w:p w14:paraId="6725A3CB" w14:textId="5080C0FF" w:rsidR="0071457B" w:rsidRDefault="0071457B">
      <w:pPr>
        <w:pStyle w:val="TableofFigures"/>
        <w:tabs>
          <w:tab w:val="right" w:leader="dot" w:pos="9174"/>
        </w:tabs>
        <w:rPr>
          <w:rFonts w:eastAsiaTheme="minorEastAsia"/>
          <w:noProof/>
          <w:kern w:val="2"/>
          <w:sz w:val="24"/>
          <w:szCs w:val="24"/>
          <w:lang w:eastAsia="en-AU"/>
          <w14:ligatures w14:val="standardContextual"/>
        </w:rPr>
      </w:pPr>
      <w:hyperlink w:anchor="_Toc200534246" w:history="1">
        <w:r w:rsidRPr="00D062CC">
          <w:rPr>
            <w:rStyle w:val="Hyperlink"/>
            <w:noProof/>
          </w:rPr>
          <w:t>Table 6 Application of upgraded charges for approved arrangements</w:t>
        </w:r>
        <w:r>
          <w:rPr>
            <w:noProof/>
            <w:webHidden/>
          </w:rPr>
          <w:tab/>
        </w:r>
        <w:r>
          <w:rPr>
            <w:noProof/>
            <w:webHidden/>
          </w:rPr>
          <w:fldChar w:fldCharType="begin"/>
        </w:r>
        <w:r>
          <w:rPr>
            <w:noProof/>
            <w:webHidden/>
          </w:rPr>
          <w:instrText xml:space="preserve"> PAGEREF _Toc200534246 \h </w:instrText>
        </w:r>
        <w:r>
          <w:rPr>
            <w:noProof/>
            <w:webHidden/>
          </w:rPr>
        </w:r>
        <w:r>
          <w:rPr>
            <w:noProof/>
            <w:webHidden/>
          </w:rPr>
          <w:fldChar w:fldCharType="separate"/>
        </w:r>
        <w:r>
          <w:rPr>
            <w:noProof/>
            <w:webHidden/>
          </w:rPr>
          <w:t>20</w:t>
        </w:r>
        <w:r>
          <w:rPr>
            <w:noProof/>
            <w:webHidden/>
          </w:rPr>
          <w:fldChar w:fldCharType="end"/>
        </w:r>
      </w:hyperlink>
    </w:p>
    <w:p w14:paraId="2A09A08D" w14:textId="79A04ECF" w:rsidR="0071457B" w:rsidRDefault="0071457B">
      <w:pPr>
        <w:pStyle w:val="TableofFigures"/>
        <w:tabs>
          <w:tab w:val="right" w:leader="dot" w:pos="9174"/>
        </w:tabs>
        <w:rPr>
          <w:rFonts w:eastAsiaTheme="minorEastAsia"/>
          <w:noProof/>
          <w:kern w:val="2"/>
          <w:sz w:val="24"/>
          <w:szCs w:val="24"/>
          <w:lang w:eastAsia="en-AU"/>
          <w14:ligatures w14:val="standardContextual"/>
        </w:rPr>
      </w:pPr>
      <w:hyperlink w:anchor="_Toc200534247" w:history="1">
        <w:r w:rsidRPr="00D062CC">
          <w:rPr>
            <w:rStyle w:val="Hyperlink"/>
            <w:noProof/>
          </w:rPr>
          <w:t>Table 7 Financial estimates for biosecurity cost recovery arrangement, 2024–25 to 2027–28</w:t>
        </w:r>
        <w:r>
          <w:rPr>
            <w:noProof/>
            <w:webHidden/>
          </w:rPr>
          <w:tab/>
        </w:r>
        <w:r>
          <w:rPr>
            <w:noProof/>
            <w:webHidden/>
          </w:rPr>
          <w:fldChar w:fldCharType="begin"/>
        </w:r>
        <w:r>
          <w:rPr>
            <w:noProof/>
            <w:webHidden/>
          </w:rPr>
          <w:instrText xml:space="preserve"> PAGEREF _Toc200534247 \h </w:instrText>
        </w:r>
        <w:r>
          <w:rPr>
            <w:noProof/>
            <w:webHidden/>
          </w:rPr>
        </w:r>
        <w:r>
          <w:rPr>
            <w:noProof/>
            <w:webHidden/>
          </w:rPr>
          <w:fldChar w:fldCharType="separate"/>
        </w:r>
        <w:r>
          <w:rPr>
            <w:noProof/>
            <w:webHidden/>
          </w:rPr>
          <w:t>25</w:t>
        </w:r>
        <w:r>
          <w:rPr>
            <w:noProof/>
            <w:webHidden/>
          </w:rPr>
          <w:fldChar w:fldCharType="end"/>
        </w:r>
      </w:hyperlink>
    </w:p>
    <w:p w14:paraId="4E611A16" w14:textId="77D8EE18" w:rsidR="0071457B" w:rsidRDefault="0071457B">
      <w:pPr>
        <w:pStyle w:val="TableofFigures"/>
        <w:tabs>
          <w:tab w:val="right" w:leader="dot" w:pos="9174"/>
        </w:tabs>
        <w:rPr>
          <w:rFonts w:eastAsiaTheme="minorEastAsia"/>
          <w:noProof/>
          <w:kern w:val="2"/>
          <w:sz w:val="24"/>
          <w:szCs w:val="24"/>
          <w:lang w:eastAsia="en-AU"/>
          <w14:ligatures w14:val="standardContextual"/>
        </w:rPr>
      </w:pPr>
      <w:hyperlink w:anchor="_Toc200534248" w:history="1">
        <w:r w:rsidRPr="00D062CC">
          <w:rPr>
            <w:rStyle w:val="Hyperlink"/>
            <w:noProof/>
          </w:rPr>
          <w:t>Table 8 Financial performance of the biosecurity cost recovery arrangement, 2020–21 to 2023–24</w:t>
        </w:r>
        <w:r>
          <w:rPr>
            <w:noProof/>
            <w:webHidden/>
          </w:rPr>
          <w:tab/>
        </w:r>
        <w:r>
          <w:rPr>
            <w:noProof/>
            <w:webHidden/>
          </w:rPr>
          <w:fldChar w:fldCharType="begin"/>
        </w:r>
        <w:r>
          <w:rPr>
            <w:noProof/>
            <w:webHidden/>
          </w:rPr>
          <w:instrText xml:space="preserve"> PAGEREF _Toc200534248 \h </w:instrText>
        </w:r>
        <w:r>
          <w:rPr>
            <w:noProof/>
            <w:webHidden/>
          </w:rPr>
        </w:r>
        <w:r>
          <w:rPr>
            <w:noProof/>
            <w:webHidden/>
          </w:rPr>
          <w:fldChar w:fldCharType="separate"/>
        </w:r>
        <w:r>
          <w:rPr>
            <w:noProof/>
            <w:webHidden/>
          </w:rPr>
          <w:t>26</w:t>
        </w:r>
        <w:r>
          <w:rPr>
            <w:noProof/>
            <w:webHidden/>
          </w:rPr>
          <w:fldChar w:fldCharType="end"/>
        </w:r>
      </w:hyperlink>
    </w:p>
    <w:p w14:paraId="7E32A829" w14:textId="23C4E012" w:rsidR="0071457B" w:rsidRDefault="0071457B">
      <w:pPr>
        <w:pStyle w:val="TableofFigures"/>
        <w:tabs>
          <w:tab w:val="right" w:leader="dot" w:pos="9174"/>
        </w:tabs>
        <w:rPr>
          <w:rFonts w:eastAsiaTheme="minorEastAsia"/>
          <w:noProof/>
          <w:kern w:val="2"/>
          <w:sz w:val="24"/>
          <w:szCs w:val="24"/>
          <w:lang w:eastAsia="en-AU"/>
          <w14:ligatures w14:val="standardContextual"/>
        </w:rPr>
      </w:pPr>
      <w:hyperlink w:anchor="_Toc200534249" w:history="1">
        <w:r w:rsidRPr="00D062CC">
          <w:rPr>
            <w:rStyle w:val="Hyperlink"/>
            <w:noProof/>
          </w:rPr>
          <w:t>Table 9 Non-financial performance measures for biosecurity arrangement, 2023–24</w:t>
        </w:r>
        <w:r>
          <w:rPr>
            <w:noProof/>
            <w:webHidden/>
          </w:rPr>
          <w:tab/>
        </w:r>
        <w:r>
          <w:rPr>
            <w:noProof/>
            <w:webHidden/>
          </w:rPr>
          <w:fldChar w:fldCharType="begin"/>
        </w:r>
        <w:r>
          <w:rPr>
            <w:noProof/>
            <w:webHidden/>
          </w:rPr>
          <w:instrText xml:space="preserve"> PAGEREF _Toc200534249 \h </w:instrText>
        </w:r>
        <w:r>
          <w:rPr>
            <w:noProof/>
            <w:webHidden/>
          </w:rPr>
        </w:r>
        <w:r>
          <w:rPr>
            <w:noProof/>
            <w:webHidden/>
          </w:rPr>
          <w:fldChar w:fldCharType="separate"/>
        </w:r>
        <w:r>
          <w:rPr>
            <w:noProof/>
            <w:webHidden/>
          </w:rPr>
          <w:t>27</w:t>
        </w:r>
        <w:r>
          <w:rPr>
            <w:noProof/>
            <w:webHidden/>
          </w:rPr>
          <w:fldChar w:fldCharType="end"/>
        </w:r>
      </w:hyperlink>
    </w:p>
    <w:p w14:paraId="786A3BDB" w14:textId="7EAE2D25" w:rsidR="0071457B" w:rsidRDefault="0071457B">
      <w:pPr>
        <w:pStyle w:val="TableofFigures"/>
        <w:tabs>
          <w:tab w:val="right" w:leader="dot" w:pos="9174"/>
        </w:tabs>
        <w:rPr>
          <w:rFonts w:eastAsiaTheme="minorEastAsia"/>
          <w:noProof/>
          <w:kern w:val="2"/>
          <w:sz w:val="24"/>
          <w:szCs w:val="24"/>
          <w:lang w:eastAsia="en-AU"/>
          <w14:ligatures w14:val="standardContextual"/>
        </w:rPr>
      </w:pPr>
      <w:hyperlink w:anchor="_Toc200534250" w:history="1">
        <w:r w:rsidRPr="00D062CC">
          <w:rPr>
            <w:rStyle w:val="Hyperlink"/>
            <w:noProof/>
          </w:rPr>
          <w:t>Table 10 Key forward dates and events</w:t>
        </w:r>
        <w:r>
          <w:rPr>
            <w:noProof/>
            <w:webHidden/>
          </w:rPr>
          <w:tab/>
        </w:r>
        <w:r>
          <w:rPr>
            <w:noProof/>
            <w:webHidden/>
          </w:rPr>
          <w:fldChar w:fldCharType="begin"/>
        </w:r>
        <w:r>
          <w:rPr>
            <w:noProof/>
            <w:webHidden/>
          </w:rPr>
          <w:instrText xml:space="preserve"> PAGEREF _Toc200534250 \h </w:instrText>
        </w:r>
        <w:r>
          <w:rPr>
            <w:noProof/>
            <w:webHidden/>
          </w:rPr>
        </w:r>
        <w:r>
          <w:rPr>
            <w:noProof/>
            <w:webHidden/>
          </w:rPr>
          <w:fldChar w:fldCharType="separate"/>
        </w:r>
        <w:r>
          <w:rPr>
            <w:noProof/>
            <w:webHidden/>
          </w:rPr>
          <w:t>28</w:t>
        </w:r>
        <w:r>
          <w:rPr>
            <w:noProof/>
            <w:webHidden/>
          </w:rPr>
          <w:fldChar w:fldCharType="end"/>
        </w:r>
      </w:hyperlink>
    </w:p>
    <w:p w14:paraId="630760A2" w14:textId="6D48A5C0" w:rsidR="00772A50" w:rsidRDefault="0071457B" w:rsidP="00772A50">
      <w:pPr>
        <w:pStyle w:val="TableofFigures"/>
        <w:tabs>
          <w:tab w:val="right" w:leader="dot" w:pos="9174"/>
        </w:tabs>
      </w:pPr>
      <w:hyperlink w:anchor="_Toc200534251" w:history="1">
        <w:r w:rsidRPr="00D062CC">
          <w:rPr>
            <w:rStyle w:val="Hyperlink"/>
            <w:noProof/>
          </w:rPr>
          <w:t>Table 11 Change register</w:t>
        </w:r>
        <w:r>
          <w:rPr>
            <w:noProof/>
            <w:webHidden/>
          </w:rPr>
          <w:tab/>
        </w:r>
        <w:r>
          <w:rPr>
            <w:noProof/>
            <w:webHidden/>
          </w:rPr>
          <w:fldChar w:fldCharType="begin"/>
        </w:r>
        <w:r>
          <w:rPr>
            <w:noProof/>
            <w:webHidden/>
          </w:rPr>
          <w:instrText xml:space="preserve"> PAGEREF _Toc200534251 \h </w:instrText>
        </w:r>
        <w:r>
          <w:rPr>
            <w:noProof/>
            <w:webHidden/>
          </w:rPr>
        </w:r>
        <w:r>
          <w:rPr>
            <w:noProof/>
            <w:webHidden/>
          </w:rPr>
          <w:fldChar w:fldCharType="separate"/>
        </w:r>
        <w:r>
          <w:rPr>
            <w:noProof/>
            <w:webHidden/>
          </w:rPr>
          <w:t>29</w:t>
        </w:r>
        <w:r>
          <w:rPr>
            <w:noProof/>
            <w:webHidden/>
          </w:rPr>
          <w:fldChar w:fldCharType="end"/>
        </w:r>
      </w:hyperlink>
      <w:r w:rsidR="00E83CB8" w:rsidRPr="00E83CB8">
        <w:rPr>
          <w:rFonts w:cstheme="minorHAnsi"/>
        </w:rPr>
        <w:fldChar w:fldCharType="end"/>
      </w:r>
    </w:p>
    <w:p w14:paraId="756C98DC" w14:textId="7F12FB0D" w:rsidR="0071457B" w:rsidRDefault="00772A50">
      <w:pPr>
        <w:pStyle w:val="TableofFigures"/>
        <w:tabs>
          <w:tab w:val="right" w:leader="dot" w:pos="9174"/>
        </w:tabs>
        <w:rPr>
          <w:rFonts w:eastAsiaTheme="minorEastAsia"/>
          <w:noProof/>
          <w:kern w:val="2"/>
          <w:sz w:val="24"/>
          <w:szCs w:val="24"/>
          <w:lang w:eastAsia="en-AU"/>
          <w14:ligatures w14:val="standardContextual"/>
        </w:rPr>
      </w:pPr>
      <w:r>
        <w:fldChar w:fldCharType="begin"/>
      </w:r>
      <w:r>
        <w:instrText xml:space="preserve"> TOC \h \z \c "Table A" </w:instrText>
      </w:r>
      <w:r>
        <w:fldChar w:fldCharType="separate"/>
      </w:r>
      <w:hyperlink w:anchor="_Toc200534252" w:history="1">
        <w:r w:rsidR="0071457B" w:rsidRPr="000C7197">
          <w:rPr>
            <w:rStyle w:val="Hyperlink"/>
            <w:noProof/>
          </w:rPr>
          <w:t>Table A1 Vessel and aircraft volumes</w:t>
        </w:r>
        <w:r w:rsidR="0071457B">
          <w:rPr>
            <w:noProof/>
            <w:webHidden/>
          </w:rPr>
          <w:tab/>
        </w:r>
        <w:r w:rsidR="0071457B">
          <w:rPr>
            <w:noProof/>
            <w:webHidden/>
          </w:rPr>
          <w:fldChar w:fldCharType="begin"/>
        </w:r>
        <w:r w:rsidR="0071457B">
          <w:rPr>
            <w:noProof/>
            <w:webHidden/>
          </w:rPr>
          <w:instrText xml:space="preserve"> PAGEREF _Toc200534252 \h </w:instrText>
        </w:r>
        <w:r w:rsidR="0071457B">
          <w:rPr>
            <w:noProof/>
            <w:webHidden/>
          </w:rPr>
        </w:r>
        <w:r w:rsidR="0071457B">
          <w:rPr>
            <w:noProof/>
            <w:webHidden/>
          </w:rPr>
          <w:fldChar w:fldCharType="separate"/>
        </w:r>
        <w:r w:rsidR="0071457B">
          <w:rPr>
            <w:noProof/>
            <w:webHidden/>
          </w:rPr>
          <w:t>30</w:t>
        </w:r>
        <w:r w:rsidR="0071457B">
          <w:rPr>
            <w:noProof/>
            <w:webHidden/>
          </w:rPr>
          <w:fldChar w:fldCharType="end"/>
        </w:r>
      </w:hyperlink>
    </w:p>
    <w:p w14:paraId="623132F8" w14:textId="01032E14" w:rsidR="0071457B" w:rsidRDefault="0071457B">
      <w:pPr>
        <w:pStyle w:val="TableofFigures"/>
        <w:tabs>
          <w:tab w:val="right" w:leader="dot" w:pos="9174"/>
        </w:tabs>
        <w:rPr>
          <w:rFonts w:eastAsiaTheme="minorEastAsia"/>
          <w:noProof/>
          <w:kern w:val="2"/>
          <w:sz w:val="24"/>
          <w:szCs w:val="24"/>
          <w:lang w:eastAsia="en-AU"/>
          <w14:ligatures w14:val="standardContextual"/>
        </w:rPr>
      </w:pPr>
      <w:hyperlink w:anchor="_Toc200534253" w:history="1">
        <w:r w:rsidRPr="000C7197">
          <w:rPr>
            <w:rStyle w:val="Hyperlink"/>
            <w:noProof/>
          </w:rPr>
          <w:t>Table A2 Cargo volumes</w:t>
        </w:r>
        <w:r>
          <w:rPr>
            <w:noProof/>
            <w:webHidden/>
          </w:rPr>
          <w:tab/>
        </w:r>
        <w:r>
          <w:rPr>
            <w:noProof/>
            <w:webHidden/>
          </w:rPr>
          <w:fldChar w:fldCharType="begin"/>
        </w:r>
        <w:r>
          <w:rPr>
            <w:noProof/>
            <w:webHidden/>
          </w:rPr>
          <w:instrText xml:space="preserve"> PAGEREF _Toc200534253 \h </w:instrText>
        </w:r>
        <w:r>
          <w:rPr>
            <w:noProof/>
            <w:webHidden/>
          </w:rPr>
        </w:r>
        <w:r>
          <w:rPr>
            <w:noProof/>
            <w:webHidden/>
          </w:rPr>
          <w:fldChar w:fldCharType="separate"/>
        </w:r>
        <w:r>
          <w:rPr>
            <w:noProof/>
            <w:webHidden/>
          </w:rPr>
          <w:t>30</w:t>
        </w:r>
        <w:r>
          <w:rPr>
            <w:noProof/>
            <w:webHidden/>
          </w:rPr>
          <w:fldChar w:fldCharType="end"/>
        </w:r>
      </w:hyperlink>
    </w:p>
    <w:p w14:paraId="114A3E49" w14:textId="36376EAB" w:rsidR="0071457B" w:rsidRDefault="0071457B" w:rsidP="0071457B">
      <w:pPr>
        <w:pStyle w:val="TableofFigures"/>
        <w:tabs>
          <w:tab w:val="right" w:leader="dot" w:pos="9174"/>
        </w:tabs>
      </w:pPr>
      <w:hyperlink w:anchor="_Toc200534254" w:history="1">
        <w:r w:rsidRPr="000C7197">
          <w:rPr>
            <w:rStyle w:val="Hyperlink"/>
            <w:noProof/>
          </w:rPr>
          <w:t>Table A3 Import permit applications and animals processed at PEQ</w:t>
        </w:r>
        <w:r>
          <w:rPr>
            <w:noProof/>
            <w:webHidden/>
          </w:rPr>
          <w:tab/>
        </w:r>
        <w:r>
          <w:rPr>
            <w:noProof/>
            <w:webHidden/>
          </w:rPr>
          <w:fldChar w:fldCharType="begin"/>
        </w:r>
        <w:r>
          <w:rPr>
            <w:noProof/>
            <w:webHidden/>
          </w:rPr>
          <w:instrText xml:space="preserve"> PAGEREF _Toc200534254 \h </w:instrText>
        </w:r>
        <w:r>
          <w:rPr>
            <w:noProof/>
            <w:webHidden/>
          </w:rPr>
        </w:r>
        <w:r>
          <w:rPr>
            <w:noProof/>
            <w:webHidden/>
          </w:rPr>
          <w:fldChar w:fldCharType="separate"/>
        </w:r>
        <w:r>
          <w:rPr>
            <w:noProof/>
            <w:webHidden/>
          </w:rPr>
          <w:t>30</w:t>
        </w:r>
        <w:r>
          <w:rPr>
            <w:noProof/>
            <w:webHidden/>
          </w:rPr>
          <w:fldChar w:fldCharType="end"/>
        </w:r>
      </w:hyperlink>
      <w:r w:rsidR="00772A50">
        <w:fldChar w:fldCharType="end"/>
      </w:r>
    </w:p>
    <w:p w14:paraId="62C76E8C" w14:textId="2EE48EE2" w:rsidR="00E83CB8" w:rsidRPr="0071457B" w:rsidRDefault="00E83CB8" w:rsidP="0071457B">
      <w:pPr>
        <w:pStyle w:val="TOCHeading2"/>
      </w:pPr>
      <w:r w:rsidRPr="0071457B">
        <w:t>Figures</w:t>
      </w:r>
    </w:p>
    <w:p w14:paraId="122C56D4" w14:textId="360E5C16" w:rsidR="0071457B" w:rsidRDefault="00E83CB8">
      <w:pPr>
        <w:pStyle w:val="TableofFigures"/>
        <w:tabs>
          <w:tab w:val="right" w:leader="dot" w:pos="9174"/>
        </w:tabs>
        <w:rPr>
          <w:rFonts w:eastAsiaTheme="minorEastAsia"/>
          <w:noProof/>
          <w:kern w:val="2"/>
          <w:sz w:val="24"/>
          <w:szCs w:val="24"/>
          <w:lang w:eastAsia="en-AU"/>
          <w14:ligatures w14:val="standardContextual"/>
        </w:rPr>
      </w:pPr>
      <w:r w:rsidRPr="00E83CB8">
        <w:rPr>
          <w:rFonts w:cstheme="minorHAnsi"/>
        </w:rPr>
        <w:fldChar w:fldCharType="begin"/>
      </w:r>
      <w:r w:rsidRPr="00E83CB8">
        <w:rPr>
          <w:rFonts w:cstheme="minorHAnsi"/>
        </w:rPr>
        <w:instrText xml:space="preserve"> TOC \h \z \c "Figure" </w:instrText>
      </w:r>
      <w:r w:rsidRPr="00E83CB8">
        <w:rPr>
          <w:rFonts w:cstheme="minorHAnsi"/>
        </w:rPr>
        <w:fldChar w:fldCharType="separate"/>
      </w:r>
      <w:hyperlink w:anchor="_Toc200534255" w:history="1">
        <w:r w:rsidR="0071457B" w:rsidRPr="002D58AE">
          <w:rPr>
            <w:rStyle w:val="Hyperlink"/>
            <w:noProof/>
          </w:rPr>
          <w:t>Figure 1 Example of how a regulated entity would be charged for an intervention activity</w:t>
        </w:r>
        <w:r w:rsidR="0071457B">
          <w:rPr>
            <w:noProof/>
            <w:webHidden/>
          </w:rPr>
          <w:tab/>
        </w:r>
        <w:r w:rsidR="0071457B">
          <w:rPr>
            <w:noProof/>
            <w:webHidden/>
          </w:rPr>
          <w:fldChar w:fldCharType="begin"/>
        </w:r>
        <w:r w:rsidR="0071457B">
          <w:rPr>
            <w:noProof/>
            <w:webHidden/>
          </w:rPr>
          <w:instrText xml:space="preserve"> PAGEREF _Toc200534255 \h </w:instrText>
        </w:r>
        <w:r w:rsidR="0071457B">
          <w:rPr>
            <w:noProof/>
            <w:webHidden/>
          </w:rPr>
        </w:r>
        <w:r w:rsidR="0071457B">
          <w:rPr>
            <w:noProof/>
            <w:webHidden/>
          </w:rPr>
          <w:fldChar w:fldCharType="separate"/>
        </w:r>
        <w:r w:rsidR="0071457B">
          <w:rPr>
            <w:noProof/>
            <w:webHidden/>
          </w:rPr>
          <w:t>9</w:t>
        </w:r>
        <w:r w:rsidR="0071457B">
          <w:rPr>
            <w:noProof/>
            <w:webHidden/>
          </w:rPr>
          <w:fldChar w:fldCharType="end"/>
        </w:r>
      </w:hyperlink>
    </w:p>
    <w:p w14:paraId="4A0BB4FE" w14:textId="76E7BDDB" w:rsidR="0071457B" w:rsidRDefault="0071457B">
      <w:pPr>
        <w:pStyle w:val="TableofFigures"/>
        <w:tabs>
          <w:tab w:val="right" w:leader="dot" w:pos="9174"/>
        </w:tabs>
        <w:rPr>
          <w:rFonts w:eastAsiaTheme="minorEastAsia"/>
          <w:noProof/>
          <w:kern w:val="2"/>
          <w:sz w:val="24"/>
          <w:szCs w:val="24"/>
          <w:lang w:eastAsia="en-AU"/>
          <w14:ligatures w14:val="standardContextual"/>
        </w:rPr>
      </w:pPr>
      <w:hyperlink w:anchor="_Toc200534256" w:history="1">
        <w:r w:rsidRPr="002D58AE">
          <w:rPr>
            <w:rStyle w:val="Hyperlink"/>
            <w:noProof/>
          </w:rPr>
          <w:t>Figure 2 Charge and fee related activities and associated outputs</w:t>
        </w:r>
        <w:r>
          <w:rPr>
            <w:noProof/>
            <w:webHidden/>
          </w:rPr>
          <w:tab/>
        </w:r>
        <w:r>
          <w:rPr>
            <w:noProof/>
            <w:webHidden/>
          </w:rPr>
          <w:fldChar w:fldCharType="begin"/>
        </w:r>
        <w:r>
          <w:rPr>
            <w:noProof/>
            <w:webHidden/>
          </w:rPr>
          <w:instrText xml:space="preserve"> PAGEREF _Toc200534256 \h </w:instrText>
        </w:r>
        <w:r>
          <w:rPr>
            <w:noProof/>
            <w:webHidden/>
          </w:rPr>
        </w:r>
        <w:r>
          <w:rPr>
            <w:noProof/>
            <w:webHidden/>
          </w:rPr>
          <w:fldChar w:fldCharType="separate"/>
        </w:r>
        <w:r>
          <w:rPr>
            <w:noProof/>
            <w:webHidden/>
          </w:rPr>
          <w:t>10</w:t>
        </w:r>
        <w:r>
          <w:rPr>
            <w:noProof/>
            <w:webHidden/>
          </w:rPr>
          <w:fldChar w:fldCharType="end"/>
        </w:r>
      </w:hyperlink>
    </w:p>
    <w:p w14:paraId="1FE68940" w14:textId="3E2B5408" w:rsidR="00E83CB8" w:rsidRPr="00E83CB8" w:rsidRDefault="00E83CB8" w:rsidP="00D71345">
      <w:pPr>
        <w:spacing w:after="0" w:line="240" w:lineRule="auto"/>
        <w:sectPr w:rsidR="00E83CB8" w:rsidRPr="00E83CB8" w:rsidSect="00331180">
          <w:headerReference w:type="default" r:id="rId17"/>
          <w:footerReference w:type="default" r:id="rId18"/>
          <w:headerReference w:type="first" r:id="rId19"/>
          <w:pgSz w:w="11906" w:h="16838"/>
          <w:pgMar w:top="1361" w:right="1361" w:bottom="1361" w:left="1361" w:header="567" w:footer="284" w:gutter="0"/>
          <w:pgNumType w:fmt="lowerRoman"/>
          <w:cols w:space="708"/>
          <w:titlePg/>
          <w:docGrid w:linePitch="360"/>
        </w:sectPr>
      </w:pPr>
      <w:r w:rsidRPr="00E83CB8">
        <w:rPr>
          <w:rFonts w:ascii="Calibri Light" w:hAnsi="Calibri Light" w:cstheme="minorHAnsi"/>
          <w:sz w:val="36"/>
        </w:rPr>
        <w:fldChar w:fldCharType="end"/>
      </w:r>
      <w:bookmarkStart w:id="3" w:name="_Ref135815660"/>
      <w:bookmarkStart w:id="4" w:name="_Toc168489241"/>
      <w:bookmarkStart w:id="5" w:name="_Toc168489538"/>
      <w:bookmarkStart w:id="6" w:name="_Toc168645236"/>
    </w:p>
    <w:p w14:paraId="6A2C19EA" w14:textId="2F67B85E" w:rsidR="00E83CB8" w:rsidRPr="00E459E0" w:rsidRDefault="00811A82" w:rsidP="00E85F56">
      <w:pPr>
        <w:pStyle w:val="Heading2"/>
        <w:numPr>
          <w:ilvl w:val="0"/>
          <w:numId w:val="0"/>
        </w:numPr>
        <w:ind w:left="720" w:hanging="720"/>
      </w:pPr>
      <w:bookmarkStart w:id="7" w:name="_Toc200115582"/>
      <w:r w:rsidRPr="00E459E0">
        <w:lastRenderedPageBreak/>
        <w:t>I</w:t>
      </w:r>
      <w:r w:rsidR="00E83CB8" w:rsidRPr="00E459E0">
        <w:t>ntroduction</w:t>
      </w:r>
      <w:bookmarkEnd w:id="3"/>
      <w:bookmarkEnd w:id="4"/>
      <w:bookmarkEnd w:id="5"/>
      <w:bookmarkEnd w:id="6"/>
      <w:bookmarkEnd w:id="7"/>
    </w:p>
    <w:p w14:paraId="23AB7762" w14:textId="165AA44E" w:rsidR="000A7A40" w:rsidRPr="00472697" w:rsidRDefault="000A7A40" w:rsidP="000A7A40">
      <w:pPr>
        <w:rPr>
          <w:lang w:eastAsia="ja-JP"/>
        </w:rPr>
      </w:pPr>
      <w:r w:rsidRPr="00472697">
        <w:rPr>
          <w:lang w:eastAsia="ja-JP"/>
        </w:rPr>
        <w:t xml:space="preserve">Charging for regulatory activity involves government entities charging individuals or organisations in </w:t>
      </w:r>
      <w:r w:rsidRPr="00B262C0">
        <w:rPr>
          <w:lang w:eastAsia="ja-JP"/>
        </w:rPr>
        <w:t>the non-government sector some</w:t>
      </w:r>
      <w:r w:rsidRPr="00472697">
        <w:rPr>
          <w:lang w:eastAsia="ja-JP"/>
        </w:rPr>
        <w:t xml:space="preserve"> or </w:t>
      </w:r>
      <w:proofErr w:type="gramStart"/>
      <w:r w:rsidRPr="00472697">
        <w:rPr>
          <w:lang w:eastAsia="ja-JP"/>
        </w:rPr>
        <w:t>all of</w:t>
      </w:r>
      <w:proofErr w:type="gramEnd"/>
      <w:r w:rsidRPr="00472697">
        <w:rPr>
          <w:lang w:eastAsia="ja-JP"/>
        </w:rPr>
        <w:t xml:space="preserve"> the minimum efficient costs of a specific government activity. The</w:t>
      </w:r>
      <w:r w:rsidR="004B36FD" w:rsidRPr="004B36FD">
        <w:t xml:space="preserve"> </w:t>
      </w:r>
      <w:r w:rsidR="004B36FD" w:rsidRPr="004B36FD">
        <w:rPr>
          <w:lang w:eastAsia="ja-JP"/>
        </w:rPr>
        <w:t>Australian Government Cost Recovery Policy</w:t>
      </w:r>
      <w:r w:rsidRPr="00472697">
        <w:rPr>
          <w:lang w:eastAsia="ja-JP"/>
        </w:rPr>
        <w:t xml:space="preserve"> along </w:t>
      </w:r>
      <w:r w:rsidRPr="00B262C0">
        <w:rPr>
          <w:lang w:eastAsia="ja-JP"/>
        </w:rPr>
        <w:t xml:space="preserve">with the Australian Government Charging Framework </w:t>
      </w:r>
      <w:r w:rsidRPr="00472697">
        <w:rPr>
          <w:lang w:eastAsia="ja-JP"/>
        </w:rPr>
        <w:t xml:space="preserve">sets out the policy under which government entities design, implement and review charging for regulatory </w:t>
      </w:r>
      <w:r w:rsidRPr="00B262C0">
        <w:rPr>
          <w:lang w:eastAsia="ja-JP"/>
        </w:rPr>
        <w:t xml:space="preserve">activities. The </w:t>
      </w:r>
      <w:r w:rsidR="00B262C0" w:rsidRPr="00B262C0">
        <w:rPr>
          <w:lang w:eastAsia="ja-JP"/>
        </w:rPr>
        <w:t>cost recovery implementation statement</w:t>
      </w:r>
      <w:r w:rsidR="00B262C0" w:rsidRPr="00472697">
        <w:rPr>
          <w:lang w:eastAsia="ja-JP"/>
        </w:rPr>
        <w:t xml:space="preserve"> </w:t>
      </w:r>
      <w:r w:rsidRPr="00472697">
        <w:rPr>
          <w:lang w:eastAsia="ja-JP"/>
        </w:rPr>
        <w:t>ensure</w:t>
      </w:r>
      <w:r w:rsidR="004B36FD">
        <w:rPr>
          <w:lang w:eastAsia="ja-JP"/>
        </w:rPr>
        <w:t>s</w:t>
      </w:r>
      <w:r w:rsidRPr="00472697">
        <w:rPr>
          <w:lang w:eastAsia="ja-JP"/>
        </w:rPr>
        <w:t xml:space="preserve"> transparency and accountability for the level of charging </w:t>
      </w:r>
      <w:r w:rsidR="00E459E0" w:rsidRPr="00472697">
        <w:rPr>
          <w:lang w:eastAsia="ja-JP"/>
        </w:rPr>
        <w:t xml:space="preserve">by the </w:t>
      </w:r>
      <w:r w:rsidR="00733737" w:rsidRPr="00472697">
        <w:t xml:space="preserve">Department of Agriculture, Fisheries and Forestry </w:t>
      </w:r>
      <w:r w:rsidRPr="00472697">
        <w:rPr>
          <w:lang w:eastAsia="ja-JP"/>
        </w:rPr>
        <w:t>and demonstrate</w:t>
      </w:r>
      <w:r w:rsidR="004B36FD">
        <w:rPr>
          <w:lang w:eastAsia="ja-JP"/>
        </w:rPr>
        <w:t>s</w:t>
      </w:r>
      <w:r w:rsidRPr="00472697">
        <w:rPr>
          <w:lang w:eastAsia="ja-JP"/>
        </w:rPr>
        <w:t xml:space="preserve"> the purpose for charging, as decided by </w:t>
      </w:r>
      <w:r w:rsidR="00D4152B">
        <w:rPr>
          <w:lang w:eastAsia="ja-JP"/>
        </w:rPr>
        <w:t>g</w:t>
      </w:r>
      <w:r w:rsidRPr="00472697">
        <w:rPr>
          <w:lang w:eastAsia="ja-JP"/>
        </w:rPr>
        <w:t xml:space="preserve">overnment, is </w:t>
      </w:r>
      <w:proofErr w:type="gramStart"/>
      <w:r w:rsidRPr="00472697">
        <w:rPr>
          <w:lang w:eastAsia="ja-JP"/>
        </w:rPr>
        <w:t>being achieved</w:t>
      </w:r>
      <w:proofErr w:type="gramEnd"/>
      <w:r w:rsidRPr="00472697">
        <w:rPr>
          <w:lang w:eastAsia="ja-JP"/>
        </w:rPr>
        <w:t>.</w:t>
      </w:r>
    </w:p>
    <w:p w14:paraId="38EB12A8" w14:textId="77777777" w:rsidR="00E83CB8" w:rsidRPr="007A47DF" w:rsidRDefault="00E83CB8" w:rsidP="00072A4B">
      <w:pPr>
        <w:pStyle w:val="Heading3"/>
        <w:numPr>
          <w:ilvl w:val="0"/>
          <w:numId w:val="0"/>
        </w:numPr>
        <w:ind w:left="964" w:hanging="964"/>
        <w:rPr>
          <w:lang w:eastAsia="ja-JP"/>
        </w:rPr>
      </w:pPr>
      <w:bookmarkStart w:id="8" w:name="_Toc168489242"/>
      <w:bookmarkStart w:id="9" w:name="_Toc168489539"/>
      <w:bookmarkStart w:id="10" w:name="_Toc168645237"/>
      <w:bookmarkStart w:id="11" w:name="_Toc200115583"/>
      <w:r w:rsidRPr="007A47DF">
        <w:rPr>
          <w:lang w:eastAsia="ja-JP"/>
        </w:rPr>
        <w:t>Purpose</w:t>
      </w:r>
      <w:bookmarkEnd w:id="8"/>
      <w:bookmarkEnd w:id="9"/>
      <w:bookmarkEnd w:id="10"/>
      <w:bookmarkEnd w:id="11"/>
    </w:p>
    <w:p w14:paraId="0F3D0070" w14:textId="180B55BD" w:rsidR="000A7A40" w:rsidRPr="00472697" w:rsidRDefault="000A7A40" w:rsidP="00E83CB8">
      <w:r w:rsidRPr="00472697">
        <w:t xml:space="preserve">This </w:t>
      </w:r>
      <w:r w:rsidR="00E5351A">
        <w:t>c</w:t>
      </w:r>
      <w:r w:rsidRPr="004B36FD">
        <w:t xml:space="preserve">ost </w:t>
      </w:r>
      <w:r w:rsidR="00E5351A">
        <w:t>r</w:t>
      </w:r>
      <w:r w:rsidRPr="004B36FD">
        <w:t xml:space="preserve">ecovery </w:t>
      </w:r>
      <w:r w:rsidR="00E5351A">
        <w:t>i</w:t>
      </w:r>
      <w:r w:rsidRPr="004B36FD">
        <w:t xml:space="preserve">mplementation </w:t>
      </w:r>
      <w:r w:rsidR="00E5351A">
        <w:t>s</w:t>
      </w:r>
      <w:r w:rsidRPr="004B36FD">
        <w:t>tatement</w:t>
      </w:r>
      <w:r w:rsidRPr="00472697">
        <w:t xml:space="preserve"> (CRIS) provides information on how the department implements cost recovery charging for biosecurity and imported food regulatory activities. It reports actual financial and non-financial performance information for </w:t>
      </w:r>
      <w:r w:rsidR="00EB4650" w:rsidRPr="00472697">
        <w:t>these regulatory activities</w:t>
      </w:r>
      <w:r w:rsidRPr="00472697">
        <w:t xml:space="preserve"> and contains financial </w:t>
      </w:r>
      <w:r w:rsidR="00D35CE1" w:rsidRPr="00472697">
        <w:t xml:space="preserve">and demand </w:t>
      </w:r>
      <w:r w:rsidRPr="00472697">
        <w:t>forecasts for 2025</w:t>
      </w:r>
      <w:r w:rsidR="00845621">
        <w:t>–</w:t>
      </w:r>
      <w:r w:rsidRPr="00472697">
        <w:t xml:space="preserve">26 and </w:t>
      </w:r>
      <w:r w:rsidR="00D35CE1" w:rsidRPr="00472697">
        <w:t xml:space="preserve">financial forecasts for </w:t>
      </w:r>
      <w:r w:rsidR="00EB4650" w:rsidRPr="00472697">
        <w:t>3</w:t>
      </w:r>
      <w:r w:rsidRPr="00472697">
        <w:t xml:space="preserve"> forward years.</w:t>
      </w:r>
    </w:p>
    <w:p w14:paraId="78B29C2D" w14:textId="4A02DD91" w:rsidR="00BE53DD" w:rsidRDefault="00BE53DD" w:rsidP="00012DBA">
      <w:pPr>
        <w:pStyle w:val="Heading2"/>
      </w:pPr>
      <w:bookmarkStart w:id="12" w:name="_Toc200115584"/>
      <w:bookmarkStart w:id="13" w:name="_Toc168489243"/>
      <w:bookmarkStart w:id="14" w:name="_Toc168489540"/>
      <w:bookmarkStart w:id="15" w:name="_Toc168645238"/>
      <w:r>
        <w:lastRenderedPageBreak/>
        <w:t>The regulatory environment</w:t>
      </w:r>
      <w:bookmarkEnd w:id="12"/>
      <w:r>
        <w:t xml:space="preserve"> </w:t>
      </w:r>
    </w:p>
    <w:p w14:paraId="442B75CF" w14:textId="4F58A3A2" w:rsidR="00E83CB8" w:rsidRPr="00E459E0" w:rsidRDefault="00E83CB8" w:rsidP="00857DB4">
      <w:pPr>
        <w:pStyle w:val="Heading3"/>
      </w:pPr>
      <w:bookmarkStart w:id="16" w:name="_Toc200115585"/>
      <w:r w:rsidRPr="00E459E0">
        <w:t>Description of regulatory activity</w:t>
      </w:r>
      <w:bookmarkEnd w:id="13"/>
      <w:bookmarkEnd w:id="14"/>
      <w:bookmarkEnd w:id="15"/>
      <w:bookmarkEnd w:id="16"/>
    </w:p>
    <w:p w14:paraId="3A0F0E02" w14:textId="77777777" w:rsidR="00D35CE1" w:rsidRPr="00472697" w:rsidRDefault="00D35CE1" w:rsidP="00D35CE1">
      <w:pPr>
        <w:rPr>
          <w:rFonts w:cstheme="minorHAnsi"/>
          <w:lang w:eastAsia="ja-JP"/>
        </w:rPr>
      </w:pPr>
      <w:bookmarkStart w:id="17" w:name="_Hlk197617772"/>
      <w:r w:rsidRPr="00472697">
        <w:rPr>
          <w:rFonts w:cstheme="minorHAnsi"/>
          <w:lang w:eastAsia="ja-JP"/>
        </w:rPr>
        <w:t>The key policy objective for our cost-recovered regulatory activity is to:</w:t>
      </w:r>
    </w:p>
    <w:p w14:paraId="6E992A6E" w14:textId="718E4E97" w:rsidR="00D35CE1" w:rsidRPr="00472697" w:rsidRDefault="00D35CE1" w:rsidP="001D3FAB">
      <w:pPr>
        <w:pStyle w:val="Quote"/>
      </w:pPr>
      <w:r w:rsidRPr="00472697">
        <w:t>safeguard Australia’s animal and plant health status to maintain overseas markets and protect the economy and environment from the impact of exotic pests and diseases, through risk assessment, inspection and certification, and the implementation of emergency response arrangements for Australian agricultural, food and fibre industries (DAFF 2025).</w:t>
      </w:r>
    </w:p>
    <w:bookmarkEnd w:id="17"/>
    <w:p w14:paraId="67209EC4" w14:textId="54CD6000" w:rsidR="00D32286" w:rsidRPr="00472697" w:rsidRDefault="003347FA" w:rsidP="003347FA">
      <w:r w:rsidRPr="00472697">
        <w:rPr>
          <w:rFonts w:cstheme="minorHAnsi"/>
          <w:lang w:eastAsia="ja-JP"/>
        </w:rPr>
        <w:t xml:space="preserve">The department undertakes cost recovery for </w:t>
      </w:r>
      <w:r w:rsidRPr="00472697">
        <w:t xml:space="preserve">biosecurity and imported food regulatory </w:t>
      </w:r>
      <w:r w:rsidR="00AD5224" w:rsidRPr="00472697">
        <w:t>activities to</w:t>
      </w:r>
      <w:r w:rsidR="00E459E0" w:rsidRPr="00472697">
        <w:t xml:space="preserve"> support key government objectives</w:t>
      </w:r>
      <w:r w:rsidR="00285C0A" w:rsidRPr="00472697">
        <w:t>:</w:t>
      </w:r>
    </w:p>
    <w:p w14:paraId="619543FE" w14:textId="0F1EA7BB" w:rsidR="00D32286" w:rsidRPr="00472697" w:rsidRDefault="003347FA" w:rsidP="00D32286">
      <w:pPr>
        <w:pStyle w:val="ListBullet"/>
        <w:rPr>
          <w:lang w:eastAsia="ja-JP"/>
        </w:rPr>
      </w:pPr>
      <w:r w:rsidRPr="00472697">
        <w:rPr>
          <w:lang w:eastAsia="ja-JP"/>
        </w:rPr>
        <w:t>manage biosecurity risks arising from people, goods and conveyances (vessels and aircraft) entering Australia</w:t>
      </w:r>
    </w:p>
    <w:p w14:paraId="6F972915" w14:textId="3B007B75" w:rsidR="003347FA" w:rsidRPr="00472697" w:rsidRDefault="003347FA" w:rsidP="00D32286">
      <w:pPr>
        <w:pStyle w:val="ListBullet"/>
      </w:pPr>
      <w:r w:rsidRPr="00472697">
        <w:rPr>
          <w:lang w:eastAsia="ja-JP"/>
        </w:rPr>
        <w:t>assess compliance of imported food with relevant food standards and public health and safety requirements.</w:t>
      </w:r>
    </w:p>
    <w:p w14:paraId="30AD1F9F" w14:textId="5208BC3A" w:rsidR="00271472" w:rsidRPr="00472697" w:rsidRDefault="00271472" w:rsidP="00271472">
      <w:bookmarkStart w:id="18" w:name="_Hlk199955092"/>
      <w:r w:rsidRPr="00472697">
        <w:t>The</w:t>
      </w:r>
      <w:r>
        <w:t xml:space="preserve"> department’s regulatory</w:t>
      </w:r>
      <w:r w:rsidRPr="00472697">
        <w:t xml:space="preserve"> activities</w:t>
      </w:r>
      <w:r w:rsidRPr="00472697">
        <w:rPr>
          <w:rFonts w:cstheme="minorHAnsi"/>
          <w:lang w:eastAsia="ja-JP"/>
        </w:rPr>
        <w:t xml:space="preserve"> occur onshore, offshore and at the border</w:t>
      </w:r>
      <w:r>
        <w:rPr>
          <w:rFonts w:cstheme="minorHAnsi"/>
          <w:lang w:eastAsia="ja-JP"/>
        </w:rPr>
        <w:t xml:space="preserve">. These activities </w:t>
      </w:r>
      <w:r w:rsidRPr="00472697">
        <w:t xml:space="preserve">are associated with </w:t>
      </w:r>
      <w:r>
        <w:t xml:space="preserve">measures and </w:t>
      </w:r>
      <w:r w:rsidRPr="00472697">
        <w:t>controls to manage and minimise the risk of pests, weeds and diseases entering, emerging, establishing or spreading within Australia</w:t>
      </w:r>
      <w:r>
        <w:t xml:space="preserve">. This in turn facilitates </w:t>
      </w:r>
      <w:r w:rsidRPr="00472697">
        <w:t>trade and the movement of plants, animals, people and products.</w:t>
      </w:r>
      <w:r>
        <w:t xml:space="preserve"> </w:t>
      </w:r>
      <w:r w:rsidRPr="00664207">
        <w:t>Imported food regulatory activities are associated with protecting public health and safety</w:t>
      </w:r>
      <w:r>
        <w:t>.</w:t>
      </w:r>
    </w:p>
    <w:bookmarkEnd w:id="18"/>
    <w:p w14:paraId="5DAC31A5" w14:textId="6026D2A2" w:rsidR="00E47514" w:rsidRPr="001D1A2A" w:rsidRDefault="00E47514" w:rsidP="001D1A2A">
      <w:r w:rsidRPr="001D1A2A">
        <w:t>The Australian Government continues to affirm full cost recovery as the appropriate level of cost recovery from regulated entities through the portfolio budget statements and budget processes each year.</w:t>
      </w:r>
    </w:p>
    <w:p w14:paraId="6472A779" w14:textId="6533E253" w:rsidR="00E83CB8" w:rsidRPr="00857DB4" w:rsidRDefault="00E83CB8" w:rsidP="00857DB4">
      <w:pPr>
        <w:pStyle w:val="Heading3"/>
      </w:pPr>
      <w:bookmarkStart w:id="19" w:name="_Toc168489244"/>
      <w:bookmarkStart w:id="20" w:name="_Toc168489541"/>
      <w:bookmarkStart w:id="21" w:name="_Toc168645239"/>
      <w:bookmarkStart w:id="22" w:name="_Toc200115586"/>
      <w:r w:rsidRPr="00857DB4">
        <w:t>Industry and regulatory groups</w:t>
      </w:r>
      <w:bookmarkEnd w:id="19"/>
      <w:bookmarkEnd w:id="20"/>
      <w:bookmarkEnd w:id="21"/>
      <w:bookmarkEnd w:id="22"/>
    </w:p>
    <w:p w14:paraId="1D8FC66B" w14:textId="34096895" w:rsidR="00E83CB8" w:rsidRPr="00472697" w:rsidRDefault="00E47514" w:rsidP="00E83CB8">
      <w:pPr>
        <w:rPr>
          <w:rFonts w:cstheme="minorHAnsi"/>
          <w:lang w:eastAsia="ja-JP"/>
        </w:rPr>
      </w:pPr>
      <w:r w:rsidRPr="00472697">
        <w:rPr>
          <w:rFonts w:cstheme="minorHAnsi"/>
          <w:lang w:eastAsia="ja-JP"/>
        </w:rPr>
        <w:t xml:space="preserve">Cost recovery </w:t>
      </w:r>
      <w:r w:rsidR="00E83CB8" w:rsidRPr="00472697">
        <w:rPr>
          <w:rFonts w:cstheme="minorHAnsi"/>
          <w:lang w:eastAsia="ja-JP"/>
        </w:rPr>
        <w:t xml:space="preserve">charges </w:t>
      </w:r>
      <w:proofErr w:type="gramStart"/>
      <w:r w:rsidR="00E83CB8" w:rsidRPr="00472697">
        <w:rPr>
          <w:rFonts w:cstheme="minorHAnsi"/>
          <w:lang w:eastAsia="ja-JP"/>
        </w:rPr>
        <w:t>are imposed</w:t>
      </w:r>
      <w:proofErr w:type="gramEnd"/>
      <w:r w:rsidR="00E83CB8" w:rsidRPr="00472697">
        <w:rPr>
          <w:rFonts w:cstheme="minorHAnsi"/>
          <w:lang w:eastAsia="ja-JP"/>
        </w:rPr>
        <w:t xml:space="preserve"> on 4 key groups</w:t>
      </w:r>
      <w:r w:rsidR="007F4D3F" w:rsidRPr="00472697">
        <w:rPr>
          <w:rFonts w:cstheme="minorHAnsi"/>
          <w:lang w:eastAsia="ja-JP"/>
        </w:rPr>
        <w:t xml:space="preserve"> as the key creators of biosecurity risk</w:t>
      </w:r>
      <w:r w:rsidR="00645BDC">
        <w:rPr>
          <w:rFonts w:cstheme="minorHAnsi"/>
          <w:lang w:eastAsia="ja-JP"/>
        </w:rPr>
        <w:t>s</w:t>
      </w:r>
      <w:r w:rsidR="007F4D3F" w:rsidRPr="00472697">
        <w:rPr>
          <w:rFonts w:cstheme="minorHAnsi"/>
          <w:lang w:eastAsia="ja-JP"/>
        </w:rPr>
        <w:t xml:space="preserve"> the department </w:t>
      </w:r>
      <w:proofErr w:type="gramStart"/>
      <w:r w:rsidR="007F4D3F" w:rsidRPr="00472697">
        <w:rPr>
          <w:rFonts w:cstheme="minorHAnsi"/>
          <w:lang w:eastAsia="ja-JP"/>
        </w:rPr>
        <w:t>is tasked</w:t>
      </w:r>
      <w:proofErr w:type="gramEnd"/>
      <w:r w:rsidR="007F4D3F" w:rsidRPr="00472697">
        <w:rPr>
          <w:rFonts w:cstheme="minorHAnsi"/>
          <w:lang w:eastAsia="ja-JP"/>
        </w:rPr>
        <w:t xml:space="preserve"> with managing</w:t>
      </w:r>
      <w:r w:rsidR="00976F22">
        <w:rPr>
          <w:rFonts w:cstheme="minorHAnsi"/>
          <w:lang w:eastAsia="ja-JP"/>
        </w:rPr>
        <w:t xml:space="preserve"> –</w:t>
      </w:r>
      <w:r w:rsidR="00E83CB8" w:rsidRPr="00472697">
        <w:rPr>
          <w:rFonts w:cstheme="minorHAnsi"/>
          <w:lang w:eastAsia="ja-JP"/>
        </w:rPr>
        <w:t xml:space="preserve"> importers, conveyance operators, biosecurity industry participants and, to a limited extent, international </w:t>
      </w:r>
      <w:r w:rsidR="00671FA9" w:rsidRPr="00472697">
        <w:rPr>
          <w:rFonts w:cstheme="minorHAnsi"/>
          <w:lang w:eastAsia="ja-JP"/>
        </w:rPr>
        <w:t>travellers</w:t>
      </w:r>
      <w:r w:rsidR="00E83CB8" w:rsidRPr="00472697">
        <w:rPr>
          <w:rFonts w:cstheme="minorHAnsi"/>
          <w:lang w:eastAsia="ja-JP"/>
        </w:rPr>
        <w:t xml:space="preserve"> </w:t>
      </w:r>
      <w:r w:rsidR="00121C20" w:rsidRPr="00472697">
        <w:rPr>
          <w:rFonts w:cstheme="minorHAnsi"/>
          <w:lang w:eastAsia="ja-JP"/>
        </w:rPr>
        <w:t>in relation to their</w:t>
      </w:r>
      <w:r w:rsidR="00E83CB8" w:rsidRPr="00472697">
        <w:rPr>
          <w:rFonts w:cstheme="minorHAnsi"/>
          <w:lang w:eastAsia="ja-JP"/>
        </w:rPr>
        <w:t xml:space="preserve"> baggage.</w:t>
      </w:r>
    </w:p>
    <w:p w14:paraId="62ECEC52" w14:textId="35762EF2" w:rsidR="003F5006" w:rsidRPr="00472697" w:rsidRDefault="00F00DB0" w:rsidP="00E83CB8">
      <w:pPr>
        <w:rPr>
          <w:rFonts w:cstheme="minorHAnsi"/>
          <w:lang w:eastAsia="ja-JP"/>
        </w:rPr>
      </w:pPr>
      <w:r w:rsidRPr="00472697">
        <w:rPr>
          <w:rFonts w:cstheme="minorHAnsi"/>
          <w:lang w:eastAsia="ja-JP"/>
        </w:rPr>
        <w:t xml:space="preserve">We charge </w:t>
      </w:r>
      <w:r w:rsidR="00664207">
        <w:rPr>
          <w:rFonts w:cstheme="minorHAnsi"/>
          <w:lang w:eastAsia="ja-JP"/>
        </w:rPr>
        <w:t xml:space="preserve">regulated </w:t>
      </w:r>
      <w:r w:rsidR="003F5006" w:rsidRPr="00472697">
        <w:rPr>
          <w:rFonts w:cstheme="minorHAnsi"/>
          <w:lang w:eastAsia="ja-JP"/>
        </w:rPr>
        <w:t xml:space="preserve">entities </w:t>
      </w:r>
      <w:r w:rsidRPr="00472697">
        <w:rPr>
          <w:rFonts w:cstheme="minorHAnsi"/>
          <w:lang w:eastAsia="ja-JP"/>
        </w:rPr>
        <w:t>to provide key activities:</w:t>
      </w:r>
    </w:p>
    <w:p w14:paraId="5009ACE8" w14:textId="517BD9DC" w:rsidR="00E83CB8" w:rsidRPr="00472697" w:rsidRDefault="00E83CB8" w:rsidP="007C4794">
      <w:pPr>
        <w:pStyle w:val="ListBullet"/>
      </w:pPr>
      <w:r w:rsidRPr="00472697">
        <w:rPr>
          <w:b/>
          <w:bCs/>
        </w:rPr>
        <w:t>Importers</w:t>
      </w:r>
      <w:r w:rsidRPr="00472697">
        <w:t xml:space="preserve"> – inspection, assessment and management of the risks </w:t>
      </w:r>
      <w:r w:rsidR="00664207">
        <w:t xml:space="preserve">associated </w:t>
      </w:r>
      <w:r w:rsidRPr="00472697">
        <w:t>with imported goods and packaging, including air and sea cargo, containers, food, live animals and plants. This includes husbandry activities undertaken by the department, associated with the quarantine of live animals and plants prior to release into Australia, such as dogs, cats, hatching eggs, birds, ruminants, horses, bees, nursery stock and viable seeds.</w:t>
      </w:r>
    </w:p>
    <w:p w14:paraId="1E3B1328" w14:textId="77777777" w:rsidR="00E83CB8" w:rsidRPr="00472697" w:rsidRDefault="00E83CB8" w:rsidP="007C4794">
      <w:pPr>
        <w:pStyle w:val="ListBullet"/>
      </w:pPr>
      <w:r w:rsidRPr="00472697">
        <w:rPr>
          <w:b/>
          <w:bCs/>
        </w:rPr>
        <w:t>Conveyance operators</w:t>
      </w:r>
      <w:r w:rsidRPr="00472697">
        <w:t xml:space="preserve"> – vessels and aircraft entering Australia. This includes assessments and inspections to manage the risks posed by the vessel itself, contaminants on the vessel, human biosecurity risks, ballast water and biofouling on vessels, and aircraft disinsection (where non-compliant on arrival) and assessment of conveyances for release from biosecurity control.</w:t>
      </w:r>
    </w:p>
    <w:p w14:paraId="5B5A94F6" w14:textId="77777777" w:rsidR="00E83CB8" w:rsidRPr="00472697" w:rsidRDefault="00E83CB8" w:rsidP="007C4794">
      <w:pPr>
        <w:pStyle w:val="ListBullet"/>
      </w:pPr>
      <w:r w:rsidRPr="00472697">
        <w:rPr>
          <w:b/>
          <w:bCs/>
        </w:rPr>
        <w:lastRenderedPageBreak/>
        <w:t>Biosecurity industry participants</w:t>
      </w:r>
      <w:r w:rsidRPr="00472697">
        <w:t xml:space="preserve"> – managing the administration as well as policy processes and conditions setting for regulatory arrangements approved by the department, including biosecurity approved arrangements and imported food compliance agreements.</w:t>
      </w:r>
    </w:p>
    <w:p w14:paraId="3D117A62" w14:textId="23CC3B5C" w:rsidR="00E83CB8" w:rsidRPr="00472697" w:rsidRDefault="00E83CB8" w:rsidP="007C4794">
      <w:pPr>
        <w:pStyle w:val="ListBullet"/>
      </w:pPr>
      <w:r w:rsidRPr="00472697">
        <w:rPr>
          <w:b/>
          <w:bCs/>
        </w:rPr>
        <w:t xml:space="preserve">International </w:t>
      </w:r>
      <w:r w:rsidR="00671FA9" w:rsidRPr="00472697">
        <w:rPr>
          <w:b/>
          <w:bCs/>
        </w:rPr>
        <w:t>travellers</w:t>
      </w:r>
      <w:r w:rsidRPr="00472697">
        <w:t xml:space="preserve"> – management of biosecurity risks </w:t>
      </w:r>
      <w:r w:rsidR="00041A02">
        <w:t>associated with</w:t>
      </w:r>
      <w:r w:rsidRPr="00472697">
        <w:t xml:space="preserve"> </w:t>
      </w:r>
      <w:r w:rsidR="00041A02">
        <w:t xml:space="preserve">traveller </w:t>
      </w:r>
      <w:r w:rsidRPr="00472697">
        <w:t>baggage arriving from overseas</w:t>
      </w:r>
      <w:r w:rsidR="00041A02" w:rsidRPr="00041A02">
        <w:t>, including storage of the goods under biosecurity control prior to a risk management action being taken</w:t>
      </w:r>
      <w:r w:rsidRPr="00472697">
        <w:t>.</w:t>
      </w:r>
    </w:p>
    <w:p w14:paraId="7687D9FE" w14:textId="53B44A42" w:rsidR="001F65FC" w:rsidRPr="00072A4B" w:rsidRDefault="00D35CE1" w:rsidP="00072A4B">
      <w:r w:rsidRPr="00472697">
        <w:t xml:space="preserve">Regulated entities may pay a combination of charges depending on how they participate in the biosecurity system and </w:t>
      </w:r>
      <w:r w:rsidR="00F00DB0" w:rsidRPr="00472697">
        <w:t xml:space="preserve">level of </w:t>
      </w:r>
      <w:r w:rsidRPr="00072A4B">
        <w:t>interact</w:t>
      </w:r>
      <w:r w:rsidR="00F00DB0" w:rsidRPr="00072A4B">
        <w:t>ion</w:t>
      </w:r>
      <w:r w:rsidRPr="00072A4B">
        <w:t xml:space="preserve"> with the department.</w:t>
      </w:r>
      <w:bookmarkStart w:id="23" w:name="_Toc168489245"/>
      <w:bookmarkStart w:id="24" w:name="_Toc168489542"/>
      <w:bookmarkStart w:id="25" w:name="_Toc168645240"/>
    </w:p>
    <w:p w14:paraId="06625649" w14:textId="2108D6B0" w:rsidR="003955E1" w:rsidRPr="00857DB4" w:rsidRDefault="00072A4B" w:rsidP="00857DB4">
      <w:pPr>
        <w:pStyle w:val="Heading3"/>
      </w:pPr>
      <w:bookmarkStart w:id="26" w:name="_Toc129926494"/>
      <w:bookmarkStart w:id="27" w:name="_Toc168489246"/>
      <w:bookmarkStart w:id="28" w:name="_Toc168489543"/>
      <w:bookmarkStart w:id="29" w:name="_Toc168645241"/>
      <w:bookmarkStart w:id="30" w:name="_Toc200115587"/>
      <w:bookmarkStart w:id="31" w:name="_Toc430782150"/>
      <w:bookmarkStart w:id="32" w:name="_Toc183501104"/>
      <w:bookmarkEnd w:id="23"/>
      <w:bookmarkEnd w:id="24"/>
      <w:bookmarkEnd w:id="25"/>
      <w:bookmarkEnd w:id="2"/>
      <w:bookmarkEnd w:id="1"/>
      <w:r w:rsidRPr="00857DB4">
        <w:rPr>
          <w:rFonts w:eastAsiaTheme="minorEastAsia"/>
        </w:rPr>
        <w:t>B</w:t>
      </w:r>
      <w:r w:rsidR="003955E1" w:rsidRPr="00857DB4">
        <w:rPr>
          <w:rFonts w:eastAsiaTheme="minorEastAsia"/>
        </w:rPr>
        <w:t>iosecurity</w:t>
      </w:r>
      <w:r w:rsidR="003955E1" w:rsidRPr="00857DB4">
        <w:t xml:space="preserve"> system</w:t>
      </w:r>
      <w:bookmarkEnd w:id="26"/>
      <w:bookmarkEnd w:id="27"/>
      <w:bookmarkEnd w:id="28"/>
      <w:bookmarkEnd w:id="29"/>
      <w:bookmarkEnd w:id="30"/>
    </w:p>
    <w:p w14:paraId="0594E6B8" w14:textId="45EAC048" w:rsidR="003955E1" w:rsidRPr="003955E1" w:rsidRDefault="003955E1" w:rsidP="003955E1">
      <w:pPr>
        <w:rPr>
          <w:rFonts w:cstheme="minorHAnsi"/>
          <w:strike/>
          <w:lang w:eastAsia="ja-JP"/>
        </w:rPr>
      </w:pPr>
      <w:bookmarkStart w:id="33" w:name="_Hlk126739367"/>
      <w:r w:rsidRPr="001F65FC">
        <w:rPr>
          <w:rFonts w:cstheme="minorHAnsi"/>
          <w:lang w:eastAsia="ja-JP"/>
        </w:rPr>
        <w:t xml:space="preserve">Our biosecurity system </w:t>
      </w:r>
      <w:bookmarkEnd w:id="33"/>
      <w:r w:rsidR="00121C20" w:rsidRPr="001F65FC">
        <w:rPr>
          <w:rFonts w:cstheme="minorHAnsi"/>
          <w:lang w:eastAsia="ja-JP"/>
        </w:rPr>
        <w:t xml:space="preserve">is critical in protecting Australia’s economy, environment and way of life. </w:t>
      </w:r>
      <w:r w:rsidR="00955554" w:rsidRPr="001F65FC">
        <w:rPr>
          <w:rFonts w:cstheme="minorHAnsi"/>
          <w:lang w:eastAsia="ja-JP"/>
        </w:rPr>
        <w:t>An</w:t>
      </w:r>
      <w:r w:rsidR="00121C20" w:rsidRPr="001F65FC">
        <w:rPr>
          <w:rFonts w:cstheme="minorHAnsi"/>
          <w:lang w:eastAsia="ja-JP"/>
        </w:rPr>
        <w:t xml:space="preserve"> effective biosecurity system </w:t>
      </w:r>
      <w:r w:rsidR="00955554" w:rsidRPr="001F65FC">
        <w:rPr>
          <w:rFonts w:cstheme="minorHAnsi"/>
          <w:lang w:eastAsia="ja-JP"/>
        </w:rPr>
        <w:t xml:space="preserve">reduces the impact of pests and diseases </w:t>
      </w:r>
      <w:r w:rsidR="00F44199" w:rsidRPr="001F65FC">
        <w:rPr>
          <w:rFonts w:cstheme="minorHAnsi"/>
          <w:lang w:eastAsia="ja-JP"/>
        </w:rPr>
        <w:t>on Australia’s agricultur</w:t>
      </w:r>
      <w:r w:rsidR="00976F22">
        <w:rPr>
          <w:rFonts w:cstheme="minorHAnsi"/>
          <w:lang w:eastAsia="ja-JP"/>
        </w:rPr>
        <w:t>al</w:t>
      </w:r>
      <w:r w:rsidR="00F44199" w:rsidRPr="001F65FC">
        <w:rPr>
          <w:rFonts w:cstheme="minorHAnsi"/>
          <w:lang w:eastAsia="ja-JP"/>
        </w:rPr>
        <w:t xml:space="preserve">, fisheries and forestry industries supporting </w:t>
      </w:r>
      <w:r w:rsidR="00121C20" w:rsidRPr="001F65FC">
        <w:rPr>
          <w:rFonts w:cstheme="minorHAnsi"/>
          <w:lang w:eastAsia="ja-JP"/>
        </w:rPr>
        <w:t xml:space="preserve">sustainability, profitability and competitiveness, </w:t>
      </w:r>
      <w:r w:rsidR="00F44199" w:rsidRPr="001F65FC">
        <w:rPr>
          <w:rFonts w:cstheme="minorHAnsi"/>
          <w:lang w:eastAsia="ja-JP"/>
        </w:rPr>
        <w:t xml:space="preserve">which </w:t>
      </w:r>
      <w:r w:rsidR="00121C20" w:rsidRPr="001F65FC">
        <w:rPr>
          <w:rFonts w:cstheme="minorHAnsi"/>
          <w:lang w:eastAsia="ja-JP"/>
        </w:rPr>
        <w:t>helps drive a stronger Australian economy</w:t>
      </w:r>
      <w:r w:rsidRPr="001F65FC">
        <w:rPr>
          <w:rFonts w:cstheme="minorHAnsi"/>
          <w:lang w:eastAsia="ja-JP"/>
        </w:rPr>
        <w:t>.</w:t>
      </w:r>
    </w:p>
    <w:p w14:paraId="3C63DD29" w14:textId="68E4819C" w:rsidR="003955E1" w:rsidRPr="00F02D17" w:rsidRDefault="003955E1" w:rsidP="00857DB4">
      <w:pPr>
        <w:pStyle w:val="Heading4"/>
      </w:pPr>
      <w:bookmarkStart w:id="34" w:name="_Toc129926495"/>
      <w:bookmarkStart w:id="35" w:name="_Toc168489247"/>
      <w:bookmarkStart w:id="36" w:name="_Toc168489544"/>
      <w:bookmarkStart w:id="37" w:name="_Toc168645242"/>
      <w:r w:rsidRPr="00F02D17">
        <w:t>A changing biosecurity system</w:t>
      </w:r>
      <w:bookmarkEnd w:id="34"/>
      <w:bookmarkEnd w:id="35"/>
      <w:bookmarkEnd w:id="36"/>
      <w:bookmarkEnd w:id="37"/>
    </w:p>
    <w:p w14:paraId="7A58DF8D" w14:textId="54C2E4A7" w:rsidR="00121C20" w:rsidRDefault="00121C20" w:rsidP="00BB6209">
      <w:r w:rsidRPr="001F65FC">
        <w:t xml:space="preserve">Our biosecurity environment is impacted by </w:t>
      </w:r>
      <w:r w:rsidR="00496D14" w:rsidRPr="001F65FC">
        <w:t>c</w:t>
      </w:r>
      <w:r w:rsidRPr="001F65FC">
        <w:t>hanges in the Australian and global economies, changing risk profiles, biosecurity threats (e.g. high pathogenicity avian influenza, foot and mouth disease), increased complexity of imports, changing industry practices and growing cargo volumes</w:t>
      </w:r>
      <w:r w:rsidR="00496D14" w:rsidRPr="001F65FC">
        <w:t>. T</w:t>
      </w:r>
      <w:r w:rsidR="00E96693" w:rsidRPr="001F65FC">
        <w:t>hese events present ongoing challenges</w:t>
      </w:r>
      <w:r w:rsidR="00444ED6" w:rsidRPr="001F65FC">
        <w:t xml:space="preserve">, </w:t>
      </w:r>
      <w:r w:rsidRPr="001F65FC">
        <w:t xml:space="preserve">impact the department’s </w:t>
      </w:r>
      <w:r w:rsidR="00496D14" w:rsidRPr="001F65FC">
        <w:t>operations and</w:t>
      </w:r>
      <w:r w:rsidRPr="001F65FC">
        <w:t xml:space="preserve"> increase the cost of maintaining and continually improving </w:t>
      </w:r>
      <w:r w:rsidR="008C38E0" w:rsidRPr="001F65FC">
        <w:t>our</w:t>
      </w:r>
      <w:r w:rsidRPr="001F65FC">
        <w:t xml:space="preserve"> biosecurity system.</w:t>
      </w:r>
    </w:p>
    <w:p w14:paraId="417A26A2" w14:textId="02B17B1A" w:rsidR="00BB6209" w:rsidRPr="0047497D" w:rsidRDefault="00041A02" w:rsidP="00BB6209">
      <w:pPr>
        <w:rPr>
          <w:rFonts w:cstheme="minorHAnsi"/>
        </w:rPr>
      </w:pPr>
      <w:r>
        <w:rPr>
          <w:rFonts w:cstheme="minorHAnsi"/>
          <w:lang w:eastAsia="ja-JP"/>
        </w:rPr>
        <w:t>T</w:t>
      </w:r>
      <w:r w:rsidRPr="0047497D">
        <w:rPr>
          <w:rFonts w:cstheme="minorHAnsi"/>
          <w:lang w:eastAsia="ja-JP"/>
        </w:rPr>
        <w:t xml:space="preserve">he department’s strategic </w:t>
      </w:r>
      <w:r>
        <w:rPr>
          <w:rFonts w:cstheme="minorHAnsi"/>
          <w:lang w:eastAsia="ja-JP"/>
        </w:rPr>
        <w:t>vision for the</w:t>
      </w:r>
      <w:r w:rsidRPr="0047497D">
        <w:rPr>
          <w:rFonts w:cstheme="minorHAnsi"/>
          <w:lang w:eastAsia="ja-JP"/>
        </w:rPr>
        <w:t xml:space="preserve"> future</w:t>
      </w:r>
      <w:r>
        <w:rPr>
          <w:rFonts w:cstheme="minorHAnsi"/>
          <w:lang w:eastAsia="ja-JP"/>
        </w:rPr>
        <w:t xml:space="preserve"> to manage </w:t>
      </w:r>
      <w:r w:rsidRPr="0047497D">
        <w:rPr>
          <w:rFonts w:cstheme="minorHAnsi"/>
          <w:lang w:eastAsia="ja-JP"/>
        </w:rPr>
        <w:t>changing and emerging biosecurity risk</w:t>
      </w:r>
      <w:r>
        <w:rPr>
          <w:rFonts w:cstheme="minorHAnsi"/>
          <w:lang w:eastAsia="ja-JP"/>
        </w:rPr>
        <w:t>s</w:t>
      </w:r>
      <w:r w:rsidRPr="0047497D">
        <w:rPr>
          <w:rFonts w:cstheme="minorHAnsi"/>
          <w:lang w:eastAsia="ja-JP"/>
        </w:rPr>
        <w:t xml:space="preserve"> </w:t>
      </w:r>
      <w:r>
        <w:rPr>
          <w:rFonts w:cstheme="minorHAnsi"/>
          <w:lang w:eastAsia="ja-JP"/>
        </w:rPr>
        <w:t>c</w:t>
      </w:r>
      <w:r w:rsidRPr="0047497D">
        <w:rPr>
          <w:rFonts w:cstheme="minorHAnsi"/>
          <w:lang w:eastAsia="ja-JP"/>
        </w:rPr>
        <w:t xml:space="preserve">an be found in the </w:t>
      </w:r>
      <w:hyperlink r:id="rId20" w:history="1">
        <w:r w:rsidRPr="001F65FC">
          <w:rPr>
            <w:rStyle w:val="Hyperlink"/>
            <w:rFonts w:cstheme="minorHAnsi"/>
            <w:lang w:eastAsia="ja-JP"/>
          </w:rPr>
          <w:t>DAFF Biosecurity 2030</w:t>
        </w:r>
        <w:r w:rsidRPr="001F65FC">
          <w:rPr>
            <w:rStyle w:val="Hyperlink"/>
          </w:rPr>
          <w:t xml:space="preserve"> Roadmap</w:t>
        </w:r>
      </w:hyperlink>
      <w:r w:rsidRPr="0047497D">
        <w:rPr>
          <w:rFonts w:cstheme="minorHAnsi"/>
          <w:lang w:eastAsia="ja-JP"/>
        </w:rPr>
        <w:t xml:space="preserve"> and </w:t>
      </w:r>
      <w:r w:rsidR="00072A4B">
        <w:rPr>
          <w:rFonts w:cstheme="minorHAnsi"/>
          <w:lang w:eastAsia="ja-JP"/>
        </w:rPr>
        <w:t xml:space="preserve">the </w:t>
      </w:r>
      <w:hyperlink r:id="rId21" w:history="1">
        <w:r w:rsidR="00072A4B">
          <w:rPr>
            <w:rStyle w:val="Hyperlink"/>
            <w:rFonts w:cstheme="minorHAnsi"/>
            <w:lang w:eastAsia="ja-JP"/>
          </w:rPr>
          <w:t>National Biosecurity Strategy</w:t>
        </w:r>
      </w:hyperlink>
      <w:r w:rsidR="00BB6209" w:rsidRPr="0047497D">
        <w:rPr>
          <w:rFonts w:cstheme="minorHAnsi"/>
          <w:lang w:eastAsia="ja-JP"/>
        </w:rPr>
        <w:t>.</w:t>
      </w:r>
    </w:p>
    <w:p w14:paraId="52AE86C2" w14:textId="4C5C0D0F" w:rsidR="0053608D" w:rsidRPr="004A5566" w:rsidRDefault="0053608D" w:rsidP="00F02D17">
      <w:pPr>
        <w:pStyle w:val="Heading2"/>
      </w:pPr>
      <w:bookmarkStart w:id="38" w:name="_Toc168489248"/>
      <w:bookmarkStart w:id="39" w:name="_Toc168489545"/>
      <w:bookmarkStart w:id="40" w:name="_Toc168645243"/>
      <w:bookmarkStart w:id="41" w:name="_Toc200115588"/>
      <w:r w:rsidRPr="004A5566">
        <w:lastRenderedPageBreak/>
        <w:t>Policy and statutory authority to cost recover</w:t>
      </w:r>
      <w:bookmarkEnd w:id="38"/>
      <w:bookmarkEnd w:id="39"/>
      <w:bookmarkEnd w:id="40"/>
      <w:bookmarkEnd w:id="41"/>
    </w:p>
    <w:p w14:paraId="71875921" w14:textId="14AE79DC" w:rsidR="0053608D" w:rsidRPr="005B02B3" w:rsidRDefault="0053608D" w:rsidP="00F02D17">
      <w:pPr>
        <w:pStyle w:val="Heading3"/>
        <w:rPr>
          <w:sz w:val="36"/>
          <w:szCs w:val="36"/>
          <w:lang w:eastAsia="ja-JP"/>
        </w:rPr>
      </w:pPr>
      <w:bookmarkStart w:id="42" w:name="_Toc168489249"/>
      <w:bookmarkStart w:id="43" w:name="_Toc168489546"/>
      <w:bookmarkStart w:id="44" w:name="_Toc168645244"/>
      <w:bookmarkStart w:id="45" w:name="_Toc200115589"/>
      <w:r w:rsidRPr="005B02B3">
        <w:rPr>
          <w:sz w:val="36"/>
          <w:szCs w:val="36"/>
          <w:lang w:eastAsia="ja-JP"/>
        </w:rPr>
        <w:t xml:space="preserve">Government policy </w:t>
      </w:r>
      <w:r w:rsidR="0069502D">
        <w:rPr>
          <w:sz w:val="36"/>
          <w:szCs w:val="36"/>
          <w:lang w:eastAsia="ja-JP"/>
        </w:rPr>
        <w:t>approval for this</w:t>
      </w:r>
      <w:r w:rsidRPr="005B02B3">
        <w:rPr>
          <w:sz w:val="36"/>
          <w:szCs w:val="36"/>
          <w:lang w:eastAsia="ja-JP"/>
        </w:rPr>
        <w:t xml:space="preserve"> regulat</w:t>
      </w:r>
      <w:bookmarkEnd w:id="42"/>
      <w:bookmarkEnd w:id="43"/>
      <w:bookmarkEnd w:id="44"/>
      <w:r w:rsidR="0069502D">
        <w:rPr>
          <w:sz w:val="36"/>
          <w:szCs w:val="36"/>
          <w:lang w:eastAsia="ja-JP"/>
        </w:rPr>
        <w:t>ory activity</w:t>
      </w:r>
      <w:bookmarkEnd w:id="45"/>
    </w:p>
    <w:p w14:paraId="6E873248" w14:textId="5B19321B" w:rsidR="00492607" w:rsidRPr="001D3FAB" w:rsidRDefault="00492607" w:rsidP="006E1CC4">
      <w:pPr>
        <w:rPr>
          <w:lang w:eastAsia="ja-JP"/>
        </w:rPr>
      </w:pPr>
      <w:bookmarkStart w:id="46" w:name="_Hlk97630093"/>
      <w:r w:rsidRPr="003A5290">
        <w:rPr>
          <w:lang w:eastAsia="ja-JP"/>
        </w:rPr>
        <w:t>Under various government decisions, the department has been required to recover the costs for most of its activities from users, beginning with 50</w:t>
      </w:r>
      <w:r w:rsidR="00072A4B">
        <w:rPr>
          <w:lang w:eastAsia="ja-JP"/>
        </w:rPr>
        <w:t>%</w:t>
      </w:r>
      <w:r w:rsidRPr="003A5290">
        <w:rPr>
          <w:lang w:eastAsia="ja-JP"/>
        </w:rPr>
        <w:t xml:space="preserve"> cost</w:t>
      </w:r>
      <w:r w:rsidR="00645BDC" w:rsidRPr="003A5290">
        <w:rPr>
          <w:lang w:eastAsia="ja-JP"/>
        </w:rPr>
        <w:t xml:space="preserve"> </w:t>
      </w:r>
      <w:r w:rsidRPr="003A5290">
        <w:rPr>
          <w:lang w:eastAsia="ja-JP"/>
        </w:rPr>
        <w:t>recovery from 1979, 60</w:t>
      </w:r>
      <w:r w:rsidR="00072A4B">
        <w:rPr>
          <w:lang w:eastAsia="ja-JP"/>
        </w:rPr>
        <w:t>%</w:t>
      </w:r>
      <w:r w:rsidRPr="003A5290">
        <w:rPr>
          <w:lang w:eastAsia="ja-JP"/>
        </w:rPr>
        <w:t xml:space="preserve"> from 1</w:t>
      </w:r>
      <w:r w:rsidR="00072A4B">
        <w:t> </w:t>
      </w:r>
      <w:r w:rsidRPr="003A5290">
        <w:rPr>
          <w:lang w:eastAsia="ja-JP"/>
        </w:rPr>
        <w:t>July</w:t>
      </w:r>
      <w:r w:rsidR="00072A4B">
        <w:rPr>
          <w:lang w:eastAsia="ja-JP"/>
        </w:rPr>
        <w:t> </w:t>
      </w:r>
      <w:r w:rsidRPr="003A5290">
        <w:rPr>
          <w:lang w:eastAsia="ja-JP"/>
        </w:rPr>
        <w:t xml:space="preserve">1988 </w:t>
      </w:r>
      <w:r w:rsidR="006E1CC4" w:rsidRPr="003A5290">
        <w:rPr>
          <w:lang w:eastAsia="ja-JP"/>
        </w:rPr>
        <w:t xml:space="preserve">moving to </w:t>
      </w:r>
      <w:r w:rsidRPr="003A5290">
        <w:rPr>
          <w:lang w:eastAsia="ja-JP"/>
        </w:rPr>
        <w:t>100</w:t>
      </w:r>
      <w:r w:rsidR="00072A4B">
        <w:rPr>
          <w:lang w:eastAsia="ja-JP"/>
        </w:rPr>
        <w:t>%</w:t>
      </w:r>
      <w:r w:rsidRPr="003A5290">
        <w:rPr>
          <w:lang w:eastAsia="ja-JP"/>
        </w:rPr>
        <w:t xml:space="preserve"> cost</w:t>
      </w:r>
      <w:r w:rsidR="00645BDC" w:rsidRPr="003A5290">
        <w:rPr>
          <w:lang w:eastAsia="ja-JP"/>
        </w:rPr>
        <w:t xml:space="preserve"> </w:t>
      </w:r>
      <w:r w:rsidRPr="003A5290">
        <w:rPr>
          <w:lang w:eastAsia="ja-JP"/>
        </w:rPr>
        <w:t>recovery for recoverable programs from 1</w:t>
      </w:r>
      <w:r w:rsidR="00072A4B">
        <w:rPr>
          <w:lang w:eastAsia="ja-JP"/>
        </w:rPr>
        <w:t> </w:t>
      </w:r>
      <w:r w:rsidRPr="003A5290">
        <w:rPr>
          <w:lang w:eastAsia="ja-JP"/>
        </w:rPr>
        <w:t>January</w:t>
      </w:r>
      <w:r w:rsidR="00072A4B">
        <w:rPr>
          <w:lang w:eastAsia="ja-JP"/>
        </w:rPr>
        <w:t> </w:t>
      </w:r>
      <w:r w:rsidRPr="003A5290">
        <w:rPr>
          <w:lang w:eastAsia="ja-JP"/>
        </w:rPr>
        <w:t>1991.</w:t>
      </w:r>
      <w:r w:rsidR="00D41432" w:rsidRPr="003A5290">
        <w:rPr>
          <w:lang w:eastAsia="ja-JP"/>
        </w:rPr>
        <w:t xml:space="preserve"> </w:t>
      </w:r>
      <w:r w:rsidRPr="003A5290">
        <w:rPr>
          <w:lang w:eastAsia="ja-JP"/>
        </w:rPr>
        <w:t>The government requirement for full cost</w:t>
      </w:r>
      <w:r w:rsidR="00645BDC" w:rsidRPr="003A5290">
        <w:rPr>
          <w:lang w:eastAsia="ja-JP"/>
        </w:rPr>
        <w:t xml:space="preserve"> </w:t>
      </w:r>
      <w:r w:rsidRPr="003A5290">
        <w:rPr>
          <w:lang w:eastAsia="ja-JP"/>
        </w:rPr>
        <w:t xml:space="preserve">recovery was underpinned by a </w:t>
      </w:r>
      <w:r w:rsidRPr="001D3FAB">
        <w:rPr>
          <w:lang w:eastAsia="ja-JP"/>
        </w:rPr>
        <w:t xml:space="preserve">1994 </w:t>
      </w:r>
      <w:r w:rsidR="00E96102" w:rsidRPr="001D3FAB">
        <w:rPr>
          <w:lang w:eastAsia="ja-JP"/>
        </w:rPr>
        <w:t>m</w:t>
      </w:r>
      <w:r w:rsidRPr="001D3FAB">
        <w:rPr>
          <w:lang w:eastAsia="ja-JP"/>
        </w:rPr>
        <w:t xml:space="preserve">emorandum of </w:t>
      </w:r>
      <w:r w:rsidR="00E96102" w:rsidRPr="001D3FAB">
        <w:rPr>
          <w:lang w:eastAsia="ja-JP"/>
        </w:rPr>
        <w:t>u</w:t>
      </w:r>
      <w:r w:rsidRPr="001D3FAB">
        <w:rPr>
          <w:lang w:eastAsia="ja-JP"/>
        </w:rPr>
        <w:t>nderstanding with the Department of Finance</w:t>
      </w:r>
      <w:r w:rsidR="006E1CC4" w:rsidRPr="001D3FAB">
        <w:rPr>
          <w:lang w:eastAsia="ja-JP"/>
        </w:rPr>
        <w:t xml:space="preserve"> and a</w:t>
      </w:r>
      <w:r w:rsidR="00D41432" w:rsidRPr="001D3FAB">
        <w:rPr>
          <w:lang w:eastAsia="ja-JP"/>
        </w:rPr>
        <w:t xml:space="preserve"> cost recovery policy framework.</w:t>
      </w:r>
    </w:p>
    <w:p w14:paraId="2DC21179" w14:textId="3B51CC16" w:rsidR="00D41432" w:rsidRPr="003A5150" w:rsidRDefault="00FE2B2A" w:rsidP="00D41432">
      <w:bookmarkStart w:id="47" w:name="_Hlk199952484"/>
      <w:r w:rsidRPr="00FE2B2A">
        <w:t>The department actively monitors the performance of the Biosecurity Cost Recovery Arrangement by reviewing revenue and expenditure against the budget each month and conducting a formal annual review of all regulatory charges. Through this ongoing monitoring and evaluation, the department identifies necessary adjustments in resourcing and charges, ensuring that charges reflect the efficient costs of delivering the activity and meet the government’s cost recovery targets.</w:t>
      </w:r>
    </w:p>
    <w:bookmarkEnd w:id="47"/>
    <w:p w14:paraId="41F0AB28" w14:textId="15707040" w:rsidR="004A5566" w:rsidRDefault="004A5566" w:rsidP="004A5566">
      <w:pPr>
        <w:rPr>
          <w:rFonts w:cstheme="minorHAnsi"/>
          <w:lang w:eastAsia="ja-JP"/>
        </w:rPr>
      </w:pPr>
      <w:r w:rsidRPr="003A5150">
        <w:rPr>
          <w:rFonts w:cstheme="minorHAnsi"/>
          <w:lang w:eastAsia="ja-JP"/>
        </w:rPr>
        <w:t>Each Commonwealth budget cycle has confirmed</w:t>
      </w:r>
      <w:r w:rsidR="00E47514" w:rsidRPr="003A5150">
        <w:rPr>
          <w:rFonts w:cstheme="minorHAnsi"/>
          <w:lang w:eastAsia="ja-JP"/>
        </w:rPr>
        <w:t>,</w:t>
      </w:r>
      <w:r w:rsidRPr="003A5150">
        <w:rPr>
          <w:rFonts w:cstheme="minorHAnsi"/>
          <w:lang w:eastAsia="ja-JP"/>
        </w:rPr>
        <w:t xml:space="preserve"> </w:t>
      </w:r>
      <w:r w:rsidR="00E47514" w:rsidRPr="003A5150">
        <w:rPr>
          <w:rFonts w:cstheme="minorHAnsi"/>
          <w:lang w:eastAsia="ja-JP"/>
        </w:rPr>
        <w:t xml:space="preserve">and sometimes expanded, </w:t>
      </w:r>
      <w:r w:rsidRPr="003A5150">
        <w:rPr>
          <w:rFonts w:cstheme="minorHAnsi"/>
          <w:lang w:eastAsia="ja-JP"/>
        </w:rPr>
        <w:t xml:space="preserve">the department’s continuing authority for cost recovery from industry participants who create biosecurity risk. This </w:t>
      </w:r>
      <w:r w:rsidR="004D2F80" w:rsidRPr="003A5150">
        <w:rPr>
          <w:rFonts w:cstheme="minorHAnsi"/>
          <w:lang w:eastAsia="ja-JP"/>
        </w:rPr>
        <w:t>is further recognised</w:t>
      </w:r>
      <w:r w:rsidRPr="003A5150">
        <w:rPr>
          <w:rFonts w:cstheme="minorHAnsi"/>
          <w:lang w:eastAsia="ja-JP"/>
        </w:rPr>
        <w:t xml:space="preserve"> through the inclusion of cost recovered revenue in </w:t>
      </w:r>
      <w:r w:rsidR="006F3929" w:rsidRPr="003A5150">
        <w:rPr>
          <w:rFonts w:cstheme="minorHAnsi"/>
          <w:lang w:eastAsia="ja-JP"/>
        </w:rPr>
        <w:t>the</w:t>
      </w:r>
      <w:r w:rsidRPr="003A5150">
        <w:rPr>
          <w:rFonts w:cstheme="minorHAnsi"/>
          <w:lang w:eastAsia="ja-JP"/>
        </w:rPr>
        <w:t xml:space="preserve"> </w:t>
      </w:r>
      <w:r w:rsidR="006F3929" w:rsidRPr="003A5150">
        <w:rPr>
          <w:rFonts w:cstheme="minorHAnsi"/>
          <w:lang w:eastAsia="ja-JP"/>
        </w:rPr>
        <w:t>Commonwealth b</w:t>
      </w:r>
      <w:r w:rsidRPr="003A5150">
        <w:rPr>
          <w:rFonts w:cstheme="minorHAnsi"/>
          <w:lang w:eastAsia="ja-JP"/>
        </w:rPr>
        <w:t>udget process.</w:t>
      </w:r>
    </w:p>
    <w:p w14:paraId="0BF5BFA6" w14:textId="14A4DD20" w:rsidR="00012DBA" w:rsidRPr="00012DBA" w:rsidRDefault="00012DBA" w:rsidP="00012DBA">
      <w:pPr>
        <w:pStyle w:val="Heading4"/>
        <w:rPr>
          <w:rFonts w:cstheme="minorHAnsi"/>
          <w:lang w:eastAsia="ja-JP"/>
        </w:rPr>
      </w:pPr>
      <w:r>
        <w:t>G</w:t>
      </w:r>
      <w:r w:rsidRPr="00271472">
        <w:t>overnment approvals for cost recovery of biosecurity and imported food activities</w:t>
      </w:r>
    </w:p>
    <w:p w14:paraId="59868761" w14:textId="637D3379" w:rsidR="00F2666F" w:rsidRPr="005B6516" w:rsidRDefault="007F1EAF" w:rsidP="00F2666F">
      <w:pPr>
        <w:keepNext/>
        <w:rPr>
          <w:rFonts w:cstheme="minorHAnsi"/>
        </w:rPr>
      </w:pPr>
      <w:r>
        <w:rPr>
          <w:rFonts w:cstheme="minorHAnsi"/>
          <w:lang w:eastAsia="ja-JP"/>
        </w:rPr>
        <w:fldChar w:fldCharType="begin"/>
      </w:r>
      <w:r>
        <w:rPr>
          <w:rFonts w:cstheme="minorHAnsi"/>
          <w:lang w:eastAsia="ja-JP"/>
        </w:rPr>
        <w:instrText xml:space="preserve"> REF Title_1 \h </w:instrText>
      </w:r>
      <w:r>
        <w:rPr>
          <w:rFonts w:cstheme="minorHAnsi"/>
          <w:lang w:eastAsia="ja-JP"/>
        </w:rPr>
      </w:r>
      <w:r>
        <w:rPr>
          <w:rFonts w:cstheme="minorHAnsi"/>
          <w:lang w:eastAsia="ja-JP"/>
        </w:rPr>
        <w:fldChar w:fldCharType="end"/>
      </w:r>
      <w:r w:rsidR="004A4EBF">
        <w:rPr>
          <w:rFonts w:cstheme="minorHAnsi"/>
          <w:lang w:eastAsia="ja-JP"/>
        </w:rPr>
        <w:fldChar w:fldCharType="begin"/>
      </w:r>
      <w:r w:rsidR="004A4EBF">
        <w:rPr>
          <w:rFonts w:cstheme="minorHAnsi"/>
          <w:lang w:eastAsia="ja-JP"/>
        </w:rPr>
        <w:instrText xml:space="preserve"> REF _Ref197924246 \h </w:instrText>
      </w:r>
      <w:r w:rsidR="004A4EBF">
        <w:rPr>
          <w:rFonts w:cstheme="minorHAnsi"/>
          <w:lang w:eastAsia="ja-JP"/>
        </w:rPr>
      </w:r>
      <w:r w:rsidR="004A4EBF">
        <w:rPr>
          <w:rFonts w:cstheme="minorHAnsi"/>
          <w:lang w:eastAsia="ja-JP"/>
        </w:rPr>
        <w:fldChar w:fldCharType="separate"/>
      </w:r>
      <w:r w:rsidR="004A4EBF" w:rsidRPr="00B4642C">
        <w:t xml:space="preserve">Table </w:t>
      </w:r>
      <w:r w:rsidR="004A4EBF">
        <w:rPr>
          <w:noProof/>
        </w:rPr>
        <w:t>1</w:t>
      </w:r>
      <w:r w:rsidR="004A4EBF">
        <w:rPr>
          <w:rFonts w:cstheme="minorHAnsi"/>
          <w:lang w:eastAsia="ja-JP"/>
        </w:rPr>
        <w:fldChar w:fldCharType="end"/>
      </w:r>
      <w:r w:rsidR="004A4EBF">
        <w:rPr>
          <w:rFonts w:cstheme="minorHAnsi"/>
          <w:lang w:eastAsia="ja-JP"/>
        </w:rPr>
        <w:t xml:space="preserve"> </w:t>
      </w:r>
      <w:r w:rsidR="00B4642C">
        <w:rPr>
          <w:rFonts w:cstheme="minorHAnsi"/>
          <w:lang w:eastAsia="ja-JP"/>
        </w:rPr>
        <w:fldChar w:fldCharType="begin"/>
      </w:r>
      <w:r w:rsidR="00B4642C">
        <w:rPr>
          <w:rFonts w:cstheme="minorHAnsi"/>
          <w:lang w:eastAsia="ja-JP"/>
        </w:rPr>
        <w:instrText xml:space="preserve"> REF Title_1 \h </w:instrText>
      </w:r>
      <w:r w:rsidR="00B4642C">
        <w:rPr>
          <w:rFonts w:cstheme="minorHAnsi"/>
          <w:lang w:eastAsia="ja-JP"/>
        </w:rPr>
      </w:r>
      <w:r w:rsidR="00B4642C">
        <w:rPr>
          <w:rFonts w:cstheme="minorHAnsi"/>
          <w:lang w:eastAsia="ja-JP"/>
        </w:rPr>
        <w:fldChar w:fldCharType="end"/>
      </w:r>
      <w:r w:rsidR="00F2666F" w:rsidRPr="005B6516">
        <w:rPr>
          <w:rFonts w:cstheme="minorHAnsi"/>
          <w:lang w:eastAsia="ja-JP"/>
        </w:rPr>
        <w:t xml:space="preserve">describes key </w:t>
      </w:r>
      <w:r w:rsidR="00F2666F" w:rsidRPr="005B6516">
        <w:rPr>
          <w:rFonts w:cstheme="minorHAnsi"/>
        </w:rPr>
        <w:t>government approval</w:t>
      </w:r>
      <w:r w:rsidR="003C1849">
        <w:rPr>
          <w:rFonts w:cstheme="minorHAnsi"/>
        </w:rPr>
        <w:t>s</w:t>
      </w:r>
      <w:r w:rsidR="00F2666F" w:rsidRPr="005B6516">
        <w:rPr>
          <w:rFonts w:cstheme="minorHAnsi"/>
        </w:rPr>
        <w:t xml:space="preserve"> for </w:t>
      </w:r>
      <w:r w:rsidR="00F2666F">
        <w:rPr>
          <w:rFonts w:cstheme="minorHAnsi"/>
        </w:rPr>
        <w:t xml:space="preserve">the department’s </w:t>
      </w:r>
      <w:r w:rsidR="00F2666F" w:rsidRPr="005B6516">
        <w:rPr>
          <w:rFonts w:cstheme="minorHAnsi"/>
        </w:rPr>
        <w:t xml:space="preserve">continued and expanded </w:t>
      </w:r>
      <w:r w:rsidR="00F2666F">
        <w:rPr>
          <w:rFonts w:cstheme="minorHAnsi"/>
        </w:rPr>
        <w:t xml:space="preserve">cost recovery </w:t>
      </w:r>
      <w:r w:rsidR="00F2666F" w:rsidRPr="005B6516">
        <w:rPr>
          <w:rFonts w:cstheme="minorHAnsi"/>
        </w:rPr>
        <w:t>since 2017.</w:t>
      </w:r>
    </w:p>
    <w:p w14:paraId="5B715E8A" w14:textId="680F8595" w:rsidR="00733737" w:rsidRDefault="00733737" w:rsidP="00B4642C">
      <w:pPr>
        <w:pStyle w:val="Caption"/>
      </w:pPr>
      <w:bookmarkStart w:id="48" w:name="_Ref197924246"/>
      <w:bookmarkStart w:id="49" w:name="_Toc200534241"/>
      <w:r w:rsidRPr="00B4642C">
        <w:t xml:space="preserve">Table </w:t>
      </w:r>
      <w:r w:rsidRPr="00B4642C">
        <w:fldChar w:fldCharType="begin"/>
      </w:r>
      <w:r w:rsidRPr="00B4642C">
        <w:instrText xml:space="preserve"> SEQ Table \* ARABIC </w:instrText>
      </w:r>
      <w:r w:rsidRPr="00B4642C">
        <w:fldChar w:fldCharType="separate"/>
      </w:r>
      <w:r w:rsidR="00271472">
        <w:rPr>
          <w:noProof/>
        </w:rPr>
        <w:t>1</w:t>
      </w:r>
      <w:r w:rsidRPr="00B4642C">
        <w:fldChar w:fldCharType="end"/>
      </w:r>
      <w:bookmarkEnd w:id="48"/>
      <w:r w:rsidRPr="00B4642C">
        <w:t xml:space="preserve"> </w:t>
      </w:r>
      <w:bookmarkStart w:id="50" w:name="_Hlk199317420"/>
      <w:r w:rsidR="00271472" w:rsidRPr="00271472">
        <w:t>Summary of government approvals for cost recovery of biosecurity and imported food activities</w:t>
      </w:r>
      <w:bookmarkEnd w:id="50"/>
      <w:bookmarkEnd w:id="49"/>
    </w:p>
    <w:tbl>
      <w:tblPr>
        <w:tblW w:w="5000" w:type="pct"/>
        <w:tblBorders>
          <w:top w:val="single" w:sz="4" w:space="0" w:color="auto"/>
          <w:bottom w:val="single" w:sz="4" w:space="0" w:color="auto"/>
          <w:insideH w:val="single" w:sz="4" w:space="0" w:color="auto"/>
        </w:tblBorders>
        <w:tblCellMar>
          <w:left w:w="40" w:type="dxa"/>
          <w:right w:w="40" w:type="dxa"/>
        </w:tblCellMar>
        <w:tblLook w:val="0000" w:firstRow="0" w:lastRow="0" w:firstColumn="0" w:lastColumn="0" w:noHBand="0" w:noVBand="0"/>
      </w:tblPr>
      <w:tblGrid>
        <w:gridCol w:w="1985"/>
        <w:gridCol w:w="7085"/>
      </w:tblGrid>
      <w:tr w:rsidR="00271472" w:rsidRPr="00340820" w14:paraId="7B058375" w14:textId="77777777" w:rsidTr="000F3AB5">
        <w:trPr>
          <w:cantSplit/>
          <w:tblHeader/>
        </w:trPr>
        <w:tc>
          <w:tcPr>
            <w:tcW w:w="1094" w:type="pct"/>
            <w:tcMar>
              <w:left w:w="108" w:type="dxa"/>
              <w:right w:w="108" w:type="dxa"/>
            </w:tcMar>
          </w:tcPr>
          <w:p w14:paraId="31A4C145" w14:textId="77777777" w:rsidR="00271472" w:rsidRDefault="00271472" w:rsidP="000F3AB5">
            <w:pPr>
              <w:pStyle w:val="TableHeading"/>
            </w:pPr>
            <w:bookmarkStart w:id="51" w:name="Title_1"/>
            <w:bookmarkEnd w:id="51"/>
            <w:r>
              <w:t>Approval date</w:t>
            </w:r>
          </w:p>
        </w:tc>
        <w:tc>
          <w:tcPr>
            <w:tcW w:w="3906" w:type="pct"/>
            <w:tcMar>
              <w:left w:w="108" w:type="dxa"/>
              <w:right w:w="108" w:type="dxa"/>
            </w:tcMar>
          </w:tcPr>
          <w:p w14:paraId="18972F7D" w14:textId="77777777" w:rsidR="00271472" w:rsidRPr="00340820" w:rsidRDefault="00271472" w:rsidP="000F3AB5">
            <w:pPr>
              <w:pStyle w:val="TableHeading"/>
              <w:rPr>
                <w:highlight w:val="yellow"/>
              </w:rPr>
            </w:pPr>
            <w:r w:rsidRPr="00E84CC9">
              <w:t>Cost recovery activities</w:t>
            </w:r>
          </w:p>
        </w:tc>
      </w:tr>
      <w:tr w:rsidR="00271472" w14:paraId="0220912B" w14:textId="77777777" w:rsidTr="00E5351A">
        <w:tc>
          <w:tcPr>
            <w:tcW w:w="1094" w:type="pct"/>
            <w:tcMar>
              <w:left w:w="108" w:type="dxa"/>
              <w:right w:w="108" w:type="dxa"/>
            </w:tcMar>
          </w:tcPr>
          <w:p w14:paraId="1D91106C" w14:textId="77777777" w:rsidR="00271472" w:rsidRDefault="00271472" w:rsidP="000F3AB5">
            <w:pPr>
              <w:pStyle w:val="TableText"/>
            </w:pPr>
            <w:r>
              <w:t>May 2023</w:t>
            </w:r>
          </w:p>
        </w:tc>
        <w:tc>
          <w:tcPr>
            <w:tcW w:w="3906" w:type="pct"/>
            <w:tcMar>
              <w:left w:w="108" w:type="dxa"/>
              <w:right w:w="108" w:type="dxa"/>
            </w:tcMar>
          </w:tcPr>
          <w:p w14:paraId="612FCEE2" w14:textId="77777777" w:rsidR="00271472" w:rsidRDefault="00271472" w:rsidP="000F3AB5">
            <w:pPr>
              <w:pStyle w:val="TableText"/>
            </w:pPr>
            <w:r w:rsidRPr="0069231B">
              <w:t>Cost recovery for low</w:t>
            </w:r>
            <w:r>
              <w:t>-</w:t>
            </w:r>
            <w:r w:rsidRPr="0069231B">
              <w:t>value goods</w:t>
            </w:r>
          </w:p>
        </w:tc>
      </w:tr>
      <w:tr w:rsidR="00271472" w14:paraId="2728D908" w14:textId="77777777" w:rsidTr="00E5351A">
        <w:tc>
          <w:tcPr>
            <w:tcW w:w="1094" w:type="pct"/>
            <w:tcMar>
              <w:left w:w="108" w:type="dxa"/>
              <w:right w:w="108" w:type="dxa"/>
            </w:tcMar>
          </w:tcPr>
          <w:p w14:paraId="366DC2AA" w14:textId="77777777" w:rsidR="00271472" w:rsidRDefault="00271472" w:rsidP="000F3AB5">
            <w:pPr>
              <w:pStyle w:val="TableText"/>
            </w:pPr>
            <w:r w:rsidRPr="0069231B">
              <w:t>May 2021</w:t>
            </w:r>
          </w:p>
        </w:tc>
        <w:tc>
          <w:tcPr>
            <w:tcW w:w="3906" w:type="pct"/>
            <w:tcMar>
              <w:left w:w="108" w:type="dxa"/>
              <w:right w:w="108" w:type="dxa"/>
            </w:tcMar>
          </w:tcPr>
          <w:p w14:paraId="2BD1B566" w14:textId="77777777" w:rsidR="00271472" w:rsidRDefault="00271472" w:rsidP="000F3AB5">
            <w:pPr>
              <w:pStyle w:val="TableText"/>
            </w:pPr>
            <w:r w:rsidRPr="0069231B">
              <w:t>Better manage the risk of hitchhiker pests and diseases</w:t>
            </w:r>
          </w:p>
        </w:tc>
      </w:tr>
      <w:tr w:rsidR="00271472" w14:paraId="3F8A29AC" w14:textId="77777777" w:rsidTr="00E5351A">
        <w:tc>
          <w:tcPr>
            <w:tcW w:w="1094" w:type="pct"/>
            <w:tcMar>
              <w:left w:w="108" w:type="dxa"/>
              <w:right w:w="108" w:type="dxa"/>
            </w:tcMar>
          </w:tcPr>
          <w:p w14:paraId="651ACC9D" w14:textId="77777777" w:rsidR="00271472" w:rsidRDefault="00271472" w:rsidP="000F3AB5">
            <w:pPr>
              <w:pStyle w:val="TableText"/>
            </w:pPr>
            <w:r w:rsidRPr="0069231B">
              <w:t>November 2019</w:t>
            </w:r>
          </w:p>
        </w:tc>
        <w:tc>
          <w:tcPr>
            <w:tcW w:w="3906" w:type="pct"/>
            <w:tcMar>
              <w:left w:w="108" w:type="dxa"/>
              <w:right w:w="108" w:type="dxa"/>
            </w:tcMar>
          </w:tcPr>
          <w:p w14:paraId="50289287" w14:textId="77777777" w:rsidR="00271472" w:rsidRDefault="00271472" w:rsidP="000F3AB5">
            <w:pPr>
              <w:pStyle w:val="TableText"/>
            </w:pPr>
            <w:r w:rsidRPr="0069231B">
              <w:t>Expansion of cost recovered regulatory activities</w:t>
            </w:r>
          </w:p>
        </w:tc>
      </w:tr>
      <w:tr w:rsidR="00271472" w14:paraId="63338336" w14:textId="77777777" w:rsidTr="00E5351A">
        <w:tc>
          <w:tcPr>
            <w:tcW w:w="1094" w:type="pct"/>
            <w:tcMar>
              <w:left w:w="108" w:type="dxa"/>
              <w:right w:w="108" w:type="dxa"/>
            </w:tcMar>
          </w:tcPr>
          <w:p w14:paraId="326D8327" w14:textId="77777777" w:rsidR="00271472" w:rsidRDefault="00271472" w:rsidP="000F3AB5">
            <w:pPr>
              <w:pStyle w:val="TableText"/>
            </w:pPr>
            <w:r w:rsidRPr="0069231B">
              <w:t>October 2018</w:t>
            </w:r>
          </w:p>
        </w:tc>
        <w:tc>
          <w:tcPr>
            <w:tcW w:w="3906" w:type="pct"/>
            <w:tcMar>
              <w:left w:w="108" w:type="dxa"/>
              <w:right w:w="108" w:type="dxa"/>
            </w:tcMar>
          </w:tcPr>
          <w:p w14:paraId="2E4D3693" w14:textId="77777777" w:rsidR="00271472" w:rsidRDefault="00271472" w:rsidP="000F3AB5">
            <w:pPr>
              <w:pStyle w:val="TableText"/>
            </w:pPr>
            <w:r w:rsidRPr="0069231B">
              <w:t>Charging for approved arrangements</w:t>
            </w:r>
          </w:p>
        </w:tc>
      </w:tr>
      <w:tr w:rsidR="00271472" w:rsidRPr="0069231B" w14:paraId="787DC28E" w14:textId="77777777" w:rsidTr="00E5351A">
        <w:tc>
          <w:tcPr>
            <w:tcW w:w="1094" w:type="pct"/>
            <w:tcMar>
              <w:left w:w="108" w:type="dxa"/>
              <w:right w:w="108" w:type="dxa"/>
            </w:tcMar>
          </w:tcPr>
          <w:p w14:paraId="4A3D9857" w14:textId="77777777" w:rsidR="00271472" w:rsidRPr="0069231B" w:rsidRDefault="00271472" w:rsidP="000F3AB5">
            <w:pPr>
              <w:pStyle w:val="TableText"/>
            </w:pPr>
            <w:r w:rsidRPr="0069231B">
              <w:t>May 2017</w:t>
            </w:r>
          </w:p>
        </w:tc>
        <w:tc>
          <w:tcPr>
            <w:tcW w:w="3906" w:type="pct"/>
            <w:tcMar>
              <w:left w:w="108" w:type="dxa"/>
              <w:right w:w="108" w:type="dxa"/>
            </w:tcMar>
          </w:tcPr>
          <w:p w14:paraId="380A26C2" w14:textId="77777777" w:rsidR="00271472" w:rsidRPr="0069231B" w:rsidRDefault="00271472" w:rsidP="000F3AB5">
            <w:pPr>
              <w:pStyle w:val="TableText"/>
            </w:pPr>
            <w:r w:rsidRPr="0069231B">
              <w:t>Vessel arrival charge</w:t>
            </w:r>
          </w:p>
        </w:tc>
      </w:tr>
    </w:tbl>
    <w:p w14:paraId="7242CCEC" w14:textId="2F4011FD" w:rsidR="00271472" w:rsidRPr="00012DBA" w:rsidRDefault="00271472" w:rsidP="008336F3">
      <w:pPr>
        <w:pStyle w:val="Heading5"/>
        <w:spacing w:before="120"/>
      </w:pPr>
      <w:r w:rsidRPr="00012DBA">
        <w:t>May 2023 – Cost recovery for low-value goods</w:t>
      </w:r>
    </w:p>
    <w:p w14:paraId="07BC5E24" w14:textId="77777777" w:rsidR="00271472" w:rsidRDefault="00271472" w:rsidP="00E5351A">
      <w:pPr>
        <w:keepNext/>
      </w:pPr>
      <w:r>
        <w:t>As part of its election commitment to sustainably fund the Commonwealth biosecurity system, the government announced in the 2023–24 Federal Budget that it will extend the biosecurity industry cost recovery arrangement to include low value goods imported into Australian territory.</w:t>
      </w:r>
    </w:p>
    <w:p w14:paraId="60744DD6" w14:textId="77777777" w:rsidR="00271472" w:rsidRDefault="00271472" w:rsidP="00271472">
      <w:r>
        <w:t>On 1 October 2024, the Self-Assessed Clearance declaration charge of 36 cents for each declaration commenced.</w:t>
      </w:r>
    </w:p>
    <w:p w14:paraId="68DB04E0" w14:textId="77777777" w:rsidR="00271472" w:rsidRDefault="00271472" w:rsidP="00012DBA">
      <w:pPr>
        <w:pStyle w:val="Heading5"/>
      </w:pPr>
      <w:r>
        <w:lastRenderedPageBreak/>
        <w:t xml:space="preserve">May 2021 – </w:t>
      </w:r>
      <w:r w:rsidRPr="0069231B">
        <w:t>Better manage the risk of hitchhiker pests and diseases</w:t>
      </w:r>
    </w:p>
    <w:p w14:paraId="3556E210" w14:textId="77777777" w:rsidR="00271472" w:rsidRDefault="00271472" w:rsidP="00271472">
      <w:r>
        <w:t>Government committed $96.9 million over 4 years to better manage the risk of hitchhiker pests and diseases that can cause considerable cost and disruption to agricultural production, the environment and the way of life of all Australians.</w:t>
      </w:r>
    </w:p>
    <w:p w14:paraId="612B4DBC" w14:textId="77777777" w:rsidR="00271472" w:rsidRDefault="00271472" w:rsidP="00271472">
      <w:r>
        <w:t xml:space="preserve">The program addresses the risk of major hitchhiker </w:t>
      </w:r>
      <w:r w:rsidRPr="00A00A02">
        <w:t>pests – for example, khapra</w:t>
      </w:r>
      <w:r>
        <w:t xml:space="preserve"> beetle and brown marmorated stink bug, which can be carried in and on containers and their contents (around $2.5 million containers arrive each year).</w:t>
      </w:r>
    </w:p>
    <w:p w14:paraId="555221E7" w14:textId="77777777" w:rsidR="00271472" w:rsidRDefault="00271472" w:rsidP="00271472">
      <w:r>
        <w:t>Commencing 16 January 2023, the Full Import Declaration charge for sea cargo increased from $49 to $58.</w:t>
      </w:r>
    </w:p>
    <w:p w14:paraId="4AEB7761" w14:textId="77777777" w:rsidR="00271472" w:rsidRDefault="00271472" w:rsidP="00012DBA">
      <w:pPr>
        <w:pStyle w:val="Heading5"/>
      </w:pPr>
      <w:r>
        <w:t xml:space="preserve">November 2019 – </w:t>
      </w:r>
      <w:r w:rsidRPr="0069231B">
        <w:t>Expansion of cost recovered regulatory activities</w:t>
      </w:r>
    </w:p>
    <w:p w14:paraId="464FA39F" w14:textId="77777777" w:rsidR="00271472" w:rsidRDefault="00271472" w:rsidP="00271472">
      <w:r>
        <w:t>The government decided to expand cost recovered regulatory activities to include $23 million per year of biosecurity activities. These directly relate to our regulatory framework.</w:t>
      </w:r>
    </w:p>
    <w:p w14:paraId="7844ED5D" w14:textId="77777777" w:rsidR="00271472" w:rsidRDefault="00271472" w:rsidP="00271472">
      <w:r>
        <w:t>From 1 January 2020 regulatory activities included in regulatory charges were expanded to include:</w:t>
      </w:r>
    </w:p>
    <w:p w14:paraId="07530A7D" w14:textId="77777777" w:rsidR="00271472" w:rsidRDefault="00271472" w:rsidP="00271472">
      <w:pPr>
        <w:pStyle w:val="ListBullet"/>
      </w:pPr>
      <w:r w:rsidRPr="0069231B">
        <w:t>Assurance and verification activities to provide confidence in compliance controls and support enforcement of regulation, contributing to the efficiency and effectiveness of the biosecurity system that facilitates importers to bring goods safely into Australia. This activity included:</w:t>
      </w:r>
    </w:p>
    <w:p w14:paraId="17C62113" w14:textId="77777777" w:rsidR="00271472" w:rsidRDefault="00271472" w:rsidP="00271472">
      <w:pPr>
        <w:pStyle w:val="ListBullet2"/>
      </w:pPr>
      <w:r>
        <w:t>applying best practice regulatory procedures and monitoring their implementation to verify ongoing effectiveness of regulatory activity</w:t>
      </w:r>
    </w:p>
    <w:p w14:paraId="26EF8A34" w14:textId="77777777" w:rsidR="00271472" w:rsidRDefault="00271472" w:rsidP="00271472">
      <w:pPr>
        <w:pStyle w:val="ListBullet2"/>
      </w:pPr>
      <w:r>
        <w:t>implementing and maintaining a decision-making tool that allows us to calculate benefits and risks of change in regulatory activity</w:t>
      </w:r>
    </w:p>
    <w:p w14:paraId="4E95BE7D" w14:textId="77777777" w:rsidR="00271472" w:rsidRDefault="00271472" w:rsidP="00271472">
      <w:pPr>
        <w:pStyle w:val="ListBullet2"/>
      </w:pPr>
      <w:r>
        <w:t>investigations of importer compliance with biosecurity regulation to maintain the integrity of the system, including provision and monitoring of corrective actions.</w:t>
      </w:r>
    </w:p>
    <w:p w14:paraId="61B993D4" w14:textId="77777777" w:rsidR="00271472" w:rsidRDefault="00271472" w:rsidP="00271472">
      <w:pPr>
        <w:pStyle w:val="ListBullet"/>
      </w:pPr>
      <w:r>
        <w:t>Increased analytics and intelligence activities, including the use of data to identify trends to inform intervention and compliance activities. This was intended to minimise the risk of incursions and prevent harm to Australia’s agricultural production and environment. These activities included the application, maintenance and refinement of algorithms and work processes that analyse biosecurity data and inform coordination of biosecurity risk management measures and compliance controls.</w:t>
      </w:r>
    </w:p>
    <w:p w14:paraId="276924BA" w14:textId="77777777" w:rsidR="00271472" w:rsidRDefault="00271472" w:rsidP="00271472">
      <w:pPr>
        <w:pStyle w:val="ListBullet"/>
      </w:pPr>
      <w:r>
        <w:t>The intelligence helps us identify which imports are most likely to expose Australia to exotic pests and/or diseases. this allows for more targeted risk management activities that streamline the border experience for importers and reduces intervention with importers with minimal risk.</w:t>
      </w:r>
    </w:p>
    <w:p w14:paraId="07B2BEF4" w14:textId="77777777" w:rsidR="00271472" w:rsidRDefault="00271472" w:rsidP="00271472">
      <w:pPr>
        <w:pStyle w:val="ListBullet"/>
      </w:pPr>
      <w:r>
        <w:t>The provision of technical and scientific advice to maintain up to date biosecurity risk management information within our Biosecurity Import Condition (BICON) system. Through BICON, we provide a single source of truth for biosecurity officers and importers to identify goods quickly and easily, relevant import conditions and further biosecurity risk management options for the safe import of goods.</w:t>
      </w:r>
    </w:p>
    <w:p w14:paraId="6F543FC6" w14:textId="77777777" w:rsidR="00271472" w:rsidRDefault="00271472" w:rsidP="00271472">
      <w:pPr>
        <w:pStyle w:val="ListBullet"/>
      </w:pPr>
      <w:r>
        <w:t xml:space="preserve">Import pest and disease risk mitigation planning, which ensures that we have the capability to mitigate the impact of pest and disease incursions that result from the import of goods. The activities include the development and maintenance of risk mitigation processes and plans, </w:t>
      </w:r>
      <w:r>
        <w:lastRenderedPageBreak/>
        <w:t>including the maintenance of the capability required to implement actions in those plans, which facilitates the import of goods. Importers will be able to either choose to rely on publicly available plans or choose to develop their own plans subject to the department granting a permit</w:t>
      </w:r>
    </w:p>
    <w:p w14:paraId="0E1F846C" w14:textId="77777777" w:rsidR="00271472" w:rsidRDefault="00271472" w:rsidP="00271472">
      <w:r>
        <w:t>The effect of this decision to expand cost recovery for biosecurity activities was an increase in 4 charges:</w:t>
      </w:r>
    </w:p>
    <w:p w14:paraId="6A27CF84" w14:textId="77777777" w:rsidR="00271472" w:rsidRDefault="00271472" w:rsidP="00271472">
      <w:pPr>
        <w:pStyle w:val="ListBullet"/>
      </w:pPr>
      <w:r>
        <w:t>Full Import Declaration charge—air was $33, to $38.</w:t>
      </w:r>
    </w:p>
    <w:p w14:paraId="1450E235" w14:textId="77777777" w:rsidR="00271472" w:rsidRDefault="00271472" w:rsidP="00271472">
      <w:pPr>
        <w:pStyle w:val="ListBullet"/>
      </w:pPr>
      <w:r>
        <w:t>Full Import Declaration charge—sea was $42 to $49.</w:t>
      </w:r>
    </w:p>
    <w:p w14:paraId="7E02CA44" w14:textId="77777777" w:rsidR="00271472" w:rsidRDefault="00271472" w:rsidP="00271472">
      <w:pPr>
        <w:pStyle w:val="ListBullet"/>
      </w:pPr>
      <w:r>
        <w:t>Vessels greater than or equal to 25 metres—arrival charge was $920, to $1054.</w:t>
      </w:r>
    </w:p>
    <w:p w14:paraId="4C1689B0" w14:textId="77777777" w:rsidR="00271472" w:rsidRDefault="00271472" w:rsidP="00271472">
      <w:pPr>
        <w:pStyle w:val="ListBullet"/>
      </w:pPr>
      <w:r>
        <w:t>Vessels less than 25 metres—arrival charge was $100, to $120.</w:t>
      </w:r>
    </w:p>
    <w:p w14:paraId="17AD0FDD" w14:textId="71A56DA2" w:rsidR="00271472" w:rsidRDefault="00271472" w:rsidP="00012DBA">
      <w:pPr>
        <w:pStyle w:val="Heading5"/>
      </w:pPr>
      <w:r>
        <w:t xml:space="preserve">October 2018 – </w:t>
      </w:r>
      <w:r w:rsidRPr="0069231B">
        <w:t>Charging for approved arrangements</w:t>
      </w:r>
    </w:p>
    <w:p w14:paraId="65464C7A" w14:textId="77777777" w:rsidR="00271472" w:rsidRDefault="00271472" w:rsidP="00271472">
      <w:r>
        <w:t>Government approved a change to regulatory charging for biosecurity-approved arrangements. As part of this change, a new throughput charge was introduced, together with remissions for the annual charges payable by some industry participants.</w:t>
      </w:r>
    </w:p>
    <w:p w14:paraId="54F0D131" w14:textId="77777777" w:rsidR="00271472" w:rsidRDefault="00271472" w:rsidP="00271472">
      <w:r>
        <w:t>The new throughput charge applies to each entry made under the Automatic Entry Processing (AEP) for Commodities (AEPCOMM). A rate of $18 is charged for each entry by a person covered by an approved arrangement, for goods to be brought or imported into Australian territory.</w:t>
      </w:r>
    </w:p>
    <w:p w14:paraId="35961BB8" w14:textId="77777777" w:rsidR="00271472" w:rsidRDefault="00271472" w:rsidP="00271472">
      <w:r>
        <w:t>The annual charge for biosecurity-approved arrangements was set at $2,900 per year. As part of the introduction of the throughput charge, the annual charges payable for some industry participants were able to be reduced by remission.</w:t>
      </w:r>
    </w:p>
    <w:p w14:paraId="5AB2304B" w14:textId="77777777" w:rsidR="00271472" w:rsidRDefault="00271472" w:rsidP="00271472">
      <w:r>
        <w:t>Biosecurity approved arrangements operated at a single site – $2,500 Biosecurity approved arrangements operated as an AEP Broker only – $500. These operators also pay a throughput charge of $18 for each AEP entry they process.</w:t>
      </w:r>
    </w:p>
    <w:p w14:paraId="00F38DE8" w14:textId="77777777" w:rsidR="00271472" w:rsidRDefault="00271472" w:rsidP="00012DBA">
      <w:pPr>
        <w:pStyle w:val="Heading5"/>
      </w:pPr>
      <w:r>
        <w:t xml:space="preserve">May 2017 – </w:t>
      </w:r>
      <w:r w:rsidRPr="0069231B">
        <w:t>Vessel arrival charge</w:t>
      </w:r>
    </w:p>
    <w:p w14:paraId="1A97BCE6" w14:textId="77777777" w:rsidR="00271472" w:rsidRDefault="00271472" w:rsidP="00271472">
      <w:r>
        <w:t>As part of the 2017–18 Budget measures the government directed us to increase the international vessel arrival charge to address the volume forecast and cost recover the expenses of the expanded ballast water biosecurity activities.</w:t>
      </w:r>
    </w:p>
    <w:p w14:paraId="5A8A4E04" w14:textId="00D8F47E" w:rsidR="00271472" w:rsidRDefault="009F3268" w:rsidP="00271472">
      <w:r>
        <w:t>From April 2018 t</w:t>
      </w:r>
      <w:r w:rsidR="00271472">
        <w:t>he international vessel arrival charge for vessels over 25 metres in length increased from $720 to $920.</w:t>
      </w:r>
    </w:p>
    <w:p w14:paraId="3129F065" w14:textId="0AA0B603" w:rsidR="0053608D" w:rsidRPr="007A27E5" w:rsidRDefault="0053608D" w:rsidP="00AD2B08">
      <w:pPr>
        <w:pStyle w:val="Heading3"/>
        <w:spacing w:before="240"/>
        <w:rPr>
          <w:sz w:val="36"/>
          <w:szCs w:val="36"/>
          <w:lang w:eastAsia="ja-JP"/>
        </w:rPr>
      </w:pPr>
      <w:bookmarkStart w:id="52" w:name="_Toc134948269"/>
      <w:bookmarkStart w:id="53" w:name="_Toc135050229"/>
      <w:bookmarkStart w:id="54" w:name="_Toc135304882"/>
      <w:bookmarkStart w:id="55" w:name="_Toc135331055"/>
      <w:bookmarkStart w:id="56" w:name="_Toc135331307"/>
      <w:bookmarkStart w:id="57" w:name="_Toc135332500"/>
      <w:bookmarkStart w:id="58" w:name="_Toc134948270"/>
      <w:bookmarkStart w:id="59" w:name="_Toc135050230"/>
      <w:bookmarkStart w:id="60" w:name="_Toc135304883"/>
      <w:bookmarkStart w:id="61" w:name="_Toc135331056"/>
      <w:bookmarkStart w:id="62" w:name="_Toc135331308"/>
      <w:bookmarkStart w:id="63" w:name="_Toc135332501"/>
      <w:bookmarkStart w:id="64" w:name="_Toc134948271"/>
      <w:bookmarkStart w:id="65" w:name="_Toc135050231"/>
      <w:bookmarkStart w:id="66" w:name="_Toc135304884"/>
      <w:bookmarkStart w:id="67" w:name="_Toc135331057"/>
      <w:bookmarkStart w:id="68" w:name="_Toc135331309"/>
      <w:bookmarkStart w:id="69" w:name="_Toc135332502"/>
      <w:bookmarkStart w:id="70" w:name="_Statutory_authority_to"/>
      <w:bookmarkStart w:id="71" w:name="section_3_2"/>
      <w:bookmarkStart w:id="72" w:name="_Toc168489250"/>
      <w:bookmarkStart w:id="73" w:name="_Toc168489547"/>
      <w:bookmarkStart w:id="74" w:name="_Toc168645245"/>
      <w:bookmarkStart w:id="75" w:name="_Toc200115590"/>
      <w:bookmarkStart w:id="76" w:name="_Hlk86138239"/>
      <w:bookmarkEnd w:id="46"/>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r w:rsidRPr="007A27E5">
        <w:rPr>
          <w:sz w:val="36"/>
          <w:szCs w:val="36"/>
          <w:lang w:eastAsia="ja-JP"/>
        </w:rPr>
        <w:t xml:space="preserve">Statutory authority to </w:t>
      </w:r>
      <w:bookmarkEnd w:id="72"/>
      <w:bookmarkEnd w:id="73"/>
      <w:bookmarkEnd w:id="74"/>
      <w:r w:rsidR="0069502D">
        <w:rPr>
          <w:sz w:val="36"/>
          <w:szCs w:val="36"/>
          <w:lang w:eastAsia="ja-JP"/>
        </w:rPr>
        <w:t>charge</w:t>
      </w:r>
      <w:bookmarkEnd w:id="75"/>
    </w:p>
    <w:p w14:paraId="5AD324C3" w14:textId="5E3D0A5E" w:rsidR="003C1849" w:rsidRDefault="003C1849" w:rsidP="003C1849">
      <w:pPr>
        <w:rPr>
          <w:rFonts w:cstheme="minorHAnsi"/>
          <w:lang w:eastAsia="ja-JP"/>
        </w:rPr>
      </w:pPr>
      <w:r w:rsidRPr="003A15DF">
        <w:rPr>
          <w:iCs/>
        </w:rPr>
        <w:t xml:space="preserve">The </w:t>
      </w:r>
      <w:hyperlink r:id="rId22" w:history="1">
        <w:r w:rsidR="0069502D" w:rsidRPr="00132718">
          <w:rPr>
            <w:rStyle w:val="Hyperlink"/>
          </w:rPr>
          <w:t>Biosecurity Act 2015</w:t>
        </w:r>
      </w:hyperlink>
      <w:r w:rsidRPr="003A15DF">
        <w:rPr>
          <w:iCs/>
        </w:rPr>
        <w:t xml:space="preserve"> </w:t>
      </w:r>
      <w:r w:rsidRPr="003C1849">
        <w:rPr>
          <w:iCs/>
        </w:rPr>
        <w:t xml:space="preserve">is the primary biosecurity legislation in Australia. The </w:t>
      </w:r>
      <w:hyperlink r:id="rId23" w:history="1">
        <w:r w:rsidR="0069502D" w:rsidRPr="00132718">
          <w:rPr>
            <w:rStyle w:val="Hyperlink"/>
          </w:rPr>
          <w:t>Imported Food Control Act 1992</w:t>
        </w:r>
      </w:hyperlink>
      <w:r w:rsidRPr="003C1849">
        <w:rPr>
          <w:iCs/>
        </w:rPr>
        <w:t xml:space="preserve"> is the primary food importation legislation</w:t>
      </w:r>
      <w:r w:rsidR="00F033DA">
        <w:rPr>
          <w:iCs/>
        </w:rPr>
        <w:t xml:space="preserve"> in Australia</w:t>
      </w:r>
      <w:r w:rsidRPr="003C1849">
        <w:rPr>
          <w:iCs/>
        </w:rPr>
        <w:t xml:space="preserve">. Fees and charges for biosecurity and imported food regulatory activities are recovered under separate charging </w:t>
      </w:r>
      <w:r w:rsidRPr="00FF7F58">
        <w:rPr>
          <w:iCs/>
        </w:rPr>
        <w:t>legislation</w:t>
      </w:r>
      <w:r>
        <w:rPr>
          <w:iCs/>
        </w:rPr>
        <w:t xml:space="preserve"> and provide the authority to cost recover for regulatory activities</w:t>
      </w:r>
      <w:r w:rsidRPr="0053608D">
        <w:rPr>
          <w:rFonts w:cstheme="minorHAnsi"/>
          <w:lang w:eastAsia="ja-JP"/>
        </w:rPr>
        <w:t>.</w:t>
      </w:r>
    </w:p>
    <w:p w14:paraId="2B180EB8" w14:textId="749BA98A" w:rsidR="003C1849" w:rsidRDefault="003C1849" w:rsidP="009F3268">
      <w:pPr>
        <w:keepNext/>
        <w:rPr>
          <w:rFonts w:cstheme="minorHAnsi"/>
          <w:lang w:eastAsia="ja-JP"/>
        </w:rPr>
      </w:pPr>
      <w:r>
        <w:rPr>
          <w:rFonts w:cstheme="minorHAnsi"/>
          <w:lang w:eastAsia="ja-JP"/>
        </w:rPr>
        <w:lastRenderedPageBreak/>
        <w:t>Authority to charge regulated entities comes from:</w:t>
      </w:r>
    </w:p>
    <w:p w14:paraId="586EE3DA" w14:textId="39349E8F" w:rsidR="003C1849" w:rsidRPr="003C1849" w:rsidRDefault="00F9088A" w:rsidP="009C0C8A">
      <w:pPr>
        <w:pStyle w:val="ListBullet"/>
        <w:rPr>
          <w:lang w:eastAsia="ja-JP"/>
        </w:rPr>
      </w:pPr>
      <w:bookmarkStart w:id="77" w:name="_Hlk194297471"/>
      <w:r>
        <w:rPr>
          <w:lang w:eastAsia="ja-JP"/>
        </w:rPr>
        <w:t>S</w:t>
      </w:r>
      <w:r w:rsidR="00C42046" w:rsidRPr="003C1849">
        <w:rPr>
          <w:lang w:eastAsia="ja-JP"/>
        </w:rPr>
        <w:t xml:space="preserve">ection 592 of the </w:t>
      </w:r>
      <w:hyperlink r:id="rId24" w:history="1">
        <w:r w:rsidR="00C42046" w:rsidRPr="00132718">
          <w:rPr>
            <w:rStyle w:val="Hyperlink"/>
          </w:rPr>
          <w:t>Biosecurity Act 2015</w:t>
        </w:r>
      </w:hyperlink>
      <w:r w:rsidR="00E96102">
        <w:t>,</w:t>
      </w:r>
      <w:r w:rsidR="00C42046" w:rsidRPr="003C1849">
        <w:rPr>
          <w:lang w:eastAsia="ja-JP"/>
        </w:rPr>
        <w:t xml:space="preserve"> </w:t>
      </w:r>
      <w:r w:rsidR="0052220B" w:rsidRPr="00E96102">
        <w:rPr>
          <w:lang w:eastAsia="ja-JP"/>
        </w:rPr>
        <w:t xml:space="preserve">which </w:t>
      </w:r>
      <w:r w:rsidR="00C42046" w:rsidRPr="00E96102">
        <w:rPr>
          <w:lang w:eastAsia="ja-JP"/>
        </w:rPr>
        <w:t>provides</w:t>
      </w:r>
      <w:r w:rsidR="00C42046" w:rsidRPr="003C1849">
        <w:rPr>
          <w:lang w:eastAsia="ja-JP"/>
        </w:rPr>
        <w:t xml:space="preserve"> that regulations may prescribe fees that may be charged in relation to activities carried out by or on behalf of the Commonwealth in performing functions and exercising powers under the Biosecurity Act</w:t>
      </w:r>
    </w:p>
    <w:p w14:paraId="6A3E25ED" w14:textId="33B9FD90" w:rsidR="003C1849" w:rsidRDefault="00F9088A" w:rsidP="00360C03">
      <w:pPr>
        <w:pStyle w:val="ListBullet"/>
        <w:rPr>
          <w:lang w:eastAsia="ja-JP"/>
        </w:rPr>
      </w:pPr>
      <w:r>
        <w:rPr>
          <w:lang w:eastAsia="ja-JP"/>
        </w:rPr>
        <w:t>S</w:t>
      </w:r>
      <w:r w:rsidR="003C1849" w:rsidRPr="003C1849">
        <w:rPr>
          <w:lang w:eastAsia="ja-JP"/>
        </w:rPr>
        <w:t xml:space="preserve">ection 36 of the </w:t>
      </w:r>
      <w:hyperlink r:id="rId25" w:history="1">
        <w:r w:rsidR="003C1849" w:rsidRPr="00132718">
          <w:rPr>
            <w:rStyle w:val="Hyperlink"/>
          </w:rPr>
          <w:t>Imported Food Control Act 1992</w:t>
        </w:r>
      </w:hyperlink>
      <w:r w:rsidR="00E96102">
        <w:t>,</w:t>
      </w:r>
      <w:r w:rsidR="003C1849" w:rsidRPr="003C1849">
        <w:rPr>
          <w:lang w:eastAsia="ja-JP"/>
        </w:rPr>
        <w:t xml:space="preserve"> </w:t>
      </w:r>
      <w:r w:rsidR="0052220B" w:rsidRPr="00FE2B2A">
        <w:rPr>
          <w:lang w:eastAsia="ja-JP"/>
        </w:rPr>
        <w:t xml:space="preserve">which </w:t>
      </w:r>
      <w:r w:rsidR="003C1849" w:rsidRPr="00FE2B2A">
        <w:rPr>
          <w:lang w:eastAsia="ja-JP"/>
        </w:rPr>
        <w:t>provides</w:t>
      </w:r>
      <w:r w:rsidR="003C1849" w:rsidRPr="003C1849">
        <w:rPr>
          <w:lang w:eastAsia="ja-JP"/>
        </w:rPr>
        <w:t xml:space="preserve"> that a person for whom a ‘chargeable service’ is provided is liable to pay to the Commonwealth the amount for the provision of that service as is prescribed.</w:t>
      </w:r>
    </w:p>
    <w:p w14:paraId="66FA2D42" w14:textId="379CA764" w:rsidR="001579A2" w:rsidRPr="003C1849" w:rsidRDefault="001579A2" w:rsidP="009C0C8A">
      <w:pPr>
        <w:pStyle w:val="Heading4"/>
        <w:rPr>
          <w:lang w:eastAsia="ja-JP"/>
        </w:rPr>
      </w:pPr>
      <w:r>
        <w:rPr>
          <w:lang w:eastAsia="ja-JP"/>
        </w:rPr>
        <w:t>Fees</w:t>
      </w:r>
    </w:p>
    <w:p w14:paraId="1241ECA1" w14:textId="3F5BE194" w:rsidR="003C1849" w:rsidRPr="003C1849" w:rsidRDefault="003C1849" w:rsidP="003C1849">
      <w:pPr>
        <w:rPr>
          <w:rFonts w:cstheme="minorHAnsi"/>
          <w:lang w:eastAsia="ja-JP"/>
        </w:rPr>
      </w:pPr>
      <w:r w:rsidRPr="009C0C8A">
        <w:t>Fees</w:t>
      </w:r>
      <w:r>
        <w:rPr>
          <w:rFonts w:cstheme="minorHAnsi"/>
          <w:lang w:eastAsia="ja-JP"/>
        </w:rPr>
        <w:t xml:space="preserve"> </w:t>
      </w:r>
      <w:r w:rsidR="00885EA4">
        <w:rPr>
          <w:rFonts w:cstheme="minorHAnsi"/>
          <w:lang w:eastAsia="ja-JP"/>
        </w:rPr>
        <w:t xml:space="preserve">are </w:t>
      </w:r>
      <w:r w:rsidR="00647B21">
        <w:rPr>
          <w:rFonts w:cstheme="minorHAnsi"/>
          <w:lang w:eastAsia="ja-JP"/>
        </w:rPr>
        <w:t>prescribed in</w:t>
      </w:r>
      <w:r w:rsidR="007E758D">
        <w:rPr>
          <w:rFonts w:cstheme="minorHAnsi"/>
          <w:lang w:eastAsia="ja-JP"/>
        </w:rPr>
        <w:t xml:space="preserve"> specific </w:t>
      </w:r>
      <w:r w:rsidR="00647B21" w:rsidRPr="0053608D">
        <w:rPr>
          <w:rFonts w:cstheme="minorHAnsi"/>
          <w:lang w:eastAsia="ja-JP"/>
        </w:rPr>
        <w:t xml:space="preserve">biosecurity and imported food </w:t>
      </w:r>
      <w:r w:rsidR="00647B21">
        <w:rPr>
          <w:rFonts w:cstheme="minorHAnsi"/>
          <w:lang w:eastAsia="ja-JP"/>
        </w:rPr>
        <w:t>regulations</w:t>
      </w:r>
    </w:p>
    <w:p w14:paraId="411DD4A9" w14:textId="42E9CF8B" w:rsidR="00C42046" w:rsidRDefault="00C42046" w:rsidP="00B87F60">
      <w:pPr>
        <w:pStyle w:val="ListBullet"/>
        <w:rPr>
          <w:lang w:eastAsia="ja-JP"/>
        </w:rPr>
      </w:pPr>
      <w:r w:rsidRPr="003C1849">
        <w:rPr>
          <w:lang w:eastAsia="ja-JP"/>
        </w:rPr>
        <w:t xml:space="preserve">For this purpose, section 106 of the </w:t>
      </w:r>
      <w:hyperlink r:id="rId26" w:history="1">
        <w:r w:rsidRPr="003C1849">
          <w:rPr>
            <w:rStyle w:val="Hyperlink"/>
            <w:rFonts w:cstheme="minorHAnsi"/>
            <w:lang w:eastAsia="ja-JP"/>
          </w:rPr>
          <w:t>Biosecurity Regulation 2016</w:t>
        </w:r>
      </w:hyperlink>
      <w:r w:rsidRPr="003C1849">
        <w:rPr>
          <w:lang w:eastAsia="ja-JP"/>
        </w:rPr>
        <w:t xml:space="preserve"> prescribes fees that may be charged in relation to specified fee-bearing activities</w:t>
      </w:r>
    </w:p>
    <w:bookmarkEnd w:id="77"/>
    <w:p w14:paraId="39A046DC" w14:textId="7EC4A1E0" w:rsidR="00E723CE" w:rsidRDefault="00C42046" w:rsidP="00E723CE">
      <w:pPr>
        <w:pStyle w:val="ListBullet"/>
        <w:rPr>
          <w:lang w:eastAsia="ja-JP"/>
        </w:rPr>
      </w:pPr>
      <w:r w:rsidRPr="003C1849">
        <w:rPr>
          <w:lang w:eastAsia="ja-JP"/>
        </w:rPr>
        <w:t xml:space="preserve">For this purpose, part 4 of the </w:t>
      </w:r>
      <w:hyperlink r:id="rId27" w:history="1">
        <w:r w:rsidRPr="003C1849">
          <w:rPr>
            <w:rStyle w:val="Hyperlink"/>
            <w:rFonts w:cstheme="minorHAnsi"/>
            <w:lang w:eastAsia="ja-JP"/>
          </w:rPr>
          <w:t xml:space="preserve">Imported Food </w:t>
        </w:r>
        <w:r w:rsidR="008330DB" w:rsidRPr="003C1849">
          <w:rPr>
            <w:rStyle w:val="Hyperlink"/>
            <w:rFonts w:cstheme="minorHAnsi"/>
            <w:lang w:eastAsia="ja-JP"/>
          </w:rPr>
          <w:t xml:space="preserve">Control </w:t>
        </w:r>
        <w:r w:rsidRPr="003C1849">
          <w:rPr>
            <w:rStyle w:val="Hyperlink"/>
            <w:rFonts w:cstheme="minorHAnsi"/>
            <w:lang w:eastAsia="ja-JP"/>
          </w:rPr>
          <w:t>Regulations 2019</w:t>
        </w:r>
      </w:hyperlink>
      <w:r w:rsidRPr="003C1849">
        <w:rPr>
          <w:lang w:eastAsia="ja-JP"/>
        </w:rPr>
        <w:t xml:space="preserve"> prescribe the payable amount for the provision of specified chargeable services</w:t>
      </w:r>
      <w:r w:rsidR="0053608D" w:rsidRPr="003C1849">
        <w:rPr>
          <w:lang w:eastAsia="ja-JP"/>
        </w:rPr>
        <w:t>.</w:t>
      </w:r>
    </w:p>
    <w:p w14:paraId="449119FC" w14:textId="05DD839F" w:rsidR="00E723CE" w:rsidRPr="009C0C8A" w:rsidRDefault="00E723CE" w:rsidP="009C0C8A">
      <w:pPr>
        <w:pStyle w:val="Heading4"/>
      </w:pPr>
      <w:r>
        <w:t>Charges</w:t>
      </w:r>
      <w:r w:rsidR="00BC6780">
        <w:t xml:space="preserve"> (levies)</w:t>
      </w:r>
    </w:p>
    <w:p w14:paraId="331A2D6F" w14:textId="601C0493" w:rsidR="00BC6780" w:rsidRDefault="0053608D" w:rsidP="0053608D">
      <w:pPr>
        <w:rPr>
          <w:rFonts w:cstheme="minorHAnsi"/>
          <w:lang w:eastAsia="ja-JP"/>
        </w:rPr>
      </w:pPr>
      <w:r w:rsidRPr="009C0C8A">
        <w:t>Charges</w:t>
      </w:r>
      <w:r w:rsidR="003C1849">
        <w:rPr>
          <w:rFonts w:cstheme="minorHAnsi"/>
          <w:lang w:eastAsia="ja-JP"/>
        </w:rPr>
        <w:t xml:space="preserve"> or levies</w:t>
      </w:r>
      <w:r w:rsidRPr="0053608D">
        <w:rPr>
          <w:rFonts w:cstheme="minorHAnsi"/>
          <w:lang w:eastAsia="ja-JP"/>
        </w:rPr>
        <w:t xml:space="preserve"> are imposed through specific biosecurity and imported food charging acts</w:t>
      </w:r>
      <w:r w:rsidR="0069502D">
        <w:rPr>
          <w:rFonts w:cstheme="minorHAnsi"/>
          <w:lang w:eastAsia="ja-JP"/>
        </w:rPr>
        <w:t xml:space="preserve"> and </w:t>
      </w:r>
      <w:r w:rsidR="003F1096">
        <w:rPr>
          <w:rFonts w:cstheme="minorHAnsi"/>
          <w:lang w:eastAsia="ja-JP"/>
        </w:rPr>
        <w:t xml:space="preserve">delegated </w:t>
      </w:r>
      <w:r w:rsidR="00E67096">
        <w:rPr>
          <w:rFonts w:cstheme="minorHAnsi"/>
          <w:lang w:eastAsia="ja-JP"/>
        </w:rPr>
        <w:t>legislation</w:t>
      </w:r>
      <w:r w:rsidR="0069502D">
        <w:rPr>
          <w:rFonts w:cstheme="minorHAnsi"/>
          <w:lang w:eastAsia="ja-JP"/>
        </w:rPr>
        <w:t>,</w:t>
      </w:r>
      <w:r w:rsidRPr="0053608D">
        <w:rPr>
          <w:rFonts w:cstheme="minorHAnsi"/>
          <w:lang w:eastAsia="ja-JP"/>
        </w:rPr>
        <w:t xml:space="preserve"> which provide powers to impose and collect charges for biosecurity and imported food regulatory matters</w:t>
      </w:r>
      <w:r w:rsidR="003C1849">
        <w:rPr>
          <w:rFonts w:cstheme="minorHAnsi"/>
          <w:lang w:eastAsia="ja-JP"/>
        </w:rPr>
        <w:t>.</w:t>
      </w:r>
    </w:p>
    <w:p w14:paraId="6FB714E0" w14:textId="220F8FD3" w:rsidR="009C0C8A" w:rsidRPr="00FE2B2A" w:rsidRDefault="004847A3" w:rsidP="00FE2B2A">
      <w:pPr>
        <w:pStyle w:val="Heading5"/>
      </w:pPr>
      <w:r w:rsidRPr="00132718">
        <w:t xml:space="preserve">Charging </w:t>
      </w:r>
      <w:r w:rsidR="000306B1" w:rsidRPr="00132718">
        <w:t>A</w:t>
      </w:r>
      <w:r w:rsidR="00EB4DA2" w:rsidRPr="00132718">
        <w:t>cts</w:t>
      </w:r>
    </w:p>
    <w:p w14:paraId="2FF93265" w14:textId="32BBF51C" w:rsidR="0053608D" w:rsidRPr="00132718" w:rsidRDefault="0053608D" w:rsidP="009C0C8A">
      <w:pPr>
        <w:pStyle w:val="ListBullet"/>
        <w:rPr>
          <w:rStyle w:val="Hyperlink"/>
        </w:rPr>
      </w:pPr>
      <w:hyperlink r:id="rId28" w:history="1">
        <w:r w:rsidRPr="00132718">
          <w:rPr>
            <w:rStyle w:val="Hyperlink"/>
          </w:rPr>
          <w:t>Biosecurity Charges Imposition (Customs) Act 2015</w:t>
        </w:r>
      </w:hyperlink>
    </w:p>
    <w:p w14:paraId="060F2257" w14:textId="77777777" w:rsidR="0053608D" w:rsidRPr="00132718" w:rsidRDefault="0053608D" w:rsidP="009C0C8A">
      <w:pPr>
        <w:pStyle w:val="ListBullet"/>
        <w:rPr>
          <w:rStyle w:val="Hyperlink"/>
        </w:rPr>
      </w:pPr>
      <w:hyperlink r:id="rId29" w:history="1">
        <w:r w:rsidRPr="00132718">
          <w:rPr>
            <w:rStyle w:val="Hyperlink"/>
          </w:rPr>
          <w:t>Biosecurity Charges Imposition (Excise) Act 2015</w:t>
        </w:r>
      </w:hyperlink>
    </w:p>
    <w:p w14:paraId="0DA50853" w14:textId="77777777" w:rsidR="0053608D" w:rsidRPr="00132718" w:rsidRDefault="0053608D" w:rsidP="009C0C8A">
      <w:pPr>
        <w:pStyle w:val="ListBullet"/>
        <w:rPr>
          <w:rStyle w:val="Hyperlink"/>
        </w:rPr>
      </w:pPr>
      <w:hyperlink r:id="rId30" w:history="1">
        <w:r w:rsidRPr="00132718">
          <w:rPr>
            <w:rStyle w:val="Hyperlink"/>
          </w:rPr>
          <w:t>Biosecurity Charges Imposition (General) Act 2015</w:t>
        </w:r>
      </w:hyperlink>
    </w:p>
    <w:p w14:paraId="0F3D0BC8" w14:textId="77777777" w:rsidR="0053608D" w:rsidRPr="00132718" w:rsidRDefault="0053608D" w:rsidP="009C0C8A">
      <w:pPr>
        <w:pStyle w:val="ListBullet"/>
        <w:rPr>
          <w:rStyle w:val="Hyperlink"/>
        </w:rPr>
      </w:pPr>
      <w:hyperlink r:id="rId31" w:history="1">
        <w:r w:rsidRPr="00132718">
          <w:rPr>
            <w:rStyle w:val="Hyperlink"/>
          </w:rPr>
          <w:t>Imported Food Charges (Imposition—Customs) Act 2015</w:t>
        </w:r>
      </w:hyperlink>
    </w:p>
    <w:p w14:paraId="33F9B0E7" w14:textId="77777777" w:rsidR="0053608D" w:rsidRPr="00132718" w:rsidRDefault="0053608D" w:rsidP="009C0C8A">
      <w:pPr>
        <w:pStyle w:val="ListBullet"/>
        <w:rPr>
          <w:rStyle w:val="Hyperlink"/>
        </w:rPr>
      </w:pPr>
      <w:hyperlink r:id="rId32" w:history="1">
        <w:r w:rsidRPr="00132718">
          <w:rPr>
            <w:rStyle w:val="Hyperlink"/>
          </w:rPr>
          <w:t>Imported Food Charges (Imposition—Excise) Act 2015</w:t>
        </w:r>
      </w:hyperlink>
    </w:p>
    <w:p w14:paraId="0D045F12" w14:textId="77777777" w:rsidR="0053608D" w:rsidRPr="00132718" w:rsidRDefault="0053608D" w:rsidP="009C0C8A">
      <w:pPr>
        <w:pStyle w:val="ListBullet"/>
        <w:rPr>
          <w:rStyle w:val="Hyperlink"/>
        </w:rPr>
      </w:pPr>
      <w:hyperlink r:id="rId33" w:history="1">
        <w:r w:rsidRPr="00132718">
          <w:rPr>
            <w:rStyle w:val="Hyperlink"/>
          </w:rPr>
          <w:t>Imported Food Charges (Imposition—General) Act 2015</w:t>
        </w:r>
      </w:hyperlink>
    </w:p>
    <w:p w14:paraId="7BBFDE26" w14:textId="05529FC5" w:rsidR="0053608D" w:rsidRPr="00132718" w:rsidRDefault="0053608D" w:rsidP="009C0C8A">
      <w:pPr>
        <w:pStyle w:val="ListBullet"/>
        <w:rPr>
          <w:rStyle w:val="Hyperlink"/>
        </w:rPr>
      </w:pPr>
      <w:hyperlink r:id="rId34" w:history="1">
        <w:r w:rsidRPr="00132718">
          <w:rPr>
            <w:rStyle w:val="Hyperlink"/>
          </w:rPr>
          <w:t>Imported Food Charges (Collection) Act 2015</w:t>
        </w:r>
      </w:hyperlink>
    </w:p>
    <w:p w14:paraId="12A002E4" w14:textId="7097E15D" w:rsidR="004031B6" w:rsidRPr="0069502D" w:rsidRDefault="004031B6" w:rsidP="00FE2B2A">
      <w:pPr>
        <w:pStyle w:val="Heading5"/>
        <w:rPr>
          <w:rFonts w:cstheme="minorHAnsi"/>
          <w:lang w:eastAsia="ja-JP"/>
        </w:rPr>
      </w:pPr>
      <w:r>
        <w:t>Regulations</w:t>
      </w:r>
    </w:p>
    <w:p w14:paraId="395B2686" w14:textId="77777777" w:rsidR="00132718" w:rsidRPr="001D3FAB" w:rsidRDefault="0053608D" w:rsidP="001D3FAB">
      <w:pPr>
        <w:keepNext/>
      </w:pPr>
      <w:r w:rsidRPr="0053608D">
        <w:rPr>
          <w:rFonts w:cstheme="minorHAnsi"/>
          <w:lang w:eastAsia="ja-JP"/>
        </w:rPr>
        <w:t xml:space="preserve">Specific </w:t>
      </w:r>
      <w:r w:rsidR="00F25D42">
        <w:rPr>
          <w:rFonts w:cstheme="minorHAnsi"/>
          <w:lang w:eastAsia="ja-JP"/>
        </w:rPr>
        <w:t xml:space="preserve">biosecurity </w:t>
      </w:r>
      <w:r w:rsidRPr="0053608D">
        <w:rPr>
          <w:rFonts w:cstheme="minorHAnsi"/>
          <w:lang w:eastAsia="ja-JP"/>
        </w:rPr>
        <w:t>charges are prescribed in the</w:t>
      </w:r>
      <w:r w:rsidR="00132718">
        <w:rPr>
          <w:rFonts w:cstheme="minorHAnsi"/>
          <w:lang w:eastAsia="ja-JP"/>
        </w:rPr>
        <w:t>:</w:t>
      </w:r>
    </w:p>
    <w:p w14:paraId="35A27348" w14:textId="65D48F7C" w:rsidR="00132718" w:rsidRPr="00FE2B2A" w:rsidRDefault="0053608D" w:rsidP="009C0C8A">
      <w:pPr>
        <w:pStyle w:val="ListBullet"/>
        <w:rPr>
          <w:rFonts w:cstheme="minorHAnsi"/>
          <w:lang w:eastAsia="ja-JP"/>
        </w:rPr>
      </w:pPr>
      <w:hyperlink r:id="rId35" w:history="1">
        <w:r w:rsidRPr="0053608D">
          <w:rPr>
            <w:rFonts w:cstheme="minorHAnsi"/>
            <w:color w:val="165788"/>
            <w:u w:val="single"/>
            <w:lang w:eastAsia="ja-JP"/>
          </w:rPr>
          <w:t>Biosecurity Charges Imposition (Customs) Regulation 2016</w:t>
        </w:r>
      </w:hyperlink>
    </w:p>
    <w:p w14:paraId="0ABA42E1" w14:textId="07407115" w:rsidR="0053608D" w:rsidRPr="0053608D" w:rsidRDefault="0053608D" w:rsidP="009C0C8A">
      <w:pPr>
        <w:pStyle w:val="ListBullet"/>
        <w:rPr>
          <w:rFonts w:cstheme="minorHAnsi"/>
          <w:lang w:eastAsia="ja-JP"/>
        </w:rPr>
      </w:pPr>
      <w:hyperlink r:id="rId36" w:history="1">
        <w:r w:rsidRPr="0053608D">
          <w:rPr>
            <w:rFonts w:cstheme="minorHAnsi"/>
            <w:color w:val="165788"/>
            <w:u w:val="single"/>
            <w:lang w:eastAsia="ja-JP"/>
          </w:rPr>
          <w:t>Biosecurity Charges Imposition (General) Regulation 2016</w:t>
        </w:r>
      </w:hyperlink>
      <w:r w:rsidRPr="0053608D">
        <w:rPr>
          <w:rFonts w:cstheme="minorHAnsi"/>
          <w:lang w:eastAsia="ja-JP"/>
        </w:rPr>
        <w:t>.</w:t>
      </w:r>
    </w:p>
    <w:p w14:paraId="28BCC24C" w14:textId="77777777" w:rsidR="00132718" w:rsidRDefault="0053608D" w:rsidP="001D3FAB">
      <w:pPr>
        <w:keepNext/>
        <w:rPr>
          <w:rFonts w:cstheme="minorHAnsi"/>
          <w:lang w:eastAsia="ja-JP"/>
        </w:rPr>
      </w:pPr>
      <w:r w:rsidRPr="0053608D">
        <w:rPr>
          <w:rFonts w:cstheme="minorHAnsi"/>
          <w:lang w:eastAsia="ja-JP"/>
        </w:rPr>
        <w:t xml:space="preserve">Specific </w:t>
      </w:r>
      <w:r w:rsidR="00F25D42">
        <w:rPr>
          <w:rFonts w:cstheme="minorHAnsi"/>
          <w:lang w:eastAsia="ja-JP"/>
        </w:rPr>
        <w:t xml:space="preserve">imported food </w:t>
      </w:r>
      <w:r w:rsidRPr="0053608D">
        <w:rPr>
          <w:rFonts w:cstheme="minorHAnsi"/>
          <w:lang w:eastAsia="ja-JP"/>
        </w:rPr>
        <w:t>charges are prescribed in the</w:t>
      </w:r>
      <w:r w:rsidR="00132718">
        <w:rPr>
          <w:rFonts w:cstheme="minorHAnsi"/>
          <w:lang w:eastAsia="ja-JP"/>
        </w:rPr>
        <w:t>:</w:t>
      </w:r>
    </w:p>
    <w:p w14:paraId="25654292" w14:textId="79AACEE4" w:rsidR="00132718" w:rsidRPr="003A5150" w:rsidRDefault="0053608D" w:rsidP="00132718">
      <w:pPr>
        <w:pStyle w:val="ListBullet"/>
        <w:rPr>
          <w:rFonts w:cstheme="minorHAnsi"/>
          <w:lang w:eastAsia="ja-JP"/>
        </w:rPr>
      </w:pPr>
      <w:hyperlink r:id="rId37" w:history="1">
        <w:r w:rsidRPr="0053608D">
          <w:rPr>
            <w:rFonts w:cstheme="minorHAnsi"/>
            <w:color w:val="165788"/>
            <w:u w:val="single"/>
            <w:lang w:eastAsia="ja-JP"/>
          </w:rPr>
          <w:t>Imported Food Charges (Imposition—Customs) Regulation 2015</w:t>
        </w:r>
      </w:hyperlink>
    </w:p>
    <w:p w14:paraId="26A47AF2" w14:textId="4E3EE79B" w:rsidR="0053608D" w:rsidRPr="0053608D" w:rsidRDefault="0053608D" w:rsidP="00132718">
      <w:pPr>
        <w:pStyle w:val="ListBullet"/>
        <w:rPr>
          <w:rFonts w:cstheme="minorHAnsi"/>
          <w:lang w:eastAsia="ja-JP"/>
        </w:rPr>
      </w:pPr>
      <w:hyperlink r:id="rId38" w:history="1">
        <w:r w:rsidRPr="0053608D">
          <w:rPr>
            <w:rFonts w:cstheme="minorHAnsi"/>
            <w:color w:val="165788"/>
            <w:u w:val="single"/>
            <w:lang w:eastAsia="ja-JP"/>
          </w:rPr>
          <w:t>Imported Food Charges (Imposition—General) Regulation 2015</w:t>
        </w:r>
      </w:hyperlink>
      <w:r w:rsidRPr="0053608D">
        <w:rPr>
          <w:rFonts w:cstheme="minorHAnsi"/>
          <w:lang w:eastAsia="ja-JP"/>
        </w:rPr>
        <w:t>.</w:t>
      </w:r>
      <w:bookmarkEnd w:id="76"/>
    </w:p>
    <w:p w14:paraId="2DD7512A" w14:textId="20C80693" w:rsidR="009920DB" w:rsidRPr="00C42046" w:rsidRDefault="009920DB" w:rsidP="00986C44">
      <w:pPr>
        <w:pStyle w:val="Heading2"/>
      </w:pPr>
      <w:bookmarkStart w:id="78" w:name="_Regulatory_charging_model"/>
      <w:bookmarkStart w:id="79" w:name="_Toc168489251"/>
      <w:bookmarkStart w:id="80" w:name="_Toc168489548"/>
      <w:bookmarkStart w:id="81" w:name="_Toc168645246"/>
      <w:bookmarkStart w:id="82" w:name="_Toc200115591"/>
      <w:bookmarkEnd w:id="78"/>
      <w:r w:rsidRPr="00C42046">
        <w:lastRenderedPageBreak/>
        <w:t xml:space="preserve">Regulatory </w:t>
      </w:r>
      <w:r w:rsidR="0069502D">
        <w:t xml:space="preserve">(cost recovery) </w:t>
      </w:r>
      <w:r w:rsidRPr="00C42046">
        <w:t>charging model</w:t>
      </w:r>
      <w:bookmarkEnd w:id="79"/>
      <w:bookmarkEnd w:id="80"/>
      <w:bookmarkEnd w:id="81"/>
      <w:bookmarkEnd w:id="82"/>
    </w:p>
    <w:p w14:paraId="385190C0" w14:textId="2FD97FE5" w:rsidR="009920DB" w:rsidRPr="00986C44" w:rsidRDefault="009920DB" w:rsidP="00986C44">
      <w:pPr>
        <w:pStyle w:val="Heading3"/>
        <w:rPr>
          <w:sz w:val="36"/>
          <w:szCs w:val="36"/>
          <w:lang w:eastAsia="ja-JP"/>
        </w:rPr>
      </w:pPr>
      <w:bookmarkStart w:id="83" w:name="_Toc168489252"/>
      <w:bookmarkStart w:id="84" w:name="_Toc168489549"/>
      <w:bookmarkStart w:id="85" w:name="_Toc168645247"/>
      <w:bookmarkStart w:id="86" w:name="_Toc200115592"/>
      <w:r w:rsidRPr="00986C44">
        <w:rPr>
          <w:sz w:val="36"/>
          <w:szCs w:val="36"/>
          <w:lang w:eastAsia="ja-JP"/>
        </w:rPr>
        <w:t>O</w:t>
      </w:r>
      <w:r w:rsidR="006F6390" w:rsidRPr="00986C44">
        <w:rPr>
          <w:sz w:val="36"/>
          <w:szCs w:val="36"/>
          <w:lang w:eastAsia="ja-JP"/>
        </w:rPr>
        <w:t xml:space="preserve">utputs and </w:t>
      </w:r>
      <w:r w:rsidRPr="00986C44">
        <w:rPr>
          <w:sz w:val="36"/>
          <w:szCs w:val="36"/>
          <w:lang w:eastAsia="ja-JP"/>
        </w:rPr>
        <w:t xml:space="preserve">business processes of </w:t>
      </w:r>
      <w:bookmarkEnd w:id="83"/>
      <w:bookmarkEnd w:id="84"/>
      <w:bookmarkEnd w:id="85"/>
      <w:r w:rsidR="009D29DF" w:rsidRPr="00986C44">
        <w:rPr>
          <w:sz w:val="36"/>
          <w:szCs w:val="36"/>
          <w:lang w:eastAsia="ja-JP"/>
        </w:rPr>
        <w:t>cost recovery</w:t>
      </w:r>
      <w:bookmarkEnd w:id="86"/>
    </w:p>
    <w:p w14:paraId="1A03963B" w14:textId="27E53260" w:rsidR="00283B02" w:rsidRDefault="0069502D" w:rsidP="009920DB">
      <w:pPr>
        <w:rPr>
          <w:rFonts w:cstheme="minorHAnsi"/>
          <w:lang w:eastAsia="ja-JP"/>
        </w:rPr>
      </w:pPr>
      <w:r>
        <w:rPr>
          <w:rFonts w:cstheme="minorHAnsi"/>
          <w:lang w:eastAsia="ja-JP"/>
        </w:rPr>
        <w:t>The d</w:t>
      </w:r>
      <w:r w:rsidR="00283B02">
        <w:rPr>
          <w:rFonts w:cstheme="minorHAnsi"/>
          <w:lang w:eastAsia="ja-JP"/>
        </w:rPr>
        <w:t>e</w:t>
      </w:r>
      <w:r>
        <w:rPr>
          <w:rFonts w:cstheme="minorHAnsi"/>
          <w:lang w:eastAsia="ja-JP"/>
        </w:rPr>
        <w:t>partment</w:t>
      </w:r>
      <w:r w:rsidR="00283B02">
        <w:rPr>
          <w:rFonts w:cstheme="minorHAnsi"/>
          <w:lang w:eastAsia="ja-JP"/>
        </w:rPr>
        <w:t>’s cost recovery modelling and processes are complex and varied due to the breadth of regulated entities and risk</w:t>
      </w:r>
      <w:r w:rsidR="006F3929">
        <w:rPr>
          <w:rFonts w:cstheme="minorHAnsi"/>
          <w:lang w:eastAsia="ja-JP"/>
        </w:rPr>
        <w:t>s</w:t>
      </w:r>
      <w:r w:rsidR="00283B02">
        <w:rPr>
          <w:rFonts w:cstheme="minorHAnsi"/>
          <w:lang w:eastAsia="ja-JP"/>
        </w:rPr>
        <w:t xml:space="preserve"> that we manage. Accordingly, our cost recovery model is determined </w:t>
      </w:r>
      <w:r w:rsidR="00C10B18">
        <w:rPr>
          <w:rFonts w:cstheme="minorHAnsi"/>
          <w:lang w:eastAsia="ja-JP"/>
        </w:rPr>
        <w:t>considering</w:t>
      </w:r>
      <w:r w:rsidR="00283B02">
        <w:rPr>
          <w:rFonts w:cstheme="minorHAnsi"/>
          <w:lang w:eastAsia="ja-JP"/>
        </w:rPr>
        <w:t xml:space="preserve"> the complexity, materiality and sensitivity of the environment in which we operate and the regulation we provide.</w:t>
      </w:r>
    </w:p>
    <w:p w14:paraId="137C8E6B" w14:textId="3CB8A0FA" w:rsidR="0069502D" w:rsidRPr="00401C08" w:rsidRDefault="00283B02" w:rsidP="009920DB">
      <w:pPr>
        <w:rPr>
          <w:rFonts w:cstheme="minorHAnsi"/>
          <w:lang w:eastAsia="ja-JP"/>
        </w:rPr>
      </w:pPr>
      <w:r>
        <w:rPr>
          <w:rFonts w:cstheme="minorHAnsi"/>
          <w:lang w:eastAsia="ja-JP"/>
        </w:rPr>
        <w:t xml:space="preserve">The department’s </w:t>
      </w:r>
      <w:r w:rsidRPr="0007617D">
        <w:t>r</w:t>
      </w:r>
      <w:r w:rsidR="009920DB" w:rsidRPr="0007617D">
        <w:t>egulatory activit</w:t>
      </w:r>
      <w:r w:rsidRPr="0007617D">
        <w:t xml:space="preserve">ies and </w:t>
      </w:r>
      <w:r w:rsidR="005B0C22" w:rsidRPr="0007617D">
        <w:t xml:space="preserve">outputs </w:t>
      </w:r>
      <w:r w:rsidR="009D29DF" w:rsidRPr="0007617D">
        <w:t xml:space="preserve">are </w:t>
      </w:r>
      <w:r w:rsidRPr="0007617D">
        <w:t>grouped into 4 categories</w:t>
      </w:r>
      <w:r w:rsidR="009920DB" w:rsidRPr="0007617D">
        <w:t>:</w:t>
      </w:r>
    </w:p>
    <w:p w14:paraId="76F7DDD5" w14:textId="77777777" w:rsidR="009920DB" w:rsidRPr="00401C08" w:rsidRDefault="009920DB" w:rsidP="009B2AC9">
      <w:pPr>
        <w:pStyle w:val="ListNumber"/>
      </w:pPr>
      <w:r w:rsidRPr="00401C08">
        <w:rPr>
          <w:b/>
          <w:bCs/>
        </w:rPr>
        <w:t>Program management and administration</w:t>
      </w:r>
      <w:r w:rsidRPr="00401C08">
        <w:t xml:space="preserve"> – administrative activities that support us to deliver our biosecurity and imported foods regulatory activities.</w:t>
      </w:r>
    </w:p>
    <w:p w14:paraId="1E0619E9" w14:textId="77777777" w:rsidR="009920DB" w:rsidRPr="00401C08" w:rsidRDefault="009920DB" w:rsidP="009B2AC9">
      <w:pPr>
        <w:pStyle w:val="ListNumber"/>
      </w:pPr>
      <w:r w:rsidRPr="00401C08">
        <w:rPr>
          <w:b/>
          <w:bCs/>
        </w:rPr>
        <w:t>Assurance</w:t>
      </w:r>
      <w:r w:rsidRPr="00401C08">
        <w:t xml:space="preserve"> – activities that mitigate risks to collective user groups by assessing departmental controls of systems and processes to ensure they operate in accordance with their intended design.</w:t>
      </w:r>
    </w:p>
    <w:p w14:paraId="6B1CB7EA" w14:textId="77777777" w:rsidR="009920DB" w:rsidRPr="00401C08" w:rsidRDefault="009920DB" w:rsidP="009B2AC9">
      <w:pPr>
        <w:pStyle w:val="ListNumber"/>
      </w:pPr>
      <w:r w:rsidRPr="00401C08">
        <w:rPr>
          <w:b/>
          <w:bCs/>
        </w:rPr>
        <w:t>Incident management</w:t>
      </w:r>
      <w:r w:rsidRPr="00401C08">
        <w:t xml:space="preserve"> – activities that respond to incidents concerning alleged breaches of Australian regulation or import conditions.</w:t>
      </w:r>
    </w:p>
    <w:p w14:paraId="47C875A8" w14:textId="159B70D9" w:rsidR="009920DB" w:rsidRDefault="009920DB" w:rsidP="009B2AC9">
      <w:pPr>
        <w:pStyle w:val="ListNumber"/>
      </w:pPr>
      <w:r w:rsidRPr="00401C08">
        <w:rPr>
          <w:b/>
          <w:bCs/>
        </w:rPr>
        <w:t>Intervention</w:t>
      </w:r>
      <w:r w:rsidRPr="00401C08">
        <w:t xml:space="preserve"> – inspection and assessment activities provided directly to </w:t>
      </w:r>
      <w:r w:rsidR="002C6E38" w:rsidRPr="009920DB">
        <w:t>a</w:t>
      </w:r>
      <w:r w:rsidR="002C6E38">
        <w:t xml:space="preserve"> regulated entity,</w:t>
      </w:r>
      <w:r w:rsidR="002C6E38" w:rsidRPr="009920DB">
        <w:t xml:space="preserve"> to meet import requirements</w:t>
      </w:r>
      <w:r w:rsidRPr="00401C08">
        <w:t>.</w:t>
      </w:r>
    </w:p>
    <w:p w14:paraId="3E13B37E" w14:textId="4D5C219B" w:rsidR="00283B02" w:rsidRPr="00132718" w:rsidRDefault="00283B02" w:rsidP="001B5879">
      <w:pPr>
        <w:pStyle w:val="ListBullet"/>
        <w:numPr>
          <w:ilvl w:val="0"/>
          <w:numId w:val="0"/>
        </w:numPr>
      </w:pPr>
      <w:r>
        <w:rPr>
          <w:rFonts w:cstheme="minorHAnsi"/>
          <w:lang w:eastAsia="ja-JP"/>
        </w:rPr>
        <w:t>Detail</w:t>
      </w:r>
      <w:r w:rsidR="002D7345">
        <w:rPr>
          <w:rFonts w:cstheme="minorHAnsi"/>
          <w:lang w:eastAsia="ja-JP"/>
        </w:rPr>
        <w:t>s</w:t>
      </w:r>
      <w:r>
        <w:rPr>
          <w:rFonts w:cstheme="minorHAnsi"/>
          <w:lang w:eastAsia="ja-JP"/>
        </w:rPr>
        <w:t xml:space="preserve"> of the activities and outputs used in our cost recovery model are </w:t>
      </w:r>
      <w:r w:rsidRPr="00401C08">
        <w:rPr>
          <w:rFonts w:cstheme="minorHAnsi"/>
          <w:lang w:eastAsia="ja-JP"/>
        </w:rPr>
        <w:t xml:space="preserve">described in </w:t>
      </w:r>
      <w:hyperlink w:anchor="_Appendix_B:_Description" w:history="1">
        <w:r w:rsidRPr="00401C08">
          <w:rPr>
            <w:rStyle w:val="Hyperlink"/>
            <w:rFonts w:cstheme="minorHAnsi"/>
            <w:lang w:eastAsia="ja-JP"/>
          </w:rPr>
          <w:t>Appendix B</w:t>
        </w:r>
      </w:hyperlink>
      <w:r>
        <w:t>.</w:t>
      </w:r>
    </w:p>
    <w:p w14:paraId="20C040E0" w14:textId="1B674D7B" w:rsidR="00283B02" w:rsidRPr="00472697" w:rsidRDefault="00283B02" w:rsidP="001B5879">
      <w:pPr>
        <w:pStyle w:val="ListBullet"/>
        <w:numPr>
          <w:ilvl w:val="0"/>
          <w:numId w:val="0"/>
        </w:numPr>
        <w:rPr>
          <w:lang w:eastAsia="ja-JP"/>
        </w:rPr>
      </w:pPr>
      <w:r w:rsidRPr="00472697">
        <w:rPr>
          <w:lang w:eastAsia="ja-JP"/>
        </w:rPr>
        <w:t xml:space="preserve">Our activities and outputs are also grouped based on whether they relate </w:t>
      </w:r>
      <w:r w:rsidR="002D7345" w:rsidRPr="00472697">
        <w:rPr>
          <w:lang w:eastAsia="ja-JP"/>
        </w:rPr>
        <w:t xml:space="preserve">to a fee-for-service activity or </w:t>
      </w:r>
      <w:r w:rsidRPr="00472697">
        <w:rPr>
          <w:lang w:eastAsia="ja-JP"/>
        </w:rPr>
        <w:t xml:space="preserve">to a </w:t>
      </w:r>
      <w:r w:rsidR="002D7345" w:rsidRPr="00472697">
        <w:rPr>
          <w:lang w:eastAsia="ja-JP"/>
        </w:rPr>
        <w:t>general charge for a biosecurity or imported food matter</w:t>
      </w:r>
      <w:r w:rsidR="00780BEB">
        <w:rPr>
          <w:lang w:eastAsia="ja-JP"/>
        </w:rPr>
        <w:t>:</w:t>
      </w:r>
    </w:p>
    <w:p w14:paraId="0248C07A" w14:textId="088221E3" w:rsidR="00702ACF" w:rsidRPr="00CE3101" w:rsidRDefault="001B5879" w:rsidP="00CE3101">
      <w:pPr>
        <w:pStyle w:val="ListBullet"/>
      </w:pPr>
      <w:r w:rsidRPr="00CE3101">
        <w:rPr>
          <w:rStyle w:val="Strong"/>
          <w:b w:val="0"/>
          <w:bCs w:val="0"/>
        </w:rPr>
        <w:t>Fees</w:t>
      </w:r>
      <w:r w:rsidRPr="00CE3101">
        <w:t xml:space="preserve"> are used to recover the costs of direct intervention and certification activities undertaken for regulated entities.</w:t>
      </w:r>
    </w:p>
    <w:p w14:paraId="669E2ACE" w14:textId="30E31758" w:rsidR="001B5879" w:rsidRPr="00CE3101" w:rsidRDefault="001B5879" w:rsidP="00CE3101">
      <w:pPr>
        <w:pStyle w:val="ListBullet"/>
      </w:pPr>
      <w:r w:rsidRPr="00CE3101">
        <w:rPr>
          <w:rStyle w:val="Strong"/>
          <w:b w:val="0"/>
          <w:bCs w:val="0"/>
        </w:rPr>
        <w:t>Charges</w:t>
      </w:r>
      <w:r w:rsidRPr="00CE3101">
        <w:t xml:space="preserve"> are imposed when activities are provided to a group of </w:t>
      </w:r>
      <w:r w:rsidR="002C6E38" w:rsidRPr="00CE3101">
        <w:t xml:space="preserve">regulated </w:t>
      </w:r>
      <w:r w:rsidR="00CE3101" w:rsidRPr="00CE3101">
        <w:t>entities</w:t>
      </w:r>
      <w:r w:rsidR="00CE3101">
        <w:t xml:space="preserve"> and</w:t>
      </w:r>
      <w:r w:rsidR="00256115">
        <w:t xml:space="preserve"> used </w:t>
      </w:r>
      <w:r w:rsidR="00CE3101">
        <w:t xml:space="preserve">to </w:t>
      </w:r>
      <w:r w:rsidR="00CE3101" w:rsidRPr="00CE3101">
        <w:t>recover</w:t>
      </w:r>
      <w:r w:rsidRPr="00CE3101">
        <w:t xml:space="preserve"> costs </w:t>
      </w:r>
      <w:r w:rsidR="008A75F4">
        <w:t>assoc</w:t>
      </w:r>
      <w:r w:rsidR="00CC266B">
        <w:t xml:space="preserve">iated with funding the </w:t>
      </w:r>
      <w:r w:rsidRPr="00CE3101">
        <w:t xml:space="preserve">overall biosecurity </w:t>
      </w:r>
      <w:r w:rsidR="001C12FB">
        <w:t xml:space="preserve">cost </w:t>
      </w:r>
      <w:r w:rsidR="00F3714D">
        <w:t>recovery arrangement</w:t>
      </w:r>
      <w:r w:rsidR="00C91FB4">
        <w:t>.</w:t>
      </w:r>
    </w:p>
    <w:p w14:paraId="62DB3E51" w14:textId="77777777" w:rsidR="001B5879" w:rsidRPr="001B5879" w:rsidRDefault="001B5879" w:rsidP="00041A02">
      <w:pPr>
        <w:pStyle w:val="Heading4"/>
      </w:pPr>
      <w:r w:rsidRPr="001B5879">
        <w:t>Fees</w:t>
      </w:r>
    </w:p>
    <w:p w14:paraId="5CDD0F0E" w14:textId="1BB3E5B5" w:rsidR="001B5879" w:rsidRPr="00472697" w:rsidRDefault="001B5879" w:rsidP="001B5879">
      <w:r w:rsidRPr="00472697">
        <w:t>A fee is a charge for good</w:t>
      </w:r>
      <w:r w:rsidR="00780BEB">
        <w:t>s</w:t>
      </w:r>
      <w:r w:rsidRPr="00472697">
        <w:t>, service</w:t>
      </w:r>
      <w:r w:rsidR="00780BEB">
        <w:t>s</w:t>
      </w:r>
      <w:r w:rsidRPr="00472697">
        <w:t xml:space="preserve"> or regulation provided by the department to a specific person or organisation. The price of a fee reflects the efficient unit cost of a specific good or service where the revenue collected equals the expense incurred by the department.</w:t>
      </w:r>
    </w:p>
    <w:p w14:paraId="27976D58" w14:textId="5F8005BA" w:rsidR="001B5879" w:rsidRPr="00472697" w:rsidRDefault="00B23108" w:rsidP="001B5879">
      <w:r>
        <w:t xml:space="preserve">Examples include </w:t>
      </w:r>
      <w:r w:rsidR="001B5879" w:rsidRPr="00472697">
        <w:t xml:space="preserve">fee-for-service cargo clearance activities provided directly to a specific </w:t>
      </w:r>
      <w:r w:rsidR="002C6E38">
        <w:t>regulated entity</w:t>
      </w:r>
      <w:r w:rsidR="001B5879" w:rsidRPr="00472697">
        <w:t xml:space="preserve"> or husbandry services for specific plants or animals housed at the post entry quarantine (PEQ) facility.</w:t>
      </w:r>
    </w:p>
    <w:p w14:paraId="774A99F7" w14:textId="40FCB403" w:rsidR="001B5879" w:rsidRDefault="001B5879" w:rsidP="001B5879">
      <w:r w:rsidRPr="00472697">
        <w:t>Fee-for-service activities are charged in 15</w:t>
      </w:r>
      <w:r w:rsidR="00780BEB">
        <w:t>-</w:t>
      </w:r>
      <w:r w:rsidRPr="00472697">
        <w:t xml:space="preserve">minute units (or part thereof) in most instances, which represents the most efficient </w:t>
      </w:r>
      <w:r w:rsidR="00C06EA3">
        <w:t xml:space="preserve">way to </w:t>
      </w:r>
      <w:r w:rsidR="00B80DA6">
        <w:t>record</w:t>
      </w:r>
      <w:r w:rsidRPr="00472697">
        <w:t xml:space="preserve"> the time taken to perform regulatory activities. Some out-of-hours activities may attract an initial 30</w:t>
      </w:r>
      <w:r w:rsidR="00780BEB">
        <w:t>-</w:t>
      </w:r>
      <w:r w:rsidRPr="00472697">
        <w:t>minute charge in line with pay conditions set for departmental staff.</w:t>
      </w:r>
    </w:p>
    <w:p w14:paraId="2D467E57" w14:textId="572685F6" w:rsidR="00E966A7" w:rsidRDefault="00E966A7" w:rsidP="00E966A7">
      <w:pPr>
        <w:spacing w:before="120"/>
      </w:pPr>
      <w:r>
        <w:lastRenderedPageBreak/>
        <w:fldChar w:fldCharType="begin"/>
      </w:r>
      <w:r>
        <w:instrText xml:space="preserve"> REF _Ref197943299 \h </w:instrText>
      </w:r>
      <w:r>
        <w:fldChar w:fldCharType="separate"/>
      </w:r>
      <w:r>
        <w:fldChar w:fldCharType="end"/>
      </w:r>
      <w:r w:rsidR="0071457B">
        <w:fldChar w:fldCharType="begin"/>
      </w:r>
      <w:r w:rsidR="0071457B">
        <w:instrText xml:space="preserve"> REF _Ref200534505 \h </w:instrText>
      </w:r>
      <w:r w:rsidR="0071457B">
        <w:fldChar w:fldCharType="separate"/>
      </w:r>
      <w:r w:rsidR="0071457B">
        <w:t xml:space="preserve">Figure </w:t>
      </w:r>
      <w:r w:rsidR="0071457B">
        <w:rPr>
          <w:noProof/>
        </w:rPr>
        <w:t>1</w:t>
      </w:r>
      <w:r w:rsidR="0071457B">
        <w:fldChar w:fldCharType="end"/>
      </w:r>
      <w:r w:rsidR="00526664">
        <w:t xml:space="preserve"> </w:t>
      </w:r>
      <w:r w:rsidR="00BA6ADD">
        <w:t>shows</w:t>
      </w:r>
      <w:r w:rsidRPr="00D97FC3">
        <w:t xml:space="preserve"> </w:t>
      </w:r>
      <w:r>
        <w:t xml:space="preserve">the connection between the activity of intervention and output </w:t>
      </w:r>
      <w:r w:rsidRPr="00D97FC3">
        <w:t>of</w:t>
      </w:r>
      <w:r>
        <w:t xml:space="preserve"> inspection for an imported good and the fees that would apply through this process.</w:t>
      </w:r>
    </w:p>
    <w:p w14:paraId="5F54A52C" w14:textId="01A8FC58" w:rsidR="0016754C" w:rsidRDefault="0016754C" w:rsidP="0016754C">
      <w:pPr>
        <w:pStyle w:val="Caption"/>
      </w:pPr>
      <w:bookmarkStart w:id="87" w:name="_Ref200534505"/>
      <w:bookmarkStart w:id="88" w:name="_Toc200534255"/>
      <w:r>
        <w:t xml:space="preserve">Figure </w:t>
      </w:r>
      <w:r>
        <w:fldChar w:fldCharType="begin"/>
      </w:r>
      <w:r>
        <w:instrText xml:space="preserve"> SEQ Figure \* ARABIC </w:instrText>
      </w:r>
      <w:r>
        <w:fldChar w:fldCharType="separate"/>
      </w:r>
      <w:r w:rsidR="006B4BFC">
        <w:rPr>
          <w:noProof/>
        </w:rPr>
        <w:t>1</w:t>
      </w:r>
      <w:r>
        <w:fldChar w:fldCharType="end"/>
      </w:r>
      <w:bookmarkEnd w:id="87"/>
      <w:r>
        <w:t xml:space="preserve"> </w:t>
      </w:r>
      <w:r w:rsidRPr="00161555">
        <w:t xml:space="preserve">Example of how a regulated entity would </w:t>
      </w:r>
      <w:proofErr w:type="gramStart"/>
      <w:r w:rsidRPr="00161555">
        <w:t>be charged</w:t>
      </w:r>
      <w:proofErr w:type="gramEnd"/>
      <w:r w:rsidRPr="00161555">
        <w:t xml:space="preserve"> for an intervention activity</w:t>
      </w:r>
      <w:bookmarkEnd w:id="88"/>
    </w:p>
    <w:p w14:paraId="4229BFDB" w14:textId="77777777" w:rsidR="000E6E1B" w:rsidRDefault="00E966A7" w:rsidP="001D3FAB">
      <w:r w:rsidRPr="00E966A7">
        <w:rPr>
          <w:noProof/>
        </w:rPr>
        <w:drawing>
          <wp:inline distT="0" distB="0" distL="0" distR="0" wp14:anchorId="6CF8D9CE" wp14:editId="5C5E2C5D">
            <wp:extent cx="5525770" cy="1911350"/>
            <wp:effectExtent l="0" t="0" r="0" b="0"/>
            <wp:docPr id="638331622" name="Picture 1" descr="Figure shows an example of costs associated with an activity subject to inspection fees.  The activity is intervention and the output is inspection. There are 3 processes - &#10;1. When the consignment arrives and the pre-inspection occurs in office &#10;and an in office fee of $40 for one quarter hour unit applies. &#10;2. The biosecurity officer undertakes a field inspection which is done out of office and is charged at the rate of $67 for each quarter hour this takes 30 minutes = 2 units of $67 for the inspection.&#10;3. To release the goods from biosecurity control post inspection activity occurs. This is out of office activity and is charged at a rate of $67 per quarter hour = 1 unit x $67.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8331622" name="Picture 1" descr="Figure shows an example of costs associated with an activity subject to inspection fees.  The activity is intervention and the output is inspection. There are 3 processes - &#10;1. When the consignment arrives and the pre-inspection occurs in office &#10;and an in office fee of $40 for one quarter hour unit applies. &#10;2. The biosecurity officer undertakes a field inspection which is done out of office and is charged at the rate of $67 for each quarter hour this takes 30 minutes = 2 units of $67 for the inspection.&#10;3. To release the goods from biosecurity control post inspection activity occurs. This is out of office activity and is charged at a rate of $67 per quarter hour = 1 unit x $67. "/>
                    <pic:cNvPicPr/>
                  </pic:nvPicPr>
                  <pic:blipFill>
                    <a:blip r:embed="rId39">
                      <a:extLst>
                        <a:ext uri="{28A0092B-C50C-407E-A947-70E740481C1C}">
                          <a14:useLocalDpi xmlns:a14="http://schemas.microsoft.com/office/drawing/2010/main" val="0"/>
                        </a:ext>
                      </a:extLst>
                    </a:blip>
                    <a:stretch>
                      <a:fillRect/>
                    </a:stretch>
                  </pic:blipFill>
                  <pic:spPr>
                    <a:xfrm>
                      <a:off x="0" y="0"/>
                      <a:ext cx="5525770" cy="1911350"/>
                    </a:xfrm>
                    <a:prstGeom prst="rect">
                      <a:avLst/>
                    </a:prstGeom>
                  </pic:spPr>
                </pic:pic>
              </a:graphicData>
            </a:graphic>
          </wp:inline>
        </w:drawing>
      </w:r>
    </w:p>
    <w:p w14:paraId="3A044DD5" w14:textId="3916FE62" w:rsidR="001B5879" w:rsidRPr="00E966A7" w:rsidRDefault="00526664" w:rsidP="00526664">
      <w:pPr>
        <w:pStyle w:val="Heading4"/>
      </w:pPr>
      <w:r>
        <w:t>C</w:t>
      </w:r>
      <w:r w:rsidR="001B5879" w:rsidRPr="00E966A7">
        <w:t>harges</w:t>
      </w:r>
    </w:p>
    <w:p w14:paraId="04018023" w14:textId="2099E67B" w:rsidR="001B5879" w:rsidRPr="00472697" w:rsidRDefault="001B5879" w:rsidP="001B5879">
      <w:r w:rsidRPr="00472697">
        <w:t xml:space="preserve">A cost recovery </w:t>
      </w:r>
      <w:r w:rsidR="002D7345" w:rsidRPr="00472697">
        <w:t xml:space="preserve">charge or </w:t>
      </w:r>
      <w:r w:rsidRPr="00472697">
        <w:t>levy is a charge imposed when good</w:t>
      </w:r>
      <w:r w:rsidR="00BA6ADD">
        <w:t>s</w:t>
      </w:r>
      <w:r w:rsidRPr="00472697">
        <w:t>, service</w:t>
      </w:r>
      <w:r w:rsidR="00BA6ADD">
        <w:t>s</w:t>
      </w:r>
      <w:r w:rsidRPr="00472697">
        <w:t xml:space="preserve"> or regulation</w:t>
      </w:r>
      <w:r w:rsidR="00BA6ADD">
        <w:t>s</w:t>
      </w:r>
      <w:r w:rsidRPr="00472697">
        <w:t xml:space="preserve"> </w:t>
      </w:r>
      <w:proofErr w:type="gramStart"/>
      <w:r w:rsidR="00BA6ADD">
        <w:t>are</w:t>
      </w:r>
      <w:r w:rsidRPr="00472697">
        <w:t xml:space="preserve"> provided</w:t>
      </w:r>
      <w:proofErr w:type="gramEnd"/>
      <w:r w:rsidR="000E6E1B">
        <w:t xml:space="preserve"> </w:t>
      </w:r>
      <w:r w:rsidRPr="00472697">
        <w:t xml:space="preserve">to a group of </w:t>
      </w:r>
      <w:r w:rsidR="002C6E38">
        <w:t>regulated entities</w:t>
      </w:r>
      <w:r w:rsidRPr="00472697">
        <w:t xml:space="preserve"> rather than to a specific </w:t>
      </w:r>
      <w:r w:rsidR="002C6E38">
        <w:t>regulated entity</w:t>
      </w:r>
      <w:r w:rsidRPr="00472697">
        <w:t xml:space="preserve">. A cost recovery levy is a tax and </w:t>
      </w:r>
      <w:proofErr w:type="gramStart"/>
      <w:r w:rsidRPr="00472697">
        <w:t>is imposed</w:t>
      </w:r>
      <w:proofErr w:type="gramEnd"/>
      <w:r w:rsidRPr="00472697">
        <w:t xml:space="preserve"> via a separate taxation Act. It differs from general taxation as it </w:t>
      </w:r>
      <w:proofErr w:type="gramStart"/>
      <w:r w:rsidRPr="00472697">
        <w:t>is earmarked</w:t>
      </w:r>
      <w:proofErr w:type="gramEnd"/>
      <w:r w:rsidRPr="00472697">
        <w:t xml:space="preserve"> to fund activities provided to the group that pays the </w:t>
      </w:r>
      <w:r w:rsidR="00701729">
        <w:t>charge</w:t>
      </w:r>
      <w:r w:rsidRPr="00472697">
        <w:t>.</w:t>
      </w:r>
    </w:p>
    <w:p w14:paraId="489D654D" w14:textId="14B34315" w:rsidR="001B5879" w:rsidRPr="00472697" w:rsidRDefault="001B5879" w:rsidP="001B5879">
      <w:r w:rsidRPr="00472697">
        <w:t>The on-arrival vessel charge is an example of a charge (levy) set to fund regulatory activity</w:t>
      </w:r>
      <w:r w:rsidR="00BA6ADD">
        <w:t>,</w:t>
      </w:r>
      <w:r w:rsidRPr="00472697">
        <w:t xml:space="preserve"> including risk profiling, surveillance and monitoring compliance associated with all vessels entering Australian territory. This charge does not fund direct intervention such as </w:t>
      </w:r>
      <w:r w:rsidR="009B2AC9" w:rsidRPr="000E6E1B">
        <w:t>inspection,</w:t>
      </w:r>
      <w:r w:rsidRPr="000E6E1B">
        <w:t xml:space="preserve"> but </w:t>
      </w:r>
      <w:r w:rsidR="000E6E1B" w:rsidRPr="009B2AC9">
        <w:t>it</w:t>
      </w:r>
      <w:r w:rsidRPr="00472697">
        <w:t xml:space="preserve"> funds the costs of the overall regulation specific to vessels, such as policy development, risk assessments and costs to maintain the Maritime and Aircraft Reporting System.</w:t>
      </w:r>
    </w:p>
    <w:bookmarkStart w:id="89" w:name="_Toc168489253"/>
    <w:bookmarkStart w:id="90" w:name="_Toc168489550"/>
    <w:bookmarkStart w:id="91" w:name="_Toc168645248"/>
    <w:p w14:paraId="087EBB7F" w14:textId="18C421D4" w:rsidR="00764252" w:rsidRDefault="0071457B" w:rsidP="00764252">
      <w:r>
        <w:fldChar w:fldCharType="begin"/>
      </w:r>
      <w:r>
        <w:instrText xml:space="preserve"> REF _Ref200534514 \h </w:instrText>
      </w:r>
      <w:r>
        <w:fldChar w:fldCharType="separate"/>
      </w:r>
      <w:r>
        <w:t xml:space="preserve">Figure </w:t>
      </w:r>
      <w:r>
        <w:rPr>
          <w:noProof/>
        </w:rPr>
        <w:t>2</w:t>
      </w:r>
      <w:r>
        <w:fldChar w:fldCharType="end"/>
      </w:r>
      <w:r w:rsidR="00764252">
        <w:fldChar w:fldCharType="begin"/>
      </w:r>
      <w:r w:rsidR="00764252">
        <w:instrText xml:space="preserve"> REF _Ref197943381 \h </w:instrText>
      </w:r>
      <w:r w:rsidR="00764252">
        <w:fldChar w:fldCharType="end"/>
      </w:r>
      <w:r w:rsidR="00764252">
        <w:t xml:space="preserve"> </w:t>
      </w:r>
      <w:r w:rsidR="00764252" w:rsidRPr="00D97FC3">
        <w:t>shows how we attribute cost recovered activities to either charges (levies)</w:t>
      </w:r>
      <w:r w:rsidR="00764252">
        <w:t xml:space="preserve"> or fees</w:t>
      </w:r>
      <w:r w:rsidR="00764252" w:rsidRPr="00D97FC3">
        <w:t>.</w:t>
      </w:r>
    </w:p>
    <w:p w14:paraId="00EBA020" w14:textId="57523DCB" w:rsidR="00764252" w:rsidRPr="0029167F" w:rsidRDefault="00764252" w:rsidP="006B4BFC">
      <w:pPr>
        <w:pStyle w:val="Caption"/>
        <w:rPr>
          <w:rFonts w:asciiTheme="minorHAnsi" w:hAnsiTheme="minorHAnsi" w:cstheme="minorHAnsi"/>
        </w:rPr>
      </w:pPr>
      <w:bookmarkStart w:id="92" w:name="_Ref197943381"/>
      <w:bookmarkStart w:id="93" w:name="_Toc197962131"/>
      <w:bookmarkStart w:id="94" w:name="_Toc199955778"/>
      <w:bookmarkStart w:id="95" w:name="_Toc200518282"/>
      <w:bookmarkStart w:id="96" w:name="_Toc200520099"/>
      <w:bookmarkStart w:id="97" w:name="_Toc200534000"/>
      <w:bookmarkStart w:id="98" w:name="_Ref200534514"/>
      <w:bookmarkStart w:id="99" w:name="_Toc200534256"/>
      <w:r>
        <w:rPr>
          <w:noProof/>
        </w:rPr>
        <w:lastRenderedPageBreak/>
        <w:drawing>
          <wp:anchor distT="0" distB="0" distL="114300" distR="114300" simplePos="0" relativeHeight="251675648" behindDoc="0" locked="0" layoutInCell="1" allowOverlap="1" wp14:anchorId="6A6AACCF" wp14:editId="50368E45">
            <wp:simplePos x="0" y="0"/>
            <wp:positionH relativeFrom="margin">
              <wp:posOffset>-309880</wp:posOffset>
            </wp:positionH>
            <wp:positionV relativeFrom="paragraph">
              <wp:posOffset>282575</wp:posOffset>
            </wp:positionV>
            <wp:extent cx="6299835" cy="4069715"/>
            <wp:effectExtent l="0" t="0" r="5715" b="6985"/>
            <wp:wrapSquare wrapText="bothSides"/>
            <wp:docPr id="1047324139" name="Picture 2" descr="Figure shows how we attribute cost recovered activities to either charges or fees. Charges apply to:&#10;program and administration activities such as business systems administration, stakeholder engagement, developing, maintaining, and communicating our policy and instructional material and business improvements. &#10;Assurance activities such as risk management, verification, and surveillance and &#10;Incident management which covers incident management, investigative support, and corrective actions. &#10;Fees apply to assessment, issuing approvals, treatments, diagnostics, husbandry and aud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7324139" name="Picture 2" descr="Figure shows how we attribute cost recovered activities to either charges or fees. Charges apply to:&#10;program and administration activities such as business systems administration, stakeholder engagement, developing, maintaining, and communicating our policy and instructional material and business improvements. &#10;Assurance activities such as risk management, verification, and surveillance and &#10;Incident management which covers incident management, investigative support, and corrective actions. &#10;Fees apply to assessment, issuing approvals, treatments, diagnostics, husbandry and audit."/>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6299835" cy="4069715"/>
                    </a:xfrm>
                    <a:prstGeom prst="rect">
                      <a:avLst/>
                    </a:prstGeom>
                    <a:noFill/>
                  </pic:spPr>
                </pic:pic>
              </a:graphicData>
            </a:graphic>
            <wp14:sizeRelH relativeFrom="margin">
              <wp14:pctWidth>0</wp14:pctWidth>
            </wp14:sizeRelH>
            <wp14:sizeRelV relativeFrom="margin">
              <wp14:pctHeight>0</wp14:pctHeight>
            </wp14:sizeRelV>
          </wp:anchor>
        </w:drawing>
      </w:r>
      <w:bookmarkEnd w:id="92"/>
      <w:bookmarkEnd w:id="93"/>
      <w:bookmarkEnd w:id="94"/>
      <w:bookmarkEnd w:id="95"/>
      <w:bookmarkEnd w:id="96"/>
      <w:bookmarkEnd w:id="97"/>
      <w:r w:rsidR="006B4BFC">
        <w:t xml:space="preserve">Figure </w:t>
      </w:r>
      <w:r w:rsidR="006B4BFC">
        <w:fldChar w:fldCharType="begin"/>
      </w:r>
      <w:r w:rsidR="006B4BFC">
        <w:instrText xml:space="preserve"> SEQ Figure \* ARABIC </w:instrText>
      </w:r>
      <w:r w:rsidR="006B4BFC">
        <w:fldChar w:fldCharType="separate"/>
      </w:r>
      <w:r w:rsidR="006B4BFC">
        <w:rPr>
          <w:noProof/>
        </w:rPr>
        <w:t>2</w:t>
      </w:r>
      <w:r w:rsidR="006B4BFC">
        <w:fldChar w:fldCharType="end"/>
      </w:r>
      <w:bookmarkEnd w:id="98"/>
      <w:r w:rsidR="006B4BFC">
        <w:t xml:space="preserve"> </w:t>
      </w:r>
      <w:r w:rsidR="006B4BFC" w:rsidRPr="003279CA">
        <w:t>Charge and fee related activities and associated outputs</w:t>
      </w:r>
      <w:bookmarkEnd w:id="99"/>
    </w:p>
    <w:p w14:paraId="70568C5D" w14:textId="12037B23" w:rsidR="009920DB" w:rsidRPr="005F277E" w:rsidRDefault="005F277E" w:rsidP="00E40A71">
      <w:pPr>
        <w:pStyle w:val="Heading3"/>
        <w:spacing w:before="480"/>
        <w:rPr>
          <w:strike/>
          <w:sz w:val="36"/>
          <w:szCs w:val="36"/>
          <w:lang w:eastAsia="ja-JP"/>
        </w:rPr>
      </w:pPr>
      <w:bookmarkStart w:id="100" w:name="_Toc200115593"/>
      <w:r>
        <w:rPr>
          <w:sz w:val="36"/>
          <w:szCs w:val="36"/>
          <w:lang w:eastAsia="ja-JP"/>
        </w:rPr>
        <w:t>Cost of the regulatory activity</w:t>
      </w:r>
      <w:bookmarkEnd w:id="89"/>
      <w:bookmarkEnd w:id="90"/>
      <w:bookmarkEnd w:id="91"/>
      <w:bookmarkEnd w:id="100"/>
    </w:p>
    <w:p w14:paraId="08D3AD86" w14:textId="410676ED" w:rsidR="002E6FA0" w:rsidRDefault="002E6FA0" w:rsidP="00955B35">
      <w:pPr>
        <w:pStyle w:val="ListBullet"/>
        <w:numPr>
          <w:ilvl w:val="0"/>
          <w:numId w:val="0"/>
        </w:numPr>
        <w:rPr>
          <w:rFonts w:cstheme="minorHAnsi"/>
          <w:strike/>
          <w:lang w:eastAsia="ja-JP"/>
        </w:rPr>
      </w:pPr>
      <w:r w:rsidRPr="001B5879">
        <w:rPr>
          <w:rFonts w:cstheme="minorHAnsi"/>
          <w:lang w:eastAsia="ja-JP"/>
        </w:rPr>
        <w:t xml:space="preserve">The </w:t>
      </w:r>
      <w:hyperlink r:id="rId41" w:anchor="australian-government-charging-framework" w:history="1">
        <w:r w:rsidRPr="001B5879">
          <w:rPr>
            <w:rFonts w:cstheme="minorHAnsi"/>
            <w:color w:val="165788"/>
            <w:u w:val="single"/>
            <w:lang w:eastAsia="ja-JP"/>
          </w:rPr>
          <w:t>Australian Government Charging Framework</w:t>
        </w:r>
      </w:hyperlink>
      <w:r w:rsidRPr="001B5879">
        <w:rPr>
          <w:rFonts w:cstheme="minorHAnsi"/>
          <w:lang w:eastAsia="ja-JP"/>
        </w:rPr>
        <w:t xml:space="preserve"> sets the rules and requirements on how a regulator determines costs, sets charges and how it will charge for regulatory activities.</w:t>
      </w:r>
      <w:r w:rsidR="00955B35">
        <w:rPr>
          <w:rFonts w:cstheme="minorHAnsi"/>
          <w:lang w:eastAsia="ja-JP"/>
        </w:rPr>
        <w:t xml:space="preserve"> The department applies these rules and requirements </w:t>
      </w:r>
      <w:r w:rsidR="00674BC2">
        <w:rPr>
          <w:rFonts w:cstheme="minorHAnsi"/>
          <w:lang w:eastAsia="ja-JP"/>
        </w:rPr>
        <w:t xml:space="preserve">within the </w:t>
      </w:r>
      <w:r w:rsidR="000B70D7">
        <w:rPr>
          <w:rFonts w:cstheme="minorHAnsi"/>
          <w:lang w:eastAsia="ja-JP"/>
        </w:rPr>
        <w:t xml:space="preserve">context of the </w:t>
      </w:r>
      <w:r w:rsidR="00D807E9">
        <w:rPr>
          <w:rFonts w:cstheme="minorHAnsi"/>
          <w:lang w:eastAsia="ja-JP"/>
        </w:rPr>
        <w:t xml:space="preserve">arrangement </w:t>
      </w:r>
      <w:r w:rsidR="00955B35">
        <w:rPr>
          <w:rFonts w:cstheme="minorHAnsi"/>
          <w:lang w:eastAsia="ja-JP"/>
        </w:rPr>
        <w:t>to determine the costs of its regulatory activities.</w:t>
      </w:r>
    </w:p>
    <w:p w14:paraId="06C6D77E" w14:textId="4D803EB9" w:rsidR="003F0B72" w:rsidRDefault="003F0B72" w:rsidP="003F0B72">
      <w:pPr>
        <w:pStyle w:val="Heading4"/>
        <w:rPr>
          <w:lang w:eastAsia="ja-JP"/>
        </w:rPr>
      </w:pPr>
      <w:r>
        <w:rPr>
          <w:lang w:eastAsia="ja-JP"/>
        </w:rPr>
        <w:t>Direct and indirect costs</w:t>
      </w:r>
    </w:p>
    <w:p w14:paraId="6FB287D3" w14:textId="5F30D72D" w:rsidR="005F277E" w:rsidRPr="002D7345" w:rsidRDefault="002D7345" w:rsidP="005F277E">
      <w:pPr>
        <w:rPr>
          <w:rFonts w:cstheme="minorHAnsi"/>
          <w:lang w:eastAsia="ja-JP"/>
        </w:rPr>
      </w:pPr>
      <w:r w:rsidRPr="002D7345">
        <w:rPr>
          <w:rFonts w:cstheme="minorHAnsi"/>
          <w:lang w:eastAsia="ja-JP"/>
        </w:rPr>
        <w:t>The department</w:t>
      </w:r>
      <w:r w:rsidR="00CE7874">
        <w:rPr>
          <w:rFonts w:cstheme="minorHAnsi"/>
          <w:lang w:eastAsia="ja-JP"/>
        </w:rPr>
        <w:t>’</w:t>
      </w:r>
      <w:r w:rsidRPr="002D7345">
        <w:rPr>
          <w:rFonts w:cstheme="minorHAnsi"/>
          <w:lang w:eastAsia="ja-JP"/>
        </w:rPr>
        <w:t>s e</w:t>
      </w:r>
      <w:r w:rsidR="005F277E" w:rsidRPr="002D7345">
        <w:rPr>
          <w:rFonts w:cstheme="minorHAnsi"/>
          <w:lang w:eastAsia="ja-JP"/>
        </w:rPr>
        <w:t>xpenses are categorised as either direct or indirect costs:</w:t>
      </w:r>
    </w:p>
    <w:p w14:paraId="2F119387" w14:textId="3534B306" w:rsidR="005F277E" w:rsidRPr="002D7345" w:rsidRDefault="005F277E" w:rsidP="005F277E">
      <w:pPr>
        <w:pStyle w:val="ListBullet"/>
        <w:spacing w:before="0" w:after="200"/>
        <w:rPr>
          <w:lang w:eastAsia="ja-JP"/>
        </w:rPr>
      </w:pPr>
      <w:r w:rsidRPr="00BA6ADD">
        <w:t>Indirect costs support</w:t>
      </w:r>
      <w:r w:rsidRPr="002D7345">
        <w:rPr>
          <w:lang w:eastAsia="ja-JP"/>
        </w:rPr>
        <w:t xml:space="preserve"> the effective and necessary provision of our direct expense activity. They include corporate employee salaries, overheads such as information technology, finance, human resources, legal services, property and maintenance and depreciation expenses.</w:t>
      </w:r>
    </w:p>
    <w:p w14:paraId="788A3546" w14:textId="1E3A4091" w:rsidR="005F277E" w:rsidRPr="00E966A7" w:rsidRDefault="005F277E" w:rsidP="00BA6ADD">
      <w:pPr>
        <w:pStyle w:val="ListBullet"/>
        <w:rPr>
          <w:rFonts w:cstheme="minorHAnsi"/>
          <w:lang w:eastAsia="ja-JP"/>
        </w:rPr>
      </w:pPr>
      <w:r w:rsidRPr="00BA6ADD">
        <w:rPr>
          <w:rStyle w:val="Strong"/>
          <w:b w:val="0"/>
          <w:bCs w:val="0"/>
        </w:rPr>
        <w:t>Direct</w:t>
      </w:r>
      <w:r w:rsidRPr="0033709B">
        <w:rPr>
          <w:rStyle w:val="Strong"/>
        </w:rPr>
        <w:t xml:space="preserve"> </w:t>
      </w:r>
      <w:r w:rsidRPr="00BA6ADD">
        <w:rPr>
          <w:rStyle w:val="Strong"/>
          <w:b w:val="0"/>
          <w:bCs w:val="0"/>
        </w:rPr>
        <w:t>costs</w:t>
      </w:r>
      <w:r w:rsidRPr="002D7345">
        <w:rPr>
          <w:lang w:eastAsia="ja-JP"/>
        </w:rPr>
        <w:t xml:space="preserve"> can </w:t>
      </w:r>
      <w:proofErr w:type="gramStart"/>
      <w:r w:rsidRPr="002D7345">
        <w:rPr>
          <w:lang w:eastAsia="ja-JP"/>
        </w:rPr>
        <w:t>be directly attributed</w:t>
      </w:r>
      <w:proofErr w:type="gramEnd"/>
      <w:r w:rsidRPr="002D7345">
        <w:rPr>
          <w:lang w:eastAsia="ja-JP"/>
        </w:rPr>
        <w:t xml:space="preserve"> to the provision of an activity, for example, inspections and assessments. They comprise staff salaries, training, leave and superannuation and supplier costs such as office supplies, couriers, printing and small items of equipment.</w:t>
      </w:r>
    </w:p>
    <w:p w14:paraId="3CB9AB72" w14:textId="17FC03CB" w:rsidR="003F0B72" w:rsidRPr="002170F1" w:rsidRDefault="002170F1" w:rsidP="003F0B72">
      <w:pPr>
        <w:pStyle w:val="ListBullet"/>
        <w:numPr>
          <w:ilvl w:val="0"/>
          <w:numId w:val="0"/>
        </w:numPr>
      </w:pPr>
      <w:r w:rsidRPr="00DF2CC7">
        <w:fldChar w:fldCharType="begin"/>
      </w:r>
      <w:r w:rsidRPr="00DF2CC7">
        <w:instrText xml:space="preserve"> REF _Ref197929128 \h </w:instrText>
      </w:r>
      <w:r>
        <w:instrText xml:space="preserve"> \* MERGEFORMAT </w:instrText>
      </w:r>
      <w:r w:rsidRPr="00DF2CC7">
        <w:fldChar w:fldCharType="separate"/>
      </w:r>
      <w:r w:rsidRPr="00DF2CC7">
        <w:t xml:space="preserve">Table </w:t>
      </w:r>
      <w:r w:rsidRPr="00DF2CC7">
        <w:rPr>
          <w:noProof/>
        </w:rPr>
        <w:t>2</w:t>
      </w:r>
      <w:r w:rsidRPr="00DF2CC7">
        <w:fldChar w:fldCharType="end"/>
      </w:r>
      <w:r w:rsidR="003F0B72" w:rsidRPr="002170F1">
        <w:t xml:space="preserve"> </w:t>
      </w:r>
      <w:r w:rsidR="003F0B72" w:rsidRPr="002170F1">
        <w:rPr>
          <w:lang w:eastAsia="ja-JP"/>
        </w:rPr>
        <w:t>provides a cost breakdown for each output contribution to recover direct and indirect costs for 2025–26.</w:t>
      </w:r>
    </w:p>
    <w:p w14:paraId="39F30DCE" w14:textId="68608408" w:rsidR="003F0B72" w:rsidRPr="0033709B" w:rsidRDefault="00891BF7" w:rsidP="008B0333">
      <w:pPr>
        <w:pStyle w:val="Caption"/>
        <w:spacing w:after="0"/>
      </w:pPr>
      <w:bookmarkStart w:id="101" w:name="_Ref197929128"/>
      <w:bookmarkStart w:id="102" w:name="_Toc200534242"/>
      <w:r w:rsidRPr="0033709B">
        <w:lastRenderedPageBreak/>
        <w:t xml:space="preserve">Table </w:t>
      </w:r>
      <w:r w:rsidRPr="0033709B">
        <w:fldChar w:fldCharType="begin"/>
      </w:r>
      <w:r w:rsidRPr="0033709B">
        <w:instrText xml:space="preserve"> SEQ Table \* ARABIC </w:instrText>
      </w:r>
      <w:r w:rsidRPr="0033709B">
        <w:fldChar w:fldCharType="separate"/>
      </w:r>
      <w:r w:rsidR="0033709B" w:rsidRPr="0033709B">
        <w:t>2</w:t>
      </w:r>
      <w:r w:rsidRPr="0033709B">
        <w:fldChar w:fldCharType="end"/>
      </w:r>
      <w:r w:rsidRPr="0033709B">
        <w:rPr>
          <w:rStyle w:val="Strong"/>
          <w:b/>
          <w:bCs/>
        </w:rPr>
        <w:t xml:space="preserve"> Biosecurity cost recovery arrangement cost breakdown, 2025–26</w:t>
      </w:r>
      <w:bookmarkEnd w:id="101"/>
      <w:bookmarkEnd w:id="102"/>
    </w:p>
    <w:tbl>
      <w:tblPr>
        <w:tblpPr w:leftFromText="180" w:rightFromText="180" w:vertAnchor="text" w:horzAnchor="margin" w:tblpY="151"/>
        <w:tblW w:w="5000" w:type="pct"/>
        <w:tblBorders>
          <w:top w:val="single" w:sz="4" w:space="0" w:color="auto"/>
        </w:tblBorders>
        <w:tblLayout w:type="fixed"/>
        <w:tblCellMar>
          <w:left w:w="40" w:type="dxa"/>
          <w:right w:w="40" w:type="dxa"/>
        </w:tblCellMar>
        <w:tblLook w:val="04A0" w:firstRow="1" w:lastRow="0" w:firstColumn="1" w:lastColumn="0" w:noHBand="0" w:noVBand="1"/>
      </w:tblPr>
      <w:tblGrid>
        <w:gridCol w:w="4255"/>
        <w:gridCol w:w="1605"/>
        <w:gridCol w:w="1605"/>
        <w:gridCol w:w="1605"/>
      </w:tblGrid>
      <w:tr w:rsidR="003F0B72" w:rsidRPr="009F1EFF" w14:paraId="00A051BF" w14:textId="77777777" w:rsidTr="009B2AC9">
        <w:trPr>
          <w:cantSplit/>
          <w:tblHeader/>
        </w:trPr>
        <w:tc>
          <w:tcPr>
            <w:tcW w:w="2345" w:type="pct"/>
            <w:tcBorders>
              <w:top w:val="single" w:sz="4" w:space="0" w:color="auto"/>
              <w:bottom w:val="single" w:sz="4" w:space="0" w:color="auto"/>
            </w:tcBorders>
            <w:noWrap/>
            <w:tcMar>
              <w:left w:w="108" w:type="dxa"/>
              <w:right w:w="108" w:type="dxa"/>
            </w:tcMar>
            <w:hideMark/>
          </w:tcPr>
          <w:p w14:paraId="3C656610" w14:textId="77777777" w:rsidR="003F0B72" w:rsidRPr="00B84A73" w:rsidRDefault="003F0B72" w:rsidP="00733737">
            <w:pPr>
              <w:pStyle w:val="TableHeading"/>
              <w:rPr>
                <w:lang w:eastAsia="ja-JP"/>
              </w:rPr>
            </w:pPr>
            <w:bookmarkStart w:id="103" w:name="Title_2"/>
            <w:bookmarkEnd w:id="103"/>
            <w:r w:rsidRPr="00B84A73">
              <w:rPr>
                <w:lang w:eastAsia="ja-JP"/>
              </w:rPr>
              <w:t>Cost recovery activities</w:t>
            </w:r>
          </w:p>
        </w:tc>
        <w:tc>
          <w:tcPr>
            <w:tcW w:w="885" w:type="pct"/>
            <w:tcBorders>
              <w:top w:val="single" w:sz="4" w:space="0" w:color="auto"/>
              <w:bottom w:val="single" w:sz="4" w:space="0" w:color="auto"/>
            </w:tcBorders>
            <w:noWrap/>
            <w:tcMar>
              <w:left w:w="108" w:type="dxa"/>
              <w:right w:w="108" w:type="dxa"/>
            </w:tcMar>
            <w:hideMark/>
          </w:tcPr>
          <w:p w14:paraId="19093F91" w14:textId="77777777" w:rsidR="003F0B72" w:rsidRPr="00B84A73" w:rsidRDefault="003F0B72" w:rsidP="00733737">
            <w:pPr>
              <w:pStyle w:val="TableHeading"/>
              <w:jc w:val="right"/>
              <w:rPr>
                <w:lang w:eastAsia="ja-JP"/>
              </w:rPr>
            </w:pPr>
            <w:r w:rsidRPr="00B84A73">
              <w:rPr>
                <w:lang w:eastAsia="ja-JP"/>
              </w:rPr>
              <w:t>Direct ($)</w:t>
            </w:r>
          </w:p>
        </w:tc>
        <w:tc>
          <w:tcPr>
            <w:tcW w:w="885" w:type="pct"/>
            <w:tcBorders>
              <w:top w:val="single" w:sz="4" w:space="0" w:color="auto"/>
              <w:bottom w:val="single" w:sz="4" w:space="0" w:color="auto"/>
            </w:tcBorders>
            <w:noWrap/>
            <w:tcMar>
              <w:left w:w="108" w:type="dxa"/>
              <w:right w:w="108" w:type="dxa"/>
            </w:tcMar>
            <w:hideMark/>
          </w:tcPr>
          <w:p w14:paraId="12D869A8" w14:textId="77777777" w:rsidR="003F0B72" w:rsidRPr="00B84A73" w:rsidRDefault="003F0B72" w:rsidP="00733737">
            <w:pPr>
              <w:pStyle w:val="TableHeading"/>
              <w:jc w:val="right"/>
              <w:rPr>
                <w:lang w:eastAsia="ja-JP"/>
              </w:rPr>
            </w:pPr>
            <w:r w:rsidRPr="00B84A73">
              <w:rPr>
                <w:lang w:eastAsia="ja-JP"/>
              </w:rPr>
              <w:t>Indirect ($)</w:t>
            </w:r>
          </w:p>
        </w:tc>
        <w:tc>
          <w:tcPr>
            <w:tcW w:w="885" w:type="pct"/>
            <w:tcBorders>
              <w:top w:val="single" w:sz="4" w:space="0" w:color="auto"/>
              <w:bottom w:val="single" w:sz="4" w:space="0" w:color="auto"/>
            </w:tcBorders>
            <w:noWrap/>
            <w:tcMar>
              <w:left w:w="108" w:type="dxa"/>
              <w:right w:w="108" w:type="dxa"/>
            </w:tcMar>
            <w:hideMark/>
          </w:tcPr>
          <w:p w14:paraId="135A0C8E" w14:textId="77777777" w:rsidR="003F0B72" w:rsidRPr="00B84A73" w:rsidRDefault="003F0B72" w:rsidP="00733737">
            <w:pPr>
              <w:pStyle w:val="TableHeading"/>
              <w:jc w:val="right"/>
              <w:rPr>
                <w:lang w:eastAsia="ja-JP"/>
              </w:rPr>
            </w:pPr>
            <w:r w:rsidRPr="00B84A73">
              <w:rPr>
                <w:lang w:eastAsia="ja-JP"/>
              </w:rPr>
              <w:t>Total ($)</w:t>
            </w:r>
          </w:p>
        </w:tc>
      </w:tr>
      <w:tr w:rsidR="003F0B72" w:rsidRPr="00E65DFD" w14:paraId="7979AE9C" w14:textId="77777777" w:rsidTr="009B2AC9">
        <w:tc>
          <w:tcPr>
            <w:tcW w:w="2345" w:type="pct"/>
            <w:tcBorders>
              <w:top w:val="single" w:sz="4" w:space="0" w:color="auto"/>
              <w:bottom w:val="single" w:sz="4" w:space="0" w:color="auto"/>
            </w:tcBorders>
            <w:noWrap/>
            <w:tcMar>
              <w:left w:w="108" w:type="dxa"/>
              <w:right w:w="108" w:type="dxa"/>
            </w:tcMar>
          </w:tcPr>
          <w:p w14:paraId="216CBBAB" w14:textId="77777777" w:rsidR="003F0B72" w:rsidRPr="00A968F0" w:rsidRDefault="003F0B72" w:rsidP="00733737">
            <w:pPr>
              <w:pStyle w:val="TableText"/>
              <w:rPr>
                <w:rStyle w:val="Strong"/>
              </w:rPr>
            </w:pPr>
            <w:r w:rsidRPr="000E6E1B">
              <w:rPr>
                <w:rStyle w:val="Strong"/>
              </w:rPr>
              <w:t>Charges</w:t>
            </w:r>
          </w:p>
        </w:tc>
        <w:tc>
          <w:tcPr>
            <w:tcW w:w="885" w:type="pct"/>
            <w:tcBorders>
              <w:top w:val="single" w:sz="4" w:space="0" w:color="auto"/>
              <w:bottom w:val="single" w:sz="4" w:space="0" w:color="auto"/>
            </w:tcBorders>
            <w:noWrap/>
            <w:tcMar>
              <w:left w:w="108" w:type="dxa"/>
              <w:right w:w="108" w:type="dxa"/>
            </w:tcMar>
          </w:tcPr>
          <w:p w14:paraId="63685A33" w14:textId="35BA8959" w:rsidR="003F0B72" w:rsidRPr="00E65DFD" w:rsidRDefault="003F0B72" w:rsidP="00733737">
            <w:pPr>
              <w:pStyle w:val="TableText"/>
              <w:jc w:val="right"/>
              <w:rPr>
                <w:b/>
                <w:bCs/>
                <w:strike/>
                <w:highlight w:val="yellow"/>
                <w:lang w:eastAsia="ja-JP"/>
              </w:rPr>
            </w:pPr>
            <w:r w:rsidRPr="00E65DFD">
              <w:rPr>
                <w:b/>
                <w:bCs/>
              </w:rPr>
              <w:t>24</w:t>
            </w:r>
            <w:r w:rsidR="00243864">
              <w:rPr>
                <w:b/>
                <w:bCs/>
              </w:rPr>
              <w:t>8</w:t>
            </w:r>
            <w:r w:rsidRPr="00E65DFD">
              <w:rPr>
                <w:b/>
                <w:bCs/>
              </w:rPr>
              <w:t>,04</w:t>
            </w:r>
            <w:r w:rsidR="00243864">
              <w:rPr>
                <w:b/>
                <w:bCs/>
              </w:rPr>
              <w:t>5</w:t>
            </w:r>
            <w:r w:rsidRPr="00E65DFD">
              <w:rPr>
                <w:b/>
                <w:bCs/>
              </w:rPr>
              <w:t>,</w:t>
            </w:r>
            <w:r w:rsidR="00243864">
              <w:rPr>
                <w:b/>
                <w:bCs/>
              </w:rPr>
              <w:t>47</w:t>
            </w:r>
            <w:r>
              <w:rPr>
                <w:b/>
                <w:bCs/>
              </w:rPr>
              <w:t>0</w:t>
            </w:r>
          </w:p>
        </w:tc>
        <w:tc>
          <w:tcPr>
            <w:tcW w:w="885" w:type="pct"/>
            <w:tcBorders>
              <w:top w:val="single" w:sz="4" w:space="0" w:color="auto"/>
              <w:bottom w:val="single" w:sz="4" w:space="0" w:color="auto"/>
            </w:tcBorders>
            <w:noWrap/>
            <w:tcMar>
              <w:left w:w="108" w:type="dxa"/>
              <w:right w:w="108" w:type="dxa"/>
            </w:tcMar>
          </w:tcPr>
          <w:p w14:paraId="35593C05" w14:textId="7876D93F" w:rsidR="003F0B72" w:rsidRPr="00E65DFD" w:rsidRDefault="003F0B72" w:rsidP="00733737">
            <w:pPr>
              <w:pStyle w:val="TableText"/>
              <w:jc w:val="right"/>
              <w:rPr>
                <w:b/>
                <w:bCs/>
                <w:strike/>
                <w:highlight w:val="yellow"/>
                <w:lang w:eastAsia="ja-JP"/>
              </w:rPr>
            </w:pPr>
            <w:r w:rsidRPr="00E65DFD">
              <w:rPr>
                <w:b/>
                <w:bCs/>
              </w:rPr>
              <w:t>1</w:t>
            </w:r>
            <w:r w:rsidR="00243864">
              <w:rPr>
                <w:b/>
                <w:bCs/>
              </w:rPr>
              <w:t>20,125,593</w:t>
            </w:r>
          </w:p>
        </w:tc>
        <w:tc>
          <w:tcPr>
            <w:tcW w:w="885" w:type="pct"/>
            <w:tcBorders>
              <w:top w:val="single" w:sz="4" w:space="0" w:color="auto"/>
              <w:bottom w:val="single" w:sz="4" w:space="0" w:color="auto"/>
            </w:tcBorders>
            <w:noWrap/>
            <w:tcMar>
              <w:left w:w="108" w:type="dxa"/>
              <w:right w:w="108" w:type="dxa"/>
            </w:tcMar>
          </w:tcPr>
          <w:p w14:paraId="3B6053C0" w14:textId="59FF2527" w:rsidR="003F0B72" w:rsidRPr="00E65DFD" w:rsidRDefault="003F0B72" w:rsidP="00733737">
            <w:pPr>
              <w:pStyle w:val="TableText"/>
              <w:jc w:val="right"/>
              <w:rPr>
                <w:rStyle w:val="Strong"/>
              </w:rPr>
            </w:pPr>
            <w:r w:rsidRPr="00E65DFD">
              <w:rPr>
                <w:rStyle w:val="Strong"/>
              </w:rPr>
              <w:t>3</w:t>
            </w:r>
            <w:r w:rsidR="00243864">
              <w:rPr>
                <w:rStyle w:val="Strong"/>
              </w:rPr>
              <w:t>68</w:t>
            </w:r>
            <w:r w:rsidRPr="00E65DFD">
              <w:rPr>
                <w:rStyle w:val="Strong"/>
              </w:rPr>
              <w:t>,</w:t>
            </w:r>
            <w:r w:rsidR="00243864">
              <w:rPr>
                <w:rStyle w:val="Strong"/>
              </w:rPr>
              <w:t>171,063</w:t>
            </w:r>
          </w:p>
        </w:tc>
      </w:tr>
      <w:tr w:rsidR="003F0B72" w:rsidRPr="009F1EFF" w14:paraId="1956B138" w14:textId="77777777" w:rsidTr="009B2AC9">
        <w:tc>
          <w:tcPr>
            <w:tcW w:w="2345" w:type="pct"/>
            <w:tcBorders>
              <w:top w:val="single" w:sz="4" w:space="0" w:color="auto"/>
              <w:bottom w:val="single" w:sz="4" w:space="0" w:color="auto"/>
            </w:tcBorders>
            <w:noWrap/>
            <w:tcMar>
              <w:left w:w="108" w:type="dxa"/>
              <w:right w:w="108" w:type="dxa"/>
            </w:tcMar>
          </w:tcPr>
          <w:p w14:paraId="4C2C89E9" w14:textId="77777777" w:rsidR="003F0B72" w:rsidRPr="00735097" w:rsidRDefault="003F0B72" w:rsidP="00733737">
            <w:pPr>
              <w:pStyle w:val="TableText"/>
              <w:rPr>
                <w:b/>
                <w:bCs/>
                <w:lang w:eastAsia="ja-JP"/>
              </w:rPr>
            </w:pPr>
            <w:r w:rsidRPr="00735097">
              <w:rPr>
                <w:bCs/>
                <w:lang w:eastAsia="ja-JP"/>
              </w:rPr>
              <w:t>Full import declaration charges</w:t>
            </w:r>
          </w:p>
        </w:tc>
        <w:tc>
          <w:tcPr>
            <w:tcW w:w="885" w:type="pct"/>
            <w:tcBorders>
              <w:top w:val="single" w:sz="4" w:space="0" w:color="auto"/>
              <w:bottom w:val="single" w:sz="4" w:space="0" w:color="auto"/>
            </w:tcBorders>
            <w:noWrap/>
            <w:tcMar>
              <w:left w:w="108" w:type="dxa"/>
              <w:right w:w="108" w:type="dxa"/>
            </w:tcMar>
          </w:tcPr>
          <w:p w14:paraId="63B39791" w14:textId="77777777" w:rsidR="003F0B72" w:rsidRPr="004375CA" w:rsidRDefault="003F0B72" w:rsidP="00733737">
            <w:pPr>
              <w:pStyle w:val="TableText"/>
              <w:jc w:val="right"/>
              <w:rPr>
                <w:b/>
                <w:bCs/>
                <w:strike/>
                <w:highlight w:val="yellow"/>
                <w:lang w:eastAsia="ja-JP"/>
              </w:rPr>
            </w:pPr>
            <w:r>
              <w:t>168,648,429</w:t>
            </w:r>
          </w:p>
        </w:tc>
        <w:tc>
          <w:tcPr>
            <w:tcW w:w="885" w:type="pct"/>
            <w:tcBorders>
              <w:top w:val="single" w:sz="4" w:space="0" w:color="auto"/>
              <w:bottom w:val="single" w:sz="4" w:space="0" w:color="auto"/>
            </w:tcBorders>
            <w:noWrap/>
            <w:tcMar>
              <w:left w:w="108" w:type="dxa"/>
              <w:right w:w="108" w:type="dxa"/>
            </w:tcMar>
          </w:tcPr>
          <w:p w14:paraId="7BCA9367" w14:textId="77777777" w:rsidR="003F0B72" w:rsidRPr="004375CA" w:rsidRDefault="003F0B72" w:rsidP="00733737">
            <w:pPr>
              <w:pStyle w:val="TableText"/>
              <w:jc w:val="right"/>
              <w:rPr>
                <w:b/>
                <w:bCs/>
                <w:strike/>
                <w:highlight w:val="yellow"/>
                <w:lang w:eastAsia="ja-JP"/>
              </w:rPr>
            </w:pPr>
            <w:r>
              <w:t>77,579,957</w:t>
            </w:r>
          </w:p>
        </w:tc>
        <w:tc>
          <w:tcPr>
            <w:tcW w:w="885" w:type="pct"/>
            <w:tcBorders>
              <w:top w:val="single" w:sz="4" w:space="0" w:color="auto"/>
              <w:bottom w:val="single" w:sz="4" w:space="0" w:color="auto"/>
            </w:tcBorders>
            <w:shd w:val="clear" w:color="auto" w:fill="auto"/>
            <w:noWrap/>
            <w:tcMar>
              <w:left w:w="108" w:type="dxa"/>
              <w:right w:w="108" w:type="dxa"/>
            </w:tcMar>
          </w:tcPr>
          <w:p w14:paraId="2585CEAE" w14:textId="77777777" w:rsidR="003F0B72" w:rsidRPr="004375CA" w:rsidRDefault="003F0B72" w:rsidP="00733737">
            <w:pPr>
              <w:pStyle w:val="TableText"/>
              <w:jc w:val="right"/>
              <w:rPr>
                <w:b/>
                <w:bCs/>
                <w:strike/>
                <w:highlight w:val="yellow"/>
                <w:lang w:eastAsia="ja-JP"/>
              </w:rPr>
            </w:pPr>
            <w:r>
              <w:t>246,228,386</w:t>
            </w:r>
          </w:p>
        </w:tc>
      </w:tr>
      <w:tr w:rsidR="003F0B72" w:rsidRPr="009F1EFF" w14:paraId="1AAFE062" w14:textId="77777777" w:rsidTr="009B2AC9">
        <w:tc>
          <w:tcPr>
            <w:tcW w:w="2345" w:type="pct"/>
            <w:tcBorders>
              <w:top w:val="single" w:sz="4" w:space="0" w:color="auto"/>
              <w:bottom w:val="single" w:sz="4" w:space="0" w:color="auto"/>
            </w:tcBorders>
            <w:shd w:val="clear" w:color="auto" w:fill="auto"/>
            <w:noWrap/>
            <w:tcMar>
              <w:left w:w="108" w:type="dxa"/>
              <w:right w:w="108" w:type="dxa"/>
            </w:tcMar>
          </w:tcPr>
          <w:p w14:paraId="2DD97A2D" w14:textId="77777777" w:rsidR="003F0B72" w:rsidRPr="00735097" w:rsidRDefault="003F0B72" w:rsidP="00733737">
            <w:pPr>
              <w:pStyle w:val="TableText"/>
              <w:rPr>
                <w:bCs/>
                <w:lang w:eastAsia="ja-JP"/>
              </w:rPr>
            </w:pPr>
            <w:r w:rsidRPr="002652ED">
              <w:rPr>
                <w:bCs/>
                <w:lang w:eastAsia="ja-JP"/>
              </w:rPr>
              <w:t>Self-assessed clearance charges</w:t>
            </w:r>
          </w:p>
        </w:tc>
        <w:tc>
          <w:tcPr>
            <w:tcW w:w="885" w:type="pct"/>
            <w:tcBorders>
              <w:top w:val="single" w:sz="4" w:space="0" w:color="auto"/>
              <w:bottom w:val="single" w:sz="4" w:space="0" w:color="auto"/>
            </w:tcBorders>
            <w:noWrap/>
            <w:tcMar>
              <w:left w:w="108" w:type="dxa"/>
              <w:right w:w="108" w:type="dxa"/>
            </w:tcMar>
          </w:tcPr>
          <w:p w14:paraId="0B30D91B" w14:textId="3C818F17" w:rsidR="003F0B72" w:rsidRDefault="00243864" w:rsidP="00733737">
            <w:pPr>
              <w:pStyle w:val="TableText"/>
              <w:jc w:val="right"/>
            </w:pPr>
            <w:r>
              <w:t>42,198,851</w:t>
            </w:r>
          </w:p>
        </w:tc>
        <w:tc>
          <w:tcPr>
            <w:tcW w:w="885" w:type="pct"/>
            <w:tcBorders>
              <w:top w:val="single" w:sz="4" w:space="0" w:color="auto"/>
              <w:bottom w:val="single" w:sz="4" w:space="0" w:color="auto"/>
            </w:tcBorders>
            <w:noWrap/>
            <w:tcMar>
              <w:left w:w="108" w:type="dxa"/>
              <w:right w:w="108" w:type="dxa"/>
            </w:tcMar>
          </w:tcPr>
          <w:p w14:paraId="6C05A298" w14:textId="59BF4863" w:rsidR="003F0B72" w:rsidRDefault="00243864" w:rsidP="00733737">
            <w:pPr>
              <w:pStyle w:val="TableText"/>
              <w:jc w:val="right"/>
            </w:pPr>
            <w:r>
              <w:t>23,984,276</w:t>
            </w:r>
          </w:p>
        </w:tc>
        <w:tc>
          <w:tcPr>
            <w:tcW w:w="885" w:type="pct"/>
            <w:tcBorders>
              <w:top w:val="single" w:sz="4" w:space="0" w:color="auto"/>
              <w:bottom w:val="single" w:sz="4" w:space="0" w:color="auto"/>
            </w:tcBorders>
            <w:shd w:val="clear" w:color="auto" w:fill="auto"/>
            <w:noWrap/>
            <w:tcMar>
              <w:left w:w="108" w:type="dxa"/>
              <w:right w:w="108" w:type="dxa"/>
            </w:tcMar>
          </w:tcPr>
          <w:p w14:paraId="2F3B8D7E" w14:textId="023F61B4" w:rsidR="003F0B72" w:rsidRDefault="00243864" w:rsidP="00733737">
            <w:pPr>
              <w:pStyle w:val="TableText"/>
              <w:jc w:val="right"/>
            </w:pPr>
            <w:r>
              <w:t>66,183,127</w:t>
            </w:r>
          </w:p>
        </w:tc>
      </w:tr>
      <w:tr w:rsidR="003F0B72" w:rsidRPr="009F1EFF" w14:paraId="0DC5E55C" w14:textId="77777777" w:rsidTr="009B2AC9">
        <w:tc>
          <w:tcPr>
            <w:tcW w:w="2345" w:type="pct"/>
            <w:tcBorders>
              <w:top w:val="single" w:sz="4" w:space="0" w:color="auto"/>
              <w:bottom w:val="single" w:sz="4" w:space="0" w:color="auto"/>
            </w:tcBorders>
            <w:noWrap/>
            <w:tcMar>
              <w:left w:w="108" w:type="dxa"/>
              <w:right w:w="108" w:type="dxa"/>
            </w:tcMar>
          </w:tcPr>
          <w:p w14:paraId="683FDF9F" w14:textId="77777777" w:rsidR="003F0B72" w:rsidRPr="00735097" w:rsidRDefault="003F0B72" w:rsidP="00733737">
            <w:pPr>
              <w:pStyle w:val="TableText"/>
              <w:rPr>
                <w:b/>
                <w:bCs/>
                <w:lang w:eastAsia="ja-JP"/>
              </w:rPr>
            </w:pPr>
            <w:r w:rsidRPr="00735097">
              <w:rPr>
                <w:bCs/>
                <w:lang w:eastAsia="ja-JP"/>
              </w:rPr>
              <w:t>Approved arrangements</w:t>
            </w:r>
          </w:p>
        </w:tc>
        <w:tc>
          <w:tcPr>
            <w:tcW w:w="885" w:type="pct"/>
            <w:tcBorders>
              <w:top w:val="single" w:sz="4" w:space="0" w:color="auto"/>
              <w:bottom w:val="single" w:sz="4" w:space="0" w:color="auto"/>
            </w:tcBorders>
            <w:noWrap/>
            <w:tcMar>
              <w:left w:w="108" w:type="dxa"/>
              <w:right w:w="108" w:type="dxa"/>
            </w:tcMar>
          </w:tcPr>
          <w:p w14:paraId="7572D6A9" w14:textId="77777777" w:rsidR="003F0B72" w:rsidRPr="004375CA" w:rsidRDefault="003F0B72" w:rsidP="00733737">
            <w:pPr>
              <w:pStyle w:val="TableText"/>
              <w:jc w:val="right"/>
              <w:rPr>
                <w:b/>
                <w:bCs/>
                <w:strike/>
                <w:highlight w:val="yellow"/>
                <w:lang w:eastAsia="ja-JP"/>
              </w:rPr>
            </w:pPr>
            <w:r>
              <w:t>5,842,208</w:t>
            </w:r>
          </w:p>
        </w:tc>
        <w:tc>
          <w:tcPr>
            <w:tcW w:w="885" w:type="pct"/>
            <w:tcBorders>
              <w:top w:val="single" w:sz="4" w:space="0" w:color="auto"/>
              <w:bottom w:val="single" w:sz="4" w:space="0" w:color="auto"/>
            </w:tcBorders>
            <w:noWrap/>
            <w:tcMar>
              <w:left w:w="108" w:type="dxa"/>
              <w:right w:w="108" w:type="dxa"/>
            </w:tcMar>
          </w:tcPr>
          <w:p w14:paraId="51A213EB" w14:textId="77777777" w:rsidR="003F0B72" w:rsidRPr="004375CA" w:rsidRDefault="003F0B72" w:rsidP="00733737">
            <w:pPr>
              <w:pStyle w:val="TableText"/>
              <w:jc w:val="right"/>
              <w:rPr>
                <w:b/>
                <w:bCs/>
                <w:strike/>
                <w:highlight w:val="yellow"/>
                <w:lang w:eastAsia="ja-JP"/>
              </w:rPr>
            </w:pPr>
            <w:r>
              <w:t>2,687,474</w:t>
            </w:r>
          </w:p>
        </w:tc>
        <w:tc>
          <w:tcPr>
            <w:tcW w:w="885" w:type="pct"/>
            <w:tcBorders>
              <w:top w:val="single" w:sz="4" w:space="0" w:color="auto"/>
              <w:bottom w:val="single" w:sz="4" w:space="0" w:color="auto"/>
            </w:tcBorders>
            <w:shd w:val="clear" w:color="auto" w:fill="auto"/>
            <w:noWrap/>
            <w:tcMar>
              <w:left w:w="108" w:type="dxa"/>
              <w:right w:w="108" w:type="dxa"/>
            </w:tcMar>
          </w:tcPr>
          <w:p w14:paraId="51E30865" w14:textId="77777777" w:rsidR="003F0B72" w:rsidRPr="004375CA" w:rsidRDefault="003F0B72" w:rsidP="00733737">
            <w:pPr>
              <w:pStyle w:val="TableText"/>
              <w:jc w:val="right"/>
              <w:rPr>
                <w:b/>
                <w:bCs/>
                <w:strike/>
                <w:highlight w:val="yellow"/>
                <w:lang w:eastAsia="ja-JP"/>
              </w:rPr>
            </w:pPr>
            <w:r>
              <w:t>8,529,682</w:t>
            </w:r>
          </w:p>
        </w:tc>
      </w:tr>
      <w:tr w:rsidR="003F0B72" w:rsidRPr="009F1EFF" w14:paraId="6A3946E1" w14:textId="77777777" w:rsidTr="009B2AC9">
        <w:tc>
          <w:tcPr>
            <w:tcW w:w="2345" w:type="pct"/>
            <w:tcBorders>
              <w:top w:val="single" w:sz="4" w:space="0" w:color="auto"/>
              <w:bottom w:val="single" w:sz="4" w:space="0" w:color="auto"/>
            </w:tcBorders>
            <w:noWrap/>
            <w:tcMar>
              <w:left w:w="108" w:type="dxa"/>
              <w:right w:w="108" w:type="dxa"/>
            </w:tcMar>
          </w:tcPr>
          <w:p w14:paraId="7BFCA5A7" w14:textId="77777777" w:rsidR="003F0B72" w:rsidRPr="00735097" w:rsidRDefault="003F0B72" w:rsidP="00733737">
            <w:pPr>
              <w:pStyle w:val="TableText"/>
              <w:rPr>
                <w:b/>
                <w:bCs/>
                <w:lang w:eastAsia="ja-JP"/>
              </w:rPr>
            </w:pPr>
            <w:r w:rsidRPr="00735097">
              <w:rPr>
                <w:bCs/>
                <w:lang w:eastAsia="ja-JP"/>
              </w:rPr>
              <w:t>Vessel arrival charges</w:t>
            </w:r>
          </w:p>
        </w:tc>
        <w:tc>
          <w:tcPr>
            <w:tcW w:w="885" w:type="pct"/>
            <w:tcBorders>
              <w:top w:val="single" w:sz="4" w:space="0" w:color="auto"/>
              <w:bottom w:val="single" w:sz="4" w:space="0" w:color="auto"/>
            </w:tcBorders>
            <w:noWrap/>
            <w:tcMar>
              <w:left w:w="108" w:type="dxa"/>
              <w:right w:w="108" w:type="dxa"/>
            </w:tcMar>
          </w:tcPr>
          <w:p w14:paraId="266BF074" w14:textId="77777777" w:rsidR="003F0B72" w:rsidRPr="004375CA" w:rsidRDefault="003F0B72" w:rsidP="00733737">
            <w:pPr>
              <w:pStyle w:val="TableText"/>
              <w:jc w:val="right"/>
              <w:rPr>
                <w:b/>
                <w:bCs/>
                <w:strike/>
                <w:highlight w:val="yellow"/>
                <w:lang w:eastAsia="ja-JP"/>
              </w:rPr>
            </w:pPr>
            <w:r>
              <w:t>17,766,862</w:t>
            </w:r>
          </w:p>
        </w:tc>
        <w:tc>
          <w:tcPr>
            <w:tcW w:w="885" w:type="pct"/>
            <w:tcBorders>
              <w:top w:val="single" w:sz="4" w:space="0" w:color="auto"/>
              <w:bottom w:val="single" w:sz="4" w:space="0" w:color="auto"/>
            </w:tcBorders>
            <w:noWrap/>
            <w:tcMar>
              <w:left w:w="108" w:type="dxa"/>
              <w:right w:w="108" w:type="dxa"/>
            </w:tcMar>
          </w:tcPr>
          <w:p w14:paraId="15F4647D" w14:textId="77777777" w:rsidR="003F0B72" w:rsidRPr="004375CA" w:rsidRDefault="003F0B72" w:rsidP="00733737">
            <w:pPr>
              <w:pStyle w:val="TableText"/>
              <w:jc w:val="right"/>
              <w:rPr>
                <w:b/>
                <w:bCs/>
                <w:strike/>
                <w:highlight w:val="yellow"/>
                <w:lang w:eastAsia="ja-JP"/>
              </w:rPr>
            </w:pPr>
            <w:r>
              <w:t>8,172,934</w:t>
            </w:r>
          </w:p>
        </w:tc>
        <w:tc>
          <w:tcPr>
            <w:tcW w:w="885" w:type="pct"/>
            <w:tcBorders>
              <w:top w:val="single" w:sz="4" w:space="0" w:color="auto"/>
              <w:bottom w:val="single" w:sz="4" w:space="0" w:color="auto"/>
            </w:tcBorders>
            <w:shd w:val="clear" w:color="auto" w:fill="auto"/>
            <w:noWrap/>
            <w:tcMar>
              <w:left w:w="108" w:type="dxa"/>
              <w:right w:w="108" w:type="dxa"/>
            </w:tcMar>
          </w:tcPr>
          <w:p w14:paraId="5BBFDAC9" w14:textId="77777777" w:rsidR="003F0B72" w:rsidRPr="004375CA" w:rsidRDefault="003F0B72" w:rsidP="00733737">
            <w:pPr>
              <w:pStyle w:val="TableText"/>
              <w:jc w:val="right"/>
              <w:rPr>
                <w:b/>
                <w:bCs/>
                <w:strike/>
                <w:highlight w:val="yellow"/>
                <w:lang w:eastAsia="ja-JP"/>
              </w:rPr>
            </w:pPr>
            <w:r>
              <w:t>25,939,796</w:t>
            </w:r>
          </w:p>
        </w:tc>
      </w:tr>
      <w:tr w:rsidR="003F0B72" w:rsidRPr="009F1EFF" w14:paraId="72AFF1AF" w14:textId="77777777" w:rsidTr="009B2AC9">
        <w:tc>
          <w:tcPr>
            <w:tcW w:w="2345" w:type="pct"/>
            <w:tcBorders>
              <w:top w:val="single" w:sz="4" w:space="0" w:color="auto"/>
              <w:bottom w:val="single" w:sz="4" w:space="0" w:color="auto"/>
            </w:tcBorders>
            <w:noWrap/>
            <w:tcMar>
              <w:left w:w="108" w:type="dxa"/>
              <w:right w:w="108" w:type="dxa"/>
            </w:tcMar>
          </w:tcPr>
          <w:p w14:paraId="32611B3A" w14:textId="77777777" w:rsidR="003F0B72" w:rsidRPr="00735097" w:rsidRDefault="003F0B72" w:rsidP="00733737">
            <w:pPr>
              <w:pStyle w:val="TableText"/>
              <w:rPr>
                <w:b/>
                <w:bCs/>
                <w:lang w:eastAsia="ja-JP"/>
              </w:rPr>
            </w:pPr>
            <w:r w:rsidRPr="00735097">
              <w:rPr>
                <w:bCs/>
                <w:lang w:eastAsia="ja-JP"/>
              </w:rPr>
              <w:t>Permit Application</w:t>
            </w:r>
          </w:p>
        </w:tc>
        <w:tc>
          <w:tcPr>
            <w:tcW w:w="885" w:type="pct"/>
            <w:tcBorders>
              <w:top w:val="single" w:sz="4" w:space="0" w:color="auto"/>
              <w:bottom w:val="single" w:sz="4" w:space="0" w:color="auto"/>
            </w:tcBorders>
            <w:noWrap/>
            <w:tcMar>
              <w:left w:w="108" w:type="dxa"/>
              <w:right w:w="108" w:type="dxa"/>
            </w:tcMar>
          </w:tcPr>
          <w:p w14:paraId="525E52B7" w14:textId="77777777" w:rsidR="003F0B72" w:rsidRPr="004375CA" w:rsidRDefault="003F0B72" w:rsidP="00733737">
            <w:pPr>
              <w:pStyle w:val="TableText"/>
              <w:jc w:val="right"/>
              <w:rPr>
                <w:b/>
                <w:bCs/>
                <w:strike/>
                <w:highlight w:val="yellow"/>
                <w:lang w:eastAsia="ja-JP"/>
              </w:rPr>
            </w:pPr>
            <w:r>
              <w:t>1,335,429</w:t>
            </w:r>
          </w:p>
        </w:tc>
        <w:tc>
          <w:tcPr>
            <w:tcW w:w="885" w:type="pct"/>
            <w:tcBorders>
              <w:top w:val="single" w:sz="4" w:space="0" w:color="auto"/>
              <w:bottom w:val="single" w:sz="4" w:space="0" w:color="auto"/>
            </w:tcBorders>
            <w:noWrap/>
            <w:tcMar>
              <w:left w:w="108" w:type="dxa"/>
              <w:right w:w="108" w:type="dxa"/>
            </w:tcMar>
          </w:tcPr>
          <w:p w14:paraId="07981DBC" w14:textId="77777777" w:rsidR="003F0B72" w:rsidRPr="004375CA" w:rsidRDefault="003F0B72" w:rsidP="00733737">
            <w:pPr>
              <w:pStyle w:val="TableText"/>
              <w:jc w:val="right"/>
              <w:rPr>
                <w:b/>
                <w:bCs/>
                <w:strike/>
                <w:highlight w:val="yellow"/>
                <w:lang w:eastAsia="ja-JP"/>
              </w:rPr>
            </w:pPr>
            <w:r>
              <w:t>614,311</w:t>
            </w:r>
          </w:p>
        </w:tc>
        <w:tc>
          <w:tcPr>
            <w:tcW w:w="885" w:type="pct"/>
            <w:tcBorders>
              <w:top w:val="single" w:sz="4" w:space="0" w:color="auto"/>
              <w:bottom w:val="single" w:sz="4" w:space="0" w:color="auto"/>
            </w:tcBorders>
            <w:shd w:val="clear" w:color="auto" w:fill="auto"/>
            <w:noWrap/>
            <w:tcMar>
              <w:left w:w="108" w:type="dxa"/>
              <w:right w:w="108" w:type="dxa"/>
            </w:tcMar>
          </w:tcPr>
          <w:p w14:paraId="71B9744F" w14:textId="77777777" w:rsidR="003F0B72" w:rsidRPr="004375CA" w:rsidRDefault="003F0B72" w:rsidP="00733737">
            <w:pPr>
              <w:pStyle w:val="TableText"/>
              <w:jc w:val="right"/>
              <w:rPr>
                <w:b/>
                <w:bCs/>
                <w:strike/>
                <w:highlight w:val="yellow"/>
                <w:lang w:eastAsia="ja-JP"/>
              </w:rPr>
            </w:pPr>
            <w:r>
              <w:t>1,949,740</w:t>
            </w:r>
          </w:p>
        </w:tc>
      </w:tr>
      <w:tr w:rsidR="003F0B72" w:rsidRPr="009F1EFF" w14:paraId="30B50B92" w14:textId="77777777" w:rsidTr="009B2AC9">
        <w:tc>
          <w:tcPr>
            <w:tcW w:w="2345" w:type="pct"/>
            <w:tcBorders>
              <w:top w:val="single" w:sz="4" w:space="0" w:color="auto"/>
              <w:bottom w:val="single" w:sz="4" w:space="0" w:color="auto"/>
            </w:tcBorders>
            <w:noWrap/>
            <w:tcMar>
              <w:left w:w="108" w:type="dxa"/>
              <w:right w:w="108" w:type="dxa"/>
            </w:tcMar>
          </w:tcPr>
          <w:p w14:paraId="62D7B17F" w14:textId="77777777" w:rsidR="003F0B72" w:rsidRPr="00735097" w:rsidRDefault="003F0B72" w:rsidP="00733737">
            <w:pPr>
              <w:pStyle w:val="TableText"/>
              <w:rPr>
                <w:bCs/>
                <w:lang w:eastAsia="ja-JP"/>
              </w:rPr>
            </w:pPr>
            <w:r>
              <w:rPr>
                <w:bCs/>
                <w:lang w:eastAsia="ja-JP"/>
              </w:rPr>
              <w:t>I</w:t>
            </w:r>
            <w:r w:rsidRPr="00735097">
              <w:rPr>
                <w:bCs/>
                <w:lang w:eastAsia="ja-JP"/>
              </w:rPr>
              <w:t>mportation charges</w:t>
            </w:r>
            <w:r>
              <w:rPr>
                <w:bCs/>
                <w:lang w:eastAsia="ja-JP"/>
              </w:rPr>
              <w:t xml:space="preserve"> (PEQ)</w:t>
            </w:r>
          </w:p>
        </w:tc>
        <w:tc>
          <w:tcPr>
            <w:tcW w:w="885" w:type="pct"/>
            <w:tcBorders>
              <w:top w:val="single" w:sz="4" w:space="0" w:color="auto"/>
              <w:bottom w:val="single" w:sz="4" w:space="0" w:color="auto"/>
            </w:tcBorders>
            <w:noWrap/>
            <w:tcMar>
              <w:left w:w="108" w:type="dxa"/>
              <w:right w:w="108" w:type="dxa"/>
            </w:tcMar>
          </w:tcPr>
          <w:p w14:paraId="07C136C6" w14:textId="77777777" w:rsidR="003F0B72" w:rsidRPr="004375CA" w:rsidRDefault="003F0B72" w:rsidP="00733737">
            <w:pPr>
              <w:pStyle w:val="TableText"/>
              <w:jc w:val="right"/>
              <w:rPr>
                <w:bCs/>
                <w:strike/>
                <w:highlight w:val="yellow"/>
                <w:lang w:eastAsia="ja-JP"/>
              </w:rPr>
            </w:pPr>
            <w:r>
              <w:t>12,253,691</w:t>
            </w:r>
          </w:p>
        </w:tc>
        <w:tc>
          <w:tcPr>
            <w:tcW w:w="885" w:type="pct"/>
            <w:tcBorders>
              <w:top w:val="single" w:sz="4" w:space="0" w:color="auto"/>
              <w:bottom w:val="single" w:sz="4" w:space="0" w:color="auto"/>
            </w:tcBorders>
            <w:noWrap/>
            <w:tcMar>
              <w:left w:w="108" w:type="dxa"/>
              <w:right w:w="108" w:type="dxa"/>
            </w:tcMar>
          </w:tcPr>
          <w:p w14:paraId="1A5EF10B" w14:textId="77777777" w:rsidR="003F0B72" w:rsidRPr="004375CA" w:rsidRDefault="003F0B72" w:rsidP="00733737">
            <w:pPr>
              <w:pStyle w:val="TableText"/>
              <w:jc w:val="right"/>
              <w:rPr>
                <w:bCs/>
                <w:strike/>
                <w:highlight w:val="yellow"/>
                <w:lang w:eastAsia="ja-JP"/>
              </w:rPr>
            </w:pPr>
            <w:r>
              <w:t>7,086,641</w:t>
            </w:r>
          </w:p>
        </w:tc>
        <w:tc>
          <w:tcPr>
            <w:tcW w:w="885" w:type="pct"/>
            <w:tcBorders>
              <w:top w:val="single" w:sz="4" w:space="0" w:color="auto"/>
              <w:bottom w:val="single" w:sz="4" w:space="0" w:color="auto"/>
            </w:tcBorders>
            <w:shd w:val="clear" w:color="auto" w:fill="auto"/>
            <w:noWrap/>
            <w:tcMar>
              <w:left w:w="108" w:type="dxa"/>
              <w:right w:w="108" w:type="dxa"/>
            </w:tcMar>
          </w:tcPr>
          <w:p w14:paraId="475205CB" w14:textId="77777777" w:rsidR="003F0B72" w:rsidRPr="004375CA" w:rsidRDefault="003F0B72" w:rsidP="00733737">
            <w:pPr>
              <w:pStyle w:val="TableText"/>
              <w:jc w:val="right"/>
              <w:rPr>
                <w:bCs/>
                <w:strike/>
                <w:highlight w:val="yellow"/>
                <w:lang w:eastAsia="ja-JP"/>
              </w:rPr>
            </w:pPr>
            <w:r>
              <w:t>19,340,332</w:t>
            </w:r>
          </w:p>
        </w:tc>
      </w:tr>
      <w:tr w:rsidR="003F0B72" w:rsidRPr="009F1EFF" w14:paraId="4ED39AA0" w14:textId="77777777" w:rsidTr="009B2AC9">
        <w:tc>
          <w:tcPr>
            <w:tcW w:w="2345" w:type="pct"/>
            <w:tcBorders>
              <w:top w:val="single" w:sz="4" w:space="0" w:color="auto"/>
              <w:bottom w:val="single" w:sz="4" w:space="0" w:color="auto"/>
            </w:tcBorders>
            <w:noWrap/>
            <w:tcMar>
              <w:left w:w="108" w:type="dxa"/>
              <w:right w:w="108" w:type="dxa"/>
            </w:tcMar>
            <w:hideMark/>
          </w:tcPr>
          <w:p w14:paraId="2C89BD2D" w14:textId="77777777" w:rsidR="003F0B72" w:rsidRPr="000E6E1B" w:rsidRDefault="003F0B72" w:rsidP="00733737">
            <w:pPr>
              <w:pStyle w:val="TableText"/>
              <w:rPr>
                <w:rStyle w:val="Strong"/>
              </w:rPr>
            </w:pPr>
            <w:r w:rsidRPr="000E6E1B">
              <w:rPr>
                <w:rStyle w:val="Strong"/>
              </w:rPr>
              <w:t>Fees</w:t>
            </w:r>
          </w:p>
        </w:tc>
        <w:tc>
          <w:tcPr>
            <w:tcW w:w="885" w:type="pct"/>
            <w:tcBorders>
              <w:top w:val="single" w:sz="4" w:space="0" w:color="auto"/>
              <w:bottom w:val="single" w:sz="4" w:space="0" w:color="auto"/>
            </w:tcBorders>
            <w:noWrap/>
            <w:tcMar>
              <w:left w:w="108" w:type="dxa"/>
              <w:right w:w="108" w:type="dxa"/>
            </w:tcMar>
          </w:tcPr>
          <w:p w14:paraId="3B2B38B8" w14:textId="77777777" w:rsidR="003F0B72" w:rsidRPr="00165D47" w:rsidRDefault="003F0B72" w:rsidP="00733737">
            <w:pPr>
              <w:pStyle w:val="TableText"/>
              <w:jc w:val="right"/>
              <w:rPr>
                <w:b/>
                <w:bCs/>
                <w:strike/>
                <w:highlight w:val="yellow"/>
                <w:lang w:eastAsia="ja-JP"/>
              </w:rPr>
            </w:pPr>
            <w:r w:rsidRPr="00165D47">
              <w:rPr>
                <w:b/>
                <w:bCs/>
              </w:rPr>
              <w:t>62,201,471</w:t>
            </w:r>
          </w:p>
        </w:tc>
        <w:tc>
          <w:tcPr>
            <w:tcW w:w="885" w:type="pct"/>
            <w:tcBorders>
              <w:top w:val="single" w:sz="4" w:space="0" w:color="auto"/>
              <w:bottom w:val="single" w:sz="4" w:space="0" w:color="auto"/>
            </w:tcBorders>
            <w:noWrap/>
            <w:tcMar>
              <w:left w:w="108" w:type="dxa"/>
              <w:right w:w="108" w:type="dxa"/>
            </w:tcMar>
          </w:tcPr>
          <w:p w14:paraId="042BCEBA" w14:textId="77777777" w:rsidR="003F0B72" w:rsidRPr="00165D47" w:rsidRDefault="003F0B72" w:rsidP="00733737">
            <w:pPr>
              <w:pStyle w:val="TableText"/>
              <w:jc w:val="right"/>
              <w:rPr>
                <w:b/>
                <w:bCs/>
                <w:strike/>
                <w:highlight w:val="yellow"/>
                <w:lang w:eastAsia="ja-JP"/>
              </w:rPr>
            </w:pPr>
            <w:r w:rsidRPr="00165D47">
              <w:rPr>
                <w:b/>
                <w:bCs/>
              </w:rPr>
              <w:t>29,105,025</w:t>
            </w:r>
          </w:p>
        </w:tc>
        <w:tc>
          <w:tcPr>
            <w:tcW w:w="885" w:type="pct"/>
            <w:tcBorders>
              <w:top w:val="single" w:sz="4" w:space="0" w:color="auto"/>
              <w:bottom w:val="single" w:sz="4" w:space="0" w:color="auto"/>
            </w:tcBorders>
            <w:shd w:val="clear" w:color="auto" w:fill="auto"/>
            <w:noWrap/>
            <w:tcMar>
              <w:left w:w="108" w:type="dxa"/>
              <w:right w:w="108" w:type="dxa"/>
            </w:tcMar>
          </w:tcPr>
          <w:p w14:paraId="1FA66DEB" w14:textId="77777777" w:rsidR="003F0B72" w:rsidRPr="00524638" w:rsidRDefault="003F0B72" w:rsidP="00733737">
            <w:pPr>
              <w:pStyle w:val="TableText"/>
              <w:jc w:val="right"/>
              <w:rPr>
                <w:rStyle w:val="Strong"/>
                <w:highlight w:val="yellow"/>
              </w:rPr>
            </w:pPr>
            <w:r>
              <w:rPr>
                <w:rStyle w:val="Strong"/>
              </w:rPr>
              <w:t>91,306,496</w:t>
            </w:r>
          </w:p>
        </w:tc>
      </w:tr>
      <w:tr w:rsidR="003F0B72" w:rsidRPr="009F1EFF" w14:paraId="5BEDD475" w14:textId="77777777" w:rsidTr="009B2AC9">
        <w:tc>
          <w:tcPr>
            <w:tcW w:w="2345" w:type="pct"/>
            <w:tcBorders>
              <w:top w:val="single" w:sz="4" w:space="0" w:color="auto"/>
              <w:bottom w:val="single" w:sz="4" w:space="0" w:color="auto"/>
            </w:tcBorders>
            <w:noWrap/>
            <w:tcMar>
              <w:left w:w="108" w:type="dxa"/>
              <w:right w:w="108" w:type="dxa"/>
            </w:tcMar>
            <w:hideMark/>
          </w:tcPr>
          <w:p w14:paraId="26DFC631" w14:textId="77777777" w:rsidR="003F0B72" w:rsidRPr="000E6E1B" w:rsidRDefault="003F0B72" w:rsidP="00733737">
            <w:pPr>
              <w:pStyle w:val="TableText"/>
              <w:rPr>
                <w:bCs/>
                <w:lang w:eastAsia="ja-JP"/>
              </w:rPr>
            </w:pPr>
            <w:r w:rsidRPr="000E6E1B">
              <w:rPr>
                <w:bCs/>
                <w:lang w:eastAsia="ja-JP"/>
              </w:rPr>
              <w:t>Assessment</w:t>
            </w:r>
          </w:p>
        </w:tc>
        <w:tc>
          <w:tcPr>
            <w:tcW w:w="885" w:type="pct"/>
            <w:tcBorders>
              <w:top w:val="single" w:sz="4" w:space="0" w:color="auto"/>
              <w:bottom w:val="single" w:sz="4" w:space="0" w:color="auto"/>
            </w:tcBorders>
            <w:noWrap/>
            <w:tcMar>
              <w:left w:w="108" w:type="dxa"/>
              <w:right w:w="108" w:type="dxa"/>
            </w:tcMar>
          </w:tcPr>
          <w:p w14:paraId="71C30603" w14:textId="77777777" w:rsidR="003F0B72" w:rsidRPr="004375CA" w:rsidRDefault="003F0B72" w:rsidP="00733737">
            <w:pPr>
              <w:pStyle w:val="TableText"/>
              <w:jc w:val="right"/>
              <w:rPr>
                <w:bCs/>
                <w:strike/>
                <w:highlight w:val="yellow"/>
                <w:lang w:eastAsia="ja-JP"/>
              </w:rPr>
            </w:pPr>
            <w:r>
              <w:t>18,339,754</w:t>
            </w:r>
          </w:p>
        </w:tc>
        <w:tc>
          <w:tcPr>
            <w:tcW w:w="885" w:type="pct"/>
            <w:tcBorders>
              <w:top w:val="single" w:sz="4" w:space="0" w:color="auto"/>
              <w:bottom w:val="single" w:sz="4" w:space="0" w:color="auto"/>
            </w:tcBorders>
            <w:noWrap/>
            <w:tcMar>
              <w:left w:w="108" w:type="dxa"/>
              <w:right w:w="108" w:type="dxa"/>
            </w:tcMar>
          </w:tcPr>
          <w:p w14:paraId="61CA947A" w14:textId="77777777" w:rsidR="003F0B72" w:rsidRPr="004375CA" w:rsidRDefault="003F0B72" w:rsidP="00733737">
            <w:pPr>
              <w:pStyle w:val="TableText"/>
              <w:jc w:val="right"/>
              <w:rPr>
                <w:bCs/>
                <w:strike/>
                <w:highlight w:val="yellow"/>
                <w:lang w:eastAsia="ja-JP"/>
              </w:rPr>
            </w:pPr>
            <w:r>
              <w:t>8,436,470</w:t>
            </w:r>
          </w:p>
        </w:tc>
        <w:tc>
          <w:tcPr>
            <w:tcW w:w="885" w:type="pct"/>
            <w:tcBorders>
              <w:top w:val="single" w:sz="4" w:space="0" w:color="auto"/>
              <w:bottom w:val="single" w:sz="4" w:space="0" w:color="auto"/>
            </w:tcBorders>
            <w:shd w:val="clear" w:color="auto" w:fill="auto"/>
            <w:noWrap/>
            <w:tcMar>
              <w:left w:w="108" w:type="dxa"/>
              <w:right w:w="108" w:type="dxa"/>
            </w:tcMar>
          </w:tcPr>
          <w:p w14:paraId="33AF0209" w14:textId="77777777" w:rsidR="003F0B72" w:rsidRPr="004375CA" w:rsidRDefault="003F0B72" w:rsidP="00733737">
            <w:pPr>
              <w:pStyle w:val="TableText"/>
              <w:jc w:val="right"/>
              <w:rPr>
                <w:bCs/>
                <w:strike/>
                <w:highlight w:val="yellow"/>
                <w:lang w:eastAsia="ja-JP"/>
              </w:rPr>
            </w:pPr>
            <w:r>
              <w:t>26,776,224</w:t>
            </w:r>
          </w:p>
        </w:tc>
      </w:tr>
      <w:tr w:rsidR="003F0B72" w:rsidRPr="009F1EFF" w14:paraId="6C5D0BB5" w14:textId="77777777" w:rsidTr="009B2AC9">
        <w:tc>
          <w:tcPr>
            <w:tcW w:w="2345" w:type="pct"/>
            <w:tcBorders>
              <w:top w:val="single" w:sz="4" w:space="0" w:color="auto"/>
              <w:bottom w:val="single" w:sz="4" w:space="0" w:color="auto"/>
            </w:tcBorders>
            <w:noWrap/>
            <w:tcMar>
              <w:left w:w="108" w:type="dxa"/>
              <w:right w:w="108" w:type="dxa"/>
            </w:tcMar>
            <w:hideMark/>
          </w:tcPr>
          <w:p w14:paraId="4DFC6764" w14:textId="77777777" w:rsidR="003F0B72" w:rsidRPr="00735097" w:rsidRDefault="003F0B72" w:rsidP="00733737">
            <w:pPr>
              <w:pStyle w:val="TableText"/>
              <w:rPr>
                <w:bCs/>
                <w:lang w:eastAsia="ja-JP"/>
              </w:rPr>
            </w:pPr>
            <w:r w:rsidRPr="00735097">
              <w:rPr>
                <w:bCs/>
                <w:lang w:eastAsia="ja-JP"/>
              </w:rPr>
              <w:t>Issue Approval Certification</w:t>
            </w:r>
          </w:p>
        </w:tc>
        <w:tc>
          <w:tcPr>
            <w:tcW w:w="885" w:type="pct"/>
            <w:tcBorders>
              <w:top w:val="single" w:sz="4" w:space="0" w:color="auto"/>
              <w:bottom w:val="single" w:sz="4" w:space="0" w:color="auto"/>
            </w:tcBorders>
            <w:noWrap/>
            <w:tcMar>
              <w:left w:w="108" w:type="dxa"/>
              <w:right w:w="108" w:type="dxa"/>
            </w:tcMar>
          </w:tcPr>
          <w:p w14:paraId="67174DD4" w14:textId="77777777" w:rsidR="003F0B72" w:rsidRPr="004375CA" w:rsidRDefault="003F0B72" w:rsidP="00733737">
            <w:pPr>
              <w:pStyle w:val="TableText"/>
              <w:jc w:val="right"/>
              <w:rPr>
                <w:bCs/>
                <w:strike/>
                <w:highlight w:val="yellow"/>
                <w:lang w:eastAsia="ja-JP"/>
              </w:rPr>
            </w:pPr>
            <w:r>
              <w:t>3,503,729</w:t>
            </w:r>
          </w:p>
        </w:tc>
        <w:tc>
          <w:tcPr>
            <w:tcW w:w="885" w:type="pct"/>
            <w:tcBorders>
              <w:top w:val="single" w:sz="4" w:space="0" w:color="auto"/>
              <w:bottom w:val="single" w:sz="4" w:space="0" w:color="auto"/>
            </w:tcBorders>
            <w:noWrap/>
            <w:tcMar>
              <w:left w:w="108" w:type="dxa"/>
              <w:right w:w="108" w:type="dxa"/>
            </w:tcMar>
          </w:tcPr>
          <w:p w14:paraId="0411AA71" w14:textId="77777777" w:rsidR="003F0B72" w:rsidRPr="004375CA" w:rsidRDefault="003F0B72" w:rsidP="00733737">
            <w:pPr>
              <w:pStyle w:val="TableText"/>
              <w:jc w:val="right"/>
              <w:rPr>
                <w:bCs/>
                <w:strike/>
                <w:highlight w:val="yellow"/>
                <w:lang w:eastAsia="ja-JP"/>
              </w:rPr>
            </w:pPr>
            <w:r>
              <w:t>1,611,750</w:t>
            </w:r>
          </w:p>
        </w:tc>
        <w:tc>
          <w:tcPr>
            <w:tcW w:w="885" w:type="pct"/>
            <w:tcBorders>
              <w:top w:val="single" w:sz="4" w:space="0" w:color="auto"/>
              <w:bottom w:val="single" w:sz="4" w:space="0" w:color="auto"/>
            </w:tcBorders>
            <w:shd w:val="clear" w:color="auto" w:fill="auto"/>
            <w:noWrap/>
            <w:tcMar>
              <w:left w:w="108" w:type="dxa"/>
              <w:right w:w="108" w:type="dxa"/>
            </w:tcMar>
          </w:tcPr>
          <w:p w14:paraId="34C45E29" w14:textId="77777777" w:rsidR="003F0B72" w:rsidRPr="004375CA" w:rsidRDefault="003F0B72" w:rsidP="00733737">
            <w:pPr>
              <w:pStyle w:val="TableText"/>
              <w:jc w:val="right"/>
              <w:rPr>
                <w:bCs/>
                <w:strike/>
                <w:highlight w:val="yellow"/>
                <w:lang w:eastAsia="ja-JP"/>
              </w:rPr>
            </w:pPr>
            <w:r>
              <w:t>5,115,479</w:t>
            </w:r>
          </w:p>
        </w:tc>
      </w:tr>
      <w:tr w:rsidR="003F0B72" w:rsidRPr="009F1EFF" w14:paraId="54EDBC4D" w14:textId="77777777" w:rsidTr="009B2AC9">
        <w:tc>
          <w:tcPr>
            <w:tcW w:w="2345" w:type="pct"/>
            <w:tcBorders>
              <w:top w:val="single" w:sz="4" w:space="0" w:color="auto"/>
              <w:bottom w:val="single" w:sz="4" w:space="0" w:color="auto"/>
            </w:tcBorders>
            <w:noWrap/>
            <w:tcMar>
              <w:left w:w="108" w:type="dxa"/>
              <w:right w:w="108" w:type="dxa"/>
            </w:tcMar>
            <w:hideMark/>
          </w:tcPr>
          <w:p w14:paraId="4896FD2A" w14:textId="77777777" w:rsidR="003F0B72" w:rsidRPr="00735097" w:rsidRDefault="003F0B72" w:rsidP="00733737">
            <w:pPr>
              <w:pStyle w:val="TableText"/>
              <w:rPr>
                <w:bCs/>
                <w:lang w:eastAsia="ja-JP"/>
              </w:rPr>
            </w:pPr>
            <w:r w:rsidRPr="00735097">
              <w:rPr>
                <w:bCs/>
                <w:lang w:eastAsia="ja-JP"/>
              </w:rPr>
              <w:t>Inspection</w:t>
            </w:r>
          </w:p>
        </w:tc>
        <w:tc>
          <w:tcPr>
            <w:tcW w:w="885" w:type="pct"/>
            <w:tcBorders>
              <w:top w:val="single" w:sz="4" w:space="0" w:color="auto"/>
              <w:bottom w:val="single" w:sz="4" w:space="0" w:color="auto"/>
            </w:tcBorders>
            <w:noWrap/>
            <w:tcMar>
              <w:left w:w="108" w:type="dxa"/>
              <w:right w:w="108" w:type="dxa"/>
            </w:tcMar>
          </w:tcPr>
          <w:p w14:paraId="637B0900" w14:textId="77777777" w:rsidR="003F0B72" w:rsidRPr="004375CA" w:rsidRDefault="003F0B72" w:rsidP="00733737">
            <w:pPr>
              <w:pStyle w:val="TableText"/>
              <w:jc w:val="right"/>
              <w:rPr>
                <w:bCs/>
                <w:strike/>
                <w:highlight w:val="yellow"/>
                <w:lang w:eastAsia="ja-JP"/>
              </w:rPr>
            </w:pPr>
            <w:r>
              <w:t>34,432,167</w:t>
            </w:r>
          </w:p>
        </w:tc>
        <w:tc>
          <w:tcPr>
            <w:tcW w:w="885" w:type="pct"/>
            <w:tcBorders>
              <w:top w:val="single" w:sz="4" w:space="0" w:color="auto"/>
              <w:bottom w:val="single" w:sz="4" w:space="0" w:color="auto"/>
            </w:tcBorders>
            <w:noWrap/>
            <w:tcMar>
              <w:left w:w="108" w:type="dxa"/>
              <w:right w:w="108" w:type="dxa"/>
            </w:tcMar>
          </w:tcPr>
          <w:p w14:paraId="02152F8D" w14:textId="77777777" w:rsidR="003F0B72" w:rsidRPr="004375CA" w:rsidRDefault="003F0B72" w:rsidP="00733737">
            <w:pPr>
              <w:pStyle w:val="TableText"/>
              <w:jc w:val="right"/>
              <w:rPr>
                <w:bCs/>
                <w:strike/>
                <w:highlight w:val="yellow"/>
                <w:lang w:eastAsia="ja-JP"/>
              </w:rPr>
            </w:pPr>
            <w:r>
              <w:t>15,839,236</w:t>
            </w:r>
          </w:p>
        </w:tc>
        <w:tc>
          <w:tcPr>
            <w:tcW w:w="885" w:type="pct"/>
            <w:tcBorders>
              <w:top w:val="single" w:sz="4" w:space="0" w:color="auto"/>
              <w:bottom w:val="single" w:sz="4" w:space="0" w:color="auto"/>
            </w:tcBorders>
            <w:shd w:val="clear" w:color="auto" w:fill="auto"/>
            <w:noWrap/>
            <w:tcMar>
              <w:left w:w="108" w:type="dxa"/>
              <w:right w:w="108" w:type="dxa"/>
            </w:tcMar>
          </w:tcPr>
          <w:p w14:paraId="01CDF2F1" w14:textId="77777777" w:rsidR="003F0B72" w:rsidRPr="004375CA" w:rsidRDefault="003F0B72" w:rsidP="00733737">
            <w:pPr>
              <w:pStyle w:val="TableText"/>
              <w:jc w:val="right"/>
              <w:rPr>
                <w:bCs/>
                <w:strike/>
                <w:highlight w:val="yellow"/>
                <w:lang w:eastAsia="ja-JP"/>
              </w:rPr>
            </w:pPr>
            <w:r>
              <w:t>50,271,403</w:t>
            </w:r>
          </w:p>
        </w:tc>
      </w:tr>
      <w:tr w:rsidR="003F0B72" w:rsidRPr="009F1EFF" w14:paraId="513199AD" w14:textId="77777777" w:rsidTr="009B2AC9">
        <w:tc>
          <w:tcPr>
            <w:tcW w:w="2345" w:type="pct"/>
            <w:tcBorders>
              <w:top w:val="single" w:sz="4" w:space="0" w:color="auto"/>
              <w:bottom w:val="single" w:sz="4" w:space="0" w:color="auto"/>
            </w:tcBorders>
            <w:noWrap/>
            <w:tcMar>
              <w:left w:w="108" w:type="dxa"/>
              <w:right w:w="108" w:type="dxa"/>
            </w:tcMar>
            <w:hideMark/>
          </w:tcPr>
          <w:p w14:paraId="3F5DC204" w14:textId="77777777" w:rsidR="003F0B72" w:rsidRPr="00735097" w:rsidRDefault="003F0B72" w:rsidP="00733737">
            <w:pPr>
              <w:pStyle w:val="TableText"/>
              <w:rPr>
                <w:bCs/>
                <w:lang w:eastAsia="ja-JP"/>
              </w:rPr>
            </w:pPr>
            <w:r w:rsidRPr="00735097">
              <w:rPr>
                <w:bCs/>
                <w:lang w:eastAsia="ja-JP"/>
              </w:rPr>
              <w:t>Treatment</w:t>
            </w:r>
          </w:p>
        </w:tc>
        <w:tc>
          <w:tcPr>
            <w:tcW w:w="885" w:type="pct"/>
            <w:tcBorders>
              <w:top w:val="single" w:sz="4" w:space="0" w:color="auto"/>
              <w:bottom w:val="single" w:sz="4" w:space="0" w:color="auto"/>
            </w:tcBorders>
            <w:noWrap/>
            <w:tcMar>
              <w:left w:w="108" w:type="dxa"/>
              <w:right w:w="108" w:type="dxa"/>
            </w:tcMar>
          </w:tcPr>
          <w:p w14:paraId="0AE8E2CE" w14:textId="77777777" w:rsidR="003F0B72" w:rsidRPr="004375CA" w:rsidRDefault="003F0B72" w:rsidP="00733737">
            <w:pPr>
              <w:pStyle w:val="TableText"/>
              <w:jc w:val="right"/>
              <w:rPr>
                <w:bCs/>
                <w:strike/>
                <w:highlight w:val="yellow"/>
                <w:lang w:eastAsia="ja-JP"/>
              </w:rPr>
            </w:pPr>
            <w:r>
              <w:t>479,554</w:t>
            </w:r>
          </w:p>
        </w:tc>
        <w:tc>
          <w:tcPr>
            <w:tcW w:w="885" w:type="pct"/>
            <w:tcBorders>
              <w:top w:val="single" w:sz="4" w:space="0" w:color="auto"/>
              <w:bottom w:val="single" w:sz="4" w:space="0" w:color="auto"/>
            </w:tcBorders>
            <w:noWrap/>
            <w:tcMar>
              <w:left w:w="108" w:type="dxa"/>
              <w:right w:w="108" w:type="dxa"/>
            </w:tcMar>
          </w:tcPr>
          <w:p w14:paraId="2351BA07" w14:textId="77777777" w:rsidR="003F0B72" w:rsidRPr="004375CA" w:rsidRDefault="003F0B72" w:rsidP="00733737">
            <w:pPr>
              <w:pStyle w:val="TableText"/>
              <w:jc w:val="right"/>
              <w:rPr>
                <w:bCs/>
                <w:strike/>
                <w:highlight w:val="yellow"/>
                <w:lang w:eastAsia="ja-JP"/>
              </w:rPr>
            </w:pPr>
            <w:r>
              <w:t>220,600</w:t>
            </w:r>
          </w:p>
        </w:tc>
        <w:tc>
          <w:tcPr>
            <w:tcW w:w="885" w:type="pct"/>
            <w:tcBorders>
              <w:top w:val="single" w:sz="4" w:space="0" w:color="auto"/>
              <w:bottom w:val="single" w:sz="4" w:space="0" w:color="auto"/>
            </w:tcBorders>
            <w:shd w:val="clear" w:color="auto" w:fill="auto"/>
            <w:noWrap/>
            <w:tcMar>
              <w:left w:w="108" w:type="dxa"/>
              <w:right w:w="108" w:type="dxa"/>
            </w:tcMar>
          </w:tcPr>
          <w:p w14:paraId="115A5312" w14:textId="77777777" w:rsidR="003F0B72" w:rsidRPr="004375CA" w:rsidRDefault="003F0B72" w:rsidP="00733737">
            <w:pPr>
              <w:pStyle w:val="TableText"/>
              <w:jc w:val="right"/>
              <w:rPr>
                <w:bCs/>
                <w:strike/>
                <w:highlight w:val="yellow"/>
                <w:lang w:eastAsia="ja-JP"/>
              </w:rPr>
            </w:pPr>
            <w:r>
              <w:t>700,154</w:t>
            </w:r>
          </w:p>
        </w:tc>
      </w:tr>
      <w:tr w:rsidR="003F0B72" w:rsidRPr="009F1EFF" w14:paraId="709170AD" w14:textId="77777777" w:rsidTr="009B2AC9">
        <w:tc>
          <w:tcPr>
            <w:tcW w:w="2345" w:type="pct"/>
            <w:tcBorders>
              <w:top w:val="single" w:sz="4" w:space="0" w:color="auto"/>
              <w:bottom w:val="single" w:sz="4" w:space="0" w:color="auto"/>
            </w:tcBorders>
            <w:noWrap/>
            <w:tcMar>
              <w:left w:w="108" w:type="dxa"/>
              <w:right w:w="108" w:type="dxa"/>
            </w:tcMar>
            <w:hideMark/>
          </w:tcPr>
          <w:p w14:paraId="76E16E44" w14:textId="77777777" w:rsidR="003F0B72" w:rsidRPr="00735097" w:rsidRDefault="003F0B72" w:rsidP="00733737">
            <w:pPr>
              <w:pStyle w:val="TableText"/>
              <w:rPr>
                <w:bCs/>
                <w:lang w:eastAsia="ja-JP"/>
              </w:rPr>
            </w:pPr>
            <w:r w:rsidRPr="00735097">
              <w:rPr>
                <w:bCs/>
                <w:lang w:eastAsia="ja-JP"/>
              </w:rPr>
              <w:t>Audit</w:t>
            </w:r>
          </w:p>
        </w:tc>
        <w:tc>
          <w:tcPr>
            <w:tcW w:w="885" w:type="pct"/>
            <w:tcBorders>
              <w:top w:val="single" w:sz="4" w:space="0" w:color="auto"/>
              <w:bottom w:val="single" w:sz="4" w:space="0" w:color="auto"/>
            </w:tcBorders>
            <w:noWrap/>
            <w:tcMar>
              <w:left w:w="108" w:type="dxa"/>
              <w:right w:w="108" w:type="dxa"/>
            </w:tcMar>
          </w:tcPr>
          <w:p w14:paraId="41502089" w14:textId="77777777" w:rsidR="003F0B72" w:rsidRPr="004375CA" w:rsidRDefault="003F0B72" w:rsidP="00733737">
            <w:pPr>
              <w:pStyle w:val="TableText"/>
              <w:jc w:val="right"/>
              <w:rPr>
                <w:bCs/>
                <w:strike/>
                <w:highlight w:val="yellow"/>
                <w:lang w:eastAsia="ja-JP"/>
              </w:rPr>
            </w:pPr>
            <w:r>
              <w:t>1,291,055</w:t>
            </w:r>
          </w:p>
        </w:tc>
        <w:tc>
          <w:tcPr>
            <w:tcW w:w="885" w:type="pct"/>
            <w:tcBorders>
              <w:top w:val="single" w:sz="4" w:space="0" w:color="auto"/>
              <w:bottom w:val="single" w:sz="4" w:space="0" w:color="auto"/>
            </w:tcBorders>
            <w:noWrap/>
            <w:tcMar>
              <w:left w:w="108" w:type="dxa"/>
              <w:right w:w="108" w:type="dxa"/>
            </w:tcMar>
          </w:tcPr>
          <w:p w14:paraId="39FD0F19" w14:textId="77777777" w:rsidR="003F0B72" w:rsidRPr="004375CA" w:rsidRDefault="003F0B72" w:rsidP="00733737">
            <w:pPr>
              <w:pStyle w:val="TableText"/>
              <w:jc w:val="right"/>
              <w:rPr>
                <w:bCs/>
                <w:strike/>
                <w:highlight w:val="yellow"/>
                <w:lang w:eastAsia="ja-JP"/>
              </w:rPr>
            </w:pPr>
            <w:r>
              <w:t>593,898</w:t>
            </w:r>
          </w:p>
        </w:tc>
        <w:tc>
          <w:tcPr>
            <w:tcW w:w="885" w:type="pct"/>
            <w:tcBorders>
              <w:top w:val="single" w:sz="4" w:space="0" w:color="auto"/>
              <w:bottom w:val="single" w:sz="4" w:space="0" w:color="auto"/>
            </w:tcBorders>
            <w:shd w:val="clear" w:color="auto" w:fill="auto"/>
            <w:noWrap/>
            <w:tcMar>
              <w:left w:w="108" w:type="dxa"/>
              <w:right w:w="108" w:type="dxa"/>
            </w:tcMar>
          </w:tcPr>
          <w:p w14:paraId="3C38F811" w14:textId="77777777" w:rsidR="003F0B72" w:rsidRPr="004375CA" w:rsidRDefault="003F0B72" w:rsidP="00733737">
            <w:pPr>
              <w:pStyle w:val="TableText"/>
              <w:jc w:val="right"/>
              <w:rPr>
                <w:bCs/>
                <w:strike/>
                <w:highlight w:val="yellow"/>
                <w:lang w:eastAsia="ja-JP"/>
              </w:rPr>
            </w:pPr>
            <w:r>
              <w:t>1,884,953</w:t>
            </w:r>
          </w:p>
        </w:tc>
      </w:tr>
      <w:tr w:rsidR="003F0B72" w:rsidRPr="009F1EFF" w14:paraId="40360970" w14:textId="77777777" w:rsidTr="009B2AC9">
        <w:tc>
          <w:tcPr>
            <w:tcW w:w="2345" w:type="pct"/>
            <w:tcBorders>
              <w:top w:val="single" w:sz="4" w:space="0" w:color="auto"/>
              <w:bottom w:val="single" w:sz="4" w:space="0" w:color="auto"/>
            </w:tcBorders>
            <w:noWrap/>
            <w:tcMar>
              <w:left w:w="108" w:type="dxa"/>
              <w:right w:w="108" w:type="dxa"/>
            </w:tcMar>
            <w:hideMark/>
          </w:tcPr>
          <w:p w14:paraId="169C8826" w14:textId="77777777" w:rsidR="003F0B72" w:rsidRPr="00735097" w:rsidRDefault="003F0B72" w:rsidP="00733737">
            <w:pPr>
              <w:pStyle w:val="TableText"/>
              <w:rPr>
                <w:bCs/>
                <w:lang w:eastAsia="ja-JP"/>
              </w:rPr>
            </w:pPr>
            <w:r w:rsidRPr="00735097">
              <w:rPr>
                <w:bCs/>
                <w:lang w:eastAsia="ja-JP"/>
              </w:rPr>
              <w:t>Husbandry</w:t>
            </w:r>
          </w:p>
        </w:tc>
        <w:tc>
          <w:tcPr>
            <w:tcW w:w="885" w:type="pct"/>
            <w:tcBorders>
              <w:top w:val="single" w:sz="4" w:space="0" w:color="auto"/>
              <w:bottom w:val="single" w:sz="4" w:space="0" w:color="auto"/>
            </w:tcBorders>
            <w:noWrap/>
            <w:tcMar>
              <w:left w:w="108" w:type="dxa"/>
              <w:right w:w="108" w:type="dxa"/>
            </w:tcMar>
          </w:tcPr>
          <w:p w14:paraId="0E1FD17B" w14:textId="77777777" w:rsidR="003F0B72" w:rsidRPr="004375CA" w:rsidRDefault="003F0B72" w:rsidP="00733737">
            <w:pPr>
              <w:pStyle w:val="TableText"/>
              <w:jc w:val="right"/>
              <w:rPr>
                <w:bCs/>
                <w:strike/>
                <w:highlight w:val="yellow"/>
                <w:lang w:eastAsia="ja-JP"/>
              </w:rPr>
            </w:pPr>
            <w:r>
              <w:t>4,155,212</w:t>
            </w:r>
          </w:p>
        </w:tc>
        <w:tc>
          <w:tcPr>
            <w:tcW w:w="885" w:type="pct"/>
            <w:tcBorders>
              <w:top w:val="single" w:sz="4" w:space="0" w:color="auto"/>
              <w:bottom w:val="single" w:sz="4" w:space="0" w:color="auto"/>
            </w:tcBorders>
            <w:noWrap/>
            <w:tcMar>
              <w:left w:w="108" w:type="dxa"/>
              <w:right w:w="108" w:type="dxa"/>
            </w:tcMar>
          </w:tcPr>
          <w:p w14:paraId="75B40D95" w14:textId="77777777" w:rsidR="003F0B72" w:rsidRPr="004375CA" w:rsidRDefault="003F0B72" w:rsidP="00733737">
            <w:pPr>
              <w:pStyle w:val="TableText"/>
              <w:jc w:val="right"/>
              <w:rPr>
                <w:bCs/>
                <w:strike/>
                <w:highlight w:val="yellow"/>
                <w:lang w:eastAsia="ja-JP"/>
              </w:rPr>
            </w:pPr>
            <w:r>
              <w:t>2,403,071</w:t>
            </w:r>
          </w:p>
        </w:tc>
        <w:tc>
          <w:tcPr>
            <w:tcW w:w="885" w:type="pct"/>
            <w:tcBorders>
              <w:top w:val="single" w:sz="4" w:space="0" w:color="auto"/>
              <w:bottom w:val="single" w:sz="4" w:space="0" w:color="auto"/>
            </w:tcBorders>
            <w:shd w:val="clear" w:color="auto" w:fill="auto"/>
            <w:noWrap/>
            <w:tcMar>
              <w:left w:w="108" w:type="dxa"/>
              <w:right w:w="108" w:type="dxa"/>
            </w:tcMar>
          </w:tcPr>
          <w:p w14:paraId="177A0C49" w14:textId="77777777" w:rsidR="003F0B72" w:rsidRPr="004375CA" w:rsidRDefault="003F0B72" w:rsidP="00733737">
            <w:pPr>
              <w:pStyle w:val="TableText"/>
              <w:jc w:val="right"/>
              <w:rPr>
                <w:bCs/>
                <w:strike/>
                <w:highlight w:val="yellow"/>
                <w:lang w:eastAsia="ja-JP"/>
              </w:rPr>
            </w:pPr>
            <w:r>
              <w:t>6,558,283</w:t>
            </w:r>
          </w:p>
        </w:tc>
      </w:tr>
      <w:tr w:rsidR="003F0B72" w:rsidRPr="00A968F0" w14:paraId="4646902E" w14:textId="77777777" w:rsidTr="009B2AC9">
        <w:tc>
          <w:tcPr>
            <w:tcW w:w="2345" w:type="pct"/>
            <w:tcBorders>
              <w:top w:val="single" w:sz="4" w:space="0" w:color="auto"/>
              <w:bottom w:val="single" w:sz="4" w:space="0" w:color="auto"/>
            </w:tcBorders>
            <w:noWrap/>
            <w:tcMar>
              <w:left w:w="108" w:type="dxa"/>
              <w:right w:w="108" w:type="dxa"/>
            </w:tcMar>
            <w:hideMark/>
          </w:tcPr>
          <w:p w14:paraId="7414DB03" w14:textId="77777777" w:rsidR="003F0B72" w:rsidRPr="00B84A73" w:rsidRDefault="003F0B72" w:rsidP="00733737">
            <w:pPr>
              <w:pStyle w:val="TableText"/>
              <w:rPr>
                <w:rStyle w:val="Strong"/>
              </w:rPr>
            </w:pPr>
            <w:r w:rsidRPr="00B84A73">
              <w:rPr>
                <w:rStyle w:val="Strong"/>
              </w:rPr>
              <w:t>Sub-total</w:t>
            </w:r>
          </w:p>
        </w:tc>
        <w:tc>
          <w:tcPr>
            <w:tcW w:w="885" w:type="pct"/>
            <w:tcBorders>
              <w:top w:val="single" w:sz="4" w:space="0" w:color="auto"/>
              <w:bottom w:val="single" w:sz="4" w:space="0" w:color="auto"/>
            </w:tcBorders>
            <w:noWrap/>
            <w:tcMar>
              <w:left w:w="108" w:type="dxa"/>
              <w:right w:w="108" w:type="dxa"/>
            </w:tcMar>
          </w:tcPr>
          <w:p w14:paraId="5F22ED50" w14:textId="710DD7F4" w:rsidR="003F0B72" w:rsidRPr="004375CA" w:rsidRDefault="00243864" w:rsidP="00733737">
            <w:pPr>
              <w:pStyle w:val="TableText"/>
              <w:jc w:val="right"/>
              <w:rPr>
                <w:rStyle w:val="Strong"/>
                <w:strike/>
                <w:highlight w:val="yellow"/>
              </w:rPr>
            </w:pPr>
            <w:r>
              <w:t>310,246,941</w:t>
            </w:r>
          </w:p>
        </w:tc>
        <w:tc>
          <w:tcPr>
            <w:tcW w:w="885" w:type="pct"/>
            <w:tcBorders>
              <w:top w:val="single" w:sz="4" w:space="0" w:color="auto"/>
              <w:bottom w:val="single" w:sz="4" w:space="0" w:color="auto"/>
            </w:tcBorders>
            <w:noWrap/>
            <w:tcMar>
              <w:left w:w="108" w:type="dxa"/>
              <w:right w:w="108" w:type="dxa"/>
            </w:tcMar>
          </w:tcPr>
          <w:p w14:paraId="59F6ED34" w14:textId="66B73571" w:rsidR="003F0B72" w:rsidRPr="004375CA" w:rsidRDefault="00243864" w:rsidP="00733737">
            <w:pPr>
              <w:pStyle w:val="TableText"/>
              <w:jc w:val="right"/>
              <w:rPr>
                <w:rStyle w:val="Strong"/>
                <w:strike/>
                <w:highlight w:val="yellow"/>
              </w:rPr>
            </w:pPr>
            <w:r>
              <w:t>149,230,618</w:t>
            </w:r>
          </w:p>
        </w:tc>
        <w:tc>
          <w:tcPr>
            <w:tcW w:w="885" w:type="pct"/>
            <w:tcBorders>
              <w:top w:val="single" w:sz="4" w:space="0" w:color="auto"/>
              <w:bottom w:val="single" w:sz="4" w:space="0" w:color="auto"/>
            </w:tcBorders>
            <w:noWrap/>
            <w:tcMar>
              <w:left w:w="108" w:type="dxa"/>
              <w:right w:w="108" w:type="dxa"/>
            </w:tcMar>
          </w:tcPr>
          <w:p w14:paraId="70F6C73E" w14:textId="1449E81E" w:rsidR="003F0B72" w:rsidRPr="00524638" w:rsidRDefault="00243864" w:rsidP="00733737">
            <w:pPr>
              <w:pStyle w:val="TableText"/>
              <w:jc w:val="right"/>
              <w:rPr>
                <w:rStyle w:val="Strong"/>
                <w:highlight w:val="yellow"/>
              </w:rPr>
            </w:pPr>
            <w:r>
              <w:rPr>
                <w:rStyle w:val="Strong"/>
              </w:rPr>
              <w:t>459,477,559</w:t>
            </w:r>
          </w:p>
        </w:tc>
      </w:tr>
      <w:tr w:rsidR="003F0B72" w:rsidRPr="009F1EFF" w14:paraId="5A26AAA4" w14:textId="77777777" w:rsidTr="009B2AC9">
        <w:tc>
          <w:tcPr>
            <w:tcW w:w="2345" w:type="pct"/>
            <w:tcBorders>
              <w:top w:val="single" w:sz="4" w:space="0" w:color="auto"/>
              <w:bottom w:val="single" w:sz="4" w:space="0" w:color="auto"/>
            </w:tcBorders>
            <w:noWrap/>
            <w:tcMar>
              <w:left w:w="108" w:type="dxa"/>
              <w:right w:w="108" w:type="dxa"/>
            </w:tcMar>
          </w:tcPr>
          <w:p w14:paraId="1C161BE4" w14:textId="77777777" w:rsidR="003F0B72" w:rsidRDefault="003F0B72" w:rsidP="00733737">
            <w:pPr>
              <w:pStyle w:val="TableText"/>
              <w:rPr>
                <w:lang w:eastAsia="ja-JP"/>
              </w:rPr>
            </w:pPr>
            <w:r w:rsidRPr="00257ED0">
              <w:rPr>
                <w:bCs/>
                <w:lang w:eastAsia="ja-JP"/>
              </w:rPr>
              <w:t xml:space="preserve">Less </w:t>
            </w:r>
            <w:r>
              <w:rPr>
                <w:bCs/>
                <w:lang w:eastAsia="ja-JP"/>
              </w:rPr>
              <w:t>g</w:t>
            </w:r>
            <w:r w:rsidRPr="00257ED0">
              <w:rPr>
                <w:bCs/>
                <w:lang w:eastAsia="ja-JP"/>
              </w:rPr>
              <w:t xml:space="preserve">overnment </w:t>
            </w:r>
            <w:r>
              <w:rPr>
                <w:bCs/>
                <w:lang w:eastAsia="ja-JP"/>
              </w:rPr>
              <w:t>a</w:t>
            </w:r>
            <w:r w:rsidRPr="00257ED0">
              <w:rPr>
                <w:bCs/>
                <w:lang w:eastAsia="ja-JP"/>
              </w:rPr>
              <w:t xml:space="preserve">ppropriation for </w:t>
            </w:r>
            <w:r>
              <w:rPr>
                <w:bCs/>
                <w:lang w:eastAsia="ja-JP"/>
              </w:rPr>
              <w:t>a</w:t>
            </w:r>
            <w:r w:rsidRPr="00257ED0">
              <w:rPr>
                <w:bCs/>
                <w:lang w:eastAsia="ja-JP"/>
              </w:rPr>
              <w:t>nti-</w:t>
            </w:r>
            <w:r>
              <w:rPr>
                <w:bCs/>
                <w:lang w:eastAsia="ja-JP"/>
              </w:rPr>
              <w:t>s</w:t>
            </w:r>
            <w:r w:rsidRPr="00257ED0">
              <w:rPr>
                <w:bCs/>
                <w:lang w:eastAsia="ja-JP"/>
              </w:rPr>
              <w:t xml:space="preserve">muggling </w:t>
            </w:r>
            <w:r>
              <w:rPr>
                <w:bCs/>
                <w:lang w:eastAsia="ja-JP"/>
              </w:rPr>
              <w:t>m</w:t>
            </w:r>
            <w:r w:rsidRPr="00257ED0">
              <w:rPr>
                <w:bCs/>
                <w:lang w:eastAsia="ja-JP"/>
              </w:rPr>
              <w:t>easures</w:t>
            </w:r>
          </w:p>
        </w:tc>
        <w:tc>
          <w:tcPr>
            <w:tcW w:w="885" w:type="pct"/>
            <w:tcBorders>
              <w:top w:val="single" w:sz="4" w:space="0" w:color="auto"/>
              <w:bottom w:val="single" w:sz="4" w:space="0" w:color="auto"/>
            </w:tcBorders>
            <w:noWrap/>
            <w:tcMar>
              <w:left w:w="108" w:type="dxa"/>
              <w:right w:w="108" w:type="dxa"/>
            </w:tcMar>
          </w:tcPr>
          <w:p w14:paraId="1738B1E1" w14:textId="77777777" w:rsidR="003F0B72" w:rsidRPr="004375CA" w:rsidRDefault="003F0B72" w:rsidP="000E6E1B">
            <w:pPr>
              <w:pStyle w:val="TableText"/>
              <w:jc w:val="right"/>
              <w:rPr>
                <w:strike/>
                <w:highlight w:val="yellow"/>
                <w:lang w:eastAsia="ja-JP"/>
              </w:rPr>
            </w:pPr>
            <w:r>
              <w:t>–</w:t>
            </w:r>
          </w:p>
        </w:tc>
        <w:tc>
          <w:tcPr>
            <w:tcW w:w="885" w:type="pct"/>
            <w:tcBorders>
              <w:top w:val="single" w:sz="4" w:space="0" w:color="auto"/>
              <w:bottom w:val="single" w:sz="4" w:space="0" w:color="auto"/>
            </w:tcBorders>
            <w:noWrap/>
            <w:tcMar>
              <w:left w:w="108" w:type="dxa"/>
              <w:right w:w="108" w:type="dxa"/>
            </w:tcMar>
          </w:tcPr>
          <w:p w14:paraId="750CB31E" w14:textId="77777777" w:rsidR="003F0B72" w:rsidRPr="00542B73" w:rsidRDefault="003F0B72" w:rsidP="000E6E1B">
            <w:pPr>
              <w:pStyle w:val="TableText"/>
              <w:jc w:val="right"/>
              <w:rPr>
                <w:highlight w:val="yellow"/>
              </w:rPr>
            </w:pPr>
            <w:r w:rsidRPr="00542B73">
              <w:t>–</w:t>
            </w:r>
          </w:p>
        </w:tc>
        <w:tc>
          <w:tcPr>
            <w:tcW w:w="885" w:type="pct"/>
            <w:tcBorders>
              <w:top w:val="single" w:sz="4" w:space="0" w:color="auto"/>
              <w:bottom w:val="single" w:sz="4" w:space="0" w:color="auto"/>
            </w:tcBorders>
            <w:noWrap/>
            <w:tcMar>
              <w:left w:w="108" w:type="dxa"/>
              <w:right w:w="108" w:type="dxa"/>
            </w:tcMar>
          </w:tcPr>
          <w:p w14:paraId="03407073" w14:textId="77777777" w:rsidR="003F0B72" w:rsidRPr="004375CA" w:rsidRDefault="003F0B72" w:rsidP="00733737">
            <w:pPr>
              <w:pStyle w:val="TableText"/>
              <w:jc w:val="right"/>
              <w:rPr>
                <w:strike/>
                <w:highlight w:val="yellow"/>
                <w:lang w:eastAsia="ja-JP"/>
              </w:rPr>
            </w:pPr>
            <w:r>
              <w:t>(</w:t>
            </w:r>
            <w:r w:rsidRPr="006C2F56">
              <w:t>1,618,084</w:t>
            </w:r>
            <w:r>
              <w:t>)</w:t>
            </w:r>
          </w:p>
        </w:tc>
      </w:tr>
      <w:tr w:rsidR="003F0B72" w:rsidRPr="009F1EFF" w14:paraId="607B0835" w14:textId="77777777" w:rsidTr="009B2AC9">
        <w:tc>
          <w:tcPr>
            <w:tcW w:w="2345" w:type="pct"/>
            <w:tcBorders>
              <w:top w:val="single" w:sz="4" w:space="0" w:color="auto"/>
              <w:bottom w:val="single" w:sz="4" w:space="0" w:color="auto"/>
            </w:tcBorders>
            <w:noWrap/>
            <w:tcMar>
              <w:left w:w="108" w:type="dxa"/>
              <w:right w:w="108" w:type="dxa"/>
            </w:tcMar>
          </w:tcPr>
          <w:p w14:paraId="186D3EA2" w14:textId="77777777" w:rsidR="003F0B72" w:rsidRPr="00257ED0" w:rsidRDefault="003F0B72" w:rsidP="00733737">
            <w:pPr>
              <w:pStyle w:val="TableText"/>
              <w:rPr>
                <w:b/>
                <w:bCs/>
                <w:lang w:eastAsia="ja-JP"/>
              </w:rPr>
            </w:pPr>
            <w:r w:rsidRPr="00257ED0">
              <w:rPr>
                <w:bCs/>
                <w:lang w:eastAsia="ja-JP"/>
              </w:rPr>
              <w:t>Less diagnostic consumables recovered at cost</w:t>
            </w:r>
          </w:p>
        </w:tc>
        <w:tc>
          <w:tcPr>
            <w:tcW w:w="885" w:type="pct"/>
            <w:tcBorders>
              <w:top w:val="single" w:sz="4" w:space="0" w:color="auto"/>
              <w:bottom w:val="single" w:sz="4" w:space="0" w:color="auto"/>
            </w:tcBorders>
            <w:noWrap/>
            <w:tcMar>
              <w:left w:w="108" w:type="dxa"/>
              <w:right w:w="108" w:type="dxa"/>
            </w:tcMar>
          </w:tcPr>
          <w:p w14:paraId="32088A4B" w14:textId="77777777" w:rsidR="003F0B72" w:rsidRPr="00542B73" w:rsidRDefault="003F0B72" w:rsidP="000E6E1B">
            <w:pPr>
              <w:pStyle w:val="TableText"/>
              <w:jc w:val="right"/>
              <w:rPr>
                <w:highlight w:val="yellow"/>
              </w:rPr>
            </w:pPr>
            <w:r w:rsidRPr="00542B73">
              <w:t>–</w:t>
            </w:r>
          </w:p>
        </w:tc>
        <w:tc>
          <w:tcPr>
            <w:tcW w:w="885" w:type="pct"/>
            <w:tcBorders>
              <w:top w:val="single" w:sz="4" w:space="0" w:color="auto"/>
              <w:bottom w:val="single" w:sz="4" w:space="0" w:color="auto"/>
            </w:tcBorders>
            <w:noWrap/>
            <w:tcMar>
              <w:left w:w="108" w:type="dxa"/>
              <w:right w:w="108" w:type="dxa"/>
            </w:tcMar>
          </w:tcPr>
          <w:p w14:paraId="0CAE36FE" w14:textId="77777777" w:rsidR="003F0B72" w:rsidRPr="00542B73" w:rsidRDefault="003F0B72" w:rsidP="000E6E1B">
            <w:pPr>
              <w:pStyle w:val="TableText"/>
              <w:jc w:val="right"/>
              <w:rPr>
                <w:highlight w:val="yellow"/>
              </w:rPr>
            </w:pPr>
            <w:r w:rsidRPr="00542B73">
              <w:t>–</w:t>
            </w:r>
          </w:p>
        </w:tc>
        <w:tc>
          <w:tcPr>
            <w:tcW w:w="885" w:type="pct"/>
            <w:tcBorders>
              <w:top w:val="single" w:sz="4" w:space="0" w:color="auto"/>
              <w:bottom w:val="single" w:sz="4" w:space="0" w:color="auto"/>
            </w:tcBorders>
            <w:noWrap/>
            <w:tcMar>
              <w:left w:w="108" w:type="dxa"/>
              <w:right w:w="108" w:type="dxa"/>
            </w:tcMar>
          </w:tcPr>
          <w:p w14:paraId="1280564A" w14:textId="77777777" w:rsidR="003F0B72" w:rsidRPr="004375CA" w:rsidRDefault="003F0B72" w:rsidP="00733737">
            <w:pPr>
              <w:pStyle w:val="TableText"/>
              <w:jc w:val="right"/>
              <w:rPr>
                <w:b/>
                <w:bCs/>
                <w:strike/>
                <w:highlight w:val="yellow"/>
                <w:lang w:eastAsia="ja-JP"/>
              </w:rPr>
            </w:pPr>
            <w:r>
              <w:t>(81,406)</w:t>
            </w:r>
          </w:p>
        </w:tc>
      </w:tr>
      <w:tr w:rsidR="003F0B72" w:rsidRPr="009F1EFF" w14:paraId="71682640" w14:textId="77777777" w:rsidTr="009B2AC9">
        <w:tc>
          <w:tcPr>
            <w:tcW w:w="2345" w:type="pct"/>
            <w:tcBorders>
              <w:top w:val="single" w:sz="4" w:space="0" w:color="auto"/>
              <w:bottom w:val="single" w:sz="4" w:space="0" w:color="auto"/>
            </w:tcBorders>
            <w:noWrap/>
            <w:tcMar>
              <w:left w:w="108" w:type="dxa"/>
              <w:right w:w="108" w:type="dxa"/>
            </w:tcMar>
          </w:tcPr>
          <w:p w14:paraId="6AF6C35A" w14:textId="77777777" w:rsidR="003F0B72" w:rsidRPr="00257ED0" w:rsidRDefault="003F0B72" w:rsidP="00733737">
            <w:pPr>
              <w:pStyle w:val="TableText"/>
              <w:rPr>
                <w:b/>
                <w:bCs/>
                <w:lang w:eastAsia="ja-JP"/>
              </w:rPr>
            </w:pPr>
            <w:r>
              <w:rPr>
                <w:bCs/>
                <w:lang w:eastAsia="ja-JP"/>
              </w:rPr>
              <w:t>Less costs paid on behalf of and recovered from companion animal importers</w:t>
            </w:r>
          </w:p>
        </w:tc>
        <w:tc>
          <w:tcPr>
            <w:tcW w:w="885" w:type="pct"/>
            <w:tcBorders>
              <w:top w:val="single" w:sz="4" w:space="0" w:color="auto"/>
              <w:bottom w:val="single" w:sz="4" w:space="0" w:color="auto"/>
            </w:tcBorders>
            <w:noWrap/>
            <w:tcMar>
              <w:left w:w="108" w:type="dxa"/>
              <w:right w:w="108" w:type="dxa"/>
            </w:tcMar>
          </w:tcPr>
          <w:p w14:paraId="17B13554" w14:textId="77777777" w:rsidR="003F0B72" w:rsidRPr="004375CA" w:rsidRDefault="003F0B72" w:rsidP="000E6E1B">
            <w:pPr>
              <w:pStyle w:val="TableText"/>
              <w:jc w:val="right"/>
              <w:rPr>
                <w:strike/>
                <w:highlight w:val="yellow"/>
                <w:lang w:eastAsia="ja-JP"/>
              </w:rPr>
            </w:pPr>
            <w:r>
              <w:t>–</w:t>
            </w:r>
          </w:p>
        </w:tc>
        <w:tc>
          <w:tcPr>
            <w:tcW w:w="885" w:type="pct"/>
            <w:tcBorders>
              <w:top w:val="single" w:sz="4" w:space="0" w:color="auto"/>
              <w:bottom w:val="single" w:sz="4" w:space="0" w:color="auto"/>
            </w:tcBorders>
            <w:noWrap/>
            <w:tcMar>
              <w:left w:w="108" w:type="dxa"/>
              <w:right w:w="108" w:type="dxa"/>
            </w:tcMar>
          </w:tcPr>
          <w:p w14:paraId="0457A512" w14:textId="77777777" w:rsidR="003F0B72" w:rsidRPr="004375CA" w:rsidRDefault="003F0B72" w:rsidP="000E6E1B">
            <w:pPr>
              <w:pStyle w:val="TableText"/>
              <w:jc w:val="right"/>
              <w:rPr>
                <w:strike/>
                <w:highlight w:val="yellow"/>
                <w:lang w:eastAsia="ja-JP"/>
              </w:rPr>
            </w:pPr>
            <w:r>
              <w:t>–</w:t>
            </w:r>
          </w:p>
        </w:tc>
        <w:tc>
          <w:tcPr>
            <w:tcW w:w="885" w:type="pct"/>
            <w:tcBorders>
              <w:top w:val="single" w:sz="4" w:space="0" w:color="auto"/>
              <w:bottom w:val="single" w:sz="4" w:space="0" w:color="auto"/>
            </w:tcBorders>
            <w:noWrap/>
            <w:tcMar>
              <w:left w:w="108" w:type="dxa"/>
              <w:right w:w="108" w:type="dxa"/>
            </w:tcMar>
          </w:tcPr>
          <w:p w14:paraId="316456F1" w14:textId="77777777" w:rsidR="003F0B72" w:rsidRPr="004375CA" w:rsidRDefault="003F0B72" w:rsidP="00733737">
            <w:pPr>
              <w:pStyle w:val="TableText"/>
              <w:jc w:val="right"/>
              <w:rPr>
                <w:b/>
                <w:bCs/>
                <w:strike/>
                <w:highlight w:val="yellow"/>
                <w:lang w:eastAsia="ja-JP"/>
              </w:rPr>
            </w:pPr>
            <w:r>
              <w:t>(</w:t>
            </w:r>
            <w:r w:rsidRPr="006C2F56">
              <w:t>800,000</w:t>
            </w:r>
            <w:r>
              <w:t>)</w:t>
            </w:r>
          </w:p>
        </w:tc>
      </w:tr>
      <w:tr w:rsidR="003F0B72" w:rsidRPr="009F1EFF" w14:paraId="6F52077B" w14:textId="77777777" w:rsidTr="009B2AC9">
        <w:tc>
          <w:tcPr>
            <w:tcW w:w="2345" w:type="pct"/>
            <w:tcBorders>
              <w:top w:val="single" w:sz="4" w:space="0" w:color="auto"/>
              <w:bottom w:val="single" w:sz="4" w:space="0" w:color="auto"/>
            </w:tcBorders>
            <w:noWrap/>
            <w:tcMar>
              <w:left w:w="108" w:type="dxa"/>
              <w:right w:w="108" w:type="dxa"/>
            </w:tcMar>
          </w:tcPr>
          <w:p w14:paraId="43906920" w14:textId="77777777" w:rsidR="003F0B72" w:rsidRPr="00B84A73" w:rsidRDefault="003F0B72" w:rsidP="00733737">
            <w:pPr>
              <w:pStyle w:val="TableText"/>
              <w:rPr>
                <w:rStyle w:val="Strong"/>
              </w:rPr>
            </w:pPr>
            <w:r w:rsidRPr="00B84A73">
              <w:rPr>
                <w:rStyle w:val="Strong"/>
              </w:rPr>
              <w:t xml:space="preserve">Net costs to </w:t>
            </w:r>
            <w:proofErr w:type="gramStart"/>
            <w:r w:rsidRPr="00B84A73">
              <w:rPr>
                <w:rStyle w:val="Strong"/>
              </w:rPr>
              <w:t>be recovered</w:t>
            </w:r>
            <w:proofErr w:type="gramEnd"/>
          </w:p>
        </w:tc>
        <w:tc>
          <w:tcPr>
            <w:tcW w:w="885" w:type="pct"/>
            <w:tcBorders>
              <w:top w:val="single" w:sz="4" w:space="0" w:color="auto"/>
              <w:bottom w:val="single" w:sz="4" w:space="0" w:color="auto"/>
            </w:tcBorders>
            <w:noWrap/>
            <w:tcMar>
              <w:left w:w="108" w:type="dxa"/>
              <w:right w:w="108" w:type="dxa"/>
            </w:tcMar>
          </w:tcPr>
          <w:p w14:paraId="161DBE7A" w14:textId="77777777" w:rsidR="003F0B72" w:rsidRPr="004375CA" w:rsidRDefault="003F0B72" w:rsidP="000E6E1B">
            <w:pPr>
              <w:pStyle w:val="TableText"/>
              <w:jc w:val="right"/>
              <w:rPr>
                <w:rStyle w:val="Strong"/>
                <w:strike/>
                <w:highlight w:val="yellow"/>
              </w:rPr>
            </w:pPr>
            <w:r>
              <w:t>–</w:t>
            </w:r>
          </w:p>
        </w:tc>
        <w:tc>
          <w:tcPr>
            <w:tcW w:w="885" w:type="pct"/>
            <w:tcBorders>
              <w:top w:val="single" w:sz="4" w:space="0" w:color="auto"/>
              <w:bottom w:val="single" w:sz="4" w:space="0" w:color="auto"/>
            </w:tcBorders>
            <w:noWrap/>
            <w:tcMar>
              <w:left w:w="108" w:type="dxa"/>
              <w:right w:w="108" w:type="dxa"/>
            </w:tcMar>
          </w:tcPr>
          <w:p w14:paraId="0E211D99" w14:textId="77777777" w:rsidR="003F0B72" w:rsidRPr="004375CA" w:rsidRDefault="003F0B72" w:rsidP="000E6E1B">
            <w:pPr>
              <w:pStyle w:val="TableText"/>
              <w:jc w:val="right"/>
              <w:rPr>
                <w:rStyle w:val="Strong"/>
                <w:strike/>
                <w:highlight w:val="yellow"/>
              </w:rPr>
            </w:pPr>
            <w:r>
              <w:t>–</w:t>
            </w:r>
          </w:p>
        </w:tc>
        <w:tc>
          <w:tcPr>
            <w:tcW w:w="885" w:type="pct"/>
            <w:tcBorders>
              <w:top w:val="single" w:sz="4" w:space="0" w:color="auto"/>
              <w:bottom w:val="single" w:sz="4" w:space="0" w:color="auto"/>
            </w:tcBorders>
            <w:noWrap/>
            <w:tcMar>
              <w:left w:w="108" w:type="dxa"/>
              <w:right w:w="108" w:type="dxa"/>
            </w:tcMar>
          </w:tcPr>
          <w:p w14:paraId="277930CE" w14:textId="672533B2" w:rsidR="003F0B72" w:rsidRPr="00A968F0" w:rsidRDefault="00243864" w:rsidP="00733737">
            <w:pPr>
              <w:pStyle w:val="TableText"/>
              <w:jc w:val="right"/>
              <w:rPr>
                <w:rStyle w:val="Strong"/>
                <w:highlight w:val="yellow"/>
              </w:rPr>
            </w:pPr>
            <w:r>
              <w:rPr>
                <w:rStyle w:val="Strong"/>
              </w:rPr>
              <w:t>456,978,069</w:t>
            </w:r>
          </w:p>
        </w:tc>
      </w:tr>
    </w:tbl>
    <w:p w14:paraId="5ACE7E1A" w14:textId="0F0C4BC3" w:rsidR="003F0B72" w:rsidRDefault="003F0B72" w:rsidP="00C10B18">
      <w:pPr>
        <w:pStyle w:val="Heading3"/>
        <w:spacing w:before="360"/>
        <w:rPr>
          <w:lang w:eastAsia="ja-JP"/>
        </w:rPr>
      </w:pPr>
      <w:bookmarkStart w:id="104" w:name="_Toc200115594"/>
      <w:r>
        <w:rPr>
          <w:lang w:eastAsia="ja-JP"/>
        </w:rPr>
        <w:t>Cost drivers</w:t>
      </w:r>
      <w:bookmarkEnd w:id="104"/>
    </w:p>
    <w:p w14:paraId="10424A1B" w14:textId="124D8C23" w:rsidR="003F0B72" w:rsidRPr="004F5EC6" w:rsidRDefault="00886EB4" w:rsidP="003F0B72">
      <w:pPr>
        <w:rPr>
          <w:rFonts w:cstheme="minorHAnsi"/>
          <w:lang w:eastAsia="ja-JP"/>
        </w:rPr>
      </w:pPr>
      <w:r w:rsidRPr="004F5EC6">
        <w:rPr>
          <w:rFonts w:cstheme="minorHAnsi"/>
          <w:lang w:eastAsia="ja-JP"/>
        </w:rPr>
        <w:t>The department uses a</w:t>
      </w:r>
      <w:r w:rsidR="003F0B72" w:rsidRPr="004F5EC6">
        <w:rPr>
          <w:rFonts w:cstheme="minorHAnsi"/>
          <w:lang w:eastAsia="ja-JP"/>
        </w:rPr>
        <w:t xml:space="preserve">n activity-based costing (ABC) system to determine the cost of regulatory activities. Our ABC allocation methodology reflects effort incurred in delivering activities to </w:t>
      </w:r>
      <w:r w:rsidR="0068698F" w:rsidRPr="004F5EC6">
        <w:rPr>
          <w:rFonts w:cstheme="minorHAnsi"/>
          <w:lang w:eastAsia="ja-JP"/>
        </w:rPr>
        <w:t>regulat</w:t>
      </w:r>
      <w:r w:rsidR="0068698F">
        <w:rPr>
          <w:rFonts w:cstheme="minorHAnsi"/>
          <w:lang w:eastAsia="ja-JP"/>
        </w:rPr>
        <w:t xml:space="preserve">ed </w:t>
      </w:r>
      <w:r w:rsidR="003F0B72" w:rsidRPr="004F5EC6">
        <w:rPr>
          <w:rFonts w:cstheme="minorHAnsi"/>
          <w:lang w:eastAsia="ja-JP"/>
        </w:rPr>
        <w:t>entit</w:t>
      </w:r>
      <w:r w:rsidR="0068698F">
        <w:rPr>
          <w:rFonts w:cstheme="minorHAnsi"/>
          <w:lang w:eastAsia="ja-JP"/>
        </w:rPr>
        <w:t>ies</w:t>
      </w:r>
      <w:r w:rsidR="003F0B72" w:rsidRPr="004F5EC6">
        <w:rPr>
          <w:rFonts w:cstheme="minorHAnsi"/>
          <w:lang w:eastAsia="ja-JP"/>
        </w:rPr>
        <w:t>. This provides an accountable and transparent allocation of costs that is also efficient and effective</w:t>
      </w:r>
      <w:r w:rsidR="00C90D8F" w:rsidRPr="004F5EC6">
        <w:rPr>
          <w:rFonts w:cstheme="minorHAnsi"/>
          <w:lang w:eastAsia="ja-JP"/>
        </w:rPr>
        <w:t xml:space="preserve"> for the department</w:t>
      </w:r>
      <w:r w:rsidR="003F0B72" w:rsidRPr="004F5EC6">
        <w:rPr>
          <w:rFonts w:cstheme="minorHAnsi"/>
          <w:lang w:eastAsia="ja-JP"/>
        </w:rPr>
        <w:t xml:space="preserve"> to administer.</w:t>
      </w:r>
    </w:p>
    <w:p w14:paraId="5A21990A" w14:textId="3A2B4AE8" w:rsidR="003F0B72" w:rsidRPr="004F5EC6" w:rsidRDefault="00F453BF" w:rsidP="003F0B72">
      <w:pPr>
        <w:rPr>
          <w:rFonts w:cstheme="minorHAnsi"/>
          <w:lang w:eastAsia="ja-JP"/>
        </w:rPr>
      </w:pPr>
      <w:r>
        <w:rPr>
          <w:rFonts w:cstheme="minorHAnsi"/>
          <w:lang w:eastAsia="ja-JP"/>
        </w:rPr>
        <w:t>T</w:t>
      </w:r>
      <w:r w:rsidR="003F0B72" w:rsidRPr="004F5EC6">
        <w:rPr>
          <w:rFonts w:cstheme="minorHAnsi"/>
          <w:lang w:eastAsia="ja-JP"/>
        </w:rPr>
        <w:t>he term ‘</w:t>
      </w:r>
      <w:r w:rsidR="00C90D8F" w:rsidRPr="004F5EC6">
        <w:rPr>
          <w:rFonts w:cstheme="minorHAnsi"/>
          <w:lang w:eastAsia="ja-JP"/>
        </w:rPr>
        <w:t>program’</w:t>
      </w:r>
      <w:r w:rsidR="003F0B72" w:rsidRPr="004F5EC6">
        <w:rPr>
          <w:rFonts w:cstheme="minorHAnsi"/>
          <w:lang w:eastAsia="ja-JP"/>
        </w:rPr>
        <w:t xml:space="preserve"> </w:t>
      </w:r>
      <w:proofErr w:type="gramStart"/>
      <w:r w:rsidR="007F0E93">
        <w:rPr>
          <w:rFonts w:cstheme="minorHAnsi"/>
          <w:lang w:eastAsia="ja-JP"/>
        </w:rPr>
        <w:t>is used</w:t>
      </w:r>
      <w:proofErr w:type="gramEnd"/>
      <w:r>
        <w:rPr>
          <w:rFonts w:cstheme="minorHAnsi"/>
          <w:lang w:eastAsia="ja-JP"/>
        </w:rPr>
        <w:t xml:space="preserve"> to </w:t>
      </w:r>
      <w:r w:rsidR="003F0B72" w:rsidRPr="004F5EC6">
        <w:rPr>
          <w:rFonts w:cstheme="minorHAnsi"/>
          <w:lang w:eastAsia="ja-JP"/>
        </w:rPr>
        <w:t>refer to the related activities provided to a</w:t>
      </w:r>
      <w:r w:rsidR="00886EB4" w:rsidRPr="004F5EC6">
        <w:rPr>
          <w:rFonts w:cstheme="minorHAnsi"/>
          <w:lang w:eastAsia="ja-JP"/>
        </w:rPr>
        <w:t xml:space="preserve"> regulated</w:t>
      </w:r>
      <w:r w:rsidR="003F0B72" w:rsidRPr="004F5EC6">
        <w:rPr>
          <w:rFonts w:cstheme="minorHAnsi"/>
          <w:lang w:eastAsia="ja-JP"/>
        </w:rPr>
        <w:t xml:space="preserve"> industry grouping. </w:t>
      </w:r>
      <w:r w:rsidR="00FA3D7E">
        <w:rPr>
          <w:rFonts w:cstheme="minorHAnsi"/>
          <w:lang w:eastAsia="ja-JP"/>
        </w:rPr>
        <w:t xml:space="preserve">There </w:t>
      </w:r>
      <w:r w:rsidR="00FA3D7E" w:rsidRPr="004D70D4">
        <w:rPr>
          <w:rFonts w:cstheme="minorHAnsi"/>
          <w:lang w:eastAsia="ja-JP"/>
        </w:rPr>
        <w:t xml:space="preserve">are </w:t>
      </w:r>
      <w:r w:rsidR="003F0B72" w:rsidRPr="004D70D4">
        <w:rPr>
          <w:rFonts w:cstheme="minorHAnsi"/>
          <w:lang w:eastAsia="ja-JP"/>
        </w:rPr>
        <w:t xml:space="preserve">3 </w:t>
      </w:r>
      <w:r w:rsidR="00C90D8F" w:rsidRPr="004D70D4">
        <w:rPr>
          <w:rFonts w:cstheme="minorHAnsi"/>
          <w:lang w:eastAsia="ja-JP"/>
        </w:rPr>
        <w:t>programs</w:t>
      </w:r>
      <w:r w:rsidR="003F0B72" w:rsidRPr="004D70D4">
        <w:rPr>
          <w:rFonts w:cstheme="minorHAnsi"/>
          <w:lang w:eastAsia="ja-JP"/>
        </w:rPr>
        <w:t xml:space="preserve"> under the </w:t>
      </w:r>
      <w:r w:rsidR="00FA3D7E" w:rsidRPr="004D70D4">
        <w:rPr>
          <w:rFonts w:cstheme="minorHAnsi"/>
          <w:lang w:eastAsia="ja-JP"/>
        </w:rPr>
        <w:t>arrangement</w:t>
      </w:r>
      <w:r w:rsidR="003F0B72" w:rsidRPr="004D70D4">
        <w:rPr>
          <w:rFonts w:cstheme="minorHAnsi"/>
          <w:lang w:eastAsia="ja-JP"/>
        </w:rPr>
        <w:t xml:space="preserve"> and 3 sub-</w:t>
      </w:r>
      <w:r w:rsidR="00C90D8F" w:rsidRPr="00E6418B">
        <w:rPr>
          <w:rFonts w:cstheme="minorHAnsi"/>
          <w:lang w:eastAsia="ja-JP"/>
        </w:rPr>
        <w:t>programs</w:t>
      </w:r>
      <w:r w:rsidR="00E6418B">
        <w:rPr>
          <w:rFonts w:cstheme="minorHAnsi"/>
          <w:lang w:eastAsia="ja-JP"/>
        </w:rPr>
        <w:t xml:space="preserve"> </w:t>
      </w:r>
      <w:r w:rsidR="0087054E">
        <w:rPr>
          <w:rFonts w:cstheme="minorHAnsi"/>
          <w:lang w:eastAsia="ja-JP"/>
        </w:rPr>
        <w:t>under the PEQ program</w:t>
      </w:r>
      <w:r w:rsidR="003F0B72" w:rsidRPr="004F5EC6">
        <w:rPr>
          <w:rFonts w:cstheme="minorHAnsi"/>
          <w:lang w:eastAsia="ja-JP"/>
        </w:rPr>
        <w:t>:</w:t>
      </w:r>
    </w:p>
    <w:p w14:paraId="55F90D6B" w14:textId="16B5E289" w:rsidR="003F0B72" w:rsidRPr="00FF2F78" w:rsidRDefault="003F0B72" w:rsidP="001D3FAB">
      <w:pPr>
        <w:pStyle w:val="ListNumber"/>
        <w:numPr>
          <w:ilvl w:val="0"/>
          <w:numId w:val="37"/>
        </w:numPr>
      </w:pPr>
      <w:r w:rsidRPr="00FF2F78">
        <w:t>Import clearance –</w:t>
      </w:r>
      <w:r w:rsidR="00150527" w:rsidRPr="00FF2F78">
        <w:t xml:space="preserve"> </w:t>
      </w:r>
      <w:r w:rsidRPr="00FF2F78">
        <w:t>cargo clearance</w:t>
      </w:r>
      <w:r w:rsidR="00EB4F6E" w:rsidRPr="00FF2F78">
        <w:t xml:space="preserve"> and management </w:t>
      </w:r>
      <w:r w:rsidRPr="00FF2F78">
        <w:t>activities</w:t>
      </w:r>
      <w:r w:rsidR="001F1FA9" w:rsidRPr="00FF2F78">
        <w:t xml:space="preserve"> for importers</w:t>
      </w:r>
    </w:p>
    <w:p w14:paraId="4E849437" w14:textId="639274CE" w:rsidR="003F0B72" w:rsidRPr="00FF2F78" w:rsidRDefault="003F0B72" w:rsidP="001D3FAB">
      <w:pPr>
        <w:pStyle w:val="ListNumber"/>
      </w:pPr>
      <w:r w:rsidRPr="00FF2F78">
        <w:t xml:space="preserve">Seaports – </w:t>
      </w:r>
      <w:r w:rsidR="001F1FA9" w:rsidRPr="00FF2F78">
        <w:t xml:space="preserve">clearance activities </w:t>
      </w:r>
      <w:r w:rsidRPr="00FF2F78">
        <w:t xml:space="preserve">for </w:t>
      </w:r>
      <w:r w:rsidR="009D23C4" w:rsidRPr="00FF2F78">
        <w:t xml:space="preserve">vessel </w:t>
      </w:r>
      <w:r w:rsidR="001F1FA9" w:rsidRPr="00FF2F78">
        <w:t>operators</w:t>
      </w:r>
    </w:p>
    <w:p w14:paraId="4F36F3B9" w14:textId="514568A6" w:rsidR="003F0B72" w:rsidRPr="004D70D4" w:rsidRDefault="003F0B72" w:rsidP="001D3FAB">
      <w:pPr>
        <w:pStyle w:val="ListNumber"/>
      </w:pPr>
      <w:r w:rsidRPr="004D70D4">
        <w:t>PEQ users</w:t>
      </w:r>
      <w:r w:rsidR="00AD2CA4" w:rsidRPr="004D70D4">
        <w:t>, including</w:t>
      </w:r>
    </w:p>
    <w:p w14:paraId="0A30CFB6" w14:textId="22CDE4B4" w:rsidR="003F0B72" w:rsidRPr="008B0333" w:rsidRDefault="00AD2CA4" w:rsidP="001D3FAB">
      <w:pPr>
        <w:pStyle w:val="ListNumber2"/>
      </w:pPr>
      <w:r>
        <w:t>h</w:t>
      </w:r>
      <w:r w:rsidR="003F0B72" w:rsidRPr="008B0333">
        <w:t>orse importers</w:t>
      </w:r>
    </w:p>
    <w:p w14:paraId="0D9D21E2" w14:textId="4FCB83B7" w:rsidR="003F0B72" w:rsidRPr="008B0333" w:rsidRDefault="00AD2CA4" w:rsidP="001D3FAB">
      <w:pPr>
        <w:pStyle w:val="ListNumber2"/>
      </w:pPr>
      <w:r>
        <w:t>i</w:t>
      </w:r>
      <w:r w:rsidR="003F0B72" w:rsidRPr="008B0333">
        <w:t>mporters of other animals</w:t>
      </w:r>
      <w:r w:rsidR="004F5EC6" w:rsidRPr="008B0333">
        <w:t xml:space="preserve"> – </w:t>
      </w:r>
      <w:r w:rsidR="003F0B72" w:rsidRPr="008B0333">
        <w:t>cats, dogs, bees, ruminants, live birds and hatching eggs</w:t>
      </w:r>
    </w:p>
    <w:p w14:paraId="60298762" w14:textId="4D88D168" w:rsidR="003F0B72" w:rsidRPr="008B0333" w:rsidRDefault="00AD2CA4" w:rsidP="001D3FAB">
      <w:pPr>
        <w:pStyle w:val="ListNumber2"/>
      </w:pPr>
      <w:r>
        <w:t>p</w:t>
      </w:r>
      <w:r w:rsidR="003F0B72" w:rsidRPr="008B0333">
        <w:t>lant importers.</w:t>
      </w:r>
    </w:p>
    <w:p w14:paraId="4F54C75E" w14:textId="15986E4F" w:rsidR="00886EB4" w:rsidRDefault="00886EB4" w:rsidP="00886EB4">
      <w:pPr>
        <w:pStyle w:val="Heading4"/>
        <w:rPr>
          <w:lang w:eastAsia="ja-JP"/>
        </w:rPr>
      </w:pPr>
      <w:bookmarkStart w:id="105" w:name="_Description_of_the"/>
      <w:bookmarkEnd w:id="105"/>
      <w:r>
        <w:rPr>
          <w:lang w:eastAsia="ja-JP"/>
        </w:rPr>
        <w:lastRenderedPageBreak/>
        <w:t>Description of the cost allocation process</w:t>
      </w:r>
    </w:p>
    <w:p w14:paraId="692AB257" w14:textId="1B56EFCC" w:rsidR="005F277E" w:rsidRPr="004F5EC6" w:rsidRDefault="005F277E" w:rsidP="005F277E">
      <w:pPr>
        <w:rPr>
          <w:rFonts w:cstheme="minorHAnsi"/>
          <w:lang w:eastAsia="ja-JP"/>
        </w:rPr>
      </w:pPr>
      <w:r w:rsidRPr="004F5EC6">
        <w:rPr>
          <w:rFonts w:cstheme="minorHAnsi"/>
          <w:lang w:eastAsia="ja-JP"/>
        </w:rPr>
        <w:t xml:space="preserve">The </w:t>
      </w:r>
      <w:r w:rsidRPr="004F5EC6">
        <w:rPr>
          <w:rFonts w:cstheme="minorHAnsi"/>
        </w:rPr>
        <w:t xml:space="preserve">cost allocation process apportions </w:t>
      </w:r>
      <w:r w:rsidR="00886EB4" w:rsidRPr="004F5EC6">
        <w:rPr>
          <w:rFonts w:cstheme="minorHAnsi"/>
        </w:rPr>
        <w:t xml:space="preserve">identified </w:t>
      </w:r>
      <w:r w:rsidRPr="004F5EC6">
        <w:rPr>
          <w:rFonts w:cstheme="minorHAnsi"/>
        </w:rPr>
        <w:t xml:space="preserve">indirect and direct costs to the processes and activities defined in </w:t>
      </w:r>
      <w:hyperlink w:anchor="_Appendix_B:_Description" w:history="1">
        <w:r w:rsidRPr="004F5EC6">
          <w:rPr>
            <w:rStyle w:val="Hyperlink"/>
            <w:rFonts w:cstheme="minorHAnsi"/>
          </w:rPr>
          <w:t>Appendix B</w:t>
        </w:r>
      </w:hyperlink>
      <w:r w:rsidRPr="004F5EC6">
        <w:rPr>
          <w:rFonts w:cstheme="minorHAnsi"/>
        </w:rPr>
        <w:t xml:space="preserve">. </w:t>
      </w:r>
      <w:r w:rsidRPr="004F5EC6">
        <w:rPr>
          <w:rFonts w:cstheme="minorHAnsi"/>
          <w:lang w:eastAsia="ja-JP"/>
        </w:rPr>
        <w:t xml:space="preserve">Indirect costs </w:t>
      </w:r>
      <w:proofErr w:type="gramStart"/>
      <w:r w:rsidRPr="004F5EC6">
        <w:rPr>
          <w:rFonts w:cstheme="minorHAnsi"/>
          <w:lang w:eastAsia="ja-JP"/>
        </w:rPr>
        <w:t>are included</w:t>
      </w:r>
      <w:proofErr w:type="gramEnd"/>
      <w:r w:rsidRPr="004F5EC6">
        <w:rPr>
          <w:rFonts w:cstheme="minorHAnsi"/>
          <w:lang w:eastAsia="ja-JP"/>
        </w:rPr>
        <w:t xml:space="preserve"> in the cost base to reflect the staff, systems and supporting areas that assist with administration and benefit the </w:t>
      </w:r>
      <w:r w:rsidR="00CE5218">
        <w:rPr>
          <w:rFonts w:cstheme="minorHAnsi"/>
          <w:lang w:eastAsia="ja-JP"/>
        </w:rPr>
        <w:t xml:space="preserve">whole </w:t>
      </w:r>
      <w:r w:rsidRPr="004F5EC6">
        <w:rPr>
          <w:rFonts w:cstheme="minorHAnsi"/>
          <w:lang w:eastAsia="ja-JP"/>
        </w:rPr>
        <w:t>arrangement.</w:t>
      </w:r>
    </w:p>
    <w:p w14:paraId="2608B3CF" w14:textId="41042A16" w:rsidR="005F277E" w:rsidRPr="004F5EC6" w:rsidRDefault="005F277E" w:rsidP="005F277E">
      <w:pPr>
        <w:rPr>
          <w:rFonts w:cstheme="minorHAnsi"/>
          <w:lang w:eastAsia="ja-JP"/>
        </w:rPr>
      </w:pPr>
      <w:r w:rsidRPr="004F5EC6">
        <w:rPr>
          <w:rFonts w:cstheme="minorHAnsi"/>
          <w:lang w:eastAsia="ja-JP"/>
        </w:rPr>
        <w:t xml:space="preserve">The ABC system allocates costs in a </w:t>
      </w:r>
      <w:r w:rsidR="00D87B8D">
        <w:rPr>
          <w:rFonts w:cstheme="minorHAnsi"/>
          <w:lang w:eastAsia="ja-JP"/>
        </w:rPr>
        <w:t>3</w:t>
      </w:r>
      <w:r w:rsidR="00886EB4" w:rsidRPr="004F5EC6">
        <w:rPr>
          <w:rFonts w:cstheme="minorHAnsi"/>
          <w:lang w:eastAsia="ja-JP"/>
        </w:rPr>
        <w:t>-</w:t>
      </w:r>
      <w:r w:rsidRPr="004F5EC6">
        <w:rPr>
          <w:rFonts w:cstheme="minorHAnsi"/>
          <w:lang w:eastAsia="ja-JP"/>
        </w:rPr>
        <w:t>staged approach to</w:t>
      </w:r>
      <w:r w:rsidR="00886EB4" w:rsidRPr="004F5EC6">
        <w:rPr>
          <w:rFonts w:cstheme="minorHAnsi"/>
          <w:lang w:eastAsia="ja-JP"/>
        </w:rPr>
        <w:t xml:space="preserve"> programs</w:t>
      </w:r>
      <w:r w:rsidRPr="004F5EC6">
        <w:rPr>
          <w:rFonts w:cstheme="minorHAnsi"/>
          <w:lang w:eastAsia="ja-JP"/>
        </w:rPr>
        <w:t>. The steps are:</w:t>
      </w:r>
    </w:p>
    <w:p w14:paraId="7BB3477A" w14:textId="0497F029" w:rsidR="00180660" w:rsidRDefault="005F277E" w:rsidP="00AD555A">
      <w:pPr>
        <w:pStyle w:val="ListNumber"/>
        <w:numPr>
          <w:ilvl w:val="0"/>
          <w:numId w:val="35"/>
        </w:numPr>
        <w:rPr>
          <w:lang w:eastAsia="ja-JP"/>
        </w:rPr>
      </w:pPr>
      <w:r w:rsidRPr="004F5EC6">
        <w:rPr>
          <w:lang w:eastAsia="ja-JP"/>
        </w:rPr>
        <w:t>Indirect costs are allocated to direct cost centres using a cost driver that estimates the relative use of each activity.</w:t>
      </w:r>
    </w:p>
    <w:p w14:paraId="36E6DDDF" w14:textId="3D90EBCF" w:rsidR="005F277E" w:rsidRPr="004F5EC6" w:rsidRDefault="005F277E" w:rsidP="0033709B">
      <w:pPr>
        <w:pStyle w:val="ListNumber2"/>
        <w:rPr>
          <w:lang w:eastAsia="ja-JP"/>
        </w:rPr>
      </w:pPr>
      <w:r w:rsidRPr="004F5EC6">
        <w:rPr>
          <w:lang w:eastAsia="ja-JP"/>
        </w:rPr>
        <w:t xml:space="preserve">Cost drivers </w:t>
      </w:r>
      <w:proofErr w:type="gramStart"/>
      <w:r w:rsidRPr="004F5EC6">
        <w:rPr>
          <w:lang w:eastAsia="ja-JP"/>
        </w:rPr>
        <w:t>are reviewed</w:t>
      </w:r>
      <w:proofErr w:type="gramEnd"/>
      <w:r w:rsidRPr="004F5EC6">
        <w:rPr>
          <w:lang w:eastAsia="ja-JP"/>
        </w:rPr>
        <w:t xml:space="preserve"> on an annual basis or as required. Changes to cost drivers </w:t>
      </w:r>
      <w:proofErr w:type="gramStart"/>
      <w:r w:rsidRPr="004F5EC6">
        <w:rPr>
          <w:lang w:eastAsia="ja-JP"/>
        </w:rPr>
        <w:t>are substantiated</w:t>
      </w:r>
      <w:proofErr w:type="gramEnd"/>
      <w:r w:rsidRPr="004F5EC6">
        <w:rPr>
          <w:lang w:eastAsia="ja-JP"/>
        </w:rPr>
        <w:t xml:space="preserve"> through effort or other data</w:t>
      </w:r>
      <w:r w:rsidR="00886EB4" w:rsidRPr="004F5EC6">
        <w:rPr>
          <w:lang w:eastAsia="ja-JP"/>
        </w:rPr>
        <w:t xml:space="preserve"> appropriate to the costs incurred</w:t>
      </w:r>
      <w:r w:rsidRPr="004F5EC6">
        <w:rPr>
          <w:lang w:eastAsia="ja-JP"/>
        </w:rPr>
        <w:t>.</w:t>
      </w:r>
    </w:p>
    <w:p w14:paraId="51DA8D67" w14:textId="3E80FA78" w:rsidR="005F277E" w:rsidRPr="0033709B" w:rsidRDefault="005F277E" w:rsidP="0033709B">
      <w:pPr>
        <w:pStyle w:val="ListNumber"/>
      </w:pPr>
      <w:r w:rsidRPr="0033709B">
        <w:t xml:space="preserve">Direct cost centre costs, which </w:t>
      </w:r>
      <w:r w:rsidR="00886EB4" w:rsidRPr="0033709B">
        <w:t xml:space="preserve">now </w:t>
      </w:r>
      <w:r w:rsidRPr="0033709B">
        <w:t>include the indirect costs allocated in step 1, are allocated to</w:t>
      </w:r>
      <w:r w:rsidR="00886EB4" w:rsidRPr="0033709B">
        <w:t xml:space="preserve"> a cost recovered program and to the activity</w:t>
      </w:r>
      <w:r w:rsidRPr="0033709B">
        <w:t xml:space="preserve"> that best reflects the </w:t>
      </w:r>
      <w:r w:rsidR="00886EB4" w:rsidRPr="0033709B">
        <w:t>work</w:t>
      </w:r>
      <w:r w:rsidRPr="0033709B">
        <w:t xml:space="preserve"> undertaken.</w:t>
      </w:r>
    </w:p>
    <w:p w14:paraId="772763B1" w14:textId="2F897EEC" w:rsidR="005F277E" w:rsidRPr="0033709B" w:rsidRDefault="005F277E" w:rsidP="0033709B">
      <w:pPr>
        <w:pStyle w:val="ListNumber"/>
      </w:pPr>
      <w:r w:rsidRPr="0033709B">
        <w:t xml:space="preserve">The </w:t>
      </w:r>
      <w:r w:rsidR="00886EB4" w:rsidRPr="0033709B">
        <w:t xml:space="preserve">combination of </w:t>
      </w:r>
      <w:r w:rsidRPr="0033709B">
        <w:t>activity/</w:t>
      </w:r>
      <w:r w:rsidR="00886EB4" w:rsidRPr="0033709B">
        <w:t>program</w:t>
      </w:r>
      <w:r w:rsidRPr="0033709B">
        <w:t xml:space="preserve"> costs from step 2 are allocated to charge points that identify the cost associated with that charge. The costs allocated to a charge point, when divided by the estimated volume of that activity, determine the price for that activity.</w:t>
      </w:r>
    </w:p>
    <w:p w14:paraId="04073EB7" w14:textId="54C57476" w:rsidR="005F277E" w:rsidRDefault="009D0C98" w:rsidP="000101D7">
      <w:pPr>
        <w:pStyle w:val="Heading3"/>
        <w:rPr>
          <w:lang w:eastAsia="ja-JP"/>
        </w:rPr>
      </w:pPr>
      <w:bookmarkStart w:id="106" w:name="_Toc200115595"/>
      <w:r>
        <w:rPr>
          <w:lang w:eastAsia="ja-JP"/>
        </w:rPr>
        <w:t>Output volume assumptions</w:t>
      </w:r>
      <w:bookmarkEnd w:id="106"/>
    </w:p>
    <w:p w14:paraId="1CCDC828" w14:textId="23E9F944" w:rsidR="000101D7" w:rsidRDefault="000101D7" w:rsidP="009D0C98">
      <w:pPr>
        <w:rPr>
          <w:lang w:eastAsia="ja-JP"/>
        </w:rPr>
      </w:pPr>
      <w:r>
        <w:rPr>
          <w:lang w:eastAsia="ja-JP"/>
        </w:rPr>
        <w:t xml:space="preserve">Our forecast volumes for each output, represented </w:t>
      </w:r>
      <w:r w:rsidR="004E284A">
        <w:rPr>
          <w:lang w:eastAsia="ja-JP"/>
        </w:rPr>
        <w:t xml:space="preserve">through </w:t>
      </w:r>
      <w:r>
        <w:rPr>
          <w:lang w:eastAsia="ja-JP"/>
        </w:rPr>
        <w:t xml:space="preserve">charge points, </w:t>
      </w:r>
      <w:proofErr w:type="gramStart"/>
      <w:r>
        <w:rPr>
          <w:lang w:eastAsia="ja-JP"/>
        </w:rPr>
        <w:t>are derived</w:t>
      </w:r>
      <w:proofErr w:type="gramEnd"/>
      <w:r>
        <w:rPr>
          <w:lang w:eastAsia="ja-JP"/>
        </w:rPr>
        <w:t xml:space="preserve"> by:</w:t>
      </w:r>
    </w:p>
    <w:p w14:paraId="79F76181" w14:textId="36CDD7B0" w:rsidR="000101D7" w:rsidRPr="00AD555A" w:rsidRDefault="00224F3B" w:rsidP="00AD555A">
      <w:pPr>
        <w:pStyle w:val="ListBullet"/>
      </w:pPr>
      <w:r w:rsidRPr="00AD555A">
        <w:t>a</w:t>
      </w:r>
      <w:r w:rsidR="00F41F46" w:rsidRPr="00AD555A">
        <w:t xml:space="preserve">nalysing </w:t>
      </w:r>
      <w:r w:rsidR="000101D7" w:rsidRPr="00AD555A">
        <w:t>prior year volumes</w:t>
      </w:r>
    </w:p>
    <w:p w14:paraId="6C96FD0E" w14:textId="11D83F0D" w:rsidR="00886EB4" w:rsidRPr="00AD555A" w:rsidRDefault="00224F3B" w:rsidP="00AD555A">
      <w:pPr>
        <w:pStyle w:val="ListBullet"/>
      </w:pPr>
      <w:r w:rsidRPr="00AD555A">
        <w:t>c</w:t>
      </w:r>
      <w:r w:rsidR="00F41F46" w:rsidRPr="00AD555A">
        <w:t xml:space="preserve">onsidering </w:t>
      </w:r>
      <w:r w:rsidR="000101D7" w:rsidRPr="00AD555A">
        <w:t>any matters that may have impacted volumes during the year</w:t>
      </w:r>
    </w:p>
    <w:p w14:paraId="79FAD24D" w14:textId="2FF78D78" w:rsidR="000101D7" w:rsidRPr="00AD555A" w:rsidRDefault="00224F3B" w:rsidP="00AD555A">
      <w:pPr>
        <w:pStyle w:val="ListBullet"/>
      </w:pPr>
      <w:r w:rsidRPr="00AD555A">
        <w:t>a</w:t>
      </w:r>
      <w:r w:rsidR="00D03DA6" w:rsidRPr="00AD555A">
        <w:t>nalys</w:t>
      </w:r>
      <w:r w:rsidR="003A5150">
        <w:t>ing</w:t>
      </w:r>
      <w:r w:rsidR="00F41F46" w:rsidRPr="00AD555A">
        <w:t xml:space="preserve"> </w:t>
      </w:r>
      <w:r w:rsidR="000101D7" w:rsidRPr="00AD555A">
        <w:t>monthly trends</w:t>
      </w:r>
    </w:p>
    <w:p w14:paraId="492DE734" w14:textId="46FB13D4" w:rsidR="000101D7" w:rsidRPr="00AD555A" w:rsidRDefault="00224F3B" w:rsidP="00AD555A">
      <w:pPr>
        <w:pStyle w:val="ListBullet"/>
      </w:pPr>
      <w:r w:rsidRPr="00AD555A">
        <w:t>d</w:t>
      </w:r>
      <w:r w:rsidR="000101D7" w:rsidRPr="00AD555A">
        <w:t>etermining global, economic or any other matters that may impact forward estimates</w:t>
      </w:r>
    </w:p>
    <w:p w14:paraId="6D385AA0" w14:textId="293480B0" w:rsidR="000101D7" w:rsidRPr="00AD555A" w:rsidRDefault="00224F3B" w:rsidP="00AD555A">
      <w:pPr>
        <w:pStyle w:val="ListBullet"/>
      </w:pPr>
      <w:r w:rsidRPr="00AD555A">
        <w:t>v</w:t>
      </w:r>
      <w:r w:rsidR="000101D7" w:rsidRPr="00AD555A">
        <w:t>erifying forecast</w:t>
      </w:r>
      <w:r w:rsidR="00F72175" w:rsidRPr="00AD555A">
        <w:t>s</w:t>
      </w:r>
      <w:r w:rsidR="000101D7" w:rsidRPr="00AD555A">
        <w:t xml:space="preserve"> with operational areas</w:t>
      </w:r>
      <w:r w:rsidR="00F9088A" w:rsidRPr="00AD555A">
        <w:t>.</w:t>
      </w:r>
    </w:p>
    <w:p w14:paraId="2E3F6A81" w14:textId="3B5FE526" w:rsidR="000101D7" w:rsidRDefault="000101D7" w:rsidP="000101D7">
      <w:pPr>
        <w:spacing w:before="120"/>
        <w:rPr>
          <w:lang w:eastAsia="ja-JP"/>
        </w:rPr>
      </w:pPr>
      <w:r>
        <w:rPr>
          <w:lang w:eastAsia="ja-JP"/>
        </w:rPr>
        <w:t xml:space="preserve">There is a </w:t>
      </w:r>
      <w:r w:rsidR="0033709B">
        <w:rPr>
          <w:lang w:eastAsia="ja-JP"/>
        </w:rPr>
        <w:t xml:space="preserve">direct </w:t>
      </w:r>
      <w:r>
        <w:rPr>
          <w:lang w:eastAsia="ja-JP"/>
        </w:rPr>
        <w:t xml:space="preserve">correlation between the volume of cargo imports and </w:t>
      </w:r>
      <w:r w:rsidR="0033709B">
        <w:rPr>
          <w:lang w:eastAsia="ja-JP"/>
        </w:rPr>
        <w:t xml:space="preserve">volume of </w:t>
      </w:r>
      <w:r>
        <w:rPr>
          <w:lang w:eastAsia="ja-JP"/>
        </w:rPr>
        <w:t>fee-bearing activit</w:t>
      </w:r>
      <w:r w:rsidR="0033709B">
        <w:rPr>
          <w:lang w:eastAsia="ja-JP"/>
        </w:rPr>
        <w:t>y.</w:t>
      </w:r>
      <w:r>
        <w:rPr>
          <w:lang w:eastAsia="ja-JP"/>
        </w:rPr>
        <w:t xml:space="preserve"> </w:t>
      </w:r>
      <w:r w:rsidR="004E284A">
        <w:rPr>
          <w:lang w:eastAsia="ja-JP"/>
        </w:rPr>
        <w:t>Changes in the supply chain, such as increased demand for specific goods, can result in h</w:t>
      </w:r>
      <w:r>
        <w:rPr>
          <w:lang w:eastAsia="ja-JP"/>
        </w:rPr>
        <w:t xml:space="preserve">igher cargo volumes </w:t>
      </w:r>
      <w:r w:rsidR="004E284A">
        <w:rPr>
          <w:lang w:eastAsia="ja-JP"/>
        </w:rPr>
        <w:t xml:space="preserve">which leads to an increase in the </w:t>
      </w:r>
      <w:r w:rsidR="0033709B">
        <w:rPr>
          <w:lang w:eastAsia="ja-JP"/>
        </w:rPr>
        <w:t>d</w:t>
      </w:r>
      <w:r w:rsidR="004E284A">
        <w:rPr>
          <w:lang w:eastAsia="ja-JP"/>
        </w:rPr>
        <w:t>e</w:t>
      </w:r>
      <w:r w:rsidR="0033709B">
        <w:rPr>
          <w:lang w:eastAsia="ja-JP"/>
        </w:rPr>
        <w:t>mand for</w:t>
      </w:r>
      <w:r w:rsidR="0003681E">
        <w:rPr>
          <w:lang w:eastAsia="ja-JP"/>
        </w:rPr>
        <w:t xml:space="preserve"> </w:t>
      </w:r>
      <w:r w:rsidR="0033709B">
        <w:rPr>
          <w:lang w:eastAsia="ja-JP"/>
        </w:rPr>
        <w:t xml:space="preserve">regulatory </w:t>
      </w:r>
      <w:r w:rsidR="004E284A">
        <w:rPr>
          <w:lang w:eastAsia="ja-JP"/>
        </w:rPr>
        <w:t>activity,</w:t>
      </w:r>
      <w:r w:rsidR="0033709B">
        <w:rPr>
          <w:lang w:eastAsia="ja-JP"/>
        </w:rPr>
        <w:t xml:space="preserve"> such as </w:t>
      </w:r>
      <w:r>
        <w:rPr>
          <w:lang w:eastAsia="ja-JP"/>
        </w:rPr>
        <w:t>inspection, assessment and verification</w:t>
      </w:r>
      <w:r w:rsidR="0033709B">
        <w:rPr>
          <w:lang w:eastAsia="ja-JP"/>
        </w:rPr>
        <w:t>, necessary to</w:t>
      </w:r>
      <w:r w:rsidR="00194478">
        <w:rPr>
          <w:lang w:eastAsia="ja-JP"/>
        </w:rPr>
        <w:t xml:space="preserve"> manage </w:t>
      </w:r>
      <w:r>
        <w:rPr>
          <w:lang w:eastAsia="ja-JP"/>
        </w:rPr>
        <w:t xml:space="preserve">risk </w:t>
      </w:r>
      <w:r w:rsidR="00544D73">
        <w:rPr>
          <w:lang w:eastAsia="ja-JP"/>
        </w:rPr>
        <w:t xml:space="preserve">and </w:t>
      </w:r>
      <w:r w:rsidR="004E284A">
        <w:rPr>
          <w:lang w:eastAsia="ja-JP"/>
        </w:rPr>
        <w:t xml:space="preserve">achieve </w:t>
      </w:r>
      <w:r w:rsidR="0033709B">
        <w:rPr>
          <w:lang w:eastAsia="ja-JP"/>
        </w:rPr>
        <w:t>policy objectives.</w:t>
      </w:r>
    </w:p>
    <w:p w14:paraId="29D3E710" w14:textId="67CA5E6E" w:rsidR="000101D7" w:rsidRDefault="000101D7" w:rsidP="000101D7">
      <w:pPr>
        <w:spacing w:before="120"/>
        <w:rPr>
          <w:lang w:eastAsia="ja-JP"/>
        </w:rPr>
      </w:pPr>
      <w:r>
        <w:rPr>
          <w:lang w:eastAsia="ja-JP"/>
        </w:rPr>
        <w:t xml:space="preserve">There is some sensitivity to changes in the market, although this can take many months to come through. For example, reductions in </w:t>
      </w:r>
      <w:r w:rsidR="00F72175">
        <w:rPr>
          <w:lang w:eastAsia="ja-JP"/>
        </w:rPr>
        <w:t>Australia’s</w:t>
      </w:r>
      <w:r>
        <w:rPr>
          <w:lang w:eastAsia="ja-JP"/>
        </w:rPr>
        <w:t xml:space="preserve"> </w:t>
      </w:r>
      <w:r w:rsidR="00F72175">
        <w:rPr>
          <w:lang w:eastAsia="ja-JP"/>
        </w:rPr>
        <w:t xml:space="preserve">cash </w:t>
      </w:r>
      <w:r>
        <w:rPr>
          <w:lang w:eastAsia="ja-JP"/>
        </w:rPr>
        <w:t>interest rate may allow families to purchase more items imported into Australia</w:t>
      </w:r>
      <w:r w:rsidR="0065490A">
        <w:rPr>
          <w:lang w:eastAsia="ja-JP"/>
        </w:rPr>
        <w:t>, increasing demand</w:t>
      </w:r>
      <w:r>
        <w:rPr>
          <w:lang w:eastAsia="ja-JP"/>
        </w:rPr>
        <w:t>, however, th</w:t>
      </w:r>
      <w:r w:rsidR="0065490A">
        <w:rPr>
          <w:lang w:eastAsia="ja-JP"/>
        </w:rPr>
        <w:t>is may not be their immediate priority.</w:t>
      </w:r>
    </w:p>
    <w:p w14:paraId="0B764759" w14:textId="031110E0" w:rsidR="00F71378" w:rsidRDefault="00F71378" w:rsidP="000101D7">
      <w:pPr>
        <w:spacing w:before="120"/>
        <w:rPr>
          <w:lang w:eastAsia="ja-JP"/>
        </w:rPr>
      </w:pPr>
      <w:r w:rsidRPr="00F71378">
        <w:rPr>
          <w:lang w:eastAsia="ja-JP"/>
        </w:rPr>
        <w:t xml:space="preserve">There is some sensitivity </w:t>
      </w:r>
      <w:r>
        <w:rPr>
          <w:lang w:eastAsia="ja-JP"/>
        </w:rPr>
        <w:t>in</w:t>
      </w:r>
      <w:r w:rsidRPr="00F71378">
        <w:rPr>
          <w:lang w:eastAsia="ja-JP"/>
        </w:rPr>
        <w:t xml:space="preserve"> import charges with changes in the global and domestic economy driving consumer spending habits and the demand for imports. Generally, there is a lag between changes in the economy and import volumes and the impact only becomes evident over time rather than </w:t>
      </w:r>
      <w:r>
        <w:rPr>
          <w:lang w:eastAsia="ja-JP"/>
        </w:rPr>
        <w:t xml:space="preserve">as </w:t>
      </w:r>
      <w:r w:rsidRPr="00F71378">
        <w:rPr>
          <w:lang w:eastAsia="ja-JP"/>
        </w:rPr>
        <w:t>immediate changes</w:t>
      </w:r>
      <w:r w:rsidR="00F72175">
        <w:rPr>
          <w:lang w:eastAsia="ja-JP"/>
        </w:rPr>
        <w:t xml:space="preserve"> to regulatory activity.</w:t>
      </w:r>
    </w:p>
    <w:p w14:paraId="462C455F" w14:textId="7B0E7D30" w:rsidR="00B91407" w:rsidRDefault="00B91407" w:rsidP="00B91407">
      <w:pPr>
        <w:pStyle w:val="Heading3"/>
        <w:rPr>
          <w:lang w:eastAsia="ja-JP"/>
        </w:rPr>
      </w:pPr>
      <w:bookmarkStart w:id="107" w:name="_Toc200115596"/>
      <w:r>
        <w:rPr>
          <w:lang w:eastAsia="ja-JP"/>
        </w:rPr>
        <w:lastRenderedPageBreak/>
        <w:t>Design of regulatory charge</w:t>
      </w:r>
      <w:r w:rsidR="009B2AC9">
        <w:rPr>
          <w:lang w:eastAsia="ja-JP"/>
        </w:rPr>
        <w:t>s</w:t>
      </w:r>
      <w:bookmarkEnd w:id="107"/>
    </w:p>
    <w:p w14:paraId="7BDF3DEA" w14:textId="7E716AD1" w:rsidR="0065490A" w:rsidRDefault="0065490A" w:rsidP="001E5006">
      <w:r>
        <w:t xml:space="preserve">As described earlier, the department’s cost recovery model </w:t>
      </w:r>
      <w:proofErr w:type="gramStart"/>
      <w:r>
        <w:t>is developed</w:t>
      </w:r>
      <w:proofErr w:type="gramEnd"/>
      <w:r>
        <w:t xml:space="preserve"> around allocating indirect and the direct costs to programs and activities. Within each activity there are outputs, which </w:t>
      </w:r>
      <w:proofErr w:type="gramStart"/>
      <w:r>
        <w:t>are represented</w:t>
      </w:r>
      <w:proofErr w:type="gramEnd"/>
      <w:r>
        <w:t xml:space="preserve"> </w:t>
      </w:r>
      <w:r w:rsidR="00BA114C">
        <w:t xml:space="preserve">as </w:t>
      </w:r>
      <w:r>
        <w:t>charge points.</w:t>
      </w:r>
    </w:p>
    <w:p w14:paraId="40EFA83E" w14:textId="49A3085F" w:rsidR="0065490A" w:rsidRPr="0065490A" w:rsidRDefault="0065490A" w:rsidP="0065490A">
      <w:r w:rsidRPr="0065490A">
        <w:t xml:space="preserve">We monitor costs monthly for variances between </w:t>
      </w:r>
      <w:r w:rsidR="002F75C1">
        <w:t>forecast</w:t>
      </w:r>
      <w:r w:rsidRPr="0065490A">
        <w:t xml:space="preserve"> and actual expense and regularly review and improve our workforce models, systems and processes. </w:t>
      </w:r>
      <w:r w:rsidR="00DC6963">
        <w:t>Monitoring</w:t>
      </w:r>
      <w:r w:rsidR="00457418">
        <w:t xml:space="preserve"> </w:t>
      </w:r>
      <w:r w:rsidRPr="0065490A">
        <w:t xml:space="preserve">informs our annual review of regulatory </w:t>
      </w:r>
      <w:proofErr w:type="gramStart"/>
      <w:r w:rsidR="00AC4DA8" w:rsidRPr="0065490A">
        <w:t>charges</w:t>
      </w:r>
      <w:proofErr w:type="gramEnd"/>
      <w:r w:rsidRPr="0065490A">
        <w:t xml:space="preserve"> and we implement adjustments </w:t>
      </w:r>
      <w:r w:rsidR="00DC6963">
        <w:t xml:space="preserve">to regulatory charges </w:t>
      </w:r>
      <w:r w:rsidRPr="0065490A">
        <w:t xml:space="preserve">within the parameters the department </w:t>
      </w:r>
      <w:proofErr w:type="gramStart"/>
      <w:r w:rsidRPr="0065490A">
        <w:t>is governed</w:t>
      </w:r>
      <w:proofErr w:type="gramEnd"/>
      <w:r w:rsidRPr="0065490A">
        <w:t xml:space="preserve"> by.</w:t>
      </w:r>
    </w:p>
    <w:p w14:paraId="7E197761" w14:textId="40A88E83" w:rsidR="001E5006" w:rsidRDefault="001E5006" w:rsidP="001E5006">
      <w:pPr>
        <w:spacing w:before="120" w:after="120"/>
      </w:pPr>
      <w:r w:rsidRPr="004C292B">
        <w:rPr>
          <w:rFonts w:cstheme="minorHAnsi"/>
          <w:lang w:eastAsia="ja-JP"/>
        </w:rPr>
        <w:t xml:space="preserve">The amounts payable shown in </w:t>
      </w:r>
      <w:r w:rsidR="006829F0">
        <w:rPr>
          <w:rFonts w:cstheme="minorHAnsi"/>
          <w:lang w:eastAsia="ja-JP"/>
        </w:rPr>
        <w:fldChar w:fldCharType="begin"/>
      </w:r>
      <w:r w:rsidR="006829F0">
        <w:rPr>
          <w:rFonts w:cstheme="minorHAnsi"/>
          <w:lang w:eastAsia="ja-JP"/>
        </w:rPr>
        <w:instrText xml:space="preserve"> REF _Ref197932955 \h </w:instrText>
      </w:r>
      <w:r w:rsidR="006829F0">
        <w:rPr>
          <w:rFonts w:cstheme="minorHAnsi"/>
          <w:lang w:eastAsia="ja-JP"/>
        </w:rPr>
      </w:r>
      <w:r w:rsidR="006829F0">
        <w:rPr>
          <w:rFonts w:cstheme="minorHAnsi"/>
          <w:lang w:eastAsia="ja-JP"/>
        </w:rPr>
        <w:fldChar w:fldCharType="separate"/>
      </w:r>
      <w:r w:rsidR="006829F0" w:rsidRPr="007A3B49">
        <w:t xml:space="preserve">Table </w:t>
      </w:r>
      <w:r w:rsidR="006829F0" w:rsidRPr="007A3B49">
        <w:rPr>
          <w:noProof/>
        </w:rPr>
        <w:t>3</w:t>
      </w:r>
      <w:r w:rsidR="006829F0">
        <w:rPr>
          <w:rFonts w:cstheme="minorHAnsi"/>
          <w:lang w:eastAsia="ja-JP"/>
        </w:rPr>
        <w:fldChar w:fldCharType="end"/>
      </w:r>
      <w:r w:rsidRPr="004C292B">
        <w:rPr>
          <w:rFonts w:cstheme="minorHAnsi"/>
          <w:lang w:eastAsia="ja-JP"/>
        </w:rPr>
        <w:t xml:space="preserve"> reflect the volumes and </w:t>
      </w:r>
      <w:r>
        <w:rPr>
          <w:rFonts w:cstheme="minorHAnsi"/>
          <w:lang w:eastAsia="ja-JP"/>
        </w:rPr>
        <w:t>estimated</w:t>
      </w:r>
      <w:r w:rsidRPr="004C292B">
        <w:rPr>
          <w:rFonts w:cstheme="minorHAnsi"/>
          <w:lang w:eastAsia="ja-JP"/>
        </w:rPr>
        <w:t xml:space="preserve"> costs associated with biosecurity </w:t>
      </w:r>
      <w:r w:rsidR="00312821">
        <w:rPr>
          <w:rFonts w:cstheme="minorHAnsi"/>
          <w:lang w:eastAsia="ja-JP"/>
        </w:rPr>
        <w:t xml:space="preserve">and imported food </w:t>
      </w:r>
      <w:r w:rsidRPr="004C292B">
        <w:rPr>
          <w:rFonts w:cstheme="minorHAnsi"/>
          <w:lang w:eastAsia="ja-JP"/>
        </w:rPr>
        <w:t>regulatory activities</w:t>
      </w:r>
      <w:r>
        <w:rPr>
          <w:rFonts w:cstheme="minorHAnsi"/>
          <w:lang w:eastAsia="ja-JP"/>
        </w:rPr>
        <w:t xml:space="preserve"> in 2025–26</w:t>
      </w:r>
      <w:r w:rsidRPr="004C292B">
        <w:rPr>
          <w:rFonts w:cstheme="minorHAnsi"/>
          <w:lang w:eastAsia="ja-JP"/>
        </w:rPr>
        <w:t>.</w:t>
      </w:r>
      <w:r w:rsidR="0065490A" w:rsidRPr="0065490A">
        <w:t xml:space="preserve"> </w:t>
      </w:r>
      <w:r w:rsidR="0065490A" w:rsidRPr="00B91407">
        <w:t xml:space="preserve">Actual recovery of costs </w:t>
      </w:r>
      <w:r w:rsidR="0065490A" w:rsidRPr="0065490A">
        <w:t>through an individual charge</w:t>
      </w:r>
      <w:r w:rsidR="0065490A" w:rsidRPr="00B91407">
        <w:t xml:space="preserve"> is dependent upon the costs incurred </w:t>
      </w:r>
      <w:r w:rsidR="0065490A" w:rsidRPr="0065490A">
        <w:t>to provide that activity</w:t>
      </w:r>
      <w:r w:rsidR="0065490A" w:rsidRPr="00B91407">
        <w:t xml:space="preserve"> and the volume of transactions, imports or activities performed.</w:t>
      </w:r>
      <w:r w:rsidR="002F75C1">
        <w:t xml:space="preserve"> Fees and charges </w:t>
      </w:r>
      <w:proofErr w:type="gramStart"/>
      <w:r w:rsidR="002F75C1">
        <w:t>are modelled</w:t>
      </w:r>
      <w:proofErr w:type="gramEnd"/>
      <w:r w:rsidR="002F75C1">
        <w:t xml:space="preserve"> to recover no more than the efficient costs of providing each activity, hence the estimated cost and estimated revenue are equal where a forecast volume can </w:t>
      </w:r>
      <w:proofErr w:type="gramStart"/>
      <w:r w:rsidR="002F75C1">
        <w:t>be reliably estimated</w:t>
      </w:r>
      <w:proofErr w:type="gramEnd"/>
      <w:r w:rsidR="002F75C1">
        <w:t>.</w:t>
      </w:r>
    </w:p>
    <w:p w14:paraId="2CE0B91A" w14:textId="77777777" w:rsidR="005863AB" w:rsidRDefault="002F75C1" w:rsidP="002F75C1">
      <w:pPr>
        <w:sectPr w:rsidR="005863AB" w:rsidSect="00331180">
          <w:headerReference w:type="even" r:id="rId42"/>
          <w:headerReference w:type="default" r:id="rId43"/>
          <w:footerReference w:type="even" r:id="rId44"/>
          <w:footerReference w:type="default" r:id="rId45"/>
          <w:headerReference w:type="first" r:id="rId46"/>
          <w:footerReference w:type="first" r:id="rId47"/>
          <w:pgSz w:w="11906" w:h="16838"/>
          <w:pgMar w:top="1418" w:right="1418" w:bottom="1418" w:left="1418" w:header="567" w:footer="283" w:gutter="0"/>
          <w:pgNumType w:start="1"/>
          <w:cols w:space="708"/>
          <w:docGrid w:linePitch="360"/>
        </w:sectPr>
      </w:pPr>
      <w:r w:rsidRPr="00B91407">
        <w:t xml:space="preserve">For some animal imports at the PEQ, we do not have any forecast import volumes, however, there are fixed costs that </w:t>
      </w:r>
      <w:r w:rsidR="000B2C5C">
        <w:t xml:space="preserve">cannot </w:t>
      </w:r>
      <w:proofErr w:type="gramStart"/>
      <w:r w:rsidR="000B2C5C">
        <w:t>be avoided</w:t>
      </w:r>
      <w:proofErr w:type="gramEnd"/>
      <w:r w:rsidRPr="00B91407">
        <w:t xml:space="preserve">. These costs are not cross subsidised by other imports but </w:t>
      </w:r>
      <w:proofErr w:type="gramStart"/>
      <w:r w:rsidRPr="00B91407">
        <w:t>are managed</w:t>
      </w:r>
      <w:proofErr w:type="gramEnd"/>
      <w:r w:rsidRPr="00B91407">
        <w:t xml:space="preserve"> through other funding sources, typically government appropriation. A price is determined to recover some of those fixed costs along with the variable costs, should an import occur.</w:t>
      </w:r>
    </w:p>
    <w:p w14:paraId="3205B648" w14:textId="0A1068A2" w:rsidR="001E5006" w:rsidRDefault="001E5006" w:rsidP="001E5006">
      <w:pPr>
        <w:pStyle w:val="Caption"/>
        <w:rPr>
          <w:b w:val="0"/>
          <w:bCs w:val="0"/>
        </w:rPr>
      </w:pPr>
      <w:bookmarkStart w:id="108" w:name="_Ref197932955"/>
      <w:bookmarkStart w:id="109" w:name="_Toc200534243"/>
      <w:r w:rsidRPr="003D7303">
        <w:lastRenderedPageBreak/>
        <w:t xml:space="preserve">Table </w:t>
      </w:r>
      <w:r w:rsidRPr="003D7303">
        <w:fldChar w:fldCharType="begin"/>
      </w:r>
      <w:r w:rsidRPr="003D7303">
        <w:instrText xml:space="preserve"> SEQ Table \* ARABIC </w:instrText>
      </w:r>
      <w:r w:rsidRPr="003D7303">
        <w:fldChar w:fldCharType="separate"/>
      </w:r>
      <w:r w:rsidR="00C91806" w:rsidRPr="003D7303">
        <w:rPr>
          <w:noProof/>
        </w:rPr>
        <w:t>3</w:t>
      </w:r>
      <w:r w:rsidRPr="003D7303">
        <w:fldChar w:fldCharType="end"/>
      </w:r>
      <w:bookmarkEnd w:id="108"/>
      <w:r>
        <w:t xml:space="preserve"> </w:t>
      </w:r>
      <w:r w:rsidRPr="00537543">
        <w:t xml:space="preserve">Fees and charges – </w:t>
      </w:r>
      <w:r w:rsidR="002F75C1">
        <w:t>estimate</w:t>
      </w:r>
      <w:r w:rsidR="00FF2F78">
        <w:t>d</w:t>
      </w:r>
      <w:r w:rsidR="002F75C1">
        <w:t xml:space="preserve"> </w:t>
      </w:r>
      <w:r w:rsidRPr="00537543">
        <w:t>cost</w:t>
      </w:r>
      <w:r w:rsidR="00FF2F78">
        <w:t>s</w:t>
      </w:r>
      <w:r w:rsidRPr="00537543">
        <w:t>, volumes and revenue for biosecurity cost recovery arrangement, 2025–26</w:t>
      </w:r>
      <w:bookmarkEnd w:id="109"/>
    </w:p>
    <w:tbl>
      <w:tblPr>
        <w:tblW w:w="5000" w:type="pct"/>
        <w:tblBorders>
          <w:top w:val="single" w:sz="4" w:space="0" w:color="auto"/>
          <w:bottom w:val="single" w:sz="4" w:space="0" w:color="auto"/>
          <w:insideH w:val="single" w:sz="4" w:space="0" w:color="auto"/>
        </w:tblBorders>
        <w:tblCellMar>
          <w:left w:w="40" w:type="dxa"/>
          <w:right w:w="40" w:type="dxa"/>
        </w:tblCellMar>
        <w:tblLook w:val="04A0" w:firstRow="1" w:lastRow="0" w:firstColumn="1" w:lastColumn="0" w:noHBand="0" w:noVBand="1"/>
      </w:tblPr>
      <w:tblGrid>
        <w:gridCol w:w="2269"/>
        <w:gridCol w:w="1277"/>
        <w:gridCol w:w="4534"/>
        <w:gridCol w:w="2128"/>
        <w:gridCol w:w="994"/>
        <w:gridCol w:w="1400"/>
        <w:gridCol w:w="1400"/>
      </w:tblGrid>
      <w:tr w:rsidR="00070E11" w:rsidRPr="00C32CCF" w14:paraId="305CB7BC" w14:textId="77777777" w:rsidTr="00FF2F78">
        <w:trPr>
          <w:cantSplit/>
          <w:tblHeader/>
        </w:trPr>
        <w:tc>
          <w:tcPr>
            <w:tcW w:w="810" w:type="pct"/>
            <w:tcMar>
              <w:left w:w="108" w:type="dxa"/>
              <w:right w:w="108" w:type="dxa"/>
            </w:tcMar>
          </w:tcPr>
          <w:p w14:paraId="09CE5EC6" w14:textId="37BDA69F" w:rsidR="00070E11" w:rsidRPr="0018484D" w:rsidRDefault="00070E11" w:rsidP="00070E11">
            <w:pPr>
              <w:pStyle w:val="TableHeading"/>
            </w:pPr>
            <w:bookmarkStart w:id="110" w:name="Title_3"/>
            <w:bookmarkEnd w:id="110"/>
            <w:r w:rsidRPr="007828C3">
              <w:t>Type of charge</w:t>
            </w:r>
          </w:p>
        </w:tc>
        <w:tc>
          <w:tcPr>
            <w:tcW w:w="456" w:type="pct"/>
            <w:shd w:val="clear" w:color="auto" w:fill="auto"/>
            <w:tcMar>
              <w:left w:w="108" w:type="dxa"/>
              <w:right w:w="108" w:type="dxa"/>
            </w:tcMar>
          </w:tcPr>
          <w:p w14:paraId="4D168960" w14:textId="3B6E623F" w:rsidR="00070E11" w:rsidRPr="00A10BE3" w:rsidRDefault="00070E11" w:rsidP="00070E11">
            <w:pPr>
              <w:pStyle w:val="TableHeading"/>
            </w:pPr>
            <w:r w:rsidRPr="007828C3">
              <w:t>Estimated total cost ($)</w:t>
            </w:r>
          </w:p>
        </w:tc>
        <w:tc>
          <w:tcPr>
            <w:tcW w:w="1619" w:type="pct"/>
            <w:shd w:val="clear" w:color="auto" w:fill="auto"/>
            <w:tcMar>
              <w:left w:w="108" w:type="dxa"/>
              <w:right w:w="108" w:type="dxa"/>
            </w:tcMar>
          </w:tcPr>
          <w:p w14:paraId="74A11199" w14:textId="14BBDAB0" w:rsidR="00070E11" w:rsidRPr="009213D8" w:rsidRDefault="00070E11" w:rsidP="00070E11">
            <w:pPr>
              <w:pStyle w:val="TableHeading"/>
            </w:pPr>
            <w:r w:rsidRPr="007828C3">
              <w:t>Charge point</w:t>
            </w:r>
          </w:p>
        </w:tc>
        <w:tc>
          <w:tcPr>
            <w:tcW w:w="760" w:type="pct"/>
            <w:shd w:val="clear" w:color="auto" w:fill="auto"/>
            <w:tcMar>
              <w:left w:w="108" w:type="dxa"/>
              <w:right w:w="108" w:type="dxa"/>
            </w:tcMar>
          </w:tcPr>
          <w:p w14:paraId="622CFFBC" w14:textId="05C15693" w:rsidR="00070E11" w:rsidRPr="009213D8" w:rsidRDefault="00070E11" w:rsidP="00070E11">
            <w:pPr>
              <w:pStyle w:val="TableHeading"/>
            </w:pPr>
            <w:r w:rsidRPr="007828C3">
              <w:t>Unit</w:t>
            </w:r>
          </w:p>
        </w:tc>
        <w:tc>
          <w:tcPr>
            <w:tcW w:w="355" w:type="pct"/>
            <w:shd w:val="clear" w:color="auto" w:fill="auto"/>
            <w:tcMar>
              <w:left w:w="108" w:type="dxa"/>
              <w:right w:w="108" w:type="dxa"/>
            </w:tcMar>
          </w:tcPr>
          <w:p w14:paraId="735BB186" w14:textId="65230790" w:rsidR="00070E11" w:rsidRPr="008A370F" w:rsidRDefault="00070E11" w:rsidP="00070E11">
            <w:pPr>
              <w:pStyle w:val="TableHeading"/>
              <w:rPr>
                <w:rFonts w:ascii="Calibri" w:hAnsi="Calibri"/>
                <w:color w:val="000000"/>
                <w:szCs w:val="18"/>
              </w:rPr>
            </w:pPr>
            <w:r w:rsidRPr="007828C3">
              <w:t>Price ($)</w:t>
            </w:r>
          </w:p>
        </w:tc>
        <w:tc>
          <w:tcPr>
            <w:tcW w:w="500" w:type="pct"/>
            <w:shd w:val="clear" w:color="auto" w:fill="auto"/>
            <w:tcMar>
              <w:left w:w="108" w:type="dxa"/>
              <w:right w:w="108" w:type="dxa"/>
            </w:tcMar>
          </w:tcPr>
          <w:p w14:paraId="1FB666E8" w14:textId="0BE60811" w:rsidR="00070E11" w:rsidRDefault="00070E11" w:rsidP="00070E11">
            <w:pPr>
              <w:pStyle w:val="TableHeading"/>
              <w:rPr>
                <w:rFonts w:ascii="Calibri" w:hAnsi="Calibri"/>
                <w:color w:val="000000"/>
                <w:szCs w:val="18"/>
              </w:rPr>
            </w:pPr>
            <w:r w:rsidRPr="007828C3">
              <w:t>Estimated volume (units)</w:t>
            </w:r>
          </w:p>
        </w:tc>
        <w:tc>
          <w:tcPr>
            <w:tcW w:w="500" w:type="pct"/>
            <w:shd w:val="clear" w:color="auto" w:fill="auto"/>
            <w:tcMar>
              <w:left w:w="108" w:type="dxa"/>
              <w:right w:w="108" w:type="dxa"/>
            </w:tcMar>
          </w:tcPr>
          <w:p w14:paraId="33968442" w14:textId="12D0251B" w:rsidR="00070E11" w:rsidRDefault="00070E11" w:rsidP="00070E11">
            <w:pPr>
              <w:pStyle w:val="TableHeading"/>
              <w:rPr>
                <w:rFonts w:ascii="Calibri" w:hAnsi="Calibri"/>
                <w:color w:val="000000"/>
                <w:szCs w:val="18"/>
              </w:rPr>
            </w:pPr>
            <w:r w:rsidRPr="007828C3">
              <w:t>Estimated total revenue ($)</w:t>
            </w:r>
          </w:p>
        </w:tc>
      </w:tr>
      <w:tr w:rsidR="00224F3B" w:rsidRPr="00C32CCF" w14:paraId="17B5F62B" w14:textId="77777777" w:rsidTr="00FF2F78">
        <w:tc>
          <w:tcPr>
            <w:tcW w:w="810" w:type="pct"/>
            <w:vMerge w:val="restart"/>
            <w:tcMar>
              <w:left w:w="108" w:type="dxa"/>
              <w:right w:w="108" w:type="dxa"/>
            </w:tcMar>
          </w:tcPr>
          <w:p w14:paraId="2DA12D99" w14:textId="77777777" w:rsidR="00224F3B" w:rsidRPr="0018484D" w:rsidRDefault="00224F3B" w:rsidP="00733737">
            <w:pPr>
              <w:pStyle w:val="TableText"/>
            </w:pPr>
            <w:bookmarkStart w:id="111" w:name="Title"/>
            <w:bookmarkEnd w:id="111"/>
            <w:r w:rsidRPr="0018484D">
              <w:t>Charges</w:t>
            </w:r>
          </w:p>
        </w:tc>
        <w:tc>
          <w:tcPr>
            <w:tcW w:w="456" w:type="pct"/>
            <w:shd w:val="clear" w:color="auto" w:fill="auto"/>
            <w:tcMar>
              <w:left w:w="108" w:type="dxa"/>
              <w:right w:w="108" w:type="dxa"/>
            </w:tcMar>
          </w:tcPr>
          <w:p w14:paraId="1B5F02FA" w14:textId="77777777" w:rsidR="00224F3B" w:rsidRPr="00A10BE3" w:rsidRDefault="00224F3B" w:rsidP="00AD2CA4">
            <w:pPr>
              <w:pStyle w:val="TableText"/>
              <w:jc w:val="right"/>
            </w:pPr>
            <w:r w:rsidRPr="00A10BE3">
              <w:t>111,674,338</w:t>
            </w:r>
          </w:p>
        </w:tc>
        <w:tc>
          <w:tcPr>
            <w:tcW w:w="1619" w:type="pct"/>
            <w:shd w:val="clear" w:color="auto" w:fill="auto"/>
            <w:tcMar>
              <w:left w:w="108" w:type="dxa"/>
              <w:right w:w="108" w:type="dxa"/>
            </w:tcMar>
          </w:tcPr>
          <w:p w14:paraId="2701F3BC" w14:textId="77777777" w:rsidR="00224F3B" w:rsidRPr="009213D8" w:rsidRDefault="00224F3B" w:rsidP="00733737">
            <w:pPr>
              <w:pStyle w:val="TableText"/>
            </w:pPr>
            <w:r w:rsidRPr="009213D8">
              <w:t xml:space="preserve">Full </w:t>
            </w:r>
            <w:r>
              <w:t>i</w:t>
            </w:r>
            <w:r w:rsidRPr="009213D8">
              <w:t xml:space="preserve">mport </w:t>
            </w:r>
            <w:r>
              <w:t>d</w:t>
            </w:r>
            <w:r w:rsidRPr="009213D8">
              <w:t>eclaration charge – air</w:t>
            </w:r>
          </w:p>
        </w:tc>
        <w:tc>
          <w:tcPr>
            <w:tcW w:w="760" w:type="pct"/>
            <w:shd w:val="clear" w:color="auto" w:fill="auto"/>
            <w:tcMar>
              <w:left w:w="108" w:type="dxa"/>
              <w:right w:w="108" w:type="dxa"/>
            </w:tcMar>
          </w:tcPr>
          <w:p w14:paraId="10F02EA5" w14:textId="77777777" w:rsidR="00224F3B" w:rsidRPr="009213D8" w:rsidRDefault="00224F3B" w:rsidP="00733737">
            <w:pPr>
              <w:pStyle w:val="TableText"/>
            </w:pPr>
            <w:r w:rsidRPr="009213D8">
              <w:t>Per import declaration</w:t>
            </w:r>
          </w:p>
        </w:tc>
        <w:tc>
          <w:tcPr>
            <w:tcW w:w="355" w:type="pct"/>
            <w:shd w:val="clear" w:color="auto" w:fill="auto"/>
            <w:tcMar>
              <w:left w:w="108" w:type="dxa"/>
              <w:right w:w="108" w:type="dxa"/>
            </w:tcMar>
          </w:tcPr>
          <w:p w14:paraId="693A1E05" w14:textId="77777777" w:rsidR="00224F3B" w:rsidRPr="008A370F" w:rsidRDefault="00224F3B" w:rsidP="00733737">
            <w:pPr>
              <w:pStyle w:val="TableText"/>
              <w:jc w:val="right"/>
            </w:pPr>
            <w:r w:rsidRPr="008A370F">
              <w:rPr>
                <w:rFonts w:ascii="Calibri" w:hAnsi="Calibri"/>
                <w:color w:val="000000"/>
                <w:szCs w:val="18"/>
              </w:rPr>
              <w:t>46</w:t>
            </w:r>
          </w:p>
        </w:tc>
        <w:tc>
          <w:tcPr>
            <w:tcW w:w="500" w:type="pct"/>
            <w:shd w:val="clear" w:color="auto" w:fill="auto"/>
            <w:tcMar>
              <w:left w:w="108" w:type="dxa"/>
              <w:right w:w="108" w:type="dxa"/>
            </w:tcMar>
          </w:tcPr>
          <w:p w14:paraId="759E9ADA" w14:textId="77777777" w:rsidR="00224F3B" w:rsidRPr="00C32CCF" w:rsidRDefault="00224F3B" w:rsidP="00733737">
            <w:pPr>
              <w:pStyle w:val="TableText"/>
              <w:jc w:val="right"/>
              <w:rPr>
                <w:rFonts w:ascii="Calibri" w:hAnsi="Calibri"/>
                <w:color w:val="000000"/>
                <w:szCs w:val="18"/>
              </w:rPr>
            </w:pPr>
            <w:r>
              <w:rPr>
                <w:rFonts w:ascii="Calibri" w:hAnsi="Calibri"/>
                <w:color w:val="000000"/>
                <w:szCs w:val="18"/>
              </w:rPr>
              <w:t>2,427,703</w:t>
            </w:r>
          </w:p>
        </w:tc>
        <w:tc>
          <w:tcPr>
            <w:tcW w:w="500" w:type="pct"/>
            <w:shd w:val="clear" w:color="auto" w:fill="auto"/>
            <w:tcMar>
              <w:left w:w="108" w:type="dxa"/>
              <w:right w:w="108" w:type="dxa"/>
            </w:tcMar>
          </w:tcPr>
          <w:p w14:paraId="60A792C2" w14:textId="77777777" w:rsidR="00224F3B" w:rsidRPr="00C32CCF" w:rsidRDefault="00224F3B" w:rsidP="00733737">
            <w:pPr>
              <w:pStyle w:val="TableText"/>
              <w:jc w:val="right"/>
              <w:rPr>
                <w:highlight w:val="yellow"/>
              </w:rPr>
            </w:pPr>
            <w:r>
              <w:rPr>
                <w:rFonts w:ascii="Calibri" w:hAnsi="Calibri"/>
                <w:color w:val="000000"/>
                <w:szCs w:val="18"/>
              </w:rPr>
              <w:t>111,674,338</w:t>
            </w:r>
          </w:p>
        </w:tc>
      </w:tr>
      <w:tr w:rsidR="00224F3B" w:rsidRPr="00C32CCF" w14:paraId="1FBE39C6" w14:textId="77777777" w:rsidTr="00FF2F78">
        <w:tc>
          <w:tcPr>
            <w:tcW w:w="810" w:type="pct"/>
            <w:vMerge/>
            <w:tcMar>
              <w:left w:w="108" w:type="dxa"/>
              <w:right w:w="108" w:type="dxa"/>
            </w:tcMar>
          </w:tcPr>
          <w:p w14:paraId="3AB1935B" w14:textId="77777777" w:rsidR="00224F3B" w:rsidRPr="0018484D" w:rsidRDefault="00224F3B" w:rsidP="00733737">
            <w:pPr>
              <w:pStyle w:val="TableText"/>
            </w:pPr>
          </w:p>
        </w:tc>
        <w:tc>
          <w:tcPr>
            <w:tcW w:w="456" w:type="pct"/>
            <w:shd w:val="clear" w:color="auto" w:fill="auto"/>
            <w:tcMar>
              <w:left w:w="108" w:type="dxa"/>
              <w:right w:w="108" w:type="dxa"/>
            </w:tcMar>
          </w:tcPr>
          <w:p w14:paraId="496EEBB1" w14:textId="77777777" w:rsidR="00224F3B" w:rsidRPr="00A10BE3" w:rsidRDefault="00224F3B" w:rsidP="00AD2CA4">
            <w:pPr>
              <w:pStyle w:val="TableText"/>
              <w:jc w:val="right"/>
            </w:pPr>
            <w:r w:rsidRPr="00A10BE3">
              <w:t>134,554,048</w:t>
            </w:r>
          </w:p>
        </w:tc>
        <w:tc>
          <w:tcPr>
            <w:tcW w:w="1619" w:type="pct"/>
            <w:shd w:val="clear" w:color="auto" w:fill="auto"/>
            <w:tcMar>
              <w:left w:w="108" w:type="dxa"/>
              <w:right w:w="108" w:type="dxa"/>
            </w:tcMar>
          </w:tcPr>
          <w:p w14:paraId="3F54B2C7" w14:textId="77777777" w:rsidR="00224F3B" w:rsidRPr="009213D8" w:rsidRDefault="00224F3B" w:rsidP="00733737">
            <w:pPr>
              <w:pStyle w:val="TableText"/>
            </w:pPr>
            <w:r w:rsidRPr="009213D8">
              <w:t xml:space="preserve">Full </w:t>
            </w:r>
            <w:r>
              <w:t>i</w:t>
            </w:r>
            <w:r w:rsidRPr="009213D8">
              <w:t xml:space="preserve">mport </w:t>
            </w:r>
            <w:r>
              <w:t>d</w:t>
            </w:r>
            <w:r w:rsidRPr="009213D8">
              <w:t>eclaration charge – sea</w:t>
            </w:r>
          </w:p>
        </w:tc>
        <w:tc>
          <w:tcPr>
            <w:tcW w:w="760" w:type="pct"/>
            <w:shd w:val="clear" w:color="auto" w:fill="auto"/>
            <w:tcMar>
              <w:left w:w="108" w:type="dxa"/>
              <w:right w:w="108" w:type="dxa"/>
            </w:tcMar>
          </w:tcPr>
          <w:p w14:paraId="2F5B4F17" w14:textId="77777777" w:rsidR="00224F3B" w:rsidRPr="009213D8" w:rsidRDefault="00224F3B" w:rsidP="00733737">
            <w:pPr>
              <w:pStyle w:val="TableText"/>
            </w:pPr>
            <w:r w:rsidRPr="009213D8">
              <w:t>Per import declaration</w:t>
            </w:r>
          </w:p>
        </w:tc>
        <w:tc>
          <w:tcPr>
            <w:tcW w:w="355" w:type="pct"/>
            <w:shd w:val="clear" w:color="auto" w:fill="auto"/>
            <w:tcMar>
              <w:left w:w="108" w:type="dxa"/>
              <w:right w:w="108" w:type="dxa"/>
            </w:tcMar>
          </w:tcPr>
          <w:p w14:paraId="5CF5F42E" w14:textId="77777777" w:rsidR="00224F3B" w:rsidRPr="008A370F" w:rsidRDefault="00224F3B" w:rsidP="00733737">
            <w:pPr>
              <w:pStyle w:val="TableText"/>
              <w:jc w:val="right"/>
            </w:pPr>
            <w:r w:rsidRPr="008A370F">
              <w:rPr>
                <w:rFonts w:ascii="Calibri" w:hAnsi="Calibri"/>
                <w:color w:val="000000"/>
                <w:szCs w:val="18"/>
              </w:rPr>
              <w:t>68</w:t>
            </w:r>
          </w:p>
        </w:tc>
        <w:tc>
          <w:tcPr>
            <w:tcW w:w="500" w:type="pct"/>
            <w:shd w:val="clear" w:color="auto" w:fill="auto"/>
            <w:tcMar>
              <w:left w:w="108" w:type="dxa"/>
              <w:right w:w="108" w:type="dxa"/>
            </w:tcMar>
          </w:tcPr>
          <w:p w14:paraId="62A565D8" w14:textId="77777777" w:rsidR="00224F3B" w:rsidRPr="00C32CCF" w:rsidRDefault="00224F3B" w:rsidP="00733737">
            <w:pPr>
              <w:pStyle w:val="TableText"/>
              <w:jc w:val="right"/>
              <w:rPr>
                <w:rFonts w:ascii="Calibri" w:hAnsi="Calibri"/>
                <w:color w:val="000000"/>
                <w:szCs w:val="18"/>
              </w:rPr>
            </w:pPr>
            <w:r>
              <w:rPr>
                <w:rFonts w:ascii="Calibri" w:hAnsi="Calibri"/>
                <w:color w:val="000000"/>
                <w:szCs w:val="18"/>
              </w:rPr>
              <w:t>1,978,736</w:t>
            </w:r>
          </w:p>
        </w:tc>
        <w:tc>
          <w:tcPr>
            <w:tcW w:w="500" w:type="pct"/>
            <w:shd w:val="clear" w:color="auto" w:fill="auto"/>
            <w:tcMar>
              <w:left w:w="108" w:type="dxa"/>
              <w:right w:w="108" w:type="dxa"/>
            </w:tcMar>
          </w:tcPr>
          <w:p w14:paraId="7E410733" w14:textId="77777777" w:rsidR="00224F3B" w:rsidRPr="00C32CCF" w:rsidRDefault="00224F3B" w:rsidP="00733737">
            <w:pPr>
              <w:pStyle w:val="TableText"/>
              <w:jc w:val="right"/>
              <w:rPr>
                <w:highlight w:val="yellow"/>
              </w:rPr>
            </w:pPr>
            <w:r>
              <w:rPr>
                <w:rFonts w:ascii="Calibri" w:hAnsi="Calibri"/>
                <w:color w:val="000000"/>
                <w:szCs w:val="18"/>
              </w:rPr>
              <w:t>134,554,048</w:t>
            </w:r>
          </w:p>
        </w:tc>
      </w:tr>
      <w:tr w:rsidR="00224F3B" w:rsidRPr="00C32CCF" w14:paraId="7405987C" w14:textId="77777777" w:rsidTr="00FF2F78">
        <w:tc>
          <w:tcPr>
            <w:tcW w:w="810" w:type="pct"/>
            <w:vMerge/>
            <w:tcMar>
              <w:left w:w="108" w:type="dxa"/>
              <w:right w:w="108" w:type="dxa"/>
            </w:tcMar>
          </w:tcPr>
          <w:p w14:paraId="5FBB1959" w14:textId="77777777" w:rsidR="00224F3B" w:rsidRPr="0018484D" w:rsidRDefault="00224F3B" w:rsidP="00733737">
            <w:pPr>
              <w:pStyle w:val="TableText"/>
            </w:pPr>
          </w:p>
        </w:tc>
        <w:tc>
          <w:tcPr>
            <w:tcW w:w="456" w:type="pct"/>
            <w:shd w:val="clear" w:color="auto" w:fill="auto"/>
            <w:tcMar>
              <w:left w:w="108" w:type="dxa"/>
              <w:right w:w="108" w:type="dxa"/>
            </w:tcMar>
          </w:tcPr>
          <w:p w14:paraId="27C862EB" w14:textId="43EC6C2E" w:rsidR="00224F3B" w:rsidRPr="00044EE9" w:rsidRDefault="00224F3B" w:rsidP="00AD2CA4">
            <w:pPr>
              <w:pStyle w:val="TableText"/>
              <w:jc w:val="right"/>
            </w:pPr>
            <w:r w:rsidRPr="00044EE9">
              <w:t>66,183,127</w:t>
            </w:r>
          </w:p>
        </w:tc>
        <w:tc>
          <w:tcPr>
            <w:tcW w:w="1619" w:type="pct"/>
            <w:shd w:val="clear" w:color="auto" w:fill="auto"/>
            <w:tcMar>
              <w:left w:w="108" w:type="dxa"/>
              <w:right w:w="108" w:type="dxa"/>
            </w:tcMar>
          </w:tcPr>
          <w:p w14:paraId="682A8F03" w14:textId="085BDF14" w:rsidR="00224F3B" w:rsidRPr="00044EE9" w:rsidRDefault="00224F3B" w:rsidP="00224F3B">
            <w:pPr>
              <w:pStyle w:val="TableText"/>
            </w:pPr>
            <w:r w:rsidRPr="00044EE9">
              <w:t>Self-assessed clearance charge</w:t>
            </w:r>
          </w:p>
        </w:tc>
        <w:tc>
          <w:tcPr>
            <w:tcW w:w="760" w:type="pct"/>
            <w:shd w:val="clear" w:color="auto" w:fill="auto"/>
            <w:tcMar>
              <w:left w:w="108" w:type="dxa"/>
              <w:right w:w="108" w:type="dxa"/>
            </w:tcMar>
          </w:tcPr>
          <w:p w14:paraId="43BD55F5" w14:textId="77777777" w:rsidR="00224F3B" w:rsidRPr="00044EE9" w:rsidRDefault="00224F3B" w:rsidP="00733737">
            <w:pPr>
              <w:pStyle w:val="TableText"/>
            </w:pPr>
            <w:r w:rsidRPr="00044EE9">
              <w:t>Per import declaration</w:t>
            </w:r>
          </w:p>
        </w:tc>
        <w:tc>
          <w:tcPr>
            <w:tcW w:w="355" w:type="pct"/>
            <w:shd w:val="clear" w:color="auto" w:fill="auto"/>
            <w:tcMar>
              <w:left w:w="108" w:type="dxa"/>
              <w:right w:w="108" w:type="dxa"/>
            </w:tcMar>
          </w:tcPr>
          <w:p w14:paraId="5197791C" w14:textId="07FF2BAB" w:rsidR="00224F3B" w:rsidRPr="00044EE9" w:rsidRDefault="00224F3B" w:rsidP="00733737">
            <w:pPr>
              <w:pStyle w:val="TableText"/>
              <w:jc w:val="right"/>
              <w:rPr>
                <w:rFonts w:ascii="Calibri" w:hAnsi="Calibri"/>
                <w:color w:val="000000"/>
                <w:szCs w:val="18"/>
              </w:rPr>
            </w:pPr>
            <w:r w:rsidRPr="00044EE9">
              <w:rPr>
                <w:rFonts w:ascii="Calibri" w:hAnsi="Calibri"/>
                <w:color w:val="000000"/>
                <w:szCs w:val="18"/>
              </w:rPr>
              <w:t>0.37</w:t>
            </w:r>
          </w:p>
        </w:tc>
        <w:tc>
          <w:tcPr>
            <w:tcW w:w="500" w:type="pct"/>
            <w:shd w:val="clear" w:color="auto" w:fill="auto"/>
            <w:tcMar>
              <w:left w:w="108" w:type="dxa"/>
              <w:right w:w="108" w:type="dxa"/>
            </w:tcMar>
          </w:tcPr>
          <w:p w14:paraId="3B0E1099" w14:textId="77777777" w:rsidR="00224F3B" w:rsidRPr="00044EE9" w:rsidRDefault="00224F3B" w:rsidP="00733737">
            <w:pPr>
              <w:pStyle w:val="TableText"/>
              <w:jc w:val="right"/>
              <w:rPr>
                <w:rFonts w:ascii="Calibri" w:hAnsi="Calibri"/>
                <w:color w:val="000000"/>
                <w:szCs w:val="18"/>
              </w:rPr>
            </w:pPr>
            <w:r w:rsidRPr="00044EE9">
              <w:rPr>
                <w:rFonts w:ascii="Calibri" w:hAnsi="Calibri"/>
                <w:color w:val="000000"/>
                <w:szCs w:val="18"/>
              </w:rPr>
              <w:t>178,873,317</w:t>
            </w:r>
          </w:p>
        </w:tc>
        <w:tc>
          <w:tcPr>
            <w:tcW w:w="500" w:type="pct"/>
            <w:shd w:val="clear" w:color="auto" w:fill="auto"/>
            <w:tcMar>
              <w:left w:w="108" w:type="dxa"/>
              <w:right w:w="108" w:type="dxa"/>
            </w:tcMar>
          </w:tcPr>
          <w:p w14:paraId="259F86DD" w14:textId="07F7646F" w:rsidR="00224F3B" w:rsidRPr="00044EE9" w:rsidRDefault="00224F3B" w:rsidP="00733737">
            <w:pPr>
              <w:pStyle w:val="TableText"/>
              <w:jc w:val="right"/>
              <w:rPr>
                <w:rFonts w:ascii="Calibri" w:hAnsi="Calibri"/>
                <w:color w:val="000000"/>
                <w:szCs w:val="18"/>
              </w:rPr>
            </w:pPr>
            <w:r w:rsidRPr="00044EE9">
              <w:rPr>
                <w:rFonts w:ascii="Calibri" w:hAnsi="Calibri"/>
                <w:color w:val="000000"/>
                <w:szCs w:val="18"/>
              </w:rPr>
              <w:t>66,183,127</w:t>
            </w:r>
          </w:p>
        </w:tc>
      </w:tr>
      <w:tr w:rsidR="00224F3B" w:rsidRPr="00C32CCF" w14:paraId="78DABF36" w14:textId="77777777" w:rsidTr="00FF2F78">
        <w:tc>
          <w:tcPr>
            <w:tcW w:w="810" w:type="pct"/>
            <w:vMerge/>
            <w:tcMar>
              <w:left w:w="108" w:type="dxa"/>
              <w:right w:w="108" w:type="dxa"/>
            </w:tcMar>
          </w:tcPr>
          <w:p w14:paraId="15B7C2D6" w14:textId="77777777" w:rsidR="00224F3B" w:rsidRPr="0018484D" w:rsidRDefault="00224F3B" w:rsidP="00733737">
            <w:pPr>
              <w:pStyle w:val="TableText"/>
            </w:pPr>
          </w:p>
        </w:tc>
        <w:tc>
          <w:tcPr>
            <w:tcW w:w="456" w:type="pct"/>
            <w:shd w:val="clear" w:color="auto" w:fill="auto"/>
            <w:tcMar>
              <w:left w:w="108" w:type="dxa"/>
              <w:right w:w="108" w:type="dxa"/>
            </w:tcMar>
          </w:tcPr>
          <w:p w14:paraId="45BA53E6" w14:textId="77777777" w:rsidR="00224F3B" w:rsidRPr="00A10BE3" w:rsidRDefault="00224F3B" w:rsidP="00AD2CA4">
            <w:pPr>
              <w:pStyle w:val="TableText"/>
              <w:jc w:val="right"/>
              <w:rPr>
                <w:rFonts w:cstheme="minorHAnsi"/>
              </w:rPr>
            </w:pPr>
            <w:r w:rsidRPr="00A10BE3">
              <w:rPr>
                <w:rFonts w:cstheme="minorHAnsi"/>
              </w:rPr>
              <w:t>1,949,740</w:t>
            </w:r>
          </w:p>
        </w:tc>
        <w:tc>
          <w:tcPr>
            <w:tcW w:w="1619" w:type="pct"/>
            <w:shd w:val="clear" w:color="auto" w:fill="auto"/>
            <w:tcMar>
              <w:left w:w="108" w:type="dxa"/>
              <w:right w:w="108" w:type="dxa"/>
            </w:tcMar>
          </w:tcPr>
          <w:p w14:paraId="18317553" w14:textId="77777777" w:rsidR="00224F3B" w:rsidRPr="009213D8" w:rsidRDefault="00224F3B" w:rsidP="00733737">
            <w:pPr>
              <w:pStyle w:val="TableText"/>
            </w:pPr>
            <w:r w:rsidRPr="009213D8">
              <w:t>Permit application charge</w:t>
            </w:r>
          </w:p>
        </w:tc>
        <w:tc>
          <w:tcPr>
            <w:tcW w:w="760" w:type="pct"/>
            <w:shd w:val="clear" w:color="auto" w:fill="auto"/>
            <w:tcMar>
              <w:left w:w="108" w:type="dxa"/>
              <w:right w:w="108" w:type="dxa"/>
            </w:tcMar>
          </w:tcPr>
          <w:p w14:paraId="3C6EB1AB" w14:textId="77777777" w:rsidR="00224F3B" w:rsidRPr="009213D8" w:rsidRDefault="00224F3B" w:rsidP="00733737">
            <w:pPr>
              <w:pStyle w:val="TableText"/>
            </w:pPr>
            <w:r w:rsidRPr="009213D8">
              <w:t>Per application</w:t>
            </w:r>
          </w:p>
        </w:tc>
        <w:tc>
          <w:tcPr>
            <w:tcW w:w="355" w:type="pct"/>
            <w:shd w:val="clear" w:color="auto" w:fill="auto"/>
            <w:tcMar>
              <w:left w:w="108" w:type="dxa"/>
              <w:right w:w="108" w:type="dxa"/>
            </w:tcMar>
          </w:tcPr>
          <w:p w14:paraId="7DA2AFA7" w14:textId="77777777" w:rsidR="00224F3B" w:rsidRPr="008A370F" w:rsidRDefault="00224F3B" w:rsidP="00733737">
            <w:pPr>
              <w:pStyle w:val="TableText"/>
              <w:jc w:val="right"/>
            </w:pPr>
            <w:r w:rsidRPr="008A370F">
              <w:rPr>
                <w:rFonts w:ascii="Calibri" w:hAnsi="Calibri"/>
                <w:color w:val="000000"/>
                <w:szCs w:val="18"/>
              </w:rPr>
              <w:t>130</w:t>
            </w:r>
          </w:p>
        </w:tc>
        <w:tc>
          <w:tcPr>
            <w:tcW w:w="500" w:type="pct"/>
            <w:shd w:val="clear" w:color="auto" w:fill="auto"/>
            <w:tcMar>
              <w:left w:w="108" w:type="dxa"/>
              <w:right w:w="108" w:type="dxa"/>
            </w:tcMar>
          </w:tcPr>
          <w:p w14:paraId="6539A542" w14:textId="77777777" w:rsidR="00224F3B" w:rsidRPr="00C32CCF" w:rsidRDefault="00224F3B" w:rsidP="00733737">
            <w:pPr>
              <w:pStyle w:val="TableText"/>
              <w:jc w:val="right"/>
              <w:rPr>
                <w:rFonts w:ascii="Calibri" w:hAnsi="Calibri"/>
                <w:color w:val="000000"/>
                <w:szCs w:val="18"/>
              </w:rPr>
            </w:pPr>
            <w:r>
              <w:rPr>
                <w:rFonts w:ascii="Calibri" w:hAnsi="Calibri"/>
                <w:color w:val="000000"/>
                <w:szCs w:val="18"/>
              </w:rPr>
              <w:t>14,998</w:t>
            </w:r>
          </w:p>
        </w:tc>
        <w:tc>
          <w:tcPr>
            <w:tcW w:w="500" w:type="pct"/>
            <w:shd w:val="clear" w:color="auto" w:fill="auto"/>
            <w:tcMar>
              <w:left w:w="108" w:type="dxa"/>
              <w:right w:w="108" w:type="dxa"/>
            </w:tcMar>
          </w:tcPr>
          <w:p w14:paraId="6F85BE19" w14:textId="77777777" w:rsidR="00224F3B" w:rsidRPr="00C32CCF" w:rsidRDefault="00224F3B" w:rsidP="00733737">
            <w:pPr>
              <w:pStyle w:val="TableText"/>
              <w:jc w:val="right"/>
              <w:rPr>
                <w:highlight w:val="yellow"/>
              </w:rPr>
            </w:pPr>
            <w:r>
              <w:rPr>
                <w:rFonts w:ascii="Calibri" w:hAnsi="Calibri"/>
                <w:color w:val="000000"/>
                <w:szCs w:val="18"/>
              </w:rPr>
              <w:t>1,949,740</w:t>
            </w:r>
          </w:p>
        </w:tc>
      </w:tr>
      <w:tr w:rsidR="00224F3B" w:rsidRPr="00C32CCF" w14:paraId="219A3E44" w14:textId="77777777" w:rsidTr="00FF2F78">
        <w:tc>
          <w:tcPr>
            <w:tcW w:w="810" w:type="pct"/>
            <w:vMerge/>
            <w:tcMar>
              <w:left w:w="108" w:type="dxa"/>
              <w:right w:w="108" w:type="dxa"/>
            </w:tcMar>
          </w:tcPr>
          <w:p w14:paraId="7AE67DD0" w14:textId="77777777" w:rsidR="00224F3B" w:rsidRPr="0018484D" w:rsidRDefault="00224F3B" w:rsidP="00733737">
            <w:pPr>
              <w:pStyle w:val="TableText"/>
            </w:pPr>
          </w:p>
        </w:tc>
        <w:tc>
          <w:tcPr>
            <w:tcW w:w="456" w:type="pct"/>
            <w:shd w:val="clear" w:color="auto" w:fill="auto"/>
            <w:tcMar>
              <w:left w:w="108" w:type="dxa"/>
              <w:right w:w="108" w:type="dxa"/>
            </w:tcMar>
          </w:tcPr>
          <w:p w14:paraId="777596DC" w14:textId="77777777" w:rsidR="00224F3B" w:rsidRPr="00A10BE3" w:rsidRDefault="00224F3B" w:rsidP="00AD2CA4">
            <w:pPr>
              <w:pStyle w:val="TableText"/>
              <w:jc w:val="right"/>
              <w:rPr>
                <w:rFonts w:cstheme="minorHAnsi"/>
              </w:rPr>
            </w:pPr>
            <w:r w:rsidRPr="00A10BE3">
              <w:rPr>
                <w:rFonts w:cstheme="minorHAnsi"/>
              </w:rPr>
              <w:t>754,560</w:t>
            </w:r>
          </w:p>
        </w:tc>
        <w:tc>
          <w:tcPr>
            <w:tcW w:w="1619" w:type="pct"/>
            <w:shd w:val="clear" w:color="auto" w:fill="auto"/>
            <w:tcMar>
              <w:left w:w="108" w:type="dxa"/>
              <w:right w:w="108" w:type="dxa"/>
            </w:tcMar>
          </w:tcPr>
          <w:p w14:paraId="75297153" w14:textId="0012C2E4" w:rsidR="00224F3B" w:rsidRPr="009213D8" w:rsidRDefault="00224F3B" w:rsidP="00733737">
            <w:pPr>
              <w:pStyle w:val="TableText"/>
            </w:pPr>
            <w:r>
              <w:t>Reservation</w:t>
            </w:r>
            <w:r w:rsidRPr="009213D8">
              <w:t xml:space="preserve"> charge – horses</w:t>
            </w:r>
          </w:p>
        </w:tc>
        <w:tc>
          <w:tcPr>
            <w:tcW w:w="760" w:type="pct"/>
            <w:shd w:val="clear" w:color="auto" w:fill="auto"/>
            <w:tcMar>
              <w:left w:w="108" w:type="dxa"/>
              <w:right w:w="108" w:type="dxa"/>
            </w:tcMar>
          </w:tcPr>
          <w:p w14:paraId="51ED83A6" w14:textId="77777777" w:rsidR="00224F3B" w:rsidRPr="009213D8" w:rsidRDefault="00224F3B" w:rsidP="00733737">
            <w:pPr>
              <w:pStyle w:val="TableText"/>
            </w:pPr>
            <w:r w:rsidRPr="009213D8">
              <w:t>Per animal</w:t>
            </w:r>
          </w:p>
        </w:tc>
        <w:tc>
          <w:tcPr>
            <w:tcW w:w="355" w:type="pct"/>
            <w:shd w:val="clear" w:color="auto" w:fill="auto"/>
            <w:tcMar>
              <w:left w:w="108" w:type="dxa"/>
              <w:right w:w="108" w:type="dxa"/>
            </w:tcMar>
          </w:tcPr>
          <w:p w14:paraId="1FE052F2" w14:textId="77777777" w:rsidR="00224F3B" w:rsidRPr="008A370F" w:rsidRDefault="00224F3B" w:rsidP="00733737">
            <w:pPr>
              <w:pStyle w:val="TableText"/>
              <w:jc w:val="right"/>
              <w:rPr>
                <w:rFonts w:ascii="Calibri" w:hAnsi="Calibri"/>
                <w:color w:val="000000"/>
                <w:szCs w:val="18"/>
              </w:rPr>
            </w:pPr>
            <w:r w:rsidRPr="008A370F">
              <w:t>1,048</w:t>
            </w:r>
          </w:p>
        </w:tc>
        <w:tc>
          <w:tcPr>
            <w:tcW w:w="500" w:type="pct"/>
            <w:shd w:val="clear" w:color="auto" w:fill="auto"/>
            <w:tcMar>
              <w:left w:w="108" w:type="dxa"/>
              <w:right w:w="108" w:type="dxa"/>
            </w:tcMar>
          </w:tcPr>
          <w:p w14:paraId="7BDAC702" w14:textId="77777777" w:rsidR="00224F3B" w:rsidRDefault="00224F3B" w:rsidP="00733737">
            <w:pPr>
              <w:pStyle w:val="TableText"/>
              <w:jc w:val="right"/>
              <w:rPr>
                <w:rFonts w:ascii="Calibri" w:hAnsi="Calibri"/>
                <w:color w:val="000000"/>
                <w:szCs w:val="18"/>
              </w:rPr>
            </w:pPr>
            <w:r>
              <w:t>720</w:t>
            </w:r>
          </w:p>
        </w:tc>
        <w:tc>
          <w:tcPr>
            <w:tcW w:w="500" w:type="pct"/>
            <w:shd w:val="clear" w:color="auto" w:fill="auto"/>
            <w:tcMar>
              <w:left w:w="108" w:type="dxa"/>
              <w:right w:w="108" w:type="dxa"/>
            </w:tcMar>
          </w:tcPr>
          <w:p w14:paraId="1311814E" w14:textId="77777777" w:rsidR="00224F3B" w:rsidRDefault="00224F3B" w:rsidP="00733737">
            <w:pPr>
              <w:pStyle w:val="TableText"/>
              <w:jc w:val="right"/>
              <w:rPr>
                <w:rFonts w:ascii="Calibri" w:hAnsi="Calibri"/>
                <w:color w:val="000000"/>
                <w:szCs w:val="18"/>
              </w:rPr>
            </w:pPr>
            <w:r>
              <w:t>754,560</w:t>
            </w:r>
          </w:p>
        </w:tc>
      </w:tr>
      <w:tr w:rsidR="00224F3B" w:rsidRPr="00C32CCF" w14:paraId="32B68D93" w14:textId="77777777" w:rsidTr="00FF2F78">
        <w:tc>
          <w:tcPr>
            <w:tcW w:w="810" w:type="pct"/>
            <w:vMerge/>
            <w:tcMar>
              <w:left w:w="108" w:type="dxa"/>
              <w:right w:w="108" w:type="dxa"/>
            </w:tcMar>
          </w:tcPr>
          <w:p w14:paraId="355381A2" w14:textId="77777777" w:rsidR="00224F3B" w:rsidRPr="0018484D" w:rsidRDefault="00224F3B" w:rsidP="00733737">
            <w:pPr>
              <w:pStyle w:val="TableText"/>
            </w:pPr>
          </w:p>
        </w:tc>
        <w:tc>
          <w:tcPr>
            <w:tcW w:w="456" w:type="pct"/>
            <w:shd w:val="clear" w:color="auto" w:fill="auto"/>
            <w:tcMar>
              <w:left w:w="108" w:type="dxa"/>
              <w:right w:w="108" w:type="dxa"/>
            </w:tcMar>
          </w:tcPr>
          <w:p w14:paraId="5FA0EFE7" w14:textId="77777777" w:rsidR="00224F3B" w:rsidRPr="00A10BE3" w:rsidRDefault="00224F3B" w:rsidP="00AD2CA4">
            <w:pPr>
              <w:pStyle w:val="TableText"/>
              <w:jc w:val="right"/>
              <w:rPr>
                <w:rFonts w:cstheme="minorHAnsi"/>
              </w:rPr>
            </w:pPr>
            <w:r w:rsidRPr="00A10BE3">
              <w:rPr>
                <w:rFonts w:cstheme="minorHAnsi"/>
              </w:rPr>
              <w:t>3,018,960</w:t>
            </w:r>
          </w:p>
        </w:tc>
        <w:tc>
          <w:tcPr>
            <w:tcW w:w="1619" w:type="pct"/>
            <w:shd w:val="clear" w:color="auto" w:fill="auto"/>
            <w:tcMar>
              <w:left w:w="108" w:type="dxa"/>
              <w:right w:w="108" w:type="dxa"/>
            </w:tcMar>
          </w:tcPr>
          <w:p w14:paraId="3C2058C5" w14:textId="40E62F33" w:rsidR="00224F3B" w:rsidRPr="009213D8" w:rsidRDefault="00224F3B" w:rsidP="00733737">
            <w:pPr>
              <w:pStyle w:val="TableText"/>
            </w:pPr>
            <w:r w:rsidRPr="0018484D">
              <w:t>Confirmation of reservation charge</w:t>
            </w:r>
            <w:r w:rsidR="005E3E93">
              <w:t xml:space="preserve"> – </w:t>
            </w:r>
            <w:r w:rsidRPr="0018484D">
              <w:t>horses</w:t>
            </w:r>
          </w:p>
        </w:tc>
        <w:tc>
          <w:tcPr>
            <w:tcW w:w="760" w:type="pct"/>
            <w:shd w:val="clear" w:color="auto" w:fill="auto"/>
            <w:tcMar>
              <w:left w:w="108" w:type="dxa"/>
              <w:right w:w="108" w:type="dxa"/>
            </w:tcMar>
          </w:tcPr>
          <w:p w14:paraId="3FFA4DF7" w14:textId="77777777" w:rsidR="00224F3B" w:rsidRPr="009213D8" w:rsidRDefault="00224F3B" w:rsidP="00733737">
            <w:pPr>
              <w:pStyle w:val="TableText"/>
            </w:pPr>
            <w:r w:rsidRPr="0018484D">
              <w:t>Per animal</w:t>
            </w:r>
          </w:p>
        </w:tc>
        <w:tc>
          <w:tcPr>
            <w:tcW w:w="355" w:type="pct"/>
            <w:shd w:val="clear" w:color="auto" w:fill="auto"/>
            <w:tcMar>
              <w:left w:w="108" w:type="dxa"/>
              <w:right w:w="108" w:type="dxa"/>
            </w:tcMar>
          </w:tcPr>
          <w:p w14:paraId="008DD2C1" w14:textId="77777777" w:rsidR="00224F3B" w:rsidRPr="008A370F" w:rsidRDefault="00224F3B" w:rsidP="00733737">
            <w:pPr>
              <w:pStyle w:val="TableText"/>
              <w:jc w:val="right"/>
              <w:rPr>
                <w:rFonts w:ascii="Calibri" w:hAnsi="Calibri"/>
                <w:color w:val="000000"/>
                <w:szCs w:val="18"/>
              </w:rPr>
            </w:pPr>
            <w:r w:rsidRPr="008A370F">
              <w:rPr>
                <w:rFonts w:ascii="Calibri" w:hAnsi="Calibri"/>
                <w:color w:val="000000"/>
                <w:szCs w:val="18"/>
              </w:rPr>
              <w:t>4,193</w:t>
            </w:r>
          </w:p>
        </w:tc>
        <w:tc>
          <w:tcPr>
            <w:tcW w:w="500" w:type="pct"/>
            <w:shd w:val="clear" w:color="auto" w:fill="auto"/>
            <w:tcMar>
              <w:left w:w="108" w:type="dxa"/>
              <w:right w:w="108" w:type="dxa"/>
            </w:tcMar>
          </w:tcPr>
          <w:p w14:paraId="5BDAD74E" w14:textId="77777777" w:rsidR="00224F3B" w:rsidRDefault="00224F3B" w:rsidP="00733737">
            <w:pPr>
              <w:pStyle w:val="TableText"/>
              <w:jc w:val="right"/>
              <w:rPr>
                <w:rFonts w:ascii="Calibri" w:hAnsi="Calibri"/>
                <w:color w:val="000000"/>
                <w:szCs w:val="18"/>
              </w:rPr>
            </w:pPr>
            <w:r>
              <w:rPr>
                <w:rFonts w:ascii="Calibri" w:hAnsi="Calibri"/>
                <w:color w:val="000000"/>
                <w:szCs w:val="18"/>
              </w:rPr>
              <w:t>720</w:t>
            </w:r>
          </w:p>
        </w:tc>
        <w:tc>
          <w:tcPr>
            <w:tcW w:w="500" w:type="pct"/>
            <w:shd w:val="clear" w:color="auto" w:fill="auto"/>
            <w:tcMar>
              <w:left w:w="108" w:type="dxa"/>
              <w:right w:w="108" w:type="dxa"/>
            </w:tcMar>
          </w:tcPr>
          <w:p w14:paraId="7582B715" w14:textId="77777777" w:rsidR="00224F3B" w:rsidRDefault="00224F3B" w:rsidP="00733737">
            <w:pPr>
              <w:pStyle w:val="TableText"/>
              <w:jc w:val="right"/>
              <w:rPr>
                <w:rFonts w:ascii="Calibri" w:hAnsi="Calibri"/>
                <w:color w:val="000000"/>
                <w:szCs w:val="18"/>
              </w:rPr>
            </w:pPr>
            <w:r>
              <w:rPr>
                <w:rFonts w:ascii="Calibri" w:hAnsi="Calibri"/>
                <w:color w:val="000000"/>
                <w:szCs w:val="18"/>
              </w:rPr>
              <w:t>3,018,960</w:t>
            </w:r>
          </w:p>
        </w:tc>
      </w:tr>
      <w:tr w:rsidR="00224F3B" w:rsidRPr="00C32CCF" w14:paraId="4724218E" w14:textId="77777777" w:rsidTr="00FF2F78">
        <w:tc>
          <w:tcPr>
            <w:tcW w:w="810" w:type="pct"/>
            <w:vMerge/>
            <w:tcMar>
              <w:left w:w="108" w:type="dxa"/>
              <w:right w:w="108" w:type="dxa"/>
            </w:tcMar>
          </w:tcPr>
          <w:p w14:paraId="20621E71" w14:textId="77777777" w:rsidR="00224F3B" w:rsidRPr="0018484D" w:rsidRDefault="00224F3B" w:rsidP="00733737">
            <w:pPr>
              <w:pStyle w:val="TableText"/>
            </w:pPr>
          </w:p>
        </w:tc>
        <w:tc>
          <w:tcPr>
            <w:tcW w:w="456" w:type="pct"/>
            <w:shd w:val="clear" w:color="auto" w:fill="auto"/>
            <w:tcMar>
              <w:left w:w="108" w:type="dxa"/>
              <w:right w:w="108" w:type="dxa"/>
            </w:tcMar>
          </w:tcPr>
          <w:p w14:paraId="6F3686F3" w14:textId="77777777" w:rsidR="00224F3B" w:rsidRPr="00A10BE3" w:rsidRDefault="00224F3B" w:rsidP="00AD2CA4">
            <w:pPr>
              <w:pStyle w:val="TableText"/>
              <w:jc w:val="right"/>
              <w:rPr>
                <w:rFonts w:cstheme="minorHAnsi"/>
              </w:rPr>
            </w:pPr>
            <w:r w:rsidRPr="00A10BE3">
              <w:rPr>
                <w:rFonts w:cstheme="minorHAnsi"/>
              </w:rPr>
              <w:t>–</w:t>
            </w:r>
          </w:p>
        </w:tc>
        <w:tc>
          <w:tcPr>
            <w:tcW w:w="1619" w:type="pct"/>
            <w:shd w:val="clear" w:color="auto" w:fill="auto"/>
            <w:tcMar>
              <w:left w:w="108" w:type="dxa"/>
              <w:right w:w="108" w:type="dxa"/>
            </w:tcMar>
          </w:tcPr>
          <w:p w14:paraId="19E4176F" w14:textId="77777777" w:rsidR="00224F3B" w:rsidRPr="009213D8" w:rsidRDefault="00224F3B" w:rsidP="00733737">
            <w:pPr>
              <w:pStyle w:val="TableText"/>
            </w:pPr>
            <w:r>
              <w:t>Reservation</w:t>
            </w:r>
            <w:r w:rsidRPr="009213D8">
              <w:t xml:space="preserve"> charge – ruminants</w:t>
            </w:r>
          </w:p>
        </w:tc>
        <w:tc>
          <w:tcPr>
            <w:tcW w:w="760" w:type="pct"/>
            <w:shd w:val="clear" w:color="auto" w:fill="auto"/>
            <w:tcMar>
              <w:left w:w="108" w:type="dxa"/>
              <w:right w:w="108" w:type="dxa"/>
            </w:tcMar>
          </w:tcPr>
          <w:p w14:paraId="5E63BA3D" w14:textId="77777777" w:rsidR="00224F3B" w:rsidRPr="009213D8" w:rsidRDefault="00224F3B" w:rsidP="00733737">
            <w:pPr>
              <w:pStyle w:val="TableText"/>
            </w:pPr>
            <w:r w:rsidRPr="009213D8">
              <w:t>Per animal</w:t>
            </w:r>
          </w:p>
        </w:tc>
        <w:tc>
          <w:tcPr>
            <w:tcW w:w="355" w:type="pct"/>
            <w:shd w:val="clear" w:color="auto" w:fill="auto"/>
            <w:tcMar>
              <w:left w:w="108" w:type="dxa"/>
              <w:right w:w="108" w:type="dxa"/>
            </w:tcMar>
          </w:tcPr>
          <w:p w14:paraId="32ECA9DA" w14:textId="77777777" w:rsidR="00224F3B" w:rsidRPr="008A370F" w:rsidRDefault="00224F3B" w:rsidP="00733737">
            <w:pPr>
              <w:pStyle w:val="TableText"/>
              <w:jc w:val="right"/>
              <w:rPr>
                <w:rFonts w:ascii="Calibri" w:hAnsi="Calibri"/>
                <w:color w:val="000000"/>
                <w:szCs w:val="18"/>
              </w:rPr>
            </w:pPr>
            <w:r w:rsidRPr="008A370F">
              <w:rPr>
                <w:rFonts w:ascii="Calibri" w:hAnsi="Calibri"/>
                <w:color w:val="000000"/>
                <w:szCs w:val="18"/>
              </w:rPr>
              <w:t>1,071</w:t>
            </w:r>
          </w:p>
        </w:tc>
        <w:tc>
          <w:tcPr>
            <w:tcW w:w="500" w:type="pct"/>
            <w:shd w:val="clear" w:color="auto" w:fill="auto"/>
            <w:tcMar>
              <w:left w:w="108" w:type="dxa"/>
              <w:right w:w="108" w:type="dxa"/>
            </w:tcMar>
          </w:tcPr>
          <w:p w14:paraId="3C3CD50E" w14:textId="77777777" w:rsidR="00224F3B" w:rsidRDefault="00224F3B" w:rsidP="00733737">
            <w:pPr>
              <w:pStyle w:val="TableText"/>
              <w:jc w:val="right"/>
              <w:rPr>
                <w:rFonts w:ascii="Calibri" w:hAnsi="Calibri"/>
                <w:color w:val="000000"/>
                <w:szCs w:val="18"/>
              </w:rPr>
            </w:pPr>
            <w:r w:rsidRPr="00A10BE3">
              <w:rPr>
                <w:rFonts w:cstheme="minorHAnsi"/>
              </w:rPr>
              <w:t>–</w:t>
            </w:r>
          </w:p>
        </w:tc>
        <w:tc>
          <w:tcPr>
            <w:tcW w:w="500" w:type="pct"/>
            <w:shd w:val="clear" w:color="auto" w:fill="auto"/>
            <w:tcMar>
              <w:left w:w="108" w:type="dxa"/>
              <w:right w:w="108" w:type="dxa"/>
            </w:tcMar>
          </w:tcPr>
          <w:p w14:paraId="04C65128" w14:textId="77777777" w:rsidR="00224F3B" w:rsidRDefault="00224F3B" w:rsidP="00733737">
            <w:pPr>
              <w:pStyle w:val="TableText"/>
              <w:jc w:val="right"/>
              <w:rPr>
                <w:rFonts w:ascii="Calibri" w:hAnsi="Calibri"/>
                <w:color w:val="000000"/>
                <w:szCs w:val="18"/>
              </w:rPr>
            </w:pPr>
            <w:r w:rsidRPr="00A10BE3">
              <w:rPr>
                <w:rFonts w:cstheme="minorHAnsi"/>
              </w:rPr>
              <w:t>–</w:t>
            </w:r>
          </w:p>
        </w:tc>
      </w:tr>
      <w:tr w:rsidR="00224F3B" w:rsidRPr="00C32CCF" w14:paraId="67F759AD" w14:textId="77777777" w:rsidTr="00FF2F78">
        <w:tc>
          <w:tcPr>
            <w:tcW w:w="810" w:type="pct"/>
            <w:vMerge/>
            <w:tcMar>
              <w:left w:w="108" w:type="dxa"/>
              <w:right w:w="108" w:type="dxa"/>
            </w:tcMar>
          </w:tcPr>
          <w:p w14:paraId="50281D00" w14:textId="77777777" w:rsidR="00224F3B" w:rsidRPr="0018484D" w:rsidRDefault="00224F3B" w:rsidP="00733737">
            <w:pPr>
              <w:pStyle w:val="TableText"/>
            </w:pPr>
          </w:p>
        </w:tc>
        <w:tc>
          <w:tcPr>
            <w:tcW w:w="456" w:type="pct"/>
            <w:shd w:val="clear" w:color="auto" w:fill="auto"/>
            <w:tcMar>
              <w:left w:w="108" w:type="dxa"/>
              <w:right w:w="108" w:type="dxa"/>
            </w:tcMar>
          </w:tcPr>
          <w:p w14:paraId="2DED6FBA" w14:textId="77777777" w:rsidR="00224F3B" w:rsidRPr="00A10BE3" w:rsidRDefault="00224F3B" w:rsidP="00AD2CA4">
            <w:pPr>
              <w:pStyle w:val="TableText"/>
              <w:jc w:val="right"/>
              <w:rPr>
                <w:rFonts w:cstheme="minorHAnsi"/>
              </w:rPr>
            </w:pPr>
            <w:r w:rsidRPr="00A10BE3">
              <w:rPr>
                <w:rFonts w:cstheme="minorHAnsi"/>
              </w:rPr>
              <w:t>–</w:t>
            </w:r>
          </w:p>
        </w:tc>
        <w:tc>
          <w:tcPr>
            <w:tcW w:w="1619" w:type="pct"/>
            <w:shd w:val="clear" w:color="auto" w:fill="auto"/>
            <w:tcMar>
              <w:left w:w="108" w:type="dxa"/>
              <w:right w:w="108" w:type="dxa"/>
            </w:tcMar>
          </w:tcPr>
          <w:p w14:paraId="08E40D89" w14:textId="77777777" w:rsidR="00224F3B" w:rsidRPr="009213D8" w:rsidRDefault="00224F3B" w:rsidP="00733737">
            <w:pPr>
              <w:pStyle w:val="TableText"/>
            </w:pPr>
            <w:r>
              <w:t>Confirmation of reservation</w:t>
            </w:r>
            <w:r w:rsidRPr="009213D8">
              <w:t xml:space="preserve"> charge – ruminants</w:t>
            </w:r>
          </w:p>
        </w:tc>
        <w:tc>
          <w:tcPr>
            <w:tcW w:w="760" w:type="pct"/>
            <w:shd w:val="clear" w:color="auto" w:fill="auto"/>
            <w:tcMar>
              <w:left w:w="108" w:type="dxa"/>
              <w:right w:w="108" w:type="dxa"/>
            </w:tcMar>
          </w:tcPr>
          <w:p w14:paraId="2FE807E1" w14:textId="77777777" w:rsidR="00224F3B" w:rsidRPr="009213D8" w:rsidRDefault="00224F3B" w:rsidP="00733737">
            <w:pPr>
              <w:pStyle w:val="TableText"/>
            </w:pPr>
            <w:r w:rsidRPr="009213D8">
              <w:t>Per animal</w:t>
            </w:r>
          </w:p>
        </w:tc>
        <w:tc>
          <w:tcPr>
            <w:tcW w:w="355" w:type="pct"/>
            <w:shd w:val="clear" w:color="auto" w:fill="auto"/>
            <w:tcMar>
              <w:left w:w="108" w:type="dxa"/>
              <w:right w:w="108" w:type="dxa"/>
            </w:tcMar>
          </w:tcPr>
          <w:p w14:paraId="738304AC" w14:textId="77777777" w:rsidR="00224F3B" w:rsidRPr="008A370F" w:rsidRDefault="00224F3B" w:rsidP="00733737">
            <w:pPr>
              <w:pStyle w:val="TableText"/>
              <w:jc w:val="right"/>
              <w:rPr>
                <w:rFonts w:ascii="Calibri" w:hAnsi="Calibri"/>
                <w:color w:val="000000"/>
                <w:szCs w:val="18"/>
              </w:rPr>
            </w:pPr>
            <w:r w:rsidRPr="008A370F">
              <w:rPr>
                <w:rFonts w:ascii="Calibri" w:hAnsi="Calibri"/>
                <w:color w:val="000000"/>
                <w:szCs w:val="18"/>
              </w:rPr>
              <w:t>4,284</w:t>
            </w:r>
          </w:p>
        </w:tc>
        <w:tc>
          <w:tcPr>
            <w:tcW w:w="500" w:type="pct"/>
            <w:shd w:val="clear" w:color="auto" w:fill="auto"/>
            <w:tcMar>
              <w:left w:w="108" w:type="dxa"/>
              <w:right w:w="108" w:type="dxa"/>
            </w:tcMar>
          </w:tcPr>
          <w:p w14:paraId="045734B2" w14:textId="77777777" w:rsidR="00224F3B" w:rsidRDefault="00224F3B" w:rsidP="00733737">
            <w:pPr>
              <w:pStyle w:val="TableText"/>
              <w:jc w:val="right"/>
              <w:rPr>
                <w:rFonts w:ascii="Calibri" w:hAnsi="Calibri"/>
                <w:color w:val="000000"/>
                <w:szCs w:val="18"/>
              </w:rPr>
            </w:pPr>
            <w:r w:rsidRPr="00A10BE3">
              <w:rPr>
                <w:rFonts w:cstheme="minorHAnsi"/>
              </w:rPr>
              <w:t>–</w:t>
            </w:r>
          </w:p>
        </w:tc>
        <w:tc>
          <w:tcPr>
            <w:tcW w:w="500" w:type="pct"/>
            <w:shd w:val="clear" w:color="auto" w:fill="auto"/>
            <w:tcMar>
              <w:left w:w="108" w:type="dxa"/>
              <w:right w:w="108" w:type="dxa"/>
            </w:tcMar>
          </w:tcPr>
          <w:p w14:paraId="208D4E08" w14:textId="77777777" w:rsidR="00224F3B" w:rsidRDefault="00224F3B" w:rsidP="00733737">
            <w:pPr>
              <w:pStyle w:val="TableText"/>
              <w:jc w:val="right"/>
              <w:rPr>
                <w:rFonts w:ascii="Calibri" w:hAnsi="Calibri"/>
                <w:color w:val="000000"/>
                <w:szCs w:val="18"/>
              </w:rPr>
            </w:pPr>
            <w:r w:rsidRPr="00A10BE3">
              <w:rPr>
                <w:rFonts w:cstheme="minorHAnsi"/>
              </w:rPr>
              <w:t>–</w:t>
            </w:r>
          </w:p>
        </w:tc>
      </w:tr>
      <w:tr w:rsidR="00224F3B" w:rsidRPr="00C32CCF" w14:paraId="0408096B" w14:textId="77777777" w:rsidTr="00FF2F78">
        <w:tc>
          <w:tcPr>
            <w:tcW w:w="810" w:type="pct"/>
            <w:vMerge/>
            <w:tcMar>
              <w:left w:w="108" w:type="dxa"/>
              <w:right w:w="108" w:type="dxa"/>
            </w:tcMar>
          </w:tcPr>
          <w:p w14:paraId="17383AB6" w14:textId="77777777" w:rsidR="00224F3B" w:rsidRPr="0018484D" w:rsidRDefault="00224F3B" w:rsidP="00733737">
            <w:pPr>
              <w:pStyle w:val="TableText"/>
            </w:pPr>
          </w:p>
        </w:tc>
        <w:tc>
          <w:tcPr>
            <w:tcW w:w="456" w:type="pct"/>
            <w:shd w:val="clear" w:color="auto" w:fill="auto"/>
            <w:tcMar>
              <w:left w:w="108" w:type="dxa"/>
              <w:right w:w="108" w:type="dxa"/>
            </w:tcMar>
          </w:tcPr>
          <w:p w14:paraId="63310B11" w14:textId="77777777" w:rsidR="00224F3B" w:rsidRPr="00A10BE3" w:rsidRDefault="00224F3B" w:rsidP="00AD2CA4">
            <w:pPr>
              <w:pStyle w:val="TableText"/>
              <w:jc w:val="right"/>
              <w:rPr>
                <w:rFonts w:cstheme="minorHAnsi"/>
              </w:rPr>
            </w:pPr>
            <w:r w:rsidRPr="00A10BE3">
              <w:rPr>
                <w:rFonts w:cstheme="minorHAnsi"/>
              </w:rPr>
              <w:t>2,379,036</w:t>
            </w:r>
          </w:p>
        </w:tc>
        <w:tc>
          <w:tcPr>
            <w:tcW w:w="1619" w:type="pct"/>
            <w:shd w:val="clear" w:color="auto" w:fill="auto"/>
            <w:tcMar>
              <w:left w:w="108" w:type="dxa"/>
              <w:right w:w="108" w:type="dxa"/>
            </w:tcMar>
          </w:tcPr>
          <w:p w14:paraId="6B8278CB" w14:textId="79A98D5E" w:rsidR="00224F3B" w:rsidRPr="009213D8" w:rsidRDefault="00224F3B" w:rsidP="00733737">
            <w:pPr>
              <w:pStyle w:val="TableText"/>
            </w:pPr>
            <w:r w:rsidRPr="009257DB">
              <w:t xml:space="preserve">Reservation charge </w:t>
            </w:r>
            <w:r w:rsidRPr="009213D8">
              <w:t>– animal</w:t>
            </w:r>
            <w:r w:rsidR="005E3E93">
              <w:t>s</w:t>
            </w:r>
            <w:r w:rsidRPr="009213D8">
              <w:t xml:space="preserve"> not covered by another item of this table (includes cat</w:t>
            </w:r>
            <w:r w:rsidR="005E3E93">
              <w:t>s</w:t>
            </w:r>
            <w:r w:rsidRPr="009213D8">
              <w:t xml:space="preserve"> or dog</w:t>
            </w:r>
            <w:r w:rsidR="005E3E93">
              <w:t>s</w:t>
            </w:r>
            <w:r w:rsidRPr="009213D8">
              <w:t>)</w:t>
            </w:r>
          </w:p>
        </w:tc>
        <w:tc>
          <w:tcPr>
            <w:tcW w:w="760" w:type="pct"/>
            <w:shd w:val="clear" w:color="auto" w:fill="auto"/>
            <w:tcMar>
              <w:left w:w="108" w:type="dxa"/>
              <w:right w:w="108" w:type="dxa"/>
            </w:tcMar>
          </w:tcPr>
          <w:p w14:paraId="0760F9FD" w14:textId="77777777" w:rsidR="00224F3B" w:rsidRPr="009213D8" w:rsidRDefault="00224F3B" w:rsidP="00733737">
            <w:pPr>
              <w:pStyle w:val="TableText"/>
            </w:pPr>
            <w:r w:rsidRPr="009213D8">
              <w:t>Per animal</w:t>
            </w:r>
          </w:p>
        </w:tc>
        <w:tc>
          <w:tcPr>
            <w:tcW w:w="355" w:type="pct"/>
            <w:shd w:val="clear" w:color="auto" w:fill="auto"/>
            <w:tcMar>
              <w:left w:w="108" w:type="dxa"/>
              <w:right w:w="108" w:type="dxa"/>
            </w:tcMar>
          </w:tcPr>
          <w:p w14:paraId="2E63044D" w14:textId="77777777" w:rsidR="00224F3B" w:rsidRPr="008A370F" w:rsidRDefault="00224F3B" w:rsidP="00733737">
            <w:pPr>
              <w:pStyle w:val="TableText"/>
              <w:jc w:val="right"/>
              <w:rPr>
                <w:rFonts w:ascii="Calibri" w:hAnsi="Calibri"/>
                <w:color w:val="000000"/>
                <w:szCs w:val="18"/>
              </w:rPr>
            </w:pPr>
            <w:r w:rsidRPr="008A370F">
              <w:rPr>
                <w:rFonts w:ascii="Calibri" w:hAnsi="Calibri"/>
                <w:color w:val="000000"/>
                <w:szCs w:val="18"/>
              </w:rPr>
              <w:t>269</w:t>
            </w:r>
          </w:p>
        </w:tc>
        <w:tc>
          <w:tcPr>
            <w:tcW w:w="500" w:type="pct"/>
            <w:shd w:val="clear" w:color="auto" w:fill="auto"/>
            <w:tcMar>
              <w:left w:w="108" w:type="dxa"/>
              <w:right w:w="108" w:type="dxa"/>
            </w:tcMar>
          </w:tcPr>
          <w:p w14:paraId="27A8C9F4" w14:textId="77777777" w:rsidR="00224F3B" w:rsidRDefault="00224F3B" w:rsidP="00733737">
            <w:pPr>
              <w:pStyle w:val="TableText"/>
              <w:jc w:val="right"/>
              <w:rPr>
                <w:rFonts w:ascii="Calibri" w:hAnsi="Calibri"/>
                <w:color w:val="000000"/>
                <w:szCs w:val="18"/>
              </w:rPr>
            </w:pPr>
            <w:r>
              <w:rPr>
                <w:rFonts w:ascii="Calibri" w:hAnsi="Calibri"/>
                <w:color w:val="000000"/>
                <w:szCs w:val="18"/>
              </w:rPr>
              <w:t>8,844</w:t>
            </w:r>
          </w:p>
        </w:tc>
        <w:tc>
          <w:tcPr>
            <w:tcW w:w="500" w:type="pct"/>
            <w:shd w:val="clear" w:color="auto" w:fill="auto"/>
            <w:tcMar>
              <w:left w:w="108" w:type="dxa"/>
              <w:right w:w="108" w:type="dxa"/>
            </w:tcMar>
          </w:tcPr>
          <w:p w14:paraId="1158502A" w14:textId="77777777" w:rsidR="00224F3B" w:rsidRDefault="00224F3B" w:rsidP="00733737">
            <w:pPr>
              <w:pStyle w:val="TableText"/>
              <w:jc w:val="right"/>
              <w:rPr>
                <w:rFonts w:ascii="Calibri" w:hAnsi="Calibri"/>
                <w:color w:val="000000"/>
                <w:szCs w:val="18"/>
              </w:rPr>
            </w:pPr>
            <w:r>
              <w:rPr>
                <w:rFonts w:ascii="Calibri" w:hAnsi="Calibri"/>
                <w:color w:val="000000"/>
                <w:szCs w:val="18"/>
              </w:rPr>
              <w:t>2,379,036</w:t>
            </w:r>
          </w:p>
        </w:tc>
      </w:tr>
      <w:tr w:rsidR="00224F3B" w:rsidRPr="00C32CCF" w14:paraId="6522ED16" w14:textId="77777777" w:rsidTr="00FF2F78">
        <w:tc>
          <w:tcPr>
            <w:tcW w:w="810" w:type="pct"/>
            <w:vMerge/>
            <w:tcMar>
              <w:left w:w="108" w:type="dxa"/>
              <w:right w:w="108" w:type="dxa"/>
            </w:tcMar>
          </w:tcPr>
          <w:p w14:paraId="435DFD27" w14:textId="77777777" w:rsidR="00224F3B" w:rsidRPr="0018484D" w:rsidRDefault="00224F3B" w:rsidP="00733737">
            <w:pPr>
              <w:pStyle w:val="TableText"/>
            </w:pPr>
          </w:p>
        </w:tc>
        <w:tc>
          <w:tcPr>
            <w:tcW w:w="456" w:type="pct"/>
            <w:shd w:val="clear" w:color="auto" w:fill="auto"/>
            <w:tcMar>
              <w:left w:w="108" w:type="dxa"/>
              <w:right w:w="108" w:type="dxa"/>
            </w:tcMar>
          </w:tcPr>
          <w:p w14:paraId="07C58C40" w14:textId="77777777" w:rsidR="00224F3B" w:rsidRPr="00A10BE3" w:rsidRDefault="00224F3B" w:rsidP="00AD2CA4">
            <w:pPr>
              <w:pStyle w:val="TableText"/>
              <w:jc w:val="right"/>
              <w:rPr>
                <w:rFonts w:cstheme="minorHAnsi"/>
              </w:rPr>
            </w:pPr>
            <w:r w:rsidRPr="00A10BE3">
              <w:rPr>
                <w:rFonts w:cstheme="minorHAnsi"/>
              </w:rPr>
              <w:t>8,722,098</w:t>
            </w:r>
          </w:p>
        </w:tc>
        <w:tc>
          <w:tcPr>
            <w:tcW w:w="1619" w:type="pct"/>
            <w:shd w:val="clear" w:color="auto" w:fill="auto"/>
            <w:tcMar>
              <w:left w:w="108" w:type="dxa"/>
              <w:right w:w="108" w:type="dxa"/>
            </w:tcMar>
          </w:tcPr>
          <w:p w14:paraId="40A226E0" w14:textId="18EE81FE" w:rsidR="00224F3B" w:rsidRPr="009213D8" w:rsidRDefault="00224F3B" w:rsidP="00733737">
            <w:pPr>
              <w:pStyle w:val="TableText"/>
            </w:pPr>
            <w:r>
              <w:t>Confirmation of r</w:t>
            </w:r>
            <w:r w:rsidRPr="009257DB">
              <w:t xml:space="preserve">eservation charge </w:t>
            </w:r>
            <w:r w:rsidRPr="009213D8">
              <w:t>– animal</w:t>
            </w:r>
            <w:r w:rsidR="005E3E93">
              <w:t>s</w:t>
            </w:r>
            <w:r w:rsidRPr="009213D8">
              <w:t xml:space="preserve"> not covered by another item of this table (includes cat</w:t>
            </w:r>
            <w:r w:rsidR="005E3E93">
              <w:t>s</w:t>
            </w:r>
            <w:r w:rsidRPr="009213D8">
              <w:t xml:space="preserve"> or dog</w:t>
            </w:r>
            <w:r w:rsidR="005E3E93">
              <w:t>s</w:t>
            </w:r>
            <w:r w:rsidRPr="009213D8">
              <w:t>)</w:t>
            </w:r>
          </w:p>
        </w:tc>
        <w:tc>
          <w:tcPr>
            <w:tcW w:w="760" w:type="pct"/>
            <w:shd w:val="clear" w:color="auto" w:fill="auto"/>
            <w:tcMar>
              <w:left w:w="108" w:type="dxa"/>
              <w:right w:w="108" w:type="dxa"/>
            </w:tcMar>
          </w:tcPr>
          <w:p w14:paraId="27BA3EFC" w14:textId="77777777" w:rsidR="00224F3B" w:rsidRPr="009213D8" w:rsidRDefault="00224F3B" w:rsidP="00733737">
            <w:pPr>
              <w:pStyle w:val="TableText"/>
            </w:pPr>
            <w:r>
              <w:t>Per animal</w:t>
            </w:r>
          </w:p>
        </w:tc>
        <w:tc>
          <w:tcPr>
            <w:tcW w:w="355" w:type="pct"/>
            <w:shd w:val="clear" w:color="auto" w:fill="auto"/>
            <w:tcMar>
              <w:left w:w="108" w:type="dxa"/>
              <w:right w:w="108" w:type="dxa"/>
            </w:tcMar>
          </w:tcPr>
          <w:p w14:paraId="2F0F1AB2" w14:textId="77777777" w:rsidR="00224F3B" w:rsidRPr="008A370F" w:rsidRDefault="00224F3B" w:rsidP="00733737">
            <w:pPr>
              <w:pStyle w:val="TableText"/>
              <w:jc w:val="right"/>
              <w:rPr>
                <w:rFonts w:ascii="Calibri" w:hAnsi="Calibri"/>
                <w:color w:val="000000"/>
                <w:szCs w:val="18"/>
              </w:rPr>
            </w:pPr>
            <w:r w:rsidRPr="008A370F">
              <w:rPr>
                <w:rFonts w:ascii="Calibri" w:hAnsi="Calibri"/>
                <w:color w:val="000000"/>
                <w:szCs w:val="18"/>
              </w:rPr>
              <w:t>1,078</w:t>
            </w:r>
          </w:p>
        </w:tc>
        <w:tc>
          <w:tcPr>
            <w:tcW w:w="500" w:type="pct"/>
            <w:shd w:val="clear" w:color="auto" w:fill="auto"/>
            <w:tcMar>
              <w:left w:w="108" w:type="dxa"/>
              <w:right w:w="108" w:type="dxa"/>
            </w:tcMar>
          </w:tcPr>
          <w:p w14:paraId="717FEDA3" w14:textId="52783DFE" w:rsidR="00224F3B" w:rsidRDefault="00224F3B" w:rsidP="00733737">
            <w:pPr>
              <w:pStyle w:val="TableText"/>
              <w:jc w:val="right"/>
              <w:rPr>
                <w:rFonts w:ascii="Calibri" w:hAnsi="Calibri"/>
                <w:color w:val="000000"/>
                <w:szCs w:val="18"/>
              </w:rPr>
            </w:pPr>
            <w:r>
              <w:rPr>
                <w:rFonts w:ascii="Calibri" w:hAnsi="Calibri"/>
                <w:color w:val="000000"/>
                <w:szCs w:val="18"/>
              </w:rPr>
              <w:t>8,091</w:t>
            </w:r>
          </w:p>
        </w:tc>
        <w:tc>
          <w:tcPr>
            <w:tcW w:w="500" w:type="pct"/>
            <w:shd w:val="clear" w:color="auto" w:fill="auto"/>
            <w:tcMar>
              <w:left w:w="108" w:type="dxa"/>
              <w:right w:w="108" w:type="dxa"/>
            </w:tcMar>
          </w:tcPr>
          <w:p w14:paraId="53CC7149" w14:textId="77777777" w:rsidR="00224F3B" w:rsidRDefault="00224F3B" w:rsidP="00733737">
            <w:pPr>
              <w:pStyle w:val="TableText"/>
              <w:jc w:val="right"/>
              <w:rPr>
                <w:rFonts w:ascii="Calibri" w:hAnsi="Calibri"/>
                <w:color w:val="000000"/>
                <w:szCs w:val="18"/>
              </w:rPr>
            </w:pPr>
            <w:r>
              <w:rPr>
                <w:rFonts w:ascii="Calibri" w:hAnsi="Calibri"/>
                <w:color w:val="000000"/>
                <w:szCs w:val="18"/>
              </w:rPr>
              <w:t>8,722,098</w:t>
            </w:r>
          </w:p>
        </w:tc>
      </w:tr>
      <w:tr w:rsidR="00224F3B" w:rsidRPr="00C32CCF" w14:paraId="0AE226CF" w14:textId="77777777" w:rsidTr="00FF2F78">
        <w:tc>
          <w:tcPr>
            <w:tcW w:w="810" w:type="pct"/>
            <w:vMerge/>
            <w:tcMar>
              <w:left w:w="108" w:type="dxa"/>
              <w:right w:w="108" w:type="dxa"/>
            </w:tcMar>
          </w:tcPr>
          <w:p w14:paraId="07EE5098" w14:textId="77777777" w:rsidR="00224F3B" w:rsidRPr="0018484D" w:rsidRDefault="00224F3B" w:rsidP="00733737">
            <w:pPr>
              <w:pStyle w:val="TableText"/>
            </w:pPr>
          </w:p>
        </w:tc>
        <w:tc>
          <w:tcPr>
            <w:tcW w:w="456" w:type="pct"/>
            <w:shd w:val="clear" w:color="auto" w:fill="auto"/>
            <w:tcMar>
              <w:left w:w="108" w:type="dxa"/>
              <w:right w:w="108" w:type="dxa"/>
            </w:tcMar>
          </w:tcPr>
          <w:p w14:paraId="5C968466" w14:textId="77777777" w:rsidR="00224F3B" w:rsidRPr="00A10BE3" w:rsidRDefault="00224F3B" w:rsidP="00AD2CA4">
            <w:pPr>
              <w:pStyle w:val="TableText"/>
              <w:jc w:val="right"/>
              <w:rPr>
                <w:rFonts w:cstheme="minorHAnsi"/>
              </w:rPr>
            </w:pPr>
            <w:r w:rsidRPr="00A10BE3">
              <w:rPr>
                <w:rFonts w:cstheme="minorHAnsi"/>
              </w:rPr>
              <w:t>–</w:t>
            </w:r>
          </w:p>
        </w:tc>
        <w:tc>
          <w:tcPr>
            <w:tcW w:w="1619" w:type="pct"/>
            <w:shd w:val="clear" w:color="auto" w:fill="auto"/>
            <w:tcMar>
              <w:left w:w="108" w:type="dxa"/>
              <w:right w:w="108" w:type="dxa"/>
            </w:tcMar>
          </w:tcPr>
          <w:p w14:paraId="15622B34" w14:textId="77777777" w:rsidR="00224F3B" w:rsidRPr="009213D8" w:rsidRDefault="00224F3B" w:rsidP="00733737">
            <w:pPr>
              <w:pStyle w:val="TableText"/>
            </w:pPr>
            <w:r>
              <w:t xml:space="preserve">Reservation </w:t>
            </w:r>
            <w:r w:rsidRPr="009213D8">
              <w:t>charge – bees</w:t>
            </w:r>
          </w:p>
        </w:tc>
        <w:tc>
          <w:tcPr>
            <w:tcW w:w="760" w:type="pct"/>
            <w:shd w:val="clear" w:color="auto" w:fill="auto"/>
            <w:tcMar>
              <w:left w:w="108" w:type="dxa"/>
              <w:right w:w="108" w:type="dxa"/>
            </w:tcMar>
          </w:tcPr>
          <w:p w14:paraId="72201DD0" w14:textId="77777777" w:rsidR="00224F3B" w:rsidRPr="009213D8" w:rsidRDefault="00224F3B" w:rsidP="00733737">
            <w:pPr>
              <w:pStyle w:val="TableText"/>
            </w:pPr>
            <w:r w:rsidRPr="009213D8">
              <w:t>Per bee consignment</w:t>
            </w:r>
          </w:p>
        </w:tc>
        <w:tc>
          <w:tcPr>
            <w:tcW w:w="355" w:type="pct"/>
            <w:shd w:val="clear" w:color="auto" w:fill="auto"/>
            <w:tcMar>
              <w:left w:w="108" w:type="dxa"/>
              <w:right w:w="108" w:type="dxa"/>
            </w:tcMar>
          </w:tcPr>
          <w:p w14:paraId="5524B00B" w14:textId="77777777" w:rsidR="00224F3B" w:rsidRPr="008A370F" w:rsidRDefault="00224F3B" w:rsidP="00733737">
            <w:pPr>
              <w:pStyle w:val="TableText"/>
              <w:jc w:val="right"/>
              <w:rPr>
                <w:rFonts w:ascii="Calibri" w:hAnsi="Calibri"/>
                <w:color w:val="000000"/>
                <w:szCs w:val="18"/>
              </w:rPr>
            </w:pPr>
            <w:r w:rsidRPr="008A370F">
              <w:rPr>
                <w:rFonts w:ascii="Calibri" w:hAnsi="Calibri"/>
                <w:color w:val="000000"/>
                <w:szCs w:val="18"/>
              </w:rPr>
              <w:t>892</w:t>
            </w:r>
          </w:p>
        </w:tc>
        <w:tc>
          <w:tcPr>
            <w:tcW w:w="500" w:type="pct"/>
            <w:shd w:val="clear" w:color="auto" w:fill="auto"/>
            <w:tcMar>
              <w:left w:w="108" w:type="dxa"/>
              <w:right w:w="108" w:type="dxa"/>
            </w:tcMar>
          </w:tcPr>
          <w:p w14:paraId="7B827D05" w14:textId="77777777" w:rsidR="00224F3B" w:rsidRDefault="00224F3B" w:rsidP="00733737">
            <w:pPr>
              <w:pStyle w:val="TableText"/>
              <w:jc w:val="right"/>
              <w:rPr>
                <w:rFonts w:ascii="Calibri" w:hAnsi="Calibri"/>
                <w:color w:val="000000"/>
                <w:szCs w:val="18"/>
              </w:rPr>
            </w:pPr>
            <w:r w:rsidRPr="00A10BE3">
              <w:rPr>
                <w:rFonts w:cstheme="minorHAnsi"/>
              </w:rPr>
              <w:t>–</w:t>
            </w:r>
          </w:p>
        </w:tc>
        <w:tc>
          <w:tcPr>
            <w:tcW w:w="500" w:type="pct"/>
            <w:shd w:val="clear" w:color="auto" w:fill="auto"/>
            <w:tcMar>
              <w:left w:w="108" w:type="dxa"/>
              <w:right w:w="108" w:type="dxa"/>
            </w:tcMar>
          </w:tcPr>
          <w:p w14:paraId="58031FA7" w14:textId="77777777" w:rsidR="00224F3B" w:rsidRDefault="00224F3B" w:rsidP="00733737">
            <w:pPr>
              <w:pStyle w:val="TableText"/>
              <w:jc w:val="right"/>
              <w:rPr>
                <w:rFonts w:ascii="Calibri" w:hAnsi="Calibri"/>
                <w:color w:val="000000"/>
                <w:szCs w:val="18"/>
              </w:rPr>
            </w:pPr>
            <w:r w:rsidRPr="00A10BE3">
              <w:rPr>
                <w:rFonts w:cstheme="minorHAnsi"/>
              </w:rPr>
              <w:t>–</w:t>
            </w:r>
          </w:p>
        </w:tc>
      </w:tr>
      <w:tr w:rsidR="00224F3B" w:rsidRPr="00C32CCF" w14:paraId="5A624849" w14:textId="77777777" w:rsidTr="00FF2F78">
        <w:tc>
          <w:tcPr>
            <w:tcW w:w="810" w:type="pct"/>
            <w:vMerge/>
            <w:tcMar>
              <w:left w:w="108" w:type="dxa"/>
              <w:right w:w="108" w:type="dxa"/>
            </w:tcMar>
          </w:tcPr>
          <w:p w14:paraId="20F77E36" w14:textId="77777777" w:rsidR="00224F3B" w:rsidRPr="0018484D" w:rsidRDefault="00224F3B" w:rsidP="00733737">
            <w:pPr>
              <w:pStyle w:val="TableText"/>
            </w:pPr>
          </w:p>
        </w:tc>
        <w:tc>
          <w:tcPr>
            <w:tcW w:w="456" w:type="pct"/>
            <w:shd w:val="clear" w:color="auto" w:fill="auto"/>
            <w:tcMar>
              <w:left w:w="108" w:type="dxa"/>
              <w:right w:w="108" w:type="dxa"/>
            </w:tcMar>
          </w:tcPr>
          <w:p w14:paraId="51B19B22" w14:textId="77777777" w:rsidR="00224F3B" w:rsidRPr="00A10BE3" w:rsidRDefault="00224F3B" w:rsidP="00AD2CA4">
            <w:pPr>
              <w:pStyle w:val="TableText"/>
              <w:jc w:val="right"/>
              <w:rPr>
                <w:rFonts w:cstheme="minorHAnsi"/>
              </w:rPr>
            </w:pPr>
            <w:r w:rsidRPr="00A10BE3">
              <w:rPr>
                <w:rFonts w:cstheme="minorHAnsi"/>
              </w:rPr>
              <w:t>–</w:t>
            </w:r>
          </w:p>
        </w:tc>
        <w:tc>
          <w:tcPr>
            <w:tcW w:w="1619" w:type="pct"/>
            <w:shd w:val="clear" w:color="auto" w:fill="auto"/>
            <w:tcMar>
              <w:left w:w="108" w:type="dxa"/>
              <w:right w:w="108" w:type="dxa"/>
            </w:tcMar>
          </w:tcPr>
          <w:p w14:paraId="25994610" w14:textId="77777777" w:rsidR="00224F3B" w:rsidRPr="009213D8" w:rsidRDefault="00224F3B" w:rsidP="00733737">
            <w:pPr>
              <w:pStyle w:val="TableText"/>
            </w:pPr>
            <w:r>
              <w:t xml:space="preserve">Confirmation of reservation </w:t>
            </w:r>
            <w:r w:rsidRPr="009213D8">
              <w:t>charge – bees</w:t>
            </w:r>
          </w:p>
        </w:tc>
        <w:tc>
          <w:tcPr>
            <w:tcW w:w="760" w:type="pct"/>
            <w:shd w:val="clear" w:color="auto" w:fill="auto"/>
            <w:tcMar>
              <w:left w:w="108" w:type="dxa"/>
              <w:right w:w="108" w:type="dxa"/>
            </w:tcMar>
          </w:tcPr>
          <w:p w14:paraId="04219E12" w14:textId="77777777" w:rsidR="00224F3B" w:rsidRPr="009213D8" w:rsidRDefault="00224F3B" w:rsidP="00733737">
            <w:pPr>
              <w:pStyle w:val="TableText"/>
            </w:pPr>
            <w:r w:rsidRPr="009213D8">
              <w:t>Per bee consignment</w:t>
            </w:r>
          </w:p>
        </w:tc>
        <w:tc>
          <w:tcPr>
            <w:tcW w:w="355" w:type="pct"/>
            <w:shd w:val="clear" w:color="auto" w:fill="auto"/>
            <w:tcMar>
              <w:left w:w="108" w:type="dxa"/>
              <w:right w:w="108" w:type="dxa"/>
            </w:tcMar>
          </w:tcPr>
          <w:p w14:paraId="18B9CC3E" w14:textId="77777777" w:rsidR="00224F3B" w:rsidRPr="008A370F" w:rsidRDefault="00224F3B" w:rsidP="00733737">
            <w:pPr>
              <w:pStyle w:val="TableText"/>
              <w:jc w:val="right"/>
              <w:rPr>
                <w:rFonts w:ascii="Calibri" w:hAnsi="Calibri"/>
                <w:color w:val="000000"/>
                <w:szCs w:val="18"/>
              </w:rPr>
            </w:pPr>
            <w:r w:rsidRPr="008A370F">
              <w:rPr>
                <w:rFonts w:ascii="Calibri" w:hAnsi="Calibri"/>
                <w:color w:val="000000"/>
                <w:szCs w:val="18"/>
              </w:rPr>
              <w:t>3,571</w:t>
            </w:r>
          </w:p>
        </w:tc>
        <w:tc>
          <w:tcPr>
            <w:tcW w:w="500" w:type="pct"/>
            <w:shd w:val="clear" w:color="auto" w:fill="auto"/>
            <w:tcMar>
              <w:left w:w="108" w:type="dxa"/>
              <w:right w:w="108" w:type="dxa"/>
            </w:tcMar>
          </w:tcPr>
          <w:p w14:paraId="2ADD26BD" w14:textId="77777777" w:rsidR="00224F3B" w:rsidRDefault="00224F3B" w:rsidP="00733737">
            <w:pPr>
              <w:pStyle w:val="TableText"/>
              <w:jc w:val="right"/>
              <w:rPr>
                <w:rFonts w:ascii="Calibri" w:hAnsi="Calibri"/>
                <w:color w:val="000000"/>
                <w:szCs w:val="18"/>
              </w:rPr>
            </w:pPr>
            <w:r w:rsidRPr="00A10BE3">
              <w:rPr>
                <w:rFonts w:cstheme="minorHAnsi"/>
              </w:rPr>
              <w:t>–</w:t>
            </w:r>
          </w:p>
        </w:tc>
        <w:tc>
          <w:tcPr>
            <w:tcW w:w="500" w:type="pct"/>
            <w:shd w:val="clear" w:color="auto" w:fill="auto"/>
            <w:tcMar>
              <w:left w:w="108" w:type="dxa"/>
              <w:right w:w="108" w:type="dxa"/>
            </w:tcMar>
          </w:tcPr>
          <w:p w14:paraId="0123EDB1" w14:textId="77777777" w:rsidR="00224F3B" w:rsidRDefault="00224F3B" w:rsidP="00733737">
            <w:pPr>
              <w:pStyle w:val="TableText"/>
              <w:jc w:val="right"/>
              <w:rPr>
                <w:rFonts w:ascii="Calibri" w:hAnsi="Calibri"/>
                <w:color w:val="000000"/>
                <w:szCs w:val="18"/>
              </w:rPr>
            </w:pPr>
            <w:r w:rsidRPr="00A10BE3">
              <w:rPr>
                <w:rFonts w:cstheme="minorHAnsi"/>
              </w:rPr>
              <w:t>–</w:t>
            </w:r>
          </w:p>
        </w:tc>
      </w:tr>
      <w:tr w:rsidR="00224F3B" w:rsidRPr="00C32CCF" w14:paraId="5880E783" w14:textId="77777777" w:rsidTr="00FF2F78">
        <w:tc>
          <w:tcPr>
            <w:tcW w:w="810" w:type="pct"/>
            <w:vMerge/>
            <w:tcMar>
              <w:left w:w="108" w:type="dxa"/>
              <w:right w:w="108" w:type="dxa"/>
            </w:tcMar>
          </w:tcPr>
          <w:p w14:paraId="077C0013" w14:textId="77777777" w:rsidR="00224F3B" w:rsidRPr="0018484D" w:rsidRDefault="00224F3B" w:rsidP="00733737">
            <w:pPr>
              <w:pStyle w:val="TableText"/>
            </w:pPr>
          </w:p>
        </w:tc>
        <w:tc>
          <w:tcPr>
            <w:tcW w:w="456" w:type="pct"/>
            <w:shd w:val="clear" w:color="auto" w:fill="auto"/>
            <w:tcMar>
              <w:left w:w="108" w:type="dxa"/>
              <w:right w:w="108" w:type="dxa"/>
            </w:tcMar>
          </w:tcPr>
          <w:p w14:paraId="3B1B98E4" w14:textId="77777777" w:rsidR="00224F3B" w:rsidRPr="00A10BE3" w:rsidRDefault="00224F3B" w:rsidP="00AD2CA4">
            <w:pPr>
              <w:pStyle w:val="TableText"/>
              <w:jc w:val="right"/>
              <w:rPr>
                <w:rFonts w:cstheme="minorHAnsi"/>
              </w:rPr>
            </w:pPr>
            <w:r w:rsidRPr="00A10BE3">
              <w:rPr>
                <w:rFonts w:cstheme="minorHAnsi"/>
              </w:rPr>
              <w:t>–</w:t>
            </w:r>
          </w:p>
        </w:tc>
        <w:tc>
          <w:tcPr>
            <w:tcW w:w="1619" w:type="pct"/>
            <w:shd w:val="clear" w:color="auto" w:fill="auto"/>
            <w:tcMar>
              <w:left w:w="108" w:type="dxa"/>
              <w:right w:w="108" w:type="dxa"/>
            </w:tcMar>
          </w:tcPr>
          <w:p w14:paraId="2CC54150" w14:textId="5B25C155" w:rsidR="00224F3B" w:rsidRPr="009213D8" w:rsidRDefault="00224F3B" w:rsidP="00733737">
            <w:pPr>
              <w:pStyle w:val="TableText"/>
            </w:pPr>
            <w:r>
              <w:t>Reservation</w:t>
            </w:r>
            <w:r w:rsidRPr="009213D8">
              <w:t xml:space="preserve"> charge – avian (live bird</w:t>
            </w:r>
            <w:r w:rsidR="005E3E93">
              <w:t>s</w:t>
            </w:r>
            <w:r w:rsidRPr="009213D8">
              <w:t>)</w:t>
            </w:r>
          </w:p>
        </w:tc>
        <w:tc>
          <w:tcPr>
            <w:tcW w:w="760" w:type="pct"/>
            <w:shd w:val="clear" w:color="auto" w:fill="auto"/>
            <w:tcMar>
              <w:left w:w="108" w:type="dxa"/>
              <w:right w:w="108" w:type="dxa"/>
            </w:tcMar>
          </w:tcPr>
          <w:p w14:paraId="266775C7" w14:textId="77777777" w:rsidR="00224F3B" w:rsidRPr="009213D8" w:rsidRDefault="00224F3B" w:rsidP="00733737">
            <w:pPr>
              <w:pStyle w:val="TableText"/>
            </w:pPr>
            <w:r w:rsidRPr="009213D8">
              <w:t>Per live bird consignment</w:t>
            </w:r>
          </w:p>
        </w:tc>
        <w:tc>
          <w:tcPr>
            <w:tcW w:w="355" w:type="pct"/>
            <w:shd w:val="clear" w:color="auto" w:fill="auto"/>
            <w:tcMar>
              <w:left w:w="108" w:type="dxa"/>
              <w:right w:w="108" w:type="dxa"/>
            </w:tcMar>
          </w:tcPr>
          <w:p w14:paraId="6A1E135B" w14:textId="77777777" w:rsidR="00224F3B" w:rsidRPr="008A370F" w:rsidRDefault="00224F3B" w:rsidP="00733737">
            <w:pPr>
              <w:pStyle w:val="TableText"/>
              <w:jc w:val="right"/>
              <w:rPr>
                <w:rFonts w:ascii="Calibri" w:hAnsi="Calibri"/>
                <w:color w:val="000000"/>
                <w:szCs w:val="18"/>
              </w:rPr>
            </w:pPr>
            <w:r w:rsidRPr="008A370F">
              <w:rPr>
                <w:rFonts w:ascii="Calibri" w:hAnsi="Calibri"/>
                <w:color w:val="000000"/>
                <w:szCs w:val="18"/>
              </w:rPr>
              <w:t>5,018</w:t>
            </w:r>
          </w:p>
        </w:tc>
        <w:tc>
          <w:tcPr>
            <w:tcW w:w="500" w:type="pct"/>
            <w:shd w:val="clear" w:color="auto" w:fill="auto"/>
            <w:tcMar>
              <w:left w:w="108" w:type="dxa"/>
              <w:right w:w="108" w:type="dxa"/>
            </w:tcMar>
          </w:tcPr>
          <w:p w14:paraId="1ED96F84" w14:textId="77777777" w:rsidR="00224F3B" w:rsidRDefault="00224F3B" w:rsidP="00733737">
            <w:pPr>
              <w:pStyle w:val="TableText"/>
              <w:jc w:val="right"/>
              <w:rPr>
                <w:rFonts w:ascii="Calibri" w:hAnsi="Calibri"/>
                <w:color w:val="000000"/>
                <w:szCs w:val="18"/>
              </w:rPr>
            </w:pPr>
            <w:r w:rsidRPr="00A446A8">
              <w:rPr>
                <w:rFonts w:cstheme="minorHAnsi"/>
              </w:rPr>
              <w:t>–</w:t>
            </w:r>
          </w:p>
        </w:tc>
        <w:tc>
          <w:tcPr>
            <w:tcW w:w="500" w:type="pct"/>
            <w:shd w:val="clear" w:color="auto" w:fill="auto"/>
            <w:tcMar>
              <w:left w:w="108" w:type="dxa"/>
              <w:right w:w="108" w:type="dxa"/>
            </w:tcMar>
          </w:tcPr>
          <w:p w14:paraId="1697CC2F" w14:textId="77777777" w:rsidR="00224F3B" w:rsidRDefault="00224F3B" w:rsidP="00733737">
            <w:pPr>
              <w:pStyle w:val="TableText"/>
              <w:jc w:val="right"/>
              <w:rPr>
                <w:rFonts w:ascii="Calibri" w:hAnsi="Calibri"/>
                <w:color w:val="000000"/>
                <w:szCs w:val="18"/>
              </w:rPr>
            </w:pPr>
            <w:r w:rsidRPr="00A446A8">
              <w:rPr>
                <w:rFonts w:cstheme="minorHAnsi"/>
              </w:rPr>
              <w:t>–</w:t>
            </w:r>
          </w:p>
        </w:tc>
      </w:tr>
      <w:tr w:rsidR="00224F3B" w:rsidRPr="00C32CCF" w14:paraId="54477A20" w14:textId="77777777" w:rsidTr="00FF2F78">
        <w:tc>
          <w:tcPr>
            <w:tcW w:w="810" w:type="pct"/>
            <w:vMerge/>
            <w:tcMar>
              <w:left w:w="108" w:type="dxa"/>
              <w:right w:w="108" w:type="dxa"/>
            </w:tcMar>
          </w:tcPr>
          <w:p w14:paraId="643E6E85" w14:textId="77777777" w:rsidR="00224F3B" w:rsidRPr="0018484D" w:rsidRDefault="00224F3B" w:rsidP="00733737">
            <w:pPr>
              <w:pStyle w:val="TableText"/>
            </w:pPr>
          </w:p>
        </w:tc>
        <w:tc>
          <w:tcPr>
            <w:tcW w:w="456" w:type="pct"/>
            <w:shd w:val="clear" w:color="auto" w:fill="auto"/>
            <w:tcMar>
              <w:left w:w="108" w:type="dxa"/>
              <w:right w:w="108" w:type="dxa"/>
            </w:tcMar>
          </w:tcPr>
          <w:p w14:paraId="4A22CDAA" w14:textId="77777777" w:rsidR="00224F3B" w:rsidRPr="00A10BE3" w:rsidRDefault="00224F3B" w:rsidP="00AD2CA4">
            <w:pPr>
              <w:pStyle w:val="TableText"/>
              <w:jc w:val="right"/>
              <w:rPr>
                <w:rFonts w:cstheme="minorHAnsi"/>
              </w:rPr>
            </w:pPr>
            <w:r w:rsidRPr="00A10BE3">
              <w:rPr>
                <w:rFonts w:cstheme="minorHAnsi"/>
              </w:rPr>
              <w:t>–</w:t>
            </w:r>
          </w:p>
        </w:tc>
        <w:tc>
          <w:tcPr>
            <w:tcW w:w="1619" w:type="pct"/>
            <w:shd w:val="clear" w:color="auto" w:fill="auto"/>
            <w:tcMar>
              <w:left w:w="108" w:type="dxa"/>
              <w:right w:w="108" w:type="dxa"/>
            </w:tcMar>
          </w:tcPr>
          <w:p w14:paraId="3438DB6F" w14:textId="50A6B595" w:rsidR="00224F3B" w:rsidRPr="009213D8" w:rsidRDefault="00224F3B" w:rsidP="00733737">
            <w:pPr>
              <w:pStyle w:val="TableText"/>
            </w:pPr>
            <w:r>
              <w:t>Confirmation of reservation</w:t>
            </w:r>
            <w:r w:rsidRPr="009213D8">
              <w:t xml:space="preserve"> charge – avian (live bird</w:t>
            </w:r>
            <w:r w:rsidR="005E3E93">
              <w:t>s</w:t>
            </w:r>
            <w:r w:rsidRPr="009213D8">
              <w:t>)</w:t>
            </w:r>
          </w:p>
        </w:tc>
        <w:tc>
          <w:tcPr>
            <w:tcW w:w="760" w:type="pct"/>
            <w:shd w:val="clear" w:color="auto" w:fill="auto"/>
            <w:tcMar>
              <w:left w:w="108" w:type="dxa"/>
              <w:right w:w="108" w:type="dxa"/>
            </w:tcMar>
          </w:tcPr>
          <w:p w14:paraId="044701A7" w14:textId="77777777" w:rsidR="00224F3B" w:rsidRPr="009213D8" w:rsidRDefault="00224F3B" w:rsidP="00733737">
            <w:pPr>
              <w:pStyle w:val="TableText"/>
            </w:pPr>
            <w:r w:rsidRPr="009213D8">
              <w:t>Per live bird consignment</w:t>
            </w:r>
          </w:p>
        </w:tc>
        <w:tc>
          <w:tcPr>
            <w:tcW w:w="355" w:type="pct"/>
            <w:shd w:val="clear" w:color="auto" w:fill="auto"/>
            <w:tcMar>
              <w:left w:w="108" w:type="dxa"/>
              <w:right w:w="108" w:type="dxa"/>
            </w:tcMar>
          </w:tcPr>
          <w:p w14:paraId="33170C5B" w14:textId="77777777" w:rsidR="00224F3B" w:rsidRPr="008A370F" w:rsidRDefault="00224F3B" w:rsidP="00733737">
            <w:pPr>
              <w:pStyle w:val="TableText"/>
              <w:jc w:val="right"/>
              <w:rPr>
                <w:rFonts w:ascii="Calibri" w:hAnsi="Calibri"/>
                <w:color w:val="000000"/>
                <w:szCs w:val="18"/>
              </w:rPr>
            </w:pPr>
            <w:r w:rsidRPr="008A370F">
              <w:rPr>
                <w:rFonts w:ascii="Calibri" w:hAnsi="Calibri"/>
                <w:color w:val="000000"/>
                <w:szCs w:val="18"/>
              </w:rPr>
              <w:t>20,069</w:t>
            </w:r>
          </w:p>
        </w:tc>
        <w:tc>
          <w:tcPr>
            <w:tcW w:w="500" w:type="pct"/>
            <w:shd w:val="clear" w:color="auto" w:fill="auto"/>
            <w:tcMar>
              <w:left w:w="108" w:type="dxa"/>
              <w:right w:w="108" w:type="dxa"/>
            </w:tcMar>
          </w:tcPr>
          <w:p w14:paraId="1641CABD" w14:textId="77777777" w:rsidR="00224F3B" w:rsidRDefault="00224F3B" w:rsidP="00733737">
            <w:pPr>
              <w:pStyle w:val="TableText"/>
              <w:jc w:val="right"/>
              <w:rPr>
                <w:rFonts w:ascii="Calibri" w:hAnsi="Calibri"/>
                <w:color w:val="000000"/>
                <w:szCs w:val="18"/>
              </w:rPr>
            </w:pPr>
            <w:r w:rsidRPr="00A446A8">
              <w:rPr>
                <w:rFonts w:cstheme="minorHAnsi"/>
              </w:rPr>
              <w:t>–</w:t>
            </w:r>
          </w:p>
        </w:tc>
        <w:tc>
          <w:tcPr>
            <w:tcW w:w="500" w:type="pct"/>
            <w:shd w:val="clear" w:color="auto" w:fill="auto"/>
            <w:tcMar>
              <w:left w:w="108" w:type="dxa"/>
              <w:right w:w="108" w:type="dxa"/>
            </w:tcMar>
          </w:tcPr>
          <w:p w14:paraId="750B79AB" w14:textId="77777777" w:rsidR="00224F3B" w:rsidRDefault="00224F3B" w:rsidP="00733737">
            <w:pPr>
              <w:pStyle w:val="TableText"/>
              <w:jc w:val="right"/>
              <w:rPr>
                <w:rFonts w:ascii="Calibri" w:hAnsi="Calibri"/>
                <w:color w:val="000000"/>
                <w:szCs w:val="18"/>
              </w:rPr>
            </w:pPr>
            <w:r w:rsidRPr="00A446A8">
              <w:rPr>
                <w:rFonts w:cstheme="minorHAnsi"/>
              </w:rPr>
              <w:t>–</w:t>
            </w:r>
          </w:p>
        </w:tc>
      </w:tr>
      <w:tr w:rsidR="00224F3B" w:rsidRPr="00C32CCF" w14:paraId="2E7546E7" w14:textId="77777777" w:rsidTr="00FF2F78">
        <w:tc>
          <w:tcPr>
            <w:tcW w:w="810" w:type="pct"/>
            <w:vMerge/>
            <w:tcMar>
              <w:left w:w="108" w:type="dxa"/>
              <w:right w:w="108" w:type="dxa"/>
            </w:tcMar>
          </w:tcPr>
          <w:p w14:paraId="5524F1C5" w14:textId="77777777" w:rsidR="00224F3B" w:rsidRPr="0018484D" w:rsidRDefault="00224F3B" w:rsidP="00733737">
            <w:pPr>
              <w:pStyle w:val="TableText"/>
            </w:pPr>
          </w:p>
        </w:tc>
        <w:tc>
          <w:tcPr>
            <w:tcW w:w="456" w:type="pct"/>
            <w:shd w:val="clear" w:color="auto" w:fill="auto"/>
            <w:tcMar>
              <w:left w:w="108" w:type="dxa"/>
              <w:right w:w="108" w:type="dxa"/>
            </w:tcMar>
          </w:tcPr>
          <w:p w14:paraId="055BEBBC" w14:textId="77777777" w:rsidR="00224F3B" w:rsidRPr="00A10BE3" w:rsidRDefault="00224F3B" w:rsidP="00AD2CA4">
            <w:pPr>
              <w:pStyle w:val="TableText"/>
              <w:jc w:val="right"/>
              <w:rPr>
                <w:rFonts w:cstheme="minorHAnsi"/>
              </w:rPr>
            </w:pPr>
            <w:r w:rsidRPr="00A10BE3">
              <w:rPr>
                <w:rFonts w:cstheme="minorHAnsi"/>
              </w:rPr>
              <w:t>41,922</w:t>
            </w:r>
          </w:p>
        </w:tc>
        <w:tc>
          <w:tcPr>
            <w:tcW w:w="1619" w:type="pct"/>
            <w:shd w:val="clear" w:color="auto" w:fill="auto"/>
            <w:tcMar>
              <w:left w:w="108" w:type="dxa"/>
              <w:right w:w="108" w:type="dxa"/>
            </w:tcMar>
          </w:tcPr>
          <w:p w14:paraId="326F449E" w14:textId="77777777" w:rsidR="00224F3B" w:rsidRPr="009213D8" w:rsidRDefault="00224F3B" w:rsidP="00733737">
            <w:pPr>
              <w:pStyle w:val="TableText"/>
            </w:pPr>
            <w:r>
              <w:t>Reservation</w:t>
            </w:r>
            <w:r w:rsidRPr="009213D8">
              <w:t xml:space="preserve"> charge – avian (fertile eggs)</w:t>
            </w:r>
          </w:p>
        </w:tc>
        <w:tc>
          <w:tcPr>
            <w:tcW w:w="760" w:type="pct"/>
            <w:shd w:val="clear" w:color="auto" w:fill="auto"/>
            <w:tcMar>
              <w:left w:w="108" w:type="dxa"/>
              <w:right w:w="108" w:type="dxa"/>
            </w:tcMar>
          </w:tcPr>
          <w:p w14:paraId="71A83983" w14:textId="77777777" w:rsidR="00224F3B" w:rsidRPr="009213D8" w:rsidRDefault="00224F3B" w:rsidP="00733737">
            <w:pPr>
              <w:pStyle w:val="TableText"/>
            </w:pPr>
            <w:r w:rsidRPr="009213D8">
              <w:t>Per hatching egg consignment</w:t>
            </w:r>
          </w:p>
        </w:tc>
        <w:tc>
          <w:tcPr>
            <w:tcW w:w="355" w:type="pct"/>
            <w:shd w:val="clear" w:color="auto" w:fill="auto"/>
            <w:tcMar>
              <w:left w:w="108" w:type="dxa"/>
              <w:right w:w="108" w:type="dxa"/>
            </w:tcMar>
          </w:tcPr>
          <w:p w14:paraId="5DB347CE" w14:textId="77777777" w:rsidR="00224F3B" w:rsidRPr="008A370F" w:rsidRDefault="00224F3B" w:rsidP="00733737">
            <w:pPr>
              <w:pStyle w:val="TableText"/>
              <w:jc w:val="right"/>
              <w:rPr>
                <w:rFonts w:ascii="Calibri" w:hAnsi="Calibri"/>
                <w:color w:val="000000"/>
                <w:szCs w:val="18"/>
              </w:rPr>
            </w:pPr>
            <w:r w:rsidRPr="008A370F">
              <w:rPr>
                <w:rFonts w:ascii="Calibri" w:hAnsi="Calibri"/>
                <w:color w:val="000000"/>
                <w:szCs w:val="18"/>
              </w:rPr>
              <w:t>13,974</w:t>
            </w:r>
          </w:p>
        </w:tc>
        <w:tc>
          <w:tcPr>
            <w:tcW w:w="500" w:type="pct"/>
            <w:shd w:val="clear" w:color="auto" w:fill="auto"/>
            <w:tcMar>
              <w:left w:w="108" w:type="dxa"/>
              <w:right w:w="108" w:type="dxa"/>
            </w:tcMar>
          </w:tcPr>
          <w:p w14:paraId="41D6955C" w14:textId="77777777" w:rsidR="00224F3B" w:rsidRDefault="00224F3B" w:rsidP="00733737">
            <w:pPr>
              <w:pStyle w:val="TableText"/>
              <w:jc w:val="right"/>
              <w:rPr>
                <w:rFonts w:ascii="Calibri" w:hAnsi="Calibri"/>
                <w:color w:val="000000"/>
                <w:szCs w:val="18"/>
              </w:rPr>
            </w:pPr>
            <w:r>
              <w:rPr>
                <w:rFonts w:ascii="Calibri" w:hAnsi="Calibri"/>
                <w:color w:val="000000"/>
                <w:szCs w:val="18"/>
              </w:rPr>
              <w:t>3</w:t>
            </w:r>
          </w:p>
        </w:tc>
        <w:tc>
          <w:tcPr>
            <w:tcW w:w="500" w:type="pct"/>
            <w:shd w:val="clear" w:color="auto" w:fill="auto"/>
            <w:tcMar>
              <w:left w:w="108" w:type="dxa"/>
              <w:right w:w="108" w:type="dxa"/>
            </w:tcMar>
          </w:tcPr>
          <w:p w14:paraId="602CB6FF" w14:textId="77777777" w:rsidR="00224F3B" w:rsidRDefault="00224F3B" w:rsidP="00733737">
            <w:pPr>
              <w:pStyle w:val="TableText"/>
              <w:jc w:val="right"/>
              <w:rPr>
                <w:rFonts w:ascii="Calibri" w:hAnsi="Calibri"/>
                <w:color w:val="000000"/>
                <w:szCs w:val="18"/>
              </w:rPr>
            </w:pPr>
            <w:r>
              <w:rPr>
                <w:rFonts w:ascii="Calibri" w:hAnsi="Calibri"/>
                <w:color w:val="000000"/>
                <w:szCs w:val="18"/>
              </w:rPr>
              <w:t>41,922</w:t>
            </w:r>
          </w:p>
        </w:tc>
      </w:tr>
      <w:tr w:rsidR="00224F3B" w:rsidRPr="00C32CCF" w14:paraId="79AA913D" w14:textId="77777777" w:rsidTr="00FF2F78">
        <w:tc>
          <w:tcPr>
            <w:tcW w:w="810" w:type="pct"/>
            <w:vMerge/>
            <w:tcMar>
              <w:left w:w="108" w:type="dxa"/>
              <w:right w:w="108" w:type="dxa"/>
            </w:tcMar>
          </w:tcPr>
          <w:p w14:paraId="642DE5D4" w14:textId="77777777" w:rsidR="00224F3B" w:rsidRPr="0018484D" w:rsidRDefault="00224F3B" w:rsidP="00733737">
            <w:pPr>
              <w:pStyle w:val="TableText"/>
            </w:pPr>
          </w:p>
        </w:tc>
        <w:tc>
          <w:tcPr>
            <w:tcW w:w="456" w:type="pct"/>
            <w:shd w:val="clear" w:color="auto" w:fill="auto"/>
            <w:tcMar>
              <w:left w:w="108" w:type="dxa"/>
              <w:right w:w="108" w:type="dxa"/>
            </w:tcMar>
          </w:tcPr>
          <w:p w14:paraId="4FD6F505" w14:textId="77777777" w:rsidR="00224F3B" w:rsidRPr="00A10BE3" w:rsidRDefault="00224F3B" w:rsidP="00AD2CA4">
            <w:pPr>
              <w:pStyle w:val="TableText"/>
              <w:jc w:val="right"/>
              <w:rPr>
                <w:rFonts w:cstheme="minorHAnsi"/>
              </w:rPr>
            </w:pPr>
            <w:r w:rsidRPr="00A10BE3">
              <w:rPr>
                <w:rFonts w:cstheme="minorHAnsi"/>
              </w:rPr>
              <w:t>167,682</w:t>
            </w:r>
          </w:p>
        </w:tc>
        <w:tc>
          <w:tcPr>
            <w:tcW w:w="1619" w:type="pct"/>
            <w:shd w:val="clear" w:color="auto" w:fill="auto"/>
            <w:tcMar>
              <w:left w:w="108" w:type="dxa"/>
              <w:right w:w="108" w:type="dxa"/>
            </w:tcMar>
          </w:tcPr>
          <w:p w14:paraId="04829617" w14:textId="77777777" w:rsidR="00224F3B" w:rsidRPr="009213D8" w:rsidRDefault="00224F3B" w:rsidP="00733737">
            <w:pPr>
              <w:pStyle w:val="TableText"/>
            </w:pPr>
            <w:r>
              <w:t>Confirmation of reservation</w:t>
            </w:r>
            <w:r w:rsidRPr="009213D8">
              <w:t xml:space="preserve"> charge – avian (fertile eggs)</w:t>
            </w:r>
          </w:p>
        </w:tc>
        <w:tc>
          <w:tcPr>
            <w:tcW w:w="760" w:type="pct"/>
            <w:shd w:val="clear" w:color="auto" w:fill="auto"/>
            <w:tcMar>
              <w:left w:w="108" w:type="dxa"/>
              <w:right w:w="108" w:type="dxa"/>
            </w:tcMar>
          </w:tcPr>
          <w:p w14:paraId="20C49898" w14:textId="77777777" w:rsidR="00224F3B" w:rsidRPr="009213D8" w:rsidRDefault="00224F3B" w:rsidP="00733737">
            <w:pPr>
              <w:pStyle w:val="TableText"/>
            </w:pPr>
            <w:r w:rsidRPr="009213D8">
              <w:t>Per hatching egg consignment</w:t>
            </w:r>
          </w:p>
        </w:tc>
        <w:tc>
          <w:tcPr>
            <w:tcW w:w="355" w:type="pct"/>
            <w:shd w:val="clear" w:color="auto" w:fill="auto"/>
            <w:tcMar>
              <w:left w:w="108" w:type="dxa"/>
              <w:right w:w="108" w:type="dxa"/>
            </w:tcMar>
          </w:tcPr>
          <w:p w14:paraId="311EC773" w14:textId="77777777" w:rsidR="00224F3B" w:rsidRPr="008A370F" w:rsidRDefault="00224F3B" w:rsidP="00733737">
            <w:pPr>
              <w:pStyle w:val="TableText"/>
              <w:jc w:val="right"/>
              <w:rPr>
                <w:rFonts w:ascii="Calibri" w:hAnsi="Calibri"/>
                <w:color w:val="000000"/>
                <w:szCs w:val="18"/>
              </w:rPr>
            </w:pPr>
            <w:r w:rsidRPr="008A370F">
              <w:rPr>
                <w:rFonts w:ascii="Calibri" w:hAnsi="Calibri"/>
                <w:color w:val="000000"/>
                <w:szCs w:val="18"/>
              </w:rPr>
              <w:t>55,894</w:t>
            </w:r>
          </w:p>
        </w:tc>
        <w:tc>
          <w:tcPr>
            <w:tcW w:w="500" w:type="pct"/>
            <w:shd w:val="clear" w:color="auto" w:fill="auto"/>
            <w:tcMar>
              <w:left w:w="108" w:type="dxa"/>
              <w:right w:w="108" w:type="dxa"/>
            </w:tcMar>
          </w:tcPr>
          <w:p w14:paraId="04D66484" w14:textId="77777777" w:rsidR="00224F3B" w:rsidRDefault="00224F3B" w:rsidP="00733737">
            <w:pPr>
              <w:pStyle w:val="TableText"/>
              <w:jc w:val="right"/>
              <w:rPr>
                <w:rFonts w:ascii="Calibri" w:hAnsi="Calibri"/>
                <w:color w:val="000000"/>
                <w:szCs w:val="18"/>
              </w:rPr>
            </w:pPr>
            <w:r>
              <w:rPr>
                <w:rFonts w:ascii="Calibri" w:hAnsi="Calibri"/>
                <w:color w:val="000000"/>
                <w:szCs w:val="18"/>
              </w:rPr>
              <w:t>3</w:t>
            </w:r>
          </w:p>
        </w:tc>
        <w:tc>
          <w:tcPr>
            <w:tcW w:w="500" w:type="pct"/>
            <w:shd w:val="clear" w:color="auto" w:fill="auto"/>
            <w:tcMar>
              <w:left w:w="108" w:type="dxa"/>
              <w:right w:w="108" w:type="dxa"/>
            </w:tcMar>
          </w:tcPr>
          <w:p w14:paraId="2FDAD859" w14:textId="77777777" w:rsidR="00224F3B" w:rsidRDefault="00224F3B" w:rsidP="00733737">
            <w:pPr>
              <w:pStyle w:val="TableText"/>
              <w:jc w:val="right"/>
              <w:rPr>
                <w:rFonts w:ascii="Calibri" w:hAnsi="Calibri"/>
                <w:color w:val="000000"/>
                <w:szCs w:val="18"/>
              </w:rPr>
            </w:pPr>
            <w:r>
              <w:rPr>
                <w:rFonts w:ascii="Calibri" w:hAnsi="Calibri"/>
                <w:color w:val="000000"/>
                <w:szCs w:val="18"/>
              </w:rPr>
              <w:t>167,682</w:t>
            </w:r>
          </w:p>
        </w:tc>
      </w:tr>
      <w:tr w:rsidR="00224F3B" w:rsidRPr="00C32CCF" w14:paraId="1C84F9F7" w14:textId="77777777" w:rsidTr="00FF2F78">
        <w:tc>
          <w:tcPr>
            <w:tcW w:w="810" w:type="pct"/>
            <w:vMerge/>
            <w:tcMar>
              <w:left w:w="108" w:type="dxa"/>
              <w:right w:w="108" w:type="dxa"/>
            </w:tcMar>
          </w:tcPr>
          <w:p w14:paraId="1F92D93B" w14:textId="77777777" w:rsidR="00224F3B" w:rsidRPr="0018484D" w:rsidRDefault="00224F3B" w:rsidP="00733737">
            <w:pPr>
              <w:pStyle w:val="TableText"/>
            </w:pPr>
          </w:p>
        </w:tc>
        <w:tc>
          <w:tcPr>
            <w:tcW w:w="456" w:type="pct"/>
            <w:shd w:val="clear" w:color="auto" w:fill="auto"/>
            <w:tcMar>
              <w:left w:w="108" w:type="dxa"/>
              <w:right w:w="108" w:type="dxa"/>
            </w:tcMar>
          </w:tcPr>
          <w:p w14:paraId="5FA480E0" w14:textId="77777777" w:rsidR="00224F3B" w:rsidRPr="00A10BE3" w:rsidRDefault="00224F3B" w:rsidP="00AD2CA4">
            <w:pPr>
              <w:pStyle w:val="TableText"/>
              <w:jc w:val="right"/>
              <w:rPr>
                <w:rFonts w:cstheme="minorHAnsi"/>
              </w:rPr>
            </w:pPr>
            <w:r w:rsidRPr="00A10BE3">
              <w:rPr>
                <w:rFonts w:cstheme="minorHAnsi"/>
              </w:rPr>
              <w:t>1,837,990</w:t>
            </w:r>
          </w:p>
        </w:tc>
        <w:tc>
          <w:tcPr>
            <w:tcW w:w="1619" w:type="pct"/>
            <w:shd w:val="clear" w:color="auto" w:fill="auto"/>
            <w:tcMar>
              <w:left w:w="108" w:type="dxa"/>
              <w:right w:w="108" w:type="dxa"/>
            </w:tcMar>
          </w:tcPr>
          <w:p w14:paraId="44F1066A" w14:textId="77777777" w:rsidR="00224F3B" w:rsidRPr="009213D8" w:rsidRDefault="00224F3B" w:rsidP="00733737">
            <w:pPr>
              <w:pStyle w:val="TableText"/>
            </w:pPr>
            <w:r w:rsidRPr="009213D8">
              <w:t>Importation charge – plants</w:t>
            </w:r>
          </w:p>
        </w:tc>
        <w:tc>
          <w:tcPr>
            <w:tcW w:w="760" w:type="pct"/>
            <w:shd w:val="clear" w:color="auto" w:fill="auto"/>
            <w:tcMar>
              <w:left w:w="108" w:type="dxa"/>
              <w:right w:w="108" w:type="dxa"/>
            </w:tcMar>
          </w:tcPr>
          <w:p w14:paraId="6D8FDFB4" w14:textId="77777777" w:rsidR="00224F3B" w:rsidRPr="009213D8" w:rsidRDefault="00224F3B" w:rsidP="00733737">
            <w:pPr>
              <w:pStyle w:val="TableText"/>
            </w:pPr>
            <w:r w:rsidRPr="009213D8">
              <w:t>Per m</w:t>
            </w:r>
            <w:r w:rsidRPr="009213D8">
              <w:rPr>
                <w:vertAlign w:val="superscript"/>
              </w:rPr>
              <w:t xml:space="preserve">2 </w:t>
            </w:r>
            <w:r w:rsidRPr="009213D8">
              <w:t>per month</w:t>
            </w:r>
          </w:p>
        </w:tc>
        <w:tc>
          <w:tcPr>
            <w:tcW w:w="355" w:type="pct"/>
            <w:shd w:val="clear" w:color="auto" w:fill="auto"/>
            <w:tcMar>
              <w:left w:w="108" w:type="dxa"/>
              <w:right w:w="108" w:type="dxa"/>
            </w:tcMar>
          </w:tcPr>
          <w:p w14:paraId="4385FC5E" w14:textId="77777777" w:rsidR="00224F3B" w:rsidRPr="008A370F" w:rsidRDefault="00224F3B" w:rsidP="00733737">
            <w:pPr>
              <w:pStyle w:val="TableText"/>
              <w:jc w:val="right"/>
              <w:rPr>
                <w:rFonts w:ascii="Calibri" w:hAnsi="Calibri"/>
                <w:color w:val="000000"/>
                <w:szCs w:val="18"/>
              </w:rPr>
            </w:pPr>
            <w:r w:rsidRPr="008A370F">
              <w:rPr>
                <w:rFonts w:ascii="Calibri" w:hAnsi="Calibri"/>
                <w:color w:val="000000"/>
                <w:szCs w:val="18"/>
              </w:rPr>
              <w:t>310</w:t>
            </w:r>
          </w:p>
        </w:tc>
        <w:tc>
          <w:tcPr>
            <w:tcW w:w="500" w:type="pct"/>
            <w:shd w:val="clear" w:color="auto" w:fill="auto"/>
            <w:tcMar>
              <w:left w:w="108" w:type="dxa"/>
              <w:right w:w="108" w:type="dxa"/>
            </w:tcMar>
          </w:tcPr>
          <w:p w14:paraId="062F8548" w14:textId="77777777" w:rsidR="00224F3B" w:rsidRDefault="00224F3B" w:rsidP="00733737">
            <w:pPr>
              <w:pStyle w:val="TableText"/>
              <w:jc w:val="right"/>
              <w:rPr>
                <w:rFonts w:ascii="Calibri" w:hAnsi="Calibri"/>
                <w:color w:val="000000"/>
                <w:szCs w:val="18"/>
              </w:rPr>
            </w:pPr>
            <w:r>
              <w:rPr>
                <w:rFonts w:ascii="Calibri" w:hAnsi="Calibri"/>
                <w:color w:val="000000"/>
                <w:szCs w:val="18"/>
              </w:rPr>
              <w:t>5,929</w:t>
            </w:r>
          </w:p>
        </w:tc>
        <w:tc>
          <w:tcPr>
            <w:tcW w:w="500" w:type="pct"/>
            <w:shd w:val="clear" w:color="auto" w:fill="auto"/>
            <w:tcMar>
              <w:left w:w="108" w:type="dxa"/>
              <w:right w:w="108" w:type="dxa"/>
            </w:tcMar>
          </w:tcPr>
          <w:p w14:paraId="6818DA8B" w14:textId="77777777" w:rsidR="00224F3B" w:rsidRDefault="00224F3B" w:rsidP="00733737">
            <w:pPr>
              <w:pStyle w:val="TableText"/>
              <w:jc w:val="right"/>
              <w:rPr>
                <w:rFonts w:ascii="Calibri" w:hAnsi="Calibri"/>
                <w:color w:val="000000"/>
                <w:szCs w:val="18"/>
              </w:rPr>
            </w:pPr>
            <w:r>
              <w:rPr>
                <w:rFonts w:ascii="Calibri" w:hAnsi="Calibri"/>
                <w:color w:val="000000"/>
                <w:szCs w:val="18"/>
              </w:rPr>
              <w:t>1,837,990</w:t>
            </w:r>
          </w:p>
        </w:tc>
      </w:tr>
      <w:tr w:rsidR="00224F3B" w:rsidRPr="00C32CCF" w14:paraId="6EE56984" w14:textId="77777777" w:rsidTr="00FF2F78">
        <w:tc>
          <w:tcPr>
            <w:tcW w:w="810" w:type="pct"/>
            <w:vMerge/>
            <w:tcMar>
              <w:left w:w="108" w:type="dxa"/>
              <w:right w:w="108" w:type="dxa"/>
            </w:tcMar>
          </w:tcPr>
          <w:p w14:paraId="347628B0" w14:textId="77777777" w:rsidR="00224F3B" w:rsidRPr="0018484D" w:rsidRDefault="00224F3B" w:rsidP="00733737">
            <w:pPr>
              <w:pStyle w:val="TableText"/>
            </w:pPr>
          </w:p>
        </w:tc>
        <w:tc>
          <w:tcPr>
            <w:tcW w:w="456" w:type="pct"/>
            <w:shd w:val="clear" w:color="auto" w:fill="auto"/>
            <w:tcMar>
              <w:left w:w="108" w:type="dxa"/>
              <w:right w:w="108" w:type="dxa"/>
            </w:tcMar>
          </w:tcPr>
          <w:p w14:paraId="3403A501" w14:textId="77777777" w:rsidR="00224F3B" w:rsidRPr="00AA587C" w:rsidRDefault="00224F3B" w:rsidP="00AD2CA4">
            <w:pPr>
              <w:pStyle w:val="TableText"/>
              <w:jc w:val="right"/>
              <w:rPr>
                <w:rFonts w:cstheme="minorHAnsi"/>
              </w:rPr>
            </w:pPr>
            <w:r w:rsidRPr="00AA587C">
              <w:rPr>
                <w:rFonts w:cstheme="minorHAnsi"/>
              </w:rPr>
              <w:t>33,327</w:t>
            </w:r>
          </w:p>
        </w:tc>
        <w:tc>
          <w:tcPr>
            <w:tcW w:w="1619" w:type="pct"/>
            <w:shd w:val="clear" w:color="auto" w:fill="auto"/>
            <w:tcMar>
              <w:left w:w="108" w:type="dxa"/>
              <w:right w:w="108" w:type="dxa"/>
            </w:tcMar>
          </w:tcPr>
          <w:p w14:paraId="0ADDF2A1" w14:textId="58EC670F" w:rsidR="00224F3B" w:rsidRPr="00AA587C" w:rsidRDefault="00224F3B" w:rsidP="00733737">
            <w:pPr>
              <w:pStyle w:val="TableText"/>
            </w:pPr>
            <w:r w:rsidRPr="00AA587C">
              <w:t>Approved arrangement/compliance agreement application charge</w:t>
            </w:r>
          </w:p>
        </w:tc>
        <w:tc>
          <w:tcPr>
            <w:tcW w:w="760" w:type="pct"/>
            <w:shd w:val="clear" w:color="auto" w:fill="auto"/>
            <w:tcMar>
              <w:left w:w="108" w:type="dxa"/>
              <w:right w:w="108" w:type="dxa"/>
            </w:tcMar>
          </w:tcPr>
          <w:p w14:paraId="7FB1C71A" w14:textId="77777777" w:rsidR="00224F3B" w:rsidRPr="00AA587C" w:rsidRDefault="00224F3B" w:rsidP="00733737">
            <w:pPr>
              <w:pStyle w:val="TableText"/>
            </w:pPr>
            <w:r w:rsidRPr="00AA587C">
              <w:t>Per application</w:t>
            </w:r>
          </w:p>
        </w:tc>
        <w:tc>
          <w:tcPr>
            <w:tcW w:w="355" w:type="pct"/>
            <w:shd w:val="clear" w:color="auto" w:fill="auto"/>
            <w:tcMar>
              <w:left w:w="108" w:type="dxa"/>
              <w:right w:w="108" w:type="dxa"/>
            </w:tcMar>
          </w:tcPr>
          <w:p w14:paraId="62302E9F" w14:textId="77777777" w:rsidR="00224F3B" w:rsidRPr="00AA587C" w:rsidRDefault="00224F3B" w:rsidP="00733737">
            <w:pPr>
              <w:pStyle w:val="TableText"/>
              <w:jc w:val="right"/>
              <w:rPr>
                <w:rFonts w:ascii="Calibri" w:hAnsi="Calibri"/>
                <w:color w:val="000000"/>
                <w:szCs w:val="18"/>
              </w:rPr>
            </w:pPr>
            <w:r w:rsidRPr="00AA587C">
              <w:rPr>
                <w:rFonts w:ascii="Calibri" w:hAnsi="Calibri"/>
                <w:color w:val="000000"/>
                <w:szCs w:val="18"/>
              </w:rPr>
              <w:t>207</w:t>
            </w:r>
          </w:p>
        </w:tc>
        <w:tc>
          <w:tcPr>
            <w:tcW w:w="500" w:type="pct"/>
            <w:shd w:val="clear" w:color="auto" w:fill="auto"/>
            <w:tcMar>
              <w:left w:w="108" w:type="dxa"/>
              <w:right w:w="108" w:type="dxa"/>
            </w:tcMar>
          </w:tcPr>
          <w:p w14:paraId="6D798577" w14:textId="77777777" w:rsidR="00224F3B" w:rsidRPr="00AA587C" w:rsidRDefault="00224F3B" w:rsidP="00733737">
            <w:pPr>
              <w:pStyle w:val="TableText"/>
              <w:jc w:val="right"/>
              <w:rPr>
                <w:rFonts w:ascii="Calibri" w:hAnsi="Calibri"/>
                <w:color w:val="000000"/>
                <w:szCs w:val="18"/>
              </w:rPr>
            </w:pPr>
            <w:r w:rsidRPr="00AA587C">
              <w:rPr>
                <w:rFonts w:ascii="Calibri" w:hAnsi="Calibri"/>
                <w:color w:val="000000"/>
                <w:szCs w:val="18"/>
              </w:rPr>
              <w:t>161</w:t>
            </w:r>
          </w:p>
        </w:tc>
        <w:tc>
          <w:tcPr>
            <w:tcW w:w="500" w:type="pct"/>
            <w:shd w:val="clear" w:color="auto" w:fill="auto"/>
            <w:tcMar>
              <w:left w:w="108" w:type="dxa"/>
              <w:right w:w="108" w:type="dxa"/>
            </w:tcMar>
          </w:tcPr>
          <w:p w14:paraId="6A022229" w14:textId="77777777" w:rsidR="00224F3B" w:rsidRPr="00AA587C" w:rsidRDefault="00224F3B" w:rsidP="00733737">
            <w:pPr>
              <w:pStyle w:val="TableText"/>
              <w:jc w:val="right"/>
              <w:rPr>
                <w:rFonts w:ascii="Calibri" w:hAnsi="Calibri"/>
                <w:color w:val="000000"/>
                <w:szCs w:val="18"/>
              </w:rPr>
            </w:pPr>
            <w:r w:rsidRPr="00AA587C">
              <w:rPr>
                <w:rFonts w:ascii="Calibri" w:hAnsi="Calibri"/>
                <w:color w:val="000000"/>
                <w:szCs w:val="18"/>
              </w:rPr>
              <w:t>33,327</w:t>
            </w:r>
          </w:p>
        </w:tc>
      </w:tr>
      <w:tr w:rsidR="00224F3B" w:rsidRPr="00C32CCF" w14:paraId="5C5B0896" w14:textId="77777777" w:rsidTr="00FF2F78">
        <w:tc>
          <w:tcPr>
            <w:tcW w:w="810" w:type="pct"/>
            <w:vMerge/>
            <w:tcMar>
              <w:left w:w="108" w:type="dxa"/>
              <w:right w:w="108" w:type="dxa"/>
            </w:tcMar>
          </w:tcPr>
          <w:p w14:paraId="720DD8FF" w14:textId="77777777" w:rsidR="00224F3B" w:rsidRPr="0018484D" w:rsidRDefault="00224F3B" w:rsidP="00733737">
            <w:pPr>
              <w:pStyle w:val="TableText"/>
            </w:pPr>
          </w:p>
        </w:tc>
        <w:tc>
          <w:tcPr>
            <w:tcW w:w="456" w:type="pct"/>
            <w:shd w:val="clear" w:color="auto" w:fill="auto"/>
            <w:tcMar>
              <w:left w:w="108" w:type="dxa"/>
              <w:right w:w="108" w:type="dxa"/>
            </w:tcMar>
          </w:tcPr>
          <w:p w14:paraId="184AAC25" w14:textId="77777777" w:rsidR="00224F3B" w:rsidRPr="00AA587C" w:rsidRDefault="00224F3B" w:rsidP="00AD2CA4">
            <w:pPr>
              <w:pStyle w:val="TableText"/>
              <w:jc w:val="right"/>
              <w:rPr>
                <w:rFonts w:cstheme="minorHAnsi"/>
              </w:rPr>
            </w:pPr>
            <w:r w:rsidRPr="00AA587C">
              <w:rPr>
                <w:rFonts w:cstheme="minorHAnsi"/>
              </w:rPr>
              <w:t>1,449,092</w:t>
            </w:r>
          </w:p>
        </w:tc>
        <w:tc>
          <w:tcPr>
            <w:tcW w:w="1619" w:type="pct"/>
            <w:shd w:val="clear" w:color="auto" w:fill="auto"/>
            <w:tcMar>
              <w:left w:w="108" w:type="dxa"/>
              <w:right w:w="108" w:type="dxa"/>
            </w:tcMar>
          </w:tcPr>
          <w:p w14:paraId="03BAC483" w14:textId="3187F4EF" w:rsidR="00224F3B" w:rsidRPr="00AA587C" w:rsidRDefault="00224F3B" w:rsidP="00733737">
            <w:pPr>
              <w:pStyle w:val="TableText"/>
            </w:pPr>
            <w:r w:rsidRPr="00AA587C">
              <w:t xml:space="preserve">Approved arrangement – multiple – including food import compliance agreements – </w:t>
            </w:r>
            <w:r w:rsidRPr="0097139F">
              <w:t>full</w:t>
            </w:r>
            <w:r w:rsidR="0097139F">
              <w:t xml:space="preserve"> </w:t>
            </w:r>
            <w:r w:rsidRPr="0097139F">
              <w:t>year</w:t>
            </w:r>
          </w:p>
        </w:tc>
        <w:tc>
          <w:tcPr>
            <w:tcW w:w="760" w:type="pct"/>
            <w:shd w:val="clear" w:color="auto" w:fill="auto"/>
            <w:tcMar>
              <w:left w:w="108" w:type="dxa"/>
              <w:right w:w="108" w:type="dxa"/>
            </w:tcMar>
          </w:tcPr>
          <w:p w14:paraId="2F118A7E" w14:textId="77777777" w:rsidR="00224F3B" w:rsidRPr="00AA587C" w:rsidRDefault="00224F3B" w:rsidP="00733737">
            <w:pPr>
              <w:pStyle w:val="TableText"/>
            </w:pPr>
            <w:r w:rsidRPr="00AA587C">
              <w:t>Per item</w:t>
            </w:r>
          </w:p>
        </w:tc>
        <w:tc>
          <w:tcPr>
            <w:tcW w:w="355" w:type="pct"/>
            <w:shd w:val="clear" w:color="auto" w:fill="auto"/>
            <w:tcMar>
              <w:left w:w="108" w:type="dxa"/>
              <w:right w:w="108" w:type="dxa"/>
            </w:tcMar>
          </w:tcPr>
          <w:p w14:paraId="4EFAC064" w14:textId="77777777" w:rsidR="00224F3B" w:rsidRPr="00AA587C" w:rsidRDefault="00224F3B" w:rsidP="00733737">
            <w:pPr>
              <w:pStyle w:val="TableText"/>
              <w:jc w:val="right"/>
              <w:rPr>
                <w:rFonts w:ascii="Calibri" w:hAnsi="Calibri"/>
                <w:color w:val="000000"/>
                <w:szCs w:val="18"/>
              </w:rPr>
            </w:pPr>
            <w:r w:rsidRPr="00AA587C">
              <w:rPr>
                <w:rFonts w:ascii="Calibri" w:hAnsi="Calibri"/>
                <w:color w:val="000000"/>
                <w:szCs w:val="18"/>
              </w:rPr>
              <w:t>3,316</w:t>
            </w:r>
          </w:p>
        </w:tc>
        <w:tc>
          <w:tcPr>
            <w:tcW w:w="500" w:type="pct"/>
            <w:shd w:val="clear" w:color="auto" w:fill="auto"/>
            <w:tcMar>
              <w:left w:w="108" w:type="dxa"/>
              <w:right w:w="108" w:type="dxa"/>
            </w:tcMar>
          </w:tcPr>
          <w:p w14:paraId="04B39426" w14:textId="77777777" w:rsidR="00224F3B" w:rsidRPr="00AA587C" w:rsidRDefault="00224F3B" w:rsidP="00733737">
            <w:pPr>
              <w:pStyle w:val="TableText"/>
              <w:jc w:val="right"/>
              <w:rPr>
                <w:rFonts w:ascii="Calibri" w:hAnsi="Calibri"/>
                <w:color w:val="000000"/>
                <w:szCs w:val="18"/>
              </w:rPr>
            </w:pPr>
            <w:r w:rsidRPr="00AA587C">
              <w:rPr>
                <w:rFonts w:ascii="Calibri" w:hAnsi="Calibri"/>
                <w:color w:val="000000"/>
                <w:szCs w:val="18"/>
              </w:rPr>
              <w:t>437</w:t>
            </w:r>
          </w:p>
        </w:tc>
        <w:tc>
          <w:tcPr>
            <w:tcW w:w="500" w:type="pct"/>
            <w:shd w:val="clear" w:color="auto" w:fill="auto"/>
            <w:tcMar>
              <w:left w:w="108" w:type="dxa"/>
              <w:right w:w="108" w:type="dxa"/>
            </w:tcMar>
          </w:tcPr>
          <w:p w14:paraId="784724C8" w14:textId="77777777" w:rsidR="00224F3B" w:rsidRPr="00AA587C" w:rsidRDefault="00224F3B" w:rsidP="00733737">
            <w:pPr>
              <w:pStyle w:val="TableText"/>
              <w:jc w:val="right"/>
              <w:rPr>
                <w:rFonts w:ascii="Calibri" w:hAnsi="Calibri"/>
                <w:color w:val="000000"/>
                <w:szCs w:val="18"/>
              </w:rPr>
            </w:pPr>
            <w:r w:rsidRPr="00AA587C">
              <w:t>1,449,092</w:t>
            </w:r>
          </w:p>
        </w:tc>
      </w:tr>
      <w:tr w:rsidR="00224F3B" w:rsidRPr="00C32CCF" w14:paraId="1C13AA28" w14:textId="77777777" w:rsidTr="00FF2F78">
        <w:tc>
          <w:tcPr>
            <w:tcW w:w="810" w:type="pct"/>
            <w:vMerge/>
            <w:tcMar>
              <w:left w:w="108" w:type="dxa"/>
              <w:right w:w="108" w:type="dxa"/>
            </w:tcMar>
          </w:tcPr>
          <w:p w14:paraId="2B654D1E" w14:textId="77777777" w:rsidR="00224F3B" w:rsidRPr="0018484D" w:rsidRDefault="00224F3B" w:rsidP="00733737">
            <w:pPr>
              <w:pStyle w:val="TableText"/>
            </w:pPr>
          </w:p>
        </w:tc>
        <w:tc>
          <w:tcPr>
            <w:tcW w:w="456" w:type="pct"/>
            <w:shd w:val="clear" w:color="auto" w:fill="auto"/>
            <w:tcMar>
              <w:left w:w="108" w:type="dxa"/>
              <w:right w:w="108" w:type="dxa"/>
            </w:tcMar>
          </w:tcPr>
          <w:p w14:paraId="684C3D94" w14:textId="77777777" w:rsidR="00224F3B" w:rsidRPr="00AA587C" w:rsidRDefault="00224F3B" w:rsidP="00AD2CA4">
            <w:pPr>
              <w:pStyle w:val="TableText"/>
              <w:jc w:val="right"/>
              <w:rPr>
                <w:rFonts w:cstheme="minorHAnsi"/>
              </w:rPr>
            </w:pPr>
            <w:r w:rsidRPr="00AA587C">
              <w:rPr>
                <w:rFonts w:cstheme="minorHAnsi"/>
              </w:rPr>
              <w:t>1,658</w:t>
            </w:r>
          </w:p>
        </w:tc>
        <w:tc>
          <w:tcPr>
            <w:tcW w:w="1619" w:type="pct"/>
            <w:shd w:val="clear" w:color="auto" w:fill="auto"/>
            <w:tcMar>
              <w:left w:w="108" w:type="dxa"/>
              <w:right w:w="108" w:type="dxa"/>
            </w:tcMar>
          </w:tcPr>
          <w:p w14:paraId="4FE3541F" w14:textId="7841C9F4" w:rsidR="00224F3B" w:rsidRPr="004D70D4" w:rsidRDefault="00224F3B" w:rsidP="00733737">
            <w:pPr>
              <w:pStyle w:val="TableText"/>
            </w:pPr>
            <w:r w:rsidRPr="004D70D4">
              <w:t>Approved arrangement – multiple – including food import compliance agreements – part</w:t>
            </w:r>
            <w:r w:rsidR="0052764F" w:rsidRPr="004D70D4">
              <w:t xml:space="preserve"> </w:t>
            </w:r>
            <w:r w:rsidRPr="004D70D4">
              <w:t>year</w:t>
            </w:r>
          </w:p>
        </w:tc>
        <w:tc>
          <w:tcPr>
            <w:tcW w:w="760" w:type="pct"/>
            <w:shd w:val="clear" w:color="auto" w:fill="auto"/>
            <w:tcMar>
              <w:left w:w="108" w:type="dxa"/>
              <w:right w:w="108" w:type="dxa"/>
            </w:tcMar>
          </w:tcPr>
          <w:p w14:paraId="5F1EFEAE" w14:textId="77777777" w:rsidR="00224F3B" w:rsidRPr="00AA587C" w:rsidRDefault="00224F3B" w:rsidP="00733737">
            <w:pPr>
              <w:pStyle w:val="TableText"/>
            </w:pPr>
            <w:r w:rsidRPr="00AA587C">
              <w:t>Per item</w:t>
            </w:r>
          </w:p>
        </w:tc>
        <w:tc>
          <w:tcPr>
            <w:tcW w:w="355" w:type="pct"/>
            <w:shd w:val="clear" w:color="auto" w:fill="auto"/>
            <w:tcMar>
              <w:left w:w="108" w:type="dxa"/>
              <w:right w:w="108" w:type="dxa"/>
            </w:tcMar>
          </w:tcPr>
          <w:p w14:paraId="431D35BF" w14:textId="77777777" w:rsidR="00224F3B" w:rsidRPr="00AA587C" w:rsidRDefault="00224F3B" w:rsidP="00733737">
            <w:pPr>
              <w:pStyle w:val="TableText"/>
              <w:jc w:val="right"/>
              <w:rPr>
                <w:rFonts w:ascii="Calibri" w:hAnsi="Calibri"/>
                <w:color w:val="000000"/>
                <w:szCs w:val="18"/>
              </w:rPr>
            </w:pPr>
            <w:r w:rsidRPr="00AA587C">
              <w:rPr>
                <w:rFonts w:ascii="Calibri" w:hAnsi="Calibri"/>
                <w:color w:val="000000"/>
                <w:szCs w:val="18"/>
              </w:rPr>
              <w:t>1,658</w:t>
            </w:r>
          </w:p>
        </w:tc>
        <w:tc>
          <w:tcPr>
            <w:tcW w:w="500" w:type="pct"/>
            <w:shd w:val="clear" w:color="auto" w:fill="auto"/>
            <w:tcMar>
              <w:left w:w="108" w:type="dxa"/>
              <w:right w:w="108" w:type="dxa"/>
            </w:tcMar>
          </w:tcPr>
          <w:p w14:paraId="52A3C6BD" w14:textId="77777777" w:rsidR="00224F3B" w:rsidRPr="00AA587C" w:rsidRDefault="00224F3B" w:rsidP="00733737">
            <w:pPr>
              <w:pStyle w:val="TableText"/>
              <w:jc w:val="right"/>
              <w:rPr>
                <w:rFonts w:ascii="Calibri" w:hAnsi="Calibri"/>
                <w:color w:val="000000"/>
                <w:szCs w:val="18"/>
              </w:rPr>
            </w:pPr>
            <w:r w:rsidRPr="00AA587C">
              <w:rPr>
                <w:rFonts w:ascii="Calibri" w:hAnsi="Calibri"/>
                <w:color w:val="000000"/>
                <w:szCs w:val="18"/>
              </w:rPr>
              <w:t>1</w:t>
            </w:r>
          </w:p>
        </w:tc>
        <w:tc>
          <w:tcPr>
            <w:tcW w:w="500" w:type="pct"/>
            <w:shd w:val="clear" w:color="auto" w:fill="auto"/>
            <w:tcMar>
              <w:left w:w="108" w:type="dxa"/>
              <w:right w:w="108" w:type="dxa"/>
            </w:tcMar>
          </w:tcPr>
          <w:p w14:paraId="700C1F24" w14:textId="77777777" w:rsidR="00224F3B" w:rsidRPr="00AA587C" w:rsidRDefault="00224F3B" w:rsidP="00733737">
            <w:pPr>
              <w:pStyle w:val="TableText"/>
              <w:jc w:val="right"/>
              <w:rPr>
                <w:rFonts w:ascii="Calibri" w:hAnsi="Calibri"/>
                <w:color w:val="000000"/>
                <w:szCs w:val="18"/>
              </w:rPr>
            </w:pPr>
            <w:r w:rsidRPr="00AA587C">
              <w:t>1,658</w:t>
            </w:r>
          </w:p>
        </w:tc>
      </w:tr>
      <w:tr w:rsidR="00224F3B" w:rsidRPr="00C32CCF" w14:paraId="467ECAA7" w14:textId="77777777" w:rsidTr="00FF2F78">
        <w:tc>
          <w:tcPr>
            <w:tcW w:w="810" w:type="pct"/>
            <w:vMerge/>
            <w:tcMar>
              <w:left w:w="108" w:type="dxa"/>
              <w:right w:w="108" w:type="dxa"/>
            </w:tcMar>
          </w:tcPr>
          <w:p w14:paraId="39738098" w14:textId="77777777" w:rsidR="00224F3B" w:rsidRPr="0018484D" w:rsidRDefault="00224F3B" w:rsidP="00733737">
            <w:pPr>
              <w:pStyle w:val="TableText"/>
            </w:pPr>
          </w:p>
        </w:tc>
        <w:tc>
          <w:tcPr>
            <w:tcW w:w="456" w:type="pct"/>
            <w:shd w:val="clear" w:color="auto" w:fill="auto"/>
            <w:tcMar>
              <w:left w:w="108" w:type="dxa"/>
              <w:right w:w="108" w:type="dxa"/>
            </w:tcMar>
          </w:tcPr>
          <w:p w14:paraId="1F192CAD" w14:textId="77777777" w:rsidR="00224F3B" w:rsidRPr="00AA587C" w:rsidRDefault="00224F3B" w:rsidP="00AD2CA4">
            <w:pPr>
              <w:pStyle w:val="TableText"/>
              <w:jc w:val="right"/>
              <w:rPr>
                <w:rFonts w:cstheme="minorHAnsi"/>
              </w:rPr>
            </w:pPr>
            <w:r w:rsidRPr="00AA587C">
              <w:rPr>
                <w:rFonts w:cstheme="minorHAnsi"/>
              </w:rPr>
              <w:t>223,261</w:t>
            </w:r>
          </w:p>
        </w:tc>
        <w:tc>
          <w:tcPr>
            <w:tcW w:w="1619" w:type="pct"/>
            <w:shd w:val="clear" w:color="auto" w:fill="auto"/>
            <w:tcMar>
              <w:left w:w="108" w:type="dxa"/>
              <w:right w:w="108" w:type="dxa"/>
            </w:tcMar>
          </w:tcPr>
          <w:p w14:paraId="23D39A14" w14:textId="6672B3BB" w:rsidR="00224F3B" w:rsidRPr="004D70D4" w:rsidRDefault="00224F3B" w:rsidP="00733737">
            <w:pPr>
              <w:pStyle w:val="TableText"/>
            </w:pPr>
            <w:r w:rsidRPr="004D70D4">
              <w:t>Approved arrangement – class 19 – full</w:t>
            </w:r>
            <w:r w:rsidR="0052764F" w:rsidRPr="004D70D4">
              <w:t xml:space="preserve"> </w:t>
            </w:r>
            <w:r w:rsidRPr="004D70D4">
              <w:t>year</w:t>
            </w:r>
          </w:p>
        </w:tc>
        <w:tc>
          <w:tcPr>
            <w:tcW w:w="760" w:type="pct"/>
            <w:shd w:val="clear" w:color="auto" w:fill="auto"/>
            <w:tcMar>
              <w:left w:w="108" w:type="dxa"/>
              <w:right w:w="108" w:type="dxa"/>
            </w:tcMar>
          </w:tcPr>
          <w:p w14:paraId="07CAB1B5" w14:textId="77777777" w:rsidR="00224F3B" w:rsidRPr="00AA587C" w:rsidRDefault="00224F3B" w:rsidP="00733737">
            <w:pPr>
              <w:pStyle w:val="TableText"/>
            </w:pPr>
            <w:r w:rsidRPr="00AA587C">
              <w:t>Per item</w:t>
            </w:r>
          </w:p>
        </w:tc>
        <w:tc>
          <w:tcPr>
            <w:tcW w:w="355" w:type="pct"/>
            <w:shd w:val="clear" w:color="auto" w:fill="auto"/>
            <w:tcMar>
              <w:left w:w="108" w:type="dxa"/>
              <w:right w:w="108" w:type="dxa"/>
            </w:tcMar>
          </w:tcPr>
          <w:p w14:paraId="06102853" w14:textId="77777777" w:rsidR="00224F3B" w:rsidRPr="00AA587C" w:rsidRDefault="00224F3B" w:rsidP="00733737">
            <w:pPr>
              <w:pStyle w:val="TableText"/>
              <w:jc w:val="right"/>
              <w:rPr>
                <w:rFonts w:ascii="Calibri" w:hAnsi="Calibri"/>
                <w:color w:val="000000"/>
                <w:szCs w:val="18"/>
              </w:rPr>
            </w:pPr>
            <w:r w:rsidRPr="00AA587C">
              <w:rPr>
                <w:rFonts w:ascii="Calibri" w:hAnsi="Calibri"/>
                <w:color w:val="000000"/>
                <w:szCs w:val="18"/>
              </w:rPr>
              <w:t>571</w:t>
            </w:r>
          </w:p>
        </w:tc>
        <w:tc>
          <w:tcPr>
            <w:tcW w:w="500" w:type="pct"/>
            <w:shd w:val="clear" w:color="auto" w:fill="auto"/>
            <w:tcMar>
              <w:left w:w="108" w:type="dxa"/>
              <w:right w:w="108" w:type="dxa"/>
            </w:tcMar>
          </w:tcPr>
          <w:p w14:paraId="34E7BB24" w14:textId="77777777" w:rsidR="00224F3B" w:rsidRPr="00AA587C" w:rsidRDefault="00224F3B" w:rsidP="00733737">
            <w:pPr>
              <w:pStyle w:val="TableText"/>
              <w:jc w:val="right"/>
              <w:rPr>
                <w:rFonts w:ascii="Calibri" w:hAnsi="Calibri"/>
                <w:color w:val="000000"/>
                <w:szCs w:val="18"/>
              </w:rPr>
            </w:pPr>
            <w:r w:rsidRPr="00AA587C">
              <w:rPr>
                <w:rFonts w:ascii="Calibri" w:hAnsi="Calibri"/>
                <w:color w:val="000000"/>
                <w:szCs w:val="18"/>
              </w:rPr>
              <w:t>391</w:t>
            </w:r>
          </w:p>
        </w:tc>
        <w:tc>
          <w:tcPr>
            <w:tcW w:w="500" w:type="pct"/>
            <w:shd w:val="clear" w:color="auto" w:fill="auto"/>
            <w:tcMar>
              <w:left w:w="108" w:type="dxa"/>
              <w:right w:w="108" w:type="dxa"/>
            </w:tcMar>
          </w:tcPr>
          <w:p w14:paraId="39031664" w14:textId="77777777" w:rsidR="00224F3B" w:rsidRPr="00AA587C" w:rsidRDefault="00224F3B" w:rsidP="00733737">
            <w:pPr>
              <w:pStyle w:val="TableText"/>
              <w:jc w:val="right"/>
              <w:rPr>
                <w:rFonts w:ascii="Calibri" w:hAnsi="Calibri"/>
                <w:color w:val="000000"/>
                <w:szCs w:val="18"/>
              </w:rPr>
            </w:pPr>
            <w:r w:rsidRPr="00AA587C">
              <w:rPr>
                <w:rFonts w:ascii="Calibri" w:hAnsi="Calibri"/>
                <w:color w:val="000000"/>
                <w:szCs w:val="18"/>
              </w:rPr>
              <w:t>223,261</w:t>
            </w:r>
          </w:p>
        </w:tc>
      </w:tr>
      <w:tr w:rsidR="00224F3B" w:rsidRPr="00C32CCF" w14:paraId="28B53AE3" w14:textId="77777777" w:rsidTr="00FF2F78">
        <w:tc>
          <w:tcPr>
            <w:tcW w:w="810" w:type="pct"/>
            <w:vMerge/>
            <w:tcMar>
              <w:left w:w="108" w:type="dxa"/>
              <w:right w:w="108" w:type="dxa"/>
            </w:tcMar>
          </w:tcPr>
          <w:p w14:paraId="093137B9" w14:textId="77777777" w:rsidR="00224F3B" w:rsidRPr="0018484D" w:rsidRDefault="00224F3B" w:rsidP="00733737">
            <w:pPr>
              <w:pStyle w:val="TableText"/>
            </w:pPr>
          </w:p>
        </w:tc>
        <w:tc>
          <w:tcPr>
            <w:tcW w:w="456" w:type="pct"/>
            <w:shd w:val="clear" w:color="auto" w:fill="auto"/>
            <w:tcMar>
              <w:left w:w="108" w:type="dxa"/>
              <w:right w:w="108" w:type="dxa"/>
            </w:tcMar>
          </w:tcPr>
          <w:p w14:paraId="40335986" w14:textId="77777777" w:rsidR="00224F3B" w:rsidRPr="00AA587C" w:rsidRDefault="00224F3B" w:rsidP="00AD2CA4">
            <w:pPr>
              <w:pStyle w:val="TableText"/>
              <w:jc w:val="right"/>
              <w:rPr>
                <w:rFonts w:cstheme="minorHAnsi"/>
              </w:rPr>
            </w:pPr>
            <w:r w:rsidRPr="00AA587C">
              <w:rPr>
                <w:rFonts w:cstheme="minorHAnsi"/>
              </w:rPr>
              <w:t>571</w:t>
            </w:r>
          </w:p>
        </w:tc>
        <w:tc>
          <w:tcPr>
            <w:tcW w:w="1619" w:type="pct"/>
            <w:shd w:val="clear" w:color="auto" w:fill="auto"/>
            <w:tcMar>
              <w:left w:w="108" w:type="dxa"/>
              <w:right w:w="108" w:type="dxa"/>
            </w:tcMar>
          </w:tcPr>
          <w:p w14:paraId="0CFE2EB1" w14:textId="224BEC9C" w:rsidR="00224F3B" w:rsidRPr="004D70D4" w:rsidRDefault="00224F3B" w:rsidP="00733737">
            <w:pPr>
              <w:pStyle w:val="TableText"/>
            </w:pPr>
            <w:r w:rsidRPr="004D70D4">
              <w:t>Approved arrangement – class 19 – part</w:t>
            </w:r>
            <w:r w:rsidR="0052764F" w:rsidRPr="004D70D4">
              <w:t xml:space="preserve"> </w:t>
            </w:r>
            <w:r w:rsidRPr="004D70D4">
              <w:t>year</w:t>
            </w:r>
          </w:p>
        </w:tc>
        <w:tc>
          <w:tcPr>
            <w:tcW w:w="760" w:type="pct"/>
            <w:shd w:val="clear" w:color="auto" w:fill="auto"/>
            <w:tcMar>
              <w:left w:w="108" w:type="dxa"/>
              <w:right w:w="108" w:type="dxa"/>
            </w:tcMar>
          </w:tcPr>
          <w:p w14:paraId="0E51FAF2" w14:textId="77777777" w:rsidR="00224F3B" w:rsidRPr="00AA587C" w:rsidRDefault="00224F3B" w:rsidP="00733737">
            <w:pPr>
              <w:pStyle w:val="TableText"/>
            </w:pPr>
            <w:r w:rsidRPr="00AA587C">
              <w:t>Per item</w:t>
            </w:r>
          </w:p>
        </w:tc>
        <w:tc>
          <w:tcPr>
            <w:tcW w:w="355" w:type="pct"/>
            <w:shd w:val="clear" w:color="auto" w:fill="auto"/>
            <w:tcMar>
              <w:left w:w="108" w:type="dxa"/>
              <w:right w:w="108" w:type="dxa"/>
            </w:tcMar>
          </w:tcPr>
          <w:p w14:paraId="7A14C3B1" w14:textId="77777777" w:rsidR="00224F3B" w:rsidRPr="00AA587C" w:rsidRDefault="00224F3B" w:rsidP="00733737">
            <w:pPr>
              <w:pStyle w:val="TableText"/>
              <w:jc w:val="right"/>
              <w:rPr>
                <w:rFonts w:ascii="Calibri" w:hAnsi="Calibri"/>
                <w:color w:val="000000"/>
                <w:szCs w:val="18"/>
              </w:rPr>
            </w:pPr>
            <w:r w:rsidRPr="00AA587C">
              <w:rPr>
                <w:rFonts w:ascii="Calibri" w:hAnsi="Calibri"/>
                <w:color w:val="000000"/>
                <w:szCs w:val="18"/>
              </w:rPr>
              <w:t>285.50</w:t>
            </w:r>
          </w:p>
        </w:tc>
        <w:tc>
          <w:tcPr>
            <w:tcW w:w="500" w:type="pct"/>
            <w:shd w:val="clear" w:color="auto" w:fill="auto"/>
            <w:tcMar>
              <w:left w:w="108" w:type="dxa"/>
              <w:right w:w="108" w:type="dxa"/>
            </w:tcMar>
          </w:tcPr>
          <w:p w14:paraId="09A45CD5" w14:textId="77777777" w:rsidR="00224F3B" w:rsidRPr="00AA587C" w:rsidRDefault="00224F3B" w:rsidP="00733737">
            <w:pPr>
              <w:pStyle w:val="TableText"/>
              <w:jc w:val="right"/>
              <w:rPr>
                <w:rFonts w:ascii="Calibri" w:hAnsi="Calibri"/>
                <w:color w:val="000000"/>
                <w:szCs w:val="18"/>
              </w:rPr>
            </w:pPr>
            <w:r w:rsidRPr="00AA587C">
              <w:rPr>
                <w:rFonts w:ascii="Calibri" w:hAnsi="Calibri"/>
                <w:color w:val="000000"/>
                <w:szCs w:val="18"/>
              </w:rPr>
              <w:t>2</w:t>
            </w:r>
          </w:p>
        </w:tc>
        <w:tc>
          <w:tcPr>
            <w:tcW w:w="500" w:type="pct"/>
            <w:shd w:val="clear" w:color="auto" w:fill="auto"/>
            <w:tcMar>
              <w:left w:w="108" w:type="dxa"/>
              <w:right w:w="108" w:type="dxa"/>
            </w:tcMar>
          </w:tcPr>
          <w:p w14:paraId="018A10DA" w14:textId="77777777" w:rsidR="00224F3B" w:rsidRPr="00AA587C" w:rsidRDefault="00224F3B" w:rsidP="00733737">
            <w:pPr>
              <w:pStyle w:val="TableText"/>
              <w:jc w:val="right"/>
              <w:rPr>
                <w:rFonts w:ascii="Calibri" w:hAnsi="Calibri"/>
                <w:color w:val="000000"/>
                <w:szCs w:val="18"/>
              </w:rPr>
            </w:pPr>
            <w:r w:rsidRPr="00AA587C">
              <w:rPr>
                <w:rFonts w:ascii="Calibri" w:hAnsi="Calibri"/>
                <w:color w:val="000000"/>
                <w:szCs w:val="18"/>
              </w:rPr>
              <w:t>571</w:t>
            </w:r>
          </w:p>
        </w:tc>
      </w:tr>
      <w:tr w:rsidR="00224F3B" w:rsidRPr="00C32CCF" w14:paraId="2E5054A3" w14:textId="77777777" w:rsidTr="00FF2F78">
        <w:tc>
          <w:tcPr>
            <w:tcW w:w="810" w:type="pct"/>
            <w:vMerge/>
            <w:tcMar>
              <w:left w:w="108" w:type="dxa"/>
              <w:right w:w="108" w:type="dxa"/>
            </w:tcMar>
          </w:tcPr>
          <w:p w14:paraId="4BA0D914" w14:textId="77777777" w:rsidR="00224F3B" w:rsidRPr="0018484D" w:rsidRDefault="00224F3B" w:rsidP="00733737">
            <w:pPr>
              <w:pStyle w:val="TableText"/>
            </w:pPr>
          </w:p>
        </w:tc>
        <w:tc>
          <w:tcPr>
            <w:tcW w:w="456" w:type="pct"/>
            <w:shd w:val="clear" w:color="auto" w:fill="auto"/>
            <w:tcMar>
              <w:left w:w="108" w:type="dxa"/>
              <w:right w:w="108" w:type="dxa"/>
            </w:tcMar>
          </w:tcPr>
          <w:p w14:paraId="74B4A599" w14:textId="77777777" w:rsidR="00224F3B" w:rsidRPr="00AA587C" w:rsidRDefault="00224F3B" w:rsidP="00AD2CA4">
            <w:pPr>
              <w:pStyle w:val="TableText"/>
              <w:jc w:val="right"/>
              <w:rPr>
                <w:rFonts w:cstheme="minorHAnsi"/>
              </w:rPr>
            </w:pPr>
            <w:r w:rsidRPr="00AA587C">
              <w:rPr>
                <w:rFonts w:cstheme="minorHAnsi"/>
              </w:rPr>
              <w:t>3,485,540</w:t>
            </w:r>
          </w:p>
        </w:tc>
        <w:tc>
          <w:tcPr>
            <w:tcW w:w="1619" w:type="pct"/>
            <w:shd w:val="clear" w:color="auto" w:fill="auto"/>
            <w:tcMar>
              <w:left w:w="108" w:type="dxa"/>
              <w:right w:w="108" w:type="dxa"/>
            </w:tcMar>
          </w:tcPr>
          <w:p w14:paraId="5141D21F" w14:textId="0D472E94" w:rsidR="00224F3B" w:rsidRPr="004D70D4" w:rsidRDefault="00224F3B" w:rsidP="00733737">
            <w:pPr>
              <w:pStyle w:val="TableText"/>
            </w:pPr>
            <w:r w:rsidRPr="004D70D4">
              <w:t>Approved arrangement – single– including food import compliance agreements – full</w:t>
            </w:r>
            <w:r w:rsidR="0052764F" w:rsidRPr="004D70D4">
              <w:t xml:space="preserve"> </w:t>
            </w:r>
            <w:r w:rsidRPr="004D70D4">
              <w:t>year</w:t>
            </w:r>
          </w:p>
        </w:tc>
        <w:tc>
          <w:tcPr>
            <w:tcW w:w="760" w:type="pct"/>
            <w:shd w:val="clear" w:color="auto" w:fill="auto"/>
            <w:tcMar>
              <w:left w:w="108" w:type="dxa"/>
              <w:right w:w="108" w:type="dxa"/>
            </w:tcMar>
          </w:tcPr>
          <w:p w14:paraId="6526CCB2" w14:textId="77777777" w:rsidR="00224F3B" w:rsidRPr="00AA587C" w:rsidRDefault="00224F3B" w:rsidP="00733737">
            <w:pPr>
              <w:pStyle w:val="TableText"/>
            </w:pPr>
            <w:r w:rsidRPr="00AA587C">
              <w:t>Per item</w:t>
            </w:r>
          </w:p>
        </w:tc>
        <w:tc>
          <w:tcPr>
            <w:tcW w:w="355" w:type="pct"/>
            <w:shd w:val="clear" w:color="auto" w:fill="auto"/>
            <w:tcMar>
              <w:left w:w="108" w:type="dxa"/>
              <w:right w:w="108" w:type="dxa"/>
            </w:tcMar>
          </w:tcPr>
          <w:p w14:paraId="1C87B5E9" w14:textId="77777777" w:rsidR="00224F3B" w:rsidRPr="00AA587C" w:rsidRDefault="00224F3B" w:rsidP="00733737">
            <w:pPr>
              <w:pStyle w:val="TableText"/>
              <w:jc w:val="right"/>
            </w:pPr>
            <w:r w:rsidRPr="00AA587C">
              <w:rPr>
                <w:rFonts w:ascii="Calibri" w:hAnsi="Calibri"/>
                <w:color w:val="000000"/>
                <w:szCs w:val="18"/>
              </w:rPr>
              <w:t>2,857</w:t>
            </w:r>
          </w:p>
        </w:tc>
        <w:tc>
          <w:tcPr>
            <w:tcW w:w="500" w:type="pct"/>
            <w:shd w:val="clear" w:color="auto" w:fill="auto"/>
            <w:tcMar>
              <w:left w:w="108" w:type="dxa"/>
              <w:right w:w="108" w:type="dxa"/>
            </w:tcMar>
          </w:tcPr>
          <w:p w14:paraId="1D5A7F0B" w14:textId="77777777" w:rsidR="00224F3B" w:rsidRPr="00AA587C" w:rsidRDefault="00224F3B" w:rsidP="00733737">
            <w:pPr>
              <w:pStyle w:val="TableText"/>
              <w:jc w:val="right"/>
              <w:rPr>
                <w:rFonts w:ascii="Calibri" w:hAnsi="Calibri"/>
                <w:color w:val="000000"/>
                <w:szCs w:val="18"/>
              </w:rPr>
            </w:pPr>
            <w:r w:rsidRPr="00AA587C">
              <w:rPr>
                <w:rFonts w:ascii="Calibri" w:hAnsi="Calibri"/>
                <w:color w:val="000000"/>
                <w:szCs w:val="18"/>
              </w:rPr>
              <w:t>1,220</w:t>
            </w:r>
          </w:p>
        </w:tc>
        <w:tc>
          <w:tcPr>
            <w:tcW w:w="500" w:type="pct"/>
            <w:shd w:val="clear" w:color="auto" w:fill="auto"/>
            <w:tcMar>
              <w:left w:w="108" w:type="dxa"/>
              <w:right w:w="108" w:type="dxa"/>
            </w:tcMar>
          </w:tcPr>
          <w:p w14:paraId="33C882D8" w14:textId="77777777" w:rsidR="00224F3B" w:rsidRPr="00AA587C" w:rsidRDefault="00224F3B" w:rsidP="00733737">
            <w:pPr>
              <w:pStyle w:val="TableText"/>
              <w:jc w:val="right"/>
            </w:pPr>
            <w:r w:rsidRPr="00AA587C">
              <w:rPr>
                <w:rFonts w:ascii="Calibri" w:hAnsi="Calibri"/>
                <w:color w:val="000000"/>
                <w:szCs w:val="18"/>
              </w:rPr>
              <w:t>3,485,540</w:t>
            </w:r>
          </w:p>
        </w:tc>
      </w:tr>
      <w:tr w:rsidR="00224F3B" w:rsidRPr="00C32CCF" w14:paraId="0DD8D82C" w14:textId="77777777" w:rsidTr="00FF2F78">
        <w:tc>
          <w:tcPr>
            <w:tcW w:w="810" w:type="pct"/>
            <w:vMerge/>
            <w:tcMar>
              <w:left w:w="108" w:type="dxa"/>
              <w:right w:w="108" w:type="dxa"/>
            </w:tcMar>
          </w:tcPr>
          <w:p w14:paraId="5ACBC595" w14:textId="77777777" w:rsidR="00224F3B" w:rsidRPr="0018484D" w:rsidRDefault="00224F3B" w:rsidP="00733737">
            <w:pPr>
              <w:pStyle w:val="TableText"/>
            </w:pPr>
          </w:p>
        </w:tc>
        <w:tc>
          <w:tcPr>
            <w:tcW w:w="456" w:type="pct"/>
            <w:shd w:val="clear" w:color="auto" w:fill="auto"/>
            <w:tcMar>
              <w:left w:w="108" w:type="dxa"/>
              <w:right w:w="108" w:type="dxa"/>
            </w:tcMar>
          </w:tcPr>
          <w:p w14:paraId="5667D333" w14:textId="77777777" w:rsidR="00224F3B" w:rsidRPr="00AA587C" w:rsidRDefault="00224F3B" w:rsidP="00AD2CA4">
            <w:pPr>
              <w:pStyle w:val="TableText"/>
              <w:jc w:val="right"/>
              <w:rPr>
                <w:rFonts w:cstheme="minorHAnsi"/>
              </w:rPr>
            </w:pPr>
            <w:r w:rsidRPr="00AA587C">
              <w:rPr>
                <w:rFonts w:cstheme="minorHAnsi"/>
              </w:rPr>
              <w:t>64,283</w:t>
            </w:r>
          </w:p>
        </w:tc>
        <w:tc>
          <w:tcPr>
            <w:tcW w:w="1619" w:type="pct"/>
            <w:shd w:val="clear" w:color="auto" w:fill="auto"/>
            <w:tcMar>
              <w:left w:w="108" w:type="dxa"/>
              <w:right w:w="108" w:type="dxa"/>
            </w:tcMar>
          </w:tcPr>
          <w:p w14:paraId="681E1ED8" w14:textId="7114263D" w:rsidR="00224F3B" w:rsidRPr="004D70D4" w:rsidRDefault="00224F3B" w:rsidP="00733737">
            <w:pPr>
              <w:pStyle w:val="TableText"/>
            </w:pPr>
            <w:r w:rsidRPr="004D70D4">
              <w:t>Approved arrangement – single</w:t>
            </w:r>
            <w:r w:rsidR="00FF2F78" w:rsidRPr="004D70D4">
              <w:t xml:space="preserve"> </w:t>
            </w:r>
            <w:r w:rsidRPr="004D70D4">
              <w:t>– including food import compliance agreements – part</w:t>
            </w:r>
            <w:r w:rsidR="0052764F" w:rsidRPr="004D70D4">
              <w:t xml:space="preserve"> </w:t>
            </w:r>
            <w:r w:rsidRPr="004D70D4">
              <w:t>year</w:t>
            </w:r>
          </w:p>
        </w:tc>
        <w:tc>
          <w:tcPr>
            <w:tcW w:w="760" w:type="pct"/>
            <w:shd w:val="clear" w:color="auto" w:fill="auto"/>
            <w:tcMar>
              <w:left w:w="108" w:type="dxa"/>
              <w:right w:w="108" w:type="dxa"/>
            </w:tcMar>
          </w:tcPr>
          <w:p w14:paraId="66924412" w14:textId="77777777" w:rsidR="00224F3B" w:rsidRPr="00AA587C" w:rsidRDefault="00224F3B" w:rsidP="00733737">
            <w:pPr>
              <w:pStyle w:val="TableText"/>
            </w:pPr>
            <w:r w:rsidRPr="00AA587C">
              <w:t>Per item</w:t>
            </w:r>
          </w:p>
        </w:tc>
        <w:tc>
          <w:tcPr>
            <w:tcW w:w="355" w:type="pct"/>
            <w:shd w:val="clear" w:color="auto" w:fill="auto"/>
            <w:tcMar>
              <w:left w:w="108" w:type="dxa"/>
              <w:right w:w="108" w:type="dxa"/>
            </w:tcMar>
          </w:tcPr>
          <w:p w14:paraId="144A4D32" w14:textId="77777777" w:rsidR="00224F3B" w:rsidRPr="00AA587C" w:rsidRDefault="00224F3B" w:rsidP="00733737">
            <w:pPr>
              <w:pStyle w:val="TableText"/>
              <w:jc w:val="right"/>
              <w:rPr>
                <w:rFonts w:ascii="Calibri" w:hAnsi="Calibri"/>
                <w:color w:val="000000"/>
                <w:szCs w:val="18"/>
              </w:rPr>
            </w:pPr>
            <w:r w:rsidRPr="00AA587C">
              <w:rPr>
                <w:rFonts w:ascii="Calibri" w:hAnsi="Calibri"/>
                <w:color w:val="000000"/>
                <w:szCs w:val="18"/>
              </w:rPr>
              <w:t>1,428.50</w:t>
            </w:r>
          </w:p>
        </w:tc>
        <w:tc>
          <w:tcPr>
            <w:tcW w:w="500" w:type="pct"/>
            <w:shd w:val="clear" w:color="auto" w:fill="auto"/>
            <w:tcMar>
              <w:left w:w="108" w:type="dxa"/>
              <w:right w:w="108" w:type="dxa"/>
            </w:tcMar>
          </w:tcPr>
          <w:p w14:paraId="018024CD" w14:textId="77777777" w:rsidR="00224F3B" w:rsidRPr="00AA587C" w:rsidRDefault="00224F3B" w:rsidP="00733737">
            <w:pPr>
              <w:pStyle w:val="TableText"/>
              <w:jc w:val="right"/>
              <w:rPr>
                <w:rFonts w:ascii="Calibri" w:hAnsi="Calibri"/>
                <w:color w:val="000000"/>
                <w:szCs w:val="18"/>
              </w:rPr>
            </w:pPr>
            <w:r w:rsidRPr="00AA587C">
              <w:rPr>
                <w:rFonts w:ascii="Calibri" w:hAnsi="Calibri"/>
                <w:color w:val="000000"/>
                <w:szCs w:val="18"/>
              </w:rPr>
              <w:t>45</w:t>
            </w:r>
          </w:p>
        </w:tc>
        <w:tc>
          <w:tcPr>
            <w:tcW w:w="500" w:type="pct"/>
            <w:shd w:val="clear" w:color="auto" w:fill="auto"/>
            <w:tcMar>
              <w:left w:w="108" w:type="dxa"/>
              <w:right w:w="108" w:type="dxa"/>
            </w:tcMar>
          </w:tcPr>
          <w:p w14:paraId="2C107157" w14:textId="77777777" w:rsidR="00224F3B" w:rsidRPr="00AA587C" w:rsidRDefault="00224F3B" w:rsidP="00733737">
            <w:pPr>
              <w:pStyle w:val="TableText"/>
              <w:jc w:val="right"/>
              <w:rPr>
                <w:rFonts w:ascii="Calibri" w:hAnsi="Calibri"/>
                <w:color w:val="000000"/>
                <w:szCs w:val="18"/>
              </w:rPr>
            </w:pPr>
            <w:r w:rsidRPr="00AA587C">
              <w:rPr>
                <w:rFonts w:ascii="Calibri" w:hAnsi="Calibri"/>
                <w:color w:val="000000"/>
                <w:szCs w:val="18"/>
              </w:rPr>
              <w:t>64,283</w:t>
            </w:r>
          </w:p>
        </w:tc>
      </w:tr>
      <w:tr w:rsidR="00224F3B" w:rsidRPr="00C32CCF" w14:paraId="31C73562" w14:textId="77777777" w:rsidTr="00FF2F78">
        <w:tc>
          <w:tcPr>
            <w:tcW w:w="810" w:type="pct"/>
            <w:vMerge/>
            <w:tcMar>
              <w:left w:w="108" w:type="dxa"/>
              <w:right w:w="108" w:type="dxa"/>
            </w:tcMar>
          </w:tcPr>
          <w:p w14:paraId="52E9CC7D" w14:textId="77777777" w:rsidR="00224F3B" w:rsidRPr="009213D8" w:rsidRDefault="00224F3B" w:rsidP="00733737">
            <w:pPr>
              <w:pStyle w:val="TableText"/>
            </w:pPr>
          </w:p>
        </w:tc>
        <w:tc>
          <w:tcPr>
            <w:tcW w:w="456" w:type="pct"/>
            <w:shd w:val="clear" w:color="auto" w:fill="auto"/>
            <w:tcMar>
              <w:left w:w="108" w:type="dxa"/>
              <w:right w:w="108" w:type="dxa"/>
            </w:tcMar>
          </w:tcPr>
          <w:p w14:paraId="6E56B7F4" w14:textId="77777777" w:rsidR="00224F3B" w:rsidRPr="00A10BE3" w:rsidRDefault="00224F3B" w:rsidP="00AD2CA4">
            <w:pPr>
              <w:pStyle w:val="TableText"/>
              <w:jc w:val="right"/>
              <w:rPr>
                <w:rFonts w:cstheme="minorHAnsi"/>
              </w:rPr>
            </w:pPr>
            <w:r w:rsidRPr="00A10BE3">
              <w:rPr>
                <w:rFonts w:cstheme="minorHAnsi"/>
              </w:rPr>
              <w:t>3,271,950</w:t>
            </w:r>
          </w:p>
        </w:tc>
        <w:tc>
          <w:tcPr>
            <w:tcW w:w="1619" w:type="pct"/>
            <w:shd w:val="clear" w:color="auto" w:fill="auto"/>
            <w:tcMar>
              <w:left w:w="108" w:type="dxa"/>
              <w:right w:w="108" w:type="dxa"/>
            </w:tcMar>
          </w:tcPr>
          <w:p w14:paraId="0FDBFA63" w14:textId="2F2B1409" w:rsidR="00224F3B" w:rsidRPr="009213D8" w:rsidRDefault="00224F3B" w:rsidP="00733737">
            <w:pPr>
              <w:pStyle w:val="TableText"/>
            </w:pPr>
            <w:r w:rsidRPr="009213D8">
              <w:t>Approved arrangement –</w:t>
            </w:r>
            <w:r w:rsidR="005D5501">
              <w:t xml:space="preserve"> </w:t>
            </w:r>
            <w:r w:rsidRPr="009213D8">
              <w:t>AEPCOMM</w:t>
            </w:r>
            <w:r>
              <w:t xml:space="preserve"> entry</w:t>
            </w:r>
          </w:p>
        </w:tc>
        <w:tc>
          <w:tcPr>
            <w:tcW w:w="760" w:type="pct"/>
            <w:shd w:val="clear" w:color="auto" w:fill="auto"/>
            <w:tcMar>
              <w:left w:w="108" w:type="dxa"/>
              <w:right w:w="108" w:type="dxa"/>
            </w:tcMar>
          </w:tcPr>
          <w:p w14:paraId="05216D6D" w14:textId="77777777" w:rsidR="00224F3B" w:rsidRPr="009213D8" w:rsidRDefault="00224F3B" w:rsidP="00733737">
            <w:pPr>
              <w:pStyle w:val="TableText"/>
            </w:pPr>
            <w:r w:rsidRPr="009213D8">
              <w:t>Per item</w:t>
            </w:r>
          </w:p>
        </w:tc>
        <w:tc>
          <w:tcPr>
            <w:tcW w:w="355" w:type="pct"/>
            <w:shd w:val="clear" w:color="auto" w:fill="auto"/>
            <w:tcMar>
              <w:left w:w="108" w:type="dxa"/>
              <w:right w:w="108" w:type="dxa"/>
            </w:tcMar>
          </w:tcPr>
          <w:p w14:paraId="6E6FB0AF" w14:textId="77777777" w:rsidR="00224F3B" w:rsidRPr="008A370F" w:rsidRDefault="00224F3B" w:rsidP="00733737">
            <w:pPr>
              <w:pStyle w:val="TableText"/>
              <w:jc w:val="right"/>
            </w:pPr>
            <w:r w:rsidRPr="008A370F">
              <w:rPr>
                <w:rFonts w:ascii="Calibri" w:hAnsi="Calibri"/>
                <w:color w:val="000000"/>
                <w:szCs w:val="18"/>
              </w:rPr>
              <w:t>22</w:t>
            </w:r>
          </w:p>
        </w:tc>
        <w:tc>
          <w:tcPr>
            <w:tcW w:w="500" w:type="pct"/>
            <w:shd w:val="clear" w:color="auto" w:fill="auto"/>
            <w:tcMar>
              <w:left w:w="108" w:type="dxa"/>
              <w:right w:w="108" w:type="dxa"/>
            </w:tcMar>
          </w:tcPr>
          <w:p w14:paraId="4DDA0B5B" w14:textId="77777777" w:rsidR="00224F3B" w:rsidRPr="00C32CCF" w:rsidRDefault="00224F3B" w:rsidP="00733737">
            <w:pPr>
              <w:pStyle w:val="TableText"/>
              <w:jc w:val="right"/>
              <w:rPr>
                <w:rFonts w:ascii="Calibri" w:hAnsi="Calibri"/>
                <w:color w:val="000000"/>
                <w:szCs w:val="18"/>
              </w:rPr>
            </w:pPr>
            <w:r>
              <w:rPr>
                <w:rFonts w:ascii="Calibri" w:hAnsi="Calibri"/>
                <w:color w:val="000000"/>
                <w:szCs w:val="18"/>
              </w:rPr>
              <w:t>148,725</w:t>
            </w:r>
          </w:p>
        </w:tc>
        <w:tc>
          <w:tcPr>
            <w:tcW w:w="500" w:type="pct"/>
            <w:shd w:val="clear" w:color="auto" w:fill="auto"/>
            <w:tcMar>
              <w:left w:w="108" w:type="dxa"/>
              <w:right w:w="108" w:type="dxa"/>
            </w:tcMar>
          </w:tcPr>
          <w:p w14:paraId="40F27D8C" w14:textId="77777777" w:rsidR="00224F3B" w:rsidRPr="00C32CCF" w:rsidRDefault="00224F3B" w:rsidP="00733737">
            <w:pPr>
              <w:pStyle w:val="TableText"/>
              <w:jc w:val="right"/>
              <w:rPr>
                <w:highlight w:val="yellow"/>
              </w:rPr>
            </w:pPr>
            <w:r>
              <w:rPr>
                <w:rFonts w:ascii="Calibri" w:hAnsi="Calibri"/>
                <w:color w:val="000000"/>
                <w:szCs w:val="18"/>
              </w:rPr>
              <w:t>3,271,950</w:t>
            </w:r>
          </w:p>
        </w:tc>
      </w:tr>
      <w:tr w:rsidR="00224F3B" w:rsidRPr="00C32CCF" w14:paraId="685AF670" w14:textId="77777777" w:rsidTr="00FF2F78">
        <w:tc>
          <w:tcPr>
            <w:tcW w:w="810" w:type="pct"/>
            <w:vMerge/>
            <w:tcMar>
              <w:left w:w="108" w:type="dxa"/>
              <w:right w:w="108" w:type="dxa"/>
            </w:tcMar>
          </w:tcPr>
          <w:p w14:paraId="4257BC0E" w14:textId="77777777" w:rsidR="00224F3B" w:rsidRPr="009213D8" w:rsidRDefault="00224F3B" w:rsidP="00733737">
            <w:pPr>
              <w:pStyle w:val="TableText"/>
            </w:pPr>
          </w:p>
        </w:tc>
        <w:tc>
          <w:tcPr>
            <w:tcW w:w="456" w:type="pct"/>
            <w:shd w:val="clear" w:color="auto" w:fill="auto"/>
            <w:tcMar>
              <w:left w:w="108" w:type="dxa"/>
              <w:right w:w="108" w:type="dxa"/>
            </w:tcMar>
          </w:tcPr>
          <w:p w14:paraId="3AD63B8E" w14:textId="77777777" w:rsidR="00224F3B" w:rsidRPr="00A10BE3" w:rsidRDefault="00224F3B" w:rsidP="00AD2CA4">
            <w:pPr>
              <w:pStyle w:val="TableText"/>
              <w:jc w:val="right"/>
            </w:pPr>
            <w:r w:rsidRPr="00A10BE3">
              <w:rPr>
                <w:rFonts w:cstheme="minorHAnsi"/>
              </w:rPr>
              <w:t>79,200</w:t>
            </w:r>
          </w:p>
        </w:tc>
        <w:tc>
          <w:tcPr>
            <w:tcW w:w="1619" w:type="pct"/>
            <w:shd w:val="clear" w:color="auto" w:fill="auto"/>
            <w:tcMar>
              <w:left w:w="108" w:type="dxa"/>
              <w:right w:w="108" w:type="dxa"/>
            </w:tcMar>
          </w:tcPr>
          <w:p w14:paraId="47B78197" w14:textId="77777777" w:rsidR="00224F3B" w:rsidRPr="009213D8" w:rsidRDefault="00224F3B" w:rsidP="00733737">
            <w:pPr>
              <w:pStyle w:val="TableText"/>
            </w:pPr>
            <w:r w:rsidRPr="009213D8">
              <w:t>Non-commercial vessel arrival charge</w:t>
            </w:r>
          </w:p>
        </w:tc>
        <w:tc>
          <w:tcPr>
            <w:tcW w:w="760" w:type="pct"/>
            <w:shd w:val="clear" w:color="auto" w:fill="auto"/>
            <w:tcMar>
              <w:left w:w="108" w:type="dxa"/>
              <w:right w:w="108" w:type="dxa"/>
            </w:tcMar>
          </w:tcPr>
          <w:p w14:paraId="65F350E0" w14:textId="77777777" w:rsidR="00224F3B" w:rsidRPr="009213D8" w:rsidRDefault="00224F3B" w:rsidP="00733737">
            <w:pPr>
              <w:pStyle w:val="TableText"/>
            </w:pPr>
            <w:r w:rsidRPr="009213D8">
              <w:t>Per vessel</w:t>
            </w:r>
          </w:p>
        </w:tc>
        <w:tc>
          <w:tcPr>
            <w:tcW w:w="355" w:type="pct"/>
            <w:shd w:val="clear" w:color="auto" w:fill="auto"/>
            <w:tcMar>
              <w:left w:w="108" w:type="dxa"/>
              <w:right w:w="108" w:type="dxa"/>
            </w:tcMar>
          </w:tcPr>
          <w:p w14:paraId="4272851B" w14:textId="77777777" w:rsidR="00224F3B" w:rsidRPr="008A370F" w:rsidRDefault="00224F3B" w:rsidP="00733737">
            <w:pPr>
              <w:pStyle w:val="TableText"/>
              <w:jc w:val="right"/>
              <w:rPr>
                <w:rFonts w:ascii="Calibri" w:hAnsi="Calibri"/>
                <w:color w:val="000000"/>
                <w:szCs w:val="18"/>
              </w:rPr>
            </w:pPr>
            <w:r w:rsidRPr="008A370F">
              <w:rPr>
                <w:rFonts w:ascii="Calibri" w:hAnsi="Calibri"/>
                <w:color w:val="000000"/>
                <w:szCs w:val="18"/>
              </w:rPr>
              <w:t>165</w:t>
            </w:r>
          </w:p>
        </w:tc>
        <w:tc>
          <w:tcPr>
            <w:tcW w:w="500" w:type="pct"/>
            <w:shd w:val="clear" w:color="auto" w:fill="auto"/>
            <w:tcMar>
              <w:left w:w="108" w:type="dxa"/>
              <w:right w:w="108" w:type="dxa"/>
            </w:tcMar>
          </w:tcPr>
          <w:p w14:paraId="3E692D95" w14:textId="77777777" w:rsidR="00224F3B" w:rsidRDefault="00224F3B" w:rsidP="00733737">
            <w:pPr>
              <w:pStyle w:val="TableText"/>
              <w:jc w:val="right"/>
              <w:rPr>
                <w:rFonts w:ascii="Calibri" w:hAnsi="Calibri"/>
                <w:color w:val="000000"/>
                <w:szCs w:val="18"/>
              </w:rPr>
            </w:pPr>
            <w:r>
              <w:rPr>
                <w:rFonts w:ascii="Calibri" w:hAnsi="Calibri"/>
                <w:color w:val="000000"/>
                <w:szCs w:val="18"/>
              </w:rPr>
              <w:t>480</w:t>
            </w:r>
          </w:p>
        </w:tc>
        <w:tc>
          <w:tcPr>
            <w:tcW w:w="500" w:type="pct"/>
            <w:shd w:val="clear" w:color="auto" w:fill="auto"/>
            <w:tcMar>
              <w:left w:w="108" w:type="dxa"/>
              <w:right w:w="108" w:type="dxa"/>
            </w:tcMar>
          </w:tcPr>
          <w:p w14:paraId="64067FA0" w14:textId="77777777" w:rsidR="00224F3B" w:rsidRDefault="00224F3B" w:rsidP="00733737">
            <w:pPr>
              <w:pStyle w:val="TableText"/>
              <w:jc w:val="right"/>
              <w:rPr>
                <w:rFonts w:ascii="Calibri" w:hAnsi="Calibri"/>
                <w:color w:val="000000"/>
                <w:szCs w:val="18"/>
              </w:rPr>
            </w:pPr>
            <w:r>
              <w:rPr>
                <w:rFonts w:ascii="Calibri" w:hAnsi="Calibri"/>
                <w:color w:val="000000"/>
                <w:szCs w:val="18"/>
              </w:rPr>
              <w:t>79,200</w:t>
            </w:r>
          </w:p>
        </w:tc>
      </w:tr>
      <w:tr w:rsidR="00224F3B" w:rsidRPr="00C32CCF" w14:paraId="73E25CD3" w14:textId="77777777" w:rsidTr="00FF2F78">
        <w:tc>
          <w:tcPr>
            <w:tcW w:w="810" w:type="pct"/>
            <w:vMerge/>
            <w:tcBorders>
              <w:bottom w:val="nil"/>
            </w:tcBorders>
            <w:tcMar>
              <w:left w:w="108" w:type="dxa"/>
              <w:right w:w="108" w:type="dxa"/>
            </w:tcMar>
          </w:tcPr>
          <w:p w14:paraId="04AD1450" w14:textId="77777777" w:rsidR="00224F3B" w:rsidRPr="009213D8" w:rsidRDefault="00224F3B" w:rsidP="00733737">
            <w:pPr>
              <w:pStyle w:val="TableText"/>
            </w:pPr>
          </w:p>
        </w:tc>
        <w:tc>
          <w:tcPr>
            <w:tcW w:w="456" w:type="pct"/>
            <w:shd w:val="clear" w:color="auto" w:fill="auto"/>
            <w:tcMar>
              <w:left w:w="108" w:type="dxa"/>
              <w:right w:w="108" w:type="dxa"/>
            </w:tcMar>
          </w:tcPr>
          <w:p w14:paraId="7EF0EA92" w14:textId="77777777" w:rsidR="00224F3B" w:rsidRPr="00A10BE3" w:rsidRDefault="00224F3B" w:rsidP="00AD2CA4">
            <w:pPr>
              <w:pStyle w:val="TableText"/>
              <w:jc w:val="right"/>
              <w:rPr>
                <w:rFonts w:cstheme="minorHAnsi"/>
              </w:rPr>
            </w:pPr>
            <w:r w:rsidRPr="00A10BE3">
              <w:t>25,860,596</w:t>
            </w:r>
          </w:p>
        </w:tc>
        <w:tc>
          <w:tcPr>
            <w:tcW w:w="1619" w:type="pct"/>
            <w:shd w:val="clear" w:color="auto" w:fill="auto"/>
            <w:tcMar>
              <w:left w:w="108" w:type="dxa"/>
              <w:right w:w="108" w:type="dxa"/>
            </w:tcMar>
          </w:tcPr>
          <w:p w14:paraId="7B63D500" w14:textId="77777777" w:rsidR="00224F3B" w:rsidRPr="009213D8" w:rsidRDefault="00224F3B" w:rsidP="00733737">
            <w:pPr>
              <w:pStyle w:val="TableText"/>
            </w:pPr>
            <w:r w:rsidRPr="009213D8">
              <w:t>Vessel, other than a non-commercial vessel arrival charge</w:t>
            </w:r>
          </w:p>
        </w:tc>
        <w:tc>
          <w:tcPr>
            <w:tcW w:w="760" w:type="pct"/>
            <w:shd w:val="clear" w:color="auto" w:fill="auto"/>
            <w:tcMar>
              <w:left w:w="108" w:type="dxa"/>
              <w:right w:w="108" w:type="dxa"/>
            </w:tcMar>
          </w:tcPr>
          <w:p w14:paraId="3FEF6BD8" w14:textId="77777777" w:rsidR="00224F3B" w:rsidRPr="009213D8" w:rsidRDefault="00224F3B" w:rsidP="00733737">
            <w:pPr>
              <w:pStyle w:val="TableText"/>
            </w:pPr>
            <w:r w:rsidRPr="009213D8">
              <w:t>Per vessel</w:t>
            </w:r>
          </w:p>
        </w:tc>
        <w:tc>
          <w:tcPr>
            <w:tcW w:w="355" w:type="pct"/>
            <w:shd w:val="clear" w:color="auto" w:fill="auto"/>
            <w:tcMar>
              <w:left w:w="108" w:type="dxa"/>
              <w:right w:w="108" w:type="dxa"/>
            </w:tcMar>
          </w:tcPr>
          <w:p w14:paraId="5F090746" w14:textId="77777777" w:rsidR="00224F3B" w:rsidRPr="008A370F" w:rsidRDefault="00224F3B" w:rsidP="00733737">
            <w:pPr>
              <w:pStyle w:val="TableText"/>
              <w:jc w:val="right"/>
              <w:rPr>
                <w:rFonts w:ascii="Calibri" w:hAnsi="Calibri"/>
                <w:color w:val="000000"/>
                <w:szCs w:val="18"/>
              </w:rPr>
            </w:pPr>
            <w:r w:rsidRPr="008A370F">
              <w:rPr>
                <w:rFonts w:ascii="Calibri" w:hAnsi="Calibri"/>
                <w:color w:val="000000"/>
                <w:szCs w:val="18"/>
              </w:rPr>
              <w:t>1,444</w:t>
            </w:r>
          </w:p>
        </w:tc>
        <w:tc>
          <w:tcPr>
            <w:tcW w:w="500" w:type="pct"/>
            <w:shd w:val="clear" w:color="auto" w:fill="auto"/>
            <w:tcMar>
              <w:left w:w="108" w:type="dxa"/>
              <w:right w:w="108" w:type="dxa"/>
            </w:tcMar>
          </w:tcPr>
          <w:p w14:paraId="7868DF0B" w14:textId="77777777" w:rsidR="00224F3B" w:rsidRDefault="00224F3B" w:rsidP="00733737">
            <w:pPr>
              <w:pStyle w:val="TableText"/>
              <w:jc w:val="right"/>
              <w:rPr>
                <w:rFonts w:ascii="Calibri" w:hAnsi="Calibri"/>
                <w:color w:val="000000"/>
                <w:szCs w:val="18"/>
              </w:rPr>
            </w:pPr>
            <w:r>
              <w:rPr>
                <w:rFonts w:ascii="Calibri" w:hAnsi="Calibri"/>
                <w:color w:val="000000"/>
                <w:szCs w:val="18"/>
              </w:rPr>
              <w:t>17,909</w:t>
            </w:r>
          </w:p>
        </w:tc>
        <w:tc>
          <w:tcPr>
            <w:tcW w:w="500" w:type="pct"/>
            <w:shd w:val="clear" w:color="auto" w:fill="auto"/>
            <w:tcMar>
              <w:left w:w="108" w:type="dxa"/>
              <w:right w:w="108" w:type="dxa"/>
            </w:tcMar>
          </w:tcPr>
          <w:p w14:paraId="6A41A84C" w14:textId="77777777" w:rsidR="00224F3B" w:rsidRDefault="00224F3B" w:rsidP="00733737">
            <w:pPr>
              <w:pStyle w:val="TableText"/>
              <w:jc w:val="right"/>
              <w:rPr>
                <w:rFonts w:ascii="Calibri" w:hAnsi="Calibri"/>
                <w:color w:val="000000"/>
                <w:szCs w:val="18"/>
              </w:rPr>
            </w:pPr>
            <w:r>
              <w:rPr>
                <w:rFonts w:ascii="Calibri" w:hAnsi="Calibri"/>
                <w:color w:val="000000"/>
                <w:szCs w:val="18"/>
              </w:rPr>
              <w:t>25,860,596</w:t>
            </w:r>
          </w:p>
        </w:tc>
      </w:tr>
      <w:tr w:rsidR="001E5006" w:rsidRPr="00C32CCF" w14:paraId="7350EAD9" w14:textId="77777777" w:rsidTr="00FF2F78">
        <w:tc>
          <w:tcPr>
            <w:tcW w:w="810" w:type="pct"/>
            <w:vMerge w:val="restart"/>
            <w:tcMar>
              <w:left w:w="108" w:type="dxa"/>
              <w:right w:w="108" w:type="dxa"/>
            </w:tcMar>
          </w:tcPr>
          <w:p w14:paraId="4E0FF619" w14:textId="77777777" w:rsidR="001E5006" w:rsidRPr="009213D8" w:rsidRDefault="001E5006" w:rsidP="00733737">
            <w:pPr>
              <w:pStyle w:val="TableText"/>
            </w:pPr>
            <w:r w:rsidRPr="0018484D">
              <w:t>Fee for service – inspection (including virtual inspections), examination, document assessment, analysis, diagnostic activity, clearance of cargo, treatment, audit, supervision and training</w:t>
            </w:r>
            <w:r w:rsidRPr="009213D8">
              <w:t>.</w:t>
            </w:r>
          </w:p>
        </w:tc>
        <w:tc>
          <w:tcPr>
            <w:tcW w:w="456" w:type="pct"/>
            <w:shd w:val="clear" w:color="auto" w:fill="auto"/>
            <w:tcMar>
              <w:left w:w="108" w:type="dxa"/>
              <w:right w:w="108" w:type="dxa"/>
            </w:tcMar>
          </w:tcPr>
          <w:p w14:paraId="55610934" w14:textId="77777777" w:rsidR="001E5006" w:rsidRPr="00A10BE3" w:rsidRDefault="001E5006" w:rsidP="00AD2CA4">
            <w:pPr>
              <w:pStyle w:val="TableText"/>
              <w:jc w:val="right"/>
              <w:rPr>
                <w:rFonts w:cstheme="minorHAnsi"/>
              </w:rPr>
            </w:pPr>
            <w:r w:rsidRPr="00A10BE3">
              <w:rPr>
                <w:rFonts w:cstheme="minorHAnsi"/>
              </w:rPr>
              <w:t>28,867,</w:t>
            </w:r>
            <w:r>
              <w:rPr>
                <w:rFonts w:cstheme="minorHAnsi"/>
              </w:rPr>
              <w:t>43</w:t>
            </w:r>
            <w:r w:rsidRPr="00A10BE3">
              <w:rPr>
                <w:rFonts w:cstheme="minorHAnsi"/>
              </w:rPr>
              <w:t>0</w:t>
            </w:r>
          </w:p>
        </w:tc>
        <w:tc>
          <w:tcPr>
            <w:tcW w:w="1619" w:type="pct"/>
            <w:shd w:val="clear" w:color="auto" w:fill="auto"/>
            <w:tcMar>
              <w:left w:w="108" w:type="dxa"/>
              <w:right w:w="108" w:type="dxa"/>
            </w:tcMar>
          </w:tcPr>
          <w:p w14:paraId="06AAEDDB" w14:textId="77777777" w:rsidR="001E5006" w:rsidRPr="009213D8" w:rsidRDefault="001E5006" w:rsidP="00733737">
            <w:pPr>
              <w:pStyle w:val="TableText"/>
            </w:pPr>
            <w:r w:rsidRPr="009213D8">
              <w:t>In-office fee during ordinary hours of duty</w:t>
            </w:r>
          </w:p>
        </w:tc>
        <w:tc>
          <w:tcPr>
            <w:tcW w:w="760" w:type="pct"/>
            <w:shd w:val="clear" w:color="auto" w:fill="auto"/>
            <w:tcMar>
              <w:left w:w="108" w:type="dxa"/>
              <w:right w:w="108" w:type="dxa"/>
            </w:tcMar>
          </w:tcPr>
          <w:p w14:paraId="6673957E" w14:textId="77777777" w:rsidR="001E5006" w:rsidRPr="009213D8" w:rsidRDefault="001E5006" w:rsidP="00733737">
            <w:pPr>
              <w:pStyle w:val="TableText"/>
            </w:pPr>
            <w:r w:rsidRPr="009213D8">
              <w:t>Per 15 minutes</w:t>
            </w:r>
          </w:p>
        </w:tc>
        <w:tc>
          <w:tcPr>
            <w:tcW w:w="355" w:type="pct"/>
            <w:shd w:val="clear" w:color="auto" w:fill="auto"/>
            <w:tcMar>
              <w:left w:w="108" w:type="dxa"/>
              <w:right w:w="108" w:type="dxa"/>
            </w:tcMar>
          </w:tcPr>
          <w:p w14:paraId="7B3ADFAE" w14:textId="77777777" w:rsidR="001E5006" w:rsidRPr="008A370F" w:rsidRDefault="001E5006" w:rsidP="00733737">
            <w:pPr>
              <w:pStyle w:val="TableText"/>
              <w:jc w:val="right"/>
            </w:pPr>
            <w:r w:rsidRPr="008A370F">
              <w:rPr>
                <w:rFonts w:ascii="Calibri" w:hAnsi="Calibri"/>
                <w:color w:val="000000"/>
                <w:szCs w:val="18"/>
              </w:rPr>
              <w:t>40</w:t>
            </w:r>
          </w:p>
        </w:tc>
        <w:tc>
          <w:tcPr>
            <w:tcW w:w="500" w:type="pct"/>
            <w:shd w:val="clear" w:color="auto" w:fill="auto"/>
            <w:tcMar>
              <w:left w:w="108" w:type="dxa"/>
              <w:right w:w="108" w:type="dxa"/>
            </w:tcMar>
          </w:tcPr>
          <w:p w14:paraId="1CA41F68" w14:textId="77777777" w:rsidR="001E5006" w:rsidRPr="00C32CCF" w:rsidRDefault="001E5006" w:rsidP="00733737">
            <w:pPr>
              <w:pStyle w:val="TableText"/>
              <w:jc w:val="right"/>
              <w:rPr>
                <w:rFonts w:ascii="Calibri" w:hAnsi="Calibri"/>
                <w:color w:val="000000"/>
                <w:szCs w:val="18"/>
              </w:rPr>
            </w:pPr>
            <w:r>
              <w:rPr>
                <w:rFonts w:ascii="Calibri" w:hAnsi="Calibri"/>
                <w:color w:val="000000"/>
                <w:szCs w:val="18"/>
              </w:rPr>
              <w:t>721,691</w:t>
            </w:r>
          </w:p>
        </w:tc>
        <w:tc>
          <w:tcPr>
            <w:tcW w:w="500" w:type="pct"/>
            <w:shd w:val="clear" w:color="auto" w:fill="auto"/>
            <w:tcMar>
              <w:left w:w="108" w:type="dxa"/>
              <w:right w:w="108" w:type="dxa"/>
            </w:tcMar>
          </w:tcPr>
          <w:p w14:paraId="5F55A2BC" w14:textId="77777777" w:rsidR="001E5006" w:rsidRPr="00C32CCF" w:rsidRDefault="001E5006" w:rsidP="00733737">
            <w:pPr>
              <w:pStyle w:val="TableText"/>
              <w:jc w:val="right"/>
              <w:rPr>
                <w:highlight w:val="yellow"/>
              </w:rPr>
            </w:pPr>
            <w:r>
              <w:rPr>
                <w:rFonts w:ascii="Calibri" w:hAnsi="Calibri"/>
                <w:color w:val="000000"/>
                <w:szCs w:val="18"/>
              </w:rPr>
              <w:t>28,867,640</w:t>
            </w:r>
          </w:p>
        </w:tc>
      </w:tr>
      <w:tr w:rsidR="001E5006" w14:paraId="6AA4465E" w14:textId="77777777" w:rsidTr="00FF2F78">
        <w:tc>
          <w:tcPr>
            <w:tcW w:w="810" w:type="pct"/>
            <w:vMerge/>
            <w:tcMar>
              <w:left w:w="108" w:type="dxa"/>
              <w:right w:w="108" w:type="dxa"/>
            </w:tcMar>
          </w:tcPr>
          <w:p w14:paraId="024E7DE6" w14:textId="77777777" w:rsidR="001E5006" w:rsidRPr="009213D8" w:rsidRDefault="001E5006" w:rsidP="00733737">
            <w:pPr>
              <w:pStyle w:val="TableText"/>
            </w:pPr>
          </w:p>
        </w:tc>
        <w:tc>
          <w:tcPr>
            <w:tcW w:w="456" w:type="pct"/>
            <w:shd w:val="clear" w:color="auto" w:fill="auto"/>
            <w:tcMar>
              <w:left w:w="108" w:type="dxa"/>
              <w:right w:w="108" w:type="dxa"/>
            </w:tcMar>
          </w:tcPr>
          <w:p w14:paraId="184085CC" w14:textId="77777777" w:rsidR="001E5006" w:rsidRPr="00A10BE3" w:rsidRDefault="001E5006" w:rsidP="00AD2CA4">
            <w:pPr>
              <w:pStyle w:val="TableText"/>
              <w:jc w:val="right"/>
              <w:rPr>
                <w:rFonts w:cstheme="minorHAnsi"/>
              </w:rPr>
            </w:pPr>
            <w:r w:rsidRPr="00A10BE3">
              <w:rPr>
                <w:rFonts w:cstheme="minorHAnsi"/>
              </w:rPr>
              <w:t>127,252</w:t>
            </w:r>
          </w:p>
        </w:tc>
        <w:tc>
          <w:tcPr>
            <w:tcW w:w="1619" w:type="pct"/>
            <w:shd w:val="clear" w:color="auto" w:fill="auto"/>
            <w:tcMar>
              <w:left w:w="108" w:type="dxa"/>
              <w:right w:w="108" w:type="dxa"/>
            </w:tcMar>
          </w:tcPr>
          <w:p w14:paraId="7E59A126" w14:textId="77777777" w:rsidR="001E5006" w:rsidRPr="00F37622" w:rsidRDefault="001E5006" w:rsidP="00733737">
            <w:pPr>
              <w:pStyle w:val="TableText"/>
            </w:pPr>
            <w:r w:rsidRPr="005A660F">
              <w:t>In-office fee outside ordinary hours – weekday for continuous activity provided immediately before or after ordinary hours</w:t>
            </w:r>
          </w:p>
        </w:tc>
        <w:tc>
          <w:tcPr>
            <w:tcW w:w="760" w:type="pct"/>
            <w:shd w:val="clear" w:color="auto" w:fill="auto"/>
            <w:tcMar>
              <w:left w:w="108" w:type="dxa"/>
              <w:right w:w="108" w:type="dxa"/>
            </w:tcMar>
          </w:tcPr>
          <w:p w14:paraId="4F882EEE" w14:textId="77777777" w:rsidR="001E5006" w:rsidRDefault="001E5006" w:rsidP="00733737">
            <w:pPr>
              <w:pStyle w:val="TableText"/>
            </w:pPr>
            <w:r w:rsidRPr="009213D8">
              <w:t>Per 15 minutes</w:t>
            </w:r>
          </w:p>
        </w:tc>
        <w:tc>
          <w:tcPr>
            <w:tcW w:w="355" w:type="pct"/>
            <w:shd w:val="clear" w:color="auto" w:fill="auto"/>
            <w:tcMar>
              <w:left w:w="108" w:type="dxa"/>
              <w:right w:w="108" w:type="dxa"/>
            </w:tcMar>
          </w:tcPr>
          <w:p w14:paraId="367D51AE" w14:textId="77777777" w:rsidR="001E5006" w:rsidRDefault="001E5006" w:rsidP="00733737">
            <w:pPr>
              <w:pStyle w:val="TableText"/>
              <w:jc w:val="right"/>
            </w:pPr>
            <w:r w:rsidRPr="008A370F">
              <w:rPr>
                <w:rFonts w:ascii="Calibri" w:hAnsi="Calibri"/>
                <w:color w:val="000000"/>
                <w:szCs w:val="18"/>
              </w:rPr>
              <w:t>58</w:t>
            </w:r>
          </w:p>
        </w:tc>
        <w:tc>
          <w:tcPr>
            <w:tcW w:w="500" w:type="pct"/>
            <w:shd w:val="clear" w:color="auto" w:fill="auto"/>
            <w:tcMar>
              <w:left w:w="108" w:type="dxa"/>
              <w:right w:w="108" w:type="dxa"/>
            </w:tcMar>
          </w:tcPr>
          <w:p w14:paraId="00B3454D" w14:textId="77777777" w:rsidR="001E5006" w:rsidRDefault="001E5006" w:rsidP="00733737">
            <w:pPr>
              <w:pStyle w:val="TableText"/>
              <w:jc w:val="right"/>
            </w:pPr>
            <w:r>
              <w:rPr>
                <w:rFonts w:ascii="Calibri" w:hAnsi="Calibri"/>
                <w:color w:val="000000"/>
                <w:szCs w:val="18"/>
              </w:rPr>
              <w:t>2,194</w:t>
            </w:r>
          </w:p>
        </w:tc>
        <w:tc>
          <w:tcPr>
            <w:tcW w:w="500" w:type="pct"/>
            <w:shd w:val="clear" w:color="auto" w:fill="auto"/>
            <w:tcMar>
              <w:left w:w="108" w:type="dxa"/>
              <w:right w:w="108" w:type="dxa"/>
            </w:tcMar>
          </w:tcPr>
          <w:p w14:paraId="78763A37" w14:textId="77777777" w:rsidR="001E5006" w:rsidRDefault="001E5006" w:rsidP="00733737">
            <w:pPr>
              <w:pStyle w:val="TableText"/>
              <w:jc w:val="right"/>
            </w:pPr>
            <w:r>
              <w:rPr>
                <w:rFonts w:ascii="Calibri" w:hAnsi="Calibri"/>
                <w:color w:val="000000"/>
                <w:szCs w:val="18"/>
              </w:rPr>
              <w:t>127,252</w:t>
            </w:r>
          </w:p>
        </w:tc>
      </w:tr>
      <w:tr w:rsidR="001E5006" w14:paraId="644448A0" w14:textId="77777777" w:rsidTr="00FF2F78">
        <w:tc>
          <w:tcPr>
            <w:tcW w:w="810" w:type="pct"/>
            <w:vMerge/>
            <w:tcMar>
              <w:left w:w="108" w:type="dxa"/>
              <w:right w:w="108" w:type="dxa"/>
            </w:tcMar>
          </w:tcPr>
          <w:p w14:paraId="3B2C693A" w14:textId="77777777" w:rsidR="001E5006" w:rsidRPr="009213D8" w:rsidRDefault="001E5006" w:rsidP="00733737">
            <w:pPr>
              <w:pStyle w:val="TableText"/>
            </w:pPr>
          </w:p>
        </w:tc>
        <w:tc>
          <w:tcPr>
            <w:tcW w:w="456" w:type="pct"/>
            <w:shd w:val="clear" w:color="auto" w:fill="auto"/>
            <w:tcMar>
              <w:left w:w="108" w:type="dxa"/>
              <w:right w:w="108" w:type="dxa"/>
            </w:tcMar>
          </w:tcPr>
          <w:p w14:paraId="31CDB12F" w14:textId="77777777" w:rsidR="001E5006" w:rsidRPr="00A10BE3" w:rsidRDefault="001E5006" w:rsidP="00AD2CA4">
            <w:pPr>
              <w:pStyle w:val="TableText"/>
              <w:jc w:val="right"/>
              <w:rPr>
                <w:rFonts w:cstheme="minorHAnsi"/>
              </w:rPr>
            </w:pPr>
            <w:r w:rsidRPr="00A10BE3">
              <w:rPr>
                <w:rFonts w:cstheme="minorHAnsi"/>
              </w:rPr>
              <w:t>746,228</w:t>
            </w:r>
          </w:p>
        </w:tc>
        <w:tc>
          <w:tcPr>
            <w:tcW w:w="1619" w:type="pct"/>
            <w:shd w:val="clear" w:color="auto" w:fill="auto"/>
            <w:tcMar>
              <w:left w:w="108" w:type="dxa"/>
              <w:right w:w="108" w:type="dxa"/>
            </w:tcMar>
          </w:tcPr>
          <w:p w14:paraId="3B132D1E" w14:textId="77777777" w:rsidR="001E5006" w:rsidRPr="00F37622" w:rsidRDefault="001E5006" w:rsidP="00733737">
            <w:pPr>
              <w:pStyle w:val="TableText"/>
            </w:pPr>
            <w:r w:rsidRPr="005A660F">
              <w:t>In-office fee outside ordinary hours – weekday for non-continuous activity provided before or after ordinary hours only</w:t>
            </w:r>
          </w:p>
        </w:tc>
        <w:tc>
          <w:tcPr>
            <w:tcW w:w="760" w:type="pct"/>
            <w:shd w:val="clear" w:color="auto" w:fill="auto"/>
            <w:tcMar>
              <w:left w:w="108" w:type="dxa"/>
              <w:right w:w="108" w:type="dxa"/>
            </w:tcMar>
          </w:tcPr>
          <w:p w14:paraId="69B6B7F4" w14:textId="77777777" w:rsidR="001E5006" w:rsidRDefault="001E5006" w:rsidP="00733737">
            <w:pPr>
              <w:pStyle w:val="TableText"/>
            </w:pPr>
            <w:r w:rsidRPr="009213D8">
              <w:t>Per 30 minutes</w:t>
            </w:r>
          </w:p>
        </w:tc>
        <w:tc>
          <w:tcPr>
            <w:tcW w:w="355" w:type="pct"/>
            <w:shd w:val="clear" w:color="auto" w:fill="auto"/>
            <w:tcMar>
              <w:left w:w="108" w:type="dxa"/>
              <w:right w:w="108" w:type="dxa"/>
            </w:tcMar>
          </w:tcPr>
          <w:p w14:paraId="21BC069A" w14:textId="77777777" w:rsidR="001E5006" w:rsidRDefault="001E5006" w:rsidP="00733737">
            <w:pPr>
              <w:pStyle w:val="TableText"/>
              <w:jc w:val="right"/>
            </w:pPr>
            <w:r w:rsidRPr="008A370F">
              <w:rPr>
                <w:rFonts w:ascii="Calibri" w:hAnsi="Calibri"/>
                <w:color w:val="000000"/>
                <w:szCs w:val="18"/>
              </w:rPr>
              <w:t>116</w:t>
            </w:r>
          </w:p>
        </w:tc>
        <w:tc>
          <w:tcPr>
            <w:tcW w:w="500" w:type="pct"/>
            <w:shd w:val="clear" w:color="auto" w:fill="auto"/>
            <w:tcMar>
              <w:left w:w="108" w:type="dxa"/>
              <w:right w:w="108" w:type="dxa"/>
            </w:tcMar>
          </w:tcPr>
          <w:p w14:paraId="4555F832" w14:textId="77777777" w:rsidR="001E5006" w:rsidRDefault="001E5006" w:rsidP="00733737">
            <w:pPr>
              <w:pStyle w:val="TableText"/>
              <w:jc w:val="right"/>
            </w:pPr>
            <w:r>
              <w:rPr>
                <w:rFonts w:ascii="Calibri" w:hAnsi="Calibri"/>
                <w:color w:val="000000"/>
                <w:szCs w:val="18"/>
              </w:rPr>
              <w:t>6,433</w:t>
            </w:r>
          </w:p>
        </w:tc>
        <w:tc>
          <w:tcPr>
            <w:tcW w:w="500" w:type="pct"/>
            <w:shd w:val="clear" w:color="auto" w:fill="auto"/>
            <w:tcMar>
              <w:left w:w="108" w:type="dxa"/>
              <w:right w:w="108" w:type="dxa"/>
            </w:tcMar>
          </w:tcPr>
          <w:p w14:paraId="0E1F5D20" w14:textId="77777777" w:rsidR="001E5006" w:rsidRDefault="001E5006" w:rsidP="00733737">
            <w:pPr>
              <w:pStyle w:val="TableText"/>
              <w:jc w:val="right"/>
            </w:pPr>
            <w:r>
              <w:rPr>
                <w:rFonts w:ascii="Calibri" w:hAnsi="Calibri"/>
                <w:color w:val="000000"/>
                <w:szCs w:val="18"/>
              </w:rPr>
              <w:t>746,228</w:t>
            </w:r>
          </w:p>
        </w:tc>
      </w:tr>
      <w:tr w:rsidR="001E5006" w14:paraId="7B66556F" w14:textId="77777777" w:rsidTr="00FF2F78">
        <w:tc>
          <w:tcPr>
            <w:tcW w:w="810" w:type="pct"/>
            <w:vMerge/>
            <w:tcMar>
              <w:left w:w="108" w:type="dxa"/>
              <w:right w:w="108" w:type="dxa"/>
            </w:tcMar>
          </w:tcPr>
          <w:p w14:paraId="2AA2FE37" w14:textId="77777777" w:rsidR="001E5006" w:rsidRPr="009213D8" w:rsidRDefault="001E5006" w:rsidP="00733737">
            <w:pPr>
              <w:pStyle w:val="TableText"/>
            </w:pPr>
          </w:p>
        </w:tc>
        <w:tc>
          <w:tcPr>
            <w:tcW w:w="456" w:type="pct"/>
            <w:shd w:val="clear" w:color="auto" w:fill="auto"/>
            <w:tcMar>
              <w:left w:w="108" w:type="dxa"/>
              <w:right w:w="108" w:type="dxa"/>
            </w:tcMar>
          </w:tcPr>
          <w:p w14:paraId="49FF4086" w14:textId="77777777" w:rsidR="001E5006" w:rsidRPr="00A10BE3" w:rsidRDefault="001E5006" w:rsidP="00AD2CA4">
            <w:pPr>
              <w:pStyle w:val="TableText"/>
              <w:jc w:val="right"/>
              <w:rPr>
                <w:rFonts w:cstheme="minorHAnsi"/>
              </w:rPr>
            </w:pPr>
            <w:r w:rsidRPr="00A10BE3">
              <w:rPr>
                <w:rFonts w:cstheme="minorHAnsi"/>
              </w:rPr>
              <w:t>665,028</w:t>
            </w:r>
          </w:p>
        </w:tc>
        <w:tc>
          <w:tcPr>
            <w:tcW w:w="1619" w:type="pct"/>
            <w:shd w:val="clear" w:color="auto" w:fill="auto"/>
            <w:tcMar>
              <w:left w:w="108" w:type="dxa"/>
              <w:right w:w="108" w:type="dxa"/>
            </w:tcMar>
          </w:tcPr>
          <w:p w14:paraId="605B2587" w14:textId="77777777" w:rsidR="001E5006" w:rsidRPr="00F37622" w:rsidRDefault="001E5006" w:rsidP="00733737">
            <w:pPr>
              <w:pStyle w:val="TableText"/>
            </w:pPr>
            <w:r w:rsidRPr="005A660F">
              <w:t>In-office fee outside ordinary hours – weekend or departmental holiday</w:t>
            </w:r>
          </w:p>
        </w:tc>
        <w:tc>
          <w:tcPr>
            <w:tcW w:w="760" w:type="pct"/>
            <w:shd w:val="clear" w:color="auto" w:fill="auto"/>
            <w:tcMar>
              <w:left w:w="108" w:type="dxa"/>
              <w:right w:w="108" w:type="dxa"/>
            </w:tcMar>
          </w:tcPr>
          <w:p w14:paraId="23BB8582" w14:textId="77777777" w:rsidR="001E5006" w:rsidRDefault="001E5006" w:rsidP="00733737">
            <w:pPr>
              <w:pStyle w:val="TableText"/>
            </w:pPr>
            <w:r w:rsidRPr="009213D8">
              <w:t>Per 30 minutes</w:t>
            </w:r>
          </w:p>
        </w:tc>
        <w:tc>
          <w:tcPr>
            <w:tcW w:w="355" w:type="pct"/>
            <w:shd w:val="clear" w:color="auto" w:fill="auto"/>
            <w:tcMar>
              <w:left w:w="108" w:type="dxa"/>
              <w:right w:w="108" w:type="dxa"/>
            </w:tcMar>
          </w:tcPr>
          <w:p w14:paraId="6BFDA16B" w14:textId="77777777" w:rsidR="001E5006" w:rsidRDefault="001E5006" w:rsidP="00733737">
            <w:pPr>
              <w:pStyle w:val="TableText"/>
              <w:jc w:val="right"/>
            </w:pPr>
            <w:r w:rsidRPr="008A370F">
              <w:rPr>
                <w:rFonts w:ascii="Calibri" w:hAnsi="Calibri"/>
                <w:color w:val="000000"/>
                <w:szCs w:val="18"/>
              </w:rPr>
              <w:t>126</w:t>
            </w:r>
          </w:p>
        </w:tc>
        <w:tc>
          <w:tcPr>
            <w:tcW w:w="500" w:type="pct"/>
            <w:shd w:val="clear" w:color="auto" w:fill="auto"/>
            <w:tcMar>
              <w:left w:w="108" w:type="dxa"/>
              <w:right w:w="108" w:type="dxa"/>
            </w:tcMar>
          </w:tcPr>
          <w:p w14:paraId="7C2673DD" w14:textId="77777777" w:rsidR="001E5006" w:rsidRDefault="001E5006" w:rsidP="00733737">
            <w:pPr>
              <w:pStyle w:val="TableText"/>
              <w:jc w:val="right"/>
            </w:pPr>
            <w:r>
              <w:rPr>
                <w:rFonts w:ascii="Calibri" w:hAnsi="Calibri"/>
                <w:color w:val="000000"/>
                <w:szCs w:val="18"/>
              </w:rPr>
              <w:t>5,278</w:t>
            </w:r>
          </w:p>
        </w:tc>
        <w:tc>
          <w:tcPr>
            <w:tcW w:w="500" w:type="pct"/>
            <w:shd w:val="clear" w:color="auto" w:fill="auto"/>
            <w:tcMar>
              <w:left w:w="108" w:type="dxa"/>
              <w:right w:w="108" w:type="dxa"/>
            </w:tcMar>
          </w:tcPr>
          <w:p w14:paraId="6A37D800" w14:textId="77777777" w:rsidR="001E5006" w:rsidRDefault="001E5006" w:rsidP="00733737">
            <w:pPr>
              <w:pStyle w:val="TableText"/>
              <w:jc w:val="right"/>
            </w:pPr>
            <w:r>
              <w:rPr>
                <w:rFonts w:ascii="Calibri" w:hAnsi="Calibri"/>
                <w:color w:val="000000"/>
                <w:szCs w:val="18"/>
              </w:rPr>
              <w:t>665,028</w:t>
            </w:r>
          </w:p>
        </w:tc>
      </w:tr>
      <w:tr w:rsidR="001E5006" w14:paraId="62C53B3E" w14:textId="77777777" w:rsidTr="00FF2F78">
        <w:tc>
          <w:tcPr>
            <w:tcW w:w="810" w:type="pct"/>
            <w:vMerge/>
            <w:tcMar>
              <w:left w:w="108" w:type="dxa"/>
              <w:right w:w="108" w:type="dxa"/>
            </w:tcMar>
          </w:tcPr>
          <w:p w14:paraId="1FE87092" w14:textId="77777777" w:rsidR="001E5006" w:rsidRPr="009213D8" w:rsidRDefault="001E5006" w:rsidP="00733737">
            <w:pPr>
              <w:pStyle w:val="TableText"/>
            </w:pPr>
          </w:p>
        </w:tc>
        <w:tc>
          <w:tcPr>
            <w:tcW w:w="456" w:type="pct"/>
            <w:shd w:val="clear" w:color="auto" w:fill="auto"/>
            <w:tcMar>
              <w:left w:w="108" w:type="dxa"/>
              <w:right w:w="108" w:type="dxa"/>
            </w:tcMar>
          </w:tcPr>
          <w:p w14:paraId="33336496" w14:textId="77777777" w:rsidR="001E5006" w:rsidRPr="00A10BE3" w:rsidRDefault="001E5006" w:rsidP="00AD2CA4">
            <w:pPr>
              <w:pStyle w:val="TableText"/>
              <w:jc w:val="right"/>
              <w:rPr>
                <w:rFonts w:cstheme="minorHAnsi"/>
              </w:rPr>
            </w:pPr>
            <w:r w:rsidRPr="00A10BE3">
              <w:rPr>
                <w:rFonts w:cstheme="minorHAnsi"/>
              </w:rPr>
              <w:t>631,449</w:t>
            </w:r>
          </w:p>
        </w:tc>
        <w:tc>
          <w:tcPr>
            <w:tcW w:w="1619" w:type="pct"/>
            <w:shd w:val="clear" w:color="auto" w:fill="auto"/>
            <w:tcMar>
              <w:left w:w="108" w:type="dxa"/>
              <w:right w:w="108" w:type="dxa"/>
            </w:tcMar>
          </w:tcPr>
          <w:p w14:paraId="55A69646" w14:textId="77777777" w:rsidR="001E5006" w:rsidRPr="00F37622" w:rsidRDefault="001E5006" w:rsidP="00733737">
            <w:pPr>
              <w:pStyle w:val="TableText"/>
            </w:pPr>
            <w:r w:rsidRPr="005A660F">
              <w:t>In office fee outside ordinary hours, after the first 30 minutes – weekend or departmental holiday</w:t>
            </w:r>
          </w:p>
        </w:tc>
        <w:tc>
          <w:tcPr>
            <w:tcW w:w="760" w:type="pct"/>
            <w:shd w:val="clear" w:color="auto" w:fill="auto"/>
            <w:tcMar>
              <w:left w:w="108" w:type="dxa"/>
              <w:right w:w="108" w:type="dxa"/>
            </w:tcMar>
          </w:tcPr>
          <w:p w14:paraId="72DFD5B7" w14:textId="77777777" w:rsidR="001E5006" w:rsidRDefault="001E5006" w:rsidP="00733737">
            <w:pPr>
              <w:pStyle w:val="TableText"/>
            </w:pPr>
            <w:r w:rsidRPr="009213D8">
              <w:t>Per 15 minutes</w:t>
            </w:r>
          </w:p>
        </w:tc>
        <w:tc>
          <w:tcPr>
            <w:tcW w:w="355" w:type="pct"/>
            <w:shd w:val="clear" w:color="auto" w:fill="auto"/>
            <w:tcMar>
              <w:left w:w="108" w:type="dxa"/>
              <w:right w:w="108" w:type="dxa"/>
            </w:tcMar>
          </w:tcPr>
          <w:p w14:paraId="1016C8F7" w14:textId="77777777" w:rsidR="001E5006" w:rsidRDefault="001E5006" w:rsidP="00733737">
            <w:pPr>
              <w:pStyle w:val="TableText"/>
              <w:jc w:val="right"/>
            </w:pPr>
            <w:r w:rsidRPr="008A370F">
              <w:rPr>
                <w:rFonts w:ascii="Calibri" w:hAnsi="Calibri"/>
                <w:color w:val="000000"/>
                <w:szCs w:val="18"/>
              </w:rPr>
              <w:t>63</w:t>
            </w:r>
          </w:p>
        </w:tc>
        <w:tc>
          <w:tcPr>
            <w:tcW w:w="500" w:type="pct"/>
            <w:shd w:val="clear" w:color="auto" w:fill="auto"/>
            <w:tcMar>
              <w:left w:w="108" w:type="dxa"/>
              <w:right w:w="108" w:type="dxa"/>
            </w:tcMar>
          </w:tcPr>
          <w:p w14:paraId="55286C65" w14:textId="77777777" w:rsidR="001E5006" w:rsidRDefault="001E5006" w:rsidP="00733737">
            <w:pPr>
              <w:pStyle w:val="TableText"/>
              <w:jc w:val="right"/>
            </w:pPr>
            <w:r>
              <w:rPr>
                <w:rFonts w:ascii="Calibri" w:hAnsi="Calibri"/>
                <w:color w:val="000000"/>
                <w:szCs w:val="18"/>
              </w:rPr>
              <w:t>10,023</w:t>
            </w:r>
          </w:p>
        </w:tc>
        <w:tc>
          <w:tcPr>
            <w:tcW w:w="500" w:type="pct"/>
            <w:shd w:val="clear" w:color="auto" w:fill="auto"/>
            <w:tcMar>
              <w:left w:w="108" w:type="dxa"/>
              <w:right w:w="108" w:type="dxa"/>
            </w:tcMar>
          </w:tcPr>
          <w:p w14:paraId="0AD32F2B" w14:textId="77777777" w:rsidR="001E5006" w:rsidRDefault="001E5006" w:rsidP="00733737">
            <w:pPr>
              <w:pStyle w:val="TableText"/>
              <w:jc w:val="right"/>
            </w:pPr>
            <w:r>
              <w:rPr>
                <w:rFonts w:ascii="Calibri" w:hAnsi="Calibri"/>
                <w:color w:val="000000"/>
                <w:szCs w:val="18"/>
              </w:rPr>
              <w:t>631,449</w:t>
            </w:r>
          </w:p>
        </w:tc>
      </w:tr>
      <w:tr w:rsidR="001E5006" w14:paraId="079B6645" w14:textId="77777777" w:rsidTr="00FF2F78">
        <w:tc>
          <w:tcPr>
            <w:tcW w:w="810" w:type="pct"/>
            <w:vMerge/>
            <w:tcMar>
              <w:left w:w="108" w:type="dxa"/>
              <w:right w:w="108" w:type="dxa"/>
            </w:tcMar>
          </w:tcPr>
          <w:p w14:paraId="437EA353" w14:textId="77777777" w:rsidR="001E5006" w:rsidRPr="009213D8" w:rsidRDefault="001E5006" w:rsidP="00733737">
            <w:pPr>
              <w:pStyle w:val="TableText"/>
            </w:pPr>
          </w:p>
        </w:tc>
        <w:tc>
          <w:tcPr>
            <w:tcW w:w="456" w:type="pct"/>
            <w:shd w:val="clear" w:color="auto" w:fill="auto"/>
            <w:tcMar>
              <w:left w:w="108" w:type="dxa"/>
              <w:right w:w="108" w:type="dxa"/>
            </w:tcMar>
          </w:tcPr>
          <w:p w14:paraId="6C4C6CE9" w14:textId="77777777" w:rsidR="001E5006" w:rsidRPr="00A10BE3" w:rsidRDefault="001E5006" w:rsidP="00AD2CA4">
            <w:pPr>
              <w:pStyle w:val="TableText"/>
              <w:jc w:val="right"/>
              <w:rPr>
                <w:rFonts w:cstheme="minorHAnsi"/>
              </w:rPr>
            </w:pPr>
            <w:r w:rsidRPr="00A10BE3">
              <w:rPr>
                <w:rFonts w:cstheme="minorHAnsi"/>
              </w:rPr>
              <w:t>169,771</w:t>
            </w:r>
          </w:p>
        </w:tc>
        <w:tc>
          <w:tcPr>
            <w:tcW w:w="1619" w:type="pct"/>
            <w:shd w:val="clear" w:color="auto" w:fill="auto"/>
            <w:tcMar>
              <w:left w:w="108" w:type="dxa"/>
              <w:right w:w="108" w:type="dxa"/>
            </w:tcMar>
          </w:tcPr>
          <w:p w14:paraId="4AFB049B" w14:textId="77777777" w:rsidR="001E5006" w:rsidRPr="009213D8" w:rsidRDefault="001E5006" w:rsidP="00733737">
            <w:pPr>
              <w:pStyle w:val="TableText"/>
            </w:pPr>
            <w:r w:rsidRPr="00F37622">
              <w:t>Assessment Category 1 Permit application</w:t>
            </w:r>
          </w:p>
        </w:tc>
        <w:tc>
          <w:tcPr>
            <w:tcW w:w="760" w:type="pct"/>
            <w:shd w:val="clear" w:color="auto" w:fill="auto"/>
            <w:tcMar>
              <w:left w:w="108" w:type="dxa"/>
              <w:right w:w="108" w:type="dxa"/>
            </w:tcMar>
          </w:tcPr>
          <w:p w14:paraId="1AEC7FC2" w14:textId="77777777" w:rsidR="001E5006" w:rsidRPr="009213D8" w:rsidRDefault="001E5006" w:rsidP="00733737">
            <w:pPr>
              <w:pStyle w:val="TableText"/>
            </w:pPr>
            <w:r>
              <w:t>Per application</w:t>
            </w:r>
          </w:p>
        </w:tc>
        <w:tc>
          <w:tcPr>
            <w:tcW w:w="355" w:type="pct"/>
            <w:shd w:val="clear" w:color="auto" w:fill="auto"/>
            <w:tcMar>
              <w:left w:w="108" w:type="dxa"/>
              <w:right w:w="108" w:type="dxa"/>
            </w:tcMar>
          </w:tcPr>
          <w:p w14:paraId="7DEDF9F5" w14:textId="77777777" w:rsidR="001E5006" w:rsidRPr="008A370F" w:rsidRDefault="001E5006" w:rsidP="00733737">
            <w:pPr>
              <w:pStyle w:val="TableText"/>
              <w:jc w:val="right"/>
              <w:rPr>
                <w:rFonts w:ascii="Calibri" w:hAnsi="Calibri"/>
                <w:color w:val="000000"/>
                <w:szCs w:val="18"/>
              </w:rPr>
            </w:pPr>
            <w:r>
              <w:t>79</w:t>
            </w:r>
          </w:p>
        </w:tc>
        <w:tc>
          <w:tcPr>
            <w:tcW w:w="500" w:type="pct"/>
            <w:shd w:val="clear" w:color="auto" w:fill="auto"/>
            <w:tcMar>
              <w:left w:w="108" w:type="dxa"/>
              <w:right w:w="108" w:type="dxa"/>
            </w:tcMar>
          </w:tcPr>
          <w:p w14:paraId="2D9B2CF5" w14:textId="77777777" w:rsidR="001E5006" w:rsidRDefault="001E5006" w:rsidP="00733737">
            <w:pPr>
              <w:pStyle w:val="TableText"/>
              <w:jc w:val="right"/>
              <w:rPr>
                <w:rFonts w:ascii="Calibri" w:hAnsi="Calibri"/>
                <w:color w:val="000000"/>
                <w:szCs w:val="18"/>
              </w:rPr>
            </w:pPr>
            <w:r>
              <w:t>2,149</w:t>
            </w:r>
          </w:p>
        </w:tc>
        <w:tc>
          <w:tcPr>
            <w:tcW w:w="500" w:type="pct"/>
            <w:shd w:val="clear" w:color="auto" w:fill="auto"/>
            <w:tcMar>
              <w:left w:w="108" w:type="dxa"/>
              <w:right w:w="108" w:type="dxa"/>
            </w:tcMar>
          </w:tcPr>
          <w:p w14:paraId="35187DB5" w14:textId="77777777" w:rsidR="001E5006" w:rsidRDefault="001E5006" w:rsidP="00733737">
            <w:pPr>
              <w:pStyle w:val="TableText"/>
              <w:jc w:val="right"/>
              <w:rPr>
                <w:rFonts w:ascii="Calibri" w:hAnsi="Calibri"/>
                <w:color w:val="000000"/>
                <w:szCs w:val="18"/>
              </w:rPr>
            </w:pPr>
            <w:r>
              <w:t>169,771</w:t>
            </w:r>
          </w:p>
        </w:tc>
      </w:tr>
      <w:tr w:rsidR="001E5006" w14:paraId="29A6F1D1" w14:textId="77777777" w:rsidTr="00FF2F78">
        <w:tc>
          <w:tcPr>
            <w:tcW w:w="810" w:type="pct"/>
            <w:vMerge/>
            <w:tcMar>
              <w:left w:w="108" w:type="dxa"/>
              <w:right w:w="108" w:type="dxa"/>
            </w:tcMar>
          </w:tcPr>
          <w:p w14:paraId="6FAF0C8D" w14:textId="77777777" w:rsidR="001E5006" w:rsidRPr="009213D8" w:rsidRDefault="001E5006" w:rsidP="00733737">
            <w:pPr>
              <w:pStyle w:val="TableText"/>
            </w:pPr>
          </w:p>
        </w:tc>
        <w:tc>
          <w:tcPr>
            <w:tcW w:w="456" w:type="pct"/>
            <w:shd w:val="clear" w:color="auto" w:fill="auto"/>
            <w:tcMar>
              <w:left w:w="108" w:type="dxa"/>
              <w:right w:w="108" w:type="dxa"/>
            </w:tcMar>
          </w:tcPr>
          <w:p w14:paraId="298172DD" w14:textId="77777777" w:rsidR="001E5006" w:rsidRPr="00A10BE3" w:rsidRDefault="001E5006" w:rsidP="00AD2CA4">
            <w:pPr>
              <w:pStyle w:val="TableText"/>
              <w:jc w:val="right"/>
              <w:rPr>
                <w:rFonts w:cstheme="minorHAnsi"/>
              </w:rPr>
            </w:pPr>
            <w:r w:rsidRPr="00A10BE3">
              <w:rPr>
                <w:rFonts w:cstheme="minorHAnsi"/>
              </w:rPr>
              <w:t>909,922</w:t>
            </w:r>
          </w:p>
        </w:tc>
        <w:tc>
          <w:tcPr>
            <w:tcW w:w="1619" w:type="pct"/>
            <w:shd w:val="clear" w:color="auto" w:fill="auto"/>
            <w:tcMar>
              <w:left w:w="108" w:type="dxa"/>
              <w:right w:w="108" w:type="dxa"/>
            </w:tcMar>
          </w:tcPr>
          <w:p w14:paraId="662042A7" w14:textId="77777777" w:rsidR="001E5006" w:rsidRPr="00F37622" w:rsidRDefault="001E5006" w:rsidP="00733737">
            <w:pPr>
              <w:pStyle w:val="TableText"/>
            </w:pPr>
            <w:r w:rsidRPr="00F37622">
              <w:t>Assessment Category 2 Permit application</w:t>
            </w:r>
          </w:p>
        </w:tc>
        <w:tc>
          <w:tcPr>
            <w:tcW w:w="760" w:type="pct"/>
            <w:shd w:val="clear" w:color="auto" w:fill="auto"/>
            <w:tcMar>
              <w:left w:w="108" w:type="dxa"/>
              <w:right w:w="108" w:type="dxa"/>
            </w:tcMar>
          </w:tcPr>
          <w:p w14:paraId="7EA9ED9C" w14:textId="77777777" w:rsidR="001E5006" w:rsidRDefault="001E5006" w:rsidP="00733737">
            <w:pPr>
              <w:pStyle w:val="TableText"/>
            </w:pPr>
            <w:r w:rsidRPr="00670818">
              <w:t>Per application</w:t>
            </w:r>
          </w:p>
        </w:tc>
        <w:tc>
          <w:tcPr>
            <w:tcW w:w="355" w:type="pct"/>
            <w:shd w:val="clear" w:color="auto" w:fill="auto"/>
            <w:tcMar>
              <w:left w:w="108" w:type="dxa"/>
              <w:right w:w="108" w:type="dxa"/>
            </w:tcMar>
          </w:tcPr>
          <w:p w14:paraId="580D7DEB" w14:textId="77777777" w:rsidR="001E5006" w:rsidRDefault="001E5006" w:rsidP="00733737">
            <w:pPr>
              <w:pStyle w:val="TableText"/>
              <w:jc w:val="right"/>
            </w:pPr>
            <w:r>
              <w:t>158</w:t>
            </w:r>
          </w:p>
        </w:tc>
        <w:tc>
          <w:tcPr>
            <w:tcW w:w="500" w:type="pct"/>
            <w:shd w:val="clear" w:color="auto" w:fill="auto"/>
            <w:tcMar>
              <w:left w:w="108" w:type="dxa"/>
              <w:right w:w="108" w:type="dxa"/>
            </w:tcMar>
          </w:tcPr>
          <w:p w14:paraId="18A49124" w14:textId="77777777" w:rsidR="001E5006" w:rsidRDefault="001E5006" w:rsidP="00733737">
            <w:pPr>
              <w:pStyle w:val="TableText"/>
              <w:jc w:val="right"/>
            </w:pPr>
            <w:r>
              <w:t xml:space="preserve">5,759 </w:t>
            </w:r>
          </w:p>
        </w:tc>
        <w:tc>
          <w:tcPr>
            <w:tcW w:w="500" w:type="pct"/>
            <w:shd w:val="clear" w:color="auto" w:fill="auto"/>
            <w:tcMar>
              <w:left w:w="108" w:type="dxa"/>
              <w:right w:w="108" w:type="dxa"/>
            </w:tcMar>
          </w:tcPr>
          <w:p w14:paraId="7C60D3B6" w14:textId="77777777" w:rsidR="001E5006" w:rsidRDefault="001E5006" w:rsidP="00733737">
            <w:pPr>
              <w:pStyle w:val="TableText"/>
              <w:jc w:val="right"/>
            </w:pPr>
            <w:r>
              <w:t>909,922</w:t>
            </w:r>
          </w:p>
        </w:tc>
      </w:tr>
      <w:tr w:rsidR="001E5006" w14:paraId="689ABDC9" w14:textId="77777777" w:rsidTr="00FF2F78">
        <w:tc>
          <w:tcPr>
            <w:tcW w:w="810" w:type="pct"/>
            <w:vMerge/>
            <w:tcMar>
              <w:left w:w="108" w:type="dxa"/>
              <w:right w:w="108" w:type="dxa"/>
            </w:tcMar>
          </w:tcPr>
          <w:p w14:paraId="0497ACC8" w14:textId="77777777" w:rsidR="001E5006" w:rsidRPr="009213D8" w:rsidRDefault="001E5006" w:rsidP="00733737">
            <w:pPr>
              <w:pStyle w:val="TableText"/>
            </w:pPr>
          </w:p>
        </w:tc>
        <w:tc>
          <w:tcPr>
            <w:tcW w:w="456" w:type="pct"/>
            <w:shd w:val="clear" w:color="auto" w:fill="auto"/>
            <w:tcMar>
              <w:left w:w="108" w:type="dxa"/>
              <w:right w:w="108" w:type="dxa"/>
            </w:tcMar>
          </w:tcPr>
          <w:p w14:paraId="49CC1D91" w14:textId="77777777" w:rsidR="001E5006" w:rsidRPr="00A10BE3" w:rsidRDefault="001E5006" w:rsidP="00AD2CA4">
            <w:pPr>
              <w:pStyle w:val="TableText"/>
              <w:jc w:val="right"/>
              <w:rPr>
                <w:rFonts w:cstheme="minorHAnsi"/>
              </w:rPr>
            </w:pPr>
            <w:r w:rsidRPr="00A10BE3">
              <w:rPr>
                <w:rFonts w:cstheme="minorHAnsi"/>
              </w:rPr>
              <w:t>35,910</w:t>
            </w:r>
          </w:p>
        </w:tc>
        <w:tc>
          <w:tcPr>
            <w:tcW w:w="1619" w:type="pct"/>
            <w:shd w:val="clear" w:color="auto" w:fill="auto"/>
            <w:tcMar>
              <w:left w:w="108" w:type="dxa"/>
              <w:right w:w="108" w:type="dxa"/>
            </w:tcMar>
          </w:tcPr>
          <w:p w14:paraId="36972442" w14:textId="77777777" w:rsidR="001E5006" w:rsidRPr="00F37622" w:rsidRDefault="001E5006" w:rsidP="00733737">
            <w:pPr>
              <w:pStyle w:val="TableText"/>
            </w:pPr>
            <w:r w:rsidRPr="00670818">
              <w:t xml:space="preserve">Assessment Category </w:t>
            </w:r>
            <w:r>
              <w:t>3</w:t>
            </w:r>
            <w:r w:rsidRPr="00670818">
              <w:t xml:space="preserve"> Permit application</w:t>
            </w:r>
          </w:p>
        </w:tc>
        <w:tc>
          <w:tcPr>
            <w:tcW w:w="760" w:type="pct"/>
            <w:shd w:val="clear" w:color="auto" w:fill="auto"/>
            <w:tcMar>
              <w:left w:w="108" w:type="dxa"/>
              <w:right w:w="108" w:type="dxa"/>
            </w:tcMar>
          </w:tcPr>
          <w:p w14:paraId="5F56D6FC" w14:textId="77777777" w:rsidR="001E5006" w:rsidRDefault="001E5006" w:rsidP="00733737">
            <w:pPr>
              <w:pStyle w:val="TableText"/>
            </w:pPr>
            <w:r w:rsidRPr="00670818">
              <w:t>Per application</w:t>
            </w:r>
          </w:p>
        </w:tc>
        <w:tc>
          <w:tcPr>
            <w:tcW w:w="355" w:type="pct"/>
            <w:shd w:val="clear" w:color="auto" w:fill="auto"/>
            <w:tcMar>
              <w:left w:w="108" w:type="dxa"/>
              <w:right w:w="108" w:type="dxa"/>
            </w:tcMar>
          </w:tcPr>
          <w:p w14:paraId="218267AD" w14:textId="77777777" w:rsidR="001E5006" w:rsidRDefault="001E5006" w:rsidP="00733737">
            <w:pPr>
              <w:pStyle w:val="TableText"/>
              <w:jc w:val="right"/>
            </w:pPr>
            <w:r>
              <w:t>315</w:t>
            </w:r>
          </w:p>
        </w:tc>
        <w:tc>
          <w:tcPr>
            <w:tcW w:w="500" w:type="pct"/>
            <w:shd w:val="clear" w:color="auto" w:fill="auto"/>
            <w:tcMar>
              <w:left w:w="108" w:type="dxa"/>
              <w:right w:w="108" w:type="dxa"/>
            </w:tcMar>
          </w:tcPr>
          <w:p w14:paraId="22D0216E" w14:textId="77777777" w:rsidR="001E5006" w:rsidRDefault="001E5006" w:rsidP="00733737">
            <w:pPr>
              <w:pStyle w:val="TableText"/>
              <w:jc w:val="right"/>
            </w:pPr>
            <w:r>
              <w:t>114</w:t>
            </w:r>
          </w:p>
        </w:tc>
        <w:tc>
          <w:tcPr>
            <w:tcW w:w="500" w:type="pct"/>
            <w:shd w:val="clear" w:color="auto" w:fill="auto"/>
            <w:tcMar>
              <w:left w:w="108" w:type="dxa"/>
              <w:right w:w="108" w:type="dxa"/>
            </w:tcMar>
          </w:tcPr>
          <w:p w14:paraId="259F3AAD" w14:textId="77777777" w:rsidR="001E5006" w:rsidRDefault="001E5006" w:rsidP="00733737">
            <w:pPr>
              <w:pStyle w:val="TableText"/>
              <w:jc w:val="right"/>
            </w:pPr>
            <w:r>
              <w:t>35,910</w:t>
            </w:r>
          </w:p>
        </w:tc>
      </w:tr>
      <w:tr w:rsidR="001E5006" w14:paraId="4771B3BB" w14:textId="77777777" w:rsidTr="00FF2F78">
        <w:tc>
          <w:tcPr>
            <w:tcW w:w="810" w:type="pct"/>
            <w:vMerge/>
            <w:tcMar>
              <w:left w:w="108" w:type="dxa"/>
              <w:right w:w="108" w:type="dxa"/>
            </w:tcMar>
          </w:tcPr>
          <w:p w14:paraId="136FB80A" w14:textId="77777777" w:rsidR="001E5006" w:rsidRPr="009213D8" w:rsidRDefault="001E5006" w:rsidP="00733737">
            <w:pPr>
              <w:pStyle w:val="TableText"/>
            </w:pPr>
          </w:p>
        </w:tc>
        <w:tc>
          <w:tcPr>
            <w:tcW w:w="456" w:type="pct"/>
            <w:shd w:val="clear" w:color="auto" w:fill="auto"/>
            <w:tcMar>
              <w:left w:w="108" w:type="dxa"/>
              <w:right w:w="108" w:type="dxa"/>
            </w:tcMar>
          </w:tcPr>
          <w:p w14:paraId="3FF42050" w14:textId="77777777" w:rsidR="001E5006" w:rsidRPr="00A10BE3" w:rsidRDefault="001E5006" w:rsidP="00AD2CA4">
            <w:pPr>
              <w:pStyle w:val="TableText"/>
              <w:jc w:val="right"/>
              <w:rPr>
                <w:rFonts w:cstheme="minorHAnsi"/>
              </w:rPr>
            </w:pPr>
            <w:r w:rsidRPr="00A10BE3">
              <w:rPr>
                <w:rFonts w:cstheme="minorHAnsi"/>
              </w:rPr>
              <w:t>3,731,970</w:t>
            </w:r>
          </w:p>
        </w:tc>
        <w:tc>
          <w:tcPr>
            <w:tcW w:w="1619" w:type="pct"/>
            <w:shd w:val="clear" w:color="auto" w:fill="auto"/>
            <w:tcMar>
              <w:left w:w="108" w:type="dxa"/>
              <w:right w:w="108" w:type="dxa"/>
            </w:tcMar>
          </w:tcPr>
          <w:p w14:paraId="13887E3F" w14:textId="77777777" w:rsidR="001E5006" w:rsidRPr="00F37622" w:rsidRDefault="001E5006" w:rsidP="00733737">
            <w:pPr>
              <w:pStyle w:val="TableText"/>
            </w:pPr>
            <w:r w:rsidRPr="00670818">
              <w:t xml:space="preserve">Assessment Category </w:t>
            </w:r>
            <w:r>
              <w:t>4</w:t>
            </w:r>
            <w:r w:rsidRPr="00670818">
              <w:t xml:space="preserve"> Permit application</w:t>
            </w:r>
          </w:p>
        </w:tc>
        <w:tc>
          <w:tcPr>
            <w:tcW w:w="760" w:type="pct"/>
            <w:shd w:val="clear" w:color="auto" w:fill="auto"/>
            <w:tcMar>
              <w:left w:w="108" w:type="dxa"/>
              <w:right w:w="108" w:type="dxa"/>
            </w:tcMar>
          </w:tcPr>
          <w:p w14:paraId="766000EA" w14:textId="77777777" w:rsidR="001E5006" w:rsidRDefault="001E5006" w:rsidP="00733737">
            <w:pPr>
              <w:pStyle w:val="TableText"/>
            </w:pPr>
            <w:r w:rsidRPr="00670818">
              <w:t>Per application</w:t>
            </w:r>
          </w:p>
        </w:tc>
        <w:tc>
          <w:tcPr>
            <w:tcW w:w="355" w:type="pct"/>
            <w:shd w:val="clear" w:color="auto" w:fill="auto"/>
            <w:tcMar>
              <w:left w:w="108" w:type="dxa"/>
              <w:right w:w="108" w:type="dxa"/>
            </w:tcMar>
          </w:tcPr>
          <w:p w14:paraId="5C0FFC87" w14:textId="77777777" w:rsidR="001E5006" w:rsidRDefault="001E5006" w:rsidP="00733737">
            <w:pPr>
              <w:pStyle w:val="TableText"/>
              <w:jc w:val="right"/>
            </w:pPr>
            <w:r>
              <w:t>473</w:t>
            </w:r>
          </w:p>
        </w:tc>
        <w:tc>
          <w:tcPr>
            <w:tcW w:w="500" w:type="pct"/>
            <w:shd w:val="clear" w:color="auto" w:fill="auto"/>
            <w:tcMar>
              <w:left w:w="108" w:type="dxa"/>
              <w:right w:w="108" w:type="dxa"/>
            </w:tcMar>
          </w:tcPr>
          <w:p w14:paraId="6C57BA0E" w14:textId="77777777" w:rsidR="001E5006" w:rsidRDefault="001E5006" w:rsidP="00733737">
            <w:pPr>
              <w:pStyle w:val="TableText"/>
              <w:jc w:val="right"/>
            </w:pPr>
            <w:r>
              <w:t>7,890</w:t>
            </w:r>
          </w:p>
        </w:tc>
        <w:tc>
          <w:tcPr>
            <w:tcW w:w="500" w:type="pct"/>
            <w:shd w:val="clear" w:color="auto" w:fill="auto"/>
            <w:tcMar>
              <w:left w:w="108" w:type="dxa"/>
              <w:right w:w="108" w:type="dxa"/>
            </w:tcMar>
          </w:tcPr>
          <w:p w14:paraId="7C89A451" w14:textId="77777777" w:rsidR="001E5006" w:rsidRDefault="001E5006" w:rsidP="00733737">
            <w:pPr>
              <w:pStyle w:val="TableText"/>
              <w:jc w:val="right"/>
            </w:pPr>
            <w:r>
              <w:t>3,731,970</w:t>
            </w:r>
          </w:p>
        </w:tc>
      </w:tr>
      <w:tr w:rsidR="001E5006" w14:paraId="0E759DEE" w14:textId="77777777" w:rsidTr="00FF2F78">
        <w:tc>
          <w:tcPr>
            <w:tcW w:w="810" w:type="pct"/>
            <w:vMerge/>
            <w:tcMar>
              <w:left w:w="108" w:type="dxa"/>
              <w:right w:w="108" w:type="dxa"/>
            </w:tcMar>
          </w:tcPr>
          <w:p w14:paraId="7008F3F5" w14:textId="77777777" w:rsidR="001E5006" w:rsidRPr="009213D8" w:rsidRDefault="001E5006" w:rsidP="00733737">
            <w:pPr>
              <w:pStyle w:val="TableText"/>
            </w:pPr>
          </w:p>
        </w:tc>
        <w:tc>
          <w:tcPr>
            <w:tcW w:w="456" w:type="pct"/>
            <w:shd w:val="clear" w:color="auto" w:fill="auto"/>
            <w:tcMar>
              <w:left w:w="108" w:type="dxa"/>
              <w:right w:w="108" w:type="dxa"/>
            </w:tcMar>
          </w:tcPr>
          <w:p w14:paraId="2283F4D8" w14:textId="77777777" w:rsidR="001E5006" w:rsidRPr="00A10BE3" w:rsidRDefault="001E5006" w:rsidP="00AD2CA4">
            <w:pPr>
              <w:pStyle w:val="TableText"/>
              <w:jc w:val="right"/>
              <w:rPr>
                <w:rFonts w:cstheme="minorHAnsi"/>
              </w:rPr>
            </w:pPr>
            <w:r w:rsidRPr="00A10BE3">
              <w:rPr>
                <w:rFonts w:cstheme="minorHAnsi"/>
              </w:rPr>
              <w:t>180,466</w:t>
            </w:r>
          </w:p>
        </w:tc>
        <w:tc>
          <w:tcPr>
            <w:tcW w:w="1619" w:type="pct"/>
            <w:shd w:val="clear" w:color="auto" w:fill="auto"/>
            <w:tcMar>
              <w:left w:w="108" w:type="dxa"/>
              <w:right w:w="108" w:type="dxa"/>
            </w:tcMar>
          </w:tcPr>
          <w:p w14:paraId="3B54B93E" w14:textId="77777777" w:rsidR="001E5006" w:rsidRPr="00670818" w:rsidRDefault="001E5006" w:rsidP="00733737">
            <w:pPr>
              <w:pStyle w:val="TableText"/>
            </w:pPr>
            <w:r w:rsidRPr="00670818">
              <w:t xml:space="preserve">Assessment Category </w:t>
            </w:r>
            <w:r>
              <w:t>5</w:t>
            </w:r>
            <w:r w:rsidRPr="00670818">
              <w:t xml:space="preserve"> Permit application</w:t>
            </w:r>
          </w:p>
        </w:tc>
        <w:tc>
          <w:tcPr>
            <w:tcW w:w="760" w:type="pct"/>
            <w:shd w:val="clear" w:color="auto" w:fill="auto"/>
            <w:tcMar>
              <w:left w:w="108" w:type="dxa"/>
              <w:right w:w="108" w:type="dxa"/>
            </w:tcMar>
          </w:tcPr>
          <w:p w14:paraId="3C5350E5" w14:textId="77777777" w:rsidR="001E5006" w:rsidRPr="00670818" w:rsidRDefault="001E5006" w:rsidP="00733737">
            <w:pPr>
              <w:pStyle w:val="TableText"/>
            </w:pPr>
            <w:r w:rsidRPr="00670818">
              <w:t>Per application</w:t>
            </w:r>
          </w:p>
        </w:tc>
        <w:tc>
          <w:tcPr>
            <w:tcW w:w="355" w:type="pct"/>
            <w:shd w:val="clear" w:color="auto" w:fill="auto"/>
            <w:tcMar>
              <w:left w:w="108" w:type="dxa"/>
              <w:right w:w="108" w:type="dxa"/>
            </w:tcMar>
          </w:tcPr>
          <w:p w14:paraId="63534512" w14:textId="77777777" w:rsidR="001E5006" w:rsidRDefault="001E5006" w:rsidP="00733737">
            <w:pPr>
              <w:pStyle w:val="TableText"/>
              <w:jc w:val="right"/>
            </w:pPr>
            <w:r>
              <w:t>631</w:t>
            </w:r>
          </w:p>
        </w:tc>
        <w:tc>
          <w:tcPr>
            <w:tcW w:w="500" w:type="pct"/>
            <w:shd w:val="clear" w:color="auto" w:fill="auto"/>
            <w:tcMar>
              <w:left w:w="108" w:type="dxa"/>
              <w:right w:w="108" w:type="dxa"/>
            </w:tcMar>
          </w:tcPr>
          <w:p w14:paraId="0C8DA240" w14:textId="77777777" w:rsidR="001E5006" w:rsidRDefault="001E5006" w:rsidP="00733737">
            <w:pPr>
              <w:pStyle w:val="TableText"/>
              <w:jc w:val="right"/>
            </w:pPr>
            <w:r>
              <w:t>286</w:t>
            </w:r>
          </w:p>
        </w:tc>
        <w:tc>
          <w:tcPr>
            <w:tcW w:w="500" w:type="pct"/>
            <w:shd w:val="clear" w:color="auto" w:fill="auto"/>
            <w:tcMar>
              <w:left w:w="108" w:type="dxa"/>
              <w:right w:w="108" w:type="dxa"/>
            </w:tcMar>
          </w:tcPr>
          <w:p w14:paraId="30963B81" w14:textId="77777777" w:rsidR="001E5006" w:rsidRDefault="001E5006" w:rsidP="00733737">
            <w:pPr>
              <w:pStyle w:val="TableText"/>
              <w:jc w:val="right"/>
            </w:pPr>
            <w:r>
              <w:t>180,466</w:t>
            </w:r>
          </w:p>
        </w:tc>
      </w:tr>
      <w:tr w:rsidR="001E5006" w14:paraId="35AAAB98" w14:textId="77777777" w:rsidTr="00FF2F78">
        <w:tc>
          <w:tcPr>
            <w:tcW w:w="810" w:type="pct"/>
            <w:vMerge/>
            <w:tcMar>
              <w:left w:w="108" w:type="dxa"/>
              <w:right w:w="108" w:type="dxa"/>
            </w:tcMar>
          </w:tcPr>
          <w:p w14:paraId="513873AC" w14:textId="77777777" w:rsidR="001E5006" w:rsidRPr="009213D8" w:rsidRDefault="001E5006" w:rsidP="00733737">
            <w:pPr>
              <w:pStyle w:val="TableText"/>
            </w:pPr>
          </w:p>
        </w:tc>
        <w:tc>
          <w:tcPr>
            <w:tcW w:w="456" w:type="pct"/>
            <w:shd w:val="clear" w:color="auto" w:fill="auto"/>
            <w:tcMar>
              <w:left w:w="108" w:type="dxa"/>
              <w:right w:w="108" w:type="dxa"/>
            </w:tcMar>
          </w:tcPr>
          <w:p w14:paraId="7DBA80DF" w14:textId="77777777" w:rsidR="001E5006" w:rsidRPr="00A10BE3" w:rsidRDefault="001E5006" w:rsidP="00AD2CA4">
            <w:pPr>
              <w:pStyle w:val="TableText"/>
              <w:jc w:val="right"/>
              <w:rPr>
                <w:rFonts w:cstheme="minorHAnsi"/>
              </w:rPr>
            </w:pPr>
            <w:r w:rsidRPr="00A10BE3">
              <w:rPr>
                <w:rFonts w:cstheme="minorHAnsi"/>
              </w:rPr>
              <w:t>87,440</w:t>
            </w:r>
          </w:p>
        </w:tc>
        <w:tc>
          <w:tcPr>
            <w:tcW w:w="1619" w:type="pct"/>
            <w:shd w:val="clear" w:color="auto" w:fill="auto"/>
            <w:tcMar>
              <w:left w:w="108" w:type="dxa"/>
              <w:right w:w="108" w:type="dxa"/>
            </w:tcMar>
          </w:tcPr>
          <w:p w14:paraId="76EEE0B9" w14:textId="77777777" w:rsidR="001E5006" w:rsidRPr="00670818" w:rsidRDefault="001E5006" w:rsidP="00733737">
            <w:pPr>
              <w:pStyle w:val="TableText"/>
            </w:pPr>
            <w:r>
              <w:t>Assessment of a permit application not completed within the initial assessment period for the application in ordinary hours</w:t>
            </w:r>
          </w:p>
        </w:tc>
        <w:tc>
          <w:tcPr>
            <w:tcW w:w="760" w:type="pct"/>
            <w:shd w:val="clear" w:color="auto" w:fill="auto"/>
            <w:tcMar>
              <w:left w:w="108" w:type="dxa"/>
              <w:right w:w="108" w:type="dxa"/>
            </w:tcMar>
          </w:tcPr>
          <w:p w14:paraId="453000D5" w14:textId="26CE4382" w:rsidR="001E5006" w:rsidRPr="00670818" w:rsidRDefault="001E5006" w:rsidP="00733737">
            <w:pPr>
              <w:pStyle w:val="TableText"/>
            </w:pPr>
            <w:r>
              <w:t>Pe</w:t>
            </w:r>
            <w:r w:rsidR="005E3E93">
              <w:t>r</w:t>
            </w:r>
            <w:r>
              <w:t xml:space="preserve"> 15 minutes</w:t>
            </w:r>
          </w:p>
        </w:tc>
        <w:tc>
          <w:tcPr>
            <w:tcW w:w="355" w:type="pct"/>
            <w:shd w:val="clear" w:color="auto" w:fill="auto"/>
            <w:tcMar>
              <w:left w:w="108" w:type="dxa"/>
              <w:right w:w="108" w:type="dxa"/>
            </w:tcMar>
          </w:tcPr>
          <w:p w14:paraId="5D9CCD4F" w14:textId="77777777" w:rsidR="001E5006" w:rsidRDefault="001E5006" w:rsidP="00733737">
            <w:pPr>
              <w:pStyle w:val="TableText"/>
              <w:jc w:val="right"/>
            </w:pPr>
            <w:r>
              <w:t>40</w:t>
            </w:r>
          </w:p>
        </w:tc>
        <w:tc>
          <w:tcPr>
            <w:tcW w:w="500" w:type="pct"/>
            <w:shd w:val="clear" w:color="auto" w:fill="auto"/>
            <w:tcMar>
              <w:left w:w="108" w:type="dxa"/>
              <w:right w:w="108" w:type="dxa"/>
            </w:tcMar>
          </w:tcPr>
          <w:p w14:paraId="637D390C" w14:textId="77777777" w:rsidR="001E5006" w:rsidRDefault="001E5006" w:rsidP="00733737">
            <w:pPr>
              <w:pStyle w:val="TableText"/>
              <w:jc w:val="right"/>
            </w:pPr>
            <w:r>
              <w:t>2,186</w:t>
            </w:r>
          </w:p>
        </w:tc>
        <w:tc>
          <w:tcPr>
            <w:tcW w:w="500" w:type="pct"/>
            <w:shd w:val="clear" w:color="auto" w:fill="auto"/>
            <w:tcMar>
              <w:left w:w="108" w:type="dxa"/>
              <w:right w:w="108" w:type="dxa"/>
            </w:tcMar>
          </w:tcPr>
          <w:p w14:paraId="56026A08" w14:textId="77777777" w:rsidR="001E5006" w:rsidRDefault="001E5006" w:rsidP="00733737">
            <w:pPr>
              <w:pStyle w:val="TableText"/>
              <w:jc w:val="right"/>
            </w:pPr>
            <w:r>
              <w:t>87,440</w:t>
            </w:r>
          </w:p>
        </w:tc>
      </w:tr>
      <w:tr w:rsidR="001E5006" w14:paraId="1349A7E5" w14:textId="77777777" w:rsidTr="00FF2F78">
        <w:tc>
          <w:tcPr>
            <w:tcW w:w="810" w:type="pct"/>
            <w:vMerge/>
            <w:tcMar>
              <w:left w:w="108" w:type="dxa"/>
              <w:right w:w="108" w:type="dxa"/>
            </w:tcMar>
          </w:tcPr>
          <w:p w14:paraId="6F85B544" w14:textId="77777777" w:rsidR="001E5006" w:rsidRPr="009213D8" w:rsidRDefault="001E5006" w:rsidP="00733737">
            <w:pPr>
              <w:pStyle w:val="TableText"/>
            </w:pPr>
          </w:p>
        </w:tc>
        <w:tc>
          <w:tcPr>
            <w:tcW w:w="456" w:type="pct"/>
            <w:shd w:val="clear" w:color="auto" w:fill="auto"/>
            <w:tcMar>
              <w:left w:w="108" w:type="dxa"/>
              <w:right w:w="108" w:type="dxa"/>
            </w:tcMar>
          </w:tcPr>
          <w:p w14:paraId="7787E3BE" w14:textId="77777777" w:rsidR="001E5006" w:rsidRPr="00A10BE3" w:rsidRDefault="001E5006" w:rsidP="00AD2CA4">
            <w:pPr>
              <w:pStyle w:val="TableText"/>
              <w:jc w:val="right"/>
              <w:rPr>
                <w:rFonts w:cstheme="minorHAnsi"/>
              </w:rPr>
            </w:pPr>
            <w:r w:rsidRPr="00343E2E">
              <w:rPr>
                <w:rFonts w:cstheme="minorHAnsi"/>
              </w:rPr>
              <w:t>–</w:t>
            </w:r>
          </w:p>
        </w:tc>
        <w:tc>
          <w:tcPr>
            <w:tcW w:w="1619" w:type="pct"/>
            <w:shd w:val="clear" w:color="auto" w:fill="auto"/>
            <w:tcMar>
              <w:left w:w="108" w:type="dxa"/>
              <w:right w:w="108" w:type="dxa"/>
            </w:tcMar>
          </w:tcPr>
          <w:p w14:paraId="3338DB8C" w14:textId="77777777" w:rsidR="001E5006" w:rsidRDefault="001E5006" w:rsidP="00733737">
            <w:pPr>
              <w:pStyle w:val="TableText"/>
            </w:pPr>
            <w:r w:rsidRPr="00BB44CB">
              <w:t>Assessment of a permit application Category 1-5 provided on a weekday outside ordinary hours of duty</w:t>
            </w:r>
          </w:p>
        </w:tc>
        <w:tc>
          <w:tcPr>
            <w:tcW w:w="760" w:type="pct"/>
            <w:shd w:val="clear" w:color="auto" w:fill="auto"/>
            <w:tcMar>
              <w:left w:w="108" w:type="dxa"/>
              <w:right w:w="108" w:type="dxa"/>
            </w:tcMar>
          </w:tcPr>
          <w:p w14:paraId="274B5683" w14:textId="77777777" w:rsidR="001E5006" w:rsidRDefault="001E5006" w:rsidP="00733737">
            <w:pPr>
              <w:pStyle w:val="TableText"/>
            </w:pPr>
            <w:r>
              <w:t>Per 30 minutes</w:t>
            </w:r>
          </w:p>
        </w:tc>
        <w:tc>
          <w:tcPr>
            <w:tcW w:w="355" w:type="pct"/>
            <w:shd w:val="clear" w:color="auto" w:fill="auto"/>
            <w:tcMar>
              <w:left w:w="108" w:type="dxa"/>
              <w:right w:w="108" w:type="dxa"/>
            </w:tcMar>
          </w:tcPr>
          <w:p w14:paraId="1042B277" w14:textId="6D1D8839" w:rsidR="001E5006" w:rsidRDefault="0087054E" w:rsidP="00733737">
            <w:pPr>
              <w:pStyle w:val="TableText"/>
              <w:jc w:val="right"/>
            </w:pPr>
            <w:r>
              <w:t>38</w:t>
            </w:r>
          </w:p>
        </w:tc>
        <w:tc>
          <w:tcPr>
            <w:tcW w:w="500" w:type="pct"/>
            <w:shd w:val="clear" w:color="auto" w:fill="auto"/>
            <w:tcMar>
              <w:left w:w="108" w:type="dxa"/>
              <w:right w:w="108" w:type="dxa"/>
            </w:tcMar>
          </w:tcPr>
          <w:p w14:paraId="69C52EA8" w14:textId="77777777" w:rsidR="001E5006" w:rsidRDefault="001E5006" w:rsidP="00733737">
            <w:pPr>
              <w:pStyle w:val="TableText"/>
              <w:jc w:val="right"/>
            </w:pPr>
            <w:r w:rsidRPr="00452879">
              <w:rPr>
                <w:rFonts w:cstheme="minorHAnsi"/>
              </w:rPr>
              <w:t>–</w:t>
            </w:r>
          </w:p>
        </w:tc>
        <w:tc>
          <w:tcPr>
            <w:tcW w:w="500" w:type="pct"/>
            <w:shd w:val="clear" w:color="auto" w:fill="auto"/>
            <w:tcMar>
              <w:left w:w="108" w:type="dxa"/>
              <w:right w:w="108" w:type="dxa"/>
            </w:tcMar>
          </w:tcPr>
          <w:p w14:paraId="4C9BE269" w14:textId="77777777" w:rsidR="001E5006" w:rsidRDefault="001E5006" w:rsidP="00733737">
            <w:pPr>
              <w:pStyle w:val="TableText"/>
              <w:jc w:val="right"/>
            </w:pPr>
            <w:r w:rsidRPr="00452879">
              <w:rPr>
                <w:rFonts w:cstheme="minorHAnsi"/>
              </w:rPr>
              <w:t>–</w:t>
            </w:r>
          </w:p>
        </w:tc>
      </w:tr>
      <w:tr w:rsidR="001E5006" w14:paraId="274A1FBF" w14:textId="77777777" w:rsidTr="00FF2F78">
        <w:tc>
          <w:tcPr>
            <w:tcW w:w="810" w:type="pct"/>
            <w:vMerge/>
            <w:tcMar>
              <w:left w:w="108" w:type="dxa"/>
              <w:right w:w="108" w:type="dxa"/>
            </w:tcMar>
          </w:tcPr>
          <w:p w14:paraId="0BBAB630" w14:textId="77777777" w:rsidR="001E5006" w:rsidRPr="009213D8" w:rsidRDefault="001E5006" w:rsidP="00733737">
            <w:pPr>
              <w:pStyle w:val="TableText"/>
            </w:pPr>
          </w:p>
        </w:tc>
        <w:tc>
          <w:tcPr>
            <w:tcW w:w="456" w:type="pct"/>
            <w:shd w:val="clear" w:color="auto" w:fill="auto"/>
            <w:tcMar>
              <w:left w:w="108" w:type="dxa"/>
              <w:right w:w="108" w:type="dxa"/>
            </w:tcMar>
          </w:tcPr>
          <w:p w14:paraId="14EC198B" w14:textId="77777777" w:rsidR="001E5006" w:rsidRPr="00A10BE3" w:rsidRDefault="001E5006" w:rsidP="00AD2CA4">
            <w:pPr>
              <w:pStyle w:val="TableText"/>
              <w:jc w:val="right"/>
              <w:rPr>
                <w:rFonts w:cstheme="minorHAnsi"/>
              </w:rPr>
            </w:pPr>
            <w:r w:rsidRPr="00343E2E">
              <w:rPr>
                <w:rFonts w:cstheme="minorHAnsi"/>
              </w:rPr>
              <w:t>–</w:t>
            </w:r>
          </w:p>
        </w:tc>
        <w:tc>
          <w:tcPr>
            <w:tcW w:w="1619" w:type="pct"/>
            <w:shd w:val="clear" w:color="auto" w:fill="auto"/>
            <w:tcMar>
              <w:left w:w="108" w:type="dxa"/>
              <w:right w:w="108" w:type="dxa"/>
            </w:tcMar>
          </w:tcPr>
          <w:p w14:paraId="409CB5A0" w14:textId="77777777" w:rsidR="001E5006" w:rsidRPr="00BB44CB" w:rsidRDefault="001E5006" w:rsidP="00733737">
            <w:pPr>
              <w:pStyle w:val="TableText"/>
            </w:pPr>
            <w:r w:rsidRPr="00BB44CB">
              <w:t>Assessment of a permit application Category 1-5 provided on a weekday outside ordinary hours of duty</w:t>
            </w:r>
          </w:p>
        </w:tc>
        <w:tc>
          <w:tcPr>
            <w:tcW w:w="760" w:type="pct"/>
            <w:shd w:val="clear" w:color="auto" w:fill="auto"/>
            <w:tcMar>
              <w:left w:w="108" w:type="dxa"/>
              <w:right w:w="108" w:type="dxa"/>
            </w:tcMar>
          </w:tcPr>
          <w:p w14:paraId="56F08394" w14:textId="77777777" w:rsidR="001E5006" w:rsidRDefault="001E5006" w:rsidP="00733737">
            <w:pPr>
              <w:pStyle w:val="TableText"/>
            </w:pPr>
            <w:r>
              <w:t>Per 15 minutes</w:t>
            </w:r>
          </w:p>
        </w:tc>
        <w:tc>
          <w:tcPr>
            <w:tcW w:w="355" w:type="pct"/>
            <w:shd w:val="clear" w:color="auto" w:fill="auto"/>
            <w:tcMar>
              <w:left w:w="108" w:type="dxa"/>
              <w:right w:w="108" w:type="dxa"/>
            </w:tcMar>
          </w:tcPr>
          <w:p w14:paraId="63F4B767" w14:textId="11F7FC2F" w:rsidR="001E5006" w:rsidRDefault="0087054E" w:rsidP="00733737">
            <w:pPr>
              <w:pStyle w:val="TableText"/>
              <w:jc w:val="right"/>
            </w:pPr>
            <w:r>
              <w:t>19</w:t>
            </w:r>
          </w:p>
        </w:tc>
        <w:tc>
          <w:tcPr>
            <w:tcW w:w="500" w:type="pct"/>
            <w:shd w:val="clear" w:color="auto" w:fill="auto"/>
            <w:tcMar>
              <w:left w:w="108" w:type="dxa"/>
              <w:right w:w="108" w:type="dxa"/>
            </w:tcMar>
          </w:tcPr>
          <w:p w14:paraId="3E2CE72D" w14:textId="77777777" w:rsidR="001E5006" w:rsidRDefault="001E5006" w:rsidP="00733737">
            <w:pPr>
              <w:pStyle w:val="TableText"/>
              <w:jc w:val="right"/>
            </w:pPr>
            <w:r w:rsidRPr="00452879">
              <w:rPr>
                <w:rFonts w:cstheme="minorHAnsi"/>
              </w:rPr>
              <w:t>–</w:t>
            </w:r>
          </w:p>
        </w:tc>
        <w:tc>
          <w:tcPr>
            <w:tcW w:w="500" w:type="pct"/>
            <w:shd w:val="clear" w:color="auto" w:fill="auto"/>
            <w:tcMar>
              <w:left w:w="108" w:type="dxa"/>
              <w:right w:w="108" w:type="dxa"/>
            </w:tcMar>
          </w:tcPr>
          <w:p w14:paraId="5BAD6D62" w14:textId="77777777" w:rsidR="001E5006" w:rsidRDefault="001E5006" w:rsidP="00733737">
            <w:pPr>
              <w:pStyle w:val="TableText"/>
              <w:jc w:val="right"/>
            </w:pPr>
            <w:r w:rsidRPr="00452879">
              <w:rPr>
                <w:rFonts w:cstheme="minorHAnsi"/>
              </w:rPr>
              <w:t>–</w:t>
            </w:r>
          </w:p>
        </w:tc>
      </w:tr>
      <w:tr w:rsidR="001E5006" w14:paraId="6BF274C4" w14:textId="77777777" w:rsidTr="00FF2F78">
        <w:tc>
          <w:tcPr>
            <w:tcW w:w="810" w:type="pct"/>
            <w:vMerge/>
            <w:tcMar>
              <w:left w:w="108" w:type="dxa"/>
              <w:right w:w="108" w:type="dxa"/>
            </w:tcMar>
          </w:tcPr>
          <w:p w14:paraId="61B09F60" w14:textId="77777777" w:rsidR="001E5006" w:rsidRPr="009213D8" w:rsidRDefault="001E5006" w:rsidP="00733737">
            <w:pPr>
              <w:pStyle w:val="TableText"/>
            </w:pPr>
          </w:p>
        </w:tc>
        <w:tc>
          <w:tcPr>
            <w:tcW w:w="456" w:type="pct"/>
            <w:shd w:val="clear" w:color="auto" w:fill="auto"/>
            <w:tcMar>
              <w:left w:w="108" w:type="dxa"/>
              <w:right w:w="108" w:type="dxa"/>
            </w:tcMar>
          </w:tcPr>
          <w:p w14:paraId="4FDF2088" w14:textId="77777777" w:rsidR="001E5006" w:rsidRPr="00A10BE3" w:rsidRDefault="001E5006" w:rsidP="00AD2CA4">
            <w:pPr>
              <w:pStyle w:val="TableText"/>
              <w:jc w:val="right"/>
              <w:rPr>
                <w:rFonts w:cstheme="minorHAnsi"/>
              </w:rPr>
            </w:pPr>
            <w:r w:rsidRPr="00343E2E">
              <w:rPr>
                <w:rFonts w:cstheme="minorHAnsi"/>
              </w:rPr>
              <w:t>–</w:t>
            </w:r>
          </w:p>
        </w:tc>
        <w:tc>
          <w:tcPr>
            <w:tcW w:w="1619" w:type="pct"/>
            <w:shd w:val="clear" w:color="auto" w:fill="auto"/>
            <w:tcMar>
              <w:left w:w="108" w:type="dxa"/>
              <w:right w:w="108" w:type="dxa"/>
            </w:tcMar>
          </w:tcPr>
          <w:p w14:paraId="3DEFE882" w14:textId="14D2BED3" w:rsidR="001E5006" w:rsidRPr="005E3E93" w:rsidRDefault="001E5006" w:rsidP="00733737">
            <w:pPr>
              <w:pStyle w:val="TableText"/>
            </w:pPr>
            <w:r w:rsidRPr="005E3E93">
              <w:t>Assessment of a permit application Category 1-5 provided on a Saturday, Sunday or a Departmental holiday</w:t>
            </w:r>
          </w:p>
        </w:tc>
        <w:tc>
          <w:tcPr>
            <w:tcW w:w="760" w:type="pct"/>
            <w:shd w:val="clear" w:color="auto" w:fill="auto"/>
            <w:tcMar>
              <w:left w:w="108" w:type="dxa"/>
              <w:right w:w="108" w:type="dxa"/>
            </w:tcMar>
          </w:tcPr>
          <w:p w14:paraId="37B79AAB" w14:textId="77777777" w:rsidR="001E5006" w:rsidRDefault="001E5006" w:rsidP="00733737">
            <w:pPr>
              <w:pStyle w:val="TableText"/>
            </w:pPr>
            <w:r>
              <w:t>Per 30 minutes</w:t>
            </w:r>
          </w:p>
        </w:tc>
        <w:tc>
          <w:tcPr>
            <w:tcW w:w="355" w:type="pct"/>
            <w:shd w:val="clear" w:color="auto" w:fill="auto"/>
            <w:tcMar>
              <w:left w:w="108" w:type="dxa"/>
              <w:right w:w="108" w:type="dxa"/>
            </w:tcMar>
          </w:tcPr>
          <w:p w14:paraId="19B56AFD" w14:textId="6AC7F90C" w:rsidR="001E5006" w:rsidRDefault="0087054E" w:rsidP="00733737">
            <w:pPr>
              <w:pStyle w:val="TableText"/>
              <w:jc w:val="right"/>
            </w:pPr>
            <w:r>
              <w:t>50</w:t>
            </w:r>
          </w:p>
        </w:tc>
        <w:tc>
          <w:tcPr>
            <w:tcW w:w="500" w:type="pct"/>
            <w:shd w:val="clear" w:color="auto" w:fill="auto"/>
            <w:tcMar>
              <w:left w:w="108" w:type="dxa"/>
              <w:right w:w="108" w:type="dxa"/>
            </w:tcMar>
          </w:tcPr>
          <w:p w14:paraId="5FD62FB8" w14:textId="77777777" w:rsidR="001E5006" w:rsidRDefault="001E5006" w:rsidP="00733737">
            <w:pPr>
              <w:pStyle w:val="TableText"/>
              <w:jc w:val="right"/>
            </w:pPr>
            <w:r w:rsidRPr="00452879">
              <w:rPr>
                <w:rFonts w:cstheme="minorHAnsi"/>
              </w:rPr>
              <w:t>–</w:t>
            </w:r>
          </w:p>
        </w:tc>
        <w:tc>
          <w:tcPr>
            <w:tcW w:w="500" w:type="pct"/>
            <w:shd w:val="clear" w:color="auto" w:fill="auto"/>
            <w:tcMar>
              <w:left w:w="108" w:type="dxa"/>
              <w:right w:w="108" w:type="dxa"/>
            </w:tcMar>
          </w:tcPr>
          <w:p w14:paraId="36F18E72" w14:textId="77777777" w:rsidR="001E5006" w:rsidRDefault="001E5006" w:rsidP="00733737">
            <w:pPr>
              <w:pStyle w:val="TableText"/>
              <w:jc w:val="right"/>
            </w:pPr>
            <w:r w:rsidRPr="00452879">
              <w:rPr>
                <w:rFonts w:cstheme="minorHAnsi"/>
              </w:rPr>
              <w:t>–</w:t>
            </w:r>
          </w:p>
        </w:tc>
      </w:tr>
      <w:tr w:rsidR="001E5006" w14:paraId="2E38BF4B" w14:textId="77777777" w:rsidTr="00FF2F78">
        <w:tc>
          <w:tcPr>
            <w:tcW w:w="810" w:type="pct"/>
            <w:vMerge/>
            <w:tcMar>
              <w:left w:w="108" w:type="dxa"/>
              <w:right w:w="108" w:type="dxa"/>
            </w:tcMar>
          </w:tcPr>
          <w:p w14:paraId="4F767CBC" w14:textId="77777777" w:rsidR="001E5006" w:rsidRPr="009213D8" w:rsidRDefault="001E5006" w:rsidP="00733737">
            <w:pPr>
              <w:pStyle w:val="TableText"/>
            </w:pPr>
          </w:p>
        </w:tc>
        <w:tc>
          <w:tcPr>
            <w:tcW w:w="456" w:type="pct"/>
            <w:shd w:val="clear" w:color="auto" w:fill="auto"/>
            <w:tcMar>
              <w:left w:w="108" w:type="dxa"/>
              <w:right w:w="108" w:type="dxa"/>
            </w:tcMar>
          </w:tcPr>
          <w:p w14:paraId="0F9C2A1E" w14:textId="77777777" w:rsidR="001E5006" w:rsidRPr="00A10BE3" w:rsidRDefault="001E5006" w:rsidP="00AD2CA4">
            <w:pPr>
              <w:pStyle w:val="TableText"/>
              <w:jc w:val="right"/>
              <w:rPr>
                <w:rFonts w:cstheme="minorHAnsi"/>
              </w:rPr>
            </w:pPr>
            <w:r w:rsidRPr="00343E2E">
              <w:rPr>
                <w:rFonts w:cstheme="minorHAnsi"/>
              </w:rPr>
              <w:t>–</w:t>
            </w:r>
          </w:p>
        </w:tc>
        <w:tc>
          <w:tcPr>
            <w:tcW w:w="1619" w:type="pct"/>
            <w:shd w:val="clear" w:color="auto" w:fill="auto"/>
            <w:tcMar>
              <w:left w:w="108" w:type="dxa"/>
              <w:right w:w="108" w:type="dxa"/>
            </w:tcMar>
          </w:tcPr>
          <w:p w14:paraId="75087100" w14:textId="2D3B5E11" w:rsidR="001E5006" w:rsidRPr="005E3E93" w:rsidRDefault="001E5006" w:rsidP="00733737">
            <w:pPr>
              <w:pStyle w:val="TableText"/>
            </w:pPr>
            <w:r w:rsidRPr="005E3E93">
              <w:t>Assessment of a permit application Category 1-5 provided on a Saturday, Sunday or a Departmental holiday</w:t>
            </w:r>
          </w:p>
        </w:tc>
        <w:tc>
          <w:tcPr>
            <w:tcW w:w="760" w:type="pct"/>
            <w:shd w:val="clear" w:color="auto" w:fill="auto"/>
            <w:tcMar>
              <w:left w:w="108" w:type="dxa"/>
              <w:right w:w="108" w:type="dxa"/>
            </w:tcMar>
          </w:tcPr>
          <w:p w14:paraId="5FE3FE5D" w14:textId="77777777" w:rsidR="001E5006" w:rsidRDefault="001E5006" w:rsidP="00733737">
            <w:pPr>
              <w:pStyle w:val="TableText"/>
            </w:pPr>
            <w:r>
              <w:t>Per 15 minutes</w:t>
            </w:r>
          </w:p>
        </w:tc>
        <w:tc>
          <w:tcPr>
            <w:tcW w:w="355" w:type="pct"/>
            <w:shd w:val="clear" w:color="auto" w:fill="auto"/>
            <w:tcMar>
              <w:left w:w="108" w:type="dxa"/>
              <w:right w:w="108" w:type="dxa"/>
            </w:tcMar>
          </w:tcPr>
          <w:p w14:paraId="48A22F3E" w14:textId="5EFDEDF8" w:rsidR="001E5006" w:rsidRDefault="0087054E" w:rsidP="00733737">
            <w:pPr>
              <w:pStyle w:val="TableText"/>
              <w:jc w:val="right"/>
            </w:pPr>
            <w:r>
              <w:t>25</w:t>
            </w:r>
          </w:p>
        </w:tc>
        <w:tc>
          <w:tcPr>
            <w:tcW w:w="500" w:type="pct"/>
            <w:shd w:val="clear" w:color="auto" w:fill="auto"/>
            <w:tcMar>
              <w:left w:w="108" w:type="dxa"/>
              <w:right w:w="108" w:type="dxa"/>
            </w:tcMar>
          </w:tcPr>
          <w:p w14:paraId="10FB4839" w14:textId="77777777" w:rsidR="001E5006" w:rsidRDefault="001E5006" w:rsidP="00733737">
            <w:pPr>
              <w:pStyle w:val="TableText"/>
              <w:jc w:val="right"/>
            </w:pPr>
            <w:r w:rsidRPr="00452879">
              <w:rPr>
                <w:rFonts w:cstheme="minorHAnsi"/>
              </w:rPr>
              <w:t>–</w:t>
            </w:r>
          </w:p>
        </w:tc>
        <w:tc>
          <w:tcPr>
            <w:tcW w:w="500" w:type="pct"/>
            <w:shd w:val="clear" w:color="auto" w:fill="auto"/>
            <w:tcMar>
              <w:left w:w="108" w:type="dxa"/>
              <w:right w:w="108" w:type="dxa"/>
            </w:tcMar>
          </w:tcPr>
          <w:p w14:paraId="130E7F5D" w14:textId="77777777" w:rsidR="001E5006" w:rsidRDefault="001E5006" w:rsidP="00733737">
            <w:pPr>
              <w:pStyle w:val="TableText"/>
              <w:jc w:val="right"/>
            </w:pPr>
            <w:r w:rsidRPr="00452879">
              <w:rPr>
                <w:rFonts w:cstheme="minorHAnsi"/>
              </w:rPr>
              <w:t>–</w:t>
            </w:r>
          </w:p>
        </w:tc>
      </w:tr>
      <w:tr w:rsidR="001E5006" w:rsidRPr="00C32CCF" w14:paraId="0C728BD0" w14:textId="77777777" w:rsidTr="00FF2F78">
        <w:tc>
          <w:tcPr>
            <w:tcW w:w="810" w:type="pct"/>
            <w:vMerge/>
            <w:tcMar>
              <w:left w:w="108" w:type="dxa"/>
              <w:right w:w="108" w:type="dxa"/>
            </w:tcMar>
          </w:tcPr>
          <w:p w14:paraId="520F760A" w14:textId="77777777" w:rsidR="001E5006" w:rsidRPr="009213D8" w:rsidRDefault="001E5006" w:rsidP="00733737">
            <w:pPr>
              <w:pStyle w:val="TableText"/>
            </w:pPr>
          </w:p>
        </w:tc>
        <w:tc>
          <w:tcPr>
            <w:tcW w:w="456" w:type="pct"/>
            <w:shd w:val="clear" w:color="auto" w:fill="auto"/>
            <w:tcMar>
              <w:left w:w="108" w:type="dxa"/>
              <w:right w:w="108" w:type="dxa"/>
            </w:tcMar>
          </w:tcPr>
          <w:p w14:paraId="363036A6" w14:textId="77777777" w:rsidR="001E5006" w:rsidRPr="00A10BE3" w:rsidRDefault="001E5006" w:rsidP="00AD2CA4">
            <w:pPr>
              <w:pStyle w:val="TableText"/>
              <w:jc w:val="right"/>
              <w:rPr>
                <w:rFonts w:cstheme="minorHAnsi"/>
              </w:rPr>
            </w:pPr>
            <w:r w:rsidRPr="00A10BE3">
              <w:rPr>
                <w:rFonts w:cstheme="minorHAnsi"/>
              </w:rPr>
              <w:t>46,736,252</w:t>
            </w:r>
          </w:p>
        </w:tc>
        <w:tc>
          <w:tcPr>
            <w:tcW w:w="1619" w:type="pct"/>
            <w:shd w:val="clear" w:color="auto" w:fill="auto"/>
            <w:tcMar>
              <w:left w:w="108" w:type="dxa"/>
              <w:right w:w="108" w:type="dxa"/>
            </w:tcMar>
          </w:tcPr>
          <w:p w14:paraId="72AD500C" w14:textId="77777777" w:rsidR="001E5006" w:rsidRPr="009213D8" w:rsidRDefault="001E5006" w:rsidP="00733737">
            <w:pPr>
              <w:pStyle w:val="TableText"/>
            </w:pPr>
            <w:r w:rsidRPr="009213D8">
              <w:t>Out-of-office fee during ordinary hours of duty</w:t>
            </w:r>
          </w:p>
        </w:tc>
        <w:tc>
          <w:tcPr>
            <w:tcW w:w="760" w:type="pct"/>
            <w:shd w:val="clear" w:color="auto" w:fill="auto"/>
            <w:tcMar>
              <w:left w:w="108" w:type="dxa"/>
              <w:right w:w="108" w:type="dxa"/>
            </w:tcMar>
          </w:tcPr>
          <w:p w14:paraId="7DE4E314" w14:textId="77777777" w:rsidR="001E5006" w:rsidRPr="009213D8" w:rsidRDefault="001E5006" w:rsidP="00733737">
            <w:pPr>
              <w:pStyle w:val="TableText"/>
            </w:pPr>
            <w:r w:rsidRPr="009213D8">
              <w:t>Per 15 minutes</w:t>
            </w:r>
          </w:p>
        </w:tc>
        <w:tc>
          <w:tcPr>
            <w:tcW w:w="355" w:type="pct"/>
            <w:shd w:val="clear" w:color="auto" w:fill="auto"/>
            <w:tcMar>
              <w:left w:w="108" w:type="dxa"/>
              <w:right w:w="108" w:type="dxa"/>
            </w:tcMar>
          </w:tcPr>
          <w:p w14:paraId="50E866E2" w14:textId="77777777" w:rsidR="001E5006" w:rsidRPr="008A370F" w:rsidRDefault="001E5006" w:rsidP="00733737">
            <w:pPr>
              <w:pStyle w:val="TableText"/>
              <w:jc w:val="right"/>
            </w:pPr>
            <w:r w:rsidRPr="008A370F">
              <w:rPr>
                <w:rFonts w:ascii="Calibri" w:hAnsi="Calibri"/>
                <w:color w:val="000000"/>
                <w:szCs w:val="18"/>
              </w:rPr>
              <w:t>67</w:t>
            </w:r>
          </w:p>
        </w:tc>
        <w:tc>
          <w:tcPr>
            <w:tcW w:w="500" w:type="pct"/>
            <w:shd w:val="clear" w:color="auto" w:fill="auto"/>
            <w:tcMar>
              <w:left w:w="108" w:type="dxa"/>
              <w:right w:w="108" w:type="dxa"/>
            </w:tcMar>
          </w:tcPr>
          <w:p w14:paraId="7EBFC63D" w14:textId="77777777" w:rsidR="001E5006" w:rsidRPr="00C32CCF" w:rsidRDefault="001E5006" w:rsidP="00733737">
            <w:pPr>
              <w:pStyle w:val="TableText"/>
              <w:jc w:val="right"/>
              <w:rPr>
                <w:rFonts w:ascii="Calibri" w:hAnsi="Calibri"/>
                <w:color w:val="000000"/>
                <w:szCs w:val="18"/>
              </w:rPr>
            </w:pPr>
            <w:r>
              <w:rPr>
                <w:rFonts w:ascii="Calibri" w:hAnsi="Calibri"/>
                <w:color w:val="000000"/>
                <w:szCs w:val="18"/>
              </w:rPr>
              <w:t>697,556</w:t>
            </w:r>
          </w:p>
        </w:tc>
        <w:tc>
          <w:tcPr>
            <w:tcW w:w="500" w:type="pct"/>
            <w:shd w:val="clear" w:color="auto" w:fill="auto"/>
            <w:tcMar>
              <w:left w:w="108" w:type="dxa"/>
              <w:right w:w="108" w:type="dxa"/>
            </w:tcMar>
          </w:tcPr>
          <w:p w14:paraId="1E24FFB5" w14:textId="77777777" w:rsidR="001E5006" w:rsidRPr="00C32CCF" w:rsidRDefault="001E5006" w:rsidP="00733737">
            <w:pPr>
              <w:pStyle w:val="TableText"/>
              <w:jc w:val="right"/>
              <w:rPr>
                <w:highlight w:val="yellow"/>
              </w:rPr>
            </w:pPr>
            <w:r>
              <w:rPr>
                <w:rFonts w:ascii="Calibri" w:hAnsi="Calibri"/>
                <w:color w:val="000000"/>
                <w:szCs w:val="18"/>
              </w:rPr>
              <w:t>46,736,252</w:t>
            </w:r>
          </w:p>
        </w:tc>
      </w:tr>
      <w:tr w:rsidR="001E5006" w:rsidRPr="00C32CCF" w14:paraId="011ABD83" w14:textId="77777777" w:rsidTr="00FF2F78">
        <w:tc>
          <w:tcPr>
            <w:tcW w:w="810" w:type="pct"/>
            <w:vMerge/>
            <w:tcMar>
              <w:left w:w="108" w:type="dxa"/>
              <w:right w:w="108" w:type="dxa"/>
            </w:tcMar>
          </w:tcPr>
          <w:p w14:paraId="216A61DD" w14:textId="77777777" w:rsidR="001E5006" w:rsidRPr="009213D8" w:rsidRDefault="001E5006" w:rsidP="00733737">
            <w:pPr>
              <w:pStyle w:val="TableText"/>
            </w:pPr>
          </w:p>
        </w:tc>
        <w:tc>
          <w:tcPr>
            <w:tcW w:w="456" w:type="pct"/>
            <w:shd w:val="clear" w:color="auto" w:fill="auto"/>
            <w:tcMar>
              <w:left w:w="108" w:type="dxa"/>
              <w:right w:w="108" w:type="dxa"/>
            </w:tcMar>
          </w:tcPr>
          <w:p w14:paraId="093910B6" w14:textId="77777777" w:rsidR="001E5006" w:rsidRPr="00A10BE3" w:rsidRDefault="001E5006" w:rsidP="00AD2CA4">
            <w:pPr>
              <w:pStyle w:val="TableText"/>
              <w:jc w:val="right"/>
              <w:rPr>
                <w:rFonts w:cstheme="minorHAnsi"/>
              </w:rPr>
            </w:pPr>
            <w:r w:rsidRPr="00A10BE3">
              <w:rPr>
                <w:rFonts w:cstheme="minorHAnsi"/>
              </w:rPr>
              <w:t>662,718</w:t>
            </w:r>
          </w:p>
        </w:tc>
        <w:tc>
          <w:tcPr>
            <w:tcW w:w="1619" w:type="pct"/>
            <w:shd w:val="clear" w:color="auto" w:fill="auto"/>
            <w:tcMar>
              <w:left w:w="108" w:type="dxa"/>
              <w:right w:w="108" w:type="dxa"/>
            </w:tcMar>
          </w:tcPr>
          <w:p w14:paraId="6D42DD26" w14:textId="77777777" w:rsidR="001E5006" w:rsidRPr="009213D8" w:rsidRDefault="001E5006" w:rsidP="00733737">
            <w:pPr>
              <w:pStyle w:val="TableText"/>
            </w:pPr>
            <w:r w:rsidRPr="009213D8">
              <w:t xml:space="preserve">Out-of-office fee during ordinary hours of duty </w:t>
            </w:r>
          </w:p>
        </w:tc>
        <w:tc>
          <w:tcPr>
            <w:tcW w:w="760" w:type="pct"/>
            <w:shd w:val="clear" w:color="auto" w:fill="auto"/>
            <w:tcMar>
              <w:left w:w="108" w:type="dxa"/>
              <w:right w:w="108" w:type="dxa"/>
            </w:tcMar>
          </w:tcPr>
          <w:p w14:paraId="392ADC23" w14:textId="77777777" w:rsidR="001E5006" w:rsidRPr="009213D8" w:rsidRDefault="001E5006" w:rsidP="00733737">
            <w:pPr>
              <w:pStyle w:val="TableText"/>
            </w:pPr>
            <w:r w:rsidRPr="009213D8">
              <w:t>Daily</w:t>
            </w:r>
          </w:p>
        </w:tc>
        <w:tc>
          <w:tcPr>
            <w:tcW w:w="355" w:type="pct"/>
            <w:shd w:val="clear" w:color="auto" w:fill="auto"/>
            <w:tcMar>
              <w:left w:w="108" w:type="dxa"/>
              <w:right w:w="108" w:type="dxa"/>
            </w:tcMar>
          </w:tcPr>
          <w:p w14:paraId="3C4C02C2" w14:textId="77777777" w:rsidR="001E5006" w:rsidRPr="008A370F" w:rsidRDefault="001E5006" w:rsidP="00733737">
            <w:pPr>
              <w:pStyle w:val="TableText"/>
              <w:jc w:val="right"/>
            </w:pPr>
            <w:r w:rsidRPr="008A370F">
              <w:rPr>
                <w:rFonts w:ascii="Calibri" w:hAnsi="Calibri"/>
                <w:color w:val="000000"/>
                <w:szCs w:val="18"/>
              </w:rPr>
              <w:t>1,302</w:t>
            </w:r>
          </w:p>
        </w:tc>
        <w:tc>
          <w:tcPr>
            <w:tcW w:w="500" w:type="pct"/>
            <w:shd w:val="clear" w:color="auto" w:fill="auto"/>
            <w:tcMar>
              <w:left w:w="108" w:type="dxa"/>
              <w:right w:w="108" w:type="dxa"/>
            </w:tcMar>
          </w:tcPr>
          <w:p w14:paraId="4B12905C" w14:textId="77777777" w:rsidR="001E5006" w:rsidRPr="00C32CCF" w:rsidRDefault="001E5006" w:rsidP="00733737">
            <w:pPr>
              <w:pStyle w:val="TableText"/>
              <w:jc w:val="right"/>
              <w:rPr>
                <w:rFonts w:ascii="Calibri" w:hAnsi="Calibri"/>
                <w:color w:val="000000"/>
                <w:szCs w:val="18"/>
              </w:rPr>
            </w:pPr>
            <w:r>
              <w:rPr>
                <w:rFonts w:ascii="Calibri" w:hAnsi="Calibri"/>
                <w:color w:val="000000"/>
                <w:szCs w:val="18"/>
              </w:rPr>
              <w:t>509</w:t>
            </w:r>
          </w:p>
        </w:tc>
        <w:tc>
          <w:tcPr>
            <w:tcW w:w="500" w:type="pct"/>
            <w:shd w:val="clear" w:color="auto" w:fill="auto"/>
            <w:tcMar>
              <w:left w:w="108" w:type="dxa"/>
              <w:right w:w="108" w:type="dxa"/>
            </w:tcMar>
          </w:tcPr>
          <w:p w14:paraId="223908FE" w14:textId="77777777" w:rsidR="001E5006" w:rsidRPr="00C32CCF" w:rsidRDefault="001E5006" w:rsidP="00733737">
            <w:pPr>
              <w:pStyle w:val="TableText"/>
              <w:jc w:val="right"/>
              <w:rPr>
                <w:highlight w:val="yellow"/>
              </w:rPr>
            </w:pPr>
            <w:r>
              <w:rPr>
                <w:rFonts w:ascii="Calibri" w:hAnsi="Calibri"/>
                <w:color w:val="000000"/>
                <w:szCs w:val="18"/>
              </w:rPr>
              <w:t>662,718</w:t>
            </w:r>
          </w:p>
        </w:tc>
      </w:tr>
      <w:tr w:rsidR="001E5006" w:rsidRPr="00C32CCF" w14:paraId="31FFC5DA" w14:textId="77777777" w:rsidTr="00FF2F78">
        <w:tc>
          <w:tcPr>
            <w:tcW w:w="810" w:type="pct"/>
            <w:vMerge/>
            <w:tcMar>
              <w:left w:w="108" w:type="dxa"/>
              <w:right w:w="108" w:type="dxa"/>
            </w:tcMar>
          </w:tcPr>
          <w:p w14:paraId="79E4F7C5" w14:textId="77777777" w:rsidR="001E5006" w:rsidRPr="009213D8" w:rsidRDefault="001E5006" w:rsidP="00733737">
            <w:pPr>
              <w:pStyle w:val="TableText"/>
            </w:pPr>
          </w:p>
        </w:tc>
        <w:tc>
          <w:tcPr>
            <w:tcW w:w="456" w:type="pct"/>
            <w:shd w:val="clear" w:color="auto" w:fill="auto"/>
            <w:tcMar>
              <w:left w:w="108" w:type="dxa"/>
              <w:right w:w="108" w:type="dxa"/>
            </w:tcMar>
          </w:tcPr>
          <w:p w14:paraId="60022EB6" w14:textId="77777777" w:rsidR="001E5006" w:rsidRPr="00A10BE3" w:rsidRDefault="001E5006" w:rsidP="00AD2CA4">
            <w:pPr>
              <w:pStyle w:val="TableText"/>
              <w:jc w:val="right"/>
              <w:rPr>
                <w:rFonts w:cstheme="minorHAnsi"/>
              </w:rPr>
            </w:pPr>
            <w:r w:rsidRPr="00A10BE3">
              <w:rPr>
                <w:rFonts w:cstheme="minorHAnsi"/>
              </w:rPr>
              <w:t>7,395</w:t>
            </w:r>
          </w:p>
        </w:tc>
        <w:tc>
          <w:tcPr>
            <w:tcW w:w="1619" w:type="pct"/>
            <w:shd w:val="clear" w:color="auto" w:fill="auto"/>
            <w:tcMar>
              <w:left w:w="108" w:type="dxa"/>
              <w:right w:w="108" w:type="dxa"/>
            </w:tcMar>
          </w:tcPr>
          <w:p w14:paraId="4EC6E1F2" w14:textId="77777777" w:rsidR="001E5006" w:rsidRPr="005A660F" w:rsidRDefault="001E5006" w:rsidP="00733737">
            <w:pPr>
              <w:pStyle w:val="TableText"/>
            </w:pPr>
            <w:r w:rsidRPr="005A660F">
              <w:t>Out-of-office fee outside ordinary hours – weekday for continuous activity provided immediately before or after ordinary hours only</w:t>
            </w:r>
          </w:p>
        </w:tc>
        <w:tc>
          <w:tcPr>
            <w:tcW w:w="760" w:type="pct"/>
            <w:shd w:val="clear" w:color="auto" w:fill="auto"/>
            <w:tcMar>
              <w:left w:w="108" w:type="dxa"/>
              <w:right w:w="108" w:type="dxa"/>
            </w:tcMar>
          </w:tcPr>
          <w:p w14:paraId="3ED6D4FC" w14:textId="77777777" w:rsidR="001E5006" w:rsidRPr="009213D8" w:rsidRDefault="001E5006" w:rsidP="00733737">
            <w:pPr>
              <w:pStyle w:val="TableText"/>
              <w:rPr>
                <w:b/>
                <w:bCs/>
              </w:rPr>
            </w:pPr>
            <w:r w:rsidRPr="009213D8">
              <w:t>Per 15 minutes</w:t>
            </w:r>
          </w:p>
        </w:tc>
        <w:tc>
          <w:tcPr>
            <w:tcW w:w="355" w:type="pct"/>
            <w:shd w:val="clear" w:color="auto" w:fill="auto"/>
            <w:tcMar>
              <w:left w:w="108" w:type="dxa"/>
              <w:right w:w="108" w:type="dxa"/>
            </w:tcMar>
          </w:tcPr>
          <w:p w14:paraId="52B599BE" w14:textId="77777777" w:rsidR="001E5006" w:rsidRPr="008A370F" w:rsidRDefault="001E5006" w:rsidP="00733737">
            <w:pPr>
              <w:pStyle w:val="TableText"/>
              <w:jc w:val="right"/>
            </w:pPr>
            <w:r w:rsidRPr="008A370F">
              <w:rPr>
                <w:rFonts w:ascii="Calibri" w:hAnsi="Calibri"/>
                <w:color w:val="000000"/>
                <w:szCs w:val="18"/>
              </w:rPr>
              <w:t>85</w:t>
            </w:r>
          </w:p>
        </w:tc>
        <w:tc>
          <w:tcPr>
            <w:tcW w:w="500" w:type="pct"/>
            <w:shd w:val="clear" w:color="auto" w:fill="auto"/>
            <w:tcMar>
              <w:left w:w="108" w:type="dxa"/>
              <w:right w:w="108" w:type="dxa"/>
            </w:tcMar>
          </w:tcPr>
          <w:p w14:paraId="1BD7F1D5" w14:textId="77777777" w:rsidR="001E5006" w:rsidRPr="00C32CCF" w:rsidRDefault="001E5006" w:rsidP="00733737">
            <w:pPr>
              <w:pStyle w:val="TableText"/>
              <w:jc w:val="right"/>
              <w:rPr>
                <w:rFonts w:ascii="Calibri" w:hAnsi="Calibri"/>
                <w:color w:val="000000"/>
                <w:szCs w:val="18"/>
              </w:rPr>
            </w:pPr>
            <w:r>
              <w:rPr>
                <w:rFonts w:ascii="Calibri" w:hAnsi="Calibri"/>
                <w:color w:val="000000"/>
                <w:szCs w:val="18"/>
              </w:rPr>
              <w:t>87</w:t>
            </w:r>
          </w:p>
        </w:tc>
        <w:tc>
          <w:tcPr>
            <w:tcW w:w="500" w:type="pct"/>
            <w:shd w:val="clear" w:color="auto" w:fill="auto"/>
            <w:tcMar>
              <w:left w:w="108" w:type="dxa"/>
              <w:right w:w="108" w:type="dxa"/>
            </w:tcMar>
          </w:tcPr>
          <w:p w14:paraId="466529C2" w14:textId="77777777" w:rsidR="001E5006" w:rsidRPr="00C32CCF" w:rsidRDefault="001E5006" w:rsidP="00733737">
            <w:pPr>
              <w:pStyle w:val="TableText"/>
              <w:jc w:val="right"/>
              <w:rPr>
                <w:highlight w:val="yellow"/>
              </w:rPr>
            </w:pPr>
            <w:r>
              <w:rPr>
                <w:rFonts w:ascii="Calibri" w:hAnsi="Calibri"/>
                <w:color w:val="000000"/>
                <w:szCs w:val="18"/>
              </w:rPr>
              <w:t>7,395</w:t>
            </w:r>
          </w:p>
        </w:tc>
      </w:tr>
      <w:tr w:rsidR="001E5006" w:rsidRPr="00C32CCF" w14:paraId="3D2D694C" w14:textId="77777777" w:rsidTr="00FF2F78">
        <w:tc>
          <w:tcPr>
            <w:tcW w:w="810" w:type="pct"/>
            <w:vMerge/>
            <w:tcMar>
              <w:left w:w="108" w:type="dxa"/>
              <w:right w:w="108" w:type="dxa"/>
            </w:tcMar>
          </w:tcPr>
          <w:p w14:paraId="3C5615E3" w14:textId="77777777" w:rsidR="001E5006" w:rsidRPr="009213D8" w:rsidRDefault="001E5006" w:rsidP="00733737">
            <w:pPr>
              <w:pStyle w:val="TableText"/>
            </w:pPr>
          </w:p>
        </w:tc>
        <w:tc>
          <w:tcPr>
            <w:tcW w:w="456" w:type="pct"/>
            <w:shd w:val="clear" w:color="auto" w:fill="auto"/>
            <w:tcMar>
              <w:left w:w="108" w:type="dxa"/>
              <w:right w:w="108" w:type="dxa"/>
            </w:tcMar>
          </w:tcPr>
          <w:p w14:paraId="4D926933" w14:textId="77777777" w:rsidR="001E5006" w:rsidRPr="00A10BE3" w:rsidRDefault="001E5006" w:rsidP="00AD2CA4">
            <w:pPr>
              <w:pStyle w:val="TableText"/>
              <w:jc w:val="right"/>
              <w:rPr>
                <w:rFonts w:cstheme="minorHAnsi"/>
              </w:rPr>
            </w:pPr>
            <w:r w:rsidRPr="00A10BE3">
              <w:rPr>
                <w:rFonts w:cstheme="minorHAnsi"/>
              </w:rPr>
              <w:t>401,030</w:t>
            </w:r>
          </w:p>
        </w:tc>
        <w:tc>
          <w:tcPr>
            <w:tcW w:w="1619" w:type="pct"/>
            <w:shd w:val="clear" w:color="auto" w:fill="auto"/>
            <w:tcMar>
              <w:left w:w="108" w:type="dxa"/>
              <w:right w:w="108" w:type="dxa"/>
            </w:tcMar>
          </w:tcPr>
          <w:p w14:paraId="04DAAB2A" w14:textId="77777777" w:rsidR="001E5006" w:rsidRPr="005A660F" w:rsidRDefault="001E5006" w:rsidP="00733737">
            <w:pPr>
              <w:pStyle w:val="TableText"/>
            </w:pPr>
            <w:r w:rsidRPr="005A660F">
              <w:t>Out-of-office fee outside ordinary hours – weekday for non-continuous activity provided before or after ordinary hours only</w:t>
            </w:r>
          </w:p>
        </w:tc>
        <w:tc>
          <w:tcPr>
            <w:tcW w:w="760" w:type="pct"/>
            <w:shd w:val="clear" w:color="auto" w:fill="auto"/>
            <w:tcMar>
              <w:left w:w="108" w:type="dxa"/>
              <w:right w:w="108" w:type="dxa"/>
            </w:tcMar>
          </w:tcPr>
          <w:p w14:paraId="53E5115F" w14:textId="77777777" w:rsidR="001E5006" w:rsidRPr="009213D8" w:rsidRDefault="001E5006" w:rsidP="00733737">
            <w:pPr>
              <w:pStyle w:val="TableText"/>
            </w:pPr>
            <w:r w:rsidRPr="009213D8">
              <w:t>Per 30 minutes</w:t>
            </w:r>
          </w:p>
        </w:tc>
        <w:tc>
          <w:tcPr>
            <w:tcW w:w="355" w:type="pct"/>
            <w:shd w:val="clear" w:color="auto" w:fill="auto"/>
            <w:tcMar>
              <w:left w:w="108" w:type="dxa"/>
              <w:right w:w="108" w:type="dxa"/>
            </w:tcMar>
          </w:tcPr>
          <w:p w14:paraId="15D83C4F" w14:textId="77777777" w:rsidR="001E5006" w:rsidRPr="008A370F" w:rsidRDefault="001E5006" w:rsidP="00733737">
            <w:pPr>
              <w:pStyle w:val="TableText"/>
              <w:jc w:val="right"/>
            </w:pPr>
            <w:r w:rsidRPr="008A370F">
              <w:rPr>
                <w:rFonts w:ascii="Calibri" w:hAnsi="Calibri"/>
                <w:color w:val="000000"/>
                <w:szCs w:val="18"/>
              </w:rPr>
              <w:t>170</w:t>
            </w:r>
          </w:p>
        </w:tc>
        <w:tc>
          <w:tcPr>
            <w:tcW w:w="500" w:type="pct"/>
            <w:shd w:val="clear" w:color="auto" w:fill="auto"/>
            <w:tcMar>
              <w:left w:w="108" w:type="dxa"/>
              <w:right w:w="108" w:type="dxa"/>
            </w:tcMar>
          </w:tcPr>
          <w:p w14:paraId="238E7187" w14:textId="77777777" w:rsidR="001E5006" w:rsidRPr="00C32CCF" w:rsidRDefault="001E5006" w:rsidP="00733737">
            <w:pPr>
              <w:pStyle w:val="TableText"/>
              <w:jc w:val="right"/>
              <w:rPr>
                <w:rFonts w:ascii="Calibri" w:hAnsi="Calibri"/>
                <w:color w:val="000000"/>
                <w:szCs w:val="18"/>
              </w:rPr>
            </w:pPr>
            <w:r>
              <w:rPr>
                <w:rFonts w:ascii="Calibri" w:hAnsi="Calibri"/>
                <w:color w:val="000000"/>
                <w:szCs w:val="18"/>
              </w:rPr>
              <w:t>2,359</w:t>
            </w:r>
          </w:p>
        </w:tc>
        <w:tc>
          <w:tcPr>
            <w:tcW w:w="500" w:type="pct"/>
            <w:shd w:val="clear" w:color="auto" w:fill="auto"/>
            <w:tcMar>
              <w:left w:w="108" w:type="dxa"/>
              <w:right w:w="108" w:type="dxa"/>
            </w:tcMar>
          </w:tcPr>
          <w:p w14:paraId="2AA5FED1" w14:textId="77777777" w:rsidR="001E5006" w:rsidRPr="00C32CCF" w:rsidRDefault="001E5006" w:rsidP="00733737">
            <w:pPr>
              <w:pStyle w:val="TableText"/>
              <w:jc w:val="right"/>
              <w:rPr>
                <w:highlight w:val="yellow"/>
              </w:rPr>
            </w:pPr>
            <w:r>
              <w:rPr>
                <w:rFonts w:ascii="Calibri" w:hAnsi="Calibri"/>
                <w:color w:val="000000"/>
                <w:szCs w:val="18"/>
              </w:rPr>
              <w:t>401,030</w:t>
            </w:r>
          </w:p>
        </w:tc>
      </w:tr>
      <w:tr w:rsidR="001E5006" w:rsidRPr="00C32CCF" w14:paraId="4E602FFB" w14:textId="77777777" w:rsidTr="00FF2F78">
        <w:tc>
          <w:tcPr>
            <w:tcW w:w="810" w:type="pct"/>
            <w:vMerge/>
            <w:tcMar>
              <w:left w:w="108" w:type="dxa"/>
              <w:right w:w="108" w:type="dxa"/>
            </w:tcMar>
          </w:tcPr>
          <w:p w14:paraId="122D6C7E" w14:textId="77777777" w:rsidR="001E5006" w:rsidRPr="009213D8" w:rsidRDefault="001E5006" w:rsidP="00733737">
            <w:pPr>
              <w:pStyle w:val="TableText"/>
            </w:pPr>
          </w:p>
        </w:tc>
        <w:tc>
          <w:tcPr>
            <w:tcW w:w="456" w:type="pct"/>
            <w:shd w:val="clear" w:color="auto" w:fill="auto"/>
            <w:tcMar>
              <w:left w:w="108" w:type="dxa"/>
              <w:right w:w="108" w:type="dxa"/>
            </w:tcMar>
          </w:tcPr>
          <w:p w14:paraId="73A7D61E" w14:textId="77777777" w:rsidR="001E5006" w:rsidRPr="00A10BE3" w:rsidRDefault="001E5006" w:rsidP="00AD2CA4">
            <w:pPr>
              <w:pStyle w:val="TableText"/>
              <w:jc w:val="right"/>
              <w:rPr>
                <w:rFonts w:cstheme="minorHAnsi"/>
              </w:rPr>
            </w:pPr>
            <w:r w:rsidRPr="00A10BE3">
              <w:rPr>
                <w:rFonts w:cstheme="minorHAnsi"/>
              </w:rPr>
              <w:t>53,460</w:t>
            </w:r>
          </w:p>
        </w:tc>
        <w:tc>
          <w:tcPr>
            <w:tcW w:w="1619" w:type="pct"/>
            <w:shd w:val="clear" w:color="auto" w:fill="auto"/>
            <w:tcMar>
              <w:left w:w="108" w:type="dxa"/>
              <w:right w:w="108" w:type="dxa"/>
            </w:tcMar>
          </w:tcPr>
          <w:p w14:paraId="08CE2D85" w14:textId="77777777" w:rsidR="001E5006" w:rsidRPr="005A660F" w:rsidRDefault="001E5006" w:rsidP="00733737">
            <w:pPr>
              <w:pStyle w:val="TableText"/>
            </w:pPr>
            <w:r w:rsidRPr="005A660F">
              <w:t>Out-of-office fee outside ordinary hours – weekend or departmental holiday</w:t>
            </w:r>
          </w:p>
        </w:tc>
        <w:tc>
          <w:tcPr>
            <w:tcW w:w="760" w:type="pct"/>
            <w:shd w:val="clear" w:color="auto" w:fill="auto"/>
            <w:tcMar>
              <w:left w:w="108" w:type="dxa"/>
              <w:right w:w="108" w:type="dxa"/>
            </w:tcMar>
          </w:tcPr>
          <w:p w14:paraId="68B4FB17" w14:textId="77777777" w:rsidR="001E5006" w:rsidRPr="009213D8" w:rsidRDefault="001E5006" w:rsidP="00733737">
            <w:pPr>
              <w:pStyle w:val="TableText"/>
            </w:pPr>
            <w:r w:rsidRPr="009213D8">
              <w:t>Per 30 minutes</w:t>
            </w:r>
          </w:p>
        </w:tc>
        <w:tc>
          <w:tcPr>
            <w:tcW w:w="355" w:type="pct"/>
            <w:shd w:val="clear" w:color="auto" w:fill="auto"/>
            <w:tcMar>
              <w:left w:w="108" w:type="dxa"/>
              <w:right w:w="108" w:type="dxa"/>
            </w:tcMar>
          </w:tcPr>
          <w:p w14:paraId="02118EE8" w14:textId="77777777" w:rsidR="001E5006" w:rsidRPr="008A370F" w:rsidRDefault="001E5006" w:rsidP="00733737">
            <w:pPr>
              <w:pStyle w:val="TableText"/>
              <w:jc w:val="right"/>
            </w:pPr>
            <w:r w:rsidRPr="008A370F">
              <w:rPr>
                <w:rFonts w:ascii="Calibri" w:hAnsi="Calibri"/>
                <w:color w:val="000000"/>
                <w:szCs w:val="18"/>
              </w:rPr>
              <w:t>180</w:t>
            </w:r>
          </w:p>
        </w:tc>
        <w:tc>
          <w:tcPr>
            <w:tcW w:w="500" w:type="pct"/>
            <w:shd w:val="clear" w:color="auto" w:fill="auto"/>
            <w:tcMar>
              <w:left w:w="108" w:type="dxa"/>
              <w:right w:w="108" w:type="dxa"/>
            </w:tcMar>
          </w:tcPr>
          <w:p w14:paraId="76A3FCD2" w14:textId="77777777" w:rsidR="001E5006" w:rsidRPr="00C32CCF" w:rsidRDefault="001E5006" w:rsidP="00733737">
            <w:pPr>
              <w:pStyle w:val="TableText"/>
              <w:jc w:val="right"/>
              <w:rPr>
                <w:rFonts w:ascii="Calibri" w:hAnsi="Calibri"/>
                <w:color w:val="000000"/>
                <w:szCs w:val="18"/>
              </w:rPr>
            </w:pPr>
            <w:r>
              <w:rPr>
                <w:rFonts w:ascii="Calibri" w:hAnsi="Calibri"/>
                <w:color w:val="000000"/>
                <w:szCs w:val="18"/>
              </w:rPr>
              <w:t>297</w:t>
            </w:r>
          </w:p>
        </w:tc>
        <w:tc>
          <w:tcPr>
            <w:tcW w:w="500" w:type="pct"/>
            <w:shd w:val="clear" w:color="auto" w:fill="auto"/>
            <w:tcMar>
              <w:left w:w="108" w:type="dxa"/>
              <w:right w:w="108" w:type="dxa"/>
            </w:tcMar>
          </w:tcPr>
          <w:p w14:paraId="0C26FA62" w14:textId="77777777" w:rsidR="001E5006" w:rsidRPr="00C32CCF" w:rsidRDefault="001E5006" w:rsidP="00733737">
            <w:pPr>
              <w:pStyle w:val="TableText"/>
              <w:jc w:val="right"/>
              <w:rPr>
                <w:highlight w:val="yellow"/>
              </w:rPr>
            </w:pPr>
            <w:r>
              <w:rPr>
                <w:rFonts w:ascii="Calibri" w:hAnsi="Calibri"/>
                <w:color w:val="000000"/>
                <w:szCs w:val="18"/>
              </w:rPr>
              <w:t>53,460</w:t>
            </w:r>
          </w:p>
        </w:tc>
      </w:tr>
      <w:tr w:rsidR="001E5006" w:rsidRPr="00C32CCF" w14:paraId="4C9EDB9F" w14:textId="77777777" w:rsidTr="00FF2F78">
        <w:tc>
          <w:tcPr>
            <w:tcW w:w="810" w:type="pct"/>
            <w:vMerge/>
            <w:tcMar>
              <w:left w:w="108" w:type="dxa"/>
              <w:right w:w="108" w:type="dxa"/>
            </w:tcMar>
          </w:tcPr>
          <w:p w14:paraId="5B1D9ABB" w14:textId="77777777" w:rsidR="001E5006" w:rsidRPr="009213D8" w:rsidRDefault="001E5006" w:rsidP="00733737">
            <w:pPr>
              <w:pStyle w:val="TableText"/>
            </w:pPr>
          </w:p>
        </w:tc>
        <w:tc>
          <w:tcPr>
            <w:tcW w:w="456" w:type="pct"/>
            <w:shd w:val="clear" w:color="auto" w:fill="auto"/>
            <w:tcMar>
              <w:left w:w="108" w:type="dxa"/>
              <w:right w:w="108" w:type="dxa"/>
            </w:tcMar>
          </w:tcPr>
          <w:p w14:paraId="19C5DD04" w14:textId="77777777" w:rsidR="001E5006" w:rsidRPr="00A10BE3" w:rsidRDefault="001E5006" w:rsidP="00AD2CA4">
            <w:pPr>
              <w:pStyle w:val="TableText"/>
              <w:jc w:val="right"/>
              <w:rPr>
                <w:rFonts w:cstheme="minorHAnsi"/>
              </w:rPr>
            </w:pPr>
            <w:r w:rsidRPr="00A10BE3">
              <w:rPr>
                <w:rFonts w:cstheme="minorHAnsi"/>
              </w:rPr>
              <w:t>571,680</w:t>
            </w:r>
          </w:p>
        </w:tc>
        <w:tc>
          <w:tcPr>
            <w:tcW w:w="1619" w:type="pct"/>
            <w:shd w:val="clear" w:color="auto" w:fill="auto"/>
            <w:tcMar>
              <w:left w:w="108" w:type="dxa"/>
              <w:right w:w="108" w:type="dxa"/>
            </w:tcMar>
          </w:tcPr>
          <w:p w14:paraId="56BC9734" w14:textId="77777777" w:rsidR="001E5006" w:rsidRPr="005A660F" w:rsidRDefault="001E5006" w:rsidP="00733737">
            <w:pPr>
              <w:pStyle w:val="TableText"/>
            </w:pPr>
            <w:r w:rsidRPr="005A660F">
              <w:t>Out-of-office fee outside ordinary hours – weekend or departmental holiday after the first 30 minutes</w:t>
            </w:r>
          </w:p>
        </w:tc>
        <w:tc>
          <w:tcPr>
            <w:tcW w:w="760" w:type="pct"/>
            <w:shd w:val="clear" w:color="auto" w:fill="auto"/>
            <w:tcMar>
              <w:left w:w="108" w:type="dxa"/>
              <w:right w:w="108" w:type="dxa"/>
            </w:tcMar>
          </w:tcPr>
          <w:p w14:paraId="1C017AF0" w14:textId="77777777" w:rsidR="001E5006" w:rsidRPr="009213D8" w:rsidRDefault="001E5006" w:rsidP="00733737">
            <w:pPr>
              <w:pStyle w:val="TableText"/>
            </w:pPr>
            <w:r w:rsidRPr="009213D8">
              <w:t>Per 15 minutes</w:t>
            </w:r>
          </w:p>
        </w:tc>
        <w:tc>
          <w:tcPr>
            <w:tcW w:w="355" w:type="pct"/>
            <w:shd w:val="clear" w:color="auto" w:fill="auto"/>
            <w:tcMar>
              <w:left w:w="108" w:type="dxa"/>
              <w:right w:w="108" w:type="dxa"/>
            </w:tcMar>
          </w:tcPr>
          <w:p w14:paraId="7FD602E1" w14:textId="77777777" w:rsidR="001E5006" w:rsidRPr="008A370F" w:rsidRDefault="001E5006" w:rsidP="00733737">
            <w:pPr>
              <w:pStyle w:val="TableText"/>
              <w:jc w:val="right"/>
            </w:pPr>
            <w:r w:rsidRPr="008A370F">
              <w:rPr>
                <w:rFonts w:ascii="Calibri" w:hAnsi="Calibri"/>
                <w:color w:val="000000"/>
                <w:szCs w:val="18"/>
              </w:rPr>
              <w:t>90</w:t>
            </w:r>
          </w:p>
        </w:tc>
        <w:tc>
          <w:tcPr>
            <w:tcW w:w="500" w:type="pct"/>
            <w:shd w:val="clear" w:color="auto" w:fill="auto"/>
            <w:tcMar>
              <w:left w:w="108" w:type="dxa"/>
              <w:right w:w="108" w:type="dxa"/>
            </w:tcMar>
          </w:tcPr>
          <w:p w14:paraId="50396CB2" w14:textId="77777777" w:rsidR="001E5006" w:rsidRPr="00C32CCF" w:rsidRDefault="001E5006" w:rsidP="00733737">
            <w:pPr>
              <w:pStyle w:val="TableText"/>
              <w:jc w:val="right"/>
              <w:rPr>
                <w:rFonts w:ascii="Calibri" w:hAnsi="Calibri"/>
                <w:color w:val="000000"/>
                <w:szCs w:val="18"/>
              </w:rPr>
            </w:pPr>
            <w:r>
              <w:rPr>
                <w:rFonts w:ascii="Calibri" w:hAnsi="Calibri"/>
                <w:color w:val="000000"/>
                <w:szCs w:val="18"/>
              </w:rPr>
              <w:t>6,352</w:t>
            </w:r>
          </w:p>
        </w:tc>
        <w:tc>
          <w:tcPr>
            <w:tcW w:w="500" w:type="pct"/>
            <w:shd w:val="clear" w:color="auto" w:fill="auto"/>
            <w:tcMar>
              <w:left w:w="108" w:type="dxa"/>
              <w:right w:w="108" w:type="dxa"/>
            </w:tcMar>
          </w:tcPr>
          <w:p w14:paraId="460BC55A" w14:textId="77777777" w:rsidR="001E5006" w:rsidRPr="00C32CCF" w:rsidRDefault="001E5006" w:rsidP="00733737">
            <w:pPr>
              <w:pStyle w:val="TableText"/>
              <w:jc w:val="right"/>
              <w:rPr>
                <w:highlight w:val="yellow"/>
              </w:rPr>
            </w:pPr>
            <w:r>
              <w:rPr>
                <w:rFonts w:ascii="Calibri" w:hAnsi="Calibri"/>
                <w:color w:val="000000"/>
                <w:szCs w:val="18"/>
              </w:rPr>
              <w:t>571,680</w:t>
            </w:r>
          </w:p>
        </w:tc>
      </w:tr>
      <w:tr w:rsidR="001E5006" w:rsidRPr="00C32CCF" w14:paraId="25443FBB" w14:textId="77777777" w:rsidTr="00FF2F78">
        <w:tc>
          <w:tcPr>
            <w:tcW w:w="810" w:type="pct"/>
            <w:vMerge/>
            <w:tcMar>
              <w:left w:w="108" w:type="dxa"/>
              <w:right w:w="108" w:type="dxa"/>
            </w:tcMar>
          </w:tcPr>
          <w:p w14:paraId="055C3902" w14:textId="77777777" w:rsidR="001E5006" w:rsidRPr="009213D8" w:rsidRDefault="001E5006" w:rsidP="00733737">
            <w:pPr>
              <w:pStyle w:val="TableText"/>
            </w:pPr>
          </w:p>
        </w:tc>
        <w:tc>
          <w:tcPr>
            <w:tcW w:w="456" w:type="pct"/>
            <w:shd w:val="clear" w:color="auto" w:fill="auto"/>
            <w:tcMar>
              <w:left w:w="108" w:type="dxa"/>
              <w:right w:w="108" w:type="dxa"/>
            </w:tcMar>
          </w:tcPr>
          <w:p w14:paraId="3E03B7D3" w14:textId="77777777" w:rsidR="001E5006" w:rsidRPr="00A10BE3" w:rsidRDefault="001E5006" w:rsidP="00AD2CA4">
            <w:pPr>
              <w:pStyle w:val="TableText"/>
              <w:jc w:val="right"/>
              <w:rPr>
                <w:rFonts w:cstheme="minorHAnsi"/>
              </w:rPr>
            </w:pPr>
            <w:r w:rsidRPr="00A10BE3">
              <w:rPr>
                <w:rFonts w:cstheme="minorHAnsi"/>
              </w:rPr>
              <w:t>81,406</w:t>
            </w:r>
          </w:p>
        </w:tc>
        <w:tc>
          <w:tcPr>
            <w:tcW w:w="1619" w:type="pct"/>
            <w:shd w:val="clear" w:color="auto" w:fill="auto"/>
            <w:tcMar>
              <w:left w:w="108" w:type="dxa"/>
              <w:right w:w="108" w:type="dxa"/>
            </w:tcMar>
          </w:tcPr>
          <w:p w14:paraId="2FAFF90A" w14:textId="77777777" w:rsidR="001E5006" w:rsidRPr="005A660F" w:rsidRDefault="001E5006" w:rsidP="00733737">
            <w:pPr>
              <w:pStyle w:val="TableText"/>
            </w:pPr>
            <w:r>
              <w:t>Provision of consumable materials used in performing a diagnostic activity</w:t>
            </w:r>
          </w:p>
        </w:tc>
        <w:tc>
          <w:tcPr>
            <w:tcW w:w="760" w:type="pct"/>
            <w:shd w:val="clear" w:color="auto" w:fill="auto"/>
            <w:tcMar>
              <w:left w:w="108" w:type="dxa"/>
              <w:right w:w="108" w:type="dxa"/>
            </w:tcMar>
          </w:tcPr>
          <w:p w14:paraId="0CF1B0E1" w14:textId="77777777" w:rsidR="001E5006" w:rsidRPr="009213D8" w:rsidRDefault="001E5006" w:rsidP="00733737">
            <w:pPr>
              <w:pStyle w:val="TableText"/>
            </w:pPr>
            <w:r>
              <w:t>A fee equivalent to the cost of the consumable materials</w:t>
            </w:r>
          </w:p>
        </w:tc>
        <w:tc>
          <w:tcPr>
            <w:tcW w:w="355" w:type="pct"/>
            <w:shd w:val="clear" w:color="auto" w:fill="auto"/>
            <w:tcMar>
              <w:left w:w="108" w:type="dxa"/>
              <w:right w:w="108" w:type="dxa"/>
            </w:tcMar>
          </w:tcPr>
          <w:p w14:paraId="2F1B5CB7" w14:textId="77777777" w:rsidR="001E5006" w:rsidRPr="008A370F" w:rsidRDefault="001E5006" w:rsidP="00733737">
            <w:pPr>
              <w:pStyle w:val="TableText"/>
              <w:jc w:val="right"/>
              <w:rPr>
                <w:rFonts w:ascii="Calibri" w:hAnsi="Calibri"/>
                <w:color w:val="000000"/>
                <w:szCs w:val="18"/>
              </w:rPr>
            </w:pPr>
            <w:r>
              <w:rPr>
                <w:rFonts w:ascii="Calibri" w:hAnsi="Calibri"/>
                <w:color w:val="000000"/>
                <w:szCs w:val="18"/>
              </w:rPr>
              <w:t>At cost</w:t>
            </w:r>
          </w:p>
        </w:tc>
        <w:tc>
          <w:tcPr>
            <w:tcW w:w="500" w:type="pct"/>
            <w:shd w:val="clear" w:color="auto" w:fill="auto"/>
            <w:tcMar>
              <w:left w:w="108" w:type="dxa"/>
              <w:right w:w="108" w:type="dxa"/>
            </w:tcMar>
          </w:tcPr>
          <w:p w14:paraId="47C09C11" w14:textId="77777777" w:rsidR="001E5006" w:rsidRDefault="001E5006" w:rsidP="00733737">
            <w:pPr>
              <w:pStyle w:val="TableText"/>
              <w:jc w:val="right"/>
              <w:rPr>
                <w:rFonts w:ascii="Calibri" w:hAnsi="Calibri"/>
                <w:color w:val="000000"/>
                <w:szCs w:val="18"/>
              </w:rPr>
            </w:pPr>
            <w:r>
              <w:rPr>
                <w:rFonts w:ascii="Calibri" w:hAnsi="Calibri"/>
                <w:color w:val="000000"/>
                <w:szCs w:val="18"/>
              </w:rPr>
              <w:t>6,321</w:t>
            </w:r>
          </w:p>
        </w:tc>
        <w:tc>
          <w:tcPr>
            <w:tcW w:w="500" w:type="pct"/>
            <w:shd w:val="clear" w:color="auto" w:fill="auto"/>
            <w:tcMar>
              <w:left w:w="108" w:type="dxa"/>
              <w:right w:w="108" w:type="dxa"/>
            </w:tcMar>
          </w:tcPr>
          <w:p w14:paraId="43300BDF" w14:textId="77777777" w:rsidR="001E5006" w:rsidRDefault="001E5006" w:rsidP="00733737">
            <w:pPr>
              <w:pStyle w:val="TableText"/>
              <w:jc w:val="right"/>
              <w:rPr>
                <w:rFonts w:ascii="Calibri" w:hAnsi="Calibri"/>
                <w:color w:val="000000"/>
                <w:szCs w:val="18"/>
              </w:rPr>
            </w:pPr>
            <w:r>
              <w:rPr>
                <w:rFonts w:ascii="Calibri" w:hAnsi="Calibri"/>
                <w:color w:val="000000"/>
                <w:szCs w:val="18"/>
              </w:rPr>
              <w:t>81,406</w:t>
            </w:r>
          </w:p>
        </w:tc>
      </w:tr>
      <w:tr w:rsidR="001E5006" w:rsidRPr="00C32CCF" w14:paraId="26546B8A" w14:textId="77777777" w:rsidTr="00FF2F78">
        <w:tc>
          <w:tcPr>
            <w:tcW w:w="810" w:type="pct"/>
            <w:vMerge w:val="restart"/>
            <w:tcMar>
              <w:left w:w="108" w:type="dxa"/>
              <w:right w:w="108" w:type="dxa"/>
            </w:tcMar>
          </w:tcPr>
          <w:p w14:paraId="464DBAFB" w14:textId="77777777" w:rsidR="001E5006" w:rsidRPr="009213D8" w:rsidRDefault="001E5006" w:rsidP="00733737">
            <w:pPr>
              <w:pStyle w:val="TableText"/>
            </w:pPr>
            <w:r w:rsidRPr="009213D8">
              <w:t xml:space="preserve">Fee for service </w:t>
            </w:r>
            <w:r>
              <w:t>–</w:t>
            </w:r>
            <w:r w:rsidRPr="009213D8">
              <w:t xml:space="preserve"> husbandry</w:t>
            </w:r>
          </w:p>
        </w:tc>
        <w:tc>
          <w:tcPr>
            <w:tcW w:w="456" w:type="pct"/>
            <w:shd w:val="clear" w:color="auto" w:fill="auto"/>
            <w:tcMar>
              <w:left w:w="108" w:type="dxa"/>
              <w:right w:w="108" w:type="dxa"/>
            </w:tcMar>
          </w:tcPr>
          <w:p w14:paraId="2F0B050E" w14:textId="77777777" w:rsidR="001E5006" w:rsidRPr="005A660F" w:rsidRDefault="001E5006" w:rsidP="00AD2CA4">
            <w:pPr>
              <w:pStyle w:val="TableText"/>
              <w:jc w:val="right"/>
              <w:rPr>
                <w:rFonts w:cstheme="minorHAnsi"/>
              </w:rPr>
            </w:pPr>
            <w:r>
              <w:rPr>
                <w:rFonts w:cstheme="minorHAnsi"/>
              </w:rPr>
              <w:t>–</w:t>
            </w:r>
          </w:p>
        </w:tc>
        <w:tc>
          <w:tcPr>
            <w:tcW w:w="1619" w:type="pct"/>
            <w:shd w:val="clear" w:color="auto" w:fill="auto"/>
            <w:tcMar>
              <w:left w:w="108" w:type="dxa"/>
              <w:right w:w="108" w:type="dxa"/>
            </w:tcMar>
          </w:tcPr>
          <w:p w14:paraId="54CDA3B4" w14:textId="77777777" w:rsidR="001E5006" w:rsidRPr="005A660F" w:rsidRDefault="001E5006" w:rsidP="00733737">
            <w:pPr>
              <w:pStyle w:val="TableText"/>
            </w:pPr>
            <w:r w:rsidRPr="005A660F">
              <w:t>Husbandry fee – horses that overstay the initial 14</w:t>
            </w:r>
            <w:r w:rsidRPr="005A660F">
              <w:noBreakHyphen/>
              <w:t>day period</w:t>
            </w:r>
          </w:p>
        </w:tc>
        <w:tc>
          <w:tcPr>
            <w:tcW w:w="760" w:type="pct"/>
            <w:shd w:val="clear" w:color="auto" w:fill="auto"/>
            <w:tcMar>
              <w:left w:w="108" w:type="dxa"/>
              <w:right w:w="108" w:type="dxa"/>
            </w:tcMar>
          </w:tcPr>
          <w:p w14:paraId="700E2461" w14:textId="77777777" w:rsidR="001E5006" w:rsidRPr="009213D8" w:rsidRDefault="001E5006" w:rsidP="00733737">
            <w:pPr>
              <w:pStyle w:val="TableText"/>
            </w:pPr>
            <w:r w:rsidRPr="009213D8">
              <w:t>Per animal per day over 14 days</w:t>
            </w:r>
          </w:p>
        </w:tc>
        <w:tc>
          <w:tcPr>
            <w:tcW w:w="355" w:type="pct"/>
            <w:shd w:val="clear" w:color="auto" w:fill="auto"/>
            <w:tcMar>
              <w:left w:w="108" w:type="dxa"/>
              <w:right w:w="108" w:type="dxa"/>
            </w:tcMar>
          </w:tcPr>
          <w:p w14:paraId="69967DF8" w14:textId="77777777" w:rsidR="001E5006" w:rsidRPr="008A370F" w:rsidRDefault="001E5006" w:rsidP="00733737">
            <w:pPr>
              <w:pStyle w:val="TableText"/>
              <w:jc w:val="right"/>
            </w:pPr>
            <w:r w:rsidRPr="008A370F">
              <w:rPr>
                <w:rFonts w:ascii="Calibri" w:hAnsi="Calibri"/>
                <w:color w:val="000000"/>
                <w:szCs w:val="18"/>
              </w:rPr>
              <w:t>47</w:t>
            </w:r>
          </w:p>
        </w:tc>
        <w:tc>
          <w:tcPr>
            <w:tcW w:w="500" w:type="pct"/>
            <w:shd w:val="clear" w:color="auto" w:fill="auto"/>
            <w:tcMar>
              <w:left w:w="108" w:type="dxa"/>
              <w:right w:w="108" w:type="dxa"/>
            </w:tcMar>
          </w:tcPr>
          <w:p w14:paraId="4D6B801D" w14:textId="77777777" w:rsidR="001E5006" w:rsidRPr="00D76D9F" w:rsidRDefault="001E5006" w:rsidP="00733737">
            <w:pPr>
              <w:pStyle w:val="TableText"/>
              <w:jc w:val="right"/>
              <w:rPr>
                <w:rFonts w:ascii="Calibri" w:hAnsi="Calibri"/>
                <w:color w:val="000000"/>
                <w:szCs w:val="18"/>
              </w:rPr>
            </w:pPr>
            <w:r w:rsidRPr="00D76D9F">
              <w:rPr>
                <w:rFonts w:cstheme="minorHAnsi"/>
              </w:rPr>
              <w:t>–</w:t>
            </w:r>
          </w:p>
        </w:tc>
        <w:tc>
          <w:tcPr>
            <w:tcW w:w="500" w:type="pct"/>
            <w:shd w:val="clear" w:color="auto" w:fill="auto"/>
            <w:tcMar>
              <w:left w:w="108" w:type="dxa"/>
              <w:right w:w="108" w:type="dxa"/>
            </w:tcMar>
          </w:tcPr>
          <w:p w14:paraId="301EBD64" w14:textId="77777777" w:rsidR="001E5006" w:rsidRPr="00D76D9F" w:rsidRDefault="001E5006" w:rsidP="00733737">
            <w:pPr>
              <w:pStyle w:val="TableText"/>
              <w:jc w:val="right"/>
            </w:pPr>
            <w:r w:rsidRPr="00D76D9F">
              <w:rPr>
                <w:rFonts w:cstheme="minorHAnsi"/>
              </w:rPr>
              <w:t>–</w:t>
            </w:r>
          </w:p>
        </w:tc>
      </w:tr>
      <w:tr w:rsidR="001E5006" w:rsidRPr="00C32CCF" w14:paraId="505AD796" w14:textId="77777777" w:rsidTr="00FF2F78">
        <w:tc>
          <w:tcPr>
            <w:tcW w:w="810" w:type="pct"/>
            <w:vMerge/>
            <w:tcMar>
              <w:left w:w="108" w:type="dxa"/>
              <w:right w:w="108" w:type="dxa"/>
            </w:tcMar>
          </w:tcPr>
          <w:p w14:paraId="0FAE482E" w14:textId="77777777" w:rsidR="001E5006" w:rsidRPr="009213D8" w:rsidRDefault="001E5006" w:rsidP="00733737">
            <w:pPr>
              <w:pStyle w:val="TableText"/>
            </w:pPr>
          </w:p>
        </w:tc>
        <w:tc>
          <w:tcPr>
            <w:tcW w:w="456" w:type="pct"/>
            <w:shd w:val="clear" w:color="auto" w:fill="auto"/>
            <w:tcMar>
              <w:left w:w="108" w:type="dxa"/>
              <w:right w:w="108" w:type="dxa"/>
            </w:tcMar>
          </w:tcPr>
          <w:p w14:paraId="2C13C549" w14:textId="77777777" w:rsidR="001E5006" w:rsidRPr="00625F72" w:rsidRDefault="001E5006" w:rsidP="00AD2CA4">
            <w:pPr>
              <w:pStyle w:val="TableText"/>
              <w:jc w:val="right"/>
              <w:rPr>
                <w:rFonts w:cstheme="minorHAnsi"/>
              </w:rPr>
            </w:pPr>
            <w:r>
              <w:rPr>
                <w:rFonts w:cstheme="minorHAnsi"/>
              </w:rPr>
              <w:t>–</w:t>
            </w:r>
          </w:p>
        </w:tc>
        <w:tc>
          <w:tcPr>
            <w:tcW w:w="1619" w:type="pct"/>
            <w:shd w:val="clear" w:color="auto" w:fill="auto"/>
            <w:tcMar>
              <w:left w:w="108" w:type="dxa"/>
              <w:right w:w="108" w:type="dxa"/>
            </w:tcMar>
          </w:tcPr>
          <w:p w14:paraId="0D843A52" w14:textId="77777777" w:rsidR="001E5006" w:rsidRPr="00625F72" w:rsidRDefault="001E5006" w:rsidP="00733737">
            <w:pPr>
              <w:pStyle w:val="TableText"/>
            </w:pPr>
            <w:r w:rsidRPr="00625F72">
              <w:t>Husbandry fee – ruminants</w:t>
            </w:r>
          </w:p>
        </w:tc>
        <w:tc>
          <w:tcPr>
            <w:tcW w:w="760" w:type="pct"/>
            <w:shd w:val="clear" w:color="auto" w:fill="auto"/>
            <w:tcMar>
              <w:left w:w="108" w:type="dxa"/>
              <w:right w:w="108" w:type="dxa"/>
            </w:tcMar>
          </w:tcPr>
          <w:p w14:paraId="24BE0321" w14:textId="77777777" w:rsidR="001E5006" w:rsidRPr="009213D8" w:rsidRDefault="001E5006" w:rsidP="00733737">
            <w:pPr>
              <w:pStyle w:val="TableText"/>
            </w:pPr>
            <w:r w:rsidRPr="009213D8">
              <w:t>Per animal per day</w:t>
            </w:r>
          </w:p>
        </w:tc>
        <w:tc>
          <w:tcPr>
            <w:tcW w:w="355" w:type="pct"/>
            <w:shd w:val="clear" w:color="auto" w:fill="auto"/>
            <w:tcMar>
              <w:left w:w="108" w:type="dxa"/>
              <w:right w:w="108" w:type="dxa"/>
            </w:tcMar>
          </w:tcPr>
          <w:p w14:paraId="288ACA54" w14:textId="77777777" w:rsidR="001E5006" w:rsidRPr="008A370F" w:rsidRDefault="001E5006" w:rsidP="00733737">
            <w:pPr>
              <w:pStyle w:val="TableText"/>
              <w:jc w:val="right"/>
            </w:pPr>
            <w:r w:rsidRPr="008A370F">
              <w:rPr>
                <w:rFonts w:ascii="Calibri" w:hAnsi="Calibri"/>
                <w:color w:val="000000"/>
                <w:szCs w:val="18"/>
              </w:rPr>
              <w:t>108</w:t>
            </w:r>
          </w:p>
        </w:tc>
        <w:tc>
          <w:tcPr>
            <w:tcW w:w="500" w:type="pct"/>
            <w:shd w:val="clear" w:color="auto" w:fill="auto"/>
            <w:tcMar>
              <w:left w:w="108" w:type="dxa"/>
              <w:right w:w="108" w:type="dxa"/>
            </w:tcMar>
          </w:tcPr>
          <w:p w14:paraId="6F80BAF9" w14:textId="77777777" w:rsidR="001E5006" w:rsidRPr="00D76D9F" w:rsidRDefault="001E5006" w:rsidP="00733737">
            <w:pPr>
              <w:pStyle w:val="TableText"/>
              <w:jc w:val="right"/>
              <w:rPr>
                <w:rFonts w:ascii="Calibri" w:hAnsi="Calibri"/>
                <w:color w:val="000000"/>
                <w:szCs w:val="18"/>
              </w:rPr>
            </w:pPr>
            <w:r w:rsidRPr="00D76D9F">
              <w:rPr>
                <w:rFonts w:cstheme="minorHAnsi"/>
              </w:rPr>
              <w:t>–</w:t>
            </w:r>
          </w:p>
        </w:tc>
        <w:tc>
          <w:tcPr>
            <w:tcW w:w="500" w:type="pct"/>
            <w:shd w:val="clear" w:color="auto" w:fill="auto"/>
            <w:tcMar>
              <w:left w:w="108" w:type="dxa"/>
              <w:right w:w="108" w:type="dxa"/>
            </w:tcMar>
          </w:tcPr>
          <w:p w14:paraId="3891E715" w14:textId="77777777" w:rsidR="001E5006" w:rsidRPr="00D76D9F" w:rsidRDefault="001E5006" w:rsidP="00733737">
            <w:pPr>
              <w:pStyle w:val="TableText"/>
              <w:jc w:val="right"/>
            </w:pPr>
            <w:r w:rsidRPr="00D76D9F">
              <w:rPr>
                <w:rFonts w:cstheme="minorHAnsi"/>
              </w:rPr>
              <w:t>–</w:t>
            </w:r>
          </w:p>
        </w:tc>
      </w:tr>
      <w:tr w:rsidR="001E5006" w:rsidRPr="00C32CCF" w14:paraId="3D5344D7" w14:textId="77777777" w:rsidTr="00FF2F78">
        <w:tc>
          <w:tcPr>
            <w:tcW w:w="810" w:type="pct"/>
            <w:vMerge/>
            <w:tcMar>
              <w:left w:w="108" w:type="dxa"/>
              <w:right w:w="108" w:type="dxa"/>
            </w:tcMar>
          </w:tcPr>
          <w:p w14:paraId="480D6FDB" w14:textId="77777777" w:rsidR="001E5006" w:rsidRPr="009213D8" w:rsidRDefault="001E5006" w:rsidP="00733737">
            <w:pPr>
              <w:pStyle w:val="TableText"/>
            </w:pPr>
          </w:p>
        </w:tc>
        <w:tc>
          <w:tcPr>
            <w:tcW w:w="456" w:type="pct"/>
            <w:shd w:val="clear" w:color="auto" w:fill="auto"/>
            <w:tcMar>
              <w:left w:w="108" w:type="dxa"/>
              <w:right w:w="108" w:type="dxa"/>
            </w:tcMar>
          </w:tcPr>
          <w:p w14:paraId="468900A5" w14:textId="77777777" w:rsidR="001E5006" w:rsidRPr="00A10BE3" w:rsidRDefault="001E5006" w:rsidP="00AD2CA4">
            <w:pPr>
              <w:pStyle w:val="TableText"/>
              <w:jc w:val="right"/>
              <w:rPr>
                <w:rFonts w:cstheme="minorHAnsi"/>
              </w:rPr>
            </w:pPr>
            <w:r w:rsidRPr="00A10BE3">
              <w:rPr>
                <w:rFonts w:cstheme="minorHAnsi"/>
              </w:rPr>
              <w:t>6,184,729</w:t>
            </w:r>
          </w:p>
        </w:tc>
        <w:tc>
          <w:tcPr>
            <w:tcW w:w="1619" w:type="pct"/>
            <w:shd w:val="clear" w:color="auto" w:fill="auto"/>
            <w:tcMar>
              <w:left w:w="108" w:type="dxa"/>
              <w:right w:w="108" w:type="dxa"/>
            </w:tcMar>
          </w:tcPr>
          <w:p w14:paraId="10EA9CDA" w14:textId="3898D163" w:rsidR="001E5006" w:rsidRPr="009213D8" w:rsidRDefault="001E5006" w:rsidP="00733737">
            <w:pPr>
              <w:pStyle w:val="TableText"/>
            </w:pPr>
            <w:r w:rsidRPr="009213D8">
              <w:t>Husbandry fee – cat</w:t>
            </w:r>
            <w:r w:rsidR="005E3E93">
              <w:t>s</w:t>
            </w:r>
            <w:r w:rsidRPr="009213D8">
              <w:t xml:space="preserve"> or dog</w:t>
            </w:r>
            <w:r w:rsidR="005E3E93">
              <w:t>s</w:t>
            </w:r>
            <w:r w:rsidRPr="009213D8">
              <w:t xml:space="preserve"> or animal</w:t>
            </w:r>
            <w:r w:rsidR="005E3E93">
              <w:t>s</w:t>
            </w:r>
            <w:r w:rsidRPr="009213D8">
              <w:t xml:space="preserve"> not covered by another item of this table</w:t>
            </w:r>
          </w:p>
        </w:tc>
        <w:tc>
          <w:tcPr>
            <w:tcW w:w="760" w:type="pct"/>
            <w:shd w:val="clear" w:color="auto" w:fill="auto"/>
            <w:tcMar>
              <w:left w:w="108" w:type="dxa"/>
              <w:right w:w="108" w:type="dxa"/>
            </w:tcMar>
          </w:tcPr>
          <w:p w14:paraId="139001AF" w14:textId="77777777" w:rsidR="001E5006" w:rsidRPr="009213D8" w:rsidRDefault="001E5006" w:rsidP="00733737">
            <w:pPr>
              <w:pStyle w:val="TableText"/>
            </w:pPr>
            <w:r w:rsidRPr="009213D8">
              <w:t>Per animal per day</w:t>
            </w:r>
          </w:p>
        </w:tc>
        <w:tc>
          <w:tcPr>
            <w:tcW w:w="355" w:type="pct"/>
            <w:shd w:val="clear" w:color="auto" w:fill="auto"/>
            <w:tcMar>
              <w:left w:w="108" w:type="dxa"/>
              <w:right w:w="108" w:type="dxa"/>
            </w:tcMar>
          </w:tcPr>
          <w:p w14:paraId="169D49AE" w14:textId="77777777" w:rsidR="001E5006" w:rsidRPr="008A370F" w:rsidRDefault="001E5006" w:rsidP="00733737">
            <w:pPr>
              <w:pStyle w:val="TableText"/>
              <w:jc w:val="right"/>
            </w:pPr>
            <w:r w:rsidRPr="008A370F">
              <w:rPr>
                <w:rFonts w:ascii="Calibri" w:hAnsi="Calibri"/>
                <w:color w:val="000000"/>
                <w:szCs w:val="18"/>
              </w:rPr>
              <w:t>53</w:t>
            </w:r>
          </w:p>
        </w:tc>
        <w:tc>
          <w:tcPr>
            <w:tcW w:w="500" w:type="pct"/>
            <w:shd w:val="clear" w:color="auto" w:fill="auto"/>
            <w:tcMar>
              <w:left w:w="108" w:type="dxa"/>
              <w:right w:w="108" w:type="dxa"/>
            </w:tcMar>
          </w:tcPr>
          <w:p w14:paraId="2B20470B" w14:textId="77777777" w:rsidR="001E5006" w:rsidRPr="00C32CCF" w:rsidRDefault="001E5006" w:rsidP="00733737">
            <w:pPr>
              <w:pStyle w:val="TableText"/>
              <w:jc w:val="right"/>
              <w:rPr>
                <w:rFonts w:ascii="Calibri" w:hAnsi="Calibri"/>
                <w:color w:val="000000"/>
                <w:szCs w:val="18"/>
              </w:rPr>
            </w:pPr>
            <w:r>
              <w:rPr>
                <w:rFonts w:ascii="Calibri" w:hAnsi="Calibri"/>
                <w:color w:val="000000"/>
                <w:szCs w:val="18"/>
              </w:rPr>
              <w:t>116,693</w:t>
            </w:r>
          </w:p>
        </w:tc>
        <w:tc>
          <w:tcPr>
            <w:tcW w:w="500" w:type="pct"/>
            <w:shd w:val="clear" w:color="auto" w:fill="auto"/>
            <w:tcMar>
              <w:left w:w="108" w:type="dxa"/>
              <w:right w:w="108" w:type="dxa"/>
            </w:tcMar>
          </w:tcPr>
          <w:p w14:paraId="105238A1" w14:textId="77777777" w:rsidR="001E5006" w:rsidRPr="00C32CCF" w:rsidRDefault="001E5006" w:rsidP="00733737">
            <w:pPr>
              <w:pStyle w:val="TableText"/>
              <w:jc w:val="right"/>
              <w:rPr>
                <w:highlight w:val="yellow"/>
              </w:rPr>
            </w:pPr>
            <w:r>
              <w:rPr>
                <w:rFonts w:ascii="Calibri" w:hAnsi="Calibri"/>
                <w:color w:val="000000"/>
                <w:szCs w:val="18"/>
              </w:rPr>
              <w:t>6,184,729</w:t>
            </w:r>
          </w:p>
        </w:tc>
      </w:tr>
      <w:tr w:rsidR="001E5006" w:rsidRPr="004759DB" w14:paraId="76CAD7A4" w14:textId="77777777" w:rsidTr="00FF2F78">
        <w:tc>
          <w:tcPr>
            <w:tcW w:w="810" w:type="pct"/>
            <w:vMerge/>
            <w:tcMar>
              <w:left w:w="108" w:type="dxa"/>
              <w:right w:w="108" w:type="dxa"/>
            </w:tcMar>
          </w:tcPr>
          <w:p w14:paraId="3E84C977" w14:textId="77777777" w:rsidR="001E5006" w:rsidRPr="009213D8" w:rsidRDefault="001E5006" w:rsidP="00733737">
            <w:pPr>
              <w:pStyle w:val="TableText"/>
            </w:pPr>
          </w:p>
        </w:tc>
        <w:tc>
          <w:tcPr>
            <w:tcW w:w="456" w:type="pct"/>
            <w:shd w:val="clear" w:color="auto" w:fill="auto"/>
            <w:tcMar>
              <w:left w:w="108" w:type="dxa"/>
              <w:right w:w="108" w:type="dxa"/>
            </w:tcMar>
          </w:tcPr>
          <w:p w14:paraId="0731C083" w14:textId="77777777" w:rsidR="001E5006" w:rsidRPr="004759DB" w:rsidRDefault="001E5006" w:rsidP="00AD2CA4">
            <w:pPr>
              <w:pStyle w:val="TableText"/>
              <w:jc w:val="right"/>
              <w:rPr>
                <w:rFonts w:cstheme="minorHAnsi"/>
              </w:rPr>
            </w:pPr>
            <w:r w:rsidRPr="005917B8">
              <w:rPr>
                <w:rFonts w:cstheme="minorHAnsi"/>
              </w:rPr>
              <w:t>–</w:t>
            </w:r>
          </w:p>
        </w:tc>
        <w:tc>
          <w:tcPr>
            <w:tcW w:w="1619" w:type="pct"/>
            <w:shd w:val="clear" w:color="auto" w:fill="auto"/>
            <w:tcMar>
              <w:left w:w="108" w:type="dxa"/>
              <w:right w:w="108" w:type="dxa"/>
            </w:tcMar>
          </w:tcPr>
          <w:p w14:paraId="1AB312BF" w14:textId="77777777" w:rsidR="001E5006" w:rsidRPr="004759DB" w:rsidRDefault="001E5006" w:rsidP="00733737">
            <w:pPr>
              <w:pStyle w:val="TableText"/>
            </w:pPr>
            <w:r w:rsidRPr="004759DB">
              <w:t>Husbandry fee – avian (consignment of birds)</w:t>
            </w:r>
          </w:p>
        </w:tc>
        <w:tc>
          <w:tcPr>
            <w:tcW w:w="760" w:type="pct"/>
            <w:shd w:val="clear" w:color="auto" w:fill="auto"/>
            <w:tcMar>
              <w:left w:w="108" w:type="dxa"/>
              <w:right w:w="108" w:type="dxa"/>
            </w:tcMar>
          </w:tcPr>
          <w:p w14:paraId="62E2E2DB" w14:textId="77777777" w:rsidR="001E5006" w:rsidRPr="004759DB" w:rsidRDefault="001E5006" w:rsidP="00733737">
            <w:pPr>
              <w:pStyle w:val="TableText"/>
            </w:pPr>
            <w:r w:rsidRPr="004759DB">
              <w:t>Per live bird consignment per day</w:t>
            </w:r>
          </w:p>
        </w:tc>
        <w:tc>
          <w:tcPr>
            <w:tcW w:w="355" w:type="pct"/>
            <w:shd w:val="clear" w:color="auto" w:fill="auto"/>
            <w:tcMar>
              <w:left w:w="108" w:type="dxa"/>
              <w:right w:w="108" w:type="dxa"/>
            </w:tcMar>
          </w:tcPr>
          <w:p w14:paraId="3525D19D" w14:textId="77777777" w:rsidR="001E5006" w:rsidRPr="008A370F" w:rsidRDefault="001E5006" w:rsidP="00733737">
            <w:pPr>
              <w:pStyle w:val="TableText"/>
              <w:jc w:val="right"/>
            </w:pPr>
            <w:r w:rsidRPr="008A370F">
              <w:t>60</w:t>
            </w:r>
          </w:p>
        </w:tc>
        <w:tc>
          <w:tcPr>
            <w:tcW w:w="500" w:type="pct"/>
            <w:shd w:val="clear" w:color="auto" w:fill="auto"/>
            <w:tcMar>
              <w:left w:w="108" w:type="dxa"/>
              <w:right w:w="108" w:type="dxa"/>
            </w:tcMar>
          </w:tcPr>
          <w:p w14:paraId="06E736A6" w14:textId="77777777" w:rsidR="001E5006" w:rsidRPr="004759DB" w:rsidRDefault="001E5006" w:rsidP="00733737">
            <w:pPr>
              <w:pStyle w:val="TableText"/>
              <w:jc w:val="right"/>
              <w:rPr>
                <w:rFonts w:ascii="Calibri" w:hAnsi="Calibri"/>
                <w:color w:val="000000"/>
                <w:szCs w:val="18"/>
              </w:rPr>
            </w:pPr>
            <w:r w:rsidRPr="0049188B">
              <w:rPr>
                <w:rFonts w:cstheme="minorHAnsi"/>
              </w:rPr>
              <w:t>–</w:t>
            </w:r>
          </w:p>
        </w:tc>
        <w:tc>
          <w:tcPr>
            <w:tcW w:w="500" w:type="pct"/>
            <w:shd w:val="clear" w:color="auto" w:fill="auto"/>
            <w:tcMar>
              <w:left w:w="108" w:type="dxa"/>
              <w:right w:w="108" w:type="dxa"/>
            </w:tcMar>
          </w:tcPr>
          <w:p w14:paraId="6F284423" w14:textId="77777777" w:rsidR="001E5006" w:rsidRPr="004759DB" w:rsidRDefault="001E5006" w:rsidP="00733737">
            <w:pPr>
              <w:pStyle w:val="TableText"/>
              <w:jc w:val="right"/>
            </w:pPr>
            <w:r w:rsidRPr="0049188B">
              <w:rPr>
                <w:rFonts w:cstheme="minorHAnsi"/>
              </w:rPr>
              <w:t>–</w:t>
            </w:r>
          </w:p>
        </w:tc>
      </w:tr>
      <w:tr w:rsidR="001E5006" w:rsidRPr="00C32CCF" w14:paraId="78A62F9F" w14:textId="77777777" w:rsidTr="00FF2F78">
        <w:tc>
          <w:tcPr>
            <w:tcW w:w="810" w:type="pct"/>
            <w:vMerge/>
            <w:tcMar>
              <w:left w:w="108" w:type="dxa"/>
              <w:right w:w="108" w:type="dxa"/>
            </w:tcMar>
          </w:tcPr>
          <w:p w14:paraId="5EBFA231" w14:textId="77777777" w:rsidR="001E5006" w:rsidRPr="009213D8" w:rsidRDefault="001E5006" w:rsidP="00733737">
            <w:pPr>
              <w:pStyle w:val="TableText"/>
            </w:pPr>
          </w:p>
        </w:tc>
        <w:tc>
          <w:tcPr>
            <w:tcW w:w="456" w:type="pct"/>
            <w:shd w:val="clear" w:color="auto" w:fill="auto"/>
            <w:tcMar>
              <w:left w:w="108" w:type="dxa"/>
              <w:right w:w="108" w:type="dxa"/>
            </w:tcMar>
          </w:tcPr>
          <w:p w14:paraId="78BE1620" w14:textId="77777777" w:rsidR="001E5006" w:rsidRPr="001825A7" w:rsidRDefault="001E5006" w:rsidP="00AD2CA4">
            <w:pPr>
              <w:pStyle w:val="TableText"/>
              <w:jc w:val="right"/>
              <w:rPr>
                <w:rFonts w:cstheme="minorHAnsi"/>
                <w:highlight w:val="yellow"/>
              </w:rPr>
            </w:pPr>
            <w:r w:rsidRPr="005917B8">
              <w:rPr>
                <w:rFonts w:cstheme="minorHAnsi"/>
              </w:rPr>
              <w:t>–</w:t>
            </w:r>
          </w:p>
        </w:tc>
        <w:tc>
          <w:tcPr>
            <w:tcW w:w="1619" w:type="pct"/>
            <w:shd w:val="clear" w:color="auto" w:fill="auto"/>
            <w:tcMar>
              <w:left w:w="108" w:type="dxa"/>
              <w:right w:w="108" w:type="dxa"/>
            </w:tcMar>
          </w:tcPr>
          <w:p w14:paraId="2F63D225" w14:textId="77777777" w:rsidR="001E5006" w:rsidRPr="009213D8" w:rsidRDefault="001E5006" w:rsidP="00733737">
            <w:pPr>
              <w:pStyle w:val="TableText"/>
            </w:pPr>
            <w:r w:rsidRPr="009213D8">
              <w:t>Husbandry fee – bees</w:t>
            </w:r>
          </w:p>
        </w:tc>
        <w:tc>
          <w:tcPr>
            <w:tcW w:w="760" w:type="pct"/>
            <w:shd w:val="clear" w:color="auto" w:fill="auto"/>
            <w:tcMar>
              <w:left w:w="108" w:type="dxa"/>
              <w:right w:w="108" w:type="dxa"/>
            </w:tcMar>
          </w:tcPr>
          <w:p w14:paraId="2381AD7C" w14:textId="5539F138" w:rsidR="001E5006" w:rsidRPr="009213D8" w:rsidRDefault="001E5006" w:rsidP="00733737">
            <w:pPr>
              <w:pStyle w:val="TableText"/>
            </w:pPr>
            <w:r w:rsidRPr="009213D8">
              <w:t xml:space="preserve">Per bee consignment </w:t>
            </w:r>
            <w:r w:rsidR="005E3E93">
              <w:t>per m</w:t>
            </w:r>
            <w:r w:rsidRPr="009213D8">
              <w:t>onth</w:t>
            </w:r>
            <w:r w:rsidR="005E3E93">
              <w:t xml:space="preserve"> (</w:t>
            </w:r>
            <w:r w:rsidRPr="009213D8">
              <w:t>or part thereof</w:t>
            </w:r>
            <w:r w:rsidR="005E3E93">
              <w:t>)</w:t>
            </w:r>
          </w:p>
        </w:tc>
        <w:tc>
          <w:tcPr>
            <w:tcW w:w="355" w:type="pct"/>
            <w:shd w:val="clear" w:color="auto" w:fill="auto"/>
            <w:tcMar>
              <w:left w:w="108" w:type="dxa"/>
              <w:right w:w="108" w:type="dxa"/>
            </w:tcMar>
          </w:tcPr>
          <w:p w14:paraId="40E931EF" w14:textId="77777777" w:rsidR="001E5006" w:rsidRPr="008A370F" w:rsidRDefault="001E5006" w:rsidP="00733737">
            <w:pPr>
              <w:pStyle w:val="TableText"/>
              <w:jc w:val="right"/>
            </w:pPr>
            <w:r w:rsidRPr="008A370F">
              <w:t>500</w:t>
            </w:r>
          </w:p>
        </w:tc>
        <w:tc>
          <w:tcPr>
            <w:tcW w:w="500" w:type="pct"/>
            <w:shd w:val="clear" w:color="auto" w:fill="auto"/>
            <w:tcMar>
              <w:left w:w="108" w:type="dxa"/>
              <w:right w:w="108" w:type="dxa"/>
            </w:tcMar>
          </w:tcPr>
          <w:p w14:paraId="4D2D6707" w14:textId="77777777" w:rsidR="001E5006" w:rsidRPr="00C32CCF" w:rsidRDefault="001E5006" w:rsidP="00733737">
            <w:pPr>
              <w:pStyle w:val="TableText"/>
              <w:jc w:val="right"/>
              <w:rPr>
                <w:rFonts w:ascii="Calibri" w:hAnsi="Calibri"/>
                <w:color w:val="000000"/>
                <w:szCs w:val="18"/>
              </w:rPr>
            </w:pPr>
            <w:r w:rsidRPr="0049188B">
              <w:rPr>
                <w:rFonts w:cstheme="minorHAnsi"/>
              </w:rPr>
              <w:t>–</w:t>
            </w:r>
          </w:p>
        </w:tc>
        <w:tc>
          <w:tcPr>
            <w:tcW w:w="500" w:type="pct"/>
            <w:shd w:val="clear" w:color="auto" w:fill="auto"/>
            <w:tcMar>
              <w:left w:w="108" w:type="dxa"/>
              <w:right w:w="108" w:type="dxa"/>
            </w:tcMar>
          </w:tcPr>
          <w:p w14:paraId="61D66323" w14:textId="77777777" w:rsidR="001E5006" w:rsidRPr="00C32CCF" w:rsidRDefault="001E5006" w:rsidP="00733737">
            <w:pPr>
              <w:pStyle w:val="TableText"/>
              <w:jc w:val="right"/>
              <w:rPr>
                <w:highlight w:val="yellow"/>
              </w:rPr>
            </w:pPr>
            <w:r w:rsidRPr="0049188B">
              <w:rPr>
                <w:rFonts w:cstheme="minorHAnsi"/>
              </w:rPr>
              <w:t>–</w:t>
            </w:r>
          </w:p>
        </w:tc>
      </w:tr>
      <w:tr w:rsidR="001E5006" w:rsidRPr="00C32CCF" w14:paraId="3ABE5EC9" w14:textId="77777777" w:rsidTr="00FF2F78">
        <w:tc>
          <w:tcPr>
            <w:tcW w:w="810" w:type="pct"/>
            <w:vMerge/>
            <w:tcMar>
              <w:left w:w="108" w:type="dxa"/>
              <w:right w:w="108" w:type="dxa"/>
            </w:tcMar>
          </w:tcPr>
          <w:p w14:paraId="1A7DD4E9" w14:textId="77777777" w:rsidR="001E5006" w:rsidRPr="009213D8" w:rsidRDefault="001E5006" w:rsidP="00733737">
            <w:pPr>
              <w:pStyle w:val="TableText"/>
            </w:pPr>
          </w:p>
        </w:tc>
        <w:tc>
          <w:tcPr>
            <w:tcW w:w="456" w:type="pct"/>
            <w:shd w:val="clear" w:color="auto" w:fill="auto"/>
            <w:tcMar>
              <w:left w:w="108" w:type="dxa"/>
              <w:right w:w="108" w:type="dxa"/>
            </w:tcMar>
          </w:tcPr>
          <w:p w14:paraId="685DA2B8" w14:textId="77777777" w:rsidR="001E5006" w:rsidRPr="00230379" w:rsidRDefault="001E5006" w:rsidP="00AD2CA4">
            <w:pPr>
              <w:pStyle w:val="TableText"/>
              <w:jc w:val="right"/>
              <w:rPr>
                <w:rFonts w:cstheme="minorHAnsi"/>
              </w:rPr>
            </w:pPr>
            <w:r w:rsidRPr="00A10BE3">
              <w:rPr>
                <w:rFonts w:cstheme="minorHAnsi"/>
              </w:rPr>
              <w:t>21,384</w:t>
            </w:r>
          </w:p>
        </w:tc>
        <w:tc>
          <w:tcPr>
            <w:tcW w:w="1619" w:type="pct"/>
            <w:shd w:val="clear" w:color="auto" w:fill="auto"/>
            <w:tcMar>
              <w:left w:w="108" w:type="dxa"/>
              <w:right w:w="108" w:type="dxa"/>
            </w:tcMar>
          </w:tcPr>
          <w:p w14:paraId="6B384FE6" w14:textId="77777777" w:rsidR="001E5006" w:rsidRPr="009213D8" w:rsidRDefault="001E5006" w:rsidP="00733737">
            <w:pPr>
              <w:pStyle w:val="TableText"/>
            </w:pPr>
            <w:r w:rsidRPr="009213D8">
              <w:t>Husbandry fee – avian (bird eggs for hatching)</w:t>
            </w:r>
          </w:p>
        </w:tc>
        <w:tc>
          <w:tcPr>
            <w:tcW w:w="760" w:type="pct"/>
            <w:shd w:val="clear" w:color="auto" w:fill="auto"/>
            <w:tcMar>
              <w:left w:w="108" w:type="dxa"/>
              <w:right w:w="108" w:type="dxa"/>
            </w:tcMar>
          </w:tcPr>
          <w:p w14:paraId="6A5E0956" w14:textId="77777777" w:rsidR="001E5006" w:rsidRPr="009213D8" w:rsidRDefault="001E5006" w:rsidP="00733737">
            <w:pPr>
              <w:pStyle w:val="TableText"/>
            </w:pPr>
            <w:r w:rsidRPr="009213D8">
              <w:t>Per egg consignment per day</w:t>
            </w:r>
          </w:p>
        </w:tc>
        <w:tc>
          <w:tcPr>
            <w:tcW w:w="355" w:type="pct"/>
            <w:shd w:val="clear" w:color="auto" w:fill="auto"/>
            <w:tcMar>
              <w:left w:w="108" w:type="dxa"/>
              <w:right w:w="108" w:type="dxa"/>
            </w:tcMar>
          </w:tcPr>
          <w:p w14:paraId="34991FE7" w14:textId="77777777" w:rsidR="001E5006" w:rsidRPr="008A370F" w:rsidRDefault="001E5006" w:rsidP="00733737">
            <w:pPr>
              <w:pStyle w:val="TableText"/>
              <w:jc w:val="right"/>
              <w:rPr>
                <w:rFonts w:ascii="Calibri" w:hAnsi="Calibri"/>
                <w:color w:val="000000"/>
                <w:szCs w:val="18"/>
              </w:rPr>
            </w:pPr>
            <w:r w:rsidRPr="008A370F">
              <w:t>81</w:t>
            </w:r>
          </w:p>
        </w:tc>
        <w:tc>
          <w:tcPr>
            <w:tcW w:w="500" w:type="pct"/>
            <w:shd w:val="clear" w:color="auto" w:fill="auto"/>
            <w:tcMar>
              <w:left w:w="108" w:type="dxa"/>
              <w:right w:w="108" w:type="dxa"/>
            </w:tcMar>
          </w:tcPr>
          <w:p w14:paraId="7169BDD4" w14:textId="77777777" w:rsidR="001E5006" w:rsidRDefault="001E5006" w:rsidP="00733737">
            <w:pPr>
              <w:pStyle w:val="TableText"/>
              <w:jc w:val="right"/>
              <w:rPr>
                <w:rFonts w:ascii="Calibri" w:hAnsi="Calibri"/>
                <w:color w:val="000000"/>
                <w:szCs w:val="18"/>
              </w:rPr>
            </w:pPr>
            <w:r>
              <w:rPr>
                <w:rFonts w:ascii="Calibri" w:hAnsi="Calibri"/>
                <w:color w:val="000000"/>
                <w:szCs w:val="18"/>
              </w:rPr>
              <w:t>264</w:t>
            </w:r>
          </w:p>
        </w:tc>
        <w:tc>
          <w:tcPr>
            <w:tcW w:w="500" w:type="pct"/>
            <w:shd w:val="clear" w:color="auto" w:fill="auto"/>
            <w:tcMar>
              <w:left w:w="108" w:type="dxa"/>
              <w:right w:w="108" w:type="dxa"/>
            </w:tcMar>
          </w:tcPr>
          <w:p w14:paraId="00A450DA" w14:textId="77777777" w:rsidR="001E5006" w:rsidRDefault="001E5006" w:rsidP="00733737">
            <w:pPr>
              <w:pStyle w:val="TableText"/>
              <w:jc w:val="right"/>
              <w:rPr>
                <w:rFonts w:ascii="Calibri" w:hAnsi="Calibri"/>
                <w:color w:val="000000"/>
                <w:szCs w:val="18"/>
              </w:rPr>
            </w:pPr>
            <w:r>
              <w:rPr>
                <w:rFonts w:ascii="Calibri" w:hAnsi="Calibri"/>
                <w:color w:val="000000"/>
                <w:szCs w:val="18"/>
              </w:rPr>
              <w:t>21,384</w:t>
            </w:r>
          </w:p>
        </w:tc>
      </w:tr>
      <w:tr w:rsidR="001E5006" w:rsidRPr="00C32CCF" w14:paraId="3D742018" w14:textId="77777777" w:rsidTr="00FF2F78">
        <w:tc>
          <w:tcPr>
            <w:tcW w:w="810" w:type="pct"/>
            <w:vMerge/>
            <w:tcMar>
              <w:left w:w="108" w:type="dxa"/>
              <w:right w:w="108" w:type="dxa"/>
            </w:tcMar>
          </w:tcPr>
          <w:p w14:paraId="34472993" w14:textId="77777777" w:rsidR="001E5006" w:rsidRPr="009213D8" w:rsidRDefault="001E5006" w:rsidP="00733737">
            <w:pPr>
              <w:pStyle w:val="TableText"/>
            </w:pPr>
          </w:p>
        </w:tc>
        <w:tc>
          <w:tcPr>
            <w:tcW w:w="456" w:type="pct"/>
            <w:shd w:val="clear" w:color="auto" w:fill="auto"/>
            <w:tcMar>
              <w:left w:w="108" w:type="dxa"/>
              <w:right w:w="108" w:type="dxa"/>
            </w:tcMar>
          </w:tcPr>
          <w:p w14:paraId="2912C891" w14:textId="77777777" w:rsidR="001E5006" w:rsidRPr="001825A7" w:rsidRDefault="001E5006" w:rsidP="00AD2CA4">
            <w:pPr>
              <w:pStyle w:val="TableText"/>
              <w:jc w:val="right"/>
              <w:rPr>
                <w:rFonts w:cstheme="minorHAnsi"/>
                <w:highlight w:val="yellow"/>
              </w:rPr>
            </w:pPr>
            <w:r w:rsidRPr="00230379">
              <w:rPr>
                <w:rFonts w:cstheme="minorHAnsi"/>
              </w:rPr>
              <w:t>352,170</w:t>
            </w:r>
          </w:p>
        </w:tc>
        <w:tc>
          <w:tcPr>
            <w:tcW w:w="1619" w:type="pct"/>
            <w:shd w:val="clear" w:color="auto" w:fill="auto"/>
            <w:tcMar>
              <w:left w:w="108" w:type="dxa"/>
              <w:right w:w="108" w:type="dxa"/>
            </w:tcMar>
          </w:tcPr>
          <w:p w14:paraId="50A5262F" w14:textId="77777777" w:rsidR="001E5006" w:rsidRPr="009213D8" w:rsidRDefault="001E5006" w:rsidP="00733737">
            <w:pPr>
              <w:pStyle w:val="TableText"/>
            </w:pPr>
            <w:r w:rsidRPr="009213D8">
              <w:t>Husbandry fee – plants</w:t>
            </w:r>
          </w:p>
        </w:tc>
        <w:tc>
          <w:tcPr>
            <w:tcW w:w="760" w:type="pct"/>
            <w:shd w:val="clear" w:color="auto" w:fill="auto"/>
            <w:tcMar>
              <w:left w:w="108" w:type="dxa"/>
              <w:right w:w="108" w:type="dxa"/>
            </w:tcMar>
          </w:tcPr>
          <w:p w14:paraId="6AB6CC29" w14:textId="57715CE9" w:rsidR="001E5006" w:rsidRPr="009213D8" w:rsidRDefault="001E5006" w:rsidP="00733737">
            <w:pPr>
              <w:pStyle w:val="TableText"/>
            </w:pPr>
            <w:r w:rsidRPr="007C2F94">
              <w:t>Per m</w:t>
            </w:r>
            <w:r w:rsidRPr="007C2F94">
              <w:rPr>
                <w:vertAlign w:val="superscript"/>
              </w:rPr>
              <w:t>2</w:t>
            </w:r>
            <w:r w:rsidRPr="007C2F94">
              <w:t xml:space="preserve"> </w:t>
            </w:r>
            <w:r w:rsidR="00242244" w:rsidRPr="007C2F94">
              <w:t xml:space="preserve">per month </w:t>
            </w:r>
            <w:r w:rsidR="005E3E93" w:rsidRPr="007C2F94">
              <w:t>(</w:t>
            </w:r>
            <w:r w:rsidRPr="007C2F94">
              <w:t>or part thereof</w:t>
            </w:r>
            <w:r w:rsidR="005E3E93" w:rsidRPr="007C2F94">
              <w:t>)</w:t>
            </w:r>
          </w:p>
        </w:tc>
        <w:tc>
          <w:tcPr>
            <w:tcW w:w="355" w:type="pct"/>
            <w:shd w:val="clear" w:color="auto" w:fill="auto"/>
            <w:tcMar>
              <w:left w:w="108" w:type="dxa"/>
              <w:right w:w="108" w:type="dxa"/>
            </w:tcMar>
          </w:tcPr>
          <w:p w14:paraId="01C3411A" w14:textId="77777777" w:rsidR="001E5006" w:rsidRPr="008A370F" w:rsidRDefault="001E5006" w:rsidP="00733737">
            <w:pPr>
              <w:pStyle w:val="TableText"/>
              <w:jc w:val="right"/>
            </w:pPr>
            <w:r w:rsidRPr="008A370F">
              <w:rPr>
                <w:rFonts w:ascii="Calibri" w:hAnsi="Calibri"/>
                <w:color w:val="000000"/>
                <w:szCs w:val="18"/>
              </w:rPr>
              <w:t>63</w:t>
            </w:r>
          </w:p>
        </w:tc>
        <w:tc>
          <w:tcPr>
            <w:tcW w:w="500" w:type="pct"/>
            <w:shd w:val="clear" w:color="auto" w:fill="auto"/>
            <w:tcMar>
              <w:left w:w="108" w:type="dxa"/>
              <w:right w:w="108" w:type="dxa"/>
            </w:tcMar>
          </w:tcPr>
          <w:p w14:paraId="3AA52DC1" w14:textId="77777777" w:rsidR="001E5006" w:rsidRPr="00C32CCF" w:rsidRDefault="001E5006" w:rsidP="00733737">
            <w:pPr>
              <w:pStyle w:val="TableText"/>
              <w:jc w:val="right"/>
              <w:rPr>
                <w:rFonts w:ascii="Calibri" w:hAnsi="Calibri"/>
                <w:color w:val="000000"/>
                <w:szCs w:val="18"/>
              </w:rPr>
            </w:pPr>
            <w:r>
              <w:rPr>
                <w:rFonts w:ascii="Calibri" w:hAnsi="Calibri"/>
                <w:color w:val="000000"/>
                <w:szCs w:val="18"/>
              </w:rPr>
              <w:t>5,590</w:t>
            </w:r>
          </w:p>
        </w:tc>
        <w:tc>
          <w:tcPr>
            <w:tcW w:w="500" w:type="pct"/>
            <w:shd w:val="clear" w:color="auto" w:fill="auto"/>
            <w:tcMar>
              <w:left w:w="108" w:type="dxa"/>
              <w:right w:w="108" w:type="dxa"/>
            </w:tcMar>
          </w:tcPr>
          <w:p w14:paraId="6DD91E81" w14:textId="77777777" w:rsidR="001E5006" w:rsidRPr="00C32CCF" w:rsidRDefault="001E5006" w:rsidP="00733737">
            <w:pPr>
              <w:pStyle w:val="TableText"/>
              <w:jc w:val="right"/>
              <w:rPr>
                <w:highlight w:val="yellow"/>
              </w:rPr>
            </w:pPr>
            <w:r>
              <w:rPr>
                <w:rFonts w:ascii="Calibri" w:hAnsi="Calibri"/>
                <w:color w:val="000000"/>
                <w:szCs w:val="18"/>
              </w:rPr>
              <w:t>352,170</w:t>
            </w:r>
          </w:p>
        </w:tc>
      </w:tr>
      <w:tr w:rsidR="001E5006" w:rsidRPr="001825A7" w14:paraId="464FC7D2" w14:textId="77777777" w:rsidTr="00FF2F78">
        <w:tc>
          <w:tcPr>
            <w:tcW w:w="810" w:type="pct"/>
            <w:tcMar>
              <w:left w:w="108" w:type="dxa"/>
              <w:right w:w="108" w:type="dxa"/>
            </w:tcMar>
          </w:tcPr>
          <w:p w14:paraId="2AFFFB7B" w14:textId="77777777" w:rsidR="001E5006" w:rsidRPr="009213D8" w:rsidRDefault="001E5006" w:rsidP="00733737">
            <w:pPr>
              <w:pStyle w:val="TableText"/>
              <w:rPr>
                <w:b/>
                <w:bCs/>
              </w:rPr>
            </w:pPr>
            <w:r w:rsidRPr="009213D8">
              <w:rPr>
                <w:b/>
                <w:bCs/>
              </w:rPr>
              <w:t>Totals</w:t>
            </w:r>
          </w:p>
        </w:tc>
        <w:tc>
          <w:tcPr>
            <w:tcW w:w="456" w:type="pct"/>
            <w:shd w:val="clear" w:color="auto" w:fill="auto"/>
            <w:tcMar>
              <w:left w:w="108" w:type="dxa"/>
              <w:right w:w="108" w:type="dxa"/>
            </w:tcMar>
          </w:tcPr>
          <w:p w14:paraId="395F7174" w14:textId="2ECC4E93" w:rsidR="001E5006" w:rsidRPr="00ED75D5" w:rsidRDefault="001E5006" w:rsidP="00AD2CA4">
            <w:pPr>
              <w:pStyle w:val="TableText"/>
              <w:jc w:val="right"/>
              <w:rPr>
                <w:rStyle w:val="Strong"/>
              </w:rPr>
            </w:pPr>
            <w:r w:rsidRPr="00ED75D5">
              <w:rPr>
                <w:rStyle w:val="Strong"/>
              </w:rPr>
              <w:t>45</w:t>
            </w:r>
            <w:r w:rsidR="00243864" w:rsidRPr="00ED75D5">
              <w:rPr>
                <w:rStyle w:val="Strong"/>
              </w:rPr>
              <w:t>6</w:t>
            </w:r>
            <w:r w:rsidRPr="00ED75D5">
              <w:rPr>
                <w:rStyle w:val="Strong"/>
              </w:rPr>
              <w:t>,9</w:t>
            </w:r>
            <w:r w:rsidR="00243864" w:rsidRPr="00ED75D5">
              <w:rPr>
                <w:rStyle w:val="Strong"/>
              </w:rPr>
              <w:t>78</w:t>
            </w:r>
            <w:r w:rsidRPr="00ED75D5">
              <w:rPr>
                <w:rStyle w:val="Strong"/>
              </w:rPr>
              <w:t>,</w:t>
            </w:r>
            <w:r w:rsidR="00243864" w:rsidRPr="00ED75D5">
              <w:rPr>
                <w:rStyle w:val="Strong"/>
              </w:rPr>
              <w:t>069</w:t>
            </w:r>
          </w:p>
        </w:tc>
        <w:tc>
          <w:tcPr>
            <w:tcW w:w="1619" w:type="pct"/>
            <w:shd w:val="clear" w:color="auto" w:fill="auto"/>
            <w:tcMar>
              <w:left w:w="108" w:type="dxa"/>
              <w:right w:w="108" w:type="dxa"/>
            </w:tcMar>
          </w:tcPr>
          <w:p w14:paraId="1D904BD4" w14:textId="77777777" w:rsidR="001E5006" w:rsidRPr="009213D8" w:rsidRDefault="001E5006" w:rsidP="00733737">
            <w:pPr>
              <w:pStyle w:val="TableText"/>
            </w:pPr>
            <w:r>
              <w:rPr>
                <w:rFonts w:cstheme="minorHAnsi"/>
              </w:rPr>
              <w:t>–</w:t>
            </w:r>
          </w:p>
        </w:tc>
        <w:tc>
          <w:tcPr>
            <w:tcW w:w="760" w:type="pct"/>
            <w:shd w:val="clear" w:color="auto" w:fill="auto"/>
            <w:tcMar>
              <w:left w:w="108" w:type="dxa"/>
              <w:right w:w="108" w:type="dxa"/>
            </w:tcMar>
          </w:tcPr>
          <w:p w14:paraId="43B9D1F1" w14:textId="77777777" w:rsidR="001E5006" w:rsidRPr="009213D8" w:rsidRDefault="001E5006" w:rsidP="00733737">
            <w:pPr>
              <w:pStyle w:val="TableText"/>
            </w:pPr>
            <w:r>
              <w:rPr>
                <w:rFonts w:cstheme="minorHAnsi"/>
              </w:rPr>
              <w:t>–</w:t>
            </w:r>
          </w:p>
        </w:tc>
        <w:tc>
          <w:tcPr>
            <w:tcW w:w="355" w:type="pct"/>
            <w:shd w:val="clear" w:color="auto" w:fill="auto"/>
            <w:tcMar>
              <w:left w:w="108" w:type="dxa"/>
              <w:right w:w="108" w:type="dxa"/>
            </w:tcMar>
          </w:tcPr>
          <w:p w14:paraId="4AB7E0CB" w14:textId="77777777" w:rsidR="001E5006" w:rsidRPr="001825A7" w:rsidRDefault="001E5006" w:rsidP="00733737">
            <w:pPr>
              <w:pStyle w:val="TableText"/>
              <w:jc w:val="right"/>
              <w:rPr>
                <w:highlight w:val="yellow"/>
              </w:rPr>
            </w:pPr>
            <w:r>
              <w:rPr>
                <w:rFonts w:cstheme="minorHAnsi"/>
              </w:rPr>
              <w:t>–</w:t>
            </w:r>
          </w:p>
        </w:tc>
        <w:tc>
          <w:tcPr>
            <w:tcW w:w="500" w:type="pct"/>
            <w:shd w:val="clear" w:color="auto" w:fill="auto"/>
            <w:tcMar>
              <w:left w:w="108" w:type="dxa"/>
              <w:right w:w="108" w:type="dxa"/>
            </w:tcMar>
          </w:tcPr>
          <w:p w14:paraId="0B37A836" w14:textId="77777777" w:rsidR="001E5006" w:rsidRPr="001825A7" w:rsidRDefault="001E5006" w:rsidP="00733737">
            <w:pPr>
              <w:pStyle w:val="TableText"/>
              <w:jc w:val="right"/>
              <w:rPr>
                <w:highlight w:val="yellow"/>
              </w:rPr>
            </w:pPr>
            <w:r>
              <w:rPr>
                <w:rFonts w:cstheme="minorHAnsi"/>
              </w:rPr>
              <w:t>–</w:t>
            </w:r>
          </w:p>
        </w:tc>
        <w:tc>
          <w:tcPr>
            <w:tcW w:w="500" w:type="pct"/>
            <w:shd w:val="clear" w:color="auto" w:fill="auto"/>
            <w:tcMar>
              <w:left w:w="108" w:type="dxa"/>
              <w:right w:w="108" w:type="dxa"/>
            </w:tcMar>
          </w:tcPr>
          <w:p w14:paraId="713CD8A3" w14:textId="17AD996D" w:rsidR="001E5006" w:rsidRPr="00ED75D5" w:rsidRDefault="00243864" w:rsidP="00733737">
            <w:pPr>
              <w:pStyle w:val="TableText"/>
              <w:jc w:val="right"/>
              <w:rPr>
                <w:rStyle w:val="Strong"/>
                <w:highlight w:val="yellow"/>
              </w:rPr>
            </w:pPr>
            <w:r w:rsidRPr="00ED75D5">
              <w:rPr>
                <w:rStyle w:val="Strong"/>
              </w:rPr>
              <w:t>456,978,279</w:t>
            </w:r>
          </w:p>
        </w:tc>
      </w:tr>
    </w:tbl>
    <w:p w14:paraId="30C65214" w14:textId="77777777" w:rsidR="00866A1F" w:rsidRDefault="00866A1F" w:rsidP="00866A1F">
      <w:pPr>
        <w:sectPr w:rsidR="00866A1F" w:rsidSect="00866A1F">
          <w:pgSz w:w="16838" w:h="11906" w:orient="landscape"/>
          <w:pgMar w:top="1418" w:right="1418" w:bottom="1418" w:left="1418" w:header="567" w:footer="283" w:gutter="0"/>
          <w:cols w:space="708"/>
          <w:docGrid w:linePitch="360"/>
        </w:sectPr>
      </w:pPr>
    </w:p>
    <w:p w14:paraId="61E6CEB7" w14:textId="15BC0271" w:rsidR="001E5006" w:rsidRPr="009753E8" w:rsidRDefault="001E5006" w:rsidP="001E5006">
      <w:pPr>
        <w:pStyle w:val="Caption"/>
        <w:pageBreakBefore/>
        <w:spacing w:before="120"/>
        <w:rPr>
          <w:b w:val="0"/>
          <w:bCs w:val="0"/>
        </w:rPr>
      </w:pPr>
      <w:bookmarkStart w:id="112" w:name="_Toc200534244"/>
      <w:r>
        <w:lastRenderedPageBreak/>
        <w:t xml:space="preserve">Table </w:t>
      </w:r>
      <w:r>
        <w:fldChar w:fldCharType="begin"/>
      </w:r>
      <w:r>
        <w:instrText xml:space="preserve"> SEQ Table \* ARABIC </w:instrText>
      </w:r>
      <w:r>
        <w:fldChar w:fldCharType="separate"/>
      </w:r>
      <w:r w:rsidR="00D4456E">
        <w:rPr>
          <w:noProof/>
        </w:rPr>
        <w:t>4</w:t>
      </w:r>
      <w:r>
        <w:fldChar w:fldCharType="end"/>
      </w:r>
      <w:r w:rsidRPr="009753E8">
        <w:t xml:space="preserve"> Fee for service on demand prices, 2025</w:t>
      </w:r>
      <w:r>
        <w:t>–</w:t>
      </w:r>
      <w:r w:rsidRPr="009753E8">
        <w:t>26</w:t>
      </w:r>
      <w:bookmarkEnd w:id="112"/>
    </w:p>
    <w:tbl>
      <w:tblPr>
        <w:tblW w:w="5000" w:type="pct"/>
        <w:tblBorders>
          <w:top w:val="single" w:sz="4" w:space="0" w:color="auto"/>
          <w:bottom w:val="single" w:sz="4" w:space="0" w:color="auto"/>
          <w:insideH w:val="single" w:sz="4" w:space="0" w:color="auto"/>
        </w:tblBorders>
        <w:tblCellMar>
          <w:left w:w="40" w:type="dxa"/>
          <w:right w:w="40" w:type="dxa"/>
        </w:tblCellMar>
        <w:tblLook w:val="04A0" w:firstRow="1" w:lastRow="0" w:firstColumn="1" w:lastColumn="0" w:noHBand="0" w:noVBand="1"/>
      </w:tblPr>
      <w:tblGrid>
        <w:gridCol w:w="1988"/>
        <w:gridCol w:w="1983"/>
        <w:gridCol w:w="2262"/>
        <w:gridCol w:w="1420"/>
        <w:gridCol w:w="1417"/>
      </w:tblGrid>
      <w:tr w:rsidR="001E5006" w:rsidRPr="00BB4FCF" w14:paraId="6A82FE0C" w14:textId="77777777" w:rsidTr="00070E11">
        <w:trPr>
          <w:cantSplit/>
          <w:tblHeader/>
        </w:trPr>
        <w:tc>
          <w:tcPr>
            <w:tcW w:w="1096" w:type="pct"/>
            <w:tcBorders>
              <w:bottom w:val="single" w:sz="4" w:space="0" w:color="auto"/>
            </w:tcBorders>
            <w:tcMar>
              <w:left w:w="108" w:type="dxa"/>
              <w:right w:w="108" w:type="dxa"/>
            </w:tcMar>
          </w:tcPr>
          <w:p w14:paraId="6E953784" w14:textId="77777777" w:rsidR="001E5006" w:rsidRPr="00BB4FCF" w:rsidRDefault="001E5006" w:rsidP="009D0141">
            <w:pPr>
              <w:pStyle w:val="TableHeading"/>
            </w:pPr>
            <w:bookmarkStart w:id="113" w:name="Title_4"/>
            <w:bookmarkEnd w:id="113"/>
            <w:r w:rsidRPr="00BB4FCF">
              <w:t>Type of charge</w:t>
            </w:r>
          </w:p>
        </w:tc>
        <w:tc>
          <w:tcPr>
            <w:tcW w:w="1093" w:type="pct"/>
            <w:tcBorders>
              <w:bottom w:val="single" w:sz="4" w:space="0" w:color="auto"/>
            </w:tcBorders>
            <w:tcMar>
              <w:left w:w="108" w:type="dxa"/>
              <w:right w:w="108" w:type="dxa"/>
            </w:tcMar>
          </w:tcPr>
          <w:p w14:paraId="6D7FB883" w14:textId="77777777" w:rsidR="001E5006" w:rsidRPr="00BB4FCF" w:rsidRDefault="001E5006" w:rsidP="009D0141">
            <w:pPr>
              <w:pStyle w:val="TableHeading"/>
            </w:pPr>
            <w:r w:rsidRPr="00BB4FCF">
              <w:t>Estimated total cost ($)</w:t>
            </w:r>
          </w:p>
        </w:tc>
        <w:tc>
          <w:tcPr>
            <w:tcW w:w="1247" w:type="pct"/>
            <w:tcBorders>
              <w:bottom w:val="single" w:sz="4" w:space="0" w:color="auto"/>
            </w:tcBorders>
            <w:tcMar>
              <w:left w:w="108" w:type="dxa"/>
              <w:right w:w="108" w:type="dxa"/>
            </w:tcMar>
          </w:tcPr>
          <w:p w14:paraId="57D679A4" w14:textId="77777777" w:rsidR="001E5006" w:rsidRPr="00BB4FCF" w:rsidRDefault="001E5006" w:rsidP="009D0141">
            <w:pPr>
              <w:pStyle w:val="TableHeading"/>
            </w:pPr>
            <w:r w:rsidRPr="00BB4FCF">
              <w:t>Charge point</w:t>
            </w:r>
          </w:p>
        </w:tc>
        <w:tc>
          <w:tcPr>
            <w:tcW w:w="783" w:type="pct"/>
            <w:tcBorders>
              <w:bottom w:val="single" w:sz="4" w:space="0" w:color="auto"/>
            </w:tcBorders>
            <w:tcMar>
              <w:left w:w="108" w:type="dxa"/>
              <w:right w:w="108" w:type="dxa"/>
            </w:tcMar>
          </w:tcPr>
          <w:p w14:paraId="5A0572C0" w14:textId="77777777" w:rsidR="001E5006" w:rsidRPr="00BB4FCF" w:rsidRDefault="001E5006" w:rsidP="009D0141">
            <w:pPr>
              <w:pStyle w:val="TableHeading"/>
            </w:pPr>
            <w:r w:rsidRPr="00BB4FCF">
              <w:t>Unit</w:t>
            </w:r>
          </w:p>
        </w:tc>
        <w:tc>
          <w:tcPr>
            <w:tcW w:w="781" w:type="pct"/>
            <w:tcBorders>
              <w:bottom w:val="single" w:sz="4" w:space="0" w:color="auto"/>
            </w:tcBorders>
            <w:tcMar>
              <w:left w:w="108" w:type="dxa"/>
              <w:right w:w="108" w:type="dxa"/>
            </w:tcMar>
          </w:tcPr>
          <w:p w14:paraId="1E10185A" w14:textId="77777777" w:rsidR="001E5006" w:rsidRPr="00BB4FCF" w:rsidRDefault="001E5006" w:rsidP="009D0141">
            <w:pPr>
              <w:pStyle w:val="TableHeading"/>
            </w:pPr>
            <w:r w:rsidRPr="00BB4FCF">
              <w:t>Price ($)</w:t>
            </w:r>
          </w:p>
        </w:tc>
      </w:tr>
      <w:tr w:rsidR="001E5006" w:rsidRPr="008B7CF3" w14:paraId="01C6A1A6" w14:textId="77777777" w:rsidTr="00070E11">
        <w:tc>
          <w:tcPr>
            <w:tcW w:w="1096" w:type="pct"/>
            <w:tcBorders>
              <w:top w:val="single" w:sz="4" w:space="0" w:color="auto"/>
              <w:left w:val="nil"/>
              <w:bottom w:val="single" w:sz="4" w:space="0" w:color="auto"/>
              <w:right w:val="nil"/>
            </w:tcBorders>
            <w:tcMar>
              <w:left w:w="108" w:type="dxa"/>
              <w:right w:w="108" w:type="dxa"/>
            </w:tcMar>
          </w:tcPr>
          <w:p w14:paraId="3E590BE5" w14:textId="77777777" w:rsidR="001E5006" w:rsidRPr="008B7CF3" w:rsidRDefault="001E5006" w:rsidP="009D0141">
            <w:pPr>
              <w:pStyle w:val="TableText"/>
            </w:pPr>
            <w:r w:rsidRPr="008B7CF3">
              <w:t>Fee for service – temporary storage in relation to international travellers and their baggage</w:t>
            </w:r>
          </w:p>
        </w:tc>
        <w:tc>
          <w:tcPr>
            <w:tcW w:w="1093" w:type="pct"/>
            <w:tcBorders>
              <w:top w:val="single" w:sz="4" w:space="0" w:color="auto"/>
              <w:left w:val="nil"/>
              <w:bottom w:val="single" w:sz="4" w:space="0" w:color="auto"/>
              <w:right w:val="nil"/>
            </w:tcBorders>
            <w:shd w:val="clear" w:color="auto" w:fill="auto"/>
            <w:tcMar>
              <w:left w:w="108" w:type="dxa"/>
              <w:right w:w="108" w:type="dxa"/>
            </w:tcMar>
          </w:tcPr>
          <w:p w14:paraId="792A1B7E" w14:textId="77777777" w:rsidR="001E5006" w:rsidRPr="008B7CF3" w:rsidRDefault="001E5006" w:rsidP="009D0141">
            <w:pPr>
              <w:pStyle w:val="TableText"/>
            </w:pPr>
            <w:r w:rsidRPr="008B7CF3">
              <w:t>n/a</w:t>
            </w:r>
          </w:p>
        </w:tc>
        <w:tc>
          <w:tcPr>
            <w:tcW w:w="1247" w:type="pct"/>
            <w:tcBorders>
              <w:top w:val="single" w:sz="4" w:space="0" w:color="auto"/>
              <w:left w:val="nil"/>
              <w:bottom w:val="single" w:sz="4" w:space="0" w:color="auto"/>
              <w:right w:val="nil"/>
            </w:tcBorders>
            <w:shd w:val="clear" w:color="auto" w:fill="auto"/>
            <w:tcMar>
              <w:left w:w="108" w:type="dxa"/>
              <w:right w:w="108" w:type="dxa"/>
            </w:tcMar>
          </w:tcPr>
          <w:p w14:paraId="5F6D9FAA" w14:textId="77777777" w:rsidR="001E5006" w:rsidRPr="008B7CF3" w:rsidRDefault="001E5006" w:rsidP="009D0141">
            <w:pPr>
              <w:pStyle w:val="TableText"/>
              <w:rPr>
                <w:szCs w:val="18"/>
              </w:rPr>
            </w:pPr>
            <w:r w:rsidRPr="008B7CF3">
              <w:rPr>
                <w:szCs w:val="18"/>
              </w:rPr>
              <w:t>Temporary storage at premises owned or managed by the Commonwealth for baggage brought into Australian territory</w:t>
            </w:r>
          </w:p>
        </w:tc>
        <w:tc>
          <w:tcPr>
            <w:tcW w:w="783" w:type="pct"/>
            <w:tcBorders>
              <w:top w:val="single" w:sz="4" w:space="0" w:color="auto"/>
              <w:left w:val="nil"/>
              <w:bottom w:val="single" w:sz="4" w:space="0" w:color="auto"/>
              <w:right w:val="nil"/>
            </w:tcBorders>
            <w:shd w:val="clear" w:color="auto" w:fill="auto"/>
            <w:tcMar>
              <w:left w:w="108" w:type="dxa"/>
              <w:right w:w="108" w:type="dxa"/>
            </w:tcMar>
          </w:tcPr>
          <w:p w14:paraId="0B93365F" w14:textId="77777777" w:rsidR="001E5006" w:rsidRPr="008B7CF3" w:rsidRDefault="001E5006" w:rsidP="009D0141">
            <w:pPr>
              <w:pStyle w:val="TableText"/>
              <w:rPr>
                <w:rFonts w:cstheme="minorHAnsi"/>
                <w:szCs w:val="18"/>
              </w:rPr>
            </w:pPr>
            <w:r w:rsidRPr="008B7CF3">
              <w:rPr>
                <w:szCs w:val="18"/>
              </w:rPr>
              <w:t>Per 30 days per item of baggage</w:t>
            </w:r>
          </w:p>
        </w:tc>
        <w:tc>
          <w:tcPr>
            <w:tcW w:w="781" w:type="pct"/>
            <w:tcBorders>
              <w:top w:val="single" w:sz="4" w:space="0" w:color="auto"/>
              <w:left w:val="nil"/>
              <w:bottom w:val="single" w:sz="4" w:space="0" w:color="auto"/>
              <w:right w:val="nil"/>
            </w:tcBorders>
            <w:shd w:val="clear" w:color="auto" w:fill="auto"/>
            <w:tcMar>
              <w:left w:w="108" w:type="dxa"/>
              <w:right w:w="108" w:type="dxa"/>
            </w:tcMar>
          </w:tcPr>
          <w:p w14:paraId="2999866C" w14:textId="77777777" w:rsidR="001E5006" w:rsidRPr="008A370F" w:rsidRDefault="001E5006" w:rsidP="00AC4F0B">
            <w:pPr>
              <w:pStyle w:val="TableText"/>
              <w:jc w:val="right"/>
              <w:rPr>
                <w:szCs w:val="18"/>
              </w:rPr>
            </w:pPr>
            <w:r w:rsidRPr="00AC4F0B">
              <w:t>48</w:t>
            </w:r>
          </w:p>
        </w:tc>
      </w:tr>
      <w:tr w:rsidR="001E5006" w:rsidRPr="008B7CF3" w14:paraId="012EDB2E" w14:textId="77777777" w:rsidTr="00070E11">
        <w:tc>
          <w:tcPr>
            <w:tcW w:w="1096" w:type="pct"/>
            <w:vMerge w:val="restart"/>
            <w:tcBorders>
              <w:top w:val="single" w:sz="4" w:space="0" w:color="auto"/>
              <w:left w:val="nil"/>
              <w:right w:val="nil"/>
            </w:tcBorders>
            <w:tcMar>
              <w:left w:w="108" w:type="dxa"/>
              <w:right w:w="108" w:type="dxa"/>
            </w:tcMar>
          </w:tcPr>
          <w:p w14:paraId="3C340A90" w14:textId="77777777" w:rsidR="001E5006" w:rsidRPr="008B7CF3" w:rsidRDefault="001E5006" w:rsidP="009D0141">
            <w:pPr>
              <w:pStyle w:val="TableText"/>
            </w:pPr>
            <w:r w:rsidRPr="008B7CF3">
              <w:t>Fee for service – special processing areas, agreed fee for international travellers and their baggage</w:t>
            </w:r>
          </w:p>
        </w:tc>
        <w:tc>
          <w:tcPr>
            <w:tcW w:w="1093" w:type="pct"/>
            <w:tcBorders>
              <w:top w:val="single" w:sz="4" w:space="0" w:color="auto"/>
              <w:left w:val="nil"/>
              <w:bottom w:val="single" w:sz="4" w:space="0" w:color="auto"/>
              <w:right w:val="nil"/>
            </w:tcBorders>
            <w:shd w:val="clear" w:color="auto" w:fill="auto"/>
            <w:tcMar>
              <w:left w:w="108" w:type="dxa"/>
              <w:right w:w="108" w:type="dxa"/>
            </w:tcMar>
          </w:tcPr>
          <w:p w14:paraId="33860511" w14:textId="77777777" w:rsidR="001E5006" w:rsidRPr="008B7CF3" w:rsidRDefault="001E5006" w:rsidP="009D0141">
            <w:pPr>
              <w:pStyle w:val="TableText"/>
              <w:rPr>
                <w:szCs w:val="18"/>
              </w:rPr>
            </w:pPr>
            <w:r w:rsidRPr="008B7CF3">
              <w:rPr>
                <w:szCs w:val="18"/>
              </w:rPr>
              <w:t xml:space="preserve">Any period up to 3 hours during which one or more fee bearing activities </w:t>
            </w:r>
            <w:proofErr w:type="gramStart"/>
            <w:r w:rsidRPr="008B7CF3">
              <w:rPr>
                <w:szCs w:val="18"/>
              </w:rPr>
              <w:t>are carried</w:t>
            </w:r>
            <w:proofErr w:type="gramEnd"/>
            <w:r w:rsidRPr="008B7CF3">
              <w:rPr>
                <w:szCs w:val="18"/>
              </w:rPr>
              <w:t xml:space="preserve"> out</w:t>
            </w:r>
          </w:p>
        </w:tc>
        <w:tc>
          <w:tcPr>
            <w:tcW w:w="1247" w:type="pct"/>
            <w:tcBorders>
              <w:top w:val="single" w:sz="4" w:space="0" w:color="auto"/>
              <w:left w:val="nil"/>
              <w:bottom w:val="single" w:sz="4" w:space="0" w:color="auto"/>
              <w:right w:val="nil"/>
            </w:tcBorders>
            <w:shd w:val="clear" w:color="auto" w:fill="auto"/>
            <w:tcMar>
              <w:left w:w="108" w:type="dxa"/>
              <w:right w:w="108" w:type="dxa"/>
            </w:tcMar>
          </w:tcPr>
          <w:p w14:paraId="377D23FC" w14:textId="77777777" w:rsidR="001E5006" w:rsidRPr="008B7CF3" w:rsidRDefault="001E5006" w:rsidP="009D0141">
            <w:pPr>
              <w:pStyle w:val="TableText"/>
              <w:rPr>
                <w:szCs w:val="18"/>
              </w:rPr>
            </w:pPr>
            <w:r w:rsidRPr="008B7CF3">
              <w:rPr>
                <w:szCs w:val="18"/>
              </w:rPr>
              <w:t>First 3 hours for each person carrying out those activities</w:t>
            </w:r>
          </w:p>
        </w:tc>
        <w:tc>
          <w:tcPr>
            <w:tcW w:w="783" w:type="pct"/>
            <w:tcBorders>
              <w:top w:val="single" w:sz="4" w:space="0" w:color="auto"/>
              <w:left w:val="nil"/>
              <w:bottom w:val="single" w:sz="4" w:space="0" w:color="auto"/>
              <w:right w:val="nil"/>
            </w:tcBorders>
            <w:shd w:val="clear" w:color="auto" w:fill="auto"/>
            <w:tcMar>
              <w:left w:w="108" w:type="dxa"/>
              <w:right w:w="108" w:type="dxa"/>
            </w:tcMar>
          </w:tcPr>
          <w:p w14:paraId="56DA46F9" w14:textId="77777777" w:rsidR="001E5006" w:rsidRPr="008B7CF3" w:rsidRDefault="001E5006" w:rsidP="009D0141">
            <w:pPr>
              <w:pStyle w:val="TableText"/>
              <w:rPr>
                <w:rFonts w:cstheme="minorHAnsi"/>
                <w:szCs w:val="18"/>
              </w:rPr>
            </w:pPr>
            <w:r w:rsidRPr="008B7CF3">
              <w:rPr>
                <w:rFonts w:cstheme="minorHAnsi"/>
                <w:szCs w:val="18"/>
              </w:rPr>
              <w:t>Per first 3 hours</w:t>
            </w:r>
          </w:p>
        </w:tc>
        <w:tc>
          <w:tcPr>
            <w:tcW w:w="781" w:type="pct"/>
            <w:tcBorders>
              <w:top w:val="single" w:sz="4" w:space="0" w:color="auto"/>
              <w:left w:val="nil"/>
              <w:bottom w:val="single" w:sz="4" w:space="0" w:color="auto"/>
              <w:right w:val="nil"/>
            </w:tcBorders>
            <w:shd w:val="clear" w:color="auto" w:fill="auto"/>
            <w:tcMar>
              <w:left w:w="108" w:type="dxa"/>
              <w:right w:w="108" w:type="dxa"/>
            </w:tcMar>
          </w:tcPr>
          <w:p w14:paraId="0EE1A2CA" w14:textId="77777777" w:rsidR="001E5006" w:rsidRPr="008A370F" w:rsidRDefault="001E5006" w:rsidP="009D0141">
            <w:pPr>
              <w:pStyle w:val="TableText"/>
            </w:pPr>
            <w:r w:rsidRPr="008A370F">
              <w:t>At least 550, but not more than 1,100</w:t>
            </w:r>
          </w:p>
        </w:tc>
      </w:tr>
      <w:tr w:rsidR="001E5006" w:rsidRPr="008B7CF3" w14:paraId="0AEBF01B" w14:textId="77777777" w:rsidTr="00070E11">
        <w:tc>
          <w:tcPr>
            <w:tcW w:w="1096" w:type="pct"/>
            <w:vMerge/>
            <w:tcBorders>
              <w:left w:val="nil"/>
              <w:bottom w:val="single" w:sz="4" w:space="0" w:color="auto"/>
              <w:right w:val="nil"/>
            </w:tcBorders>
            <w:tcMar>
              <w:left w:w="108" w:type="dxa"/>
              <w:right w:w="108" w:type="dxa"/>
            </w:tcMar>
          </w:tcPr>
          <w:p w14:paraId="7D9B253C" w14:textId="77777777" w:rsidR="001E5006" w:rsidRPr="008B7CF3" w:rsidRDefault="001E5006" w:rsidP="009D0141">
            <w:pPr>
              <w:pStyle w:val="TableText"/>
            </w:pPr>
          </w:p>
        </w:tc>
        <w:tc>
          <w:tcPr>
            <w:tcW w:w="1093" w:type="pct"/>
            <w:tcBorders>
              <w:top w:val="single" w:sz="4" w:space="0" w:color="auto"/>
              <w:left w:val="nil"/>
              <w:bottom w:val="single" w:sz="4" w:space="0" w:color="auto"/>
              <w:right w:val="nil"/>
            </w:tcBorders>
            <w:shd w:val="clear" w:color="auto" w:fill="auto"/>
            <w:tcMar>
              <w:left w:w="108" w:type="dxa"/>
              <w:right w:w="108" w:type="dxa"/>
            </w:tcMar>
          </w:tcPr>
          <w:p w14:paraId="43F07179" w14:textId="77777777" w:rsidR="001E5006" w:rsidRPr="008B7CF3" w:rsidRDefault="001E5006" w:rsidP="009D0141">
            <w:pPr>
              <w:pStyle w:val="TableText"/>
            </w:pPr>
            <w:r w:rsidRPr="008B7CF3">
              <w:t xml:space="preserve">Immediately following the first 3 hours during which those activities </w:t>
            </w:r>
            <w:proofErr w:type="gramStart"/>
            <w:r w:rsidRPr="008B7CF3">
              <w:t>are carried</w:t>
            </w:r>
            <w:proofErr w:type="gramEnd"/>
            <w:r w:rsidRPr="008B7CF3">
              <w:t xml:space="preserve"> out</w:t>
            </w:r>
          </w:p>
        </w:tc>
        <w:tc>
          <w:tcPr>
            <w:tcW w:w="1247" w:type="pct"/>
            <w:tcBorders>
              <w:top w:val="single" w:sz="4" w:space="0" w:color="auto"/>
              <w:left w:val="nil"/>
              <w:bottom w:val="single" w:sz="4" w:space="0" w:color="auto"/>
              <w:right w:val="nil"/>
            </w:tcBorders>
            <w:shd w:val="clear" w:color="auto" w:fill="auto"/>
            <w:tcMar>
              <w:left w:w="108" w:type="dxa"/>
              <w:right w:w="108" w:type="dxa"/>
            </w:tcMar>
          </w:tcPr>
          <w:p w14:paraId="7A3E0BF1" w14:textId="77777777" w:rsidR="001E5006" w:rsidRPr="008B7CF3" w:rsidRDefault="001E5006" w:rsidP="009D0141">
            <w:pPr>
              <w:pStyle w:val="TableText"/>
            </w:pPr>
            <w:r w:rsidRPr="008B7CF3">
              <w:t>Per 15 minutes immediately following first 3 hours for each person carrying out those activities</w:t>
            </w:r>
          </w:p>
        </w:tc>
        <w:tc>
          <w:tcPr>
            <w:tcW w:w="783" w:type="pct"/>
            <w:tcBorders>
              <w:top w:val="single" w:sz="4" w:space="0" w:color="auto"/>
              <w:left w:val="nil"/>
              <w:bottom w:val="single" w:sz="4" w:space="0" w:color="auto"/>
              <w:right w:val="nil"/>
            </w:tcBorders>
            <w:shd w:val="clear" w:color="auto" w:fill="auto"/>
            <w:tcMar>
              <w:left w:w="108" w:type="dxa"/>
              <w:right w:w="108" w:type="dxa"/>
            </w:tcMar>
          </w:tcPr>
          <w:p w14:paraId="395D065A" w14:textId="77777777" w:rsidR="001E5006" w:rsidRPr="008B7CF3" w:rsidRDefault="001E5006" w:rsidP="009D0141">
            <w:pPr>
              <w:pStyle w:val="TableText"/>
              <w:rPr>
                <w:rFonts w:cstheme="minorHAnsi"/>
                <w:szCs w:val="18"/>
              </w:rPr>
            </w:pPr>
            <w:r w:rsidRPr="008B7CF3">
              <w:rPr>
                <w:rFonts w:cstheme="minorHAnsi"/>
                <w:szCs w:val="18"/>
              </w:rPr>
              <w:t>Per each 15 minutes after the first 3 hours</w:t>
            </w:r>
          </w:p>
        </w:tc>
        <w:tc>
          <w:tcPr>
            <w:tcW w:w="781" w:type="pct"/>
            <w:tcBorders>
              <w:top w:val="single" w:sz="4" w:space="0" w:color="auto"/>
              <w:left w:val="nil"/>
              <w:bottom w:val="single" w:sz="4" w:space="0" w:color="auto"/>
              <w:right w:val="nil"/>
            </w:tcBorders>
            <w:shd w:val="clear" w:color="auto" w:fill="auto"/>
            <w:tcMar>
              <w:left w:w="108" w:type="dxa"/>
              <w:right w:w="108" w:type="dxa"/>
            </w:tcMar>
          </w:tcPr>
          <w:p w14:paraId="40C97074" w14:textId="77777777" w:rsidR="001E5006" w:rsidRPr="008A370F" w:rsidRDefault="001E5006" w:rsidP="009D0141">
            <w:pPr>
              <w:pStyle w:val="TableText"/>
            </w:pPr>
            <w:r w:rsidRPr="008A370F">
              <w:t>At least 46, but not more than 92</w:t>
            </w:r>
          </w:p>
        </w:tc>
      </w:tr>
    </w:tbl>
    <w:p w14:paraId="1866E6BF" w14:textId="77777777" w:rsidR="001E5006" w:rsidRDefault="001E5006" w:rsidP="001E5006">
      <w:pPr>
        <w:pStyle w:val="FigureTableNoteSource"/>
      </w:pPr>
      <w:r w:rsidRPr="00DF7DE3">
        <w:t xml:space="preserve">Note: These fee-for-service activities will only apply when the activity </w:t>
      </w:r>
      <w:proofErr w:type="gramStart"/>
      <w:r w:rsidRPr="00DF7DE3">
        <w:t>is requested</w:t>
      </w:r>
      <w:proofErr w:type="gramEnd"/>
      <w:r w:rsidRPr="00DF7DE3">
        <w:t xml:space="preserve"> by industry.</w:t>
      </w:r>
    </w:p>
    <w:bookmarkStart w:id="114" w:name="_Hlk198741492"/>
    <w:p w14:paraId="2159D6D6" w14:textId="0DA9F902" w:rsidR="001E5006" w:rsidRDefault="00D4456E" w:rsidP="00F71378">
      <w:pPr>
        <w:spacing w:after="120"/>
        <w:rPr>
          <w:rFonts w:cstheme="minorHAnsi"/>
        </w:rPr>
      </w:pPr>
      <w:r>
        <w:rPr>
          <w:rFonts w:cstheme="minorHAnsi"/>
        </w:rPr>
        <w:fldChar w:fldCharType="begin"/>
      </w:r>
      <w:r>
        <w:rPr>
          <w:rFonts w:cstheme="minorHAnsi"/>
        </w:rPr>
        <w:instrText xml:space="preserve"> REF _Ref197943026 \h </w:instrText>
      </w:r>
      <w:r>
        <w:rPr>
          <w:rFonts w:cstheme="minorHAnsi"/>
        </w:rPr>
      </w:r>
      <w:r>
        <w:rPr>
          <w:rFonts w:cstheme="minorHAnsi"/>
        </w:rPr>
        <w:fldChar w:fldCharType="separate"/>
      </w:r>
      <w:r w:rsidRPr="00D4456E">
        <w:t xml:space="preserve">Table </w:t>
      </w:r>
      <w:r>
        <w:rPr>
          <w:noProof/>
        </w:rPr>
        <w:t>5</w:t>
      </w:r>
      <w:r>
        <w:rPr>
          <w:rFonts w:cstheme="minorHAnsi"/>
        </w:rPr>
        <w:fldChar w:fldCharType="end"/>
      </w:r>
      <w:r w:rsidR="001E5006">
        <w:rPr>
          <w:rFonts w:cstheme="minorHAnsi"/>
        </w:rPr>
        <w:t xml:space="preserve"> </w:t>
      </w:r>
      <w:r w:rsidR="001E5006" w:rsidRPr="007135C0">
        <w:rPr>
          <w:rFonts w:cstheme="minorHAnsi"/>
        </w:rPr>
        <w:t>provides a breakdown of the modelled cost</w:t>
      </w:r>
      <w:r w:rsidR="00133B0B">
        <w:rPr>
          <w:rFonts w:cstheme="minorHAnsi"/>
        </w:rPr>
        <w:t>s</w:t>
      </w:r>
      <w:r w:rsidR="001E5006" w:rsidRPr="007135C0">
        <w:rPr>
          <w:rFonts w:cstheme="minorHAnsi"/>
        </w:rPr>
        <w:t xml:space="preserve"> of the </w:t>
      </w:r>
      <w:r w:rsidR="00133B0B">
        <w:rPr>
          <w:rFonts w:cstheme="minorHAnsi"/>
        </w:rPr>
        <w:t xml:space="preserve">arrangement by </w:t>
      </w:r>
      <w:r w:rsidR="001E5006" w:rsidRPr="007135C0">
        <w:rPr>
          <w:rFonts w:cstheme="minorHAnsi"/>
        </w:rPr>
        <w:t>charg</w:t>
      </w:r>
      <w:r w:rsidR="00133B0B">
        <w:rPr>
          <w:rFonts w:cstheme="minorHAnsi"/>
        </w:rPr>
        <w:t>e</w:t>
      </w:r>
      <w:r w:rsidR="001E5006" w:rsidRPr="007135C0">
        <w:rPr>
          <w:rFonts w:cstheme="minorHAnsi"/>
        </w:rPr>
        <w:t xml:space="preserve"> type</w:t>
      </w:r>
      <w:r w:rsidR="00133B0B">
        <w:rPr>
          <w:rFonts w:cstheme="minorHAnsi"/>
        </w:rPr>
        <w:t xml:space="preserve">, </w:t>
      </w:r>
      <w:r w:rsidR="001E5006" w:rsidRPr="007135C0">
        <w:rPr>
          <w:rFonts w:cstheme="minorHAnsi"/>
        </w:rPr>
        <w:t>activity</w:t>
      </w:r>
      <w:r w:rsidR="00133B0B">
        <w:rPr>
          <w:rFonts w:cstheme="minorHAnsi"/>
        </w:rPr>
        <w:t xml:space="preserve"> an </w:t>
      </w:r>
      <w:bookmarkEnd w:id="114"/>
      <w:r w:rsidR="00133B0B">
        <w:rPr>
          <w:rFonts w:cstheme="minorHAnsi"/>
        </w:rPr>
        <w:t>output</w:t>
      </w:r>
      <w:r w:rsidR="001E5006" w:rsidRPr="007135C0">
        <w:rPr>
          <w:rFonts w:cstheme="minorHAnsi"/>
        </w:rPr>
        <w:t>. For a detailed description of activities</w:t>
      </w:r>
      <w:r w:rsidR="00133B0B">
        <w:rPr>
          <w:rFonts w:cstheme="minorHAnsi"/>
        </w:rPr>
        <w:t xml:space="preserve"> and outputs</w:t>
      </w:r>
      <w:r w:rsidR="001E5006" w:rsidRPr="007135C0">
        <w:rPr>
          <w:rFonts w:cstheme="minorHAnsi"/>
        </w:rPr>
        <w:t xml:space="preserve">, see </w:t>
      </w:r>
      <w:hyperlink w:anchor="_Appendix_B:_Description" w:history="1">
        <w:r w:rsidR="001E5006">
          <w:rPr>
            <w:rStyle w:val="Hyperlink"/>
            <w:rFonts w:cstheme="minorHAnsi"/>
          </w:rPr>
          <w:t>Appendix B</w:t>
        </w:r>
      </w:hyperlink>
      <w:r w:rsidR="001E5006" w:rsidRPr="007135C0">
        <w:rPr>
          <w:rFonts w:cstheme="minorHAnsi"/>
        </w:rPr>
        <w:t>.</w:t>
      </w:r>
    </w:p>
    <w:p w14:paraId="0E93A23E" w14:textId="560F114C" w:rsidR="001E5006" w:rsidRPr="005B4125" w:rsidRDefault="001E5006" w:rsidP="001E5006">
      <w:pPr>
        <w:pStyle w:val="Caption"/>
        <w:rPr>
          <w:rFonts w:cstheme="minorHAnsi"/>
        </w:rPr>
      </w:pPr>
      <w:bookmarkStart w:id="115" w:name="_Ref197943026"/>
      <w:bookmarkStart w:id="116" w:name="_Toc200534245"/>
      <w:r w:rsidRPr="00D4456E">
        <w:t xml:space="preserve">Table </w:t>
      </w:r>
      <w:r w:rsidRPr="00D4456E">
        <w:fldChar w:fldCharType="begin"/>
      </w:r>
      <w:r w:rsidRPr="00D4456E">
        <w:instrText xml:space="preserve"> SEQ Table \* ARABIC </w:instrText>
      </w:r>
      <w:r w:rsidRPr="00D4456E">
        <w:fldChar w:fldCharType="separate"/>
      </w:r>
      <w:r w:rsidR="00D4456E">
        <w:rPr>
          <w:noProof/>
        </w:rPr>
        <w:t>5</w:t>
      </w:r>
      <w:r w:rsidRPr="00D4456E">
        <w:fldChar w:fldCharType="end"/>
      </w:r>
      <w:bookmarkEnd w:id="115"/>
      <w:r>
        <w:t xml:space="preserve"> </w:t>
      </w:r>
      <w:r w:rsidRPr="00BC4737">
        <w:t>Cost type breakdown</w:t>
      </w:r>
      <w:r w:rsidR="00133B0B">
        <w:t xml:space="preserve"> by activity and output</w:t>
      </w:r>
      <w:bookmarkEnd w:id="116"/>
    </w:p>
    <w:tbl>
      <w:tblPr>
        <w:tblW w:w="5000" w:type="pct"/>
        <w:tblBorders>
          <w:top w:val="single" w:sz="4" w:space="0" w:color="auto"/>
          <w:bottom w:val="single" w:sz="4" w:space="0" w:color="auto"/>
          <w:insideH w:val="single" w:sz="4" w:space="0" w:color="auto"/>
        </w:tblBorders>
        <w:tblCellMar>
          <w:left w:w="40" w:type="dxa"/>
          <w:right w:w="40" w:type="dxa"/>
        </w:tblCellMar>
        <w:tblLook w:val="04A0" w:firstRow="1" w:lastRow="0" w:firstColumn="1" w:lastColumn="0" w:noHBand="0" w:noVBand="1"/>
      </w:tblPr>
      <w:tblGrid>
        <w:gridCol w:w="2694"/>
        <w:gridCol w:w="1985"/>
        <w:gridCol w:w="3118"/>
        <w:gridCol w:w="1273"/>
      </w:tblGrid>
      <w:tr w:rsidR="001E5006" w:rsidRPr="00DF7DE3" w14:paraId="2DB9C331" w14:textId="77777777" w:rsidTr="007C2F94">
        <w:trPr>
          <w:cantSplit/>
          <w:tblHeader/>
        </w:trPr>
        <w:tc>
          <w:tcPr>
            <w:tcW w:w="1485" w:type="pct"/>
            <w:tcMar>
              <w:left w:w="108" w:type="dxa"/>
              <w:right w:w="108" w:type="dxa"/>
            </w:tcMar>
          </w:tcPr>
          <w:p w14:paraId="50C3D779" w14:textId="77777777" w:rsidR="001E5006" w:rsidRPr="00DF7DE3" w:rsidRDefault="001E5006" w:rsidP="00733737">
            <w:pPr>
              <w:keepNext/>
              <w:spacing w:before="60" w:after="60" w:line="240" w:lineRule="auto"/>
              <w:rPr>
                <w:b/>
                <w:sz w:val="18"/>
              </w:rPr>
            </w:pPr>
            <w:bookmarkStart w:id="117" w:name="Title_5"/>
            <w:bookmarkEnd w:id="117"/>
            <w:r w:rsidRPr="00DF7DE3">
              <w:rPr>
                <w:b/>
                <w:sz w:val="18"/>
              </w:rPr>
              <w:t>Charge type</w:t>
            </w:r>
          </w:p>
        </w:tc>
        <w:tc>
          <w:tcPr>
            <w:tcW w:w="1094" w:type="pct"/>
            <w:tcMar>
              <w:left w:w="108" w:type="dxa"/>
              <w:right w:w="108" w:type="dxa"/>
            </w:tcMar>
          </w:tcPr>
          <w:p w14:paraId="042E2A95" w14:textId="1722F0D8" w:rsidR="001E5006" w:rsidRPr="00DF7DE3" w:rsidRDefault="001E5006" w:rsidP="00733737">
            <w:pPr>
              <w:keepNext/>
              <w:spacing w:before="60" w:after="60" w:line="240" w:lineRule="auto"/>
              <w:rPr>
                <w:b/>
                <w:sz w:val="18"/>
              </w:rPr>
            </w:pPr>
            <w:r w:rsidRPr="00DF7DE3">
              <w:rPr>
                <w:b/>
                <w:sz w:val="18"/>
              </w:rPr>
              <w:t>Activity</w:t>
            </w:r>
          </w:p>
        </w:tc>
        <w:tc>
          <w:tcPr>
            <w:tcW w:w="1719" w:type="pct"/>
            <w:tcMar>
              <w:left w:w="108" w:type="dxa"/>
              <w:right w:w="108" w:type="dxa"/>
            </w:tcMar>
          </w:tcPr>
          <w:p w14:paraId="7A243FA3" w14:textId="7570DE34" w:rsidR="001E5006" w:rsidRPr="00DF7DE3" w:rsidRDefault="00133B0B" w:rsidP="00733737">
            <w:pPr>
              <w:keepNext/>
              <w:spacing w:before="60" w:after="60" w:line="240" w:lineRule="auto"/>
              <w:rPr>
                <w:b/>
                <w:sz w:val="18"/>
              </w:rPr>
            </w:pPr>
            <w:r>
              <w:rPr>
                <w:b/>
                <w:sz w:val="18"/>
              </w:rPr>
              <w:t>Output</w:t>
            </w:r>
          </w:p>
        </w:tc>
        <w:tc>
          <w:tcPr>
            <w:tcW w:w="702" w:type="pct"/>
            <w:tcMar>
              <w:left w:w="108" w:type="dxa"/>
              <w:right w:w="108" w:type="dxa"/>
            </w:tcMar>
          </w:tcPr>
          <w:p w14:paraId="5BAA422E" w14:textId="77777777" w:rsidR="001E5006" w:rsidRPr="00DF7DE3" w:rsidRDefault="001E5006" w:rsidP="00733737">
            <w:pPr>
              <w:keepNext/>
              <w:spacing w:before="60" w:after="60" w:line="240" w:lineRule="auto"/>
              <w:rPr>
                <w:b/>
                <w:sz w:val="18"/>
              </w:rPr>
            </w:pPr>
            <w:r w:rsidRPr="00DF7DE3">
              <w:rPr>
                <w:b/>
                <w:sz w:val="18"/>
              </w:rPr>
              <w:t>Expense ($)</w:t>
            </w:r>
          </w:p>
        </w:tc>
      </w:tr>
      <w:tr w:rsidR="001E5006" w:rsidRPr="00DF7DE3" w14:paraId="7B6837FE" w14:textId="77777777" w:rsidTr="007C2F94">
        <w:tc>
          <w:tcPr>
            <w:tcW w:w="1485" w:type="pct"/>
            <w:vMerge w:val="restart"/>
            <w:tcMar>
              <w:left w:w="108" w:type="dxa"/>
              <w:right w:w="108" w:type="dxa"/>
            </w:tcMar>
          </w:tcPr>
          <w:p w14:paraId="4A81F888" w14:textId="77777777" w:rsidR="001E5006" w:rsidRPr="00DF7DE3" w:rsidRDefault="001E5006" w:rsidP="00733737">
            <w:pPr>
              <w:spacing w:before="60" w:after="60" w:line="240" w:lineRule="auto"/>
              <w:rPr>
                <w:rFonts w:ascii="Calibri" w:hAnsi="Calibri" w:cs="Calibri"/>
                <w:sz w:val="18"/>
                <w:szCs w:val="18"/>
              </w:rPr>
            </w:pPr>
            <w:r w:rsidRPr="00DF7DE3">
              <w:rPr>
                <w:rFonts w:ascii="Calibri" w:hAnsi="Calibri" w:cs="Calibri"/>
                <w:sz w:val="18"/>
                <w:szCs w:val="18"/>
              </w:rPr>
              <w:t>Charges</w:t>
            </w:r>
          </w:p>
        </w:tc>
        <w:tc>
          <w:tcPr>
            <w:tcW w:w="1094" w:type="pct"/>
            <w:vMerge w:val="restart"/>
            <w:tcMar>
              <w:left w:w="108" w:type="dxa"/>
              <w:right w:w="108" w:type="dxa"/>
            </w:tcMar>
          </w:tcPr>
          <w:p w14:paraId="7728490D" w14:textId="77777777" w:rsidR="001E5006" w:rsidRPr="00DF7DE3" w:rsidRDefault="001E5006" w:rsidP="00733737">
            <w:pPr>
              <w:spacing w:before="60" w:after="60" w:line="240" w:lineRule="auto"/>
              <w:rPr>
                <w:rFonts w:ascii="Calibri" w:hAnsi="Calibri" w:cs="Calibri"/>
                <w:sz w:val="18"/>
                <w:szCs w:val="18"/>
              </w:rPr>
            </w:pPr>
            <w:r w:rsidRPr="00DF7DE3">
              <w:rPr>
                <w:rFonts w:ascii="Calibri" w:hAnsi="Calibri" w:cs="Calibri"/>
                <w:sz w:val="18"/>
                <w:szCs w:val="18"/>
              </w:rPr>
              <w:t>Program management and administration</w:t>
            </w:r>
          </w:p>
        </w:tc>
        <w:tc>
          <w:tcPr>
            <w:tcW w:w="1719" w:type="pct"/>
            <w:tcMar>
              <w:left w:w="108" w:type="dxa"/>
              <w:right w:w="108" w:type="dxa"/>
            </w:tcMar>
          </w:tcPr>
          <w:p w14:paraId="5F877B25" w14:textId="77777777" w:rsidR="001E5006" w:rsidRPr="00DF7DE3" w:rsidRDefault="001E5006" w:rsidP="00733737">
            <w:pPr>
              <w:spacing w:before="60" w:after="60" w:line="240" w:lineRule="auto"/>
              <w:rPr>
                <w:rFonts w:ascii="Calibri" w:hAnsi="Calibri" w:cs="Calibri"/>
                <w:sz w:val="18"/>
                <w:szCs w:val="18"/>
              </w:rPr>
            </w:pPr>
            <w:r w:rsidRPr="00DF7DE3">
              <w:rPr>
                <w:rFonts w:ascii="Calibri" w:hAnsi="Calibri" w:cs="Calibri"/>
                <w:sz w:val="18"/>
                <w:szCs w:val="18"/>
              </w:rPr>
              <w:t>Workforce and business administration</w:t>
            </w:r>
          </w:p>
        </w:tc>
        <w:tc>
          <w:tcPr>
            <w:tcW w:w="702" w:type="pct"/>
            <w:tcMar>
              <w:left w:w="108" w:type="dxa"/>
              <w:right w:w="108" w:type="dxa"/>
            </w:tcMar>
          </w:tcPr>
          <w:p w14:paraId="6B8C2B5B" w14:textId="7CD6A0E1" w:rsidR="001E5006" w:rsidRPr="00BB7AAB" w:rsidRDefault="00243864" w:rsidP="00733737">
            <w:pPr>
              <w:spacing w:before="60" w:after="60" w:line="240" w:lineRule="auto"/>
              <w:jc w:val="right"/>
              <w:rPr>
                <w:rFonts w:cstheme="minorHAnsi"/>
                <w:sz w:val="18"/>
                <w:szCs w:val="18"/>
                <w:highlight w:val="yellow"/>
              </w:rPr>
            </w:pPr>
            <w:r>
              <w:rPr>
                <w:rFonts w:cstheme="minorHAnsi"/>
                <w:sz w:val="18"/>
                <w:szCs w:val="18"/>
              </w:rPr>
              <w:t>185,571,184</w:t>
            </w:r>
          </w:p>
        </w:tc>
      </w:tr>
      <w:tr w:rsidR="001E5006" w:rsidRPr="00BB7AAB" w14:paraId="0BEE7189" w14:textId="77777777" w:rsidTr="007C2F94">
        <w:tc>
          <w:tcPr>
            <w:tcW w:w="1485" w:type="pct"/>
            <w:vMerge/>
            <w:tcMar>
              <w:left w:w="108" w:type="dxa"/>
              <w:right w:w="108" w:type="dxa"/>
            </w:tcMar>
          </w:tcPr>
          <w:p w14:paraId="683907E1" w14:textId="77777777" w:rsidR="001E5006" w:rsidRPr="00DF7DE3" w:rsidRDefault="001E5006" w:rsidP="00733737">
            <w:pPr>
              <w:spacing w:before="60" w:after="60" w:line="240" w:lineRule="auto"/>
              <w:rPr>
                <w:rFonts w:ascii="Calibri" w:hAnsi="Calibri" w:cs="Calibri"/>
                <w:sz w:val="18"/>
                <w:szCs w:val="18"/>
              </w:rPr>
            </w:pPr>
          </w:p>
        </w:tc>
        <w:tc>
          <w:tcPr>
            <w:tcW w:w="1094" w:type="pct"/>
            <w:vMerge/>
            <w:tcMar>
              <w:left w:w="108" w:type="dxa"/>
              <w:right w:w="108" w:type="dxa"/>
            </w:tcMar>
          </w:tcPr>
          <w:p w14:paraId="6EF01F46" w14:textId="77777777" w:rsidR="001E5006" w:rsidRPr="00DF7DE3" w:rsidRDefault="001E5006" w:rsidP="00733737">
            <w:pPr>
              <w:spacing w:before="60" w:after="60" w:line="240" w:lineRule="auto"/>
              <w:rPr>
                <w:rFonts w:ascii="Calibri" w:hAnsi="Calibri" w:cs="Calibri"/>
                <w:sz w:val="18"/>
                <w:szCs w:val="18"/>
              </w:rPr>
            </w:pPr>
          </w:p>
        </w:tc>
        <w:tc>
          <w:tcPr>
            <w:tcW w:w="1719" w:type="pct"/>
            <w:tcMar>
              <w:left w:w="108" w:type="dxa"/>
              <w:right w:w="108" w:type="dxa"/>
            </w:tcMar>
          </w:tcPr>
          <w:p w14:paraId="0CECA6C9" w14:textId="77777777" w:rsidR="001E5006" w:rsidRPr="00DF7DE3" w:rsidRDefault="001E5006" w:rsidP="00733737">
            <w:pPr>
              <w:spacing w:before="60" w:after="60" w:line="240" w:lineRule="auto"/>
              <w:rPr>
                <w:rFonts w:ascii="Calibri" w:hAnsi="Calibri" w:cs="Calibri"/>
                <w:sz w:val="18"/>
                <w:szCs w:val="18"/>
              </w:rPr>
            </w:pPr>
            <w:r w:rsidRPr="00DF7DE3">
              <w:rPr>
                <w:rFonts w:ascii="Calibri" w:hAnsi="Calibri" w:cs="Calibri"/>
                <w:sz w:val="18"/>
                <w:szCs w:val="18"/>
              </w:rPr>
              <w:t>Business system administration</w:t>
            </w:r>
          </w:p>
        </w:tc>
        <w:tc>
          <w:tcPr>
            <w:tcW w:w="702" w:type="pct"/>
            <w:tcMar>
              <w:left w:w="108" w:type="dxa"/>
              <w:right w:w="108" w:type="dxa"/>
            </w:tcMar>
          </w:tcPr>
          <w:p w14:paraId="6DC7254A" w14:textId="40C3CC08" w:rsidR="001E5006" w:rsidRPr="00BB7AAB" w:rsidRDefault="001E5006" w:rsidP="00733737">
            <w:pPr>
              <w:spacing w:before="60" w:after="60" w:line="240" w:lineRule="auto"/>
              <w:jc w:val="right"/>
              <w:rPr>
                <w:rFonts w:cstheme="minorHAnsi"/>
                <w:sz w:val="18"/>
                <w:szCs w:val="18"/>
              </w:rPr>
            </w:pPr>
            <w:r w:rsidRPr="00BB7AAB">
              <w:rPr>
                <w:rFonts w:cstheme="minorHAnsi"/>
                <w:sz w:val="18"/>
                <w:szCs w:val="18"/>
              </w:rPr>
              <w:t>25,</w:t>
            </w:r>
            <w:r w:rsidR="00243864">
              <w:rPr>
                <w:rFonts w:cstheme="minorHAnsi"/>
                <w:sz w:val="18"/>
                <w:szCs w:val="18"/>
              </w:rPr>
              <w:t>868,127</w:t>
            </w:r>
          </w:p>
        </w:tc>
      </w:tr>
      <w:tr w:rsidR="001E5006" w:rsidRPr="00BB7AAB" w14:paraId="17191D46" w14:textId="77777777" w:rsidTr="007C2F94">
        <w:tc>
          <w:tcPr>
            <w:tcW w:w="1485" w:type="pct"/>
            <w:vMerge/>
            <w:tcMar>
              <w:left w:w="108" w:type="dxa"/>
              <w:right w:w="108" w:type="dxa"/>
            </w:tcMar>
          </w:tcPr>
          <w:p w14:paraId="55864CBD" w14:textId="77777777" w:rsidR="001E5006" w:rsidRPr="00DF7DE3" w:rsidRDefault="001E5006" w:rsidP="00733737">
            <w:pPr>
              <w:spacing w:before="60" w:after="60" w:line="240" w:lineRule="auto"/>
              <w:rPr>
                <w:rFonts w:ascii="Calibri" w:hAnsi="Calibri" w:cs="Calibri"/>
                <w:sz w:val="18"/>
                <w:szCs w:val="18"/>
              </w:rPr>
            </w:pPr>
          </w:p>
        </w:tc>
        <w:tc>
          <w:tcPr>
            <w:tcW w:w="1094" w:type="pct"/>
            <w:vMerge/>
            <w:tcMar>
              <w:left w:w="108" w:type="dxa"/>
              <w:right w:w="108" w:type="dxa"/>
            </w:tcMar>
          </w:tcPr>
          <w:p w14:paraId="1C3AE2CD" w14:textId="77777777" w:rsidR="001E5006" w:rsidRPr="00DF7DE3" w:rsidRDefault="001E5006" w:rsidP="00733737">
            <w:pPr>
              <w:spacing w:before="60" w:after="60" w:line="240" w:lineRule="auto"/>
              <w:rPr>
                <w:rFonts w:ascii="Calibri" w:hAnsi="Calibri" w:cs="Calibri"/>
                <w:sz w:val="18"/>
                <w:szCs w:val="18"/>
              </w:rPr>
            </w:pPr>
          </w:p>
        </w:tc>
        <w:tc>
          <w:tcPr>
            <w:tcW w:w="1719" w:type="pct"/>
            <w:tcMar>
              <w:left w:w="108" w:type="dxa"/>
              <w:right w:w="108" w:type="dxa"/>
            </w:tcMar>
          </w:tcPr>
          <w:p w14:paraId="1A1B9AC8" w14:textId="77777777" w:rsidR="001E5006" w:rsidRPr="00DF7DE3" w:rsidRDefault="001E5006" w:rsidP="00733737">
            <w:pPr>
              <w:spacing w:before="60" w:after="60" w:line="240" w:lineRule="auto"/>
              <w:rPr>
                <w:rFonts w:ascii="Calibri" w:hAnsi="Calibri" w:cs="Calibri"/>
                <w:sz w:val="18"/>
                <w:szCs w:val="18"/>
              </w:rPr>
            </w:pPr>
            <w:r w:rsidRPr="00DF7DE3">
              <w:rPr>
                <w:rFonts w:ascii="Calibri" w:hAnsi="Calibri" w:cs="Calibri"/>
                <w:sz w:val="18"/>
                <w:szCs w:val="18"/>
              </w:rPr>
              <w:t>Stakeholder engagement</w:t>
            </w:r>
          </w:p>
        </w:tc>
        <w:tc>
          <w:tcPr>
            <w:tcW w:w="702" w:type="pct"/>
            <w:shd w:val="clear" w:color="auto" w:fill="auto"/>
            <w:tcMar>
              <w:left w:w="108" w:type="dxa"/>
              <w:right w:w="108" w:type="dxa"/>
            </w:tcMar>
          </w:tcPr>
          <w:p w14:paraId="300DA8FF" w14:textId="3F754CD6" w:rsidR="001E5006" w:rsidRPr="00BB7AAB" w:rsidRDefault="001E5006" w:rsidP="00733737">
            <w:pPr>
              <w:spacing w:before="60" w:after="60" w:line="240" w:lineRule="auto"/>
              <w:jc w:val="right"/>
              <w:rPr>
                <w:rFonts w:cstheme="minorHAnsi"/>
                <w:sz w:val="18"/>
                <w:szCs w:val="18"/>
                <w:highlight w:val="yellow"/>
              </w:rPr>
            </w:pPr>
            <w:r w:rsidRPr="00BB7AAB">
              <w:rPr>
                <w:rFonts w:cstheme="minorHAnsi"/>
                <w:sz w:val="18"/>
                <w:szCs w:val="18"/>
              </w:rPr>
              <w:t>25,</w:t>
            </w:r>
            <w:r w:rsidR="00243864">
              <w:rPr>
                <w:rFonts w:cstheme="minorHAnsi"/>
                <w:sz w:val="18"/>
                <w:szCs w:val="18"/>
              </w:rPr>
              <w:t>901,828</w:t>
            </w:r>
          </w:p>
        </w:tc>
      </w:tr>
      <w:tr w:rsidR="001E5006" w:rsidRPr="00BB7AAB" w14:paraId="640DEFF6" w14:textId="77777777" w:rsidTr="007C2F94">
        <w:tc>
          <w:tcPr>
            <w:tcW w:w="1485" w:type="pct"/>
            <w:vMerge/>
            <w:tcMar>
              <w:left w:w="108" w:type="dxa"/>
              <w:right w:w="108" w:type="dxa"/>
            </w:tcMar>
          </w:tcPr>
          <w:p w14:paraId="3984C9B7" w14:textId="77777777" w:rsidR="001E5006" w:rsidRPr="00DF7DE3" w:rsidRDefault="001E5006" w:rsidP="00733737">
            <w:pPr>
              <w:spacing w:before="60" w:after="60" w:line="240" w:lineRule="auto"/>
              <w:rPr>
                <w:rFonts w:ascii="Calibri" w:hAnsi="Calibri" w:cs="Calibri"/>
                <w:sz w:val="18"/>
                <w:szCs w:val="18"/>
              </w:rPr>
            </w:pPr>
          </w:p>
        </w:tc>
        <w:tc>
          <w:tcPr>
            <w:tcW w:w="1094" w:type="pct"/>
            <w:vMerge/>
            <w:tcMar>
              <w:left w:w="108" w:type="dxa"/>
              <w:right w:w="108" w:type="dxa"/>
            </w:tcMar>
          </w:tcPr>
          <w:p w14:paraId="363B4FAB" w14:textId="77777777" w:rsidR="001E5006" w:rsidRPr="00DF7DE3" w:rsidRDefault="001E5006" w:rsidP="00733737">
            <w:pPr>
              <w:spacing w:before="60" w:after="60" w:line="240" w:lineRule="auto"/>
              <w:rPr>
                <w:rFonts w:ascii="Calibri" w:hAnsi="Calibri" w:cs="Calibri"/>
                <w:sz w:val="18"/>
                <w:szCs w:val="18"/>
              </w:rPr>
            </w:pPr>
          </w:p>
        </w:tc>
        <w:tc>
          <w:tcPr>
            <w:tcW w:w="1719" w:type="pct"/>
            <w:tcMar>
              <w:left w:w="108" w:type="dxa"/>
              <w:right w:w="108" w:type="dxa"/>
            </w:tcMar>
          </w:tcPr>
          <w:p w14:paraId="1C6C12F6" w14:textId="77777777" w:rsidR="001E5006" w:rsidRPr="00DF7DE3" w:rsidRDefault="001E5006" w:rsidP="00733737">
            <w:pPr>
              <w:spacing w:before="60" w:after="60" w:line="240" w:lineRule="auto"/>
              <w:rPr>
                <w:rFonts w:ascii="Calibri" w:hAnsi="Calibri" w:cs="Calibri"/>
                <w:sz w:val="18"/>
                <w:szCs w:val="18"/>
              </w:rPr>
            </w:pPr>
            <w:r w:rsidRPr="00DF7DE3">
              <w:rPr>
                <w:rFonts w:ascii="Calibri" w:hAnsi="Calibri" w:cs="Calibri"/>
                <w:sz w:val="18"/>
                <w:szCs w:val="18"/>
              </w:rPr>
              <w:t>Policy and instructional material</w:t>
            </w:r>
          </w:p>
        </w:tc>
        <w:tc>
          <w:tcPr>
            <w:tcW w:w="702" w:type="pct"/>
            <w:tcMar>
              <w:left w:w="108" w:type="dxa"/>
              <w:right w:w="108" w:type="dxa"/>
            </w:tcMar>
          </w:tcPr>
          <w:p w14:paraId="792037E9" w14:textId="7197D48C" w:rsidR="001E5006" w:rsidRPr="00BB7AAB" w:rsidRDefault="001E5006" w:rsidP="00733737">
            <w:pPr>
              <w:spacing w:before="60" w:after="60" w:line="240" w:lineRule="auto"/>
              <w:jc w:val="right"/>
              <w:rPr>
                <w:rFonts w:cstheme="minorHAnsi"/>
                <w:sz w:val="18"/>
                <w:szCs w:val="18"/>
              </w:rPr>
            </w:pPr>
            <w:r>
              <w:rPr>
                <w:rFonts w:cstheme="minorHAnsi"/>
                <w:sz w:val="18"/>
                <w:szCs w:val="18"/>
              </w:rPr>
              <w:t>39,</w:t>
            </w:r>
            <w:r w:rsidR="00243864">
              <w:rPr>
                <w:rFonts w:cstheme="minorHAnsi"/>
                <w:sz w:val="18"/>
                <w:szCs w:val="18"/>
              </w:rPr>
              <w:t>344,953</w:t>
            </w:r>
          </w:p>
        </w:tc>
      </w:tr>
      <w:tr w:rsidR="001E5006" w:rsidRPr="00BB7AAB" w14:paraId="40B21202" w14:textId="77777777" w:rsidTr="007C2F94">
        <w:tc>
          <w:tcPr>
            <w:tcW w:w="1485" w:type="pct"/>
            <w:vMerge/>
            <w:tcMar>
              <w:left w:w="108" w:type="dxa"/>
              <w:right w:w="108" w:type="dxa"/>
            </w:tcMar>
          </w:tcPr>
          <w:p w14:paraId="05BB9633" w14:textId="77777777" w:rsidR="001E5006" w:rsidRPr="00DF7DE3" w:rsidRDefault="001E5006" w:rsidP="00733737">
            <w:pPr>
              <w:spacing w:before="60" w:after="60" w:line="240" w:lineRule="auto"/>
              <w:rPr>
                <w:rFonts w:ascii="Calibri" w:hAnsi="Calibri" w:cs="Calibri"/>
                <w:sz w:val="18"/>
                <w:szCs w:val="18"/>
              </w:rPr>
            </w:pPr>
          </w:p>
        </w:tc>
        <w:tc>
          <w:tcPr>
            <w:tcW w:w="1094" w:type="pct"/>
            <w:vMerge/>
            <w:tcMar>
              <w:left w:w="108" w:type="dxa"/>
              <w:right w:w="108" w:type="dxa"/>
            </w:tcMar>
          </w:tcPr>
          <w:p w14:paraId="087DD03D" w14:textId="77777777" w:rsidR="001E5006" w:rsidRPr="00DF7DE3" w:rsidRDefault="001E5006" w:rsidP="00733737">
            <w:pPr>
              <w:spacing w:before="60" w:after="60" w:line="240" w:lineRule="auto"/>
              <w:rPr>
                <w:rFonts w:ascii="Calibri" w:hAnsi="Calibri" w:cs="Calibri"/>
                <w:sz w:val="18"/>
                <w:szCs w:val="18"/>
              </w:rPr>
            </w:pPr>
          </w:p>
        </w:tc>
        <w:tc>
          <w:tcPr>
            <w:tcW w:w="1719" w:type="pct"/>
            <w:tcMar>
              <w:left w:w="108" w:type="dxa"/>
              <w:right w:w="108" w:type="dxa"/>
            </w:tcMar>
          </w:tcPr>
          <w:p w14:paraId="5DAA5FFE" w14:textId="77777777" w:rsidR="001E5006" w:rsidRPr="00DF7DE3" w:rsidRDefault="001E5006" w:rsidP="00733737">
            <w:pPr>
              <w:spacing w:before="60" w:after="60" w:line="240" w:lineRule="auto"/>
              <w:rPr>
                <w:rFonts w:ascii="Calibri" w:hAnsi="Calibri" w:cs="Calibri"/>
                <w:sz w:val="18"/>
                <w:szCs w:val="18"/>
              </w:rPr>
            </w:pPr>
            <w:r w:rsidRPr="00DF7DE3">
              <w:rPr>
                <w:rFonts w:ascii="Calibri" w:hAnsi="Calibri" w:cs="Calibri"/>
                <w:sz w:val="18"/>
                <w:szCs w:val="18"/>
              </w:rPr>
              <w:t>Business improvement</w:t>
            </w:r>
          </w:p>
        </w:tc>
        <w:tc>
          <w:tcPr>
            <w:tcW w:w="702" w:type="pct"/>
            <w:tcMar>
              <w:left w:w="108" w:type="dxa"/>
              <w:right w:w="108" w:type="dxa"/>
            </w:tcMar>
          </w:tcPr>
          <w:p w14:paraId="6C317713" w14:textId="53C6E301" w:rsidR="001E5006" w:rsidRPr="00BB7AAB" w:rsidRDefault="001E5006" w:rsidP="00733737">
            <w:pPr>
              <w:spacing w:before="60" w:after="60" w:line="240" w:lineRule="auto"/>
              <w:jc w:val="right"/>
              <w:rPr>
                <w:rFonts w:cstheme="minorHAnsi"/>
                <w:sz w:val="18"/>
                <w:szCs w:val="18"/>
              </w:rPr>
            </w:pPr>
            <w:r>
              <w:rPr>
                <w:rFonts w:cstheme="minorHAnsi"/>
                <w:sz w:val="18"/>
                <w:szCs w:val="18"/>
              </w:rPr>
              <w:t>19,</w:t>
            </w:r>
            <w:r w:rsidR="00243864">
              <w:rPr>
                <w:rFonts w:cstheme="minorHAnsi"/>
                <w:sz w:val="18"/>
                <w:szCs w:val="18"/>
              </w:rPr>
              <w:t>775,677</w:t>
            </w:r>
          </w:p>
        </w:tc>
      </w:tr>
      <w:tr w:rsidR="001E5006" w:rsidRPr="006C1B39" w14:paraId="29C7EBFE" w14:textId="77777777" w:rsidTr="007C2F94">
        <w:tc>
          <w:tcPr>
            <w:tcW w:w="1485" w:type="pct"/>
            <w:vMerge/>
            <w:tcMar>
              <w:left w:w="108" w:type="dxa"/>
              <w:right w:w="108" w:type="dxa"/>
            </w:tcMar>
          </w:tcPr>
          <w:p w14:paraId="0A69A52E" w14:textId="77777777" w:rsidR="001E5006" w:rsidRPr="00DF7DE3" w:rsidRDefault="001E5006" w:rsidP="00733737">
            <w:pPr>
              <w:spacing w:before="60" w:after="60" w:line="240" w:lineRule="auto"/>
              <w:rPr>
                <w:rFonts w:ascii="Calibri" w:hAnsi="Calibri" w:cs="Calibri"/>
                <w:sz w:val="18"/>
                <w:szCs w:val="18"/>
              </w:rPr>
            </w:pPr>
          </w:p>
        </w:tc>
        <w:tc>
          <w:tcPr>
            <w:tcW w:w="1094" w:type="pct"/>
            <w:vMerge/>
            <w:tcMar>
              <w:left w:w="108" w:type="dxa"/>
              <w:right w:w="108" w:type="dxa"/>
            </w:tcMar>
          </w:tcPr>
          <w:p w14:paraId="11F29002" w14:textId="77777777" w:rsidR="001E5006" w:rsidRPr="00DF7DE3" w:rsidRDefault="001E5006" w:rsidP="00733737">
            <w:pPr>
              <w:spacing w:before="60" w:after="60" w:line="240" w:lineRule="auto"/>
              <w:rPr>
                <w:rFonts w:ascii="Calibri" w:hAnsi="Calibri" w:cs="Calibri"/>
                <w:sz w:val="18"/>
                <w:szCs w:val="18"/>
              </w:rPr>
            </w:pPr>
          </w:p>
        </w:tc>
        <w:tc>
          <w:tcPr>
            <w:tcW w:w="1719" w:type="pct"/>
            <w:tcMar>
              <w:left w:w="108" w:type="dxa"/>
              <w:right w:w="108" w:type="dxa"/>
            </w:tcMar>
          </w:tcPr>
          <w:p w14:paraId="218B5C58" w14:textId="77777777" w:rsidR="001E5006" w:rsidRPr="00DF7DE3" w:rsidRDefault="001E5006" w:rsidP="00733737">
            <w:pPr>
              <w:spacing w:before="60" w:after="60" w:line="240" w:lineRule="auto"/>
              <w:rPr>
                <w:rFonts w:ascii="Calibri" w:hAnsi="Calibri" w:cs="Calibri"/>
                <w:b/>
                <w:bCs/>
                <w:sz w:val="18"/>
                <w:szCs w:val="18"/>
              </w:rPr>
            </w:pPr>
            <w:r w:rsidRPr="00DF7DE3">
              <w:rPr>
                <w:rFonts w:ascii="Calibri" w:hAnsi="Calibri" w:cs="Calibri"/>
                <w:b/>
                <w:bCs/>
                <w:sz w:val="18"/>
                <w:szCs w:val="18"/>
              </w:rPr>
              <w:t>Subtotal</w:t>
            </w:r>
          </w:p>
        </w:tc>
        <w:tc>
          <w:tcPr>
            <w:tcW w:w="702" w:type="pct"/>
            <w:tcMar>
              <w:left w:w="108" w:type="dxa"/>
              <w:right w:w="108" w:type="dxa"/>
            </w:tcMar>
          </w:tcPr>
          <w:p w14:paraId="7A62579C" w14:textId="352D462D" w:rsidR="001E5006" w:rsidRPr="006C1B39" w:rsidRDefault="001E5006" w:rsidP="00733737">
            <w:pPr>
              <w:spacing w:before="60" w:after="60" w:line="240" w:lineRule="auto"/>
              <w:jc w:val="right"/>
              <w:rPr>
                <w:rStyle w:val="Strong"/>
                <w:sz w:val="18"/>
                <w:szCs w:val="18"/>
                <w:highlight w:val="yellow"/>
              </w:rPr>
            </w:pPr>
            <w:r w:rsidRPr="006C1B39">
              <w:rPr>
                <w:rStyle w:val="Strong"/>
                <w:sz w:val="18"/>
                <w:szCs w:val="18"/>
              </w:rPr>
              <w:t>29</w:t>
            </w:r>
            <w:r w:rsidR="00243864">
              <w:rPr>
                <w:rStyle w:val="Strong"/>
                <w:sz w:val="18"/>
                <w:szCs w:val="18"/>
              </w:rPr>
              <w:t>6,461,769</w:t>
            </w:r>
          </w:p>
        </w:tc>
      </w:tr>
      <w:tr w:rsidR="001E5006" w:rsidRPr="00BB7AAB" w14:paraId="6936E65D" w14:textId="77777777" w:rsidTr="007C2F94">
        <w:tc>
          <w:tcPr>
            <w:tcW w:w="1485" w:type="pct"/>
            <w:vMerge/>
            <w:tcMar>
              <w:left w:w="108" w:type="dxa"/>
              <w:right w:w="108" w:type="dxa"/>
            </w:tcMar>
          </w:tcPr>
          <w:p w14:paraId="75B52D89" w14:textId="77777777" w:rsidR="001E5006" w:rsidRPr="00DF7DE3" w:rsidRDefault="001E5006" w:rsidP="00733737">
            <w:pPr>
              <w:spacing w:before="60" w:after="60" w:line="240" w:lineRule="auto"/>
              <w:rPr>
                <w:rFonts w:ascii="Calibri" w:hAnsi="Calibri" w:cs="Calibri"/>
                <w:sz w:val="18"/>
                <w:szCs w:val="18"/>
              </w:rPr>
            </w:pPr>
          </w:p>
        </w:tc>
        <w:tc>
          <w:tcPr>
            <w:tcW w:w="1094" w:type="pct"/>
            <w:vMerge w:val="restart"/>
            <w:tcMar>
              <w:left w:w="108" w:type="dxa"/>
              <w:right w:w="108" w:type="dxa"/>
            </w:tcMar>
          </w:tcPr>
          <w:p w14:paraId="42A0DECD" w14:textId="77777777" w:rsidR="001E5006" w:rsidRPr="00DF7DE3" w:rsidRDefault="001E5006" w:rsidP="00733737">
            <w:pPr>
              <w:spacing w:before="60" w:after="60" w:line="240" w:lineRule="auto"/>
              <w:rPr>
                <w:rFonts w:ascii="Calibri" w:hAnsi="Calibri" w:cs="Calibri"/>
                <w:sz w:val="18"/>
                <w:szCs w:val="18"/>
              </w:rPr>
            </w:pPr>
            <w:r w:rsidRPr="00DF7DE3">
              <w:rPr>
                <w:rFonts w:ascii="Calibri" w:hAnsi="Calibri" w:cs="Calibri"/>
                <w:sz w:val="18"/>
                <w:szCs w:val="18"/>
              </w:rPr>
              <w:t>Assurance</w:t>
            </w:r>
          </w:p>
        </w:tc>
        <w:tc>
          <w:tcPr>
            <w:tcW w:w="1719" w:type="pct"/>
            <w:tcMar>
              <w:left w:w="108" w:type="dxa"/>
              <w:right w:w="108" w:type="dxa"/>
            </w:tcMar>
          </w:tcPr>
          <w:p w14:paraId="30902608" w14:textId="77777777" w:rsidR="001E5006" w:rsidRPr="00DF7DE3" w:rsidRDefault="001E5006" w:rsidP="00733737">
            <w:pPr>
              <w:spacing w:before="60" w:after="60" w:line="240" w:lineRule="auto"/>
              <w:rPr>
                <w:rFonts w:ascii="Calibri" w:hAnsi="Calibri" w:cs="Calibri"/>
                <w:sz w:val="18"/>
                <w:szCs w:val="18"/>
              </w:rPr>
            </w:pPr>
            <w:r w:rsidRPr="00DF7DE3">
              <w:rPr>
                <w:rFonts w:ascii="Calibri" w:hAnsi="Calibri" w:cs="Calibri"/>
                <w:sz w:val="18"/>
                <w:szCs w:val="18"/>
              </w:rPr>
              <w:t>Risk management</w:t>
            </w:r>
          </w:p>
        </w:tc>
        <w:tc>
          <w:tcPr>
            <w:tcW w:w="702" w:type="pct"/>
            <w:tcMar>
              <w:left w:w="108" w:type="dxa"/>
              <w:right w:w="108" w:type="dxa"/>
            </w:tcMar>
          </w:tcPr>
          <w:p w14:paraId="250FC64B" w14:textId="7CAC2CE6" w:rsidR="001E5006" w:rsidRPr="006C1B39" w:rsidRDefault="001E5006" w:rsidP="00733737">
            <w:pPr>
              <w:spacing w:before="60" w:after="60" w:line="240" w:lineRule="auto"/>
              <w:jc w:val="right"/>
              <w:rPr>
                <w:rFonts w:cstheme="minorHAnsi"/>
                <w:sz w:val="18"/>
                <w:szCs w:val="18"/>
              </w:rPr>
            </w:pPr>
            <w:r w:rsidRPr="006C1B39">
              <w:rPr>
                <w:rFonts w:cstheme="minorHAnsi"/>
                <w:sz w:val="18"/>
                <w:szCs w:val="18"/>
              </w:rPr>
              <w:t>22,</w:t>
            </w:r>
            <w:r w:rsidR="00243864">
              <w:rPr>
                <w:rFonts w:cstheme="minorHAnsi"/>
                <w:sz w:val="18"/>
                <w:szCs w:val="18"/>
              </w:rPr>
              <w:t>761,802</w:t>
            </w:r>
          </w:p>
        </w:tc>
      </w:tr>
      <w:tr w:rsidR="001E5006" w:rsidRPr="00BB7AAB" w14:paraId="327B149F" w14:textId="77777777" w:rsidTr="007C2F94">
        <w:tc>
          <w:tcPr>
            <w:tcW w:w="1485" w:type="pct"/>
            <w:vMerge/>
            <w:tcMar>
              <w:left w:w="108" w:type="dxa"/>
              <w:right w:w="108" w:type="dxa"/>
            </w:tcMar>
          </w:tcPr>
          <w:p w14:paraId="7A3063AF" w14:textId="77777777" w:rsidR="001E5006" w:rsidRPr="00DF7DE3" w:rsidRDefault="001E5006" w:rsidP="00733737">
            <w:pPr>
              <w:spacing w:before="60" w:after="60" w:line="240" w:lineRule="auto"/>
              <w:rPr>
                <w:rFonts w:ascii="Calibri" w:hAnsi="Calibri" w:cs="Calibri"/>
                <w:sz w:val="18"/>
                <w:szCs w:val="18"/>
              </w:rPr>
            </w:pPr>
          </w:p>
        </w:tc>
        <w:tc>
          <w:tcPr>
            <w:tcW w:w="1094" w:type="pct"/>
            <w:vMerge/>
            <w:tcMar>
              <w:left w:w="108" w:type="dxa"/>
              <w:right w:w="108" w:type="dxa"/>
            </w:tcMar>
          </w:tcPr>
          <w:p w14:paraId="2D6D31FA" w14:textId="77777777" w:rsidR="001E5006" w:rsidRPr="00DF7DE3" w:rsidRDefault="001E5006" w:rsidP="00733737">
            <w:pPr>
              <w:spacing w:before="60" w:after="60" w:line="240" w:lineRule="auto"/>
              <w:rPr>
                <w:rFonts w:ascii="Calibri" w:hAnsi="Calibri" w:cs="Calibri"/>
                <w:sz w:val="18"/>
                <w:szCs w:val="18"/>
              </w:rPr>
            </w:pPr>
          </w:p>
        </w:tc>
        <w:tc>
          <w:tcPr>
            <w:tcW w:w="1719" w:type="pct"/>
            <w:tcMar>
              <w:left w:w="108" w:type="dxa"/>
              <w:right w:w="108" w:type="dxa"/>
            </w:tcMar>
          </w:tcPr>
          <w:p w14:paraId="512311F8" w14:textId="77777777" w:rsidR="001E5006" w:rsidRPr="00DF7DE3" w:rsidRDefault="001E5006" w:rsidP="00733737">
            <w:pPr>
              <w:spacing w:before="60" w:after="60" w:line="240" w:lineRule="auto"/>
              <w:rPr>
                <w:rFonts w:ascii="Calibri" w:hAnsi="Calibri" w:cs="Calibri"/>
                <w:sz w:val="18"/>
                <w:szCs w:val="18"/>
              </w:rPr>
            </w:pPr>
            <w:r w:rsidRPr="00DF7DE3">
              <w:rPr>
                <w:rFonts w:ascii="Calibri" w:hAnsi="Calibri" w:cs="Calibri"/>
                <w:sz w:val="18"/>
                <w:szCs w:val="18"/>
              </w:rPr>
              <w:t>Verification</w:t>
            </w:r>
          </w:p>
        </w:tc>
        <w:tc>
          <w:tcPr>
            <w:tcW w:w="702" w:type="pct"/>
            <w:shd w:val="clear" w:color="auto" w:fill="auto"/>
            <w:tcMar>
              <w:left w:w="108" w:type="dxa"/>
              <w:right w:w="108" w:type="dxa"/>
            </w:tcMar>
          </w:tcPr>
          <w:p w14:paraId="4975423E" w14:textId="1CF2C4CF" w:rsidR="001E5006" w:rsidRPr="006C1B39" w:rsidRDefault="001E5006" w:rsidP="00733737">
            <w:pPr>
              <w:spacing w:before="60" w:after="60" w:line="240" w:lineRule="auto"/>
              <w:jc w:val="right"/>
              <w:rPr>
                <w:rFonts w:cstheme="minorHAnsi"/>
                <w:sz w:val="18"/>
                <w:szCs w:val="18"/>
              </w:rPr>
            </w:pPr>
            <w:r w:rsidRPr="006C1B39">
              <w:rPr>
                <w:rFonts w:cstheme="minorHAnsi"/>
                <w:sz w:val="18"/>
                <w:szCs w:val="18"/>
              </w:rPr>
              <w:t>18,</w:t>
            </w:r>
            <w:r w:rsidR="00243864">
              <w:rPr>
                <w:rFonts w:cstheme="minorHAnsi"/>
                <w:sz w:val="18"/>
                <w:szCs w:val="18"/>
              </w:rPr>
              <w:t>464,003</w:t>
            </w:r>
          </w:p>
        </w:tc>
      </w:tr>
      <w:tr w:rsidR="001E5006" w:rsidRPr="0043470E" w14:paraId="7FEB6343" w14:textId="77777777" w:rsidTr="007C2F94">
        <w:tc>
          <w:tcPr>
            <w:tcW w:w="1485" w:type="pct"/>
            <w:vMerge/>
            <w:tcMar>
              <w:left w:w="108" w:type="dxa"/>
              <w:right w:w="108" w:type="dxa"/>
            </w:tcMar>
          </w:tcPr>
          <w:p w14:paraId="36D2F845" w14:textId="77777777" w:rsidR="001E5006" w:rsidRPr="00DF7DE3" w:rsidRDefault="001E5006" w:rsidP="00733737">
            <w:pPr>
              <w:spacing w:before="60" w:after="60" w:line="240" w:lineRule="auto"/>
              <w:rPr>
                <w:rFonts w:ascii="Calibri" w:hAnsi="Calibri" w:cs="Calibri"/>
                <w:sz w:val="18"/>
                <w:szCs w:val="18"/>
              </w:rPr>
            </w:pPr>
          </w:p>
        </w:tc>
        <w:tc>
          <w:tcPr>
            <w:tcW w:w="1094" w:type="pct"/>
            <w:vMerge/>
            <w:tcMar>
              <w:left w:w="108" w:type="dxa"/>
              <w:right w:w="108" w:type="dxa"/>
            </w:tcMar>
          </w:tcPr>
          <w:p w14:paraId="568B471B" w14:textId="77777777" w:rsidR="001E5006" w:rsidRPr="00DF7DE3" w:rsidRDefault="001E5006" w:rsidP="00733737">
            <w:pPr>
              <w:spacing w:before="60" w:after="60" w:line="240" w:lineRule="auto"/>
              <w:rPr>
                <w:rFonts w:ascii="Calibri" w:hAnsi="Calibri" w:cs="Calibri"/>
                <w:sz w:val="18"/>
                <w:szCs w:val="18"/>
              </w:rPr>
            </w:pPr>
          </w:p>
        </w:tc>
        <w:tc>
          <w:tcPr>
            <w:tcW w:w="1719" w:type="pct"/>
            <w:tcMar>
              <w:left w:w="108" w:type="dxa"/>
              <w:right w:w="108" w:type="dxa"/>
            </w:tcMar>
          </w:tcPr>
          <w:p w14:paraId="3833C10F" w14:textId="77777777" w:rsidR="001E5006" w:rsidRPr="00DF7DE3" w:rsidRDefault="001E5006" w:rsidP="00733737">
            <w:pPr>
              <w:spacing w:before="60" w:after="60" w:line="240" w:lineRule="auto"/>
              <w:rPr>
                <w:rFonts w:ascii="Calibri" w:hAnsi="Calibri" w:cs="Calibri"/>
                <w:sz w:val="18"/>
                <w:szCs w:val="18"/>
              </w:rPr>
            </w:pPr>
            <w:r w:rsidRPr="00DF7DE3">
              <w:rPr>
                <w:rFonts w:ascii="Calibri" w:hAnsi="Calibri" w:cs="Calibri"/>
                <w:sz w:val="18"/>
                <w:szCs w:val="18"/>
              </w:rPr>
              <w:t>Surveillance</w:t>
            </w:r>
          </w:p>
        </w:tc>
        <w:tc>
          <w:tcPr>
            <w:tcW w:w="702" w:type="pct"/>
            <w:tcMar>
              <w:left w:w="108" w:type="dxa"/>
              <w:right w:w="108" w:type="dxa"/>
            </w:tcMar>
          </w:tcPr>
          <w:p w14:paraId="348225A8" w14:textId="777D5545" w:rsidR="001E5006" w:rsidRPr="006C1B39" w:rsidRDefault="001E5006" w:rsidP="00733737">
            <w:pPr>
              <w:spacing w:before="60" w:after="60" w:line="240" w:lineRule="auto"/>
              <w:jc w:val="right"/>
              <w:rPr>
                <w:rFonts w:cstheme="minorHAnsi"/>
                <w:sz w:val="18"/>
                <w:szCs w:val="18"/>
              </w:rPr>
            </w:pPr>
            <w:r w:rsidRPr="006C1B39">
              <w:rPr>
                <w:rFonts w:cstheme="minorHAnsi"/>
                <w:sz w:val="18"/>
                <w:szCs w:val="18"/>
              </w:rPr>
              <w:t>19,</w:t>
            </w:r>
            <w:r w:rsidR="00243864">
              <w:rPr>
                <w:rFonts w:cstheme="minorHAnsi"/>
                <w:sz w:val="18"/>
                <w:szCs w:val="18"/>
              </w:rPr>
              <w:t>980,888</w:t>
            </w:r>
          </w:p>
        </w:tc>
      </w:tr>
      <w:tr w:rsidR="001E5006" w:rsidRPr="00243864" w14:paraId="0C6BE322" w14:textId="77777777" w:rsidTr="007C2F94">
        <w:tc>
          <w:tcPr>
            <w:tcW w:w="1485" w:type="pct"/>
            <w:vMerge/>
            <w:tcMar>
              <w:left w:w="108" w:type="dxa"/>
              <w:right w:w="108" w:type="dxa"/>
            </w:tcMar>
          </w:tcPr>
          <w:p w14:paraId="044BFB41" w14:textId="77777777" w:rsidR="001E5006" w:rsidRPr="00DF7DE3" w:rsidRDefault="001E5006" w:rsidP="00733737">
            <w:pPr>
              <w:spacing w:before="60" w:after="60" w:line="240" w:lineRule="auto"/>
              <w:rPr>
                <w:rFonts w:ascii="Calibri" w:hAnsi="Calibri" w:cs="Calibri"/>
                <w:sz w:val="18"/>
                <w:szCs w:val="18"/>
              </w:rPr>
            </w:pPr>
          </w:p>
        </w:tc>
        <w:tc>
          <w:tcPr>
            <w:tcW w:w="1094" w:type="pct"/>
            <w:vMerge/>
            <w:tcMar>
              <w:left w:w="108" w:type="dxa"/>
              <w:right w:w="108" w:type="dxa"/>
            </w:tcMar>
          </w:tcPr>
          <w:p w14:paraId="71F28E1A" w14:textId="77777777" w:rsidR="001E5006" w:rsidRPr="00DF7DE3" w:rsidRDefault="001E5006" w:rsidP="00733737">
            <w:pPr>
              <w:spacing w:before="60" w:after="60" w:line="240" w:lineRule="auto"/>
              <w:rPr>
                <w:rFonts w:ascii="Calibri" w:hAnsi="Calibri" w:cs="Calibri"/>
                <w:sz w:val="18"/>
                <w:szCs w:val="18"/>
              </w:rPr>
            </w:pPr>
          </w:p>
        </w:tc>
        <w:tc>
          <w:tcPr>
            <w:tcW w:w="1719" w:type="pct"/>
            <w:tcMar>
              <w:left w:w="108" w:type="dxa"/>
              <w:right w:w="108" w:type="dxa"/>
            </w:tcMar>
          </w:tcPr>
          <w:p w14:paraId="01428312" w14:textId="77777777" w:rsidR="001E5006" w:rsidRPr="00DF7DE3" w:rsidRDefault="001E5006" w:rsidP="00733737">
            <w:pPr>
              <w:spacing w:before="60" w:after="60" w:line="240" w:lineRule="auto"/>
              <w:rPr>
                <w:rFonts w:ascii="Calibri" w:hAnsi="Calibri" w:cs="Calibri"/>
                <w:b/>
                <w:bCs/>
                <w:sz w:val="18"/>
                <w:szCs w:val="18"/>
              </w:rPr>
            </w:pPr>
            <w:r w:rsidRPr="00DF7DE3">
              <w:rPr>
                <w:rFonts w:ascii="Calibri" w:hAnsi="Calibri" w:cs="Calibri"/>
                <w:b/>
                <w:bCs/>
                <w:sz w:val="18"/>
                <w:szCs w:val="18"/>
              </w:rPr>
              <w:t>Subtotal</w:t>
            </w:r>
          </w:p>
        </w:tc>
        <w:tc>
          <w:tcPr>
            <w:tcW w:w="702" w:type="pct"/>
            <w:tcMar>
              <w:left w:w="108" w:type="dxa"/>
              <w:right w:w="108" w:type="dxa"/>
            </w:tcMar>
          </w:tcPr>
          <w:p w14:paraId="6FAAF452" w14:textId="63A79912" w:rsidR="001E5006" w:rsidRPr="00243864" w:rsidRDefault="001E5006" w:rsidP="00733737">
            <w:pPr>
              <w:spacing w:before="60" w:after="60" w:line="240" w:lineRule="auto"/>
              <w:jc w:val="right"/>
              <w:rPr>
                <w:rStyle w:val="Strong"/>
                <w:sz w:val="18"/>
                <w:szCs w:val="18"/>
              </w:rPr>
            </w:pPr>
            <w:r w:rsidRPr="00243864">
              <w:rPr>
                <w:rStyle w:val="Strong"/>
                <w:sz w:val="18"/>
                <w:szCs w:val="18"/>
              </w:rPr>
              <w:t>6</w:t>
            </w:r>
            <w:r w:rsidR="00243864" w:rsidRPr="00243864">
              <w:rPr>
                <w:rStyle w:val="Strong"/>
                <w:sz w:val="18"/>
                <w:szCs w:val="18"/>
              </w:rPr>
              <w:t>1,206,693</w:t>
            </w:r>
          </w:p>
        </w:tc>
      </w:tr>
      <w:tr w:rsidR="001E5006" w:rsidRPr="00243864" w14:paraId="5B877A8B" w14:textId="77777777" w:rsidTr="007C2F94">
        <w:tc>
          <w:tcPr>
            <w:tcW w:w="1485" w:type="pct"/>
            <w:vMerge/>
            <w:tcMar>
              <w:left w:w="108" w:type="dxa"/>
              <w:right w:w="108" w:type="dxa"/>
            </w:tcMar>
          </w:tcPr>
          <w:p w14:paraId="21F5393D" w14:textId="77777777" w:rsidR="001E5006" w:rsidRPr="00DF7DE3" w:rsidRDefault="001E5006" w:rsidP="00733737">
            <w:pPr>
              <w:spacing w:before="60" w:after="60" w:line="240" w:lineRule="auto"/>
              <w:rPr>
                <w:rFonts w:ascii="Calibri" w:hAnsi="Calibri" w:cs="Calibri"/>
                <w:sz w:val="18"/>
                <w:szCs w:val="18"/>
              </w:rPr>
            </w:pPr>
          </w:p>
        </w:tc>
        <w:tc>
          <w:tcPr>
            <w:tcW w:w="1094" w:type="pct"/>
            <w:vMerge w:val="restart"/>
            <w:tcMar>
              <w:left w:w="108" w:type="dxa"/>
              <w:right w:w="108" w:type="dxa"/>
            </w:tcMar>
          </w:tcPr>
          <w:p w14:paraId="57A1A13D" w14:textId="77777777" w:rsidR="001E5006" w:rsidRPr="00DF7DE3" w:rsidRDefault="001E5006" w:rsidP="00733737">
            <w:pPr>
              <w:spacing w:before="60" w:after="60" w:line="240" w:lineRule="auto"/>
              <w:rPr>
                <w:rFonts w:ascii="Calibri" w:hAnsi="Calibri" w:cs="Calibri"/>
                <w:sz w:val="18"/>
                <w:szCs w:val="18"/>
              </w:rPr>
            </w:pPr>
            <w:r w:rsidRPr="00DF7DE3">
              <w:rPr>
                <w:rFonts w:ascii="Calibri" w:hAnsi="Calibri" w:cs="Calibri"/>
                <w:sz w:val="18"/>
                <w:szCs w:val="18"/>
              </w:rPr>
              <w:t>Incident management</w:t>
            </w:r>
          </w:p>
        </w:tc>
        <w:tc>
          <w:tcPr>
            <w:tcW w:w="1719" w:type="pct"/>
            <w:tcMar>
              <w:left w:w="108" w:type="dxa"/>
              <w:right w:w="108" w:type="dxa"/>
            </w:tcMar>
          </w:tcPr>
          <w:p w14:paraId="6EB39752" w14:textId="77777777" w:rsidR="001E5006" w:rsidRPr="00DF7DE3" w:rsidRDefault="001E5006" w:rsidP="00733737">
            <w:pPr>
              <w:spacing w:before="60" w:after="60" w:line="240" w:lineRule="auto"/>
              <w:rPr>
                <w:rFonts w:ascii="Calibri" w:hAnsi="Calibri" w:cs="Calibri"/>
                <w:sz w:val="18"/>
                <w:szCs w:val="18"/>
              </w:rPr>
            </w:pPr>
            <w:r w:rsidRPr="00DF7DE3">
              <w:rPr>
                <w:rFonts w:ascii="Calibri" w:hAnsi="Calibri" w:cs="Calibri"/>
                <w:sz w:val="18"/>
                <w:szCs w:val="18"/>
              </w:rPr>
              <w:t>Incident management</w:t>
            </w:r>
          </w:p>
        </w:tc>
        <w:tc>
          <w:tcPr>
            <w:tcW w:w="702" w:type="pct"/>
            <w:tcMar>
              <w:left w:w="108" w:type="dxa"/>
              <w:right w:w="108" w:type="dxa"/>
            </w:tcMar>
          </w:tcPr>
          <w:p w14:paraId="7AC10FC9" w14:textId="0C47E9D8" w:rsidR="001E5006" w:rsidRPr="00243864" w:rsidRDefault="001E5006" w:rsidP="00733737">
            <w:pPr>
              <w:spacing w:before="60" w:after="60" w:line="240" w:lineRule="auto"/>
              <w:jc w:val="right"/>
              <w:rPr>
                <w:rFonts w:cstheme="minorHAnsi"/>
                <w:sz w:val="18"/>
                <w:szCs w:val="18"/>
              </w:rPr>
            </w:pPr>
            <w:r w:rsidRPr="00243864">
              <w:rPr>
                <w:rFonts w:cstheme="minorHAnsi"/>
                <w:sz w:val="18"/>
                <w:szCs w:val="18"/>
              </w:rPr>
              <w:t>4,0</w:t>
            </w:r>
            <w:r w:rsidR="00243864" w:rsidRPr="00243864">
              <w:rPr>
                <w:rFonts w:cstheme="minorHAnsi"/>
                <w:sz w:val="18"/>
                <w:szCs w:val="18"/>
              </w:rPr>
              <w:t>24</w:t>
            </w:r>
            <w:r w:rsidRPr="00243864">
              <w:rPr>
                <w:rFonts w:cstheme="minorHAnsi"/>
                <w:sz w:val="18"/>
                <w:szCs w:val="18"/>
              </w:rPr>
              <w:t>,</w:t>
            </w:r>
            <w:r w:rsidR="00243864" w:rsidRPr="00243864">
              <w:rPr>
                <w:rFonts w:cstheme="minorHAnsi"/>
                <w:sz w:val="18"/>
                <w:szCs w:val="18"/>
              </w:rPr>
              <w:t>964</w:t>
            </w:r>
          </w:p>
        </w:tc>
      </w:tr>
      <w:tr w:rsidR="001E5006" w:rsidRPr="00243864" w14:paraId="09F1447E" w14:textId="77777777" w:rsidTr="007C2F94">
        <w:tc>
          <w:tcPr>
            <w:tcW w:w="1485" w:type="pct"/>
            <w:vMerge/>
            <w:tcMar>
              <w:left w:w="108" w:type="dxa"/>
              <w:right w:w="108" w:type="dxa"/>
            </w:tcMar>
          </w:tcPr>
          <w:p w14:paraId="77750F51" w14:textId="77777777" w:rsidR="001E5006" w:rsidRPr="00DF7DE3" w:rsidRDefault="001E5006" w:rsidP="00733737">
            <w:pPr>
              <w:spacing w:before="60" w:after="60" w:line="240" w:lineRule="auto"/>
              <w:rPr>
                <w:rFonts w:ascii="Calibri" w:hAnsi="Calibri" w:cs="Calibri"/>
                <w:sz w:val="18"/>
                <w:szCs w:val="18"/>
              </w:rPr>
            </w:pPr>
          </w:p>
        </w:tc>
        <w:tc>
          <w:tcPr>
            <w:tcW w:w="1094" w:type="pct"/>
            <w:vMerge/>
            <w:tcMar>
              <w:left w:w="108" w:type="dxa"/>
              <w:right w:w="108" w:type="dxa"/>
            </w:tcMar>
          </w:tcPr>
          <w:p w14:paraId="60D99B0C" w14:textId="77777777" w:rsidR="001E5006" w:rsidRPr="00DF7DE3" w:rsidRDefault="001E5006" w:rsidP="00733737">
            <w:pPr>
              <w:spacing w:before="60" w:after="60" w:line="240" w:lineRule="auto"/>
              <w:rPr>
                <w:rFonts w:ascii="Calibri" w:hAnsi="Calibri" w:cs="Calibri"/>
                <w:sz w:val="18"/>
                <w:szCs w:val="18"/>
              </w:rPr>
            </w:pPr>
          </w:p>
        </w:tc>
        <w:tc>
          <w:tcPr>
            <w:tcW w:w="1719" w:type="pct"/>
            <w:tcMar>
              <w:left w:w="108" w:type="dxa"/>
              <w:right w:w="108" w:type="dxa"/>
            </w:tcMar>
          </w:tcPr>
          <w:p w14:paraId="171E08AF" w14:textId="77777777" w:rsidR="001E5006" w:rsidRPr="00DF7DE3" w:rsidRDefault="001E5006" w:rsidP="00733737">
            <w:pPr>
              <w:spacing w:before="60" w:after="60" w:line="240" w:lineRule="auto"/>
              <w:rPr>
                <w:rFonts w:ascii="Calibri" w:hAnsi="Calibri" w:cs="Calibri"/>
                <w:sz w:val="18"/>
                <w:szCs w:val="18"/>
              </w:rPr>
            </w:pPr>
            <w:r w:rsidRPr="00DF7DE3">
              <w:rPr>
                <w:rFonts w:ascii="Calibri" w:hAnsi="Calibri" w:cs="Calibri"/>
                <w:sz w:val="18"/>
                <w:szCs w:val="18"/>
              </w:rPr>
              <w:t>Investigative support</w:t>
            </w:r>
          </w:p>
        </w:tc>
        <w:tc>
          <w:tcPr>
            <w:tcW w:w="702" w:type="pct"/>
            <w:shd w:val="clear" w:color="auto" w:fill="auto"/>
            <w:tcMar>
              <w:left w:w="108" w:type="dxa"/>
              <w:right w:w="108" w:type="dxa"/>
            </w:tcMar>
          </w:tcPr>
          <w:p w14:paraId="763FD592" w14:textId="6C75E0F2" w:rsidR="001E5006" w:rsidRPr="00243864" w:rsidRDefault="001E5006" w:rsidP="00733737">
            <w:pPr>
              <w:spacing w:before="60" w:after="60" w:line="240" w:lineRule="auto"/>
              <w:jc w:val="right"/>
              <w:rPr>
                <w:rFonts w:cstheme="minorHAnsi"/>
                <w:sz w:val="18"/>
                <w:szCs w:val="18"/>
              </w:rPr>
            </w:pPr>
            <w:r w:rsidRPr="00243864">
              <w:rPr>
                <w:rFonts w:cstheme="minorHAnsi"/>
                <w:sz w:val="18"/>
                <w:szCs w:val="18"/>
              </w:rPr>
              <w:t>1,</w:t>
            </w:r>
            <w:r w:rsidR="00243864" w:rsidRPr="00243864">
              <w:rPr>
                <w:rFonts w:cstheme="minorHAnsi"/>
                <w:sz w:val="18"/>
                <w:szCs w:val="18"/>
              </w:rPr>
              <w:t>803,489</w:t>
            </w:r>
          </w:p>
        </w:tc>
      </w:tr>
      <w:tr w:rsidR="001E5006" w:rsidRPr="00243864" w14:paraId="051C7EF8" w14:textId="77777777" w:rsidTr="007C2F94">
        <w:tc>
          <w:tcPr>
            <w:tcW w:w="1485" w:type="pct"/>
            <w:vMerge/>
            <w:tcMar>
              <w:left w:w="108" w:type="dxa"/>
              <w:right w:w="108" w:type="dxa"/>
            </w:tcMar>
          </w:tcPr>
          <w:p w14:paraId="07DD5265" w14:textId="77777777" w:rsidR="001E5006" w:rsidRPr="00DF7DE3" w:rsidRDefault="001E5006" w:rsidP="00733737">
            <w:pPr>
              <w:spacing w:before="60" w:after="60" w:line="240" w:lineRule="auto"/>
              <w:rPr>
                <w:rFonts w:ascii="Calibri" w:hAnsi="Calibri" w:cs="Calibri"/>
                <w:sz w:val="18"/>
                <w:szCs w:val="18"/>
              </w:rPr>
            </w:pPr>
          </w:p>
        </w:tc>
        <w:tc>
          <w:tcPr>
            <w:tcW w:w="1094" w:type="pct"/>
            <w:vMerge/>
            <w:tcMar>
              <w:left w:w="108" w:type="dxa"/>
              <w:right w:w="108" w:type="dxa"/>
            </w:tcMar>
          </w:tcPr>
          <w:p w14:paraId="50AE9E25" w14:textId="77777777" w:rsidR="001E5006" w:rsidRPr="00DF7DE3" w:rsidRDefault="001E5006" w:rsidP="00733737">
            <w:pPr>
              <w:spacing w:before="60" w:after="60" w:line="240" w:lineRule="auto"/>
              <w:rPr>
                <w:rFonts w:ascii="Calibri" w:hAnsi="Calibri" w:cs="Calibri"/>
                <w:sz w:val="18"/>
                <w:szCs w:val="18"/>
              </w:rPr>
            </w:pPr>
          </w:p>
        </w:tc>
        <w:tc>
          <w:tcPr>
            <w:tcW w:w="1719" w:type="pct"/>
            <w:tcMar>
              <w:left w:w="108" w:type="dxa"/>
              <w:right w:w="108" w:type="dxa"/>
            </w:tcMar>
          </w:tcPr>
          <w:p w14:paraId="55F5C6C9" w14:textId="77777777" w:rsidR="001E5006" w:rsidRPr="00DF7DE3" w:rsidRDefault="001E5006" w:rsidP="00733737">
            <w:pPr>
              <w:spacing w:before="60" w:after="60" w:line="240" w:lineRule="auto"/>
              <w:rPr>
                <w:rFonts w:ascii="Calibri" w:hAnsi="Calibri" w:cs="Calibri"/>
                <w:sz w:val="18"/>
                <w:szCs w:val="18"/>
              </w:rPr>
            </w:pPr>
            <w:r w:rsidRPr="00DF7DE3">
              <w:rPr>
                <w:rFonts w:ascii="Calibri" w:hAnsi="Calibri" w:cs="Calibri"/>
                <w:sz w:val="18"/>
                <w:szCs w:val="18"/>
              </w:rPr>
              <w:t>Corrective action</w:t>
            </w:r>
          </w:p>
        </w:tc>
        <w:tc>
          <w:tcPr>
            <w:tcW w:w="702" w:type="pct"/>
            <w:tcMar>
              <w:left w:w="108" w:type="dxa"/>
              <w:right w:w="108" w:type="dxa"/>
            </w:tcMar>
          </w:tcPr>
          <w:p w14:paraId="50D7E296" w14:textId="5290BF92" w:rsidR="001E5006" w:rsidRPr="00243864" w:rsidRDefault="001E5006" w:rsidP="00733737">
            <w:pPr>
              <w:spacing w:before="60" w:after="60" w:line="240" w:lineRule="auto"/>
              <w:jc w:val="right"/>
              <w:rPr>
                <w:rFonts w:cstheme="minorHAnsi"/>
                <w:sz w:val="18"/>
                <w:szCs w:val="18"/>
              </w:rPr>
            </w:pPr>
            <w:r w:rsidRPr="00243864">
              <w:rPr>
                <w:rFonts w:cstheme="minorHAnsi"/>
                <w:sz w:val="18"/>
                <w:szCs w:val="18"/>
              </w:rPr>
              <w:t>4,</w:t>
            </w:r>
            <w:r w:rsidR="00243864" w:rsidRPr="00243864">
              <w:rPr>
                <w:rFonts w:cstheme="minorHAnsi"/>
                <w:sz w:val="18"/>
                <w:szCs w:val="18"/>
              </w:rPr>
              <w:t>674,148</w:t>
            </w:r>
          </w:p>
        </w:tc>
      </w:tr>
      <w:tr w:rsidR="001E5006" w:rsidRPr="00243864" w14:paraId="552E4ABE" w14:textId="77777777" w:rsidTr="007C2F94">
        <w:tc>
          <w:tcPr>
            <w:tcW w:w="1485" w:type="pct"/>
            <w:vMerge/>
            <w:tcMar>
              <w:left w:w="108" w:type="dxa"/>
              <w:right w:w="108" w:type="dxa"/>
            </w:tcMar>
          </w:tcPr>
          <w:p w14:paraId="313FA7D7" w14:textId="77777777" w:rsidR="001E5006" w:rsidRPr="00DF7DE3" w:rsidRDefault="001E5006" w:rsidP="00733737">
            <w:pPr>
              <w:spacing w:before="60" w:after="60" w:line="240" w:lineRule="auto"/>
              <w:rPr>
                <w:rFonts w:ascii="Calibri" w:hAnsi="Calibri" w:cs="Calibri"/>
                <w:sz w:val="18"/>
                <w:szCs w:val="18"/>
              </w:rPr>
            </w:pPr>
          </w:p>
        </w:tc>
        <w:tc>
          <w:tcPr>
            <w:tcW w:w="1094" w:type="pct"/>
            <w:vMerge/>
            <w:tcMar>
              <w:left w:w="108" w:type="dxa"/>
              <w:right w:w="108" w:type="dxa"/>
            </w:tcMar>
          </w:tcPr>
          <w:p w14:paraId="7216C256" w14:textId="77777777" w:rsidR="001E5006" w:rsidRPr="00DF7DE3" w:rsidRDefault="001E5006" w:rsidP="00733737">
            <w:pPr>
              <w:spacing w:before="60" w:after="60" w:line="240" w:lineRule="auto"/>
              <w:rPr>
                <w:rFonts w:ascii="Calibri" w:hAnsi="Calibri" w:cs="Calibri"/>
                <w:sz w:val="18"/>
                <w:szCs w:val="18"/>
              </w:rPr>
            </w:pPr>
          </w:p>
        </w:tc>
        <w:tc>
          <w:tcPr>
            <w:tcW w:w="1719" w:type="pct"/>
            <w:tcMar>
              <w:left w:w="108" w:type="dxa"/>
              <w:right w:w="108" w:type="dxa"/>
            </w:tcMar>
          </w:tcPr>
          <w:p w14:paraId="6E2A5846" w14:textId="77777777" w:rsidR="001E5006" w:rsidRPr="00DF7DE3" w:rsidRDefault="001E5006" w:rsidP="00733737">
            <w:pPr>
              <w:spacing w:before="60" w:after="60" w:line="240" w:lineRule="auto"/>
              <w:rPr>
                <w:rFonts w:ascii="Calibri" w:hAnsi="Calibri" w:cs="Calibri"/>
                <w:b/>
                <w:bCs/>
                <w:sz w:val="18"/>
                <w:szCs w:val="18"/>
              </w:rPr>
            </w:pPr>
            <w:r w:rsidRPr="00DF7DE3">
              <w:rPr>
                <w:rFonts w:ascii="Calibri" w:hAnsi="Calibri" w:cs="Calibri"/>
                <w:b/>
                <w:bCs/>
                <w:sz w:val="18"/>
                <w:szCs w:val="18"/>
              </w:rPr>
              <w:t>Subtotal</w:t>
            </w:r>
          </w:p>
        </w:tc>
        <w:tc>
          <w:tcPr>
            <w:tcW w:w="702" w:type="pct"/>
            <w:tcMar>
              <w:left w:w="108" w:type="dxa"/>
              <w:right w:w="108" w:type="dxa"/>
            </w:tcMar>
          </w:tcPr>
          <w:p w14:paraId="69895928" w14:textId="35EBB7F5" w:rsidR="001E5006" w:rsidRPr="00243864" w:rsidRDefault="00243864" w:rsidP="00733737">
            <w:pPr>
              <w:spacing w:before="60" w:after="60" w:line="240" w:lineRule="auto"/>
              <w:jc w:val="right"/>
              <w:rPr>
                <w:rStyle w:val="Strong"/>
                <w:sz w:val="18"/>
                <w:szCs w:val="18"/>
              </w:rPr>
            </w:pPr>
            <w:r w:rsidRPr="00243864">
              <w:rPr>
                <w:rStyle w:val="Strong"/>
                <w:sz w:val="18"/>
                <w:szCs w:val="18"/>
              </w:rPr>
              <w:t>10,502,601</w:t>
            </w:r>
          </w:p>
        </w:tc>
      </w:tr>
      <w:tr w:rsidR="001E5006" w:rsidRPr="00243864" w14:paraId="62DC972B" w14:textId="77777777" w:rsidTr="007C2F94">
        <w:tc>
          <w:tcPr>
            <w:tcW w:w="1485" w:type="pct"/>
            <w:vMerge/>
            <w:tcMar>
              <w:left w:w="108" w:type="dxa"/>
              <w:right w:w="108" w:type="dxa"/>
            </w:tcMar>
          </w:tcPr>
          <w:p w14:paraId="6BF6347C" w14:textId="77777777" w:rsidR="001E5006" w:rsidRPr="00DF7DE3" w:rsidRDefault="001E5006" w:rsidP="00733737">
            <w:pPr>
              <w:spacing w:before="60" w:after="60" w:line="240" w:lineRule="auto"/>
              <w:rPr>
                <w:rFonts w:ascii="Calibri" w:hAnsi="Calibri" w:cs="Calibri"/>
                <w:sz w:val="18"/>
                <w:szCs w:val="18"/>
              </w:rPr>
            </w:pPr>
          </w:p>
        </w:tc>
        <w:tc>
          <w:tcPr>
            <w:tcW w:w="1094" w:type="pct"/>
            <w:vMerge/>
            <w:tcMar>
              <w:left w:w="108" w:type="dxa"/>
              <w:right w:w="108" w:type="dxa"/>
            </w:tcMar>
          </w:tcPr>
          <w:p w14:paraId="5F48749A" w14:textId="77777777" w:rsidR="001E5006" w:rsidRPr="00DF7DE3" w:rsidRDefault="001E5006" w:rsidP="00733737">
            <w:pPr>
              <w:spacing w:before="60" w:after="60" w:line="240" w:lineRule="auto"/>
              <w:rPr>
                <w:rFonts w:ascii="Calibri" w:hAnsi="Calibri" w:cs="Calibri"/>
                <w:sz w:val="18"/>
                <w:szCs w:val="18"/>
              </w:rPr>
            </w:pPr>
          </w:p>
        </w:tc>
        <w:tc>
          <w:tcPr>
            <w:tcW w:w="1719" w:type="pct"/>
            <w:tcMar>
              <w:left w:w="108" w:type="dxa"/>
              <w:right w:w="108" w:type="dxa"/>
            </w:tcMar>
          </w:tcPr>
          <w:p w14:paraId="79AE2603" w14:textId="77777777" w:rsidR="001E5006" w:rsidRPr="00DF7DE3" w:rsidRDefault="001E5006" w:rsidP="00733737">
            <w:pPr>
              <w:spacing w:before="60" w:after="60" w:line="240" w:lineRule="auto"/>
              <w:rPr>
                <w:rFonts w:ascii="Calibri" w:hAnsi="Calibri" w:cs="Calibri"/>
                <w:b/>
                <w:bCs/>
                <w:sz w:val="18"/>
                <w:szCs w:val="18"/>
              </w:rPr>
            </w:pPr>
            <w:r w:rsidRPr="00DF7DE3">
              <w:rPr>
                <w:rFonts w:ascii="Calibri" w:hAnsi="Calibri" w:cs="Calibri"/>
                <w:b/>
                <w:bCs/>
                <w:sz w:val="18"/>
                <w:szCs w:val="18"/>
              </w:rPr>
              <w:t>Total charges</w:t>
            </w:r>
          </w:p>
        </w:tc>
        <w:tc>
          <w:tcPr>
            <w:tcW w:w="702" w:type="pct"/>
            <w:tcMar>
              <w:left w:w="108" w:type="dxa"/>
              <w:right w:w="108" w:type="dxa"/>
            </w:tcMar>
          </w:tcPr>
          <w:p w14:paraId="28F53AC6" w14:textId="6DD70DA2" w:rsidR="001E5006" w:rsidRPr="00243864" w:rsidRDefault="001E5006" w:rsidP="00733737">
            <w:pPr>
              <w:spacing w:before="60" w:after="60" w:line="240" w:lineRule="auto"/>
              <w:jc w:val="right"/>
              <w:rPr>
                <w:rStyle w:val="Strong"/>
                <w:sz w:val="18"/>
                <w:szCs w:val="18"/>
              </w:rPr>
            </w:pPr>
            <w:r w:rsidRPr="00243864">
              <w:rPr>
                <w:rStyle w:val="Strong"/>
                <w:sz w:val="18"/>
                <w:szCs w:val="18"/>
              </w:rPr>
              <w:t>36</w:t>
            </w:r>
            <w:r w:rsidR="00243864" w:rsidRPr="00243864">
              <w:rPr>
                <w:rStyle w:val="Strong"/>
                <w:sz w:val="18"/>
                <w:szCs w:val="18"/>
              </w:rPr>
              <w:t>8,171,063</w:t>
            </w:r>
          </w:p>
        </w:tc>
      </w:tr>
      <w:tr w:rsidR="001E5006" w:rsidRPr="00243864" w14:paraId="4CBD0B22" w14:textId="77777777" w:rsidTr="007C2F94">
        <w:tc>
          <w:tcPr>
            <w:tcW w:w="1485" w:type="pct"/>
            <w:vMerge w:val="restart"/>
            <w:tcMar>
              <w:left w:w="108" w:type="dxa"/>
              <w:right w:w="108" w:type="dxa"/>
            </w:tcMar>
          </w:tcPr>
          <w:p w14:paraId="43A03346" w14:textId="77777777" w:rsidR="001E5006" w:rsidRPr="00DF7DE3" w:rsidRDefault="001E5006" w:rsidP="00733737">
            <w:pPr>
              <w:spacing w:before="60" w:after="60" w:line="240" w:lineRule="auto"/>
              <w:rPr>
                <w:rFonts w:ascii="Calibri" w:hAnsi="Calibri" w:cs="Calibri"/>
                <w:sz w:val="18"/>
                <w:szCs w:val="18"/>
              </w:rPr>
            </w:pPr>
            <w:r w:rsidRPr="00DF7DE3">
              <w:rPr>
                <w:rFonts w:ascii="Calibri" w:hAnsi="Calibri" w:cs="Calibri"/>
                <w:sz w:val="18"/>
                <w:szCs w:val="18"/>
              </w:rPr>
              <w:t>Fees</w:t>
            </w:r>
          </w:p>
        </w:tc>
        <w:tc>
          <w:tcPr>
            <w:tcW w:w="1094" w:type="pct"/>
            <w:vMerge w:val="restart"/>
            <w:tcMar>
              <w:left w:w="108" w:type="dxa"/>
              <w:right w:w="108" w:type="dxa"/>
            </w:tcMar>
          </w:tcPr>
          <w:p w14:paraId="73DBD86C" w14:textId="77777777" w:rsidR="001E5006" w:rsidRPr="00DF7DE3" w:rsidRDefault="001E5006" w:rsidP="00733737">
            <w:pPr>
              <w:spacing w:before="60" w:after="60" w:line="240" w:lineRule="auto"/>
              <w:rPr>
                <w:rFonts w:ascii="Calibri" w:hAnsi="Calibri" w:cs="Calibri"/>
                <w:sz w:val="18"/>
                <w:szCs w:val="18"/>
              </w:rPr>
            </w:pPr>
            <w:r w:rsidRPr="00DF7DE3">
              <w:rPr>
                <w:rFonts w:ascii="Calibri" w:hAnsi="Calibri" w:cs="Calibri"/>
                <w:sz w:val="18"/>
                <w:szCs w:val="18"/>
              </w:rPr>
              <w:t>Intervention</w:t>
            </w:r>
          </w:p>
        </w:tc>
        <w:tc>
          <w:tcPr>
            <w:tcW w:w="1719" w:type="pct"/>
            <w:tcMar>
              <w:left w:w="108" w:type="dxa"/>
              <w:right w:w="108" w:type="dxa"/>
            </w:tcMar>
          </w:tcPr>
          <w:p w14:paraId="540A98D3" w14:textId="77777777" w:rsidR="001E5006" w:rsidRPr="00DF7DE3" w:rsidRDefault="001E5006" w:rsidP="00733737">
            <w:pPr>
              <w:spacing w:before="60" w:after="60" w:line="240" w:lineRule="auto"/>
              <w:rPr>
                <w:rFonts w:ascii="Calibri" w:hAnsi="Calibri" w:cs="Calibri"/>
                <w:sz w:val="18"/>
                <w:szCs w:val="18"/>
              </w:rPr>
            </w:pPr>
            <w:r w:rsidRPr="00DF7DE3">
              <w:rPr>
                <w:rFonts w:ascii="Calibri" w:hAnsi="Calibri" w:cs="Calibri"/>
                <w:sz w:val="18"/>
                <w:szCs w:val="18"/>
              </w:rPr>
              <w:t>Assessment</w:t>
            </w:r>
          </w:p>
        </w:tc>
        <w:tc>
          <w:tcPr>
            <w:tcW w:w="702" w:type="pct"/>
            <w:tcMar>
              <w:left w:w="108" w:type="dxa"/>
              <w:right w:w="108" w:type="dxa"/>
            </w:tcMar>
          </w:tcPr>
          <w:p w14:paraId="3595BE94" w14:textId="77777777" w:rsidR="001E5006" w:rsidRPr="00243864" w:rsidRDefault="001E5006" w:rsidP="00733737">
            <w:pPr>
              <w:spacing w:before="60" w:after="60" w:line="240" w:lineRule="auto"/>
              <w:jc w:val="right"/>
              <w:rPr>
                <w:rFonts w:cstheme="minorHAnsi"/>
                <w:sz w:val="18"/>
                <w:szCs w:val="18"/>
              </w:rPr>
            </w:pPr>
            <w:r w:rsidRPr="00243864">
              <w:rPr>
                <w:rFonts w:cstheme="minorHAnsi"/>
                <w:sz w:val="18"/>
                <w:szCs w:val="18"/>
              </w:rPr>
              <w:t>26,776,224</w:t>
            </w:r>
          </w:p>
        </w:tc>
      </w:tr>
      <w:tr w:rsidR="001E5006" w:rsidRPr="00243864" w14:paraId="038AC198" w14:textId="77777777" w:rsidTr="007C2F94">
        <w:tc>
          <w:tcPr>
            <w:tcW w:w="1485" w:type="pct"/>
            <w:vMerge/>
            <w:tcMar>
              <w:left w:w="108" w:type="dxa"/>
              <w:right w:w="108" w:type="dxa"/>
            </w:tcMar>
          </w:tcPr>
          <w:p w14:paraId="0B60E940" w14:textId="77777777" w:rsidR="001E5006" w:rsidRPr="00DF7DE3" w:rsidRDefault="001E5006" w:rsidP="00733737">
            <w:pPr>
              <w:spacing w:before="60" w:after="60" w:line="240" w:lineRule="auto"/>
              <w:rPr>
                <w:rFonts w:ascii="Calibri" w:hAnsi="Calibri" w:cs="Calibri"/>
                <w:sz w:val="18"/>
                <w:szCs w:val="18"/>
              </w:rPr>
            </w:pPr>
          </w:p>
        </w:tc>
        <w:tc>
          <w:tcPr>
            <w:tcW w:w="1094" w:type="pct"/>
            <w:vMerge/>
            <w:tcMar>
              <w:left w:w="108" w:type="dxa"/>
              <w:right w:w="108" w:type="dxa"/>
            </w:tcMar>
          </w:tcPr>
          <w:p w14:paraId="1FE1042F" w14:textId="77777777" w:rsidR="001E5006" w:rsidRPr="00DF7DE3" w:rsidRDefault="001E5006" w:rsidP="00733737">
            <w:pPr>
              <w:spacing w:before="60" w:after="60" w:line="240" w:lineRule="auto"/>
              <w:rPr>
                <w:rFonts w:ascii="Calibri" w:hAnsi="Calibri" w:cs="Calibri"/>
                <w:sz w:val="18"/>
                <w:szCs w:val="18"/>
              </w:rPr>
            </w:pPr>
          </w:p>
        </w:tc>
        <w:tc>
          <w:tcPr>
            <w:tcW w:w="1719" w:type="pct"/>
            <w:tcMar>
              <w:left w:w="108" w:type="dxa"/>
              <w:right w:w="108" w:type="dxa"/>
            </w:tcMar>
          </w:tcPr>
          <w:p w14:paraId="166A40F0" w14:textId="77777777" w:rsidR="001E5006" w:rsidRPr="00DF7DE3" w:rsidRDefault="001E5006" w:rsidP="00733737">
            <w:pPr>
              <w:spacing w:before="60" w:after="60" w:line="240" w:lineRule="auto"/>
              <w:rPr>
                <w:rFonts w:ascii="Calibri" w:hAnsi="Calibri" w:cs="Calibri"/>
                <w:sz w:val="18"/>
                <w:szCs w:val="18"/>
              </w:rPr>
            </w:pPr>
            <w:r w:rsidRPr="00DF7DE3">
              <w:rPr>
                <w:rFonts w:ascii="Calibri" w:hAnsi="Calibri" w:cs="Calibri"/>
                <w:sz w:val="18"/>
                <w:szCs w:val="18"/>
              </w:rPr>
              <w:t>Issue approvals/certification</w:t>
            </w:r>
          </w:p>
        </w:tc>
        <w:tc>
          <w:tcPr>
            <w:tcW w:w="702" w:type="pct"/>
            <w:tcMar>
              <w:left w:w="108" w:type="dxa"/>
              <w:right w:w="108" w:type="dxa"/>
            </w:tcMar>
          </w:tcPr>
          <w:p w14:paraId="054A0411" w14:textId="77777777" w:rsidR="001E5006" w:rsidRPr="00243864" w:rsidRDefault="001E5006" w:rsidP="00733737">
            <w:pPr>
              <w:spacing w:before="60" w:after="60" w:line="240" w:lineRule="auto"/>
              <w:jc w:val="right"/>
              <w:rPr>
                <w:rFonts w:cstheme="minorHAnsi"/>
                <w:sz w:val="18"/>
                <w:szCs w:val="18"/>
              </w:rPr>
            </w:pPr>
            <w:r w:rsidRPr="00243864">
              <w:rPr>
                <w:rFonts w:cstheme="minorHAnsi"/>
                <w:sz w:val="18"/>
                <w:szCs w:val="18"/>
              </w:rPr>
              <w:t>5,115,479</w:t>
            </w:r>
          </w:p>
        </w:tc>
      </w:tr>
      <w:tr w:rsidR="001E5006" w:rsidRPr="00243864" w14:paraId="0BCAD0F9" w14:textId="77777777" w:rsidTr="007C2F94">
        <w:tc>
          <w:tcPr>
            <w:tcW w:w="1485" w:type="pct"/>
            <w:vMerge/>
            <w:tcMar>
              <w:left w:w="108" w:type="dxa"/>
              <w:right w:w="108" w:type="dxa"/>
            </w:tcMar>
          </w:tcPr>
          <w:p w14:paraId="7D318748" w14:textId="77777777" w:rsidR="001E5006" w:rsidRPr="00DF7DE3" w:rsidRDefault="001E5006" w:rsidP="00733737">
            <w:pPr>
              <w:spacing w:before="60" w:after="60" w:line="240" w:lineRule="auto"/>
              <w:rPr>
                <w:rFonts w:ascii="Calibri" w:hAnsi="Calibri" w:cs="Calibri"/>
                <w:sz w:val="18"/>
                <w:szCs w:val="18"/>
              </w:rPr>
            </w:pPr>
          </w:p>
        </w:tc>
        <w:tc>
          <w:tcPr>
            <w:tcW w:w="1094" w:type="pct"/>
            <w:vMerge/>
            <w:tcMar>
              <w:left w:w="108" w:type="dxa"/>
              <w:right w:w="108" w:type="dxa"/>
            </w:tcMar>
          </w:tcPr>
          <w:p w14:paraId="701FD5A8" w14:textId="77777777" w:rsidR="001E5006" w:rsidRPr="00DF7DE3" w:rsidRDefault="001E5006" w:rsidP="00733737">
            <w:pPr>
              <w:spacing w:before="60" w:after="60" w:line="240" w:lineRule="auto"/>
              <w:rPr>
                <w:rFonts w:ascii="Calibri" w:hAnsi="Calibri" w:cs="Calibri"/>
                <w:sz w:val="18"/>
                <w:szCs w:val="18"/>
              </w:rPr>
            </w:pPr>
          </w:p>
        </w:tc>
        <w:tc>
          <w:tcPr>
            <w:tcW w:w="1719" w:type="pct"/>
            <w:tcMar>
              <w:left w:w="108" w:type="dxa"/>
              <w:right w:w="108" w:type="dxa"/>
            </w:tcMar>
          </w:tcPr>
          <w:p w14:paraId="10547BA8" w14:textId="77777777" w:rsidR="001E5006" w:rsidRPr="00DF7DE3" w:rsidRDefault="001E5006" w:rsidP="00733737">
            <w:pPr>
              <w:spacing w:before="60" w:after="60" w:line="240" w:lineRule="auto"/>
              <w:rPr>
                <w:rFonts w:ascii="Calibri" w:hAnsi="Calibri" w:cs="Calibri"/>
                <w:sz w:val="18"/>
                <w:szCs w:val="18"/>
              </w:rPr>
            </w:pPr>
            <w:r w:rsidRPr="00DF7DE3">
              <w:rPr>
                <w:rFonts w:ascii="Calibri" w:hAnsi="Calibri" w:cs="Calibri"/>
                <w:sz w:val="18"/>
                <w:szCs w:val="18"/>
              </w:rPr>
              <w:t>Inspection</w:t>
            </w:r>
          </w:p>
        </w:tc>
        <w:tc>
          <w:tcPr>
            <w:tcW w:w="702" w:type="pct"/>
            <w:tcMar>
              <w:left w:w="108" w:type="dxa"/>
              <w:right w:w="108" w:type="dxa"/>
            </w:tcMar>
          </w:tcPr>
          <w:p w14:paraId="1418859F" w14:textId="77777777" w:rsidR="001E5006" w:rsidRPr="00243864" w:rsidRDefault="001E5006" w:rsidP="00733737">
            <w:pPr>
              <w:spacing w:before="60" w:after="60" w:line="240" w:lineRule="auto"/>
              <w:jc w:val="right"/>
              <w:rPr>
                <w:rFonts w:cstheme="minorHAnsi"/>
                <w:sz w:val="18"/>
                <w:szCs w:val="18"/>
              </w:rPr>
            </w:pPr>
            <w:r w:rsidRPr="00243864">
              <w:rPr>
                <w:rFonts w:cstheme="minorHAnsi"/>
                <w:sz w:val="18"/>
                <w:szCs w:val="18"/>
              </w:rPr>
              <w:t>50,271,403</w:t>
            </w:r>
          </w:p>
        </w:tc>
      </w:tr>
      <w:tr w:rsidR="001E5006" w:rsidRPr="00243864" w14:paraId="46A9978D" w14:textId="77777777" w:rsidTr="007C2F94">
        <w:tc>
          <w:tcPr>
            <w:tcW w:w="1485" w:type="pct"/>
            <w:vMerge/>
            <w:tcMar>
              <w:left w:w="108" w:type="dxa"/>
              <w:right w:w="108" w:type="dxa"/>
            </w:tcMar>
          </w:tcPr>
          <w:p w14:paraId="7EBF9A60" w14:textId="77777777" w:rsidR="001E5006" w:rsidRPr="00DF7DE3" w:rsidRDefault="001E5006" w:rsidP="00733737">
            <w:pPr>
              <w:spacing w:before="60" w:after="60" w:line="240" w:lineRule="auto"/>
              <w:rPr>
                <w:rFonts w:ascii="Calibri" w:hAnsi="Calibri" w:cs="Calibri"/>
                <w:sz w:val="18"/>
                <w:szCs w:val="18"/>
              </w:rPr>
            </w:pPr>
          </w:p>
        </w:tc>
        <w:tc>
          <w:tcPr>
            <w:tcW w:w="1094" w:type="pct"/>
            <w:vMerge/>
            <w:tcMar>
              <w:left w:w="108" w:type="dxa"/>
              <w:right w:w="108" w:type="dxa"/>
            </w:tcMar>
          </w:tcPr>
          <w:p w14:paraId="17923E60" w14:textId="77777777" w:rsidR="001E5006" w:rsidRPr="00DF7DE3" w:rsidRDefault="001E5006" w:rsidP="00733737">
            <w:pPr>
              <w:spacing w:before="60" w:after="60" w:line="240" w:lineRule="auto"/>
              <w:rPr>
                <w:rFonts w:ascii="Calibri" w:hAnsi="Calibri" w:cs="Calibri"/>
                <w:sz w:val="18"/>
                <w:szCs w:val="18"/>
              </w:rPr>
            </w:pPr>
          </w:p>
        </w:tc>
        <w:tc>
          <w:tcPr>
            <w:tcW w:w="1719" w:type="pct"/>
            <w:tcMar>
              <w:left w:w="108" w:type="dxa"/>
              <w:right w:w="108" w:type="dxa"/>
            </w:tcMar>
          </w:tcPr>
          <w:p w14:paraId="606FB91F" w14:textId="77777777" w:rsidR="001E5006" w:rsidRPr="00DF7DE3" w:rsidRDefault="001E5006" w:rsidP="00733737">
            <w:pPr>
              <w:spacing w:before="60" w:after="60" w:line="240" w:lineRule="auto"/>
              <w:rPr>
                <w:rFonts w:ascii="Calibri" w:hAnsi="Calibri" w:cs="Calibri"/>
                <w:sz w:val="18"/>
                <w:szCs w:val="18"/>
              </w:rPr>
            </w:pPr>
            <w:r>
              <w:rPr>
                <w:rFonts w:ascii="Calibri" w:hAnsi="Calibri" w:cs="Calibri"/>
                <w:sz w:val="18"/>
                <w:szCs w:val="18"/>
              </w:rPr>
              <w:t>Treatment</w:t>
            </w:r>
          </w:p>
        </w:tc>
        <w:tc>
          <w:tcPr>
            <w:tcW w:w="702" w:type="pct"/>
            <w:tcMar>
              <w:left w:w="108" w:type="dxa"/>
              <w:right w:w="108" w:type="dxa"/>
            </w:tcMar>
          </w:tcPr>
          <w:p w14:paraId="391DC8B5" w14:textId="77777777" w:rsidR="001E5006" w:rsidRPr="00243864" w:rsidRDefault="001E5006" w:rsidP="00733737">
            <w:pPr>
              <w:spacing w:before="60" w:after="60" w:line="240" w:lineRule="auto"/>
              <w:jc w:val="right"/>
              <w:rPr>
                <w:rFonts w:cstheme="minorHAnsi"/>
                <w:sz w:val="18"/>
                <w:szCs w:val="18"/>
              </w:rPr>
            </w:pPr>
            <w:r w:rsidRPr="00243864">
              <w:rPr>
                <w:rFonts w:cstheme="minorHAnsi"/>
                <w:sz w:val="18"/>
                <w:szCs w:val="18"/>
              </w:rPr>
              <w:t>700,154</w:t>
            </w:r>
          </w:p>
        </w:tc>
      </w:tr>
      <w:tr w:rsidR="001E5006" w:rsidRPr="00243864" w14:paraId="51219326" w14:textId="77777777" w:rsidTr="007C2F94">
        <w:tc>
          <w:tcPr>
            <w:tcW w:w="1485" w:type="pct"/>
            <w:vMerge/>
            <w:tcMar>
              <w:left w:w="108" w:type="dxa"/>
              <w:right w:w="108" w:type="dxa"/>
            </w:tcMar>
          </w:tcPr>
          <w:p w14:paraId="7327E738" w14:textId="77777777" w:rsidR="001E5006" w:rsidRPr="00DF7DE3" w:rsidRDefault="001E5006" w:rsidP="00733737">
            <w:pPr>
              <w:spacing w:before="60" w:after="60" w:line="240" w:lineRule="auto"/>
              <w:rPr>
                <w:rFonts w:ascii="Calibri" w:hAnsi="Calibri" w:cs="Calibri"/>
                <w:sz w:val="18"/>
                <w:szCs w:val="18"/>
              </w:rPr>
            </w:pPr>
          </w:p>
        </w:tc>
        <w:tc>
          <w:tcPr>
            <w:tcW w:w="1094" w:type="pct"/>
            <w:vMerge/>
            <w:tcMar>
              <w:left w:w="108" w:type="dxa"/>
              <w:right w:w="108" w:type="dxa"/>
            </w:tcMar>
          </w:tcPr>
          <w:p w14:paraId="5CDE37DE" w14:textId="77777777" w:rsidR="001E5006" w:rsidRPr="00DF7DE3" w:rsidRDefault="001E5006" w:rsidP="00733737">
            <w:pPr>
              <w:spacing w:before="60" w:after="60" w:line="240" w:lineRule="auto"/>
              <w:rPr>
                <w:rFonts w:ascii="Calibri" w:hAnsi="Calibri" w:cs="Calibri"/>
                <w:sz w:val="18"/>
                <w:szCs w:val="18"/>
              </w:rPr>
            </w:pPr>
          </w:p>
        </w:tc>
        <w:tc>
          <w:tcPr>
            <w:tcW w:w="1719" w:type="pct"/>
            <w:tcMar>
              <w:left w:w="108" w:type="dxa"/>
              <w:right w:w="108" w:type="dxa"/>
            </w:tcMar>
          </w:tcPr>
          <w:p w14:paraId="54122879" w14:textId="77777777" w:rsidR="001E5006" w:rsidRPr="00DF7DE3" w:rsidRDefault="001E5006" w:rsidP="00733737">
            <w:pPr>
              <w:spacing w:before="60" w:after="60" w:line="240" w:lineRule="auto"/>
              <w:rPr>
                <w:rFonts w:ascii="Calibri" w:hAnsi="Calibri" w:cs="Calibri"/>
                <w:sz w:val="18"/>
                <w:szCs w:val="18"/>
              </w:rPr>
            </w:pPr>
            <w:r w:rsidRPr="00DF7DE3">
              <w:rPr>
                <w:rFonts w:ascii="Calibri" w:hAnsi="Calibri" w:cs="Calibri"/>
                <w:sz w:val="18"/>
                <w:szCs w:val="18"/>
              </w:rPr>
              <w:t>Audit</w:t>
            </w:r>
          </w:p>
        </w:tc>
        <w:tc>
          <w:tcPr>
            <w:tcW w:w="702" w:type="pct"/>
            <w:tcMar>
              <w:left w:w="108" w:type="dxa"/>
              <w:right w:w="108" w:type="dxa"/>
            </w:tcMar>
          </w:tcPr>
          <w:p w14:paraId="57A78837" w14:textId="77777777" w:rsidR="001E5006" w:rsidRPr="00243864" w:rsidRDefault="001E5006" w:rsidP="00733737">
            <w:pPr>
              <w:spacing w:before="60" w:after="60" w:line="240" w:lineRule="auto"/>
              <w:jc w:val="right"/>
              <w:rPr>
                <w:rFonts w:cstheme="minorHAnsi"/>
                <w:sz w:val="18"/>
                <w:szCs w:val="18"/>
              </w:rPr>
            </w:pPr>
            <w:r w:rsidRPr="00243864">
              <w:rPr>
                <w:rFonts w:cstheme="minorHAnsi"/>
                <w:sz w:val="18"/>
                <w:szCs w:val="18"/>
              </w:rPr>
              <w:t>1,884,953</w:t>
            </w:r>
          </w:p>
        </w:tc>
      </w:tr>
      <w:tr w:rsidR="001E5006" w:rsidRPr="00243864" w14:paraId="3D08F048" w14:textId="77777777" w:rsidTr="007C2F94">
        <w:tc>
          <w:tcPr>
            <w:tcW w:w="1485" w:type="pct"/>
            <w:vMerge/>
            <w:tcMar>
              <w:left w:w="108" w:type="dxa"/>
              <w:right w:w="108" w:type="dxa"/>
            </w:tcMar>
          </w:tcPr>
          <w:p w14:paraId="10170B99" w14:textId="77777777" w:rsidR="001E5006" w:rsidRPr="00DF7DE3" w:rsidRDefault="001E5006" w:rsidP="00733737">
            <w:pPr>
              <w:spacing w:before="60" w:after="60" w:line="240" w:lineRule="auto"/>
              <w:rPr>
                <w:rFonts w:ascii="Calibri" w:hAnsi="Calibri" w:cs="Calibri"/>
                <w:sz w:val="18"/>
                <w:szCs w:val="18"/>
              </w:rPr>
            </w:pPr>
          </w:p>
        </w:tc>
        <w:tc>
          <w:tcPr>
            <w:tcW w:w="1094" w:type="pct"/>
            <w:vMerge/>
            <w:tcMar>
              <w:left w:w="108" w:type="dxa"/>
              <w:right w:w="108" w:type="dxa"/>
            </w:tcMar>
          </w:tcPr>
          <w:p w14:paraId="5F24AA8C" w14:textId="77777777" w:rsidR="001E5006" w:rsidRPr="00DF7DE3" w:rsidRDefault="001E5006" w:rsidP="00733737">
            <w:pPr>
              <w:spacing w:before="60" w:after="60" w:line="240" w:lineRule="auto"/>
              <w:rPr>
                <w:rFonts w:ascii="Calibri" w:hAnsi="Calibri" w:cs="Calibri"/>
                <w:sz w:val="18"/>
                <w:szCs w:val="18"/>
              </w:rPr>
            </w:pPr>
          </w:p>
        </w:tc>
        <w:tc>
          <w:tcPr>
            <w:tcW w:w="1719" w:type="pct"/>
            <w:tcMar>
              <w:left w:w="108" w:type="dxa"/>
              <w:right w:w="108" w:type="dxa"/>
            </w:tcMar>
          </w:tcPr>
          <w:p w14:paraId="1CAF9F05" w14:textId="77777777" w:rsidR="001E5006" w:rsidRPr="00DF7DE3" w:rsidRDefault="001E5006" w:rsidP="00733737">
            <w:pPr>
              <w:spacing w:before="60" w:after="60" w:line="240" w:lineRule="auto"/>
              <w:rPr>
                <w:rFonts w:ascii="Calibri" w:hAnsi="Calibri" w:cs="Calibri"/>
                <w:sz w:val="18"/>
                <w:szCs w:val="18"/>
              </w:rPr>
            </w:pPr>
            <w:r w:rsidRPr="00DF7DE3">
              <w:rPr>
                <w:rFonts w:ascii="Calibri" w:hAnsi="Calibri" w:cs="Calibri"/>
                <w:sz w:val="18"/>
                <w:szCs w:val="18"/>
              </w:rPr>
              <w:t>Husbandry</w:t>
            </w:r>
          </w:p>
        </w:tc>
        <w:tc>
          <w:tcPr>
            <w:tcW w:w="702" w:type="pct"/>
            <w:tcMar>
              <w:left w:w="108" w:type="dxa"/>
              <w:right w:w="108" w:type="dxa"/>
            </w:tcMar>
          </w:tcPr>
          <w:p w14:paraId="18743459" w14:textId="77777777" w:rsidR="001E5006" w:rsidRPr="00243864" w:rsidRDefault="001E5006" w:rsidP="00733737">
            <w:pPr>
              <w:spacing w:before="60" w:after="60" w:line="240" w:lineRule="auto"/>
              <w:jc w:val="right"/>
              <w:rPr>
                <w:rFonts w:cstheme="minorHAnsi"/>
                <w:sz w:val="18"/>
                <w:szCs w:val="18"/>
              </w:rPr>
            </w:pPr>
            <w:r w:rsidRPr="00243864">
              <w:rPr>
                <w:rFonts w:cstheme="minorHAnsi"/>
                <w:sz w:val="18"/>
                <w:szCs w:val="18"/>
              </w:rPr>
              <w:t>6,558,283</w:t>
            </w:r>
          </w:p>
        </w:tc>
      </w:tr>
      <w:tr w:rsidR="001E5006" w:rsidRPr="00243864" w14:paraId="7424C18D" w14:textId="77777777" w:rsidTr="007C2F94">
        <w:tc>
          <w:tcPr>
            <w:tcW w:w="1485" w:type="pct"/>
            <w:vMerge/>
            <w:tcMar>
              <w:left w:w="108" w:type="dxa"/>
              <w:right w:w="108" w:type="dxa"/>
            </w:tcMar>
          </w:tcPr>
          <w:p w14:paraId="1AF6CB9B" w14:textId="77777777" w:rsidR="001E5006" w:rsidRPr="00DF7DE3" w:rsidRDefault="001E5006" w:rsidP="00733737">
            <w:pPr>
              <w:spacing w:before="60" w:after="60" w:line="240" w:lineRule="auto"/>
              <w:rPr>
                <w:rFonts w:ascii="Calibri" w:hAnsi="Calibri" w:cs="Calibri"/>
                <w:sz w:val="18"/>
                <w:szCs w:val="18"/>
              </w:rPr>
            </w:pPr>
          </w:p>
        </w:tc>
        <w:tc>
          <w:tcPr>
            <w:tcW w:w="1094" w:type="pct"/>
            <w:vMerge/>
            <w:tcMar>
              <w:left w:w="108" w:type="dxa"/>
              <w:right w:w="108" w:type="dxa"/>
            </w:tcMar>
          </w:tcPr>
          <w:p w14:paraId="08EDBDCC" w14:textId="77777777" w:rsidR="001E5006" w:rsidRPr="00DF7DE3" w:rsidRDefault="001E5006" w:rsidP="00733737">
            <w:pPr>
              <w:spacing w:before="60" w:after="60" w:line="240" w:lineRule="auto"/>
              <w:rPr>
                <w:rFonts w:ascii="Calibri" w:hAnsi="Calibri" w:cs="Calibri"/>
                <w:sz w:val="18"/>
                <w:szCs w:val="18"/>
              </w:rPr>
            </w:pPr>
          </w:p>
        </w:tc>
        <w:tc>
          <w:tcPr>
            <w:tcW w:w="1719" w:type="pct"/>
            <w:tcMar>
              <w:left w:w="108" w:type="dxa"/>
              <w:right w:w="108" w:type="dxa"/>
            </w:tcMar>
          </w:tcPr>
          <w:p w14:paraId="2396EF56" w14:textId="77777777" w:rsidR="001E5006" w:rsidRPr="00DF7DE3" w:rsidRDefault="001E5006" w:rsidP="00733737">
            <w:pPr>
              <w:spacing w:before="60" w:after="60" w:line="240" w:lineRule="auto"/>
              <w:rPr>
                <w:rFonts w:ascii="Calibri" w:hAnsi="Calibri" w:cs="Calibri"/>
                <w:b/>
                <w:bCs/>
                <w:sz w:val="18"/>
                <w:szCs w:val="18"/>
              </w:rPr>
            </w:pPr>
            <w:r w:rsidRPr="00DF7DE3">
              <w:rPr>
                <w:rFonts w:ascii="Calibri" w:hAnsi="Calibri" w:cs="Calibri"/>
                <w:b/>
                <w:bCs/>
                <w:sz w:val="18"/>
                <w:szCs w:val="18"/>
              </w:rPr>
              <w:t>Subtotal</w:t>
            </w:r>
          </w:p>
        </w:tc>
        <w:tc>
          <w:tcPr>
            <w:tcW w:w="702" w:type="pct"/>
            <w:tcMar>
              <w:left w:w="108" w:type="dxa"/>
              <w:right w:w="108" w:type="dxa"/>
            </w:tcMar>
          </w:tcPr>
          <w:p w14:paraId="706880DE" w14:textId="77777777" w:rsidR="001E5006" w:rsidRPr="00243864" w:rsidRDefault="001E5006" w:rsidP="00733737">
            <w:pPr>
              <w:spacing w:before="60" w:after="60" w:line="240" w:lineRule="auto"/>
              <w:jc w:val="right"/>
              <w:rPr>
                <w:rStyle w:val="Strong"/>
                <w:sz w:val="18"/>
                <w:szCs w:val="18"/>
              </w:rPr>
            </w:pPr>
            <w:r w:rsidRPr="00243864">
              <w:rPr>
                <w:rStyle w:val="Strong"/>
                <w:sz w:val="18"/>
                <w:szCs w:val="18"/>
              </w:rPr>
              <w:t>91,306,496</w:t>
            </w:r>
          </w:p>
        </w:tc>
      </w:tr>
      <w:tr w:rsidR="001E5006" w:rsidRPr="00243864" w14:paraId="227BF284" w14:textId="77777777" w:rsidTr="007C2F94">
        <w:tc>
          <w:tcPr>
            <w:tcW w:w="1485" w:type="pct"/>
            <w:vMerge/>
            <w:tcBorders>
              <w:bottom w:val="single" w:sz="4" w:space="0" w:color="auto"/>
            </w:tcBorders>
            <w:tcMar>
              <w:left w:w="108" w:type="dxa"/>
              <w:right w:w="108" w:type="dxa"/>
            </w:tcMar>
          </w:tcPr>
          <w:p w14:paraId="412236A2" w14:textId="77777777" w:rsidR="001E5006" w:rsidRPr="00DF7DE3" w:rsidRDefault="001E5006" w:rsidP="00733737">
            <w:pPr>
              <w:spacing w:before="60" w:after="60" w:line="240" w:lineRule="auto"/>
              <w:rPr>
                <w:rFonts w:ascii="Calibri" w:hAnsi="Calibri" w:cs="Calibri"/>
                <w:sz w:val="18"/>
                <w:szCs w:val="18"/>
              </w:rPr>
            </w:pPr>
          </w:p>
        </w:tc>
        <w:tc>
          <w:tcPr>
            <w:tcW w:w="1094" w:type="pct"/>
            <w:vMerge/>
            <w:tcBorders>
              <w:bottom w:val="single" w:sz="4" w:space="0" w:color="auto"/>
            </w:tcBorders>
            <w:tcMar>
              <w:left w:w="108" w:type="dxa"/>
              <w:right w:w="108" w:type="dxa"/>
            </w:tcMar>
          </w:tcPr>
          <w:p w14:paraId="5896BACB" w14:textId="77777777" w:rsidR="001E5006" w:rsidRPr="00DF7DE3" w:rsidRDefault="001E5006" w:rsidP="00733737">
            <w:pPr>
              <w:spacing w:before="60" w:after="60" w:line="240" w:lineRule="auto"/>
              <w:rPr>
                <w:rFonts w:ascii="Calibri" w:hAnsi="Calibri" w:cs="Calibri"/>
                <w:sz w:val="18"/>
                <w:szCs w:val="18"/>
              </w:rPr>
            </w:pPr>
          </w:p>
        </w:tc>
        <w:tc>
          <w:tcPr>
            <w:tcW w:w="1719" w:type="pct"/>
            <w:tcBorders>
              <w:bottom w:val="single" w:sz="4" w:space="0" w:color="auto"/>
            </w:tcBorders>
            <w:tcMar>
              <w:left w:w="108" w:type="dxa"/>
              <w:right w:w="108" w:type="dxa"/>
            </w:tcMar>
          </w:tcPr>
          <w:p w14:paraId="2988E4B3" w14:textId="77777777" w:rsidR="001E5006" w:rsidRPr="00DF7DE3" w:rsidRDefault="001E5006" w:rsidP="00733737">
            <w:pPr>
              <w:spacing w:before="60" w:after="60" w:line="240" w:lineRule="auto"/>
              <w:rPr>
                <w:rFonts w:ascii="Calibri" w:hAnsi="Calibri" w:cs="Calibri"/>
                <w:b/>
                <w:bCs/>
                <w:sz w:val="18"/>
                <w:szCs w:val="18"/>
              </w:rPr>
            </w:pPr>
            <w:r w:rsidRPr="00DF7DE3">
              <w:rPr>
                <w:rFonts w:ascii="Calibri" w:hAnsi="Calibri" w:cs="Calibri"/>
                <w:b/>
                <w:bCs/>
                <w:sz w:val="18"/>
                <w:szCs w:val="18"/>
              </w:rPr>
              <w:t>Total fee for service</w:t>
            </w:r>
          </w:p>
        </w:tc>
        <w:tc>
          <w:tcPr>
            <w:tcW w:w="702" w:type="pct"/>
            <w:tcBorders>
              <w:bottom w:val="single" w:sz="4" w:space="0" w:color="auto"/>
            </w:tcBorders>
            <w:tcMar>
              <w:left w:w="108" w:type="dxa"/>
              <w:right w:w="108" w:type="dxa"/>
            </w:tcMar>
          </w:tcPr>
          <w:p w14:paraId="03BA7089" w14:textId="77777777" w:rsidR="001E5006" w:rsidRPr="00243864" w:rsidRDefault="001E5006" w:rsidP="00733737">
            <w:pPr>
              <w:spacing w:before="60" w:after="60" w:line="240" w:lineRule="auto"/>
              <w:jc w:val="right"/>
              <w:rPr>
                <w:rStyle w:val="Strong"/>
                <w:sz w:val="18"/>
                <w:szCs w:val="18"/>
              </w:rPr>
            </w:pPr>
            <w:r w:rsidRPr="00243864">
              <w:rPr>
                <w:rStyle w:val="Strong"/>
                <w:sz w:val="18"/>
                <w:szCs w:val="18"/>
              </w:rPr>
              <w:t>91,306,496</w:t>
            </w:r>
          </w:p>
        </w:tc>
      </w:tr>
      <w:tr w:rsidR="001E5006" w:rsidRPr="00677BBE" w14:paraId="1D6B3C34" w14:textId="77777777" w:rsidTr="007C2F94">
        <w:tc>
          <w:tcPr>
            <w:tcW w:w="1485" w:type="pct"/>
            <w:tcBorders>
              <w:bottom w:val="single" w:sz="4" w:space="0" w:color="auto"/>
            </w:tcBorders>
            <w:tcMar>
              <w:left w:w="108" w:type="dxa"/>
              <w:right w:w="108" w:type="dxa"/>
            </w:tcMar>
          </w:tcPr>
          <w:p w14:paraId="08137505" w14:textId="77777777" w:rsidR="001E5006" w:rsidRPr="00DF7DE3" w:rsidRDefault="001E5006" w:rsidP="00733737">
            <w:pPr>
              <w:spacing w:before="60" w:after="60" w:line="240" w:lineRule="auto"/>
              <w:rPr>
                <w:b/>
                <w:bCs/>
                <w:sz w:val="18"/>
              </w:rPr>
            </w:pPr>
            <w:r w:rsidRPr="00DF7DE3">
              <w:rPr>
                <w:b/>
                <w:bCs/>
                <w:sz w:val="18"/>
              </w:rPr>
              <w:t>Sub total</w:t>
            </w:r>
          </w:p>
        </w:tc>
        <w:tc>
          <w:tcPr>
            <w:tcW w:w="1094" w:type="pct"/>
            <w:tcBorders>
              <w:bottom w:val="single" w:sz="4" w:space="0" w:color="auto"/>
            </w:tcBorders>
            <w:tcMar>
              <w:left w:w="108" w:type="dxa"/>
              <w:right w:w="108" w:type="dxa"/>
            </w:tcMar>
          </w:tcPr>
          <w:p w14:paraId="6D7CE3BB" w14:textId="77777777" w:rsidR="001E5006" w:rsidRPr="00DF7DE3" w:rsidRDefault="001E5006" w:rsidP="0052764F">
            <w:pPr>
              <w:spacing w:before="60" w:after="60" w:line="240" w:lineRule="auto"/>
              <w:jc w:val="right"/>
              <w:rPr>
                <w:rFonts w:ascii="Calibri" w:hAnsi="Calibri" w:cs="Calibri"/>
                <w:sz w:val="18"/>
                <w:szCs w:val="18"/>
              </w:rPr>
            </w:pPr>
            <w:r w:rsidRPr="00DF7DE3">
              <w:rPr>
                <w:rFonts w:ascii="Calibri" w:hAnsi="Calibri" w:cs="Calibri"/>
                <w:sz w:val="18"/>
                <w:szCs w:val="18"/>
              </w:rPr>
              <w:t>–</w:t>
            </w:r>
          </w:p>
        </w:tc>
        <w:tc>
          <w:tcPr>
            <w:tcW w:w="1719" w:type="pct"/>
            <w:tcBorders>
              <w:bottom w:val="single" w:sz="4" w:space="0" w:color="auto"/>
            </w:tcBorders>
            <w:tcMar>
              <w:left w:w="108" w:type="dxa"/>
              <w:right w:w="108" w:type="dxa"/>
            </w:tcMar>
          </w:tcPr>
          <w:p w14:paraId="6B396F7F" w14:textId="23ACA573" w:rsidR="001E5006" w:rsidRPr="00DF7DE3" w:rsidRDefault="00F423BD" w:rsidP="0052764F">
            <w:pPr>
              <w:spacing w:before="60" w:after="60" w:line="240" w:lineRule="auto"/>
              <w:jc w:val="right"/>
              <w:rPr>
                <w:rFonts w:ascii="Calibri" w:hAnsi="Calibri" w:cs="Calibri"/>
                <w:b/>
                <w:bCs/>
                <w:sz w:val="18"/>
                <w:szCs w:val="18"/>
              </w:rPr>
            </w:pPr>
            <w:r>
              <w:rPr>
                <w:rFonts w:ascii="Calibri" w:hAnsi="Calibri" w:cs="Calibri"/>
                <w:b/>
                <w:bCs/>
                <w:sz w:val="18"/>
                <w:szCs w:val="18"/>
              </w:rPr>
              <w:t>–</w:t>
            </w:r>
          </w:p>
        </w:tc>
        <w:tc>
          <w:tcPr>
            <w:tcW w:w="702" w:type="pct"/>
            <w:tcBorders>
              <w:bottom w:val="single" w:sz="4" w:space="0" w:color="auto"/>
            </w:tcBorders>
            <w:tcMar>
              <w:left w:w="108" w:type="dxa"/>
              <w:right w:w="108" w:type="dxa"/>
            </w:tcMar>
          </w:tcPr>
          <w:p w14:paraId="15775100" w14:textId="2908A182" w:rsidR="001E5006" w:rsidRPr="00677BBE" w:rsidRDefault="001E5006" w:rsidP="00733737">
            <w:pPr>
              <w:spacing w:before="60" w:after="60" w:line="240" w:lineRule="auto"/>
              <w:jc w:val="right"/>
              <w:rPr>
                <w:rStyle w:val="Strong"/>
                <w:sz w:val="18"/>
                <w:szCs w:val="18"/>
              </w:rPr>
            </w:pPr>
            <w:r w:rsidRPr="00677BBE">
              <w:rPr>
                <w:rStyle w:val="Strong"/>
                <w:sz w:val="18"/>
                <w:szCs w:val="18"/>
              </w:rPr>
              <w:t>45</w:t>
            </w:r>
            <w:r w:rsidR="00677BBE" w:rsidRPr="00677BBE">
              <w:rPr>
                <w:rStyle w:val="Strong"/>
                <w:sz w:val="18"/>
                <w:szCs w:val="18"/>
              </w:rPr>
              <w:t>9</w:t>
            </w:r>
            <w:r w:rsidRPr="00677BBE">
              <w:rPr>
                <w:rStyle w:val="Strong"/>
                <w:sz w:val="18"/>
                <w:szCs w:val="18"/>
              </w:rPr>
              <w:t>,</w:t>
            </w:r>
            <w:r w:rsidR="00677BBE" w:rsidRPr="00677BBE">
              <w:rPr>
                <w:rStyle w:val="Strong"/>
                <w:sz w:val="18"/>
                <w:szCs w:val="18"/>
              </w:rPr>
              <w:t>477,559</w:t>
            </w:r>
          </w:p>
        </w:tc>
      </w:tr>
      <w:tr w:rsidR="001E5006" w:rsidRPr="00677BBE" w14:paraId="761B5154" w14:textId="77777777" w:rsidTr="007C2F94">
        <w:tc>
          <w:tcPr>
            <w:tcW w:w="1485" w:type="pct"/>
            <w:tcBorders>
              <w:bottom w:val="single" w:sz="4" w:space="0" w:color="auto"/>
            </w:tcBorders>
            <w:tcMar>
              <w:left w:w="108" w:type="dxa"/>
              <w:right w:w="108" w:type="dxa"/>
            </w:tcMar>
          </w:tcPr>
          <w:p w14:paraId="35F14A24" w14:textId="77777777" w:rsidR="001E5006" w:rsidRPr="00DF7DE3" w:rsidRDefault="001E5006" w:rsidP="00733737">
            <w:pPr>
              <w:spacing w:before="60" w:after="60" w:line="240" w:lineRule="auto"/>
              <w:rPr>
                <w:rFonts w:ascii="Calibri" w:hAnsi="Calibri" w:cs="Calibri"/>
                <w:b/>
                <w:sz w:val="18"/>
                <w:szCs w:val="18"/>
                <w:lang w:eastAsia="ja-JP"/>
              </w:rPr>
            </w:pPr>
            <w:r w:rsidRPr="00DF7DE3">
              <w:rPr>
                <w:rFonts w:ascii="Calibri" w:hAnsi="Calibri" w:cs="Calibri"/>
                <w:bCs/>
                <w:sz w:val="18"/>
                <w:szCs w:val="18"/>
                <w:lang w:eastAsia="ja-JP"/>
              </w:rPr>
              <w:t xml:space="preserve">Less government </w:t>
            </w:r>
            <w:r w:rsidRPr="00DF7DE3">
              <w:rPr>
                <w:rFonts w:ascii="Calibri" w:hAnsi="Calibri" w:cs="Calibri"/>
                <w:sz w:val="18"/>
                <w:szCs w:val="18"/>
                <w:lang w:eastAsia="ja-JP"/>
              </w:rPr>
              <w:t>appropriation for anti-smuggling measures</w:t>
            </w:r>
          </w:p>
        </w:tc>
        <w:tc>
          <w:tcPr>
            <w:tcW w:w="1094" w:type="pct"/>
            <w:tcBorders>
              <w:bottom w:val="single" w:sz="4" w:space="0" w:color="auto"/>
            </w:tcBorders>
            <w:tcMar>
              <w:left w:w="108" w:type="dxa"/>
              <w:right w:w="108" w:type="dxa"/>
            </w:tcMar>
          </w:tcPr>
          <w:p w14:paraId="04B62A36" w14:textId="77777777" w:rsidR="001E5006" w:rsidRPr="00DF7DE3" w:rsidRDefault="001E5006" w:rsidP="0052764F">
            <w:pPr>
              <w:spacing w:before="60" w:after="60" w:line="240" w:lineRule="auto"/>
              <w:jc w:val="right"/>
              <w:rPr>
                <w:rFonts w:ascii="Calibri" w:hAnsi="Calibri" w:cs="Calibri"/>
                <w:sz w:val="18"/>
                <w:szCs w:val="18"/>
              </w:rPr>
            </w:pPr>
            <w:r w:rsidRPr="00DF7DE3">
              <w:rPr>
                <w:rFonts w:ascii="Calibri" w:hAnsi="Calibri" w:cs="Calibri"/>
                <w:sz w:val="18"/>
                <w:szCs w:val="18"/>
              </w:rPr>
              <w:t>–</w:t>
            </w:r>
          </w:p>
        </w:tc>
        <w:tc>
          <w:tcPr>
            <w:tcW w:w="1719" w:type="pct"/>
            <w:tcBorders>
              <w:bottom w:val="single" w:sz="4" w:space="0" w:color="auto"/>
            </w:tcBorders>
            <w:tcMar>
              <w:left w:w="108" w:type="dxa"/>
              <w:right w:w="108" w:type="dxa"/>
            </w:tcMar>
          </w:tcPr>
          <w:p w14:paraId="5B7E1901" w14:textId="77777777" w:rsidR="001E5006" w:rsidRPr="00DF7DE3" w:rsidRDefault="001E5006" w:rsidP="0052764F">
            <w:pPr>
              <w:spacing w:before="60" w:after="60" w:line="240" w:lineRule="auto"/>
              <w:jc w:val="right"/>
              <w:rPr>
                <w:rFonts w:ascii="Calibri" w:hAnsi="Calibri" w:cs="Calibri"/>
                <w:b/>
                <w:bCs/>
                <w:sz w:val="18"/>
                <w:szCs w:val="18"/>
              </w:rPr>
            </w:pPr>
            <w:r w:rsidRPr="00DF7DE3">
              <w:rPr>
                <w:rFonts w:ascii="Calibri" w:hAnsi="Calibri" w:cs="Calibri"/>
                <w:b/>
                <w:bCs/>
                <w:sz w:val="18"/>
                <w:szCs w:val="18"/>
              </w:rPr>
              <w:t>–</w:t>
            </w:r>
          </w:p>
        </w:tc>
        <w:tc>
          <w:tcPr>
            <w:tcW w:w="702" w:type="pct"/>
            <w:tcBorders>
              <w:bottom w:val="single" w:sz="4" w:space="0" w:color="auto"/>
            </w:tcBorders>
            <w:tcMar>
              <w:left w:w="108" w:type="dxa"/>
              <w:right w:w="108" w:type="dxa"/>
            </w:tcMar>
          </w:tcPr>
          <w:p w14:paraId="0F922ED5" w14:textId="77777777" w:rsidR="001E5006" w:rsidRPr="00677BBE" w:rsidRDefault="001E5006" w:rsidP="00F423BD">
            <w:pPr>
              <w:spacing w:before="60" w:after="60" w:line="240" w:lineRule="auto"/>
              <w:jc w:val="right"/>
              <w:rPr>
                <w:rFonts w:cstheme="minorHAnsi"/>
                <w:b/>
                <w:bCs/>
                <w:sz w:val="18"/>
                <w:szCs w:val="18"/>
                <w:lang w:eastAsia="ja-JP"/>
              </w:rPr>
            </w:pPr>
            <w:r w:rsidRPr="00677BBE">
              <w:rPr>
                <w:rFonts w:cstheme="minorHAnsi"/>
                <w:b/>
                <w:bCs/>
                <w:sz w:val="18"/>
                <w:szCs w:val="18"/>
                <w:lang w:eastAsia="ja-JP"/>
              </w:rPr>
              <w:t>(1,618,084)</w:t>
            </w:r>
          </w:p>
        </w:tc>
      </w:tr>
      <w:tr w:rsidR="001E5006" w:rsidRPr="00677BBE" w14:paraId="475A5F5A" w14:textId="77777777" w:rsidTr="007C2F94">
        <w:tc>
          <w:tcPr>
            <w:tcW w:w="1485" w:type="pct"/>
            <w:tcBorders>
              <w:bottom w:val="single" w:sz="4" w:space="0" w:color="auto"/>
            </w:tcBorders>
            <w:tcMar>
              <w:left w:w="108" w:type="dxa"/>
              <w:right w:w="108" w:type="dxa"/>
            </w:tcMar>
          </w:tcPr>
          <w:p w14:paraId="110C0D50" w14:textId="77777777" w:rsidR="001E5006" w:rsidRPr="00DF7DE3" w:rsidRDefault="001E5006" w:rsidP="00733737">
            <w:pPr>
              <w:spacing w:before="60" w:after="60" w:line="240" w:lineRule="auto"/>
              <w:rPr>
                <w:rFonts w:ascii="Calibri" w:hAnsi="Calibri" w:cs="Calibri"/>
                <w:b/>
                <w:sz w:val="18"/>
                <w:szCs w:val="18"/>
                <w:lang w:eastAsia="ja-JP"/>
              </w:rPr>
            </w:pPr>
            <w:r w:rsidRPr="00DF7DE3">
              <w:rPr>
                <w:rFonts w:ascii="Calibri" w:hAnsi="Calibri" w:cs="Calibri"/>
                <w:bCs/>
                <w:sz w:val="18"/>
                <w:szCs w:val="18"/>
                <w:lang w:eastAsia="ja-JP"/>
              </w:rPr>
              <w:t>Less diagnostic consumables recovered at cost</w:t>
            </w:r>
          </w:p>
        </w:tc>
        <w:tc>
          <w:tcPr>
            <w:tcW w:w="1094" w:type="pct"/>
            <w:tcBorders>
              <w:bottom w:val="single" w:sz="4" w:space="0" w:color="auto"/>
            </w:tcBorders>
            <w:tcMar>
              <w:left w:w="108" w:type="dxa"/>
              <w:right w:w="108" w:type="dxa"/>
            </w:tcMar>
          </w:tcPr>
          <w:p w14:paraId="16676B0A" w14:textId="77777777" w:rsidR="001E5006" w:rsidRPr="00DF7DE3" w:rsidRDefault="001E5006" w:rsidP="0052764F">
            <w:pPr>
              <w:spacing w:before="60" w:after="60" w:line="240" w:lineRule="auto"/>
              <w:jc w:val="right"/>
              <w:rPr>
                <w:rFonts w:ascii="Calibri" w:hAnsi="Calibri" w:cs="Calibri"/>
                <w:sz w:val="18"/>
                <w:szCs w:val="18"/>
              </w:rPr>
            </w:pPr>
            <w:r w:rsidRPr="00DF7DE3">
              <w:rPr>
                <w:rFonts w:ascii="Calibri" w:hAnsi="Calibri" w:cs="Calibri"/>
                <w:sz w:val="18"/>
                <w:szCs w:val="18"/>
              </w:rPr>
              <w:t>–</w:t>
            </w:r>
          </w:p>
        </w:tc>
        <w:tc>
          <w:tcPr>
            <w:tcW w:w="1719" w:type="pct"/>
            <w:tcBorders>
              <w:bottom w:val="single" w:sz="4" w:space="0" w:color="auto"/>
            </w:tcBorders>
            <w:tcMar>
              <w:left w:w="108" w:type="dxa"/>
              <w:right w:w="108" w:type="dxa"/>
            </w:tcMar>
          </w:tcPr>
          <w:p w14:paraId="18822239" w14:textId="77777777" w:rsidR="001E5006" w:rsidRPr="00DF7DE3" w:rsidRDefault="001E5006" w:rsidP="0052764F">
            <w:pPr>
              <w:spacing w:before="60" w:after="60" w:line="240" w:lineRule="auto"/>
              <w:jc w:val="right"/>
              <w:rPr>
                <w:rFonts w:ascii="Calibri" w:hAnsi="Calibri" w:cs="Calibri"/>
                <w:b/>
                <w:bCs/>
                <w:sz w:val="18"/>
                <w:szCs w:val="18"/>
              </w:rPr>
            </w:pPr>
            <w:r w:rsidRPr="00DF7DE3">
              <w:rPr>
                <w:rFonts w:ascii="Calibri" w:hAnsi="Calibri" w:cs="Calibri"/>
                <w:b/>
                <w:bCs/>
                <w:sz w:val="18"/>
                <w:szCs w:val="18"/>
              </w:rPr>
              <w:t>–</w:t>
            </w:r>
          </w:p>
        </w:tc>
        <w:tc>
          <w:tcPr>
            <w:tcW w:w="702" w:type="pct"/>
            <w:tcBorders>
              <w:bottom w:val="single" w:sz="4" w:space="0" w:color="auto"/>
            </w:tcBorders>
            <w:tcMar>
              <w:left w:w="108" w:type="dxa"/>
              <w:right w:w="108" w:type="dxa"/>
            </w:tcMar>
          </w:tcPr>
          <w:p w14:paraId="5367920A" w14:textId="77777777" w:rsidR="001E5006" w:rsidRPr="00677BBE" w:rsidRDefault="001E5006" w:rsidP="00F423BD">
            <w:pPr>
              <w:spacing w:before="60" w:after="60" w:line="240" w:lineRule="auto"/>
              <w:jc w:val="right"/>
              <w:rPr>
                <w:rFonts w:cstheme="minorHAnsi"/>
                <w:sz w:val="18"/>
                <w:szCs w:val="18"/>
                <w:lang w:eastAsia="ja-JP"/>
              </w:rPr>
            </w:pPr>
            <w:r w:rsidRPr="00677BBE">
              <w:rPr>
                <w:rFonts w:cstheme="minorHAnsi"/>
                <w:sz w:val="18"/>
                <w:szCs w:val="18"/>
                <w:lang w:eastAsia="ja-JP"/>
              </w:rPr>
              <w:t>(81,406)</w:t>
            </w:r>
          </w:p>
        </w:tc>
      </w:tr>
      <w:tr w:rsidR="001E5006" w:rsidRPr="00677BBE" w14:paraId="70EC3BD2" w14:textId="77777777" w:rsidTr="007C2F94">
        <w:tc>
          <w:tcPr>
            <w:tcW w:w="1485" w:type="pct"/>
            <w:tcBorders>
              <w:bottom w:val="single" w:sz="4" w:space="0" w:color="auto"/>
            </w:tcBorders>
            <w:tcMar>
              <w:left w:w="108" w:type="dxa"/>
              <w:right w:w="108" w:type="dxa"/>
            </w:tcMar>
          </w:tcPr>
          <w:p w14:paraId="7108D1BD" w14:textId="77777777" w:rsidR="001E5006" w:rsidRPr="00DF7DE3" w:rsidRDefault="001E5006" w:rsidP="00733737">
            <w:pPr>
              <w:spacing w:before="60" w:after="60" w:line="240" w:lineRule="auto"/>
              <w:rPr>
                <w:rFonts w:ascii="Calibri" w:hAnsi="Calibri" w:cs="Calibri"/>
                <w:bCs/>
                <w:sz w:val="18"/>
                <w:szCs w:val="18"/>
                <w:lang w:eastAsia="ja-JP"/>
              </w:rPr>
            </w:pPr>
            <w:r w:rsidRPr="00DF7DE3">
              <w:rPr>
                <w:rFonts w:ascii="Calibri" w:hAnsi="Calibri" w:cs="Calibri"/>
                <w:sz w:val="18"/>
                <w:szCs w:val="18"/>
                <w:lang w:eastAsia="ja-JP"/>
              </w:rPr>
              <w:t>Less costs paid on behalf of and recovered from companion animal importers</w:t>
            </w:r>
          </w:p>
        </w:tc>
        <w:tc>
          <w:tcPr>
            <w:tcW w:w="1094" w:type="pct"/>
            <w:tcBorders>
              <w:bottom w:val="single" w:sz="4" w:space="0" w:color="auto"/>
            </w:tcBorders>
            <w:tcMar>
              <w:left w:w="108" w:type="dxa"/>
              <w:right w:w="108" w:type="dxa"/>
            </w:tcMar>
          </w:tcPr>
          <w:p w14:paraId="7A633BE3" w14:textId="77777777" w:rsidR="001E5006" w:rsidRPr="00DF7DE3" w:rsidRDefault="001E5006" w:rsidP="0052764F">
            <w:pPr>
              <w:spacing w:before="60" w:after="60" w:line="240" w:lineRule="auto"/>
              <w:jc w:val="right"/>
              <w:rPr>
                <w:rFonts w:ascii="Calibri" w:hAnsi="Calibri" w:cs="Calibri"/>
                <w:sz w:val="18"/>
                <w:szCs w:val="18"/>
              </w:rPr>
            </w:pPr>
            <w:r w:rsidRPr="00DF7DE3">
              <w:rPr>
                <w:rFonts w:ascii="Calibri" w:hAnsi="Calibri" w:cs="Calibri"/>
                <w:sz w:val="18"/>
                <w:szCs w:val="18"/>
              </w:rPr>
              <w:t>–</w:t>
            </w:r>
          </w:p>
        </w:tc>
        <w:tc>
          <w:tcPr>
            <w:tcW w:w="1719" w:type="pct"/>
            <w:tcBorders>
              <w:bottom w:val="single" w:sz="4" w:space="0" w:color="auto"/>
            </w:tcBorders>
            <w:tcMar>
              <w:left w:w="108" w:type="dxa"/>
              <w:right w:w="108" w:type="dxa"/>
            </w:tcMar>
          </w:tcPr>
          <w:p w14:paraId="4BFD79F6" w14:textId="77777777" w:rsidR="001E5006" w:rsidRPr="00DF7DE3" w:rsidRDefault="001E5006" w:rsidP="0052764F">
            <w:pPr>
              <w:spacing w:before="60" w:after="60" w:line="240" w:lineRule="auto"/>
              <w:jc w:val="right"/>
              <w:rPr>
                <w:rFonts w:ascii="Calibri" w:hAnsi="Calibri" w:cs="Calibri"/>
                <w:b/>
                <w:bCs/>
                <w:sz w:val="18"/>
                <w:szCs w:val="18"/>
              </w:rPr>
            </w:pPr>
            <w:r w:rsidRPr="00DF7DE3">
              <w:rPr>
                <w:rFonts w:ascii="Calibri" w:hAnsi="Calibri" w:cs="Calibri"/>
                <w:b/>
                <w:bCs/>
                <w:sz w:val="18"/>
                <w:szCs w:val="18"/>
              </w:rPr>
              <w:t>–</w:t>
            </w:r>
          </w:p>
        </w:tc>
        <w:tc>
          <w:tcPr>
            <w:tcW w:w="702" w:type="pct"/>
            <w:tcBorders>
              <w:bottom w:val="single" w:sz="4" w:space="0" w:color="auto"/>
            </w:tcBorders>
            <w:tcMar>
              <w:left w:w="108" w:type="dxa"/>
              <w:right w:w="108" w:type="dxa"/>
            </w:tcMar>
          </w:tcPr>
          <w:p w14:paraId="563CAE01" w14:textId="77777777" w:rsidR="001E5006" w:rsidRPr="00677BBE" w:rsidRDefault="001E5006" w:rsidP="00F423BD">
            <w:pPr>
              <w:spacing w:before="60" w:after="60" w:line="240" w:lineRule="auto"/>
              <w:jc w:val="right"/>
              <w:rPr>
                <w:rFonts w:eastAsia="Calibri" w:cstheme="minorHAnsi"/>
                <w:bCs/>
                <w:sz w:val="18"/>
                <w:szCs w:val="18"/>
              </w:rPr>
            </w:pPr>
            <w:r w:rsidRPr="00677BBE">
              <w:rPr>
                <w:rFonts w:eastAsia="Calibri" w:cstheme="minorHAnsi"/>
                <w:bCs/>
                <w:sz w:val="18"/>
                <w:szCs w:val="18"/>
              </w:rPr>
              <w:t>(800,000)</w:t>
            </w:r>
          </w:p>
        </w:tc>
      </w:tr>
      <w:tr w:rsidR="001E5006" w:rsidRPr="00677BBE" w14:paraId="24723D55" w14:textId="77777777" w:rsidTr="007C2F94">
        <w:tc>
          <w:tcPr>
            <w:tcW w:w="1485" w:type="pct"/>
            <w:tcBorders>
              <w:bottom w:val="single" w:sz="4" w:space="0" w:color="auto"/>
            </w:tcBorders>
            <w:tcMar>
              <w:left w:w="108" w:type="dxa"/>
              <w:right w:w="108" w:type="dxa"/>
            </w:tcMar>
          </w:tcPr>
          <w:p w14:paraId="31BFD0DD" w14:textId="77777777" w:rsidR="001E5006" w:rsidRPr="00DF7DE3" w:rsidRDefault="001E5006" w:rsidP="00733737">
            <w:pPr>
              <w:spacing w:before="60" w:after="60" w:line="240" w:lineRule="auto"/>
              <w:rPr>
                <w:rFonts w:ascii="Calibri" w:hAnsi="Calibri" w:cs="Calibri"/>
                <w:sz w:val="18"/>
                <w:szCs w:val="18"/>
                <w:lang w:eastAsia="ja-JP"/>
              </w:rPr>
            </w:pPr>
            <w:r w:rsidRPr="00DF7DE3">
              <w:rPr>
                <w:rFonts w:ascii="Calibri" w:hAnsi="Calibri" w:cs="Calibri"/>
                <w:b/>
                <w:bCs/>
                <w:sz w:val="18"/>
              </w:rPr>
              <w:t xml:space="preserve">Net costs to </w:t>
            </w:r>
            <w:proofErr w:type="gramStart"/>
            <w:r w:rsidRPr="00DF7DE3">
              <w:rPr>
                <w:rFonts w:ascii="Calibri" w:hAnsi="Calibri" w:cs="Calibri"/>
                <w:b/>
                <w:bCs/>
                <w:sz w:val="18"/>
              </w:rPr>
              <w:t>be recovered</w:t>
            </w:r>
            <w:proofErr w:type="gramEnd"/>
          </w:p>
        </w:tc>
        <w:tc>
          <w:tcPr>
            <w:tcW w:w="1094" w:type="pct"/>
            <w:tcBorders>
              <w:bottom w:val="single" w:sz="4" w:space="0" w:color="auto"/>
            </w:tcBorders>
            <w:tcMar>
              <w:left w:w="108" w:type="dxa"/>
              <w:right w:w="108" w:type="dxa"/>
            </w:tcMar>
          </w:tcPr>
          <w:p w14:paraId="26BC8594" w14:textId="77777777" w:rsidR="001E5006" w:rsidRPr="00DF7DE3" w:rsidRDefault="001E5006" w:rsidP="007C2F94">
            <w:pPr>
              <w:spacing w:before="60" w:after="60" w:line="240" w:lineRule="auto"/>
              <w:jc w:val="right"/>
              <w:rPr>
                <w:rFonts w:ascii="Calibri" w:hAnsi="Calibri" w:cs="Calibri"/>
                <w:sz w:val="18"/>
                <w:szCs w:val="18"/>
              </w:rPr>
            </w:pPr>
            <w:r w:rsidRPr="00DF7DE3">
              <w:rPr>
                <w:rFonts w:ascii="Calibri" w:hAnsi="Calibri" w:cs="Calibri"/>
                <w:sz w:val="18"/>
                <w:szCs w:val="18"/>
              </w:rPr>
              <w:t>–</w:t>
            </w:r>
          </w:p>
        </w:tc>
        <w:tc>
          <w:tcPr>
            <w:tcW w:w="1719" w:type="pct"/>
            <w:tcBorders>
              <w:bottom w:val="single" w:sz="4" w:space="0" w:color="auto"/>
            </w:tcBorders>
            <w:tcMar>
              <w:left w:w="108" w:type="dxa"/>
              <w:right w:w="108" w:type="dxa"/>
            </w:tcMar>
          </w:tcPr>
          <w:p w14:paraId="295D49B2" w14:textId="77777777" w:rsidR="001E5006" w:rsidRPr="00DF7DE3" w:rsidRDefault="001E5006" w:rsidP="007C2F94">
            <w:pPr>
              <w:spacing w:before="60" w:after="60" w:line="240" w:lineRule="auto"/>
              <w:jc w:val="right"/>
              <w:rPr>
                <w:rFonts w:ascii="Calibri" w:hAnsi="Calibri" w:cs="Calibri"/>
                <w:b/>
                <w:bCs/>
                <w:sz w:val="18"/>
                <w:szCs w:val="18"/>
              </w:rPr>
            </w:pPr>
            <w:r w:rsidRPr="00DF7DE3">
              <w:rPr>
                <w:rFonts w:ascii="Calibri" w:hAnsi="Calibri" w:cs="Calibri"/>
                <w:b/>
                <w:bCs/>
                <w:sz w:val="18"/>
                <w:szCs w:val="18"/>
              </w:rPr>
              <w:t>–</w:t>
            </w:r>
          </w:p>
        </w:tc>
        <w:tc>
          <w:tcPr>
            <w:tcW w:w="702" w:type="pct"/>
            <w:tcBorders>
              <w:bottom w:val="single" w:sz="4" w:space="0" w:color="auto"/>
            </w:tcBorders>
            <w:tcMar>
              <w:left w:w="108" w:type="dxa"/>
              <w:right w:w="108" w:type="dxa"/>
            </w:tcMar>
          </w:tcPr>
          <w:p w14:paraId="7AE0FDB7" w14:textId="6F2AF3CD" w:rsidR="001E5006" w:rsidRPr="00677BBE" w:rsidRDefault="001E5006" w:rsidP="00F423BD">
            <w:pPr>
              <w:spacing w:before="60" w:after="60" w:line="240" w:lineRule="auto"/>
              <w:jc w:val="right"/>
              <w:rPr>
                <w:rStyle w:val="Strong"/>
                <w:sz w:val="18"/>
                <w:szCs w:val="18"/>
              </w:rPr>
            </w:pPr>
            <w:r w:rsidRPr="00677BBE">
              <w:rPr>
                <w:rStyle w:val="Strong"/>
                <w:sz w:val="18"/>
                <w:szCs w:val="18"/>
              </w:rPr>
              <w:t>45</w:t>
            </w:r>
            <w:r w:rsidR="00677BBE">
              <w:rPr>
                <w:rStyle w:val="Strong"/>
                <w:sz w:val="18"/>
                <w:szCs w:val="18"/>
              </w:rPr>
              <w:t>6</w:t>
            </w:r>
            <w:r w:rsidR="00677BBE">
              <w:rPr>
                <w:rStyle w:val="Strong"/>
              </w:rPr>
              <w:t>,</w:t>
            </w:r>
            <w:r w:rsidR="00677BBE" w:rsidRPr="00677BBE">
              <w:rPr>
                <w:rStyle w:val="Strong"/>
                <w:sz w:val="18"/>
                <w:szCs w:val="18"/>
              </w:rPr>
              <w:t>978,069</w:t>
            </w:r>
          </w:p>
        </w:tc>
      </w:tr>
    </w:tbl>
    <w:p w14:paraId="584BAC74" w14:textId="12EC2307" w:rsidR="00BB4E52" w:rsidRPr="00886462" w:rsidRDefault="00BB4E52" w:rsidP="00D4456E">
      <w:pPr>
        <w:pStyle w:val="Heading3"/>
        <w:spacing w:before="360"/>
        <w:rPr>
          <w:sz w:val="36"/>
          <w:szCs w:val="36"/>
          <w:lang w:eastAsia="ja-JP"/>
        </w:rPr>
      </w:pPr>
      <w:bookmarkStart w:id="118" w:name="_Toc168489256"/>
      <w:bookmarkStart w:id="119" w:name="_Toc168489553"/>
      <w:bookmarkStart w:id="120" w:name="_Toc168645251"/>
      <w:bookmarkStart w:id="121" w:name="_Toc200115597"/>
      <w:r w:rsidRPr="00886462">
        <w:rPr>
          <w:sz w:val="36"/>
          <w:szCs w:val="36"/>
          <w:lang w:eastAsia="ja-JP"/>
        </w:rPr>
        <w:t xml:space="preserve">Changes to regulatory charging in </w:t>
      </w:r>
      <w:bookmarkEnd w:id="118"/>
      <w:bookmarkEnd w:id="119"/>
      <w:bookmarkEnd w:id="120"/>
      <w:r w:rsidR="00C23C7B" w:rsidRPr="00886462">
        <w:rPr>
          <w:sz w:val="36"/>
          <w:szCs w:val="36"/>
          <w:lang w:eastAsia="ja-JP"/>
        </w:rPr>
        <w:t>2025</w:t>
      </w:r>
      <w:r w:rsidR="00F423BD">
        <w:rPr>
          <w:sz w:val="36"/>
          <w:szCs w:val="36"/>
          <w:lang w:eastAsia="ja-JP"/>
        </w:rPr>
        <w:t>–</w:t>
      </w:r>
      <w:r w:rsidR="00C23C7B" w:rsidRPr="00886462">
        <w:rPr>
          <w:sz w:val="36"/>
          <w:szCs w:val="36"/>
          <w:lang w:eastAsia="ja-JP"/>
        </w:rPr>
        <w:t>26</w:t>
      </w:r>
      <w:bookmarkEnd w:id="121"/>
    </w:p>
    <w:p w14:paraId="7AFC28BC" w14:textId="5DD3F93F" w:rsidR="001E760C" w:rsidRDefault="001E760C" w:rsidP="00BB4E52">
      <w:r>
        <w:t xml:space="preserve">This section provides information to regulated entities on the agreed charges for the upcoming financial year and on any other matters relating to these charges that have changed from the </w:t>
      </w:r>
      <w:r w:rsidR="00E029F4">
        <w:t>2024</w:t>
      </w:r>
      <w:r w:rsidR="00044EE9" w:rsidRPr="00F700D1">
        <w:t>–</w:t>
      </w:r>
      <w:r w:rsidR="00E029F4">
        <w:t>2025</w:t>
      </w:r>
      <w:r>
        <w:t xml:space="preserve"> CRIS.</w:t>
      </w:r>
    </w:p>
    <w:p w14:paraId="6A23D2CE" w14:textId="130350E1" w:rsidR="00BB4E52" w:rsidRDefault="00BB4E52" w:rsidP="00BB4E52">
      <w:pPr>
        <w:rPr>
          <w:rFonts w:cstheme="minorHAnsi"/>
          <w:lang w:eastAsia="ja-JP"/>
        </w:rPr>
      </w:pPr>
      <w:r w:rsidRPr="008347AB">
        <w:t xml:space="preserve">In </w:t>
      </w:r>
      <w:r w:rsidRPr="00F700D1">
        <w:t>2023–24</w:t>
      </w:r>
      <w:r w:rsidRPr="008347AB">
        <w:t xml:space="preserve"> the department embedded the annual review cycle of the arrangement. The review include</w:t>
      </w:r>
      <w:r>
        <w:t>d</w:t>
      </w:r>
      <w:r w:rsidRPr="008347AB">
        <w:t xml:space="preserve"> monitoring and analysis of the impact of changes introduced on 1</w:t>
      </w:r>
      <w:r>
        <w:t> </w:t>
      </w:r>
      <w:r w:rsidRPr="008347AB">
        <w:t>July</w:t>
      </w:r>
      <w:r>
        <w:t> </w:t>
      </w:r>
      <w:r w:rsidRPr="008347AB">
        <w:t xml:space="preserve">2023. </w:t>
      </w:r>
      <w:r w:rsidRPr="008347AB">
        <w:rPr>
          <w:rFonts w:cstheme="minorHAnsi"/>
          <w:lang w:eastAsia="ja-JP"/>
        </w:rPr>
        <w:t xml:space="preserve">Recognising that our costs do not remain static and to avoid large increases in the future, legislation was amended in 2023 to introduce indexation of </w:t>
      </w:r>
      <w:r w:rsidR="00233FCD">
        <w:rPr>
          <w:rFonts w:cstheme="minorHAnsi"/>
          <w:lang w:eastAsia="ja-JP"/>
        </w:rPr>
        <w:t>prices</w:t>
      </w:r>
      <w:r w:rsidRPr="008347AB">
        <w:rPr>
          <w:rFonts w:cstheme="minorHAnsi"/>
          <w:lang w:eastAsia="ja-JP"/>
        </w:rPr>
        <w:t xml:space="preserve"> annually, based on the all-groups CPI </w:t>
      </w:r>
      <w:r w:rsidRPr="008347AB">
        <w:t xml:space="preserve">published by the </w:t>
      </w:r>
      <w:hyperlink r:id="rId48" w:history="1">
        <w:r w:rsidRPr="008347AB">
          <w:rPr>
            <w:rStyle w:val="Hyperlink"/>
            <w:rFonts w:cstheme="minorHAnsi"/>
            <w:lang w:eastAsia="ja-JP"/>
          </w:rPr>
          <w:t>Australian Bureau of Statistics</w:t>
        </w:r>
      </w:hyperlink>
      <w:r w:rsidRPr="008347AB">
        <w:rPr>
          <w:rFonts w:cstheme="minorHAnsi"/>
          <w:lang w:eastAsia="ja-JP"/>
        </w:rPr>
        <w:t>.</w:t>
      </w:r>
    </w:p>
    <w:p w14:paraId="09F4CEDC" w14:textId="09AF4746" w:rsidR="00AE1CA8" w:rsidRPr="00BA0A85" w:rsidRDefault="00E029F4" w:rsidP="0081538F">
      <w:pPr>
        <w:rPr>
          <w:rFonts w:cstheme="minorHAnsi"/>
          <w:lang w:eastAsia="ja-JP"/>
        </w:rPr>
      </w:pPr>
      <w:bookmarkStart w:id="122" w:name="_Hlk197945443"/>
      <w:r w:rsidRPr="007A5B40">
        <w:rPr>
          <w:rFonts w:cstheme="minorHAnsi"/>
          <w:lang w:eastAsia="ja-JP"/>
        </w:rPr>
        <w:t xml:space="preserve">In 2024–25 prices for all regulatory charges increased by 4.1%, aligning with </w:t>
      </w:r>
      <w:r w:rsidR="0081538F" w:rsidRPr="007A5B40">
        <w:rPr>
          <w:rFonts w:cstheme="minorHAnsi"/>
          <w:lang w:eastAsia="ja-JP"/>
        </w:rPr>
        <w:t xml:space="preserve">the </w:t>
      </w:r>
      <w:r w:rsidRPr="007A5B40">
        <w:rPr>
          <w:rFonts w:cstheme="minorHAnsi"/>
          <w:lang w:eastAsia="ja-JP"/>
        </w:rPr>
        <w:t>CPI. In 2025</w:t>
      </w:r>
      <w:r w:rsidR="0081538F" w:rsidRPr="007A5B40">
        <w:rPr>
          <w:rFonts w:cstheme="minorHAnsi"/>
          <w:lang w:eastAsia="ja-JP"/>
        </w:rPr>
        <w:t>–</w:t>
      </w:r>
      <w:r w:rsidRPr="007A5B40">
        <w:rPr>
          <w:rFonts w:cstheme="minorHAnsi"/>
          <w:lang w:eastAsia="ja-JP"/>
        </w:rPr>
        <w:t xml:space="preserve">26 prices have </w:t>
      </w:r>
      <w:proofErr w:type="gramStart"/>
      <w:r w:rsidRPr="007A5B40">
        <w:rPr>
          <w:rFonts w:cstheme="minorHAnsi"/>
          <w:lang w:eastAsia="ja-JP"/>
        </w:rPr>
        <w:t>been indexed</w:t>
      </w:r>
      <w:proofErr w:type="gramEnd"/>
      <w:r w:rsidRPr="007A5B40">
        <w:rPr>
          <w:rFonts w:cstheme="minorHAnsi"/>
          <w:lang w:eastAsia="ja-JP"/>
        </w:rPr>
        <w:t xml:space="preserve"> by a further 2.4%.</w:t>
      </w:r>
      <w:r w:rsidR="00044EE9" w:rsidRPr="007A5B40">
        <w:rPr>
          <w:rFonts w:cstheme="minorHAnsi"/>
          <w:lang w:eastAsia="ja-JP"/>
        </w:rPr>
        <w:t xml:space="preserve"> Prices are published </w:t>
      </w:r>
      <w:r w:rsidR="00701F1F" w:rsidRPr="007A5B40">
        <w:rPr>
          <w:rFonts w:cstheme="minorHAnsi"/>
          <w:lang w:eastAsia="ja-JP"/>
        </w:rPr>
        <w:t>on</w:t>
      </w:r>
      <w:r w:rsidR="00044EE9" w:rsidRPr="007A5B40">
        <w:rPr>
          <w:rFonts w:cstheme="minorHAnsi"/>
          <w:lang w:eastAsia="ja-JP"/>
        </w:rPr>
        <w:t xml:space="preserve"> </w:t>
      </w:r>
      <w:r w:rsidR="00CA5C13" w:rsidRPr="007A5B40">
        <w:rPr>
          <w:rFonts w:cstheme="minorHAnsi"/>
          <w:lang w:eastAsia="ja-JP"/>
        </w:rPr>
        <w:t>our</w:t>
      </w:r>
      <w:hyperlink r:id="rId49" w:history="1">
        <w:r w:rsidR="00CA5C13" w:rsidRPr="007A5B40">
          <w:rPr>
            <w:rStyle w:val="Hyperlink"/>
            <w:rFonts w:cstheme="minorHAnsi"/>
            <w:lang w:eastAsia="ja-JP"/>
          </w:rPr>
          <w:t xml:space="preserve"> biosecurity cost recovery implementation statements </w:t>
        </w:r>
      </w:hyperlink>
      <w:bookmarkEnd w:id="122"/>
      <w:r w:rsidR="00701F1F" w:rsidRPr="007A5B40">
        <w:t xml:space="preserve">webpage </w:t>
      </w:r>
      <w:r w:rsidR="00AE1CA8" w:rsidRPr="007A5B40">
        <w:rPr>
          <w:rFonts w:cstheme="minorHAnsi"/>
          <w:lang w:eastAsia="ja-JP"/>
        </w:rPr>
        <w:t>and listed in</w:t>
      </w:r>
      <w:r w:rsidR="00845621" w:rsidRPr="007A5B40">
        <w:rPr>
          <w:rFonts w:cstheme="minorHAnsi"/>
          <w:lang w:eastAsia="ja-JP"/>
        </w:rPr>
        <w:fldChar w:fldCharType="begin"/>
      </w:r>
      <w:r w:rsidR="00845621" w:rsidRPr="007A5B40">
        <w:rPr>
          <w:rFonts w:cstheme="minorHAnsi"/>
          <w:lang w:eastAsia="ja-JP"/>
        </w:rPr>
        <w:instrText xml:space="preserve"> REF _Ref197932955 \h </w:instrText>
      </w:r>
      <w:r w:rsidR="0036759C" w:rsidRPr="007A5B40">
        <w:rPr>
          <w:rFonts w:cstheme="minorHAnsi"/>
          <w:lang w:eastAsia="ja-JP"/>
        </w:rPr>
        <w:instrText xml:space="preserve"> \* MERGEFORMAT </w:instrText>
      </w:r>
      <w:r w:rsidR="00845621" w:rsidRPr="007A5B40">
        <w:rPr>
          <w:rFonts w:cstheme="minorHAnsi"/>
          <w:lang w:eastAsia="ja-JP"/>
        </w:rPr>
      </w:r>
      <w:r w:rsidR="00845621" w:rsidRPr="007A5B40">
        <w:rPr>
          <w:rFonts w:cstheme="minorHAnsi"/>
          <w:lang w:eastAsia="ja-JP"/>
        </w:rPr>
        <w:fldChar w:fldCharType="separate"/>
      </w:r>
      <w:r w:rsidR="00845621" w:rsidRPr="007A5B40">
        <w:t xml:space="preserve"> </w:t>
      </w:r>
      <w:r w:rsidR="00845621" w:rsidRPr="007A5B40">
        <w:rPr>
          <w:rFonts w:cstheme="minorHAnsi"/>
          <w:lang w:eastAsia="ja-JP"/>
        </w:rPr>
        <w:fldChar w:fldCharType="end"/>
      </w:r>
      <w:r w:rsidR="00845621" w:rsidRPr="007A5B40">
        <w:rPr>
          <w:rFonts w:cstheme="minorHAnsi"/>
          <w:lang w:eastAsia="ja-JP"/>
        </w:rPr>
        <w:fldChar w:fldCharType="begin"/>
      </w:r>
      <w:r w:rsidR="00845621" w:rsidRPr="007A5B40">
        <w:rPr>
          <w:rFonts w:cstheme="minorHAnsi"/>
          <w:lang w:eastAsia="ja-JP"/>
        </w:rPr>
        <w:instrText xml:space="preserve"> REF _Ref197932955 \h </w:instrText>
      </w:r>
      <w:r w:rsidR="0036759C" w:rsidRPr="007A5B40">
        <w:rPr>
          <w:rFonts w:cstheme="minorHAnsi"/>
          <w:lang w:eastAsia="ja-JP"/>
        </w:rPr>
        <w:instrText xml:space="preserve"> \* MERGEFORMAT </w:instrText>
      </w:r>
      <w:r w:rsidR="00845621" w:rsidRPr="007A5B40">
        <w:rPr>
          <w:rFonts w:cstheme="minorHAnsi"/>
          <w:lang w:eastAsia="ja-JP"/>
        </w:rPr>
      </w:r>
      <w:r w:rsidR="00845621" w:rsidRPr="007A5B40">
        <w:rPr>
          <w:rFonts w:cstheme="minorHAnsi"/>
          <w:lang w:eastAsia="ja-JP"/>
        </w:rPr>
        <w:fldChar w:fldCharType="separate"/>
      </w:r>
      <w:r w:rsidR="00845621" w:rsidRPr="007A5B40">
        <w:t xml:space="preserve">Table </w:t>
      </w:r>
      <w:r w:rsidR="00845621" w:rsidRPr="007A5B40">
        <w:rPr>
          <w:noProof/>
        </w:rPr>
        <w:t>3</w:t>
      </w:r>
      <w:r w:rsidR="00845621" w:rsidRPr="007A5B40">
        <w:rPr>
          <w:rFonts w:cstheme="minorHAnsi"/>
          <w:lang w:eastAsia="ja-JP"/>
        </w:rPr>
        <w:fldChar w:fldCharType="end"/>
      </w:r>
      <w:r w:rsidR="00AE1CA8" w:rsidRPr="007A5B40">
        <w:rPr>
          <w:rFonts w:cstheme="minorHAnsi"/>
          <w:lang w:eastAsia="ja-JP"/>
        </w:rPr>
        <w:t xml:space="preserve">. The methodology used to determine the indexation factor and price calculation is set out in </w:t>
      </w:r>
      <w:hyperlink w:anchor="_Appendix_C:_Indexation" w:history="1">
        <w:r w:rsidR="00765692" w:rsidRPr="007A5B40">
          <w:rPr>
            <w:rStyle w:val="Hyperlink"/>
            <w:rFonts w:cstheme="minorHAnsi"/>
            <w:lang w:eastAsia="ja-JP"/>
          </w:rPr>
          <w:t>Appendix C</w:t>
        </w:r>
      </w:hyperlink>
      <w:r w:rsidR="00AE1CA8" w:rsidRPr="007A5B40">
        <w:rPr>
          <w:rFonts w:cstheme="minorHAnsi"/>
          <w:lang w:eastAsia="ja-JP"/>
        </w:rPr>
        <w:t>.</w:t>
      </w:r>
    </w:p>
    <w:p w14:paraId="5E62E54B" w14:textId="40633AEA" w:rsidR="00A0327F" w:rsidRPr="00E70494" w:rsidRDefault="00B65BBA" w:rsidP="00886462">
      <w:pPr>
        <w:pStyle w:val="Heading4"/>
        <w:rPr>
          <w:lang w:eastAsia="ja-JP"/>
        </w:rPr>
      </w:pPr>
      <w:r w:rsidRPr="00E70494">
        <w:rPr>
          <w:lang w:eastAsia="ja-JP"/>
        </w:rPr>
        <w:t>U</w:t>
      </w:r>
      <w:r w:rsidR="00A614BE" w:rsidRPr="00E70494">
        <w:rPr>
          <w:lang w:eastAsia="ja-JP"/>
        </w:rPr>
        <w:t xml:space="preserve">pgraded charges for </w:t>
      </w:r>
      <w:r w:rsidR="003E216A">
        <w:rPr>
          <w:lang w:eastAsia="ja-JP"/>
        </w:rPr>
        <w:t>a</w:t>
      </w:r>
      <w:r w:rsidR="009D565A">
        <w:rPr>
          <w:lang w:eastAsia="ja-JP"/>
        </w:rPr>
        <w:t>pproved arrangements</w:t>
      </w:r>
    </w:p>
    <w:p w14:paraId="65EB3507" w14:textId="5BDAFD50" w:rsidR="00421E96" w:rsidRDefault="00F9088A" w:rsidP="00E70494">
      <w:r>
        <w:t>A</w:t>
      </w:r>
      <w:r w:rsidR="00421E96" w:rsidRPr="00421E96">
        <w:t xml:space="preserve"> one-off upgrade charge</w:t>
      </w:r>
      <w:r w:rsidR="00421E96">
        <w:t xml:space="preserve"> will </w:t>
      </w:r>
      <w:proofErr w:type="gramStart"/>
      <w:r w:rsidR="00421E96">
        <w:t>be applied</w:t>
      </w:r>
      <w:proofErr w:type="gramEnd"/>
      <w:r w:rsidR="00421E96" w:rsidRPr="00421E96">
        <w:t xml:space="preserve"> to approved arrangement</w:t>
      </w:r>
      <w:r w:rsidR="0081538F">
        <w:t xml:space="preserve"> and </w:t>
      </w:r>
      <w:r w:rsidR="00AA587C">
        <w:t>compliance agreement</w:t>
      </w:r>
      <w:r w:rsidR="00421E96" w:rsidRPr="00421E96">
        <w:t xml:space="preserve"> holders when their status changes from </w:t>
      </w:r>
      <w:r w:rsidR="00421E96">
        <w:t xml:space="preserve">holding a </w:t>
      </w:r>
      <w:r w:rsidR="00421E96" w:rsidRPr="0081538F">
        <w:t xml:space="preserve">single </w:t>
      </w:r>
      <w:r w:rsidR="00421E96" w:rsidRPr="007C2F94">
        <w:t>arrangement</w:t>
      </w:r>
      <w:r w:rsidR="0081538F" w:rsidRPr="007C2F94">
        <w:t xml:space="preserve"> or </w:t>
      </w:r>
      <w:r w:rsidR="00AA587C" w:rsidRPr="007C2F94">
        <w:t>agreement</w:t>
      </w:r>
      <w:r w:rsidR="00421E96">
        <w:t xml:space="preserve"> to holding </w:t>
      </w:r>
      <w:r w:rsidR="00421E96" w:rsidRPr="00421E96">
        <w:t xml:space="preserve">multiple </w:t>
      </w:r>
      <w:r w:rsidR="00421E96">
        <w:t>arrangements</w:t>
      </w:r>
      <w:r w:rsidR="0081538F">
        <w:t xml:space="preserve"> or </w:t>
      </w:r>
      <w:r w:rsidR="00FA63E2">
        <w:t>agreements</w:t>
      </w:r>
      <w:r w:rsidR="00421E96" w:rsidRPr="00421E96">
        <w:t xml:space="preserve"> in the same financial year.</w:t>
      </w:r>
    </w:p>
    <w:p w14:paraId="4EDA1182" w14:textId="44BCB83C" w:rsidR="002B1817" w:rsidRDefault="00421E96" w:rsidP="00E70494">
      <w:r w:rsidRPr="00674A0D">
        <w:t xml:space="preserve">Billing for the annual charge is prospective with each holder of an </w:t>
      </w:r>
      <w:r>
        <w:t xml:space="preserve">approved </w:t>
      </w:r>
      <w:r w:rsidRPr="00674A0D">
        <w:t>arrangement</w:t>
      </w:r>
      <w:r w:rsidR="0081538F">
        <w:t xml:space="preserve"> or </w:t>
      </w:r>
      <w:r w:rsidR="00AA587C">
        <w:t>agreement</w:t>
      </w:r>
      <w:r w:rsidRPr="00674A0D">
        <w:t xml:space="preserve"> invoiced at the beginning of the financial year. If an industry participant </w:t>
      </w:r>
      <w:proofErr w:type="gramStart"/>
      <w:r w:rsidRPr="00674A0D">
        <w:t>is approved</w:t>
      </w:r>
      <w:proofErr w:type="gramEnd"/>
      <w:r w:rsidRPr="00674A0D">
        <w:t xml:space="preserve"> to hold more than </w:t>
      </w:r>
      <w:r>
        <w:t xml:space="preserve">one approved </w:t>
      </w:r>
      <w:r w:rsidRPr="00674A0D">
        <w:t>arrangement</w:t>
      </w:r>
      <w:r w:rsidR="0081538F">
        <w:t xml:space="preserve"> or </w:t>
      </w:r>
      <w:r w:rsidR="00EE77D5">
        <w:t xml:space="preserve">agreement </w:t>
      </w:r>
      <w:r w:rsidRPr="00674A0D">
        <w:t xml:space="preserve">within the same financial year, they </w:t>
      </w:r>
      <w:r w:rsidR="00AA587C">
        <w:t>have had</w:t>
      </w:r>
      <w:r w:rsidRPr="00674A0D">
        <w:t xml:space="preserve"> the benefit of holding multiple arrangements</w:t>
      </w:r>
      <w:r w:rsidR="0081538F">
        <w:t xml:space="preserve"> or </w:t>
      </w:r>
      <w:r w:rsidR="00EB4DE8">
        <w:t>agreements</w:t>
      </w:r>
      <w:r w:rsidRPr="00674A0D">
        <w:t xml:space="preserve"> while only having paid the annual charge for a single arrangement</w:t>
      </w:r>
      <w:r w:rsidR="0081538F">
        <w:t xml:space="preserve"> or </w:t>
      </w:r>
      <w:r w:rsidR="00EB4DE8">
        <w:t>agreement</w:t>
      </w:r>
      <w:r>
        <w:t>.</w:t>
      </w:r>
    </w:p>
    <w:p w14:paraId="5EC3712C" w14:textId="5FE961FB" w:rsidR="009D0141" w:rsidRDefault="00421E96" w:rsidP="00E70494">
      <w:pPr>
        <w:sectPr w:rsidR="009D0141" w:rsidSect="00866A1F">
          <w:pgSz w:w="11906" w:h="16838"/>
          <w:pgMar w:top="1418" w:right="1418" w:bottom="1418" w:left="1418" w:header="567" w:footer="283" w:gutter="0"/>
          <w:cols w:space="708"/>
          <w:docGrid w:linePitch="360"/>
        </w:sectPr>
      </w:pPr>
      <w:r>
        <w:t>The upgrade charge covers the additional effort undertaken by the department to assess and upgrade the status of a holder from single to multiple arrangements</w:t>
      </w:r>
      <w:r w:rsidR="0081538F">
        <w:t xml:space="preserve"> or </w:t>
      </w:r>
      <w:r w:rsidR="00EB4DE8">
        <w:t>agreements</w:t>
      </w:r>
      <w:r>
        <w:t>.</w:t>
      </w:r>
    </w:p>
    <w:p w14:paraId="19484AD1" w14:textId="0B84B61E" w:rsidR="003B10F4" w:rsidRPr="00C907E2" w:rsidRDefault="00E029F4" w:rsidP="00E70494">
      <w:r w:rsidRPr="00C907E2">
        <w:lastRenderedPageBreak/>
        <w:fldChar w:fldCharType="begin"/>
      </w:r>
      <w:r w:rsidRPr="00C907E2">
        <w:instrText xml:space="preserve"> REF _Ref188013756 \h </w:instrText>
      </w:r>
      <w:r w:rsidR="00C907E2">
        <w:instrText xml:space="preserve"> \* MERGEFORMAT </w:instrText>
      </w:r>
      <w:r w:rsidRPr="00C907E2">
        <w:fldChar w:fldCharType="separate"/>
      </w:r>
      <w:r w:rsidRPr="00C907E2">
        <w:t xml:space="preserve">Table </w:t>
      </w:r>
      <w:r w:rsidRPr="00C907E2">
        <w:rPr>
          <w:noProof/>
        </w:rPr>
        <w:t>6</w:t>
      </w:r>
      <w:r w:rsidRPr="00C907E2">
        <w:fldChar w:fldCharType="end"/>
      </w:r>
      <w:r w:rsidRPr="00C907E2">
        <w:t xml:space="preserve"> </w:t>
      </w:r>
      <w:r w:rsidR="003B10F4" w:rsidRPr="00C907E2">
        <w:t xml:space="preserve">supplements </w:t>
      </w:r>
      <w:r w:rsidR="00C907E2">
        <w:fldChar w:fldCharType="begin"/>
      </w:r>
      <w:r w:rsidR="00C907E2">
        <w:instrText xml:space="preserve"> REF _Ref197932955 \h </w:instrText>
      </w:r>
      <w:r w:rsidR="00C907E2">
        <w:fldChar w:fldCharType="separate"/>
      </w:r>
      <w:r w:rsidR="00C907E2" w:rsidRPr="003D7303">
        <w:t xml:space="preserve">Table </w:t>
      </w:r>
      <w:r w:rsidR="00C907E2" w:rsidRPr="003D7303">
        <w:rPr>
          <w:noProof/>
        </w:rPr>
        <w:t>3</w:t>
      </w:r>
      <w:r w:rsidR="00C907E2">
        <w:fldChar w:fldCharType="end"/>
      </w:r>
      <w:r w:rsidR="00C907E2">
        <w:t xml:space="preserve"> </w:t>
      </w:r>
      <w:r w:rsidR="003B10F4" w:rsidRPr="00C907E2">
        <w:t>and provides additional</w:t>
      </w:r>
      <w:r w:rsidR="00EB4DE8">
        <w:t xml:space="preserve"> information</w:t>
      </w:r>
      <w:r w:rsidR="003B10F4" w:rsidRPr="00C907E2">
        <w:t xml:space="preserve"> </w:t>
      </w:r>
      <w:r w:rsidR="00EE77D5">
        <w:t xml:space="preserve">on the </w:t>
      </w:r>
      <w:r w:rsidR="003B10F4" w:rsidRPr="00C907E2">
        <w:t>upgrade charge</w:t>
      </w:r>
      <w:r w:rsidR="00EE77D5">
        <w:t xml:space="preserve"> and how the charge will </w:t>
      </w:r>
      <w:proofErr w:type="gramStart"/>
      <w:r w:rsidR="00EB4DE8">
        <w:t xml:space="preserve">be </w:t>
      </w:r>
      <w:r w:rsidR="00EE77D5">
        <w:t>appl</w:t>
      </w:r>
      <w:r w:rsidR="00EB4DE8">
        <w:t>ied</w:t>
      </w:r>
      <w:proofErr w:type="gramEnd"/>
      <w:r w:rsidR="003B10F4" w:rsidRPr="00C907E2">
        <w:t>.</w:t>
      </w:r>
    </w:p>
    <w:p w14:paraId="35C5B34A" w14:textId="25AEF419" w:rsidR="000835D4" w:rsidRPr="003E4A1D" w:rsidRDefault="000835D4" w:rsidP="000835D4">
      <w:pPr>
        <w:pStyle w:val="Caption"/>
        <w:rPr>
          <w:b w:val="0"/>
          <w:bCs w:val="0"/>
        </w:rPr>
      </w:pPr>
      <w:bookmarkStart w:id="123" w:name="_Ref188013756"/>
      <w:bookmarkStart w:id="124" w:name="_Toc190694600"/>
      <w:bookmarkStart w:id="125" w:name="_Toc200534246"/>
      <w:bookmarkStart w:id="126" w:name="_Hlk195678253"/>
      <w:r w:rsidRPr="0081538F">
        <w:t xml:space="preserve">Table </w:t>
      </w:r>
      <w:r w:rsidRPr="0081538F">
        <w:fldChar w:fldCharType="begin"/>
      </w:r>
      <w:r w:rsidRPr="0081538F">
        <w:instrText xml:space="preserve"> SEQ Table \* ARABIC </w:instrText>
      </w:r>
      <w:r w:rsidRPr="0081538F">
        <w:fldChar w:fldCharType="separate"/>
      </w:r>
      <w:r w:rsidR="00733737" w:rsidRPr="0081538F">
        <w:rPr>
          <w:noProof/>
        </w:rPr>
        <w:t>6</w:t>
      </w:r>
      <w:r w:rsidRPr="0081538F">
        <w:fldChar w:fldCharType="end"/>
      </w:r>
      <w:bookmarkEnd w:id="123"/>
      <w:r w:rsidRPr="0081538F">
        <w:t xml:space="preserve"> </w:t>
      </w:r>
      <w:r w:rsidR="0081538F">
        <w:t>A</w:t>
      </w:r>
      <w:r w:rsidRPr="0081538F">
        <w:t xml:space="preserve">pplication of </w:t>
      </w:r>
      <w:r w:rsidR="006D78D5">
        <w:t>upgraded charges for approved arrangements</w:t>
      </w:r>
      <w:bookmarkEnd w:id="124"/>
      <w:bookmarkEnd w:id="125"/>
    </w:p>
    <w:tbl>
      <w:tblPr>
        <w:tblW w:w="5000" w:type="pct"/>
        <w:tblLook w:val="04A0" w:firstRow="1" w:lastRow="0" w:firstColumn="1" w:lastColumn="0" w:noHBand="0" w:noVBand="1"/>
      </w:tblPr>
      <w:tblGrid>
        <w:gridCol w:w="2977"/>
        <w:gridCol w:w="6805"/>
        <w:gridCol w:w="2551"/>
        <w:gridCol w:w="1669"/>
      </w:tblGrid>
      <w:tr w:rsidR="006D78D5" w14:paraId="790E026E" w14:textId="77777777" w:rsidTr="00986BB3">
        <w:trPr>
          <w:cantSplit/>
          <w:tblHeader/>
        </w:trPr>
        <w:tc>
          <w:tcPr>
            <w:tcW w:w="1063" w:type="pct"/>
            <w:tcBorders>
              <w:top w:val="single" w:sz="4" w:space="0" w:color="auto"/>
              <w:bottom w:val="single" w:sz="4" w:space="0" w:color="auto"/>
            </w:tcBorders>
          </w:tcPr>
          <w:p w14:paraId="69B6B42A" w14:textId="669DC77A" w:rsidR="006D78D5" w:rsidRPr="009D0141" w:rsidRDefault="006D78D5" w:rsidP="009D0141">
            <w:pPr>
              <w:pStyle w:val="TableHeading"/>
              <w:rPr>
                <w:rStyle w:val="Strong"/>
                <w:b/>
                <w:bCs w:val="0"/>
              </w:rPr>
            </w:pPr>
            <w:bookmarkStart w:id="127" w:name="Title_6"/>
            <w:bookmarkStart w:id="128" w:name="_Hlk200471661"/>
            <w:bookmarkEnd w:id="127"/>
            <w:r>
              <w:rPr>
                <w:rStyle w:val="Strong"/>
                <w:b/>
                <w:bCs w:val="0"/>
              </w:rPr>
              <w:t>Charge c</w:t>
            </w:r>
            <w:r>
              <w:rPr>
                <w:rStyle w:val="Strong"/>
                <w:b/>
              </w:rPr>
              <w:t>ategory</w:t>
            </w:r>
          </w:p>
        </w:tc>
        <w:tc>
          <w:tcPr>
            <w:tcW w:w="2430" w:type="pct"/>
            <w:tcBorders>
              <w:top w:val="single" w:sz="4" w:space="0" w:color="auto"/>
              <w:bottom w:val="single" w:sz="4" w:space="0" w:color="auto"/>
            </w:tcBorders>
          </w:tcPr>
          <w:p w14:paraId="7C7BEF07" w14:textId="505F0E5C" w:rsidR="006D78D5" w:rsidRPr="009D0141" w:rsidRDefault="006D78D5" w:rsidP="009D0141">
            <w:pPr>
              <w:pStyle w:val="TableHeading"/>
              <w:rPr>
                <w:rStyle w:val="Strong"/>
                <w:b/>
                <w:bCs w:val="0"/>
              </w:rPr>
            </w:pPr>
            <w:r w:rsidRPr="009D0141">
              <w:rPr>
                <w:rStyle w:val="Strong"/>
                <w:b/>
                <w:bCs w:val="0"/>
              </w:rPr>
              <w:t>Scenario</w:t>
            </w:r>
          </w:p>
        </w:tc>
        <w:tc>
          <w:tcPr>
            <w:tcW w:w="911" w:type="pct"/>
            <w:tcBorders>
              <w:top w:val="single" w:sz="4" w:space="0" w:color="auto"/>
              <w:bottom w:val="single" w:sz="4" w:space="0" w:color="auto"/>
            </w:tcBorders>
          </w:tcPr>
          <w:p w14:paraId="398DD4E2" w14:textId="16773264" w:rsidR="006D78D5" w:rsidRPr="009D0141" w:rsidRDefault="00D7381E" w:rsidP="009D0141">
            <w:pPr>
              <w:pStyle w:val="TableHeading"/>
              <w:rPr>
                <w:rStyle w:val="Strong"/>
                <w:b/>
                <w:bCs w:val="0"/>
              </w:rPr>
            </w:pPr>
            <w:r>
              <w:rPr>
                <w:rStyle w:val="Strong"/>
                <w:b/>
                <w:bCs w:val="0"/>
              </w:rPr>
              <w:t>C</w:t>
            </w:r>
            <w:r w:rsidR="006D78D5" w:rsidRPr="009D0141">
              <w:rPr>
                <w:rStyle w:val="Strong"/>
                <w:b/>
                <w:bCs w:val="0"/>
              </w:rPr>
              <w:t>alculation</w:t>
            </w:r>
          </w:p>
        </w:tc>
        <w:tc>
          <w:tcPr>
            <w:tcW w:w="596" w:type="pct"/>
            <w:tcBorders>
              <w:top w:val="single" w:sz="4" w:space="0" w:color="auto"/>
              <w:bottom w:val="single" w:sz="4" w:space="0" w:color="auto"/>
            </w:tcBorders>
          </w:tcPr>
          <w:p w14:paraId="112CA6F7" w14:textId="3415444F" w:rsidR="006D78D5" w:rsidRPr="009D0141" w:rsidRDefault="00CA5C13" w:rsidP="00242244">
            <w:pPr>
              <w:pStyle w:val="TableText"/>
              <w:jc w:val="right"/>
              <w:rPr>
                <w:rStyle w:val="Strong"/>
                <w:b w:val="0"/>
                <w:bCs w:val="0"/>
              </w:rPr>
            </w:pPr>
            <w:r w:rsidRPr="00242244">
              <w:rPr>
                <w:rStyle w:val="Strong"/>
              </w:rPr>
              <w:t xml:space="preserve">Price </w:t>
            </w:r>
            <w:r w:rsidR="006D78D5" w:rsidRPr="00242244">
              <w:rPr>
                <w:rStyle w:val="Strong"/>
              </w:rPr>
              <w:t>($)</w:t>
            </w:r>
          </w:p>
        </w:tc>
      </w:tr>
      <w:tr w:rsidR="006D78D5" w:rsidRPr="00042F59" w14:paraId="46B457CF" w14:textId="77777777" w:rsidTr="00986BB3">
        <w:tc>
          <w:tcPr>
            <w:tcW w:w="1063" w:type="pct"/>
            <w:tcBorders>
              <w:top w:val="single" w:sz="4" w:space="0" w:color="auto"/>
              <w:bottom w:val="single" w:sz="4" w:space="0" w:color="auto"/>
            </w:tcBorders>
          </w:tcPr>
          <w:p w14:paraId="7A5B58E9" w14:textId="77E8B57C" w:rsidR="006D78D5" w:rsidRPr="00B41130" w:rsidRDefault="006D78D5" w:rsidP="006D78D5">
            <w:pPr>
              <w:pStyle w:val="TableText"/>
              <w:rPr>
                <w:rStyle w:val="Strong"/>
              </w:rPr>
            </w:pPr>
            <w:r>
              <w:rPr>
                <w:rStyle w:val="Strong"/>
              </w:rPr>
              <w:t>F</w:t>
            </w:r>
            <w:r w:rsidRPr="00B41130">
              <w:rPr>
                <w:rStyle w:val="Strong"/>
              </w:rPr>
              <w:t>ull</w:t>
            </w:r>
            <w:r>
              <w:rPr>
                <w:rStyle w:val="Strong"/>
              </w:rPr>
              <w:t>-</w:t>
            </w:r>
            <w:r w:rsidRPr="00B41130">
              <w:rPr>
                <w:rStyle w:val="Strong"/>
              </w:rPr>
              <w:t xml:space="preserve">year upgrade charge </w:t>
            </w:r>
            <w:r>
              <w:rPr>
                <w:rStyle w:val="Strong"/>
              </w:rPr>
              <w:t>– class 19</w:t>
            </w:r>
          </w:p>
        </w:tc>
        <w:tc>
          <w:tcPr>
            <w:tcW w:w="2430" w:type="pct"/>
            <w:tcBorders>
              <w:top w:val="single" w:sz="4" w:space="0" w:color="auto"/>
              <w:bottom w:val="single" w:sz="4" w:space="0" w:color="auto"/>
            </w:tcBorders>
          </w:tcPr>
          <w:p w14:paraId="370C769C" w14:textId="33A3EF8A" w:rsidR="006D78D5" w:rsidRPr="006D78D5" w:rsidRDefault="005D5501" w:rsidP="006D78D5">
            <w:pPr>
              <w:pStyle w:val="TableText"/>
            </w:pPr>
            <w:r w:rsidRPr="005D5501">
              <w:t>Entity</w:t>
            </w:r>
            <w:r w:rsidR="00187EA9" w:rsidRPr="005D5501">
              <w:t xml:space="preserve"> </w:t>
            </w:r>
            <w:proofErr w:type="gramStart"/>
            <w:r w:rsidR="00187EA9">
              <w:rPr>
                <w:rStyle w:val="Strong"/>
                <w:b w:val="0"/>
                <w:bCs w:val="0"/>
              </w:rPr>
              <w:t>is</w:t>
            </w:r>
            <w:r w:rsidR="006D78D5">
              <w:rPr>
                <w:rStyle w:val="Strong"/>
                <w:b w:val="0"/>
                <w:bCs w:val="0"/>
              </w:rPr>
              <w:t xml:space="preserve"> c</w:t>
            </w:r>
            <w:r w:rsidR="006D78D5" w:rsidRPr="006D78D5">
              <w:rPr>
                <w:rStyle w:val="Strong"/>
                <w:b w:val="0"/>
                <w:bCs w:val="0"/>
              </w:rPr>
              <w:t>overed</w:t>
            </w:r>
            <w:proofErr w:type="gramEnd"/>
            <w:r w:rsidR="006D78D5" w:rsidRPr="006D78D5">
              <w:t xml:space="preserve"> by a class 19</w:t>
            </w:r>
            <w:r w:rsidR="006D78D5">
              <w:t xml:space="preserve"> </w:t>
            </w:r>
            <w:r>
              <w:t>arrangement;</w:t>
            </w:r>
            <w:r w:rsidR="006D78D5" w:rsidRPr="006D78D5">
              <w:t xml:space="preserve"> </w:t>
            </w:r>
            <w:r w:rsidR="00187EA9">
              <w:t xml:space="preserve">they </w:t>
            </w:r>
            <w:proofErr w:type="gramStart"/>
            <w:r w:rsidR="00187EA9">
              <w:t xml:space="preserve">are </w:t>
            </w:r>
            <w:r w:rsidR="006D78D5" w:rsidRPr="006D78D5">
              <w:t>then approved</w:t>
            </w:r>
            <w:proofErr w:type="gramEnd"/>
            <w:r w:rsidR="006D78D5" w:rsidRPr="006D78D5">
              <w:t xml:space="preserve"> for at least one further approved arrangement of a different class or a compliance agreement </w:t>
            </w:r>
            <w:r w:rsidR="006D78D5" w:rsidRPr="006D78D5">
              <w:rPr>
                <w:rStyle w:val="Strong"/>
                <w:b w:val="0"/>
                <w:bCs w:val="0"/>
              </w:rPr>
              <w:t>before 1 January</w:t>
            </w:r>
            <w:r w:rsidR="006D78D5" w:rsidRPr="006D78D5">
              <w:t xml:space="preserve"> in the same financial year.</w:t>
            </w:r>
          </w:p>
        </w:tc>
        <w:tc>
          <w:tcPr>
            <w:tcW w:w="911" w:type="pct"/>
            <w:tcBorders>
              <w:top w:val="single" w:sz="4" w:space="0" w:color="auto"/>
              <w:bottom w:val="single" w:sz="4" w:space="0" w:color="auto"/>
            </w:tcBorders>
          </w:tcPr>
          <w:p w14:paraId="742F0600" w14:textId="141DCA7C" w:rsidR="006D78D5" w:rsidRPr="00DE086A" w:rsidRDefault="00D7381E" w:rsidP="00733737">
            <w:pPr>
              <w:pStyle w:val="TableText"/>
              <w:rPr>
                <w:rStyle w:val="Strong"/>
              </w:rPr>
            </w:pPr>
            <w:r>
              <w:t>D</w:t>
            </w:r>
            <w:r w:rsidR="006D78D5" w:rsidRPr="006D7C4C">
              <w:t xml:space="preserve">ifference between the multiple annual charge and the </w:t>
            </w:r>
            <w:r w:rsidR="006D78D5">
              <w:t>c</w:t>
            </w:r>
            <w:r w:rsidR="006D78D5" w:rsidRPr="006D7C4C">
              <w:t>lass 19 annual charge</w:t>
            </w:r>
            <w:r w:rsidR="006D78D5">
              <w:t>.</w:t>
            </w:r>
          </w:p>
        </w:tc>
        <w:tc>
          <w:tcPr>
            <w:tcW w:w="596" w:type="pct"/>
            <w:tcBorders>
              <w:top w:val="single" w:sz="4" w:space="0" w:color="auto"/>
              <w:bottom w:val="single" w:sz="4" w:space="0" w:color="auto"/>
            </w:tcBorders>
          </w:tcPr>
          <w:p w14:paraId="4B062B34" w14:textId="77777777" w:rsidR="006D78D5" w:rsidRPr="00DA4C07" w:rsidRDefault="006D78D5" w:rsidP="00733737">
            <w:pPr>
              <w:pStyle w:val="TableText"/>
              <w:jc w:val="right"/>
              <w:rPr>
                <w:b/>
                <w:bCs/>
              </w:rPr>
            </w:pPr>
            <w:r>
              <w:rPr>
                <w:b/>
                <w:bCs/>
              </w:rPr>
              <w:t>2,744</w:t>
            </w:r>
          </w:p>
        </w:tc>
      </w:tr>
      <w:tr w:rsidR="006D78D5" w:rsidRPr="00042F59" w14:paraId="1855BEE8" w14:textId="77777777" w:rsidTr="00986BB3">
        <w:tc>
          <w:tcPr>
            <w:tcW w:w="1063" w:type="pct"/>
            <w:vMerge w:val="restart"/>
            <w:tcBorders>
              <w:top w:val="single" w:sz="4" w:space="0" w:color="auto"/>
            </w:tcBorders>
          </w:tcPr>
          <w:p w14:paraId="42324E4E" w14:textId="2BD6B7FE" w:rsidR="006D78D5" w:rsidRPr="00B41130" w:rsidRDefault="006D78D5" w:rsidP="006D78D5">
            <w:pPr>
              <w:pStyle w:val="TableText"/>
              <w:rPr>
                <w:rStyle w:val="Strong"/>
              </w:rPr>
            </w:pPr>
            <w:r w:rsidRPr="00B41130">
              <w:rPr>
                <w:rStyle w:val="Strong"/>
              </w:rPr>
              <w:t>Part</w:t>
            </w:r>
            <w:r>
              <w:rPr>
                <w:rStyle w:val="Strong"/>
              </w:rPr>
              <w:t>-</w:t>
            </w:r>
            <w:r w:rsidRPr="00B41130">
              <w:rPr>
                <w:rStyle w:val="Strong"/>
              </w:rPr>
              <w:t xml:space="preserve">year upgrade charge </w:t>
            </w:r>
            <w:r>
              <w:rPr>
                <w:rStyle w:val="Strong"/>
              </w:rPr>
              <w:t>– class 19</w:t>
            </w:r>
          </w:p>
        </w:tc>
        <w:tc>
          <w:tcPr>
            <w:tcW w:w="2430" w:type="pct"/>
            <w:tcBorders>
              <w:top w:val="single" w:sz="4" w:space="0" w:color="auto"/>
              <w:bottom w:val="single" w:sz="4" w:space="0" w:color="auto"/>
            </w:tcBorders>
          </w:tcPr>
          <w:p w14:paraId="109AA466" w14:textId="4A97E4FF" w:rsidR="006D78D5" w:rsidRPr="006D78D5" w:rsidRDefault="005D5501" w:rsidP="006D78D5">
            <w:pPr>
              <w:pStyle w:val="TableText"/>
            </w:pPr>
            <w:r w:rsidRPr="005D5501">
              <w:t>Entity</w:t>
            </w:r>
            <w:r w:rsidR="00187EA9">
              <w:rPr>
                <w:rStyle w:val="Strong"/>
                <w:b w:val="0"/>
                <w:bCs w:val="0"/>
              </w:rPr>
              <w:t xml:space="preserve"> </w:t>
            </w:r>
            <w:proofErr w:type="gramStart"/>
            <w:r w:rsidR="00187EA9">
              <w:rPr>
                <w:rStyle w:val="Strong"/>
                <w:b w:val="0"/>
                <w:bCs w:val="0"/>
              </w:rPr>
              <w:t>is c</w:t>
            </w:r>
            <w:r w:rsidR="00187EA9" w:rsidRPr="006D78D5">
              <w:rPr>
                <w:rStyle w:val="Strong"/>
                <w:b w:val="0"/>
                <w:bCs w:val="0"/>
              </w:rPr>
              <w:t>overed</w:t>
            </w:r>
            <w:proofErr w:type="gramEnd"/>
            <w:r w:rsidR="006D78D5" w:rsidRPr="006D78D5">
              <w:t xml:space="preserve"> by a class </w:t>
            </w:r>
            <w:proofErr w:type="gramStart"/>
            <w:r w:rsidR="006D78D5" w:rsidRPr="006D78D5">
              <w:t>19</w:t>
            </w:r>
            <w:r w:rsidR="00187EA9">
              <w:t>,</w:t>
            </w:r>
            <w:proofErr w:type="gramEnd"/>
            <w:r w:rsidR="00187EA9">
              <w:t xml:space="preserve"> they </w:t>
            </w:r>
            <w:proofErr w:type="gramStart"/>
            <w:r w:rsidR="00187EA9">
              <w:t xml:space="preserve">are </w:t>
            </w:r>
            <w:r w:rsidR="006D78D5" w:rsidRPr="006D78D5">
              <w:t>then approved</w:t>
            </w:r>
            <w:proofErr w:type="gramEnd"/>
            <w:r w:rsidR="006D78D5" w:rsidRPr="006D78D5">
              <w:t xml:space="preserve"> for at least one further approved arrangement of a different class or a compliance agreement </w:t>
            </w:r>
            <w:r w:rsidR="006D78D5" w:rsidRPr="006D78D5">
              <w:rPr>
                <w:rStyle w:val="Strong"/>
                <w:b w:val="0"/>
                <w:bCs w:val="0"/>
              </w:rPr>
              <w:t>after 1 January</w:t>
            </w:r>
            <w:r w:rsidR="006D78D5" w:rsidRPr="006D78D5">
              <w:t xml:space="preserve"> in the same financial year.</w:t>
            </w:r>
          </w:p>
        </w:tc>
        <w:tc>
          <w:tcPr>
            <w:tcW w:w="911" w:type="pct"/>
            <w:tcBorders>
              <w:top w:val="single" w:sz="4" w:space="0" w:color="auto"/>
              <w:bottom w:val="single" w:sz="4" w:space="0" w:color="auto"/>
            </w:tcBorders>
          </w:tcPr>
          <w:p w14:paraId="2E014E42" w14:textId="53635544" w:rsidR="006D78D5" w:rsidRPr="00DE086A" w:rsidRDefault="00D7381E" w:rsidP="007E7417">
            <w:pPr>
              <w:pStyle w:val="TableText"/>
              <w:rPr>
                <w:rStyle w:val="Strong"/>
              </w:rPr>
            </w:pPr>
            <w:r>
              <w:t>D</w:t>
            </w:r>
            <w:r w:rsidR="006D78D5">
              <w:t>ifference between the multiple part</w:t>
            </w:r>
            <w:r>
              <w:t>-</w:t>
            </w:r>
            <w:r w:rsidR="006D78D5">
              <w:t>year charge and the class 19 annual charge.</w:t>
            </w:r>
          </w:p>
        </w:tc>
        <w:tc>
          <w:tcPr>
            <w:tcW w:w="596" w:type="pct"/>
            <w:tcBorders>
              <w:top w:val="single" w:sz="4" w:space="0" w:color="auto"/>
              <w:bottom w:val="single" w:sz="4" w:space="0" w:color="auto"/>
            </w:tcBorders>
          </w:tcPr>
          <w:p w14:paraId="0324080E" w14:textId="77777777" w:rsidR="006D78D5" w:rsidRPr="00DA4C07" w:rsidRDefault="006D78D5" w:rsidP="00733737">
            <w:pPr>
              <w:pStyle w:val="TableText"/>
              <w:jc w:val="right"/>
              <w:rPr>
                <w:rStyle w:val="Strong"/>
              </w:rPr>
            </w:pPr>
            <w:r w:rsidRPr="00DA4C07">
              <w:rPr>
                <w:rStyle w:val="Strong"/>
              </w:rPr>
              <w:t>1,</w:t>
            </w:r>
            <w:r w:rsidRPr="00332672">
              <w:rPr>
                <w:rStyle w:val="Strong"/>
              </w:rPr>
              <w:t>086</w:t>
            </w:r>
          </w:p>
        </w:tc>
      </w:tr>
      <w:tr w:rsidR="006D78D5" w:rsidRPr="00042F59" w14:paraId="09C885E9" w14:textId="77777777" w:rsidTr="00986BB3">
        <w:tc>
          <w:tcPr>
            <w:tcW w:w="1063" w:type="pct"/>
            <w:vMerge/>
            <w:tcBorders>
              <w:bottom w:val="single" w:sz="4" w:space="0" w:color="auto"/>
            </w:tcBorders>
          </w:tcPr>
          <w:p w14:paraId="677D8549" w14:textId="4D6D6D19" w:rsidR="006D78D5" w:rsidRPr="00B41130" w:rsidRDefault="006D78D5" w:rsidP="006D78D5">
            <w:pPr>
              <w:pStyle w:val="TableText"/>
              <w:rPr>
                <w:rStyle w:val="Strong"/>
              </w:rPr>
            </w:pPr>
          </w:p>
        </w:tc>
        <w:tc>
          <w:tcPr>
            <w:tcW w:w="2430" w:type="pct"/>
            <w:tcBorders>
              <w:top w:val="single" w:sz="4" w:space="0" w:color="auto"/>
              <w:bottom w:val="single" w:sz="4" w:space="0" w:color="auto"/>
            </w:tcBorders>
          </w:tcPr>
          <w:p w14:paraId="30D2CDDA" w14:textId="2CE1FE69" w:rsidR="006D78D5" w:rsidRDefault="005D5501" w:rsidP="00733737">
            <w:pPr>
              <w:pStyle w:val="TableText"/>
            </w:pPr>
            <w:r w:rsidRPr="005D5501">
              <w:t>Entity</w:t>
            </w:r>
            <w:r>
              <w:rPr>
                <w:rStyle w:val="Strong"/>
                <w:b w:val="0"/>
                <w:bCs w:val="0"/>
              </w:rPr>
              <w:t xml:space="preserve"> </w:t>
            </w:r>
            <w:proofErr w:type="gramStart"/>
            <w:r w:rsidR="00187EA9">
              <w:rPr>
                <w:rStyle w:val="Strong"/>
                <w:b w:val="0"/>
                <w:bCs w:val="0"/>
              </w:rPr>
              <w:t>is c</w:t>
            </w:r>
            <w:r w:rsidR="00187EA9" w:rsidRPr="006D78D5">
              <w:rPr>
                <w:rStyle w:val="Strong"/>
                <w:b w:val="0"/>
                <w:bCs w:val="0"/>
              </w:rPr>
              <w:t>overed</w:t>
            </w:r>
            <w:proofErr w:type="gramEnd"/>
            <w:r w:rsidR="00187EA9" w:rsidRPr="006D78D5">
              <w:t xml:space="preserve"> </w:t>
            </w:r>
            <w:r w:rsidR="006D78D5" w:rsidRPr="00B41130">
              <w:t xml:space="preserve">by a class 19 </w:t>
            </w:r>
            <w:r w:rsidR="006D78D5" w:rsidRPr="006D78D5">
              <w:t>for the first time after 1 January</w:t>
            </w:r>
            <w:r w:rsidR="00187EA9">
              <w:t xml:space="preserve">, they </w:t>
            </w:r>
            <w:proofErr w:type="gramStart"/>
            <w:r w:rsidR="00187EA9">
              <w:t xml:space="preserve">are </w:t>
            </w:r>
            <w:r w:rsidR="00187EA9" w:rsidRPr="006D78D5">
              <w:t>then</w:t>
            </w:r>
            <w:r w:rsidR="006D78D5" w:rsidRPr="006D78D5">
              <w:t xml:space="preserve"> approved</w:t>
            </w:r>
            <w:proofErr w:type="gramEnd"/>
            <w:r w:rsidR="006D78D5" w:rsidRPr="006D78D5">
              <w:t xml:space="preserve"> to hold at least one further approved arrangement of a different class or a compliance agreement in the same financial year.</w:t>
            </w:r>
          </w:p>
        </w:tc>
        <w:tc>
          <w:tcPr>
            <w:tcW w:w="911" w:type="pct"/>
            <w:tcBorders>
              <w:top w:val="single" w:sz="4" w:space="0" w:color="auto"/>
              <w:bottom w:val="single" w:sz="4" w:space="0" w:color="auto"/>
            </w:tcBorders>
          </w:tcPr>
          <w:p w14:paraId="2517BD9E" w14:textId="21C00A8D" w:rsidR="006D78D5" w:rsidRPr="00DE086A" w:rsidRDefault="00D7381E" w:rsidP="007E7417">
            <w:pPr>
              <w:pStyle w:val="TableText"/>
              <w:rPr>
                <w:rStyle w:val="Strong"/>
              </w:rPr>
            </w:pPr>
            <w:r>
              <w:t>D</w:t>
            </w:r>
            <w:r w:rsidR="006D78D5">
              <w:t>ifference between the multiple part</w:t>
            </w:r>
            <w:r>
              <w:t>-</w:t>
            </w:r>
            <w:r w:rsidR="006D78D5">
              <w:t>year charge and the class 19 part</w:t>
            </w:r>
            <w:r>
              <w:t>-</w:t>
            </w:r>
            <w:r w:rsidR="006D78D5">
              <w:t>year charge.</w:t>
            </w:r>
          </w:p>
        </w:tc>
        <w:tc>
          <w:tcPr>
            <w:tcW w:w="596" w:type="pct"/>
            <w:tcBorders>
              <w:top w:val="single" w:sz="4" w:space="0" w:color="auto"/>
              <w:bottom w:val="single" w:sz="4" w:space="0" w:color="auto"/>
            </w:tcBorders>
          </w:tcPr>
          <w:p w14:paraId="1AD21DA8" w14:textId="77777777" w:rsidR="006D78D5" w:rsidRPr="00DA4C07" w:rsidRDefault="006D78D5" w:rsidP="00733737">
            <w:pPr>
              <w:pStyle w:val="TableText"/>
              <w:jc w:val="right"/>
              <w:rPr>
                <w:rStyle w:val="Strong"/>
              </w:rPr>
            </w:pPr>
            <w:r w:rsidRPr="00DA4C07">
              <w:rPr>
                <w:rStyle w:val="Strong"/>
              </w:rPr>
              <w:t>1,3</w:t>
            </w:r>
            <w:r w:rsidRPr="00332672">
              <w:rPr>
                <w:rStyle w:val="Strong"/>
              </w:rPr>
              <w:t>72</w:t>
            </w:r>
          </w:p>
        </w:tc>
      </w:tr>
      <w:tr w:rsidR="00187EA9" w:rsidRPr="00042F59" w14:paraId="04A7DA60" w14:textId="77777777" w:rsidTr="00711ACA">
        <w:tc>
          <w:tcPr>
            <w:tcW w:w="1063" w:type="pct"/>
            <w:vMerge w:val="restart"/>
            <w:tcBorders>
              <w:top w:val="single" w:sz="4" w:space="0" w:color="auto"/>
            </w:tcBorders>
          </w:tcPr>
          <w:p w14:paraId="22E3C550" w14:textId="6548099B" w:rsidR="00187EA9" w:rsidRDefault="00187EA9" w:rsidP="006D78D5">
            <w:pPr>
              <w:pStyle w:val="TableText"/>
              <w:rPr>
                <w:rStyle w:val="Strong"/>
              </w:rPr>
            </w:pPr>
            <w:r>
              <w:rPr>
                <w:rStyle w:val="Strong"/>
              </w:rPr>
              <w:t>Full-</w:t>
            </w:r>
            <w:r w:rsidRPr="00B41130">
              <w:rPr>
                <w:rStyle w:val="Strong"/>
              </w:rPr>
              <w:t>year upgrade charge</w:t>
            </w:r>
          </w:p>
        </w:tc>
        <w:tc>
          <w:tcPr>
            <w:tcW w:w="2430" w:type="pct"/>
            <w:tcBorders>
              <w:top w:val="single" w:sz="4" w:space="0" w:color="auto"/>
              <w:bottom w:val="single" w:sz="4" w:space="0" w:color="auto"/>
            </w:tcBorders>
          </w:tcPr>
          <w:p w14:paraId="7E512281" w14:textId="264C1BDD" w:rsidR="00187EA9" w:rsidRDefault="005D5501" w:rsidP="006D78D5">
            <w:pPr>
              <w:pStyle w:val="TableText"/>
            </w:pPr>
            <w:r w:rsidRPr="005D5501">
              <w:t>Entity</w:t>
            </w:r>
            <w:r>
              <w:rPr>
                <w:rStyle w:val="Strong"/>
                <w:b w:val="0"/>
                <w:bCs w:val="0"/>
              </w:rPr>
              <w:t xml:space="preserve"> </w:t>
            </w:r>
            <w:proofErr w:type="gramStart"/>
            <w:r w:rsidR="00187EA9">
              <w:rPr>
                <w:rStyle w:val="Strong"/>
                <w:b w:val="0"/>
                <w:bCs w:val="0"/>
              </w:rPr>
              <w:t>is c</w:t>
            </w:r>
            <w:r w:rsidR="00187EA9" w:rsidRPr="006D78D5">
              <w:rPr>
                <w:rStyle w:val="Strong"/>
                <w:b w:val="0"/>
                <w:bCs w:val="0"/>
              </w:rPr>
              <w:t>overed</w:t>
            </w:r>
            <w:proofErr w:type="gramEnd"/>
            <w:r w:rsidR="00187EA9" w:rsidRPr="006D78D5">
              <w:t xml:space="preserve"> by a single </w:t>
            </w:r>
            <w:r w:rsidR="00187EA9" w:rsidRPr="007C2F94">
              <w:t xml:space="preserve">approved </w:t>
            </w:r>
            <w:r w:rsidRPr="007C2F94">
              <w:t>arrangement</w:t>
            </w:r>
            <w:r>
              <w:t>;</w:t>
            </w:r>
            <w:r w:rsidR="00187EA9">
              <w:t xml:space="preserve"> they </w:t>
            </w:r>
            <w:proofErr w:type="gramStart"/>
            <w:r w:rsidR="00187EA9">
              <w:t>are</w:t>
            </w:r>
            <w:r w:rsidR="00187EA9" w:rsidRPr="006D78D5">
              <w:t xml:space="preserve"> then approved</w:t>
            </w:r>
            <w:proofErr w:type="gramEnd"/>
            <w:r w:rsidR="00187EA9" w:rsidRPr="006D78D5">
              <w:t xml:space="preserve"> to hold at least one further </w:t>
            </w:r>
            <w:r w:rsidR="00187EA9" w:rsidRPr="007C2F94">
              <w:t>approved arrangement</w:t>
            </w:r>
            <w:r w:rsidR="00187EA9" w:rsidRPr="006D78D5">
              <w:t xml:space="preserve"> or compliance agreement </w:t>
            </w:r>
            <w:r w:rsidR="00187EA9" w:rsidRPr="007C2F94">
              <w:rPr>
                <w:rStyle w:val="Strong"/>
                <w:b w:val="0"/>
                <w:bCs w:val="0"/>
              </w:rPr>
              <w:t>before 1 January</w:t>
            </w:r>
            <w:r w:rsidR="00187EA9" w:rsidRPr="006D78D5">
              <w:t xml:space="preserve"> in the same financial year.</w:t>
            </w:r>
          </w:p>
        </w:tc>
        <w:tc>
          <w:tcPr>
            <w:tcW w:w="911" w:type="pct"/>
            <w:tcBorders>
              <w:top w:val="single" w:sz="4" w:space="0" w:color="auto"/>
              <w:bottom w:val="single" w:sz="4" w:space="0" w:color="auto"/>
            </w:tcBorders>
          </w:tcPr>
          <w:p w14:paraId="30C498C2" w14:textId="08A08E01" w:rsidR="00187EA9" w:rsidRPr="00DE086A" w:rsidRDefault="00187EA9" w:rsidP="007E7417">
            <w:pPr>
              <w:pStyle w:val="TableText"/>
              <w:rPr>
                <w:rStyle w:val="Strong"/>
              </w:rPr>
            </w:pPr>
            <w:r>
              <w:t>Difference between the multiple annual charge and the single annual charge.</w:t>
            </w:r>
          </w:p>
        </w:tc>
        <w:tc>
          <w:tcPr>
            <w:tcW w:w="596" w:type="pct"/>
            <w:tcBorders>
              <w:top w:val="single" w:sz="4" w:space="0" w:color="auto"/>
              <w:bottom w:val="single" w:sz="4" w:space="0" w:color="auto"/>
            </w:tcBorders>
          </w:tcPr>
          <w:p w14:paraId="012507C6" w14:textId="77777777" w:rsidR="00187EA9" w:rsidRPr="00DA4C07" w:rsidRDefault="00187EA9" w:rsidP="00733737">
            <w:pPr>
              <w:pStyle w:val="TableText"/>
              <w:jc w:val="right"/>
              <w:rPr>
                <w:rStyle w:val="Strong"/>
              </w:rPr>
            </w:pPr>
            <w:r w:rsidRPr="00DA4C07">
              <w:rPr>
                <w:rStyle w:val="Strong"/>
              </w:rPr>
              <w:t>4</w:t>
            </w:r>
            <w:r w:rsidRPr="00332672">
              <w:rPr>
                <w:rStyle w:val="Strong"/>
              </w:rPr>
              <w:t>59</w:t>
            </w:r>
          </w:p>
        </w:tc>
      </w:tr>
      <w:tr w:rsidR="00187EA9" w:rsidRPr="00042F59" w14:paraId="7455282A" w14:textId="77777777" w:rsidTr="00711ACA">
        <w:tc>
          <w:tcPr>
            <w:tcW w:w="1063" w:type="pct"/>
            <w:vMerge/>
            <w:tcBorders>
              <w:bottom w:val="single" w:sz="4" w:space="0" w:color="auto"/>
            </w:tcBorders>
          </w:tcPr>
          <w:p w14:paraId="2AA9632F" w14:textId="77777777" w:rsidR="00187EA9" w:rsidRDefault="00187EA9" w:rsidP="006D78D5">
            <w:pPr>
              <w:pStyle w:val="TableText"/>
              <w:rPr>
                <w:rStyle w:val="Strong"/>
              </w:rPr>
            </w:pPr>
          </w:p>
        </w:tc>
        <w:tc>
          <w:tcPr>
            <w:tcW w:w="2430" w:type="pct"/>
            <w:tcBorders>
              <w:top w:val="single" w:sz="4" w:space="0" w:color="auto"/>
              <w:bottom w:val="single" w:sz="4" w:space="0" w:color="auto"/>
            </w:tcBorders>
          </w:tcPr>
          <w:p w14:paraId="3F4ED65E" w14:textId="4038D664" w:rsidR="00187EA9" w:rsidRDefault="005D5501" w:rsidP="006D78D5">
            <w:pPr>
              <w:pStyle w:val="TableText"/>
              <w:rPr>
                <w:rStyle w:val="Strong"/>
                <w:b w:val="0"/>
                <w:bCs w:val="0"/>
              </w:rPr>
            </w:pPr>
            <w:r w:rsidRPr="005D5501">
              <w:t>Entity</w:t>
            </w:r>
            <w:r w:rsidRPr="006D78D5">
              <w:t xml:space="preserve"> </w:t>
            </w:r>
            <w:proofErr w:type="gramStart"/>
            <w:r w:rsidR="00187EA9" w:rsidRPr="006D78D5">
              <w:t>is approved</w:t>
            </w:r>
            <w:proofErr w:type="gramEnd"/>
            <w:r w:rsidR="00187EA9" w:rsidRPr="006D78D5">
              <w:t xml:space="preserve"> to hold at least one further approved arrangement or compliance agreement after </w:t>
            </w:r>
            <w:proofErr w:type="gramStart"/>
            <w:r w:rsidR="00187EA9" w:rsidRPr="006D78D5">
              <w:t>being approved</w:t>
            </w:r>
            <w:proofErr w:type="gramEnd"/>
            <w:r w:rsidR="00187EA9" w:rsidRPr="006D78D5">
              <w:t xml:space="preserve"> for the first approved arrangement or compliance agreement </w:t>
            </w:r>
            <w:r w:rsidR="00187EA9" w:rsidRPr="007C2F94">
              <w:rPr>
                <w:rStyle w:val="Strong"/>
                <w:b w:val="0"/>
                <w:bCs w:val="0"/>
              </w:rPr>
              <w:t>before 1 January</w:t>
            </w:r>
            <w:r w:rsidR="00187EA9" w:rsidRPr="006D78D5">
              <w:t xml:space="preserve"> in same financial </w:t>
            </w:r>
            <w:r w:rsidR="00187EA9" w:rsidRPr="007C2F94">
              <w:t>year</w:t>
            </w:r>
            <w:r w:rsidR="00187EA9">
              <w:t xml:space="preserve">. </w:t>
            </w:r>
          </w:p>
        </w:tc>
        <w:tc>
          <w:tcPr>
            <w:tcW w:w="911" w:type="pct"/>
            <w:tcBorders>
              <w:top w:val="single" w:sz="4" w:space="0" w:color="auto"/>
              <w:bottom w:val="single" w:sz="4" w:space="0" w:color="auto"/>
            </w:tcBorders>
          </w:tcPr>
          <w:p w14:paraId="4E82BB40" w14:textId="41892DE2" w:rsidR="00187EA9" w:rsidDel="00D7381E" w:rsidRDefault="00187EA9" w:rsidP="007E7417">
            <w:pPr>
              <w:pStyle w:val="TableText"/>
            </w:pPr>
            <w:r>
              <w:t>Difference between the multiple annual charge and the single annual charge.</w:t>
            </w:r>
          </w:p>
        </w:tc>
        <w:tc>
          <w:tcPr>
            <w:tcW w:w="596" w:type="pct"/>
            <w:tcBorders>
              <w:top w:val="single" w:sz="4" w:space="0" w:color="auto"/>
              <w:bottom w:val="single" w:sz="4" w:space="0" w:color="auto"/>
            </w:tcBorders>
          </w:tcPr>
          <w:p w14:paraId="08565DB2" w14:textId="067EB015" w:rsidR="00187EA9" w:rsidRPr="00DA4C07" w:rsidRDefault="00187EA9" w:rsidP="00733737">
            <w:pPr>
              <w:pStyle w:val="TableText"/>
              <w:jc w:val="right"/>
              <w:rPr>
                <w:rStyle w:val="Strong"/>
              </w:rPr>
            </w:pPr>
            <w:r w:rsidRPr="00DA4C07">
              <w:rPr>
                <w:rStyle w:val="Strong"/>
              </w:rPr>
              <w:t>4</w:t>
            </w:r>
            <w:r w:rsidRPr="00332672">
              <w:rPr>
                <w:rStyle w:val="Strong"/>
              </w:rPr>
              <w:t>59</w:t>
            </w:r>
          </w:p>
        </w:tc>
      </w:tr>
      <w:tr w:rsidR="006D78D5" w:rsidRPr="00042F59" w14:paraId="256E99F7" w14:textId="77777777" w:rsidTr="00986BB3">
        <w:tc>
          <w:tcPr>
            <w:tcW w:w="1063" w:type="pct"/>
            <w:tcBorders>
              <w:top w:val="single" w:sz="4" w:space="0" w:color="auto"/>
              <w:bottom w:val="single" w:sz="4" w:space="0" w:color="auto"/>
            </w:tcBorders>
          </w:tcPr>
          <w:p w14:paraId="25943BE7" w14:textId="16F9D8B9" w:rsidR="006D78D5" w:rsidRPr="001E5B20" w:rsidRDefault="006D78D5" w:rsidP="006D78D5">
            <w:pPr>
              <w:pStyle w:val="TableText"/>
              <w:rPr>
                <w:rStyle w:val="Strong"/>
              </w:rPr>
            </w:pPr>
            <w:r w:rsidRPr="001E5B20">
              <w:rPr>
                <w:rStyle w:val="Strong"/>
              </w:rPr>
              <w:t>Part</w:t>
            </w:r>
            <w:r>
              <w:rPr>
                <w:rStyle w:val="Strong"/>
              </w:rPr>
              <w:t>-</w:t>
            </w:r>
            <w:r w:rsidRPr="001E5B20">
              <w:rPr>
                <w:rStyle w:val="Strong"/>
              </w:rPr>
              <w:t>year upgrade</w:t>
            </w:r>
            <w:r>
              <w:rPr>
                <w:rStyle w:val="Strong"/>
              </w:rPr>
              <w:t xml:space="preserve"> charge</w:t>
            </w:r>
          </w:p>
        </w:tc>
        <w:tc>
          <w:tcPr>
            <w:tcW w:w="2430" w:type="pct"/>
            <w:tcBorders>
              <w:top w:val="single" w:sz="4" w:space="0" w:color="auto"/>
              <w:bottom w:val="single" w:sz="4" w:space="0" w:color="auto"/>
            </w:tcBorders>
          </w:tcPr>
          <w:p w14:paraId="3275E76D" w14:textId="6BEF9371" w:rsidR="006D78D5" w:rsidRPr="006D78D5" w:rsidRDefault="005D5501" w:rsidP="006D78D5">
            <w:pPr>
              <w:pStyle w:val="TableText"/>
            </w:pPr>
            <w:r w:rsidRPr="005D5501">
              <w:t>Entity</w:t>
            </w:r>
            <w:r>
              <w:rPr>
                <w:rStyle w:val="Strong"/>
                <w:b w:val="0"/>
                <w:bCs w:val="0"/>
              </w:rPr>
              <w:t xml:space="preserve"> </w:t>
            </w:r>
            <w:proofErr w:type="gramStart"/>
            <w:r w:rsidR="00187EA9">
              <w:rPr>
                <w:rStyle w:val="Strong"/>
                <w:b w:val="0"/>
                <w:bCs w:val="0"/>
              </w:rPr>
              <w:t>is c</w:t>
            </w:r>
            <w:r w:rsidR="00187EA9" w:rsidRPr="006D78D5">
              <w:rPr>
                <w:rStyle w:val="Strong"/>
                <w:b w:val="0"/>
                <w:bCs w:val="0"/>
              </w:rPr>
              <w:t>overed</w:t>
            </w:r>
            <w:proofErr w:type="gramEnd"/>
            <w:r w:rsidR="00187EA9" w:rsidRPr="006D78D5">
              <w:t xml:space="preserve"> </w:t>
            </w:r>
            <w:r w:rsidR="006D78D5" w:rsidRPr="006D78D5">
              <w:t xml:space="preserve">by a single approved arrangement </w:t>
            </w:r>
            <w:r w:rsidR="006D78D5" w:rsidRPr="007C2F94">
              <w:t>after January 1</w:t>
            </w:r>
            <w:r w:rsidR="00187EA9">
              <w:t xml:space="preserve">, they </w:t>
            </w:r>
            <w:proofErr w:type="gramStart"/>
            <w:r w:rsidR="00187EA9">
              <w:t xml:space="preserve">are </w:t>
            </w:r>
            <w:r w:rsidR="006D78D5" w:rsidRPr="006D78D5">
              <w:t>then approved</w:t>
            </w:r>
            <w:proofErr w:type="gramEnd"/>
            <w:r w:rsidR="006D78D5" w:rsidRPr="006D78D5">
              <w:t xml:space="preserve"> to hold at least one further approved arrangement or compliance agreement </w:t>
            </w:r>
            <w:r w:rsidR="006D78D5" w:rsidRPr="007C2F94">
              <w:rPr>
                <w:rStyle w:val="Strong"/>
                <w:b w:val="0"/>
                <w:bCs w:val="0"/>
              </w:rPr>
              <w:t>after 1 January</w:t>
            </w:r>
            <w:r w:rsidR="006D78D5" w:rsidRPr="006D78D5">
              <w:t xml:space="preserve"> in the same financial year.</w:t>
            </w:r>
          </w:p>
        </w:tc>
        <w:tc>
          <w:tcPr>
            <w:tcW w:w="911" w:type="pct"/>
            <w:tcBorders>
              <w:top w:val="single" w:sz="4" w:space="0" w:color="auto"/>
              <w:bottom w:val="single" w:sz="4" w:space="0" w:color="auto"/>
            </w:tcBorders>
          </w:tcPr>
          <w:p w14:paraId="4B9B7A32" w14:textId="72C13F9E" w:rsidR="006D78D5" w:rsidRPr="00DE086A" w:rsidRDefault="00D7381E" w:rsidP="007E7417">
            <w:pPr>
              <w:pStyle w:val="TableText"/>
              <w:rPr>
                <w:rStyle w:val="Strong"/>
              </w:rPr>
            </w:pPr>
            <w:r>
              <w:t>D</w:t>
            </w:r>
            <w:r w:rsidR="006D78D5">
              <w:t>ifference between the multiple part</w:t>
            </w:r>
            <w:r>
              <w:t>-</w:t>
            </w:r>
            <w:r w:rsidR="006D78D5">
              <w:t>year charge and the single part</w:t>
            </w:r>
            <w:r>
              <w:t>-</w:t>
            </w:r>
            <w:r w:rsidR="006D78D5">
              <w:t>year charge.</w:t>
            </w:r>
          </w:p>
        </w:tc>
        <w:tc>
          <w:tcPr>
            <w:tcW w:w="596" w:type="pct"/>
            <w:tcBorders>
              <w:top w:val="single" w:sz="4" w:space="0" w:color="auto"/>
              <w:bottom w:val="single" w:sz="4" w:space="0" w:color="auto"/>
            </w:tcBorders>
          </w:tcPr>
          <w:p w14:paraId="26ABBC96" w14:textId="77777777" w:rsidR="006D78D5" w:rsidRPr="00DA4C07" w:rsidRDefault="006D78D5" w:rsidP="00733737">
            <w:pPr>
              <w:pStyle w:val="TableText"/>
              <w:jc w:val="right"/>
              <w:rPr>
                <w:rStyle w:val="Strong"/>
              </w:rPr>
            </w:pPr>
            <w:r w:rsidRPr="00DA4C07">
              <w:rPr>
                <w:rStyle w:val="Strong"/>
              </w:rPr>
              <w:t>2</w:t>
            </w:r>
            <w:r w:rsidRPr="00332672">
              <w:rPr>
                <w:rStyle w:val="Strong"/>
              </w:rPr>
              <w:t>29</w:t>
            </w:r>
          </w:p>
        </w:tc>
      </w:tr>
    </w:tbl>
    <w:p w14:paraId="2D4C2005" w14:textId="77777777" w:rsidR="009D0141" w:rsidRDefault="009D0141" w:rsidP="009D0141">
      <w:pPr>
        <w:sectPr w:rsidR="009D0141" w:rsidSect="009D0141">
          <w:pgSz w:w="16838" w:h="11906" w:orient="landscape"/>
          <w:pgMar w:top="1418" w:right="1418" w:bottom="1418" w:left="1418" w:header="567" w:footer="283" w:gutter="0"/>
          <w:cols w:space="708"/>
          <w:docGrid w:linePitch="360"/>
        </w:sectPr>
      </w:pPr>
      <w:bookmarkStart w:id="129" w:name="_Self-Assessed_Clearance_(SAC)"/>
      <w:bookmarkStart w:id="130" w:name="_Biosecurity_fees_"/>
      <w:bookmarkStart w:id="131" w:name="_Toc168489259"/>
      <w:bookmarkStart w:id="132" w:name="_Toc168489556"/>
      <w:bookmarkStart w:id="133" w:name="_Toc168645254"/>
      <w:bookmarkEnd w:id="126"/>
      <w:bookmarkEnd w:id="128"/>
      <w:bookmarkEnd w:id="129"/>
      <w:bookmarkEnd w:id="130"/>
    </w:p>
    <w:p w14:paraId="1DBA2351" w14:textId="767AF531" w:rsidR="00DF7DE3" w:rsidRPr="003F07B6" w:rsidRDefault="00DF7DE3" w:rsidP="00C907E2">
      <w:pPr>
        <w:pStyle w:val="Heading2"/>
      </w:pPr>
      <w:bookmarkStart w:id="134" w:name="_Toc200115598"/>
      <w:r w:rsidRPr="003F07B6">
        <w:lastRenderedPageBreak/>
        <w:t>Risk assessment</w:t>
      </w:r>
      <w:bookmarkEnd w:id="131"/>
      <w:bookmarkEnd w:id="132"/>
      <w:bookmarkEnd w:id="133"/>
      <w:bookmarkEnd w:id="134"/>
    </w:p>
    <w:p w14:paraId="3F5E7E4F" w14:textId="2EBD4E5D" w:rsidR="009D21E4" w:rsidRDefault="009D21E4" w:rsidP="009D21E4">
      <w:pPr>
        <w:pStyle w:val="Heading3"/>
      </w:pPr>
      <w:bookmarkStart w:id="135" w:name="_Toc200115599"/>
      <w:r>
        <w:t>Charging risk assessment and mitigation</w:t>
      </w:r>
      <w:bookmarkEnd w:id="135"/>
    </w:p>
    <w:p w14:paraId="262F99C1" w14:textId="79649ECB" w:rsidR="00AD4D7D" w:rsidRDefault="00DF7DE3" w:rsidP="00DF7DE3">
      <w:r w:rsidRPr="00DF7DE3">
        <w:t xml:space="preserve">A charging risk assessment (CRA) </w:t>
      </w:r>
      <w:proofErr w:type="gramStart"/>
      <w:r w:rsidRPr="00DF7DE3">
        <w:t>is required</w:t>
      </w:r>
      <w:proofErr w:type="gramEnd"/>
      <w:r w:rsidRPr="00DF7DE3">
        <w:t xml:space="preserve"> for any regulatory charging policy proposal</w:t>
      </w:r>
      <w:r w:rsidR="009D21E4">
        <w:t xml:space="preserve">, including </w:t>
      </w:r>
      <w:r w:rsidR="004F5EC6">
        <w:t xml:space="preserve">for </w:t>
      </w:r>
      <w:r w:rsidR="009D21E4">
        <w:t>increases in the price for cost recovered activities. As described earlier, prices have increased by 2.4% in line with the annual movement in CPI for the December 2024 quarter. Australia is a growing economy, so there is also some growth built into the cost recovery model to reflect increased demand for the department’s services.</w:t>
      </w:r>
    </w:p>
    <w:p w14:paraId="2D7ECD73" w14:textId="4A5C82B3" w:rsidR="009D21E4" w:rsidRDefault="000F6910" w:rsidP="00DF7DE3">
      <w:r>
        <w:t xml:space="preserve">The outcome </w:t>
      </w:r>
      <w:r w:rsidR="00AD4D7D">
        <w:t xml:space="preserve">of </w:t>
      </w:r>
      <w:r>
        <w:t xml:space="preserve">our </w:t>
      </w:r>
      <w:r w:rsidR="009D21E4">
        <w:t xml:space="preserve">assessment through the CRA process is </w:t>
      </w:r>
      <w:r w:rsidR="001D5290">
        <w:t>an</w:t>
      </w:r>
      <w:r w:rsidR="009D21E4">
        <w:t xml:space="preserve"> </w:t>
      </w:r>
      <w:r w:rsidR="009D21E4" w:rsidRPr="007C2F94">
        <w:t>overall risk rating</w:t>
      </w:r>
      <w:r w:rsidR="009D21E4" w:rsidRPr="00C031C0">
        <w:t xml:space="preserve"> </w:t>
      </w:r>
      <w:r w:rsidR="001D5290" w:rsidRPr="00C031C0">
        <w:t xml:space="preserve">of </w:t>
      </w:r>
      <w:r w:rsidR="009D21E4" w:rsidRPr="007C2F94">
        <w:t>medium</w:t>
      </w:r>
      <w:r w:rsidR="009D21E4">
        <w:t xml:space="preserve">. Prices have been set based on the minimum efficient costs for regulation, which includes the department’s salary increase in March 2025 of 3.8% </w:t>
      </w:r>
      <w:r w:rsidR="001D5290">
        <w:t xml:space="preserve">as </w:t>
      </w:r>
      <w:r w:rsidR="009D21E4">
        <w:t>per the Enterprise Agreement</w:t>
      </w:r>
      <w:r w:rsidR="009D0141">
        <w:t xml:space="preserve"> 2024 to 2027</w:t>
      </w:r>
      <w:r w:rsidR="009D21E4">
        <w:t>.</w:t>
      </w:r>
    </w:p>
    <w:p w14:paraId="07373FE8" w14:textId="42F79AA3" w:rsidR="009D21E4" w:rsidRDefault="001D5290" w:rsidP="009D21E4">
      <w:r>
        <w:t xml:space="preserve">The department </w:t>
      </w:r>
      <w:r w:rsidR="009D21E4">
        <w:t xml:space="preserve">monitors </w:t>
      </w:r>
      <w:r w:rsidR="004F5EC6">
        <w:t>a</w:t>
      </w:r>
      <w:r w:rsidR="009D21E4">
        <w:t>rrangement</w:t>
      </w:r>
      <w:r w:rsidR="005D4506">
        <w:t>’s performance</w:t>
      </w:r>
      <w:r w:rsidR="009D21E4">
        <w:t xml:space="preserve"> through monthly review of revenue and expenditure and a formalised annual review of all regulatory charges. This ongoing monitoring and evaluation identifies necessary adjustments and provides assurance that charges reflect</w:t>
      </w:r>
      <w:r w:rsidR="004F5EC6">
        <w:t xml:space="preserve"> only</w:t>
      </w:r>
      <w:r w:rsidR="009D21E4">
        <w:t xml:space="preserve"> the ongoing efficient costs of delivering the activity.</w:t>
      </w:r>
      <w:r w:rsidR="004F5EC6">
        <w:t xml:space="preserve"> </w:t>
      </w:r>
      <w:r w:rsidR="009D21E4">
        <w:t xml:space="preserve">Where initial review indicates a misalignment, deeper investigation will </w:t>
      </w:r>
      <w:proofErr w:type="gramStart"/>
      <w:r w:rsidR="009D21E4">
        <w:t>be undertaken</w:t>
      </w:r>
      <w:proofErr w:type="gramEnd"/>
      <w:r w:rsidR="009D21E4">
        <w:t xml:space="preserve"> and prices reset in legislation.</w:t>
      </w:r>
    </w:p>
    <w:p w14:paraId="44D6D692" w14:textId="30FFCCD8" w:rsidR="009D21E4" w:rsidRDefault="009D21E4" w:rsidP="009D21E4">
      <w:r>
        <w:t xml:space="preserve">Indexation </w:t>
      </w:r>
      <w:proofErr w:type="gramStart"/>
      <w:r>
        <w:t>was added</w:t>
      </w:r>
      <w:proofErr w:type="gramEnd"/>
      <w:r>
        <w:t xml:space="preserve"> to biosecurity and imported food</w:t>
      </w:r>
      <w:r w:rsidR="004F5EC6">
        <w:t>s</w:t>
      </w:r>
      <w:r>
        <w:t xml:space="preserve"> charging legislation in 2023 to support the department in maintaining sustainable funding for biosecurity regulatory activities and reduce the reliance on appropriation funding from government.</w:t>
      </w:r>
      <w:r w:rsidR="004F5EC6">
        <w:t xml:space="preserve"> The annual review process </w:t>
      </w:r>
      <w:r w:rsidR="00EB4DE8">
        <w:t xml:space="preserve">also </w:t>
      </w:r>
      <w:r w:rsidR="004F5EC6">
        <w:t>supports this objective</w:t>
      </w:r>
      <w:r w:rsidR="003A4089">
        <w:t>.</w:t>
      </w:r>
    </w:p>
    <w:p w14:paraId="29E0229E" w14:textId="33D641ED" w:rsidR="009D21E4" w:rsidRDefault="009D21E4" w:rsidP="009D21E4">
      <w:pPr>
        <w:pStyle w:val="Heading3"/>
      </w:pPr>
      <w:bookmarkStart w:id="136" w:name="_Toc200115600"/>
      <w:r>
        <w:t xml:space="preserve">Management of </w:t>
      </w:r>
      <w:r w:rsidR="00EE06B1">
        <w:t xml:space="preserve">accumulated balances and </w:t>
      </w:r>
      <w:r>
        <w:t>under or over recovery</w:t>
      </w:r>
      <w:bookmarkEnd w:id="136"/>
    </w:p>
    <w:p w14:paraId="675CFEAA" w14:textId="5A5C9872" w:rsidR="001E5006" w:rsidRPr="00BA0A85" w:rsidRDefault="001E5006" w:rsidP="001E5006">
      <w:pPr>
        <w:rPr>
          <w:rFonts w:cstheme="minorHAnsi"/>
        </w:rPr>
      </w:pPr>
      <w:r w:rsidRPr="00BA0A85">
        <w:rPr>
          <w:rFonts w:cstheme="minorHAnsi"/>
        </w:rPr>
        <w:t xml:space="preserve">Regulatory charging is set to </w:t>
      </w:r>
      <w:r w:rsidR="00981C43">
        <w:rPr>
          <w:rFonts w:cstheme="minorHAnsi"/>
        </w:rPr>
        <w:t xml:space="preserve">only </w:t>
      </w:r>
      <w:r w:rsidRPr="00BA0A85">
        <w:rPr>
          <w:rFonts w:cstheme="minorHAnsi"/>
        </w:rPr>
        <w:t xml:space="preserve">recover </w:t>
      </w:r>
      <w:r w:rsidR="00EE06B1">
        <w:rPr>
          <w:rFonts w:cstheme="minorHAnsi"/>
        </w:rPr>
        <w:t xml:space="preserve">the </w:t>
      </w:r>
      <w:r w:rsidR="00EE06B1" w:rsidRPr="00C031C0">
        <w:t xml:space="preserve">department’s </w:t>
      </w:r>
      <w:r w:rsidRPr="0092040B">
        <w:t>efficient</w:t>
      </w:r>
      <w:r w:rsidRPr="00E16344">
        <w:rPr>
          <w:rStyle w:val="Strong"/>
        </w:rPr>
        <w:t xml:space="preserve"> </w:t>
      </w:r>
      <w:r w:rsidR="00012DBA" w:rsidRPr="00BA0A85">
        <w:rPr>
          <w:rFonts w:cstheme="minorHAnsi"/>
        </w:rPr>
        <w:t>costs</w:t>
      </w:r>
      <w:r w:rsidR="00012DBA">
        <w:rPr>
          <w:rFonts w:cstheme="minorHAnsi"/>
        </w:rPr>
        <w:t>;</w:t>
      </w:r>
      <w:r w:rsidRPr="00BA0A85">
        <w:rPr>
          <w:rFonts w:cstheme="minorHAnsi"/>
        </w:rPr>
        <w:t xml:space="preserve"> however, several factors can affect the difference between revenue and expenses. These factors include volume variances and changes in expenses based on risk profiles. Demand for commodities, overseas economic factors, and climatic events can all impact regulatory effort, costs and volumes of activities.</w:t>
      </w:r>
    </w:p>
    <w:p w14:paraId="75A2B1B9" w14:textId="5DF119FF" w:rsidR="001E5006" w:rsidRPr="004F5EC6" w:rsidRDefault="001E5006" w:rsidP="001E5006">
      <w:pPr>
        <w:rPr>
          <w:rFonts w:cstheme="minorHAnsi"/>
        </w:rPr>
      </w:pPr>
      <w:r w:rsidRPr="004F5EC6">
        <w:rPr>
          <w:rFonts w:cstheme="minorHAnsi"/>
        </w:rPr>
        <w:t xml:space="preserve">Each charge has been determined by creating a cost pool of the direct and indirect costs associated with that activity. When divided by the estimated volume, the price </w:t>
      </w:r>
      <w:proofErr w:type="gramStart"/>
      <w:r w:rsidRPr="004F5EC6">
        <w:rPr>
          <w:rFonts w:cstheme="minorHAnsi"/>
        </w:rPr>
        <w:t>is established</w:t>
      </w:r>
      <w:proofErr w:type="gramEnd"/>
      <w:r w:rsidRPr="004F5EC6">
        <w:rPr>
          <w:rFonts w:cstheme="minorHAnsi"/>
        </w:rPr>
        <w:t xml:space="preserve"> for that activity alone and avoids cross subsidisation </w:t>
      </w:r>
      <w:r w:rsidR="00EE06B1" w:rsidRPr="004F5EC6">
        <w:rPr>
          <w:rFonts w:cstheme="minorHAnsi"/>
        </w:rPr>
        <w:t>with</w:t>
      </w:r>
      <w:r w:rsidRPr="004F5EC6">
        <w:rPr>
          <w:rFonts w:cstheme="minorHAnsi"/>
        </w:rPr>
        <w:t xml:space="preserve"> other activities.</w:t>
      </w:r>
    </w:p>
    <w:p w14:paraId="7D88EA9C" w14:textId="1CCEC7A6" w:rsidR="001E5006" w:rsidRPr="004F5EC6" w:rsidRDefault="001E5006" w:rsidP="001E5006">
      <w:pPr>
        <w:rPr>
          <w:rFonts w:cstheme="minorHAnsi"/>
        </w:rPr>
      </w:pPr>
      <w:r w:rsidRPr="00BA0A85">
        <w:rPr>
          <w:rFonts w:cstheme="minorHAnsi"/>
        </w:rPr>
        <w:t>Under</w:t>
      </w:r>
      <w:r w:rsidR="00EE06B1">
        <w:rPr>
          <w:rFonts w:cstheme="minorHAnsi"/>
        </w:rPr>
        <w:t xml:space="preserve"> </w:t>
      </w:r>
      <w:r w:rsidRPr="00BA0A85">
        <w:rPr>
          <w:rFonts w:cstheme="minorHAnsi"/>
        </w:rPr>
        <w:t xml:space="preserve">recoveries will result in the arrangement not recovering the costs of regulatory activities. This results in the arrangement operating at a loss and </w:t>
      </w:r>
      <w:r w:rsidR="00EE06B1">
        <w:rPr>
          <w:rFonts w:cstheme="minorHAnsi"/>
        </w:rPr>
        <w:t xml:space="preserve">may </w:t>
      </w:r>
      <w:r w:rsidRPr="00BA0A85">
        <w:rPr>
          <w:rFonts w:cstheme="minorHAnsi"/>
        </w:rPr>
        <w:t>adversely impact the accumulated balance for the arrangement at year’s end. Ongoing under recovery will lead to the need for further review of the regulatory charging arrangement to ensure its return to sustainable recovery for all regulatory costs.</w:t>
      </w:r>
      <w:r>
        <w:rPr>
          <w:rFonts w:cstheme="minorHAnsi"/>
        </w:rPr>
        <w:t xml:space="preserve"> </w:t>
      </w:r>
      <w:r w:rsidRPr="004F5EC6">
        <w:rPr>
          <w:rFonts w:cstheme="minorHAnsi"/>
        </w:rPr>
        <w:t xml:space="preserve">Any cash impact resulting from under recovery </w:t>
      </w:r>
      <w:proofErr w:type="gramStart"/>
      <w:r w:rsidRPr="004F5EC6">
        <w:rPr>
          <w:rFonts w:cstheme="minorHAnsi"/>
        </w:rPr>
        <w:t>is managed</w:t>
      </w:r>
      <w:proofErr w:type="gramEnd"/>
      <w:r w:rsidRPr="004F5EC6">
        <w:rPr>
          <w:rFonts w:cstheme="minorHAnsi"/>
        </w:rPr>
        <w:t xml:space="preserve"> through the department’s other funding sources and </w:t>
      </w:r>
      <w:r w:rsidR="005D4506">
        <w:rPr>
          <w:rFonts w:cstheme="minorHAnsi"/>
        </w:rPr>
        <w:t xml:space="preserve">prior year </w:t>
      </w:r>
      <w:r w:rsidRPr="004F5EC6">
        <w:rPr>
          <w:rFonts w:cstheme="minorHAnsi"/>
        </w:rPr>
        <w:t xml:space="preserve">losses </w:t>
      </w:r>
      <w:proofErr w:type="gramStart"/>
      <w:r w:rsidR="005D4506">
        <w:rPr>
          <w:rFonts w:cstheme="minorHAnsi"/>
        </w:rPr>
        <w:t>are not recovered</w:t>
      </w:r>
      <w:proofErr w:type="gramEnd"/>
      <w:r w:rsidR="005D4506">
        <w:rPr>
          <w:rFonts w:cstheme="minorHAnsi"/>
        </w:rPr>
        <w:t xml:space="preserve"> </w:t>
      </w:r>
      <w:r w:rsidRPr="004F5EC6">
        <w:rPr>
          <w:rFonts w:cstheme="minorHAnsi"/>
        </w:rPr>
        <w:t xml:space="preserve">from regulated entities. Over recovery </w:t>
      </w:r>
      <w:proofErr w:type="gramStart"/>
      <w:r w:rsidRPr="004F5EC6">
        <w:rPr>
          <w:rFonts w:cstheme="minorHAnsi"/>
        </w:rPr>
        <w:t>is also reviewed</w:t>
      </w:r>
      <w:proofErr w:type="gramEnd"/>
      <w:r w:rsidRPr="004F5EC6">
        <w:rPr>
          <w:rFonts w:cstheme="minorHAnsi"/>
        </w:rPr>
        <w:t xml:space="preserve"> and considered </w:t>
      </w:r>
      <w:r w:rsidR="005D4506">
        <w:rPr>
          <w:rFonts w:cstheme="minorHAnsi"/>
        </w:rPr>
        <w:t>when</w:t>
      </w:r>
      <w:r w:rsidRPr="004F5EC6">
        <w:rPr>
          <w:rFonts w:cstheme="minorHAnsi"/>
        </w:rPr>
        <w:t xml:space="preserve"> setting prices for the following year</w:t>
      </w:r>
      <w:r w:rsidR="00EE06B1" w:rsidRPr="004F5EC6">
        <w:rPr>
          <w:rFonts w:cstheme="minorHAnsi"/>
        </w:rPr>
        <w:t xml:space="preserve"> and may lead to some charges remaining at their existing price or even reducing</w:t>
      </w:r>
      <w:r w:rsidRPr="004F5EC6">
        <w:rPr>
          <w:rFonts w:cstheme="minorHAnsi"/>
        </w:rPr>
        <w:t>.</w:t>
      </w:r>
    </w:p>
    <w:p w14:paraId="4E9BF1B9" w14:textId="1838892D" w:rsidR="00EE06B1" w:rsidRPr="004F5EC6" w:rsidRDefault="001E5006" w:rsidP="001E5006">
      <w:pPr>
        <w:rPr>
          <w:rFonts w:cstheme="minorHAnsi"/>
        </w:rPr>
      </w:pPr>
      <w:r w:rsidRPr="004F5EC6">
        <w:rPr>
          <w:rFonts w:cstheme="minorHAnsi"/>
        </w:rPr>
        <w:lastRenderedPageBreak/>
        <w:t>The annual review process of the arrangement</w:t>
      </w:r>
      <w:r w:rsidR="00EE06B1" w:rsidRPr="004F5EC6">
        <w:rPr>
          <w:rFonts w:cstheme="minorHAnsi"/>
        </w:rPr>
        <w:t>’s</w:t>
      </w:r>
      <w:r w:rsidRPr="004F5EC6">
        <w:rPr>
          <w:rFonts w:cstheme="minorHAnsi"/>
        </w:rPr>
        <w:t xml:space="preserve"> costs, volumes and prices is </w:t>
      </w:r>
      <w:r w:rsidR="005D4506">
        <w:rPr>
          <w:rFonts w:cstheme="minorHAnsi"/>
        </w:rPr>
        <w:t xml:space="preserve">the mechanism used </w:t>
      </w:r>
      <w:r w:rsidR="007E7417">
        <w:rPr>
          <w:rFonts w:cstheme="minorHAnsi"/>
        </w:rPr>
        <w:t xml:space="preserve">to </w:t>
      </w:r>
      <w:r w:rsidR="007E7417" w:rsidRPr="004F5EC6">
        <w:rPr>
          <w:rFonts w:cstheme="minorHAnsi"/>
        </w:rPr>
        <w:t>set</w:t>
      </w:r>
      <w:r w:rsidRPr="004F5EC6">
        <w:rPr>
          <w:rFonts w:cstheme="minorHAnsi"/>
        </w:rPr>
        <w:t xml:space="preserve"> new or retain existing prices for regulatory activities. As prices are set in legislation, any changes other than indexation to prices</w:t>
      </w:r>
      <w:r w:rsidR="00EE06B1" w:rsidRPr="004F5EC6">
        <w:rPr>
          <w:rFonts w:cstheme="minorHAnsi"/>
        </w:rPr>
        <w:t>,</w:t>
      </w:r>
      <w:r w:rsidRPr="004F5EC6">
        <w:rPr>
          <w:rFonts w:cstheme="minorHAnsi"/>
        </w:rPr>
        <w:t xml:space="preserve"> requires additional work that means it is </w:t>
      </w:r>
      <w:r w:rsidR="00EE06B1" w:rsidRPr="004F5EC6">
        <w:rPr>
          <w:rFonts w:cstheme="minorHAnsi"/>
        </w:rPr>
        <w:t>im</w:t>
      </w:r>
      <w:r w:rsidRPr="004F5EC6">
        <w:rPr>
          <w:rFonts w:cstheme="minorHAnsi"/>
        </w:rPr>
        <w:t>practical to adjust prices any more than once per financial year.</w:t>
      </w:r>
    </w:p>
    <w:p w14:paraId="0F623E05" w14:textId="468F0DB6" w:rsidR="001E5006" w:rsidRPr="00DF7DE3" w:rsidRDefault="001E5006" w:rsidP="00DF7DE3">
      <w:r w:rsidRPr="004F5EC6">
        <w:rPr>
          <w:rFonts w:cstheme="minorHAnsi"/>
        </w:rPr>
        <w:t xml:space="preserve">A new CRIS </w:t>
      </w:r>
      <w:proofErr w:type="gramStart"/>
      <w:r w:rsidRPr="004F5EC6">
        <w:rPr>
          <w:rFonts w:cstheme="minorHAnsi"/>
        </w:rPr>
        <w:t>is published</w:t>
      </w:r>
      <w:proofErr w:type="gramEnd"/>
      <w:r w:rsidRPr="004F5EC6">
        <w:rPr>
          <w:rFonts w:cstheme="minorHAnsi"/>
        </w:rPr>
        <w:t xml:space="preserve"> prior to the commencement of a new financial year following consultation with industry and agreement from the </w:t>
      </w:r>
      <w:r w:rsidR="003B2E59">
        <w:rPr>
          <w:rFonts w:cstheme="minorHAnsi"/>
        </w:rPr>
        <w:t>m</w:t>
      </w:r>
      <w:r w:rsidRPr="003B2E59">
        <w:rPr>
          <w:rFonts w:cstheme="minorHAnsi"/>
        </w:rPr>
        <w:t>inister</w:t>
      </w:r>
      <w:r w:rsidRPr="004F5EC6">
        <w:rPr>
          <w:rFonts w:cstheme="minorHAnsi"/>
        </w:rPr>
        <w:t xml:space="preserve">. If it is apparent </w:t>
      </w:r>
      <w:r w:rsidR="00EE06B1" w:rsidRPr="004F5EC6">
        <w:rPr>
          <w:rFonts w:cstheme="minorHAnsi"/>
        </w:rPr>
        <w:t xml:space="preserve">during a financial year </w:t>
      </w:r>
      <w:r w:rsidRPr="004F5EC6">
        <w:rPr>
          <w:rFonts w:cstheme="minorHAnsi"/>
        </w:rPr>
        <w:t>that a price for an activity is recovering significantly more tha</w:t>
      </w:r>
      <w:r w:rsidR="00EE06B1" w:rsidRPr="004F5EC6">
        <w:rPr>
          <w:rFonts w:cstheme="minorHAnsi"/>
        </w:rPr>
        <w:t>n</w:t>
      </w:r>
      <w:r w:rsidRPr="004F5EC6">
        <w:rPr>
          <w:rFonts w:cstheme="minorHAnsi"/>
        </w:rPr>
        <w:t xml:space="preserve"> the efficient costs, then the department may consider other options, such as remissions for part of the fee or charge to reduce the amount paid by </w:t>
      </w:r>
      <w:r w:rsidR="007E7417" w:rsidRPr="004F5EC6">
        <w:rPr>
          <w:rFonts w:cstheme="minorHAnsi"/>
        </w:rPr>
        <w:t>industry and</w:t>
      </w:r>
      <w:r w:rsidR="00EE06B1" w:rsidRPr="004F5EC6">
        <w:rPr>
          <w:rFonts w:cstheme="minorHAnsi"/>
        </w:rPr>
        <w:t xml:space="preserve"> be more reflective of the department’s effort.</w:t>
      </w:r>
    </w:p>
    <w:p w14:paraId="56DBD6F4" w14:textId="77777777" w:rsidR="00B20F1E" w:rsidRPr="003F07B6" w:rsidRDefault="00B20F1E" w:rsidP="00497BC6">
      <w:pPr>
        <w:pStyle w:val="Heading2"/>
      </w:pPr>
      <w:bookmarkStart w:id="137" w:name="_Toc168489260"/>
      <w:bookmarkStart w:id="138" w:name="_Toc168489557"/>
      <w:bookmarkStart w:id="139" w:name="_Toc168645255"/>
      <w:bookmarkStart w:id="140" w:name="_Toc200115601"/>
      <w:r w:rsidRPr="003F07B6">
        <w:lastRenderedPageBreak/>
        <w:t>Stakeholder engagement</w:t>
      </w:r>
      <w:bookmarkEnd w:id="137"/>
      <w:bookmarkEnd w:id="138"/>
      <w:bookmarkEnd w:id="139"/>
      <w:bookmarkEnd w:id="140"/>
    </w:p>
    <w:p w14:paraId="4AD242DB" w14:textId="77777777" w:rsidR="00B20F1E" w:rsidRDefault="00B20F1E" w:rsidP="00DA022D">
      <w:pPr>
        <w:spacing w:before="120" w:after="120"/>
        <w:rPr>
          <w:rFonts w:cstheme="minorHAnsi"/>
          <w:lang w:eastAsia="ja-JP"/>
        </w:rPr>
      </w:pPr>
      <w:r w:rsidRPr="00B20F1E">
        <w:rPr>
          <w:rFonts w:cstheme="minorHAnsi"/>
          <w:lang w:eastAsia="ja-JP"/>
        </w:rPr>
        <w:t>Stakeholder engagement plays an important role in the development and management of regulatory charging arrangements. Our stakeholders have unique insights into how our regulatory activities affect their businesses and can help us design efficient regulatory charging frameworks for these activities.</w:t>
      </w:r>
    </w:p>
    <w:p w14:paraId="1134F4BF" w14:textId="743F20B9" w:rsidR="00932AC7" w:rsidRPr="00EE06B1" w:rsidRDefault="00932AC7" w:rsidP="00733737">
      <w:pPr>
        <w:pStyle w:val="Heading3"/>
        <w:spacing w:before="120" w:after="120"/>
        <w:rPr>
          <w:rFonts w:cstheme="minorHAnsi"/>
          <w:lang w:eastAsia="ja-JP"/>
        </w:rPr>
      </w:pPr>
      <w:bookmarkStart w:id="141" w:name="_Toc200115602"/>
      <w:r w:rsidRPr="00EE06B1">
        <w:rPr>
          <w:sz w:val="36"/>
          <w:szCs w:val="36"/>
          <w:lang w:eastAsia="ja-JP"/>
        </w:rPr>
        <w:t>Engagement summary for 2025</w:t>
      </w:r>
      <w:r w:rsidR="008A3D9E">
        <w:rPr>
          <w:sz w:val="36"/>
          <w:szCs w:val="36"/>
          <w:lang w:eastAsia="ja-JP"/>
        </w:rPr>
        <w:t>–</w:t>
      </w:r>
      <w:r w:rsidRPr="00EE06B1">
        <w:rPr>
          <w:sz w:val="36"/>
          <w:szCs w:val="36"/>
          <w:lang w:eastAsia="ja-JP"/>
        </w:rPr>
        <w:t>26</w:t>
      </w:r>
      <w:bookmarkEnd w:id="141"/>
    </w:p>
    <w:p w14:paraId="0940F8B7" w14:textId="77777777" w:rsidR="00932AC7" w:rsidRPr="007E7417" w:rsidRDefault="00932AC7" w:rsidP="007E7417">
      <w:r w:rsidRPr="007E7417">
        <w:t xml:space="preserve">Stakeholders have </w:t>
      </w:r>
      <w:proofErr w:type="gramStart"/>
      <w:r w:rsidRPr="007E7417">
        <w:t>been consulted</w:t>
      </w:r>
      <w:proofErr w:type="gramEnd"/>
      <w:r w:rsidRPr="007E7417">
        <w:t xml:space="preserve"> on the proposed introduction of the one-off upgrade charge for approved arrangement holders, through a variety of communication channels. This commenced in November 2024 through industry consultative committees, advice notices and targeted communication to affected stakeholder groups.</w:t>
      </w:r>
    </w:p>
    <w:p w14:paraId="1C9246CB" w14:textId="2A423444" w:rsidR="00932AC7" w:rsidRPr="007E7417" w:rsidRDefault="00932AC7" w:rsidP="007E7417">
      <w:r w:rsidRPr="007E7417">
        <w:t>Indexed prices for 2025</w:t>
      </w:r>
      <w:r w:rsidR="008A3D9E">
        <w:t>–</w:t>
      </w:r>
      <w:r w:rsidRPr="007E7417">
        <w:t xml:space="preserve">26 and detailed information on the upgrade charge </w:t>
      </w:r>
      <w:proofErr w:type="gramStart"/>
      <w:r w:rsidRPr="007E7417">
        <w:t>were published</w:t>
      </w:r>
      <w:proofErr w:type="gramEnd"/>
      <w:r w:rsidRPr="007E7417">
        <w:t xml:space="preserve"> on the department’s Have your Say consultation platform, which was open from 17</w:t>
      </w:r>
      <w:r w:rsidR="008A3D9E">
        <w:t> </w:t>
      </w:r>
      <w:r w:rsidRPr="007E7417">
        <w:t>February until 21</w:t>
      </w:r>
      <w:r w:rsidR="008A3D9E">
        <w:t> </w:t>
      </w:r>
      <w:r w:rsidRPr="007E7417">
        <w:t>March</w:t>
      </w:r>
      <w:r w:rsidR="008A3D9E">
        <w:t> </w:t>
      </w:r>
      <w:r w:rsidRPr="007E7417">
        <w:t>2025.</w:t>
      </w:r>
    </w:p>
    <w:p w14:paraId="4BA10F3C" w14:textId="77777777" w:rsidR="007E7417" w:rsidRPr="007E7417" w:rsidRDefault="00932AC7" w:rsidP="007E7417">
      <w:r w:rsidRPr="007E7417">
        <w:t>Feedback from stakeholders indicate</w:t>
      </w:r>
      <w:r w:rsidR="00981C43" w:rsidRPr="007E7417">
        <w:t>d</w:t>
      </w:r>
      <w:r w:rsidRPr="007E7417">
        <w:t xml:space="preserve"> they are supportive </w:t>
      </w:r>
      <w:r w:rsidR="00981C43" w:rsidRPr="007E7417">
        <w:t xml:space="preserve">of the indexation of prices </w:t>
      </w:r>
      <w:r w:rsidRPr="007E7417">
        <w:t>but would like to see consistency in the application of charges and improvement in the level of service to align with a price increase, and suggested the department should charge based on usage.</w:t>
      </w:r>
      <w:r w:rsidR="00981C43" w:rsidRPr="007E7417">
        <w:t xml:space="preserve"> These matters are the subject of ongoing discussions between the department and industry through the various industry consultative committees, to find creative and efficient means of cargo clearance while managing the risks associated with importation.</w:t>
      </w:r>
    </w:p>
    <w:p w14:paraId="48B4C388" w14:textId="6458A712" w:rsidR="00932AC7" w:rsidRPr="007E7417" w:rsidRDefault="00932AC7" w:rsidP="007E7417">
      <w:r w:rsidRPr="007E7417">
        <w:t xml:space="preserve">Public awareness </w:t>
      </w:r>
      <w:proofErr w:type="gramStart"/>
      <w:r w:rsidR="00981C43" w:rsidRPr="007E7417">
        <w:t>was</w:t>
      </w:r>
      <w:r w:rsidRPr="007E7417">
        <w:t xml:space="preserve"> further supported</w:t>
      </w:r>
      <w:proofErr w:type="gramEnd"/>
      <w:r w:rsidRPr="007E7417">
        <w:t xml:space="preserve"> through a social media campaign and a series of advice notices, targeting all stakeholder groups.</w:t>
      </w:r>
    </w:p>
    <w:p w14:paraId="6E6F6E4B" w14:textId="17CCA788" w:rsidR="00932AC7" w:rsidRPr="007E7417" w:rsidRDefault="00932AC7" w:rsidP="007E7417">
      <w:r w:rsidRPr="007E7417">
        <w:t>The 2025</w:t>
      </w:r>
      <w:r w:rsidR="008A3D9E">
        <w:t>–</w:t>
      </w:r>
      <w:r w:rsidRPr="007E7417">
        <w:t xml:space="preserve">26 CRIS and pricing tables </w:t>
      </w:r>
      <w:proofErr w:type="gramStart"/>
      <w:r w:rsidRPr="007E7417">
        <w:t>are published</w:t>
      </w:r>
      <w:proofErr w:type="gramEnd"/>
      <w:r w:rsidRPr="007E7417">
        <w:t xml:space="preserve"> on the department’s website. The department provided further information and reminders of the commencement of new prices and changes to regulatory charges through advice notices and social media.</w:t>
      </w:r>
    </w:p>
    <w:p w14:paraId="61F3D644" w14:textId="0FD9BCED" w:rsidR="00932AC7" w:rsidRPr="00B20F1E" w:rsidRDefault="00932AC7" w:rsidP="007E7417">
      <w:pPr>
        <w:rPr>
          <w:rFonts w:cstheme="minorHAnsi"/>
          <w:lang w:eastAsia="ja-JP"/>
        </w:rPr>
      </w:pPr>
      <w:r w:rsidRPr="007E7417">
        <w:t xml:space="preserve">Overall, stakeholders have not raised significant concerns about the proposed changes or the 2.4% increase to prices. Indexed prices and proposed changes have </w:t>
      </w:r>
      <w:proofErr w:type="gramStart"/>
      <w:r w:rsidRPr="007E7417">
        <w:t>been published</w:t>
      </w:r>
      <w:proofErr w:type="gramEnd"/>
      <w:r w:rsidRPr="007E7417">
        <w:t xml:space="preserve"> well in advance of the 1</w:t>
      </w:r>
      <w:r w:rsidR="008A3D9E">
        <w:t> </w:t>
      </w:r>
      <w:r w:rsidRPr="008A3D9E">
        <w:t>July</w:t>
      </w:r>
      <w:r w:rsidR="008A3D9E">
        <w:t> </w:t>
      </w:r>
      <w:r w:rsidRPr="008A3D9E">
        <w:t>2025</w:t>
      </w:r>
      <w:r w:rsidRPr="007E7417">
        <w:t xml:space="preserve"> commencement date, providing impacted stakeholders time to prepare for price increases and changes to current charging arrangements</w:t>
      </w:r>
      <w:r w:rsidRPr="00EE06B1">
        <w:rPr>
          <w:rFonts w:cstheme="minorHAnsi"/>
          <w:lang w:eastAsia="ja-JP"/>
        </w:rPr>
        <w:t>.</w:t>
      </w:r>
    </w:p>
    <w:p w14:paraId="7F5B9AD4" w14:textId="77777777" w:rsidR="00B20F1E" w:rsidRPr="00497BC6" w:rsidRDefault="00B20F1E" w:rsidP="00497BC6">
      <w:pPr>
        <w:pStyle w:val="Heading3"/>
        <w:rPr>
          <w:sz w:val="36"/>
          <w:szCs w:val="36"/>
          <w:lang w:eastAsia="ja-JP"/>
        </w:rPr>
      </w:pPr>
      <w:bookmarkStart w:id="142" w:name="_Toc160536084"/>
      <w:bookmarkStart w:id="143" w:name="_Toc160553974"/>
      <w:bookmarkStart w:id="144" w:name="_Toc160536085"/>
      <w:bookmarkStart w:id="145" w:name="_Toc160553975"/>
      <w:bookmarkStart w:id="146" w:name="_Toc160536086"/>
      <w:bookmarkStart w:id="147" w:name="_Toc160553976"/>
      <w:bookmarkStart w:id="148" w:name="_Toc160536087"/>
      <w:bookmarkStart w:id="149" w:name="_Toc160553977"/>
      <w:bookmarkStart w:id="150" w:name="_Toc160536088"/>
      <w:bookmarkStart w:id="151" w:name="_Toc160553978"/>
      <w:bookmarkStart w:id="152" w:name="_Toc168489261"/>
      <w:bookmarkStart w:id="153" w:name="_Toc168489558"/>
      <w:bookmarkStart w:id="154" w:name="_Toc168645256"/>
      <w:bookmarkStart w:id="155" w:name="_Toc200115603"/>
      <w:bookmarkEnd w:id="142"/>
      <w:bookmarkEnd w:id="143"/>
      <w:bookmarkEnd w:id="144"/>
      <w:bookmarkEnd w:id="145"/>
      <w:bookmarkEnd w:id="146"/>
      <w:bookmarkEnd w:id="147"/>
      <w:bookmarkEnd w:id="148"/>
      <w:bookmarkEnd w:id="149"/>
      <w:bookmarkEnd w:id="150"/>
      <w:bookmarkEnd w:id="151"/>
      <w:r w:rsidRPr="00497BC6">
        <w:rPr>
          <w:sz w:val="36"/>
          <w:szCs w:val="36"/>
          <w:lang w:eastAsia="ja-JP"/>
        </w:rPr>
        <w:t>Industry engagement</w:t>
      </w:r>
      <w:bookmarkEnd w:id="152"/>
      <w:bookmarkEnd w:id="153"/>
      <w:bookmarkEnd w:id="154"/>
      <w:bookmarkEnd w:id="155"/>
    </w:p>
    <w:p w14:paraId="784FBDF5" w14:textId="36F94C90" w:rsidR="00B20F1E" w:rsidRPr="00B20F1E" w:rsidRDefault="00EE06B1" w:rsidP="00DA022D">
      <w:pPr>
        <w:spacing w:before="120" w:after="120"/>
        <w:rPr>
          <w:rFonts w:cstheme="minorHAnsi"/>
          <w:lang w:eastAsia="ja-JP"/>
        </w:rPr>
      </w:pPr>
      <w:r>
        <w:rPr>
          <w:rFonts w:cstheme="minorHAnsi"/>
          <w:lang w:eastAsia="ja-JP"/>
        </w:rPr>
        <w:t>The department has</w:t>
      </w:r>
      <w:r w:rsidR="00B20F1E" w:rsidRPr="00B20F1E">
        <w:rPr>
          <w:rFonts w:cstheme="minorHAnsi"/>
          <w:lang w:eastAsia="ja-JP"/>
        </w:rPr>
        <w:t xml:space="preserve"> established </w:t>
      </w:r>
      <w:hyperlink r:id="rId50" w:history="1">
        <w:r w:rsidR="00B20F1E" w:rsidRPr="00B20F1E">
          <w:rPr>
            <w:rFonts w:cstheme="minorHAnsi"/>
            <w:color w:val="165788"/>
            <w:u w:val="single"/>
            <w:lang w:eastAsia="ja-JP"/>
          </w:rPr>
          <w:t>industry consultative committees</w:t>
        </w:r>
      </w:hyperlink>
      <w:r w:rsidR="00B20F1E" w:rsidRPr="00B20F1E">
        <w:rPr>
          <w:rFonts w:cstheme="minorHAnsi"/>
          <w:lang w:eastAsia="ja-JP"/>
        </w:rPr>
        <w:t xml:space="preserve"> to represent industry views in relation to biosecurity and imported food. We consult with these committees on a number of different activities. The consultative committees include:</w:t>
      </w:r>
    </w:p>
    <w:p w14:paraId="26376574" w14:textId="77777777" w:rsidR="00B20F1E" w:rsidRPr="003F07B6" w:rsidRDefault="00B20F1E" w:rsidP="007E7417">
      <w:pPr>
        <w:pStyle w:val="ListBullet"/>
      </w:pPr>
      <w:r w:rsidRPr="003F07B6">
        <w:t>Cargo Consultative Committee</w:t>
      </w:r>
    </w:p>
    <w:p w14:paraId="363BD9F3" w14:textId="77777777" w:rsidR="00B20F1E" w:rsidRPr="003F07B6" w:rsidRDefault="00B20F1E" w:rsidP="007E7417">
      <w:pPr>
        <w:pStyle w:val="ListBullet"/>
      </w:pPr>
      <w:r w:rsidRPr="003F07B6">
        <w:t>Biological Consultative Group</w:t>
      </w:r>
    </w:p>
    <w:p w14:paraId="31250BB5" w14:textId="77777777" w:rsidR="00B20F1E" w:rsidRPr="003F07B6" w:rsidRDefault="00B20F1E" w:rsidP="007E7417">
      <w:pPr>
        <w:pStyle w:val="ListBullet"/>
      </w:pPr>
      <w:r w:rsidRPr="003F07B6">
        <w:t>Imported Food Consultative Committee</w:t>
      </w:r>
    </w:p>
    <w:p w14:paraId="753EDCB7" w14:textId="77777777" w:rsidR="00B20F1E" w:rsidRPr="003F07B6" w:rsidRDefault="00B20F1E" w:rsidP="007E7417">
      <w:pPr>
        <w:pStyle w:val="ListBullet"/>
      </w:pPr>
      <w:r w:rsidRPr="003F07B6">
        <w:lastRenderedPageBreak/>
        <w:t>Horse Industry Consultative Committee</w:t>
      </w:r>
    </w:p>
    <w:p w14:paraId="07A66101" w14:textId="590AB6E4" w:rsidR="00B20F1E" w:rsidRPr="003F07B6" w:rsidRDefault="00B20F1E" w:rsidP="007E7417">
      <w:pPr>
        <w:pStyle w:val="ListBullet"/>
      </w:pPr>
      <w:r w:rsidRPr="003F07B6">
        <w:t>Post Entry Plant Consultative Committee</w:t>
      </w:r>
      <w:r w:rsidR="00111143">
        <w:t>.</w:t>
      </w:r>
    </w:p>
    <w:p w14:paraId="14E4150B" w14:textId="3B627BFB" w:rsidR="00B20F1E" w:rsidRPr="00B20F1E" w:rsidRDefault="00B20F1E" w:rsidP="003F07B6">
      <w:pPr>
        <w:spacing w:before="120" w:after="120"/>
        <w:rPr>
          <w:rFonts w:cstheme="minorHAnsi"/>
          <w:lang w:eastAsia="ja-JP"/>
        </w:rPr>
      </w:pPr>
      <w:r w:rsidRPr="00B20F1E">
        <w:rPr>
          <w:rFonts w:cstheme="minorHAnsi"/>
          <w:lang w:eastAsia="ja-JP"/>
        </w:rPr>
        <w:t>We also engage with representatives for avian, cat and dog importers, and with other peak bodies, industry or individuals as necessary.</w:t>
      </w:r>
    </w:p>
    <w:p w14:paraId="0D080AE2" w14:textId="77777777" w:rsidR="00B20F1E" w:rsidRPr="008F7418" w:rsidRDefault="00B20F1E" w:rsidP="00497BC6">
      <w:pPr>
        <w:pStyle w:val="Heading3"/>
        <w:rPr>
          <w:sz w:val="36"/>
          <w:szCs w:val="36"/>
          <w:lang w:eastAsia="ja-JP"/>
        </w:rPr>
      </w:pPr>
      <w:bookmarkStart w:id="156" w:name="_Toc135304898"/>
      <w:bookmarkStart w:id="157" w:name="_Toc135331071"/>
      <w:bookmarkStart w:id="158" w:name="_Toc135331323"/>
      <w:bookmarkStart w:id="159" w:name="_Toc135332516"/>
      <w:bookmarkStart w:id="160" w:name="_Toc135304899"/>
      <w:bookmarkStart w:id="161" w:name="_Toc135331072"/>
      <w:bookmarkStart w:id="162" w:name="_Toc135331324"/>
      <w:bookmarkStart w:id="163" w:name="_Toc135332517"/>
      <w:bookmarkStart w:id="164" w:name="_Toc168489262"/>
      <w:bookmarkStart w:id="165" w:name="_Toc168489559"/>
      <w:bookmarkStart w:id="166" w:name="_Toc168645257"/>
      <w:bookmarkStart w:id="167" w:name="_Toc200115604"/>
      <w:bookmarkEnd w:id="156"/>
      <w:bookmarkEnd w:id="157"/>
      <w:bookmarkEnd w:id="158"/>
      <w:bookmarkEnd w:id="159"/>
      <w:bookmarkEnd w:id="160"/>
      <w:bookmarkEnd w:id="161"/>
      <w:bookmarkEnd w:id="162"/>
      <w:bookmarkEnd w:id="163"/>
      <w:r w:rsidRPr="008F7418">
        <w:rPr>
          <w:sz w:val="36"/>
          <w:szCs w:val="36"/>
          <w:lang w:eastAsia="ja-JP"/>
        </w:rPr>
        <w:t>Ongoing engagement strategy</w:t>
      </w:r>
      <w:bookmarkEnd w:id="164"/>
      <w:bookmarkEnd w:id="165"/>
      <w:bookmarkEnd w:id="166"/>
      <w:bookmarkEnd w:id="167"/>
    </w:p>
    <w:p w14:paraId="0896494F" w14:textId="122B806B" w:rsidR="00B20F1E" w:rsidRPr="001A6551" w:rsidRDefault="00B20F1E" w:rsidP="001A6551">
      <w:r w:rsidRPr="001A6551">
        <w:t>We engage with our stakeholders</w:t>
      </w:r>
      <w:r w:rsidR="00012DBA">
        <w:t xml:space="preserve"> through a variety of communication channels</w:t>
      </w:r>
      <w:r w:rsidRPr="001A6551">
        <w:t>, including:</w:t>
      </w:r>
    </w:p>
    <w:p w14:paraId="088720F0" w14:textId="4693A4E4" w:rsidR="00B20F1E" w:rsidRPr="001A6551" w:rsidRDefault="00B20F1E" w:rsidP="0086057C">
      <w:pPr>
        <w:pStyle w:val="ListBullet"/>
      </w:pPr>
      <w:r w:rsidRPr="001A6551">
        <w:t>engaging with industry consultative committees through agreed terms of reference</w:t>
      </w:r>
    </w:p>
    <w:p w14:paraId="4307445F" w14:textId="3652A997" w:rsidR="00B20F1E" w:rsidRPr="001A6551" w:rsidRDefault="00B20F1E" w:rsidP="001A6551">
      <w:pPr>
        <w:pStyle w:val="ListBullet"/>
      </w:pPr>
      <w:r w:rsidRPr="001A6551">
        <w:t xml:space="preserve">reporting </w:t>
      </w:r>
      <w:r w:rsidR="00F62403" w:rsidRPr="001A6551">
        <w:t>periodically</w:t>
      </w:r>
      <w:r w:rsidRPr="001A6551">
        <w:t xml:space="preserve"> on regulatory charging performance, including explanations for material variances between budgeted and actual positions</w:t>
      </w:r>
    </w:p>
    <w:p w14:paraId="08D6B84C" w14:textId="4CC156B5" w:rsidR="00B20F1E" w:rsidRPr="001A6551" w:rsidRDefault="00B20F1E" w:rsidP="001A6551">
      <w:pPr>
        <w:pStyle w:val="ListBullet"/>
      </w:pPr>
      <w:r w:rsidRPr="001A6551">
        <w:t xml:space="preserve">communicating with industry consultative committees on changes to regulatory charging before any revisions or updates </w:t>
      </w:r>
      <w:proofErr w:type="gramStart"/>
      <w:r w:rsidRPr="001A6551">
        <w:t>are made</w:t>
      </w:r>
      <w:proofErr w:type="gramEnd"/>
      <w:r w:rsidRPr="001A6551">
        <w:t xml:space="preserve"> to </w:t>
      </w:r>
      <w:r w:rsidR="00D252BE" w:rsidRPr="001A6551">
        <w:t>regulatory charges</w:t>
      </w:r>
    </w:p>
    <w:p w14:paraId="3068EF89" w14:textId="494B818A" w:rsidR="00B20F1E" w:rsidRPr="001A6551" w:rsidRDefault="0022198B" w:rsidP="001A6551">
      <w:pPr>
        <w:pStyle w:val="ListBullet"/>
        <w:rPr>
          <w:lang w:eastAsia="ja-JP"/>
        </w:rPr>
      </w:pPr>
      <w:r w:rsidRPr="001A6551">
        <w:t xml:space="preserve">annual </w:t>
      </w:r>
      <w:r w:rsidR="00B20F1E" w:rsidRPr="001A6551">
        <w:t xml:space="preserve">public consultation </w:t>
      </w:r>
      <w:r w:rsidRPr="001A6551">
        <w:t xml:space="preserve">on </w:t>
      </w:r>
      <w:r w:rsidR="00B20F1E" w:rsidRPr="001A6551">
        <w:t xml:space="preserve">key changes </w:t>
      </w:r>
      <w:r w:rsidR="00D252BE" w:rsidRPr="001A6551">
        <w:t xml:space="preserve">that </w:t>
      </w:r>
      <w:r w:rsidR="00B20F1E" w:rsidRPr="001A6551">
        <w:t>result in price adjustments.</w:t>
      </w:r>
    </w:p>
    <w:p w14:paraId="1D5C71CF" w14:textId="1D52ABAE" w:rsidR="001A6551" w:rsidRPr="00EB4DE8" w:rsidRDefault="006E3294" w:rsidP="006E3294">
      <w:pPr>
        <w:rPr>
          <w:lang w:eastAsia="ja-JP"/>
        </w:rPr>
      </w:pPr>
      <w:r w:rsidRPr="00EB4DE8">
        <w:rPr>
          <w:lang w:eastAsia="ja-JP"/>
        </w:rPr>
        <w:t xml:space="preserve">Information about new prices or changes in charging arrangements </w:t>
      </w:r>
      <w:proofErr w:type="gramStart"/>
      <w:r w:rsidRPr="00EB4DE8">
        <w:rPr>
          <w:lang w:eastAsia="ja-JP"/>
        </w:rPr>
        <w:t>is published</w:t>
      </w:r>
      <w:proofErr w:type="gramEnd"/>
      <w:r w:rsidRPr="00EB4DE8">
        <w:rPr>
          <w:lang w:eastAsia="ja-JP"/>
        </w:rPr>
        <w:t xml:space="preserve"> on our website each year</w:t>
      </w:r>
      <w:r w:rsidR="001A6551" w:rsidRPr="00EB4DE8">
        <w:rPr>
          <w:lang w:eastAsia="ja-JP"/>
        </w:rPr>
        <w:t xml:space="preserve"> and we provide ongoing updates through </w:t>
      </w:r>
      <w:r w:rsidR="00111143">
        <w:rPr>
          <w:lang w:eastAsia="ja-JP"/>
        </w:rPr>
        <w:t xml:space="preserve">a </w:t>
      </w:r>
      <w:r w:rsidR="001A6551" w:rsidRPr="00EB4DE8">
        <w:rPr>
          <w:lang w:eastAsia="ja-JP"/>
        </w:rPr>
        <w:t>variety of communication channels.</w:t>
      </w:r>
    </w:p>
    <w:p w14:paraId="63EE3C3A" w14:textId="244DFE88" w:rsidR="00502D35" w:rsidRDefault="00502D35" w:rsidP="006E3294">
      <w:pPr>
        <w:rPr>
          <w:lang w:eastAsia="ja-JP"/>
        </w:rPr>
      </w:pPr>
      <w:r w:rsidRPr="00EB4DE8">
        <w:rPr>
          <w:lang w:eastAsia="ja-JP"/>
        </w:rPr>
        <w:t xml:space="preserve">For </w:t>
      </w:r>
      <w:r w:rsidR="00111143">
        <w:rPr>
          <w:lang w:eastAsia="ja-JP"/>
        </w:rPr>
        <w:t>more</w:t>
      </w:r>
      <w:r w:rsidRPr="00EB4DE8">
        <w:rPr>
          <w:lang w:eastAsia="ja-JP"/>
        </w:rPr>
        <w:t xml:space="preserve"> information on changes to regulatory charges</w:t>
      </w:r>
      <w:r w:rsidR="00111143">
        <w:rPr>
          <w:lang w:eastAsia="ja-JP"/>
        </w:rPr>
        <w:t>,</w:t>
      </w:r>
      <w:r w:rsidRPr="00EB4DE8">
        <w:rPr>
          <w:lang w:eastAsia="ja-JP"/>
        </w:rPr>
        <w:t xml:space="preserve"> email </w:t>
      </w:r>
      <w:hyperlink r:id="rId51" w:history="1">
        <w:r w:rsidR="003B2E59" w:rsidRPr="003B2E59">
          <w:rPr>
            <w:rStyle w:val="Hyperlink"/>
            <w:lang w:eastAsia="ja-JP"/>
          </w:rPr>
          <w:t>BioCRIS@aff.gov.au</w:t>
        </w:r>
      </w:hyperlink>
      <w:r w:rsidRPr="00EB4DE8">
        <w:rPr>
          <w:lang w:eastAsia="ja-JP"/>
        </w:rPr>
        <w:t>.</w:t>
      </w:r>
    </w:p>
    <w:p w14:paraId="2F5AFE0A" w14:textId="77777777" w:rsidR="0091352C" w:rsidRPr="003F07B6" w:rsidRDefault="0091352C" w:rsidP="008F7418">
      <w:pPr>
        <w:pStyle w:val="Heading2"/>
      </w:pPr>
      <w:bookmarkStart w:id="168" w:name="_Toc168489263"/>
      <w:bookmarkStart w:id="169" w:name="_Toc168489560"/>
      <w:bookmarkStart w:id="170" w:name="_Toc168645258"/>
      <w:bookmarkStart w:id="171" w:name="_Toc200115605"/>
      <w:r w:rsidRPr="003F07B6">
        <w:lastRenderedPageBreak/>
        <w:t>Financial estimates</w:t>
      </w:r>
      <w:bookmarkEnd w:id="168"/>
      <w:bookmarkEnd w:id="169"/>
      <w:bookmarkEnd w:id="170"/>
      <w:bookmarkEnd w:id="171"/>
    </w:p>
    <w:p w14:paraId="50D0864C" w14:textId="77777777" w:rsidR="0091352C" w:rsidRPr="008F7418" w:rsidRDefault="0091352C" w:rsidP="008F7418">
      <w:pPr>
        <w:pStyle w:val="Heading3"/>
        <w:rPr>
          <w:sz w:val="36"/>
          <w:szCs w:val="36"/>
          <w:lang w:eastAsia="ja-JP"/>
        </w:rPr>
      </w:pPr>
      <w:bookmarkStart w:id="172" w:name="_Toc168489264"/>
      <w:bookmarkStart w:id="173" w:name="_Toc168489561"/>
      <w:bookmarkStart w:id="174" w:name="_Toc168645259"/>
      <w:bookmarkStart w:id="175" w:name="_Toc200115606"/>
      <w:r w:rsidRPr="008F7418">
        <w:rPr>
          <w:sz w:val="36"/>
          <w:szCs w:val="36"/>
          <w:lang w:eastAsia="ja-JP"/>
        </w:rPr>
        <w:t>Annual estimates</w:t>
      </w:r>
      <w:bookmarkEnd w:id="172"/>
      <w:bookmarkEnd w:id="173"/>
      <w:bookmarkEnd w:id="174"/>
      <w:bookmarkEnd w:id="175"/>
    </w:p>
    <w:p w14:paraId="6ABCE215" w14:textId="1B42FCFE" w:rsidR="0091352C" w:rsidRDefault="0091352C" w:rsidP="0091352C">
      <w:pPr>
        <w:rPr>
          <w:rFonts w:cstheme="minorHAnsi"/>
          <w:lang w:eastAsia="ja-JP"/>
        </w:rPr>
      </w:pPr>
      <w:r w:rsidRPr="0091352C">
        <w:rPr>
          <w:rFonts w:cstheme="minorHAnsi"/>
          <w:lang w:eastAsia="ja-JP"/>
        </w:rPr>
        <w:t xml:space="preserve">A summary of the forecast annual operating position for the </w:t>
      </w:r>
      <w:r w:rsidRPr="007E7417">
        <w:rPr>
          <w:rFonts w:cstheme="minorHAnsi"/>
          <w:lang w:eastAsia="ja-JP"/>
        </w:rPr>
        <w:t xml:space="preserve">arrangement </w:t>
      </w:r>
      <w:proofErr w:type="gramStart"/>
      <w:r w:rsidRPr="007E7417">
        <w:rPr>
          <w:rFonts w:cstheme="minorHAnsi"/>
          <w:lang w:eastAsia="ja-JP"/>
        </w:rPr>
        <w:t>is provided</w:t>
      </w:r>
      <w:proofErr w:type="gramEnd"/>
      <w:r w:rsidRPr="007E7417">
        <w:rPr>
          <w:rFonts w:cstheme="minorHAnsi"/>
          <w:lang w:eastAsia="ja-JP"/>
        </w:rPr>
        <w:t xml:space="preserve"> at </w:t>
      </w:r>
      <w:r w:rsidR="00D252BE" w:rsidRPr="007E7417">
        <w:rPr>
          <w:rFonts w:cstheme="minorHAnsi"/>
          <w:lang w:eastAsia="ja-JP"/>
        </w:rPr>
        <w:fldChar w:fldCharType="begin"/>
      </w:r>
      <w:r w:rsidR="00D252BE" w:rsidRPr="007E7417">
        <w:rPr>
          <w:rFonts w:cstheme="minorHAnsi"/>
          <w:lang w:eastAsia="ja-JP"/>
        </w:rPr>
        <w:instrText xml:space="preserve"> REF _Ref193954033 \h </w:instrText>
      </w:r>
      <w:r w:rsidR="00041A02" w:rsidRPr="007E7417">
        <w:rPr>
          <w:rFonts w:cstheme="minorHAnsi"/>
          <w:lang w:eastAsia="ja-JP"/>
        </w:rPr>
        <w:instrText xml:space="preserve"> \* MERGEFORMAT </w:instrText>
      </w:r>
      <w:r w:rsidR="00D252BE" w:rsidRPr="007E7417">
        <w:rPr>
          <w:rFonts w:cstheme="minorHAnsi"/>
          <w:lang w:eastAsia="ja-JP"/>
        </w:rPr>
      </w:r>
      <w:r w:rsidR="00D252BE" w:rsidRPr="007E7417">
        <w:rPr>
          <w:rFonts w:cstheme="minorHAnsi"/>
          <w:lang w:eastAsia="ja-JP"/>
        </w:rPr>
        <w:fldChar w:fldCharType="separate"/>
      </w:r>
      <w:r w:rsidR="007E7417" w:rsidRPr="007E7417">
        <w:t xml:space="preserve">Table </w:t>
      </w:r>
      <w:r w:rsidR="007E7417" w:rsidRPr="007E7417">
        <w:rPr>
          <w:noProof/>
        </w:rPr>
        <w:t>7</w:t>
      </w:r>
      <w:r w:rsidR="00D252BE" w:rsidRPr="007E7417">
        <w:rPr>
          <w:rFonts w:cstheme="minorHAnsi"/>
          <w:lang w:eastAsia="ja-JP"/>
        </w:rPr>
        <w:fldChar w:fldCharType="end"/>
      </w:r>
      <w:r w:rsidRPr="007E7417">
        <w:rPr>
          <w:rFonts w:cstheme="minorHAnsi"/>
          <w:lang w:eastAsia="ja-JP"/>
        </w:rPr>
        <w:t>.</w:t>
      </w:r>
    </w:p>
    <w:p w14:paraId="4F0368FC" w14:textId="34DCF9E9" w:rsidR="004A50F9" w:rsidRPr="004A50F9" w:rsidRDefault="004A50F9" w:rsidP="0091352C">
      <w:r w:rsidRPr="003A5290">
        <w:rPr>
          <w:lang w:eastAsia="ja-JP"/>
        </w:rPr>
        <w:t>We maintain an accumulated balance for each program of the arrangement to assist with managing the alignment of revenue and expenses and variations to forecast volumes. In total, the accumulated balance reflects the combined accumulated results of the arrangement since its inception and the department reports at this highest level of aggregation.</w:t>
      </w:r>
    </w:p>
    <w:p w14:paraId="6B3A1C9D" w14:textId="6DF1DE09" w:rsidR="0091352C" w:rsidRPr="0091352C" w:rsidRDefault="00224749" w:rsidP="00224749">
      <w:pPr>
        <w:pStyle w:val="Caption"/>
        <w:rPr>
          <w:b w:val="0"/>
          <w:bCs w:val="0"/>
        </w:rPr>
      </w:pPr>
      <w:bookmarkStart w:id="176" w:name="_Ref193954033"/>
      <w:bookmarkStart w:id="177" w:name="_Toc200534247"/>
      <w:r w:rsidRPr="007E7417">
        <w:t xml:space="preserve">Table </w:t>
      </w:r>
      <w:r w:rsidRPr="007E7417">
        <w:fldChar w:fldCharType="begin"/>
      </w:r>
      <w:r w:rsidRPr="007E7417">
        <w:instrText xml:space="preserve"> SEQ Table \* ARABIC </w:instrText>
      </w:r>
      <w:r w:rsidRPr="007E7417">
        <w:fldChar w:fldCharType="separate"/>
      </w:r>
      <w:r w:rsidR="007E7417" w:rsidRPr="007E7417">
        <w:rPr>
          <w:noProof/>
        </w:rPr>
        <w:t>7</w:t>
      </w:r>
      <w:r w:rsidRPr="007E7417">
        <w:fldChar w:fldCharType="end"/>
      </w:r>
      <w:bookmarkEnd w:id="176"/>
      <w:r w:rsidRPr="007E7417">
        <w:t xml:space="preserve"> Financial estimates for</w:t>
      </w:r>
      <w:r w:rsidRPr="0091352C">
        <w:t xml:space="preserve"> biosecurity cost recovery arrangement, 202</w:t>
      </w:r>
      <w:r>
        <w:t>4</w:t>
      </w:r>
      <w:r w:rsidRPr="0091352C">
        <w:t>–2</w:t>
      </w:r>
      <w:r>
        <w:t>5</w:t>
      </w:r>
      <w:r w:rsidRPr="0091352C">
        <w:t xml:space="preserve"> to 202</w:t>
      </w:r>
      <w:r>
        <w:t>7</w:t>
      </w:r>
      <w:r w:rsidRPr="0091352C">
        <w:t>–2</w:t>
      </w:r>
      <w:r>
        <w:t>8</w:t>
      </w:r>
      <w:bookmarkEnd w:id="177"/>
    </w:p>
    <w:tbl>
      <w:tblPr>
        <w:tblW w:w="5000" w:type="pct"/>
        <w:tblBorders>
          <w:top w:val="single" w:sz="4" w:space="0" w:color="auto"/>
          <w:bottom w:val="single" w:sz="4" w:space="0" w:color="auto"/>
          <w:insideH w:val="single" w:sz="4" w:space="0" w:color="auto"/>
        </w:tblBorders>
        <w:tblLayout w:type="fixed"/>
        <w:tblCellMar>
          <w:left w:w="40" w:type="dxa"/>
          <w:right w:w="40" w:type="dxa"/>
        </w:tblCellMar>
        <w:tblLook w:val="04A0" w:firstRow="1" w:lastRow="0" w:firstColumn="1" w:lastColumn="0" w:noHBand="0" w:noVBand="1"/>
      </w:tblPr>
      <w:tblGrid>
        <w:gridCol w:w="2070"/>
        <w:gridCol w:w="1836"/>
        <w:gridCol w:w="1832"/>
        <w:gridCol w:w="1667"/>
        <w:gridCol w:w="1665"/>
      </w:tblGrid>
      <w:tr w:rsidR="009B3A71" w:rsidRPr="00D74FA6" w14:paraId="75FFE3CB" w14:textId="77777777" w:rsidTr="00641A48">
        <w:trPr>
          <w:cantSplit/>
          <w:tblHeader/>
        </w:trPr>
        <w:tc>
          <w:tcPr>
            <w:tcW w:w="1141" w:type="pct"/>
            <w:shd w:val="clear" w:color="auto" w:fill="auto"/>
            <w:tcMar>
              <w:left w:w="108" w:type="dxa"/>
              <w:right w:w="108" w:type="dxa"/>
            </w:tcMar>
            <w:hideMark/>
          </w:tcPr>
          <w:p w14:paraId="124CBA18" w14:textId="77777777" w:rsidR="009B3A71" w:rsidRPr="00D74FA6" w:rsidRDefault="009B3A71" w:rsidP="00733737">
            <w:pPr>
              <w:pStyle w:val="TableHeading"/>
              <w:rPr>
                <w:rStyle w:val="Strong"/>
                <w:rFonts w:ascii="Calibri" w:hAnsi="Calibri"/>
                <w:bCs w:val="0"/>
                <w:sz w:val="22"/>
                <w:szCs w:val="18"/>
              </w:rPr>
            </w:pPr>
            <w:bookmarkStart w:id="178" w:name="Title_7"/>
            <w:bookmarkEnd w:id="178"/>
            <w:r w:rsidRPr="00D74FA6">
              <w:rPr>
                <w:rStyle w:val="Strong"/>
                <w:b/>
                <w:bCs w:val="0"/>
              </w:rPr>
              <w:t>Finance element</w:t>
            </w:r>
          </w:p>
        </w:tc>
        <w:tc>
          <w:tcPr>
            <w:tcW w:w="1012" w:type="pct"/>
            <w:shd w:val="clear" w:color="auto" w:fill="auto"/>
            <w:tcMar>
              <w:left w:w="108" w:type="dxa"/>
              <w:right w:w="108" w:type="dxa"/>
            </w:tcMar>
            <w:hideMark/>
          </w:tcPr>
          <w:p w14:paraId="248BDD39" w14:textId="5F1CDD6B" w:rsidR="009B3A71" w:rsidRPr="00D74FA6" w:rsidRDefault="009B3A71" w:rsidP="00733737">
            <w:pPr>
              <w:pStyle w:val="TableHeading"/>
              <w:jc w:val="right"/>
              <w:rPr>
                <w:rStyle w:val="Strong"/>
                <w:bCs w:val="0"/>
              </w:rPr>
            </w:pPr>
            <w:r w:rsidRPr="00D74FA6">
              <w:rPr>
                <w:rStyle w:val="Strong"/>
                <w:b/>
                <w:bCs w:val="0"/>
              </w:rPr>
              <w:t>202</w:t>
            </w:r>
            <w:r w:rsidR="00AE6907">
              <w:rPr>
                <w:rStyle w:val="Strong"/>
                <w:b/>
                <w:bCs w:val="0"/>
              </w:rPr>
              <w:t>4</w:t>
            </w:r>
            <w:r>
              <w:rPr>
                <w:rStyle w:val="Strong"/>
                <w:b/>
                <w:bCs w:val="0"/>
              </w:rPr>
              <w:t>–</w:t>
            </w:r>
            <w:r w:rsidRPr="00D74FA6">
              <w:rPr>
                <w:rStyle w:val="Strong"/>
                <w:b/>
                <w:bCs w:val="0"/>
              </w:rPr>
              <w:t>2</w:t>
            </w:r>
            <w:r w:rsidR="00AE6907">
              <w:rPr>
                <w:rStyle w:val="Strong"/>
                <w:b/>
                <w:bCs w:val="0"/>
              </w:rPr>
              <w:t>5</w:t>
            </w:r>
            <w:r w:rsidR="0036759C">
              <w:rPr>
                <w:rStyle w:val="Strong"/>
                <w:b/>
                <w:bCs w:val="0"/>
              </w:rPr>
              <w:t xml:space="preserve"> </w:t>
            </w:r>
            <w:r w:rsidRPr="00D74FA6">
              <w:rPr>
                <w:rStyle w:val="Strong"/>
                <w:b/>
                <w:bCs w:val="0"/>
              </w:rPr>
              <w:t>($)</w:t>
            </w:r>
          </w:p>
        </w:tc>
        <w:tc>
          <w:tcPr>
            <w:tcW w:w="1010" w:type="pct"/>
            <w:shd w:val="clear" w:color="auto" w:fill="auto"/>
            <w:tcMar>
              <w:left w:w="108" w:type="dxa"/>
              <w:right w:w="108" w:type="dxa"/>
            </w:tcMar>
            <w:hideMark/>
          </w:tcPr>
          <w:p w14:paraId="24B29785" w14:textId="0DA43EC3" w:rsidR="009B3A71" w:rsidRPr="00D74FA6" w:rsidRDefault="009B3A71" w:rsidP="00733737">
            <w:pPr>
              <w:pStyle w:val="TableHeading"/>
              <w:jc w:val="right"/>
              <w:rPr>
                <w:rStyle w:val="Strong"/>
                <w:bCs w:val="0"/>
              </w:rPr>
            </w:pPr>
            <w:r w:rsidRPr="00D74FA6">
              <w:rPr>
                <w:rStyle w:val="Strong"/>
                <w:b/>
                <w:bCs w:val="0"/>
              </w:rPr>
              <w:t>202</w:t>
            </w:r>
            <w:r w:rsidR="00AE6907">
              <w:rPr>
                <w:rStyle w:val="Strong"/>
                <w:b/>
                <w:bCs w:val="0"/>
              </w:rPr>
              <w:t>5</w:t>
            </w:r>
            <w:r>
              <w:rPr>
                <w:rStyle w:val="Strong"/>
                <w:b/>
                <w:bCs w:val="0"/>
              </w:rPr>
              <w:t>–</w:t>
            </w:r>
            <w:r w:rsidRPr="00D74FA6">
              <w:rPr>
                <w:rStyle w:val="Strong"/>
                <w:b/>
                <w:bCs w:val="0"/>
              </w:rPr>
              <w:t>2</w:t>
            </w:r>
            <w:r w:rsidR="00AE6907">
              <w:rPr>
                <w:rStyle w:val="Strong"/>
                <w:b/>
                <w:bCs w:val="0"/>
              </w:rPr>
              <w:t>6</w:t>
            </w:r>
            <w:r w:rsidR="0036759C">
              <w:rPr>
                <w:rStyle w:val="Strong"/>
                <w:b/>
                <w:bCs w:val="0"/>
              </w:rPr>
              <w:t xml:space="preserve"> </w:t>
            </w:r>
            <w:r w:rsidRPr="00D74FA6">
              <w:rPr>
                <w:rStyle w:val="Strong"/>
                <w:b/>
                <w:bCs w:val="0"/>
              </w:rPr>
              <w:t>($)</w:t>
            </w:r>
          </w:p>
        </w:tc>
        <w:tc>
          <w:tcPr>
            <w:tcW w:w="919" w:type="pct"/>
            <w:tcMar>
              <w:left w:w="108" w:type="dxa"/>
              <w:right w:w="108" w:type="dxa"/>
            </w:tcMar>
          </w:tcPr>
          <w:p w14:paraId="726B8B8D" w14:textId="5DCD2111" w:rsidR="009B3A71" w:rsidRPr="00D74FA6" w:rsidRDefault="009B3A71" w:rsidP="00733737">
            <w:pPr>
              <w:pStyle w:val="TableHeading"/>
              <w:jc w:val="right"/>
              <w:rPr>
                <w:rStyle w:val="Strong"/>
                <w:bCs w:val="0"/>
              </w:rPr>
            </w:pPr>
            <w:r w:rsidRPr="00D74FA6">
              <w:rPr>
                <w:rStyle w:val="Strong"/>
                <w:b/>
                <w:bCs w:val="0"/>
              </w:rPr>
              <w:t>202</w:t>
            </w:r>
            <w:r w:rsidR="00AE6907">
              <w:rPr>
                <w:rStyle w:val="Strong"/>
                <w:b/>
                <w:bCs w:val="0"/>
              </w:rPr>
              <w:t>6</w:t>
            </w:r>
            <w:r>
              <w:rPr>
                <w:rStyle w:val="Strong"/>
                <w:b/>
                <w:bCs w:val="0"/>
              </w:rPr>
              <w:t>–</w:t>
            </w:r>
            <w:r w:rsidRPr="00D74FA6">
              <w:rPr>
                <w:rStyle w:val="Strong"/>
                <w:b/>
                <w:bCs w:val="0"/>
              </w:rPr>
              <w:t>2</w:t>
            </w:r>
            <w:r w:rsidR="00AE6907">
              <w:rPr>
                <w:rStyle w:val="Strong"/>
                <w:b/>
                <w:bCs w:val="0"/>
              </w:rPr>
              <w:t>7</w:t>
            </w:r>
            <w:r w:rsidR="0036759C">
              <w:rPr>
                <w:rStyle w:val="Strong"/>
                <w:b/>
                <w:bCs w:val="0"/>
              </w:rPr>
              <w:t xml:space="preserve"> </w:t>
            </w:r>
            <w:r w:rsidRPr="00D74FA6">
              <w:rPr>
                <w:rStyle w:val="Strong"/>
                <w:b/>
                <w:bCs w:val="0"/>
              </w:rPr>
              <w:t>($)</w:t>
            </w:r>
          </w:p>
        </w:tc>
        <w:tc>
          <w:tcPr>
            <w:tcW w:w="919" w:type="pct"/>
            <w:tcMar>
              <w:left w:w="108" w:type="dxa"/>
              <w:right w:w="108" w:type="dxa"/>
            </w:tcMar>
          </w:tcPr>
          <w:p w14:paraId="22D58FF1" w14:textId="5DAAA116" w:rsidR="009B3A71" w:rsidRPr="00D74FA6" w:rsidRDefault="009B3A71" w:rsidP="00733737">
            <w:pPr>
              <w:pStyle w:val="TableHeading"/>
              <w:jc w:val="right"/>
              <w:rPr>
                <w:rStyle w:val="Strong"/>
                <w:bCs w:val="0"/>
              </w:rPr>
            </w:pPr>
            <w:r w:rsidRPr="00D74FA6">
              <w:rPr>
                <w:rStyle w:val="Strong"/>
                <w:b/>
                <w:bCs w:val="0"/>
              </w:rPr>
              <w:t>202</w:t>
            </w:r>
            <w:r w:rsidR="00AE6907">
              <w:rPr>
                <w:rStyle w:val="Strong"/>
                <w:b/>
                <w:bCs w:val="0"/>
              </w:rPr>
              <w:t>7</w:t>
            </w:r>
            <w:r>
              <w:rPr>
                <w:rStyle w:val="Strong"/>
                <w:b/>
                <w:bCs w:val="0"/>
              </w:rPr>
              <w:t>–</w:t>
            </w:r>
            <w:r w:rsidRPr="00D74FA6">
              <w:rPr>
                <w:rStyle w:val="Strong"/>
                <w:b/>
                <w:bCs w:val="0"/>
              </w:rPr>
              <w:t>2</w:t>
            </w:r>
            <w:r w:rsidR="00AE6907">
              <w:rPr>
                <w:rStyle w:val="Strong"/>
                <w:b/>
                <w:bCs w:val="0"/>
              </w:rPr>
              <w:t>8</w:t>
            </w:r>
            <w:r w:rsidR="0036759C">
              <w:rPr>
                <w:rStyle w:val="Strong"/>
                <w:b/>
                <w:bCs w:val="0"/>
              </w:rPr>
              <w:t xml:space="preserve"> </w:t>
            </w:r>
            <w:r w:rsidRPr="00D74FA6">
              <w:rPr>
                <w:rStyle w:val="Strong"/>
                <w:b/>
                <w:bCs w:val="0"/>
              </w:rPr>
              <w:t>($)</w:t>
            </w:r>
          </w:p>
        </w:tc>
      </w:tr>
      <w:tr w:rsidR="00641A48" w:rsidRPr="00CC45D2" w:rsidDel="0092692D" w14:paraId="57A21D5C" w14:textId="77777777" w:rsidTr="00641A48">
        <w:tc>
          <w:tcPr>
            <w:tcW w:w="1141" w:type="pct"/>
            <w:shd w:val="clear" w:color="auto" w:fill="auto"/>
            <w:tcMar>
              <w:left w:w="108" w:type="dxa"/>
              <w:right w:w="108" w:type="dxa"/>
            </w:tcMar>
            <w:hideMark/>
          </w:tcPr>
          <w:p w14:paraId="74D2DB61" w14:textId="77777777" w:rsidR="00641A48" w:rsidRPr="00502D35" w:rsidRDefault="00641A48" w:rsidP="00641A48">
            <w:pPr>
              <w:pStyle w:val="TableText"/>
              <w:rPr>
                <w:rFonts w:cstheme="minorHAnsi"/>
                <w:lang w:eastAsia="en-AU"/>
              </w:rPr>
            </w:pPr>
            <w:r w:rsidRPr="00502D35">
              <w:rPr>
                <w:rFonts w:cstheme="minorHAnsi"/>
                <w:lang w:eastAsia="en-AU"/>
              </w:rPr>
              <w:t>Revenue = X</w:t>
            </w:r>
          </w:p>
        </w:tc>
        <w:tc>
          <w:tcPr>
            <w:tcW w:w="1012" w:type="pct"/>
            <w:shd w:val="clear" w:color="auto" w:fill="auto"/>
            <w:tcMar>
              <w:left w:w="108" w:type="dxa"/>
              <w:right w:w="108" w:type="dxa"/>
            </w:tcMar>
          </w:tcPr>
          <w:p w14:paraId="58370329" w14:textId="6ADF8134" w:rsidR="00641A48" w:rsidRPr="00502D35" w:rsidRDefault="00641A48" w:rsidP="00641A48">
            <w:pPr>
              <w:pStyle w:val="TableText"/>
              <w:jc w:val="right"/>
              <w:rPr>
                <w:rFonts w:cstheme="minorHAnsi"/>
                <w:lang w:eastAsia="en-AU"/>
              </w:rPr>
            </w:pPr>
            <w:r w:rsidRPr="00652D01">
              <w:t>393,261,647</w:t>
            </w:r>
          </w:p>
        </w:tc>
        <w:tc>
          <w:tcPr>
            <w:tcW w:w="1010" w:type="pct"/>
            <w:shd w:val="clear" w:color="auto" w:fill="auto"/>
            <w:tcMar>
              <w:left w:w="108" w:type="dxa"/>
              <w:right w:w="108" w:type="dxa"/>
            </w:tcMar>
          </w:tcPr>
          <w:p w14:paraId="51811D86" w14:textId="7468C777" w:rsidR="00641A48" w:rsidRPr="00502D35" w:rsidRDefault="00641A48" w:rsidP="00641A48">
            <w:pPr>
              <w:pStyle w:val="TableText"/>
              <w:jc w:val="right"/>
              <w:rPr>
                <w:rFonts w:cstheme="minorHAnsi"/>
                <w:lang w:eastAsia="en-AU"/>
              </w:rPr>
            </w:pPr>
            <w:r w:rsidRPr="00502D35">
              <w:rPr>
                <w:rFonts w:cstheme="minorHAnsi"/>
                <w:lang w:eastAsia="en-AU"/>
              </w:rPr>
              <w:t>45</w:t>
            </w:r>
            <w:r>
              <w:rPr>
                <w:rFonts w:cstheme="minorHAnsi"/>
                <w:lang w:eastAsia="en-AU"/>
              </w:rPr>
              <w:t>9,477,559</w:t>
            </w:r>
          </w:p>
        </w:tc>
        <w:tc>
          <w:tcPr>
            <w:tcW w:w="919" w:type="pct"/>
            <w:shd w:val="clear" w:color="auto" w:fill="auto"/>
            <w:tcMar>
              <w:left w:w="108" w:type="dxa"/>
              <w:right w:w="108" w:type="dxa"/>
            </w:tcMar>
          </w:tcPr>
          <w:p w14:paraId="61569184" w14:textId="39958429" w:rsidR="00641A48" w:rsidRPr="00502D35" w:rsidRDefault="00641A48" w:rsidP="00641A48">
            <w:pPr>
              <w:pStyle w:val="TableText"/>
              <w:jc w:val="right"/>
              <w:rPr>
                <w:rFonts w:cstheme="minorHAnsi"/>
              </w:rPr>
            </w:pPr>
            <w:r w:rsidRPr="00502D35">
              <w:rPr>
                <w:rFonts w:cstheme="minorHAnsi"/>
              </w:rPr>
              <w:t>466,</w:t>
            </w:r>
            <w:r>
              <w:rPr>
                <w:rFonts w:cstheme="minorHAnsi"/>
              </w:rPr>
              <w:t>641,900</w:t>
            </w:r>
          </w:p>
        </w:tc>
        <w:tc>
          <w:tcPr>
            <w:tcW w:w="919" w:type="pct"/>
            <w:tcMar>
              <w:left w:w="108" w:type="dxa"/>
              <w:right w:w="108" w:type="dxa"/>
            </w:tcMar>
          </w:tcPr>
          <w:p w14:paraId="51196E1D" w14:textId="731BD4B3" w:rsidR="00641A48" w:rsidRPr="00502D35" w:rsidDel="0092692D" w:rsidRDefault="00641A48" w:rsidP="00641A48">
            <w:pPr>
              <w:pStyle w:val="TableText"/>
              <w:jc w:val="right"/>
              <w:rPr>
                <w:rFonts w:cstheme="minorHAnsi"/>
              </w:rPr>
            </w:pPr>
            <w:r w:rsidRPr="00502D35">
              <w:rPr>
                <w:rFonts w:cstheme="minorHAnsi"/>
              </w:rPr>
              <w:t>477,8</w:t>
            </w:r>
            <w:r>
              <w:rPr>
                <w:rFonts w:cstheme="minorHAnsi"/>
              </w:rPr>
              <w:t>01,711</w:t>
            </w:r>
          </w:p>
        </w:tc>
      </w:tr>
      <w:tr w:rsidR="00641A48" w:rsidRPr="00CC45D2" w:rsidDel="0092692D" w14:paraId="67A5212B" w14:textId="77777777" w:rsidTr="00641A48">
        <w:tc>
          <w:tcPr>
            <w:tcW w:w="1141" w:type="pct"/>
            <w:shd w:val="clear" w:color="auto" w:fill="auto"/>
            <w:tcMar>
              <w:left w:w="108" w:type="dxa"/>
              <w:right w:w="108" w:type="dxa"/>
            </w:tcMar>
            <w:hideMark/>
          </w:tcPr>
          <w:p w14:paraId="014D2F90" w14:textId="77777777" w:rsidR="00641A48" w:rsidRPr="00502D35" w:rsidRDefault="00641A48" w:rsidP="00641A48">
            <w:pPr>
              <w:pStyle w:val="TableText"/>
              <w:rPr>
                <w:rFonts w:cstheme="minorHAnsi"/>
                <w:lang w:eastAsia="en-AU"/>
              </w:rPr>
            </w:pPr>
            <w:r w:rsidRPr="00502D35">
              <w:rPr>
                <w:rFonts w:cstheme="minorHAnsi"/>
                <w:lang w:eastAsia="en-AU"/>
              </w:rPr>
              <w:t>Expenses = Y</w:t>
            </w:r>
          </w:p>
        </w:tc>
        <w:tc>
          <w:tcPr>
            <w:tcW w:w="1012" w:type="pct"/>
            <w:shd w:val="clear" w:color="auto" w:fill="auto"/>
            <w:tcMar>
              <w:left w:w="108" w:type="dxa"/>
              <w:right w:w="108" w:type="dxa"/>
            </w:tcMar>
          </w:tcPr>
          <w:p w14:paraId="09265253" w14:textId="1B6C9D3B" w:rsidR="00641A48" w:rsidRPr="00502D35" w:rsidRDefault="00641A48" w:rsidP="00641A48">
            <w:pPr>
              <w:pStyle w:val="TableText"/>
              <w:jc w:val="right"/>
              <w:rPr>
                <w:rFonts w:cstheme="minorHAnsi"/>
                <w:lang w:eastAsia="en-AU"/>
              </w:rPr>
            </w:pPr>
            <w:r w:rsidRPr="00652D01">
              <w:t>393,101,385</w:t>
            </w:r>
          </w:p>
        </w:tc>
        <w:tc>
          <w:tcPr>
            <w:tcW w:w="1010" w:type="pct"/>
            <w:shd w:val="clear" w:color="auto" w:fill="auto"/>
            <w:tcMar>
              <w:left w:w="108" w:type="dxa"/>
              <w:right w:w="108" w:type="dxa"/>
            </w:tcMar>
          </w:tcPr>
          <w:p w14:paraId="1E30F7AC" w14:textId="7E1F8619" w:rsidR="00641A48" w:rsidRPr="00502D35" w:rsidRDefault="00641A48" w:rsidP="00641A48">
            <w:pPr>
              <w:pStyle w:val="TableText"/>
              <w:jc w:val="right"/>
              <w:rPr>
                <w:rFonts w:cstheme="minorHAnsi"/>
                <w:lang w:eastAsia="en-AU"/>
              </w:rPr>
            </w:pPr>
            <w:r w:rsidRPr="00502D35">
              <w:t>45</w:t>
            </w:r>
            <w:r>
              <w:t>9,477,559</w:t>
            </w:r>
          </w:p>
        </w:tc>
        <w:tc>
          <w:tcPr>
            <w:tcW w:w="919" w:type="pct"/>
            <w:tcMar>
              <w:left w:w="108" w:type="dxa"/>
              <w:right w:w="108" w:type="dxa"/>
            </w:tcMar>
          </w:tcPr>
          <w:p w14:paraId="579A4555" w14:textId="1211B5DD" w:rsidR="00641A48" w:rsidRPr="00502D35" w:rsidRDefault="00641A48" w:rsidP="00641A48">
            <w:pPr>
              <w:pStyle w:val="TableText"/>
              <w:jc w:val="right"/>
              <w:rPr>
                <w:rFonts w:cstheme="minorHAnsi"/>
              </w:rPr>
            </w:pPr>
            <w:r w:rsidRPr="00502D35">
              <w:t>466,6</w:t>
            </w:r>
            <w:r>
              <w:t>41,900</w:t>
            </w:r>
          </w:p>
        </w:tc>
        <w:tc>
          <w:tcPr>
            <w:tcW w:w="919" w:type="pct"/>
            <w:tcMar>
              <w:left w:w="108" w:type="dxa"/>
              <w:right w:w="108" w:type="dxa"/>
            </w:tcMar>
          </w:tcPr>
          <w:p w14:paraId="5462A6C8" w14:textId="0567EECE" w:rsidR="00641A48" w:rsidRPr="00502D35" w:rsidDel="0092692D" w:rsidRDefault="00641A48" w:rsidP="00641A48">
            <w:pPr>
              <w:pStyle w:val="TableText"/>
              <w:jc w:val="right"/>
              <w:rPr>
                <w:rFonts w:cstheme="minorHAnsi"/>
              </w:rPr>
            </w:pPr>
            <w:r w:rsidRPr="00502D35">
              <w:t>477,8</w:t>
            </w:r>
            <w:r>
              <w:t>01,711</w:t>
            </w:r>
          </w:p>
        </w:tc>
      </w:tr>
      <w:tr w:rsidR="009B3A71" w:rsidRPr="00CC45D2" w:rsidDel="0092692D" w14:paraId="5F102609" w14:textId="77777777" w:rsidTr="00641A48">
        <w:tc>
          <w:tcPr>
            <w:tcW w:w="1141" w:type="pct"/>
            <w:shd w:val="clear" w:color="auto" w:fill="auto"/>
            <w:tcMar>
              <w:left w:w="108" w:type="dxa"/>
              <w:right w:w="108" w:type="dxa"/>
            </w:tcMar>
            <w:hideMark/>
          </w:tcPr>
          <w:p w14:paraId="44F658A5" w14:textId="70CEF3EC" w:rsidR="009B3A71" w:rsidRPr="00502D35" w:rsidRDefault="009B3A71" w:rsidP="00733737">
            <w:pPr>
              <w:pStyle w:val="TableText"/>
              <w:rPr>
                <w:rFonts w:cstheme="minorHAnsi"/>
                <w:lang w:eastAsia="en-AU"/>
              </w:rPr>
            </w:pPr>
            <w:r w:rsidRPr="00502D35">
              <w:rPr>
                <w:rFonts w:cstheme="minorHAnsi"/>
                <w:lang w:eastAsia="en-AU"/>
              </w:rPr>
              <w:t xml:space="preserve">Balance = X </w:t>
            </w:r>
            <w:r w:rsidR="003B2E59">
              <w:rPr>
                <w:rFonts w:cstheme="minorHAnsi"/>
                <w:lang w:eastAsia="en-AU"/>
              </w:rPr>
              <w:t>−</w:t>
            </w:r>
            <w:r w:rsidRPr="00502D35">
              <w:rPr>
                <w:rFonts w:cstheme="minorHAnsi"/>
                <w:lang w:eastAsia="en-AU"/>
              </w:rPr>
              <w:t xml:space="preserve"> Y</w:t>
            </w:r>
          </w:p>
        </w:tc>
        <w:tc>
          <w:tcPr>
            <w:tcW w:w="1012" w:type="pct"/>
            <w:shd w:val="clear" w:color="auto" w:fill="auto"/>
            <w:tcMar>
              <w:left w:w="108" w:type="dxa"/>
              <w:right w:w="108" w:type="dxa"/>
            </w:tcMar>
          </w:tcPr>
          <w:p w14:paraId="39B38C9B" w14:textId="71195708" w:rsidR="009B3A71" w:rsidRPr="00502D35" w:rsidRDefault="00603565" w:rsidP="00733737">
            <w:pPr>
              <w:pStyle w:val="TableText"/>
              <w:jc w:val="right"/>
              <w:rPr>
                <w:rStyle w:val="Strong"/>
              </w:rPr>
            </w:pPr>
            <w:r w:rsidRPr="00502D35">
              <w:rPr>
                <w:rStyle w:val="Strong"/>
              </w:rPr>
              <w:t>160,262</w:t>
            </w:r>
          </w:p>
        </w:tc>
        <w:tc>
          <w:tcPr>
            <w:tcW w:w="1010" w:type="pct"/>
            <w:shd w:val="clear" w:color="auto" w:fill="auto"/>
            <w:tcMar>
              <w:left w:w="108" w:type="dxa"/>
              <w:right w:w="108" w:type="dxa"/>
            </w:tcMar>
          </w:tcPr>
          <w:p w14:paraId="3825E7E8" w14:textId="14F650E9" w:rsidR="009B3A71" w:rsidRPr="00502D35" w:rsidRDefault="00AE6907" w:rsidP="00733737">
            <w:pPr>
              <w:pStyle w:val="TableText"/>
              <w:jc w:val="right"/>
              <w:rPr>
                <w:rStyle w:val="Strong"/>
              </w:rPr>
            </w:pPr>
            <w:r w:rsidRPr="00502D35">
              <w:rPr>
                <w:rStyle w:val="Strong"/>
              </w:rPr>
              <w:t>0</w:t>
            </w:r>
          </w:p>
        </w:tc>
        <w:tc>
          <w:tcPr>
            <w:tcW w:w="919" w:type="pct"/>
            <w:tcMar>
              <w:left w:w="108" w:type="dxa"/>
              <w:right w:w="108" w:type="dxa"/>
            </w:tcMar>
          </w:tcPr>
          <w:p w14:paraId="213E81B4" w14:textId="77777777" w:rsidR="009B3A71" w:rsidRPr="00502D35" w:rsidRDefault="009B3A71" w:rsidP="00733737">
            <w:pPr>
              <w:pStyle w:val="TableText"/>
              <w:jc w:val="right"/>
              <w:rPr>
                <w:rStyle w:val="Strong"/>
              </w:rPr>
            </w:pPr>
            <w:r w:rsidRPr="00502D35">
              <w:rPr>
                <w:rStyle w:val="Strong"/>
              </w:rPr>
              <w:t>0</w:t>
            </w:r>
          </w:p>
        </w:tc>
        <w:tc>
          <w:tcPr>
            <w:tcW w:w="919" w:type="pct"/>
            <w:tcMar>
              <w:left w:w="108" w:type="dxa"/>
              <w:right w:w="108" w:type="dxa"/>
            </w:tcMar>
          </w:tcPr>
          <w:p w14:paraId="7602A8BC" w14:textId="77777777" w:rsidR="009B3A71" w:rsidRPr="00502D35" w:rsidDel="0092692D" w:rsidRDefault="009B3A71" w:rsidP="00733737">
            <w:pPr>
              <w:pStyle w:val="TableText"/>
              <w:jc w:val="right"/>
              <w:rPr>
                <w:rStyle w:val="Strong"/>
              </w:rPr>
            </w:pPr>
            <w:r w:rsidRPr="00502D35">
              <w:rPr>
                <w:rStyle w:val="Strong"/>
              </w:rPr>
              <w:t>0</w:t>
            </w:r>
          </w:p>
        </w:tc>
      </w:tr>
      <w:tr w:rsidR="009B3A71" w:rsidRPr="00110D74" w14:paraId="19FE484C" w14:textId="77777777" w:rsidTr="00641A48">
        <w:tc>
          <w:tcPr>
            <w:tcW w:w="1141" w:type="pct"/>
            <w:shd w:val="clear" w:color="auto" w:fill="auto"/>
            <w:tcMar>
              <w:left w:w="108" w:type="dxa"/>
              <w:right w:w="108" w:type="dxa"/>
            </w:tcMar>
            <w:hideMark/>
          </w:tcPr>
          <w:p w14:paraId="09901D49" w14:textId="246F93EA" w:rsidR="009B3A71" w:rsidRPr="00502D35" w:rsidRDefault="009B3A71" w:rsidP="00733737">
            <w:pPr>
              <w:pStyle w:val="TableText"/>
              <w:rPr>
                <w:rFonts w:cstheme="minorHAnsi"/>
                <w:lang w:eastAsia="en-AU"/>
              </w:rPr>
            </w:pPr>
            <w:r w:rsidRPr="00502D35">
              <w:rPr>
                <w:rFonts w:cstheme="minorHAnsi"/>
                <w:lang w:eastAsia="en-AU"/>
              </w:rPr>
              <w:t xml:space="preserve">Estimated opening </w:t>
            </w:r>
            <w:r w:rsidR="00AE6907" w:rsidRPr="00502D35">
              <w:rPr>
                <w:rFonts w:cstheme="minorHAnsi"/>
                <w:lang w:eastAsia="en-AU"/>
              </w:rPr>
              <w:t xml:space="preserve">cost recovery </w:t>
            </w:r>
            <w:r w:rsidR="009142FD" w:rsidRPr="00502D35">
              <w:rPr>
                <w:rFonts w:cstheme="minorHAnsi"/>
                <w:lang w:eastAsia="en-AU"/>
              </w:rPr>
              <w:t xml:space="preserve">accumulated </w:t>
            </w:r>
            <w:r w:rsidR="004A50F9" w:rsidRPr="00502D35">
              <w:rPr>
                <w:rFonts w:cstheme="minorHAnsi"/>
                <w:lang w:eastAsia="en-AU"/>
              </w:rPr>
              <w:t>balance</w:t>
            </w:r>
          </w:p>
        </w:tc>
        <w:tc>
          <w:tcPr>
            <w:tcW w:w="1012" w:type="pct"/>
            <w:shd w:val="clear" w:color="auto" w:fill="auto"/>
            <w:tcMar>
              <w:left w:w="108" w:type="dxa"/>
              <w:right w:w="108" w:type="dxa"/>
            </w:tcMar>
          </w:tcPr>
          <w:p w14:paraId="78C03037" w14:textId="612DBEF5" w:rsidR="009B3A71" w:rsidRPr="0086057C" w:rsidRDefault="0036759C" w:rsidP="00733737">
            <w:pPr>
              <w:pStyle w:val="TableText"/>
              <w:jc w:val="right"/>
              <w:rPr>
                <w:rStyle w:val="Strong"/>
              </w:rPr>
            </w:pPr>
            <w:r>
              <w:rPr>
                <w:rStyle w:val="Strong"/>
                <w:rFonts w:cstheme="minorHAnsi"/>
              </w:rPr>
              <w:t>−</w:t>
            </w:r>
            <w:r w:rsidR="00AE6907" w:rsidRPr="0086057C">
              <w:rPr>
                <w:rStyle w:val="Strong"/>
              </w:rPr>
              <w:t>6,881,033</w:t>
            </w:r>
          </w:p>
        </w:tc>
        <w:tc>
          <w:tcPr>
            <w:tcW w:w="1010" w:type="pct"/>
            <w:shd w:val="clear" w:color="auto" w:fill="auto"/>
            <w:tcMar>
              <w:left w:w="108" w:type="dxa"/>
              <w:right w:w="108" w:type="dxa"/>
            </w:tcMar>
          </w:tcPr>
          <w:p w14:paraId="00069EC0" w14:textId="65BFB5E3" w:rsidR="009B3A71" w:rsidRPr="0086057C" w:rsidRDefault="0036759C" w:rsidP="00733737">
            <w:pPr>
              <w:pStyle w:val="TableText"/>
              <w:jc w:val="right"/>
              <w:rPr>
                <w:rStyle w:val="Strong"/>
              </w:rPr>
            </w:pPr>
            <w:r>
              <w:rPr>
                <w:rStyle w:val="Strong"/>
                <w:rFonts w:cstheme="minorHAnsi"/>
              </w:rPr>
              <w:t>−</w:t>
            </w:r>
            <w:r w:rsidR="00AE6907" w:rsidRPr="0086057C">
              <w:rPr>
                <w:rStyle w:val="Strong"/>
              </w:rPr>
              <w:t>6,720,771</w:t>
            </w:r>
          </w:p>
        </w:tc>
        <w:tc>
          <w:tcPr>
            <w:tcW w:w="919" w:type="pct"/>
            <w:tcMar>
              <w:left w:w="108" w:type="dxa"/>
              <w:right w:w="108" w:type="dxa"/>
            </w:tcMar>
          </w:tcPr>
          <w:p w14:paraId="1904ED77" w14:textId="2993DA8A" w:rsidR="009B3A71" w:rsidRPr="0086057C" w:rsidRDefault="0036759C" w:rsidP="00733737">
            <w:pPr>
              <w:pStyle w:val="TableText"/>
              <w:jc w:val="right"/>
              <w:rPr>
                <w:rStyle w:val="Strong"/>
              </w:rPr>
            </w:pPr>
            <w:r>
              <w:rPr>
                <w:rStyle w:val="Strong"/>
                <w:rFonts w:cstheme="minorHAnsi"/>
              </w:rPr>
              <w:t>−</w:t>
            </w:r>
            <w:r w:rsidR="00AE6907" w:rsidRPr="0086057C">
              <w:rPr>
                <w:rStyle w:val="Strong"/>
              </w:rPr>
              <w:t>6,720,771</w:t>
            </w:r>
          </w:p>
        </w:tc>
        <w:tc>
          <w:tcPr>
            <w:tcW w:w="919" w:type="pct"/>
            <w:tcMar>
              <w:left w:w="108" w:type="dxa"/>
              <w:right w:w="108" w:type="dxa"/>
            </w:tcMar>
          </w:tcPr>
          <w:p w14:paraId="6D16AD2B" w14:textId="5CEC5AE9" w:rsidR="009B3A71" w:rsidRPr="0086057C" w:rsidRDefault="0036759C" w:rsidP="00733737">
            <w:pPr>
              <w:pStyle w:val="TableText"/>
              <w:jc w:val="right"/>
              <w:rPr>
                <w:rStyle w:val="Strong"/>
              </w:rPr>
            </w:pPr>
            <w:r>
              <w:rPr>
                <w:rStyle w:val="Strong"/>
                <w:rFonts w:cstheme="minorHAnsi"/>
              </w:rPr>
              <w:t>−</w:t>
            </w:r>
            <w:r w:rsidR="00AE6907" w:rsidRPr="0086057C">
              <w:rPr>
                <w:rStyle w:val="Strong"/>
              </w:rPr>
              <w:t>6,720,771</w:t>
            </w:r>
          </w:p>
        </w:tc>
      </w:tr>
      <w:tr w:rsidR="009B3A71" w:rsidRPr="00110D74" w14:paraId="5AC966CC" w14:textId="77777777" w:rsidTr="00641A48">
        <w:tc>
          <w:tcPr>
            <w:tcW w:w="1141" w:type="pct"/>
            <w:shd w:val="clear" w:color="auto" w:fill="auto"/>
            <w:tcMar>
              <w:left w:w="108" w:type="dxa"/>
              <w:right w:w="108" w:type="dxa"/>
            </w:tcMar>
            <w:hideMark/>
          </w:tcPr>
          <w:p w14:paraId="4B284ED2" w14:textId="10C3153E" w:rsidR="009B3A71" w:rsidRPr="00502D35" w:rsidRDefault="009B3A71" w:rsidP="00733737">
            <w:pPr>
              <w:pStyle w:val="TableText"/>
              <w:rPr>
                <w:rFonts w:cstheme="minorHAnsi"/>
                <w:lang w:eastAsia="en-AU"/>
              </w:rPr>
            </w:pPr>
            <w:r w:rsidRPr="00502D35">
              <w:rPr>
                <w:rFonts w:cstheme="minorHAnsi"/>
                <w:lang w:eastAsia="en-AU"/>
              </w:rPr>
              <w:t xml:space="preserve">Estimated closing </w:t>
            </w:r>
            <w:r w:rsidR="00AE6907" w:rsidRPr="00502D35">
              <w:rPr>
                <w:rFonts w:cstheme="minorHAnsi"/>
                <w:lang w:eastAsia="en-AU"/>
              </w:rPr>
              <w:t xml:space="preserve">cost recovery </w:t>
            </w:r>
            <w:r w:rsidR="009142FD" w:rsidRPr="00502D35">
              <w:rPr>
                <w:rFonts w:cstheme="minorHAnsi"/>
                <w:lang w:eastAsia="en-AU"/>
              </w:rPr>
              <w:t xml:space="preserve">accumulated </w:t>
            </w:r>
            <w:r w:rsidR="004A50F9" w:rsidRPr="00502D35">
              <w:rPr>
                <w:rFonts w:cstheme="minorHAnsi"/>
                <w:lang w:eastAsia="en-AU"/>
              </w:rPr>
              <w:t>balance</w:t>
            </w:r>
          </w:p>
        </w:tc>
        <w:tc>
          <w:tcPr>
            <w:tcW w:w="1012" w:type="pct"/>
            <w:shd w:val="clear" w:color="auto" w:fill="auto"/>
            <w:tcMar>
              <w:left w:w="108" w:type="dxa"/>
              <w:right w:w="108" w:type="dxa"/>
            </w:tcMar>
          </w:tcPr>
          <w:p w14:paraId="6464A581" w14:textId="687FCD3B" w:rsidR="009B3A71" w:rsidRPr="0086057C" w:rsidRDefault="0036759C" w:rsidP="00733737">
            <w:pPr>
              <w:pStyle w:val="TableText"/>
              <w:jc w:val="right"/>
              <w:rPr>
                <w:rStyle w:val="Strong"/>
              </w:rPr>
            </w:pPr>
            <w:r>
              <w:rPr>
                <w:rStyle w:val="Strong"/>
                <w:rFonts w:cstheme="minorHAnsi"/>
              </w:rPr>
              <w:t>−</w:t>
            </w:r>
            <w:r w:rsidR="00AE6907" w:rsidRPr="0086057C">
              <w:rPr>
                <w:rStyle w:val="Strong"/>
              </w:rPr>
              <w:t>6,720,771</w:t>
            </w:r>
          </w:p>
        </w:tc>
        <w:tc>
          <w:tcPr>
            <w:tcW w:w="1010" w:type="pct"/>
            <w:shd w:val="clear" w:color="auto" w:fill="auto"/>
            <w:tcMar>
              <w:left w:w="108" w:type="dxa"/>
              <w:right w:w="108" w:type="dxa"/>
            </w:tcMar>
          </w:tcPr>
          <w:p w14:paraId="042E3031" w14:textId="7A025FEF" w:rsidR="009B3A71" w:rsidRPr="0086057C" w:rsidRDefault="0036759C" w:rsidP="00733737">
            <w:pPr>
              <w:pStyle w:val="TableText"/>
              <w:jc w:val="right"/>
              <w:rPr>
                <w:rStyle w:val="Strong"/>
              </w:rPr>
            </w:pPr>
            <w:r>
              <w:rPr>
                <w:rStyle w:val="Strong"/>
                <w:rFonts w:cstheme="minorHAnsi"/>
              </w:rPr>
              <w:t>−</w:t>
            </w:r>
            <w:r w:rsidR="00AE6907" w:rsidRPr="0086057C">
              <w:rPr>
                <w:rStyle w:val="Strong"/>
              </w:rPr>
              <w:t>6,720,771</w:t>
            </w:r>
          </w:p>
        </w:tc>
        <w:tc>
          <w:tcPr>
            <w:tcW w:w="919" w:type="pct"/>
            <w:tcMar>
              <w:left w:w="108" w:type="dxa"/>
              <w:right w:w="108" w:type="dxa"/>
            </w:tcMar>
          </w:tcPr>
          <w:p w14:paraId="7AFB719C" w14:textId="772DEA50" w:rsidR="009B3A71" w:rsidRPr="0086057C" w:rsidRDefault="0036759C" w:rsidP="00733737">
            <w:pPr>
              <w:pStyle w:val="TableText"/>
              <w:jc w:val="right"/>
              <w:rPr>
                <w:rStyle w:val="Strong"/>
              </w:rPr>
            </w:pPr>
            <w:r>
              <w:rPr>
                <w:rStyle w:val="Strong"/>
                <w:rFonts w:cstheme="minorHAnsi"/>
              </w:rPr>
              <w:t>−</w:t>
            </w:r>
            <w:r w:rsidR="00AE6907" w:rsidRPr="0086057C">
              <w:rPr>
                <w:rStyle w:val="Strong"/>
              </w:rPr>
              <w:t>6,720,771</w:t>
            </w:r>
          </w:p>
        </w:tc>
        <w:tc>
          <w:tcPr>
            <w:tcW w:w="919" w:type="pct"/>
            <w:tcMar>
              <w:left w:w="108" w:type="dxa"/>
              <w:right w:w="108" w:type="dxa"/>
            </w:tcMar>
          </w:tcPr>
          <w:p w14:paraId="1B425527" w14:textId="252525FC" w:rsidR="009B3A71" w:rsidRPr="0086057C" w:rsidRDefault="0036759C" w:rsidP="00733737">
            <w:pPr>
              <w:pStyle w:val="TableText"/>
              <w:jc w:val="right"/>
              <w:rPr>
                <w:rStyle w:val="Strong"/>
              </w:rPr>
            </w:pPr>
            <w:r>
              <w:rPr>
                <w:rStyle w:val="Strong"/>
                <w:rFonts w:cstheme="minorHAnsi"/>
              </w:rPr>
              <w:t>−</w:t>
            </w:r>
            <w:r w:rsidR="00AE6907" w:rsidRPr="0086057C">
              <w:rPr>
                <w:rStyle w:val="Strong"/>
              </w:rPr>
              <w:t>6,720,771</w:t>
            </w:r>
          </w:p>
        </w:tc>
      </w:tr>
    </w:tbl>
    <w:p w14:paraId="0546E471" w14:textId="2B3979A7" w:rsidR="00F70CBD" w:rsidRPr="003F07B6" w:rsidRDefault="00F70CBD" w:rsidP="005C0D85">
      <w:pPr>
        <w:pStyle w:val="Heading4"/>
        <w:spacing w:before="240"/>
        <w:rPr>
          <w:lang w:eastAsia="ja-JP"/>
        </w:rPr>
      </w:pPr>
      <w:r w:rsidRPr="003F07B6">
        <w:rPr>
          <w:lang w:eastAsia="ja-JP"/>
        </w:rPr>
        <w:t>Expenses to be cost recovered</w:t>
      </w:r>
    </w:p>
    <w:p w14:paraId="0BB67601" w14:textId="1D2EEB8C" w:rsidR="00F70CBD" w:rsidRPr="00F70CBD" w:rsidRDefault="00F70CBD" w:rsidP="00F70CBD">
      <w:pPr>
        <w:spacing w:after="120"/>
        <w:rPr>
          <w:rFonts w:cstheme="minorHAnsi"/>
        </w:rPr>
      </w:pPr>
      <w:r w:rsidRPr="00F70CBD">
        <w:rPr>
          <w:rFonts w:cstheme="minorHAnsi"/>
        </w:rPr>
        <w:t xml:space="preserve">There are </w:t>
      </w:r>
      <w:proofErr w:type="gramStart"/>
      <w:r w:rsidRPr="00F70CBD">
        <w:rPr>
          <w:rFonts w:cstheme="minorHAnsi"/>
        </w:rPr>
        <w:t>a number of</w:t>
      </w:r>
      <w:proofErr w:type="gramEnd"/>
      <w:r w:rsidRPr="00F70CBD">
        <w:rPr>
          <w:rFonts w:cstheme="minorHAnsi"/>
        </w:rPr>
        <w:t xml:space="preserve"> inputs into our costs that make up the total value of the arrangement and the amounts to </w:t>
      </w:r>
      <w:proofErr w:type="gramStart"/>
      <w:r w:rsidRPr="00F70CBD">
        <w:rPr>
          <w:rFonts w:cstheme="minorHAnsi"/>
        </w:rPr>
        <w:t>be recovered</w:t>
      </w:r>
      <w:proofErr w:type="gramEnd"/>
      <w:r w:rsidRPr="00F70CBD">
        <w:rPr>
          <w:rFonts w:cstheme="minorHAnsi"/>
        </w:rPr>
        <w:t xml:space="preserve"> for each activity. </w:t>
      </w:r>
      <w:r w:rsidR="00012DBA" w:rsidRPr="00F70CBD">
        <w:rPr>
          <w:rFonts w:cstheme="minorHAnsi"/>
        </w:rPr>
        <w:t>Like</w:t>
      </w:r>
      <w:r w:rsidRPr="00F70CBD">
        <w:rPr>
          <w:rFonts w:cstheme="minorHAnsi"/>
        </w:rPr>
        <w:t xml:space="preserve"> most businesses, the department incurs costs for operating expenses such as:</w:t>
      </w:r>
    </w:p>
    <w:p w14:paraId="71D9CB9E" w14:textId="77777777" w:rsidR="00F70CBD" w:rsidRPr="00F70CBD" w:rsidRDefault="00F70CBD" w:rsidP="00224749">
      <w:pPr>
        <w:pStyle w:val="ListBullet"/>
      </w:pPr>
      <w:r w:rsidRPr="00F70CBD">
        <w:t>wages for APS staff</w:t>
      </w:r>
    </w:p>
    <w:p w14:paraId="4B6562A3" w14:textId="77777777" w:rsidR="00F70CBD" w:rsidRPr="00F70CBD" w:rsidRDefault="00F70CBD" w:rsidP="00224749">
      <w:pPr>
        <w:pStyle w:val="ListBullet"/>
      </w:pPr>
      <w:r w:rsidRPr="00F70CBD">
        <w:t>contractors engaged to provide specialised or short-term expertise</w:t>
      </w:r>
    </w:p>
    <w:p w14:paraId="0B85D2F9" w14:textId="11DE591E" w:rsidR="00F70CBD" w:rsidRPr="00F70CBD" w:rsidRDefault="00F70CBD" w:rsidP="00224749">
      <w:pPr>
        <w:pStyle w:val="ListBullet"/>
      </w:pPr>
      <w:r w:rsidRPr="00F70CBD">
        <w:t>supplier costs, including compulsory use of whole-of-government arrangements for certain suppliers (e.g. travel, station</w:t>
      </w:r>
      <w:r w:rsidR="003B2E59">
        <w:t>e</w:t>
      </w:r>
      <w:r w:rsidRPr="00F70CBD">
        <w:t>ry, IT equipment)</w:t>
      </w:r>
    </w:p>
    <w:p w14:paraId="27FB4013" w14:textId="77777777" w:rsidR="00F70CBD" w:rsidRPr="00F70CBD" w:rsidRDefault="00F70CBD" w:rsidP="00224749">
      <w:pPr>
        <w:pStyle w:val="ListBullet"/>
      </w:pPr>
      <w:r w:rsidRPr="00F70CBD">
        <w:t>rent on office and domestic properties</w:t>
      </w:r>
    </w:p>
    <w:p w14:paraId="6CD5D36B" w14:textId="77777777" w:rsidR="00F70CBD" w:rsidRPr="00F70CBD" w:rsidRDefault="00F70CBD" w:rsidP="00224749">
      <w:pPr>
        <w:pStyle w:val="ListBullet"/>
      </w:pPr>
      <w:r w:rsidRPr="00F70CBD">
        <w:t>depreciation on IT systems, property, plant and equipment.</w:t>
      </w:r>
    </w:p>
    <w:p w14:paraId="621CAAC0" w14:textId="0724AF5B" w:rsidR="00F70CBD" w:rsidRPr="00F70CBD" w:rsidRDefault="00F70CBD" w:rsidP="00F70CBD">
      <w:pPr>
        <w:spacing w:before="240"/>
        <w:rPr>
          <w:rFonts w:cstheme="minorHAnsi"/>
          <w:lang w:eastAsia="ja-JP"/>
        </w:rPr>
      </w:pPr>
      <w:r w:rsidRPr="00F70CBD">
        <w:rPr>
          <w:rFonts w:cstheme="minorHAnsi"/>
        </w:rPr>
        <w:t xml:space="preserve">As described in </w:t>
      </w:r>
      <w:hyperlink w:anchor="_Description_of_the" w:history="1">
        <w:r w:rsidR="00CA5C13" w:rsidRPr="00CA5C13">
          <w:rPr>
            <w:rStyle w:val="Hyperlink"/>
            <w:rFonts w:cstheme="minorHAnsi"/>
          </w:rPr>
          <w:t>section 3.3.1</w:t>
        </w:r>
      </w:hyperlink>
      <w:r w:rsidR="007E7417" w:rsidRPr="007C2F94">
        <w:rPr>
          <w:rFonts w:cstheme="minorHAnsi"/>
        </w:rPr>
        <w:t>,</w:t>
      </w:r>
      <w:r w:rsidR="007E7417">
        <w:rPr>
          <w:rFonts w:cstheme="minorHAnsi"/>
        </w:rPr>
        <w:t xml:space="preserve"> </w:t>
      </w:r>
      <w:r w:rsidRPr="00F70CBD">
        <w:rPr>
          <w:rFonts w:cstheme="minorHAnsi"/>
        </w:rPr>
        <w:t xml:space="preserve">these expenses are </w:t>
      </w:r>
      <w:r w:rsidRPr="00F70CBD">
        <w:rPr>
          <w:rFonts w:cstheme="minorHAnsi"/>
          <w:lang w:eastAsia="ja-JP"/>
        </w:rPr>
        <w:t xml:space="preserve">allocated to the activity and cost recovered </w:t>
      </w:r>
      <w:r w:rsidR="00981C43">
        <w:rPr>
          <w:rFonts w:cstheme="minorHAnsi"/>
          <w:lang w:eastAsia="ja-JP"/>
        </w:rPr>
        <w:t>program</w:t>
      </w:r>
      <w:r w:rsidRPr="00F70CBD">
        <w:rPr>
          <w:rFonts w:cstheme="minorHAnsi"/>
          <w:lang w:eastAsia="ja-JP"/>
        </w:rPr>
        <w:t xml:space="preserve"> that best reflects the activity undertaken. This forms a cost pool for that activity. Each cost pool </w:t>
      </w:r>
      <w:proofErr w:type="gramStart"/>
      <w:r w:rsidRPr="00F70CBD">
        <w:rPr>
          <w:rFonts w:cstheme="minorHAnsi"/>
          <w:lang w:eastAsia="ja-JP"/>
        </w:rPr>
        <w:t>is divided</w:t>
      </w:r>
      <w:proofErr w:type="gramEnd"/>
      <w:r w:rsidRPr="00F70CBD">
        <w:rPr>
          <w:rFonts w:cstheme="minorHAnsi"/>
          <w:lang w:eastAsia="ja-JP"/>
        </w:rPr>
        <w:t xml:space="preserve"> by the forecast volume for that activity to determine the fee or charge. The combined sum of all cost pools equals the cost to the department for undertaking regulatory activities under the arrangement. Prices are set in conjunction with the forecast volumes to recover these costs.</w:t>
      </w:r>
    </w:p>
    <w:p w14:paraId="07DD9171" w14:textId="4B1D1A18" w:rsidR="00A12B41" w:rsidRPr="00A12B41" w:rsidRDefault="00A12B41" w:rsidP="004124D1">
      <w:pPr>
        <w:keepNext/>
        <w:rPr>
          <w:rFonts w:ascii="Calibri" w:hAnsi="Calibri" w:cs="Calibri"/>
        </w:rPr>
      </w:pPr>
      <w:r w:rsidRPr="00A12B41">
        <w:rPr>
          <w:rFonts w:cstheme="minorHAnsi"/>
        </w:rPr>
        <w:lastRenderedPageBreak/>
        <w:t xml:space="preserve">The </w:t>
      </w:r>
      <w:r w:rsidR="00472697" w:rsidRPr="00981C43">
        <w:rPr>
          <w:rFonts w:cstheme="minorHAnsi"/>
        </w:rPr>
        <w:t>Biosecurity, Imported Food and Export Certification Special Account</w:t>
      </w:r>
      <w:r w:rsidR="00472697" w:rsidRPr="00A12B41">
        <w:rPr>
          <w:rFonts w:cstheme="minorHAnsi"/>
        </w:rPr>
        <w:t xml:space="preserve"> </w:t>
      </w:r>
      <w:proofErr w:type="gramStart"/>
      <w:r w:rsidRPr="00A12B41">
        <w:rPr>
          <w:rFonts w:cstheme="minorHAnsi"/>
        </w:rPr>
        <w:t>was established</w:t>
      </w:r>
      <w:proofErr w:type="gramEnd"/>
      <w:r w:rsidRPr="00A12B41">
        <w:rPr>
          <w:rFonts w:cstheme="minorHAnsi"/>
        </w:rPr>
        <w:t xml:space="preserve"> to manage the </w:t>
      </w:r>
      <w:r w:rsidR="00981C43">
        <w:rPr>
          <w:rFonts w:cstheme="minorHAnsi"/>
        </w:rPr>
        <w:t>expenses</w:t>
      </w:r>
      <w:r w:rsidRPr="00A12B41">
        <w:rPr>
          <w:rFonts w:cstheme="minorHAnsi"/>
        </w:rPr>
        <w:t xml:space="preserve"> and cost-recovered revenue for the </w:t>
      </w:r>
      <w:r w:rsidRPr="00A12B41">
        <w:rPr>
          <w:rFonts w:ascii="Calibri" w:hAnsi="Calibri" w:cs="Calibri"/>
        </w:rPr>
        <w:t>department’s provision of:</w:t>
      </w:r>
    </w:p>
    <w:p w14:paraId="5A215E96" w14:textId="77777777" w:rsidR="00A12B41" w:rsidRPr="00A12B41" w:rsidRDefault="00A12B41" w:rsidP="00F81297">
      <w:pPr>
        <w:pStyle w:val="ListBullet"/>
      </w:pPr>
      <w:r w:rsidRPr="00A12B41">
        <w:t>biosecurity, inspection and certification services for passengers, cargo, mail, animals, plants, and animal or plant products arriving in Australia</w:t>
      </w:r>
    </w:p>
    <w:p w14:paraId="4D3685B8" w14:textId="77777777" w:rsidR="00A12B41" w:rsidRDefault="00A12B41" w:rsidP="00F81297">
      <w:pPr>
        <w:pStyle w:val="ListBullet"/>
      </w:pPr>
      <w:r w:rsidRPr="00A12B41">
        <w:t>agricultural products and food exported from Australia.</w:t>
      </w:r>
    </w:p>
    <w:p w14:paraId="492D4A62" w14:textId="77777777" w:rsidR="00596E5C" w:rsidRPr="000E3F18" w:rsidRDefault="00596E5C" w:rsidP="008F7418">
      <w:pPr>
        <w:pStyle w:val="Heading4"/>
        <w:rPr>
          <w:lang w:eastAsia="ja-JP"/>
        </w:rPr>
      </w:pPr>
      <w:bookmarkStart w:id="179" w:name="_Toc168489265"/>
      <w:bookmarkStart w:id="180" w:name="_Toc168489562"/>
      <w:bookmarkStart w:id="181" w:name="_Toc168645260"/>
      <w:r w:rsidRPr="000E3F18">
        <w:rPr>
          <w:lang w:eastAsia="ja-JP"/>
        </w:rPr>
        <w:t>Volume forecasts</w:t>
      </w:r>
      <w:bookmarkEnd w:id="179"/>
      <w:bookmarkEnd w:id="180"/>
      <w:bookmarkEnd w:id="181"/>
    </w:p>
    <w:p w14:paraId="698B5C27" w14:textId="6E99E9D6" w:rsidR="00596E5C" w:rsidRPr="00596E5C" w:rsidRDefault="00596E5C" w:rsidP="00596E5C">
      <w:pPr>
        <w:rPr>
          <w:rFonts w:cstheme="minorHAnsi"/>
        </w:rPr>
      </w:pPr>
      <w:r w:rsidRPr="00596E5C">
        <w:rPr>
          <w:rFonts w:cstheme="minorHAnsi"/>
        </w:rPr>
        <w:t xml:space="preserve">There is a high correlation between forecast costs and the </w:t>
      </w:r>
      <w:r w:rsidR="00472697">
        <w:rPr>
          <w:rFonts w:cstheme="minorHAnsi"/>
        </w:rPr>
        <w:t>volume</w:t>
      </w:r>
      <w:r w:rsidRPr="00596E5C">
        <w:rPr>
          <w:rFonts w:cstheme="minorHAnsi"/>
        </w:rPr>
        <w:t xml:space="preserve"> of regulatory effort to deliver activities such as inspections, </w:t>
      </w:r>
      <w:r w:rsidR="00F81297">
        <w:rPr>
          <w:rFonts w:cstheme="minorHAnsi"/>
        </w:rPr>
        <w:t>audits</w:t>
      </w:r>
      <w:r w:rsidRPr="00596E5C">
        <w:rPr>
          <w:rFonts w:cstheme="minorHAnsi"/>
        </w:rPr>
        <w:t xml:space="preserve">, </w:t>
      </w:r>
      <w:r w:rsidR="00F81297">
        <w:rPr>
          <w:rFonts w:cstheme="minorHAnsi"/>
        </w:rPr>
        <w:t xml:space="preserve">process </w:t>
      </w:r>
      <w:r w:rsidRPr="00596E5C">
        <w:rPr>
          <w:rFonts w:cstheme="minorHAnsi"/>
        </w:rPr>
        <w:t xml:space="preserve">animal imports and </w:t>
      </w:r>
      <w:r w:rsidR="00F81297">
        <w:rPr>
          <w:rFonts w:cstheme="minorHAnsi"/>
        </w:rPr>
        <w:t xml:space="preserve">carry out </w:t>
      </w:r>
      <w:r w:rsidRPr="00596E5C">
        <w:rPr>
          <w:rFonts w:cstheme="minorHAnsi"/>
        </w:rPr>
        <w:t>associated husbandry.</w:t>
      </w:r>
    </w:p>
    <w:p w14:paraId="225B3A1B" w14:textId="1981A208" w:rsidR="00596E5C" w:rsidRDefault="00596E5C" w:rsidP="00596E5C">
      <w:pPr>
        <w:rPr>
          <w:rFonts w:cstheme="minorHAnsi"/>
        </w:rPr>
      </w:pPr>
      <w:r w:rsidRPr="00BA0A85">
        <w:rPr>
          <w:rFonts w:cstheme="minorHAnsi"/>
        </w:rPr>
        <w:t xml:space="preserve">Volumes </w:t>
      </w:r>
      <w:proofErr w:type="gramStart"/>
      <w:r w:rsidRPr="00BA0A85">
        <w:rPr>
          <w:rFonts w:cstheme="minorHAnsi"/>
        </w:rPr>
        <w:t>are derived</w:t>
      </w:r>
      <w:proofErr w:type="gramEnd"/>
      <w:r w:rsidRPr="00BA0A85">
        <w:rPr>
          <w:rFonts w:cstheme="minorHAnsi"/>
        </w:rPr>
        <w:t xml:space="preserve"> from a combination of historical trends, current work programs for audit and compliance activities, information that might </w:t>
      </w:r>
      <w:r w:rsidR="00C10B18">
        <w:rPr>
          <w:rFonts w:cstheme="minorHAnsi"/>
        </w:rPr>
        <w:t>affect</w:t>
      </w:r>
      <w:r w:rsidRPr="00BA0A85">
        <w:rPr>
          <w:rFonts w:cstheme="minorHAnsi"/>
        </w:rPr>
        <w:t xml:space="preserve"> future activity such as economic impacts on consumer spending and</w:t>
      </w:r>
      <w:r w:rsidR="008E2352" w:rsidRPr="00BA0A85">
        <w:rPr>
          <w:rFonts w:cstheme="minorHAnsi"/>
        </w:rPr>
        <w:t>,</w:t>
      </w:r>
      <w:r w:rsidR="008E2352">
        <w:rPr>
          <w:rFonts w:cstheme="minorHAnsi"/>
        </w:rPr>
        <w:t xml:space="preserve"> </w:t>
      </w:r>
      <w:r w:rsidR="003C2304" w:rsidRPr="00BA0A85">
        <w:rPr>
          <w:rFonts w:cstheme="minorHAnsi"/>
        </w:rPr>
        <w:t>where appropriate</w:t>
      </w:r>
      <w:r w:rsidR="008E2352" w:rsidRPr="00BA0A85">
        <w:rPr>
          <w:rFonts w:cstheme="minorHAnsi"/>
        </w:rPr>
        <w:t>,</w:t>
      </w:r>
      <w:r w:rsidR="003C2304" w:rsidRPr="00BA0A85">
        <w:rPr>
          <w:rFonts w:cstheme="minorHAnsi"/>
        </w:rPr>
        <w:t xml:space="preserve"> </w:t>
      </w:r>
      <w:r w:rsidRPr="00BA0A85">
        <w:rPr>
          <w:rFonts w:cstheme="minorHAnsi"/>
        </w:rPr>
        <w:t xml:space="preserve">confirmation with industry such as </w:t>
      </w:r>
      <w:r w:rsidR="003C2304" w:rsidRPr="00BA0A85">
        <w:rPr>
          <w:rFonts w:cstheme="minorHAnsi"/>
        </w:rPr>
        <w:t xml:space="preserve">volumes of </w:t>
      </w:r>
      <w:r w:rsidRPr="00BA0A85">
        <w:rPr>
          <w:rFonts w:cstheme="minorHAnsi"/>
        </w:rPr>
        <w:t>horse imports.</w:t>
      </w:r>
    </w:p>
    <w:p w14:paraId="042B9A11" w14:textId="1D31CA46" w:rsidR="00905E7D" w:rsidRPr="00905E7D" w:rsidRDefault="00905E7D" w:rsidP="00905E7D">
      <w:pPr>
        <w:rPr>
          <w:rFonts w:cstheme="minorHAnsi"/>
        </w:rPr>
      </w:pPr>
      <w:r w:rsidRPr="00905E7D">
        <w:rPr>
          <w:rFonts w:cstheme="minorHAnsi"/>
        </w:rPr>
        <w:t>Volumes for 202</w:t>
      </w:r>
      <w:r w:rsidR="00F62403">
        <w:rPr>
          <w:rFonts w:cstheme="minorHAnsi"/>
        </w:rPr>
        <w:t>5</w:t>
      </w:r>
      <w:r w:rsidRPr="00905E7D">
        <w:rPr>
          <w:rFonts w:cstheme="minorHAnsi"/>
        </w:rPr>
        <w:t>–2</w:t>
      </w:r>
      <w:r w:rsidR="00F62403">
        <w:rPr>
          <w:rFonts w:cstheme="minorHAnsi"/>
        </w:rPr>
        <w:t>6</w:t>
      </w:r>
      <w:r w:rsidRPr="00905E7D">
        <w:rPr>
          <w:rFonts w:cstheme="minorHAnsi"/>
        </w:rPr>
        <w:t xml:space="preserve"> reflect modest growth on prior years for most activities, </w:t>
      </w:r>
      <w:r w:rsidR="00F62403">
        <w:rPr>
          <w:rFonts w:cstheme="minorHAnsi"/>
        </w:rPr>
        <w:t xml:space="preserve">using the Australian Bureau of Statistics’ rise in GDP for the period September 2023 to September 2024. We also </w:t>
      </w:r>
      <w:r w:rsidRPr="00905E7D">
        <w:rPr>
          <w:rFonts w:cstheme="minorHAnsi"/>
        </w:rPr>
        <w:t>tak</w:t>
      </w:r>
      <w:r w:rsidR="00F62403">
        <w:rPr>
          <w:rFonts w:cstheme="minorHAnsi"/>
        </w:rPr>
        <w:t>e</w:t>
      </w:r>
      <w:r w:rsidRPr="00905E7D">
        <w:rPr>
          <w:rFonts w:cstheme="minorHAnsi"/>
        </w:rPr>
        <w:t xml:space="preserve"> into consideration the current Australian and global economy, interest rate trends</w:t>
      </w:r>
      <w:r w:rsidR="00F62403">
        <w:rPr>
          <w:rFonts w:cstheme="minorHAnsi"/>
        </w:rPr>
        <w:t>,</w:t>
      </w:r>
      <w:r w:rsidRPr="00905E7D">
        <w:rPr>
          <w:rFonts w:cstheme="minorHAnsi"/>
        </w:rPr>
        <w:t xml:space="preserve"> and predictions and inflationary impacts on consumers</w:t>
      </w:r>
      <w:r w:rsidR="009F48A2">
        <w:rPr>
          <w:rFonts w:cstheme="minorHAnsi"/>
        </w:rPr>
        <w:t xml:space="preserve"> </w:t>
      </w:r>
      <w:r w:rsidR="0096669E">
        <w:rPr>
          <w:rFonts w:cstheme="minorHAnsi"/>
        </w:rPr>
        <w:t>(ABS 2024)</w:t>
      </w:r>
      <w:r w:rsidRPr="00905E7D">
        <w:rPr>
          <w:rFonts w:cstheme="minorHAnsi"/>
        </w:rPr>
        <w:t>.</w:t>
      </w:r>
    </w:p>
    <w:p w14:paraId="47427A02" w14:textId="77777777" w:rsidR="00405861" w:rsidRDefault="00405861" w:rsidP="009C7C37">
      <w:pPr>
        <w:pStyle w:val="Heading3"/>
        <w:rPr>
          <w:sz w:val="36"/>
          <w:szCs w:val="36"/>
          <w:lang w:eastAsia="ja-JP"/>
        </w:rPr>
      </w:pPr>
      <w:bookmarkStart w:id="182" w:name="_Toc168489267"/>
      <w:bookmarkStart w:id="183" w:name="_Toc168489564"/>
      <w:bookmarkStart w:id="184" w:name="_Toc168645262"/>
      <w:bookmarkStart w:id="185" w:name="_Toc200115607"/>
      <w:r w:rsidRPr="009C7C37">
        <w:rPr>
          <w:sz w:val="36"/>
          <w:szCs w:val="36"/>
          <w:lang w:eastAsia="ja-JP"/>
        </w:rPr>
        <w:t>Financial performance</w:t>
      </w:r>
      <w:bookmarkEnd w:id="182"/>
      <w:bookmarkEnd w:id="183"/>
      <w:bookmarkEnd w:id="184"/>
      <w:bookmarkEnd w:id="185"/>
    </w:p>
    <w:p w14:paraId="74157928" w14:textId="7EB1F683" w:rsidR="003C2304" w:rsidRDefault="00405C3D" w:rsidP="003C2304">
      <w:pPr>
        <w:rPr>
          <w:lang w:eastAsia="ja-JP"/>
        </w:rPr>
      </w:pPr>
      <w:r w:rsidRPr="00405C3D">
        <w:rPr>
          <w:lang w:eastAsia="ja-JP"/>
        </w:rPr>
        <w:t xml:space="preserve">We consult with key industry stakeholders on financial performance indicators to assist in evaluating the performance of our regulatory charging arrangements. </w:t>
      </w:r>
      <w:r w:rsidR="00A917B2">
        <w:rPr>
          <w:lang w:eastAsia="ja-JP"/>
        </w:rPr>
        <w:fldChar w:fldCharType="begin"/>
      </w:r>
      <w:r w:rsidR="00A917B2">
        <w:rPr>
          <w:lang w:eastAsia="ja-JP"/>
        </w:rPr>
        <w:instrText xml:space="preserve"> REF _Ref193989323 \h </w:instrText>
      </w:r>
      <w:r w:rsidR="00A917B2">
        <w:rPr>
          <w:lang w:eastAsia="ja-JP"/>
        </w:rPr>
      </w:r>
      <w:r w:rsidR="00A917B2">
        <w:rPr>
          <w:lang w:eastAsia="ja-JP"/>
        </w:rPr>
        <w:fldChar w:fldCharType="separate"/>
      </w:r>
      <w:r w:rsidR="00F81297">
        <w:t xml:space="preserve">Table </w:t>
      </w:r>
      <w:r w:rsidR="00F81297">
        <w:rPr>
          <w:noProof/>
        </w:rPr>
        <w:t>8</w:t>
      </w:r>
      <w:r w:rsidR="00A917B2">
        <w:rPr>
          <w:lang w:eastAsia="ja-JP"/>
        </w:rPr>
        <w:fldChar w:fldCharType="end"/>
      </w:r>
      <w:r w:rsidR="00A917B2">
        <w:rPr>
          <w:lang w:eastAsia="ja-JP"/>
        </w:rPr>
        <w:t xml:space="preserve"> </w:t>
      </w:r>
      <w:r w:rsidRPr="00405C3D">
        <w:rPr>
          <w:lang w:eastAsia="ja-JP"/>
        </w:rPr>
        <w:t>includes financial performance of the arrangement since the 20</w:t>
      </w:r>
      <w:r w:rsidR="00472697">
        <w:rPr>
          <w:lang w:eastAsia="ja-JP"/>
        </w:rPr>
        <w:t>20</w:t>
      </w:r>
      <w:r w:rsidRPr="00405C3D">
        <w:rPr>
          <w:lang w:eastAsia="ja-JP"/>
        </w:rPr>
        <w:t>–2</w:t>
      </w:r>
      <w:r w:rsidR="00472697">
        <w:rPr>
          <w:lang w:eastAsia="ja-JP"/>
        </w:rPr>
        <w:t>1</w:t>
      </w:r>
      <w:r w:rsidRPr="00405C3D">
        <w:rPr>
          <w:lang w:eastAsia="ja-JP"/>
        </w:rPr>
        <w:t xml:space="preserve"> financial year</w:t>
      </w:r>
      <w:r>
        <w:rPr>
          <w:lang w:eastAsia="ja-JP"/>
        </w:rPr>
        <w:t>.</w:t>
      </w:r>
    </w:p>
    <w:p w14:paraId="0A27BA9A" w14:textId="62318430" w:rsidR="00405C3D" w:rsidRDefault="00A917B2" w:rsidP="00A917B2">
      <w:pPr>
        <w:pStyle w:val="Caption"/>
        <w:rPr>
          <w:lang w:eastAsia="ja-JP"/>
        </w:rPr>
      </w:pPr>
      <w:bookmarkStart w:id="186" w:name="_Ref193989323"/>
      <w:bookmarkStart w:id="187" w:name="_Toc200534248"/>
      <w:r>
        <w:t xml:space="preserve">Table </w:t>
      </w:r>
      <w:r>
        <w:fldChar w:fldCharType="begin"/>
      </w:r>
      <w:r>
        <w:instrText xml:space="preserve"> SEQ Table \* ARABIC </w:instrText>
      </w:r>
      <w:r>
        <w:fldChar w:fldCharType="separate"/>
      </w:r>
      <w:r w:rsidR="00F81297">
        <w:rPr>
          <w:noProof/>
        </w:rPr>
        <w:t>8</w:t>
      </w:r>
      <w:r>
        <w:fldChar w:fldCharType="end"/>
      </w:r>
      <w:bookmarkEnd w:id="186"/>
      <w:r>
        <w:t xml:space="preserve"> Financial performance </w:t>
      </w:r>
      <w:r w:rsidR="00472697">
        <w:t>of the</w:t>
      </w:r>
      <w:r>
        <w:t xml:space="preserve"> biosecurity cost recovery arrangement, 2020–21 to 2023–24</w:t>
      </w:r>
      <w:bookmarkEnd w:id="187"/>
    </w:p>
    <w:tbl>
      <w:tblPr>
        <w:tblStyle w:val="TableGrid"/>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1814"/>
        <w:gridCol w:w="1814"/>
        <w:gridCol w:w="1814"/>
        <w:gridCol w:w="1814"/>
        <w:gridCol w:w="1814"/>
      </w:tblGrid>
      <w:tr w:rsidR="009D73A2" w:rsidRPr="009D73A2" w14:paraId="2BE7F6D6" w14:textId="77777777" w:rsidTr="004124D1">
        <w:trPr>
          <w:cantSplit/>
          <w:tblHeader/>
        </w:trPr>
        <w:tc>
          <w:tcPr>
            <w:tcW w:w="1000" w:type="pct"/>
          </w:tcPr>
          <w:p w14:paraId="2BD8270C" w14:textId="77777777" w:rsidR="009D73A2" w:rsidRPr="004124D1" w:rsidRDefault="009D73A2" w:rsidP="008E2352">
            <w:pPr>
              <w:pStyle w:val="TableHeading"/>
            </w:pPr>
            <w:bookmarkStart w:id="188" w:name="Title_8"/>
            <w:bookmarkEnd w:id="188"/>
            <w:r w:rsidRPr="004124D1">
              <w:t>Finance element</w:t>
            </w:r>
          </w:p>
        </w:tc>
        <w:tc>
          <w:tcPr>
            <w:tcW w:w="1000" w:type="pct"/>
          </w:tcPr>
          <w:p w14:paraId="1E5EC00B" w14:textId="7A2770A9" w:rsidR="009D73A2" w:rsidRPr="004124D1" w:rsidRDefault="009D73A2" w:rsidP="008E2352">
            <w:pPr>
              <w:pStyle w:val="TableHeading"/>
              <w:jc w:val="right"/>
            </w:pPr>
            <w:r w:rsidRPr="004124D1">
              <w:t>202</w:t>
            </w:r>
            <w:r w:rsidR="0029663C" w:rsidRPr="004124D1">
              <w:t>0</w:t>
            </w:r>
            <w:r w:rsidRPr="004124D1">
              <w:t>–2</w:t>
            </w:r>
            <w:r w:rsidR="0029663C" w:rsidRPr="004124D1">
              <w:t>1</w:t>
            </w:r>
            <w:r w:rsidR="0036759C">
              <w:t xml:space="preserve"> </w:t>
            </w:r>
            <w:r w:rsidRPr="004124D1">
              <w:t>($)</w:t>
            </w:r>
          </w:p>
        </w:tc>
        <w:tc>
          <w:tcPr>
            <w:tcW w:w="1000" w:type="pct"/>
          </w:tcPr>
          <w:p w14:paraId="33FA20D1" w14:textId="6FFB76E8" w:rsidR="009D73A2" w:rsidRPr="004124D1" w:rsidRDefault="009D73A2" w:rsidP="008E2352">
            <w:pPr>
              <w:pStyle w:val="TableHeading"/>
              <w:jc w:val="right"/>
            </w:pPr>
            <w:r w:rsidRPr="004124D1">
              <w:t>202</w:t>
            </w:r>
            <w:r w:rsidR="0029663C" w:rsidRPr="004124D1">
              <w:t>1</w:t>
            </w:r>
            <w:r w:rsidRPr="004124D1">
              <w:t>–2</w:t>
            </w:r>
            <w:r w:rsidR="0029663C" w:rsidRPr="004124D1">
              <w:t>2</w:t>
            </w:r>
            <w:r w:rsidR="0036759C">
              <w:t xml:space="preserve"> </w:t>
            </w:r>
            <w:r w:rsidRPr="004124D1">
              <w:t>($)</w:t>
            </w:r>
          </w:p>
        </w:tc>
        <w:tc>
          <w:tcPr>
            <w:tcW w:w="1000" w:type="pct"/>
          </w:tcPr>
          <w:p w14:paraId="1DC9BBF5" w14:textId="43BF8CEF" w:rsidR="009D73A2" w:rsidRPr="004124D1" w:rsidRDefault="009D73A2" w:rsidP="008E2352">
            <w:pPr>
              <w:pStyle w:val="TableHeading"/>
              <w:jc w:val="right"/>
            </w:pPr>
            <w:r w:rsidRPr="004124D1">
              <w:t>202</w:t>
            </w:r>
            <w:r w:rsidR="0029663C" w:rsidRPr="004124D1">
              <w:t>2</w:t>
            </w:r>
            <w:r w:rsidRPr="004124D1">
              <w:t>–2</w:t>
            </w:r>
            <w:r w:rsidR="0029663C" w:rsidRPr="004124D1">
              <w:t>3</w:t>
            </w:r>
            <w:r w:rsidR="0036759C">
              <w:t xml:space="preserve"> </w:t>
            </w:r>
            <w:r w:rsidRPr="004124D1">
              <w:t>($)</w:t>
            </w:r>
          </w:p>
        </w:tc>
        <w:tc>
          <w:tcPr>
            <w:tcW w:w="1000" w:type="pct"/>
          </w:tcPr>
          <w:p w14:paraId="5F3C6B29" w14:textId="6C1BBF6A" w:rsidR="009D73A2" w:rsidRPr="004124D1" w:rsidRDefault="009D73A2" w:rsidP="008E2352">
            <w:pPr>
              <w:pStyle w:val="TableHeading"/>
              <w:jc w:val="right"/>
            </w:pPr>
            <w:r w:rsidRPr="004124D1">
              <w:t>202</w:t>
            </w:r>
            <w:r w:rsidR="0029663C" w:rsidRPr="004124D1">
              <w:t>3</w:t>
            </w:r>
            <w:r w:rsidRPr="004124D1">
              <w:t>–2</w:t>
            </w:r>
            <w:r w:rsidR="0029663C" w:rsidRPr="004124D1">
              <w:t>4</w:t>
            </w:r>
            <w:r w:rsidR="0036759C">
              <w:t xml:space="preserve"> </w:t>
            </w:r>
            <w:r w:rsidRPr="004124D1">
              <w:t>($)</w:t>
            </w:r>
          </w:p>
        </w:tc>
      </w:tr>
      <w:tr w:rsidR="00405C3D" w:rsidRPr="009D73A2" w14:paraId="6C73E358" w14:textId="77777777" w:rsidTr="004124D1">
        <w:tc>
          <w:tcPr>
            <w:tcW w:w="1000" w:type="pct"/>
          </w:tcPr>
          <w:p w14:paraId="7CF53BA4" w14:textId="1F33ACB7" w:rsidR="00405C3D" w:rsidRPr="009D73A2" w:rsidRDefault="00405C3D" w:rsidP="00405C3D">
            <w:pPr>
              <w:pStyle w:val="TableText"/>
              <w:rPr>
                <w:lang w:eastAsia="ja-JP"/>
              </w:rPr>
            </w:pPr>
            <w:r w:rsidRPr="00B66885">
              <w:t>Revenue = X</w:t>
            </w:r>
          </w:p>
        </w:tc>
        <w:tc>
          <w:tcPr>
            <w:tcW w:w="1000" w:type="pct"/>
          </w:tcPr>
          <w:p w14:paraId="66FE02DA" w14:textId="6793902C" w:rsidR="00405C3D" w:rsidRPr="009D73A2" w:rsidRDefault="00405C3D" w:rsidP="00405C3D">
            <w:pPr>
              <w:pStyle w:val="TableText"/>
              <w:jc w:val="right"/>
              <w:rPr>
                <w:lang w:eastAsia="ja-JP"/>
              </w:rPr>
            </w:pPr>
            <w:r w:rsidRPr="00B66885">
              <w:t>285,801,849</w:t>
            </w:r>
          </w:p>
        </w:tc>
        <w:tc>
          <w:tcPr>
            <w:tcW w:w="1000" w:type="pct"/>
          </w:tcPr>
          <w:p w14:paraId="39C06433" w14:textId="0C89DB26" w:rsidR="00405C3D" w:rsidRPr="009D73A2" w:rsidRDefault="00405C3D" w:rsidP="00405C3D">
            <w:pPr>
              <w:pStyle w:val="TableText"/>
              <w:jc w:val="right"/>
              <w:rPr>
                <w:lang w:eastAsia="ja-JP"/>
              </w:rPr>
            </w:pPr>
            <w:r w:rsidRPr="00B66885">
              <w:t>285,729,586</w:t>
            </w:r>
          </w:p>
        </w:tc>
        <w:tc>
          <w:tcPr>
            <w:tcW w:w="1000" w:type="pct"/>
          </w:tcPr>
          <w:p w14:paraId="24D0CDCC" w14:textId="31766B65" w:rsidR="00405C3D" w:rsidRPr="009D73A2" w:rsidRDefault="00405C3D" w:rsidP="00405C3D">
            <w:pPr>
              <w:pStyle w:val="TableText"/>
              <w:jc w:val="right"/>
              <w:rPr>
                <w:lang w:eastAsia="ja-JP"/>
              </w:rPr>
            </w:pPr>
            <w:r w:rsidRPr="00B66885">
              <w:t>299,676,655</w:t>
            </w:r>
          </w:p>
        </w:tc>
        <w:tc>
          <w:tcPr>
            <w:tcW w:w="1000" w:type="pct"/>
          </w:tcPr>
          <w:p w14:paraId="7973D9B5" w14:textId="356AF19E" w:rsidR="00405C3D" w:rsidRPr="009D73A2" w:rsidRDefault="00405C3D" w:rsidP="00405C3D">
            <w:pPr>
              <w:pStyle w:val="TableText"/>
              <w:jc w:val="right"/>
              <w:rPr>
                <w:lang w:eastAsia="ja-JP"/>
              </w:rPr>
            </w:pPr>
            <w:r w:rsidRPr="00B66885">
              <w:t>364</w:t>
            </w:r>
            <w:r w:rsidR="00041A02">
              <w:t>,</w:t>
            </w:r>
            <w:r w:rsidRPr="00B66885">
              <w:t>983,026</w:t>
            </w:r>
          </w:p>
        </w:tc>
      </w:tr>
      <w:tr w:rsidR="00405C3D" w:rsidRPr="009D73A2" w14:paraId="040A773F" w14:textId="77777777" w:rsidTr="004124D1">
        <w:tc>
          <w:tcPr>
            <w:tcW w:w="1000" w:type="pct"/>
          </w:tcPr>
          <w:p w14:paraId="34E5AB11" w14:textId="403846E1" w:rsidR="00405C3D" w:rsidRPr="009D73A2" w:rsidRDefault="00405C3D" w:rsidP="00405C3D">
            <w:pPr>
              <w:pStyle w:val="TableText"/>
              <w:rPr>
                <w:lang w:eastAsia="ja-JP"/>
              </w:rPr>
            </w:pPr>
            <w:r w:rsidRPr="00B66885">
              <w:t>Expenses = Y</w:t>
            </w:r>
          </w:p>
        </w:tc>
        <w:tc>
          <w:tcPr>
            <w:tcW w:w="1000" w:type="pct"/>
          </w:tcPr>
          <w:p w14:paraId="69E08E01" w14:textId="15DB292A" w:rsidR="00405C3D" w:rsidRPr="009D73A2" w:rsidRDefault="00405C3D" w:rsidP="00405C3D">
            <w:pPr>
              <w:pStyle w:val="TableText"/>
              <w:jc w:val="right"/>
              <w:rPr>
                <w:lang w:eastAsia="ja-JP"/>
              </w:rPr>
            </w:pPr>
            <w:r w:rsidRPr="00B66885">
              <w:t>276,214,706</w:t>
            </w:r>
          </w:p>
        </w:tc>
        <w:tc>
          <w:tcPr>
            <w:tcW w:w="1000" w:type="pct"/>
          </w:tcPr>
          <w:p w14:paraId="66B4AC9B" w14:textId="53688EF2" w:rsidR="00405C3D" w:rsidRPr="009D73A2" w:rsidRDefault="00405C3D" w:rsidP="00405C3D">
            <w:pPr>
              <w:pStyle w:val="TableText"/>
              <w:jc w:val="right"/>
              <w:rPr>
                <w:lang w:eastAsia="ja-JP"/>
              </w:rPr>
            </w:pPr>
            <w:r w:rsidRPr="00B66885">
              <w:t>308,868,350</w:t>
            </w:r>
          </w:p>
        </w:tc>
        <w:tc>
          <w:tcPr>
            <w:tcW w:w="1000" w:type="pct"/>
          </w:tcPr>
          <w:p w14:paraId="3C4E93E5" w14:textId="6892A9E2" w:rsidR="00405C3D" w:rsidRPr="009D73A2" w:rsidRDefault="00405C3D" w:rsidP="00405C3D">
            <w:pPr>
              <w:pStyle w:val="TableText"/>
              <w:jc w:val="right"/>
              <w:rPr>
                <w:lang w:eastAsia="ja-JP"/>
              </w:rPr>
            </w:pPr>
            <w:r w:rsidRPr="00B66885">
              <w:t>335,316,035</w:t>
            </w:r>
          </w:p>
        </w:tc>
        <w:tc>
          <w:tcPr>
            <w:tcW w:w="1000" w:type="pct"/>
          </w:tcPr>
          <w:p w14:paraId="2D8C8D03" w14:textId="66F97049" w:rsidR="00405C3D" w:rsidRPr="009D73A2" w:rsidRDefault="00405C3D" w:rsidP="00405C3D">
            <w:pPr>
              <w:pStyle w:val="TableText"/>
              <w:jc w:val="right"/>
              <w:rPr>
                <w:lang w:eastAsia="ja-JP"/>
              </w:rPr>
            </w:pPr>
            <w:r w:rsidRPr="00B66885">
              <w:t>351,165,448</w:t>
            </w:r>
          </w:p>
        </w:tc>
      </w:tr>
      <w:tr w:rsidR="00405C3D" w:rsidRPr="009D73A2" w14:paraId="1E6E5E37" w14:textId="77777777" w:rsidTr="004124D1">
        <w:tc>
          <w:tcPr>
            <w:tcW w:w="1000" w:type="pct"/>
          </w:tcPr>
          <w:p w14:paraId="208D667C" w14:textId="6FB47EA8" w:rsidR="00405C3D" w:rsidRPr="00405C3D" w:rsidRDefault="00405C3D" w:rsidP="00405C3D">
            <w:pPr>
              <w:pStyle w:val="TableText"/>
              <w:rPr>
                <w:rStyle w:val="Strong"/>
              </w:rPr>
            </w:pPr>
            <w:r w:rsidRPr="00405C3D">
              <w:rPr>
                <w:rStyle w:val="Strong"/>
              </w:rPr>
              <w:t>Balance = X</w:t>
            </w:r>
            <w:r w:rsidR="00133440">
              <w:rPr>
                <w:rStyle w:val="Strong"/>
              </w:rPr>
              <w:t xml:space="preserve"> </w:t>
            </w:r>
            <w:r w:rsidR="00133440">
              <w:rPr>
                <w:rStyle w:val="Strong"/>
                <w:rFonts w:cstheme="minorHAnsi"/>
              </w:rPr>
              <w:t xml:space="preserve">− </w:t>
            </w:r>
            <w:r w:rsidRPr="00405C3D">
              <w:rPr>
                <w:rStyle w:val="Strong"/>
              </w:rPr>
              <w:t>Y</w:t>
            </w:r>
          </w:p>
        </w:tc>
        <w:tc>
          <w:tcPr>
            <w:tcW w:w="1000" w:type="pct"/>
          </w:tcPr>
          <w:p w14:paraId="6BA1582B" w14:textId="1EC0810F" w:rsidR="00405C3D" w:rsidRPr="00405C3D" w:rsidRDefault="00405C3D" w:rsidP="00405C3D">
            <w:pPr>
              <w:pStyle w:val="TableText"/>
              <w:jc w:val="right"/>
              <w:rPr>
                <w:rStyle w:val="Strong"/>
              </w:rPr>
            </w:pPr>
            <w:r w:rsidRPr="00405C3D">
              <w:rPr>
                <w:rStyle w:val="Strong"/>
              </w:rPr>
              <w:t>9,587,143</w:t>
            </w:r>
          </w:p>
        </w:tc>
        <w:tc>
          <w:tcPr>
            <w:tcW w:w="1000" w:type="pct"/>
          </w:tcPr>
          <w:p w14:paraId="27C06182" w14:textId="6E326838" w:rsidR="00405C3D" w:rsidRPr="00405C3D" w:rsidRDefault="0036759C" w:rsidP="00405C3D">
            <w:pPr>
              <w:pStyle w:val="TableText"/>
              <w:jc w:val="right"/>
              <w:rPr>
                <w:rStyle w:val="Strong"/>
              </w:rPr>
            </w:pPr>
            <w:r>
              <w:rPr>
                <w:rStyle w:val="Strong"/>
                <w:rFonts w:cstheme="minorHAnsi"/>
              </w:rPr>
              <w:t>−</w:t>
            </w:r>
            <w:r w:rsidR="00405C3D" w:rsidRPr="00405C3D">
              <w:rPr>
                <w:rStyle w:val="Strong"/>
              </w:rPr>
              <w:t>20,138,764</w:t>
            </w:r>
          </w:p>
        </w:tc>
        <w:tc>
          <w:tcPr>
            <w:tcW w:w="1000" w:type="pct"/>
          </w:tcPr>
          <w:p w14:paraId="1A6983AF" w14:textId="722FD88E" w:rsidR="00405C3D" w:rsidRPr="00405C3D" w:rsidRDefault="0036759C" w:rsidP="00405C3D">
            <w:pPr>
              <w:pStyle w:val="TableText"/>
              <w:jc w:val="right"/>
              <w:rPr>
                <w:rStyle w:val="Strong"/>
              </w:rPr>
            </w:pPr>
            <w:r>
              <w:rPr>
                <w:rStyle w:val="Strong"/>
                <w:rFonts w:cstheme="minorHAnsi"/>
              </w:rPr>
              <w:t>−</w:t>
            </w:r>
            <w:r w:rsidR="00405C3D" w:rsidRPr="00405C3D">
              <w:rPr>
                <w:rStyle w:val="Strong"/>
              </w:rPr>
              <w:t>35,639,380</w:t>
            </w:r>
          </w:p>
        </w:tc>
        <w:tc>
          <w:tcPr>
            <w:tcW w:w="1000" w:type="pct"/>
          </w:tcPr>
          <w:p w14:paraId="5CED80AD" w14:textId="3DFC4A84" w:rsidR="00405C3D" w:rsidRPr="00405C3D" w:rsidRDefault="00405C3D" w:rsidP="00405C3D">
            <w:pPr>
              <w:pStyle w:val="TableText"/>
              <w:jc w:val="right"/>
              <w:rPr>
                <w:rStyle w:val="Strong"/>
              </w:rPr>
            </w:pPr>
            <w:r w:rsidRPr="00405C3D">
              <w:rPr>
                <w:rStyle w:val="Strong"/>
              </w:rPr>
              <w:t>13,817,578</w:t>
            </w:r>
          </w:p>
        </w:tc>
      </w:tr>
      <w:tr w:rsidR="00405C3D" w:rsidRPr="009D73A2" w14:paraId="2EEA9FEF" w14:textId="77777777" w:rsidTr="004124D1">
        <w:tc>
          <w:tcPr>
            <w:tcW w:w="1000" w:type="pct"/>
          </w:tcPr>
          <w:p w14:paraId="0B213701" w14:textId="71E8D150" w:rsidR="00405C3D" w:rsidRPr="00405C3D" w:rsidRDefault="00405C3D" w:rsidP="00405C3D">
            <w:pPr>
              <w:pStyle w:val="TableText"/>
              <w:rPr>
                <w:rStyle w:val="Strong"/>
              </w:rPr>
            </w:pPr>
            <w:r w:rsidRPr="00405C3D">
              <w:rPr>
                <w:rStyle w:val="Strong"/>
              </w:rPr>
              <w:t>Accumulated results</w:t>
            </w:r>
          </w:p>
        </w:tc>
        <w:tc>
          <w:tcPr>
            <w:tcW w:w="1000" w:type="pct"/>
          </w:tcPr>
          <w:p w14:paraId="1447DEBC" w14:textId="666DEB81" w:rsidR="00405C3D" w:rsidRPr="00405C3D" w:rsidRDefault="00405C3D" w:rsidP="00405C3D">
            <w:pPr>
              <w:pStyle w:val="TableText"/>
              <w:jc w:val="right"/>
              <w:rPr>
                <w:rStyle w:val="Strong"/>
              </w:rPr>
            </w:pPr>
            <w:r w:rsidRPr="00405C3D">
              <w:rPr>
                <w:rStyle w:val="Strong"/>
              </w:rPr>
              <w:t>35,079,533</w:t>
            </w:r>
          </w:p>
        </w:tc>
        <w:tc>
          <w:tcPr>
            <w:tcW w:w="1000" w:type="pct"/>
          </w:tcPr>
          <w:p w14:paraId="24387CB5" w14:textId="27FCBB96" w:rsidR="00405C3D" w:rsidRPr="00405C3D" w:rsidRDefault="00405C3D" w:rsidP="00405C3D">
            <w:pPr>
              <w:pStyle w:val="TableText"/>
              <w:jc w:val="right"/>
              <w:rPr>
                <w:rStyle w:val="Strong"/>
              </w:rPr>
            </w:pPr>
            <w:r w:rsidRPr="00405C3D">
              <w:rPr>
                <w:rStyle w:val="Strong"/>
              </w:rPr>
              <w:t>14,940,769</w:t>
            </w:r>
          </w:p>
        </w:tc>
        <w:tc>
          <w:tcPr>
            <w:tcW w:w="1000" w:type="pct"/>
          </w:tcPr>
          <w:p w14:paraId="2614FE40" w14:textId="67B83740" w:rsidR="00405C3D" w:rsidRPr="00405C3D" w:rsidRDefault="0036759C" w:rsidP="00405C3D">
            <w:pPr>
              <w:pStyle w:val="TableText"/>
              <w:jc w:val="right"/>
              <w:rPr>
                <w:rStyle w:val="Strong"/>
              </w:rPr>
            </w:pPr>
            <w:r>
              <w:rPr>
                <w:rStyle w:val="Strong"/>
                <w:rFonts w:cstheme="minorHAnsi"/>
              </w:rPr>
              <w:t>−</w:t>
            </w:r>
            <w:r w:rsidR="00405C3D" w:rsidRPr="00405C3D">
              <w:rPr>
                <w:rStyle w:val="Strong"/>
              </w:rPr>
              <w:t>20,698,611</w:t>
            </w:r>
          </w:p>
        </w:tc>
        <w:tc>
          <w:tcPr>
            <w:tcW w:w="1000" w:type="pct"/>
          </w:tcPr>
          <w:p w14:paraId="0E6AB691" w14:textId="354C2B8B" w:rsidR="00405C3D" w:rsidRPr="00405C3D" w:rsidRDefault="0036759C" w:rsidP="00405C3D">
            <w:pPr>
              <w:pStyle w:val="TableText"/>
              <w:jc w:val="right"/>
              <w:rPr>
                <w:rStyle w:val="Strong"/>
              </w:rPr>
            </w:pPr>
            <w:r>
              <w:rPr>
                <w:rStyle w:val="Strong"/>
                <w:rFonts w:cstheme="minorHAnsi"/>
              </w:rPr>
              <w:t>−</w:t>
            </w:r>
            <w:r w:rsidR="00405C3D" w:rsidRPr="00405C3D">
              <w:rPr>
                <w:rStyle w:val="Strong"/>
              </w:rPr>
              <w:t>6,881,033</w:t>
            </w:r>
          </w:p>
        </w:tc>
      </w:tr>
    </w:tbl>
    <w:p w14:paraId="623EA38D" w14:textId="77777777" w:rsidR="00C04B9E" w:rsidRPr="00C04B9E" w:rsidRDefault="00C04B9E" w:rsidP="00647DC7">
      <w:pPr>
        <w:pStyle w:val="Heading2"/>
      </w:pPr>
      <w:bookmarkStart w:id="189" w:name="_Toc200115608"/>
      <w:r w:rsidRPr="00C04B9E">
        <w:lastRenderedPageBreak/>
        <w:t>Non-financial performance</w:t>
      </w:r>
      <w:bookmarkEnd w:id="189"/>
    </w:p>
    <w:p w14:paraId="1815513C" w14:textId="6A6BF0C8" w:rsidR="00C04B9E" w:rsidRPr="00C04B9E" w:rsidRDefault="00C04B9E" w:rsidP="00C04B9E">
      <w:pPr>
        <w:rPr>
          <w:rFonts w:cstheme="minorHAnsi"/>
        </w:rPr>
      </w:pPr>
      <w:r w:rsidRPr="00C04B9E">
        <w:rPr>
          <w:rFonts w:cstheme="minorHAnsi"/>
        </w:rPr>
        <w:t xml:space="preserve">Our </w:t>
      </w:r>
      <w:r w:rsidR="008E2352" w:rsidRPr="004124D1">
        <w:rPr>
          <w:rStyle w:val="Emphasis"/>
        </w:rPr>
        <w:t>A</w:t>
      </w:r>
      <w:r w:rsidR="00733CEF" w:rsidRPr="004124D1">
        <w:rPr>
          <w:rStyle w:val="Emphasis"/>
        </w:rPr>
        <w:t>nnual</w:t>
      </w:r>
      <w:r w:rsidRPr="004124D1">
        <w:rPr>
          <w:rStyle w:val="Emphasis"/>
        </w:rPr>
        <w:t xml:space="preserve"> </w:t>
      </w:r>
      <w:r w:rsidR="00892619">
        <w:rPr>
          <w:rStyle w:val="Emphasis"/>
        </w:rPr>
        <w:t>r</w:t>
      </w:r>
      <w:r w:rsidRPr="004124D1">
        <w:rPr>
          <w:rStyle w:val="Emphasis"/>
        </w:rPr>
        <w:t>eport 2023</w:t>
      </w:r>
      <w:r w:rsidR="009F48A2" w:rsidRPr="004124D1">
        <w:rPr>
          <w:rStyle w:val="Emphasis"/>
        </w:rPr>
        <w:t>–</w:t>
      </w:r>
      <w:r w:rsidR="00BD0B2F" w:rsidRPr="004124D1">
        <w:rPr>
          <w:rStyle w:val="Emphasis"/>
        </w:rPr>
        <w:t>24</w:t>
      </w:r>
      <w:r w:rsidR="00BD0B2F">
        <w:rPr>
          <w:rFonts w:cstheme="minorHAnsi"/>
        </w:rPr>
        <w:t xml:space="preserve"> </w:t>
      </w:r>
      <w:r w:rsidRPr="00C04B9E">
        <w:rPr>
          <w:rFonts w:cstheme="minorHAnsi"/>
        </w:rPr>
        <w:t xml:space="preserve">provides comprehensive information on performance measures and performance results. It </w:t>
      </w:r>
      <w:proofErr w:type="gramStart"/>
      <w:r w:rsidRPr="00C04B9E">
        <w:rPr>
          <w:rFonts w:cstheme="minorHAnsi"/>
        </w:rPr>
        <w:t>is not intended</w:t>
      </w:r>
      <w:proofErr w:type="gramEnd"/>
      <w:r w:rsidRPr="00C04B9E">
        <w:rPr>
          <w:rFonts w:cstheme="minorHAnsi"/>
        </w:rPr>
        <w:t xml:space="preserve"> to duplicate the information in this document but rather to draw attention to the key objectives relevant to </w:t>
      </w:r>
      <w:r w:rsidR="00472697">
        <w:rPr>
          <w:rFonts w:cstheme="minorHAnsi"/>
        </w:rPr>
        <w:t xml:space="preserve">managing </w:t>
      </w:r>
      <w:r w:rsidRPr="00C04B9E">
        <w:rPr>
          <w:rFonts w:cstheme="minorHAnsi"/>
        </w:rPr>
        <w:t>biosecurity</w:t>
      </w:r>
      <w:r w:rsidR="00472697">
        <w:rPr>
          <w:rFonts w:cstheme="minorHAnsi"/>
        </w:rPr>
        <w:t xml:space="preserve"> risk</w:t>
      </w:r>
      <w:r w:rsidRPr="00C04B9E">
        <w:rPr>
          <w:rFonts w:cstheme="minorHAnsi"/>
        </w:rPr>
        <w:t>.</w:t>
      </w:r>
    </w:p>
    <w:p w14:paraId="04DA2BB0" w14:textId="5715C7D4" w:rsidR="00C04B9E" w:rsidRPr="00C04B9E" w:rsidRDefault="00C04B9E" w:rsidP="00C04B9E">
      <w:pPr>
        <w:rPr>
          <w:rFonts w:cstheme="minorHAnsi"/>
        </w:rPr>
      </w:pPr>
      <w:r w:rsidRPr="00C04B9E">
        <w:rPr>
          <w:rFonts w:cstheme="minorHAnsi"/>
        </w:rPr>
        <w:t xml:space="preserve">Our biosecurity objective is </w:t>
      </w:r>
      <w:r w:rsidRPr="00C04B9E">
        <w:t>to ‘strengthen our national biosecurity system to provide an appropriate level of protection to Australia’s people, our environment and economy from the biosecurity threats of today and tomorrow</w:t>
      </w:r>
      <w:r w:rsidR="002110C0" w:rsidRPr="00C04B9E">
        <w:t>.’</w:t>
      </w:r>
    </w:p>
    <w:p w14:paraId="40CABDF4" w14:textId="501A92A2" w:rsidR="00C04B9E" w:rsidRDefault="004D6AD1" w:rsidP="00C04B9E">
      <w:pPr>
        <w:rPr>
          <w:rFonts w:cstheme="minorHAnsi"/>
          <w:color w:val="165788"/>
          <w:u w:val="single"/>
        </w:rPr>
      </w:pPr>
      <w:r>
        <w:rPr>
          <w:rFonts w:cstheme="minorHAnsi"/>
          <w:highlight w:val="green"/>
        </w:rPr>
        <w:fldChar w:fldCharType="begin"/>
      </w:r>
      <w:r>
        <w:rPr>
          <w:rFonts w:cstheme="minorHAnsi"/>
        </w:rPr>
        <w:instrText xml:space="preserve"> REF _Ref193970000 \h </w:instrText>
      </w:r>
      <w:r>
        <w:rPr>
          <w:rFonts w:cstheme="minorHAnsi"/>
          <w:highlight w:val="green"/>
        </w:rPr>
      </w:r>
      <w:r>
        <w:rPr>
          <w:rFonts w:cstheme="minorHAnsi"/>
          <w:highlight w:val="green"/>
        </w:rPr>
        <w:fldChar w:fldCharType="separate"/>
      </w:r>
      <w:r>
        <w:t xml:space="preserve">Table </w:t>
      </w:r>
      <w:r>
        <w:rPr>
          <w:noProof/>
        </w:rPr>
        <w:t>9</w:t>
      </w:r>
      <w:r>
        <w:rPr>
          <w:rFonts w:cstheme="minorHAnsi"/>
          <w:highlight w:val="green"/>
        </w:rPr>
        <w:fldChar w:fldCharType="end"/>
      </w:r>
      <w:r w:rsidR="00C04B9E" w:rsidRPr="00C04B9E">
        <w:rPr>
          <w:rFonts w:cstheme="minorHAnsi"/>
        </w:rPr>
        <w:t xml:space="preserve"> provides non-financial performance indicators for the biosecurity regulatory charging arrangement, consistent with the </w:t>
      </w:r>
      <w:hyperlink r:id="rId52" w:history="1">
        <w:r w:rsidR="00C04B9E" w:rsidRPr="00C04B9E">
          <w:rPr>
            <w:rFonts w:cstheme="minorHAnsi"/>
            <w:color w:val="165788"/>
            <w:u w:val="single"/>
          </w:rPr>
          <w:t>Commonwealth Performance Framework</w:t>
        </w:r>
      </w:hyperlink>
      <w:r w:rsidR="00C04B9E" w:rsidRPr="00C04B9E">
        <w:rPr>
          <w:rFonts w:cstheme="minorHAnsi"/>
        </w:rPr>
        <w:t xml:space="preserve">. Additional detail on non-performance measures is included in the </w:t>
      </w:r>
      <w:hyperlink r:id="rId53" w:history="1">
        <w:r w:rsidR="00C04B9E" w:rsidRPr="00C04B9E">
          <w:rPr>
            <w:rFonts w:cstheme="minorHAnsi"/>
            <w:color w:val="165788"/>
            <w:u w:val="single"/>
          </w:rPr>
          <w:t>Annual report</w:t>
        </w:r>
      </w:hyperlink>
      <w:r w:rsidR="00C04B9E" w:rsidRPr="00C04B9E">
        <w:rPr>
          <w:rFonts w:cstheme="minorHAnsi"/>
        </w:rPr>
        <w:t xml:space="preserve"> and </w:t>
      </w:r>
      <w:hyperlink r:id="rId54" w:history="1">
        <w:r w:rsidR="00FD0AC1">
          <w:rPr>
            <w:rFonts w:cstheme="minorHAnsi"/>
            <w:color w:val="165788"/>
            <w:u w:val="single"/>
          </w:rPr>
          <w:t>Corporate Plan</w:t>
        </w:r>
      </w:hyperlink>
      <w:r w:rsidR="00C04B9E" w:rsidRPr="001D3FAB">
        <w:t>.</w:t>
      </w:r>
    </w:p>
    <w:p w14:paraId="1DE8F1AC" w14:textId="358CD37A" w:rsidR="00ED64DF" w:rsidRPr="00C04B9E" w:rsidRDefault="00ED64DF" w:rsidP="00ED64DF">
      <w:pPr>
        <w:pStyle w:val="Caption"/>
        <w:rPr>
          <w:rFonts w:cstheme="minorHAnsi"/>
        </w:rPr>
      </w:pPr>
      <w:bookmarkStart w:id="190" w:name="_Ref193970000"/>
      <w:bookmarkStart w:id="191" w:name="_Toc200534249"/>
      <w:r>
        <w:t xml:space="preserve">Table </w:t>
      </w:r>
      <w:r>
        <w:fldChar w:fldCharType="begin"/>
      </w:r>
      <w:r>
        <w:instrText xml:space="preserve"> SEQ Table \* ARABIC </w:instrText>
      </w:r>
      <w:r>
        <w:fldChar w:fldCharType="separate"/>
      </w:r>
      <w:r w:rsidR="004D6AD1">
        <w:rPr>
          <w:noProof/>
        </w:rPr>
        <w:t>9</w:t>
      </w:r>
      <w:r>
        <w:fldChar w:fldCharType="end"/>
      </w:r>
      <w:bookmarkEnd w:id="190"/>
      <w:r>
        <w:t xml:space="preserve"> </w:t>
      </w:r>
      <w:r w:rsidRPr="00713E88">
        <w:t>Non-financial performance measures for biosecurity arrangement, 2023</w:t>
      </w:r>
      <w:r w:rsidR="008E2352">
        <w:t>–</w:t>
      </w:r>
      <w:r w:rsidRPr="00713E88">
        <w:t>24</w:t>
      </w:r>
      <w:bookmarkEnd w:id="191"/>
    </w:p>
    <w:tbl>
      <w:tblPr>
        <w:tblStyle w:val="ABAREStableleftalign"/>
        <w:tblW w:w="4991" w:type="pct"/>
        <w:tblCellMar>
          <w:left w:w="40" w:type="dxa"/>
          <w:right w:w="40" w:type="dxa"/>
        </w:tblCellMar>
        <w:tblLook w:val="04A0" w:firstRow="1" w:lastRow="0" w:firstColumn="1" w:lastColumn="0" w:noHBand="0" w:noVBand="1"/>
      </w:tblPr>
      <w:tblGrid>
        <w:gridCol w:w="1984"/>
        <w:gridCol w:w="5103"/>
        <w:gridCol w:w="1967"/>
      </w:tblGrid>
      <w:tr w:rsidR="00F83258" w:rsidRPr="00E66900" w14:paraId="246EAE2E" w14:textId="77777777" w:rsidTr="00986BB3">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096" w:type="pct"/>
            <w:tcBorders>
              <w:top w:val="single" w:sz="4" w:space="0" w:color="auto"/>
              <w:bottom w:val="single" w:sz="4" w:space="0" w:color="auto"/>
            </w:tcBorders>
            <w:tcMar>
              <w:left w:w="108" w:type="dxa"/>
              <w:right w:w="108" w:type="dxa"/>
            </w:tcMar>
          </w:tcPr>
          <w:p w14:paraId="08D097D9" w14:textId="181E31A7" w:rsidR="00F83258" w:rsidRPr="001D3FAB" w:rsidRDefault="00F83258" w:rsidP="001D3FAB">
            <w:pPr>
              <w:pStyle w:val="TableHeading"/>
              <w:rPr>
                <w:rStyle w:val="Strong"/>
                <w:b/>
                <w:bCs w:val="0"/>
              </w:rPr>
            </w:pPr>
            <w:bookmarkStart w:id="192" w:name="Table_9"/>
            <w:bookmarkEnd w:id="192"/>
            <w:r w:rsidRPr="00FD0AC1">
              <w:rPr>
                <w:rStyle w:val="Strong"/>
                <w:b/>
                <w:bCs w:val="0"/>
              </w:rPr>
              <w:t xml:space="preserve">Performance </w:t>
            </w:r>
            <w:r w:rsidR="0080648B" w:rsidRPr="00FD0AC1">
              <w:rPr>
                <w:rStyle w:val="Strong"/>
                <w:b/>
                <w:bCs w:val="0"/>
              </w:rPr>
              <w:t>measure</w:t>
            </w:r>
          </w:p>
        </w:tc>
        <w:tc>
          <w:tcPr>
            <w:tcW w:w="2818" w:type="pct"/>
            <w:tcBorders>
              <w:top w:val="single" w:sz="4" w:space="0" w:color="auto"/>
              <w:bottom w:val="single" w:sz="4" w:space="0" w:color="auto"/>
            </w:tcBorders>
            <w:tcMar>
              <w:left w:w="108" w:type="dxa"/>
              <w:right w:w="108" w:type="dxa"/>
            </w:tcMar>
          </w:tcPr>
          <w:p w14:paraId="455E0778" w14:textId="14F22D44" w:rsidR="00F83258" w:rsidRPr="00FD0AC1" w:rsidRDefault="0020383C" w:rsidP="001D3FAB">
            <w:pPr>
              <w:pStyle w:val="TableHeading"/>
              <w:cnfStyle w:val="100000000000" w:firstRow="1" w:lastRow="0" w:firstColumn="0" w:lastColumn="0" w:oddVBand="0" w:evenVBand="0" w:oddHBand="0" w:evenHBand="0" w:firstRowFirstColumn="0" w:firstRowLastColumn="0" w:lastRowFirstColumn="0" w:lastRowLastColumn="0"/>
              <w:rPr>
                <w:rStyle w:val="Strong"/>
                <w:bCs w:val="0"/>
              </w:rPr>
            </w:pPr>
            <w:r w:rsidRPr="00FD0AC1">
              <w:rPr>
                <w:rStyle w:val="Strong"/>
                <w:b/>
                <w:bCs w:val="0"/>
              </w:rPr>
              <w:t>Measure description</w:t>
            </w:r>
          </w:p>
        </w:tc>
        <w:tc>
          <w:tcPr>
            <w:tcW w:w="1086" w:type="pct"/>
            <w:tcBorders>
              <w:top w:val="single" w:sz="4" w:space="0" w:color="auto"/>
              <w:bottom w:val="single" w:sz="4" w:space="0" w:color="auto"/>
            </w:tcBorders>
            <w:tcMar>
              <w:left w:w="108" w:type="dxa"/>
              <w:right w:w="108" w:type="dxa"/>
            </w:tcMar>
          </w:tcPr>
          <w:p w14:paraId="435163CE" w14:textId="154C7875" w:rsidR="00F83258" w:rsidRPr="00FD0AC1" w:rsidRDefault="00F83258" w:rsidP="00FD0AC1">
            <w:pPr>
              <w:pStyle w:val="TableHeading"/>
              <w:cnfStyle w:val="100000000000" w:firstRow="1" w:lastRow="0" w:firstColumn="0" w:lastColumn="0" w:oddVBand="0" w:evenVBand="0" w:oddHBand="0" w:evenHBand="0" w:firstRowFirstColumn="0" w:firstRowLastColumn="0" w:lastRowFirstColumn="0" w:lastRowLastColumn="0"/>
              <w:rPr>
                <w:rStyle w:val="Strong"/>
                <w:b/>
                <w:bCs w:val="0"/>
              </w:rPr>
            </w:pPr>
            <w:r w:rsidRPr="00FD0AC1">
              <w:rPr>
                <w:rStyle w:val="Strong"/>
                <w:b/>
                <w:bCs w:val="0"/>
              </w:rPr>
              <w:t>202</w:t>
            </w:r>
            <w:r w:rsidR="002110C0" w:rsidRPr="00FD0AC1">
              <w:rPr>
                <w:rStyle w:val="Strong"/>
                <w:b/>
                <w:bCs w:val="0"/>
              </w:rPr>
              <w:t>3</w:t>
            </w:r>
            <w:r w:rsidRPr="00FD0AC1">
              <w:rPr>
                <w:rStyle w:val="Strong"/>
                <w:b/>
                <w:bCs w:val="0"/>
              </w:rPr>
              <w:t>–2</w:t>
            </w:r>
            <w:r w:rsidR="002110C0" w:rsidRPr="00FD0AC1">
              <w:rPr>
                <w:rStyle w:val="Strong"/>
                <w:b/>
                <w:bCs w:val="0"/>
              </w:rPr>
              <w:t>4</w:t>
            </w:r>
            <w:r w:rsidRPr="00FD0AC1">
              <w:rPr>
                <w:rStyle w:val="Strong"/>
                <w:b/>
                <w:bCs w:val="0"/>
              </w:rPr>
              <w:t xml:space="preserve"> performance</w:t>
            </w:r>
          </w:p>
        </w:tc>
      </w:tr>
      <w:tr w:rsidR="00FE5B62" w:rsidRPr="00E66900" w14:paraId="469C7CA3" w14:textId="77777777" w:rsidTr="001D3FAB">
        <w:tc>
          <w:tcPr>
            <w:cnfStyle w:val="001000000000" w:firstRow="0" w:lastRow="0" w:firstColumn="1" w:lastColumn="0" w:oddVBand="0" w:evenVBand="0" w:oddHBand="0" w:evenHBand="0" w:firstRowFirstColumn="0" w:firstRowLastColumn="0" w:lastRowFirstColumn="0" w:lastRowLastColumn="0"/>
            <w:tcW w:w="1096" w:type="pct"/>
            <w:tcBorders>
              <w:top w:val="single" w:sz="4" w:space="0" w:color="auto"/>
            </w:tcBorders>
            <w:tcMar>
              <w:left w:w="108" w:type="dxa"/>
              <w:right w:w="108" w:type="dxa"/>
            </w:tcMar>
          </w:tcPr>
          <w:p w14:paraId="7A4EB66F" w14:textId="38F36818" w:rsidR="00FE5B62" w:rsidRPr="001B47A7" w:rsidRDefault="00FE5B62" w:rsidP="001B47A7">
            <w:pPr>
              <w:pStyle w:val="TableText"/>
            </w:pPr>
            <w:r w:rsidRPr="001B47A7">
              <w:t>BI-01-</w:t>
            </w:r>
            <w:r w:rsidR="0009379C" w:rsidRPr="001B47A7">
              <w:t>01</w:t>
            </w:r>
          </w:p>
        </w:tc>
        <w:tc>
          <w:tcPr>
            <w:tcW w:w="2818" w:type="pct"/>
            <w:tcBorders>
              <w:top w:val="single" w:sz="4" w:space="0" w:color="auto"/>
              <w:bottom w:val="single" w:sz="4" w:space="0" w:color="auto"/>
            </w:tcBorders>
            <w:tcMar>
              <w:left w:w="108" w:type="dxa"/>
              <w:right w:w="108" w:type="dxa"/>
            </w:tcMar>
          </w:tcPr>
          <w:p w14:paraId="38B9C001" w14:textId="6AFEAB7F" w:rsidR="00FE5B62" w:rsidRPr="001B47A7" w:rsidRDefault="00FE5B62" w:rsidP="001B47A7">
            <w:pPr>
              <w:pStyle w:val="TableText"/>
              <w:cnfStyle w:val="000000000000" w:firstRow="0" w:lastRow="0" w:firstColumn="0" w:lastColumn="0" w:oddVBand="0" w:evenVBand="0" w:oddHBand="0" w:evenHBand="0" w:firstRowFirstColumn="0" w:firstRowLastColumn="0" w:lastRowFirstColumn="0" w:lastRowLastColumn="0"/>
            </w:pPr>
            <w:r w:rsidRPr="001B47A7">
              <w:t>Reduced levels of non-compliance with regulations administered by the department</w:t>
            </w:r>
          </w:p>
        </w:tc>
        <w:tc>
          <w:tcPr>
            <w:tcW w:w="1086" w:type="pct"/>
            <w:tcBorders>
              <w:top w:val="single" w:sz="4" w:space="0" w:color="auto"/>
              <w:bottom w:val="single" w:sz="4" w:space="0" w:color="auto"/>
            </w:tcBorders>
            <w:tcMar>
              <w:left w:w="108" w:type="dxa"/>
              <w:right w:w="108" w:type="dxa"/>
            </w:tcMar>
          </w:tcPr>
          <w:p w14:paraId="4907AD9F" w14:textId="65A2D32D" w:rsidR="00FE5B62" w:rsidRPr="001B47A7" w:rsidRDefault="00FE5B62" w:rsidP="001B47A7">
            <w:pPr>
              <w:pStyle w:val="TableText"/>
              <w:cnfStyle w:val="000000000000" w:firstRow="0" w:lastRow="0" w:firstColumn="0" w:lastColumn="0" w:oddVBand="0" w:evenVBand="0" w:oddHBand="0" w:evenHBand="0" w:firstRowFirstColumn="0" w:firstRowLastColumn="0" w:lastRowFirstColumn="0" w:lastRowLastColumn="0"/>
            </w:pPr>
            <w:r w:rsidRPr="001B47A7">
              <w:t>Achieved</w:t>
            </w:r>
          </w:p>
        </w:tc>
      </w:tr>
      <w:tr w:rsidR="0080648B" w:rsidRPr="00E66900" w14:paraId="06CDCA94" w14:textId="77777777" w:rsidTr="001D3FAB">
        <w:tc>
          <w:tcPr>
            <w:cnfStyle w:val="001000000000" w:firstRow="0" w:lastRow="0" w:firstColumn="1" w:lastColumn="0" w:oddVBand="0" w:evenVBand="0" w:oddHBand="0" w:evenHBand="0" w:firstRowFirstColumn="0" w:firstRowLastColumn="0" w:lastRowFirstColumn="0" w:lastRowLastColumn="0"/>
            <w:tcW w:w="1096" w:type="pct"/>
            <w:tcBorders>
              <w:top w:val="single" w:sz="4" w:space="0" w:color="auto"/>
            </w:tcBorders>
            <w:tcMar>
              <w:left w:w="108" w:type="dxa"/>
              <w:right w:w="108" w:type="dxa"/>
            </w:tcMar>
          </w:tcPr>
          <w:p w14:paraId="17C8EC15" w14:textId="34F93002" w:rsidR="0080648B" w:rsidRPr="001B47A7" w:rsidRDefault="0080648B" w:rsidP="001B47A7">
            <w:pPr>
              <w:pStyle w:val="TableText"/>
            </w:pPr>
            <w:r w:rsidRPr="001B47A7">
              <w:t>BI-01-02</w:t>
            </w:r>
          </w:p>
        </w:tc>
        <w:tc>
          <w:tcPr>
            <w:tcW w:w="2818" w:type="pct"/>
            <w:tcBorders>
              <w:top w:val="single" w:sz="4" w:space="0" w:color="auto"/>
              <w:bottom w:val="single" w:sz="4" w:space="0" w:color="auto"/>
            </w:tcBorders>
            <w:tcMar>
              <w:left w:w="108" w:type="dxa"/>
              <w:right w:w="108" w:type="dxa"/>
            </w:tcMar>
          </w:tcPr>
          <w:p w14:paraId="12159781" w14:textId="352D4313" w:rsidR="0080648B" w:rsidRPr="001B47A7" w:rsidRDefault="0009379C" w:rsidP="00A917B2">
            <w:pPr>
              <w:pStyle w:val="TableText"/>
              <w:cnfStyle w:val="000000000000" w:firstRow="0" w:lastRow="0" w:firstColumn="0" w:lastColumn="0" w:oddVBand="0" w:evenVBand="0" w:oddHBand="0" w:evenHBand="0" w:firstRowFirstColumn="0" w:firstRowLastColumn="0" w:lastRowFirstColumn="0" w:lastRowLastColumn="0"/>
            </w:pPr>
            <w:r w:rsidRPr="001B47A7">
              <w:t>Reduced levels of non-compliance with regulations that apply to approved</w:t>
            </w:r>
            <w:r w:rsidR="00A917B2">
              <w:t xml:space="preserve"> </w:t>
            </w:r>
            <w:r w:rsidRPr="001B47A7">
              <w:t>arrangements</w:t>
            </w:r>
          </w:p>
        </w:tc>
        <w:tc>
          <w:tcPr>
            <w:tcW w:w="1086" w:type="pct"/>
            <w:tcBorders>
              <w:top w:val="single" w:sz="4" w:space="0" w:color="auto"/>
              <w:bottom w:val="single" w:sz="4" w:space="0" w:color="auto"/>
            </w:tcBorders>
            <w:tcMar>
              <w:left w:w="108" w:type="dxa"/>
              <w:right w:w="108" w:type="dxa"/>
            </w:tcMar>
          </w:tcPr>
          <w:p w14:paraId="6161FA57" w14:textId="53B3093E" w:rsidR="0080648B" w:rsidRPr="001B47A7" w:rsidRDefault="00561F5C" w:rsidP="001B47A7">
            <w:pPr>
              <w:pStyle w:val="TableText"/>
              <w:cnfStyle w:val="000000000000" w:firstRow="0" w:lastRow="0" w:firstColumn="0" w:lastColumn="0" w:oddVBand="0" w:evenVBand="0" w:oddHBand="0" w:evenHBand="0" w:firstRowFirstColumn="0" w:firstRowLastColumn="0" w:lastRowFirstColumn="0" w:lastRowLastColumn="0"/>
            </w:pPr>
            <w:r w:rsidRPr="001B47A7">
              <w:t>A</w:t>
            </w:r>
            <w:r w:rsidR="0009379C" w:rsidRPr="001B47A7">
              <w:t>chieved</w:t>
            </w:r>
          </w:p>
        </w:tc>
      </w:tr>
      <w:tr w:rsidR="0009379C" w:rsidRPr="00E66900" w14:paraId="063CA677" w14:textId="77777777" w:rsidTr="001D3FAB">
        <w:tc>
          <w:tcPr>
            <w:cnfStyle w:val="001000000000" w:firstRow="0" w:lastRow="0" w:firstColumn="1" w:lastColumn="0" w:oddVBand="0" w:evenVBand="0" w:oddHBand="0" w:evenHBand="0" w:firstRowFirstColumn="0" w:firstRowLastColumn="0" w:lastRowFirstColumn="0" w:lastRowLastColumn="0"/>
            <w:tcW w:w="1096" w:type="pct"/>
            <w:tcBorders>
              <w:top w:val="single" w:sz="4" w:space="0" w:color="auto"/>
            </w:tcBorders>
            <w:tcMar>
              <w:left w:w="108" w:type="dxa"/>
              <w:right w:w="108" w:type="dxa"/>
            </w:tcMar>
          </w:tcPr>
          <w:p w14:paraId="51F78185" w14:textId="51930145" w:rsidR="0009379C" w:rsidRPr="001B47A7" w:rsidRDefault="0009379C" w:rsidP="001B47A7">
            <w:pPr>
              <w:pStyle w:val="TableText"/>
            </w:pPr>
            <w:r w:rsidRPr="001B47A7">
              <w:t>BI-01-03</w:t>
            </w:r>
          </w:p>
        </w:tc>
        <w:tc>
          <w:tcPr>
            <w:tcW w:w="2818" w:type="pct"/>
            <w:tcBorders>
              <w:top w:val="single" w:sz="4" w:space="0" w:color="auto"/>
              <w:bottom w:val="single" w:sz="4" w:space="0" w:color="auto"/>
            </w:tcBorders>
            <w:tcMar>
              <w:left w:w="108" w:type="dxa"/>
              <w:right w:w="108" w:type="dxa"/>
            </w:tcMar>
          </w:tcPr>
          <w:p w14:paraId="1F30B62B" w14:textId="6B581A8E" w:rsidR="0009379C" w:rsidRPr="001B47A7" w:rsidRDefault="0009379C" w:rsidP="00A917B2">
            <w:pPr>
              <w:pStyle w:val="TableText"/>
              <w:cnfStyle w:val="000000000000" w:firstRow="0" w:lastRow="0" w:firstColumn="0" w:lastColumn="0" w:oddVBand="0" w:evenVBand="0" w:oddHBand="0" w:evenHBand="0" w:firstRowFirstColumn="0" w:firstRowLastColumn="0" w:lastRowFirstColumn="0" w:lastRowLastColumn="0"/>
            </w:pPr>
            <w:r w:rsidRPr="001B47A7">
              <w:t>Reduced levels of non-compliance with regulations that apply to international</w:t>
            </w:r>
            <w:r w:rsidR="00A917B2">
              <w:t xml:space="preserve"> </w:t>
            </w:r>
            <w:r w:rsidRPr="001B47A7">
              <w:t>travellers.</w:t>
            </w:r>
          </w:p>
        </w:tc>
        <w:tc>
          <w:tcPr>
            <w:tcW w:w="1086" w:type="pct"/>
            <w:tcBorders>
              <w:top w:val="single" w:sz="4" w:space="0" w:color="auto"/>
              <w:bottom w:val="single" w:sz="4" w:space="0" w:color="auto"/>
            </w:tcBorders>
            <w:tcMar>
              <w:left w:w="108" w:type="dxa"/>
              <w:right w:w="108" w:type="dxa"/>
            </w:tcMar>
          </w:tcPr>
          <w:p w14:paraId="2AC943D9" w14:textId="38DBC8BF" w:rsidR="0009379C" w:rsidRPr="001B47A7" w:rsidRDefault="0009379C" w:rsidP="001B47A7">
            <w:pPr>
              <w:pStyle w:val="TableText"/>
              <w:cnfStyle w:val="000000000000" w:firstRow="0" w:lastRow="0" w:firstColumn="0" w:lastColumn="0" w:oddVBand="0" w:evenVBand="0" w:oddHBand="0" w:evenHBand="0" w:firstRowFirstColumn="0" w:firstRowLastColumn="0" w:lastRowFirstColumn="0" w:lastRowLastColumn="0"/>
            </w:pPr>
            <w:r w:rsidRPr="001B47A7">
              <w:t>Achieved</w:t>
            </w:r>
          </w:p>
        </w:tc>
      </w:tr>
      <w:tr w:rsidR="0009379C" w:rsidRPr="00E66900" w14:paraId="0F98B62F" w14:textId="77777777" w:rsidTr="001D3FAB">
        <w:tc>
          <w:tcPr>
            <w:cnfStyle w:val="001000000000" w:firstRow="0" w:lastRow="0" w:firstColumn="1" w:lastColumn="0" w:oddVBand="0" w:evenVBand="0" w:oddHBand="0" w:evenHBand="0" w:firstRowFirstColumn="0" w:firstRowLastColumn="0" w:lastRowFirstColumn="0" w:lastRowLastColumn="0"/>
            <w:tcW w:w="1096" w:type="pct"/>
            <w:tcBorders>
              <w:top w:val="single" w:sz="4" w:space="0" w:color="auto"/>
            </w:tcBorders>
            <w:tcMar>
              <w:left w:w="108" w:type="dxa"/>
              <w:right w:w="108" w:type="dxa"/>
            </w:tcMar>
          </w:tcPr>
          <w:p w14:paraId="1D33A641" w14:textId="43C8B3C0" w:rsidR="0009379C" w:rsidRPr="001B47A7" w:rsidRDefault="00561F5C" w:rsidP="001B47A7">
            <w:pPr>
              <w:pStyle w:val="TableText"/>
            </w:pPr>
            <w:r w:rsidRPr="001B47A7">
              <w:t>BI-02</w:t>
            </w:r>
          </w:p>
        </w:tc>
        <w:tc>
          <w:tcPr>
            <w:tcW w:w="2818" w:type="pct"/>
            <w:tcBorders>
              <w:top w:val="single" w:sz="4" w:space="0" w:color="auto"/>
              <w:bottom w:val="single" w:sz="4" w:space="0" w:color="auto"/>
            </w:tcBorders>
            <w:tcMar>
              <w:left w:w="108" w:type="dxa"/>
              <w:right w:w="108" w:type="dxa"/>
            </w:tcMar>
          </w:tcPr>
          <w:p w14:paraId="617DBB7E" w14:textId="466AAA18" w:rsidR="0009379C" w:rsidRPr="001B47A7" w:rsidRDefault="00561F5C" w:rsidP="001B47A7">
            <w:pPr>
              <w:pStyle w:val="TableText"/>
              <w:cnfStyle w:val="000000000000" w:firstRow="0" w:lastRow="0" w:firstColumn="0" w:lastColumn="0" w:oddVBand="0" w:evenVBand="0" w:oddHBand="0" w:evenHBand="0" w:firstRowFirstColumn="0" w:firstRowLastColumn="0" w:lastRowFirstColumn="0" w:lastRowLastColumn="0"/>
            </w:pPr>
            <w:r w:rsidRPr="001B47A7">
              <w:t xml:space="preserve">Biosecurity service standards </w:t>
            </w:r>
            <w:proofErr w:type="gramStart"/>
            <w:r w:rsidRPr="001B47A7">
              <w:t>are met</w:t>
            </w:r>
            <w:proofErr w:type="gramEnd"/>
            <w:r w:rsidRPr="001B47A7">
              <w:t>.</w:t>
            </w:r>
          </w:p>
        </w:tc>
        <w:tc>
          <w:tcPr>
            <w:tcW w:w="1086" w:type="pct"/>
            <w:tcBorders>
              <w:top w:val="single" w:sz="4" w:space="0" w:color="auto"/>
              <w:bottom w:val="single" w:sz="4" w:space="0" w:color="auto"/>
            </w:tcBorders>
            <w:tcMar>
              <w:left w:w="108" w:type="dxa"/>
              <w:right w:w="108" w:type="dxa"/>
            </w:tcMar>
          </w:tcPr>
          <w:p w14:paraId="2F8EAD3C" w14:textId="7A3C17EF" w:rsidR="0009379C" w:rsidRPr="001B47A7" w:rsidRDefault="00561F5C" w:rsidP="001B47A7">
            <w:pPr>
              <w:pStyle w:val="TableText"/>
              <w:cnfStyle w:val="000000000000" w:firstRow="0" w:lastRow="0" w:firstColumn="0" w:lastColumn="0" w:oddVBand="0" w:evenVBand="0" w:oddHBand="0" w:evenHBand="0" w:firstRowFirstColumn="0" w:firstRowLastColumn="0" w:lastRowFirstColumn="0" w:lastRowLastColumn="0"/>
            </w:pPr>
            <w:r w:rsidRPr="001B47A7">
              <w:t>Partially achieved</w:t>
            </w:r>
          </w:p>
        </w:tc>
      </w:tr>
      <w:tr w:rsidR="00F83258" w:rsidRPr="00E66900" w14:paraId="5AE6D5C0" w14:textId="77777777" w:rsidTr="001D3FAB">
        <w:tc>
          <w:tcPr>
            <w:cnfStyle w:val="001000000000" w:firstRow="0" w:lastRow="0" w:firstColumn="1" w:lastColumn="0" w:oddVBand="0" w:evenVBand="0" w:oddHBand="0" w:evenHBand="0" w:firstRowFirstColumn="0" w:firstRowLastColumn="0" w:lastRowFirstColumn="0" w:lastRowLastColumn="0"/>
            <w:tcW w:w="1096" w:type="pct"/>
            <w:tcBorders>
              <w:top w:val="single" w:sz="4" w:space="0" w:color="auto"/>
              <w:bottom w:val="nil"/>
            </w:tcBorders>
            <w:tcMar>
              <w:left w:w="108" w:type="dxa"/>
              <w:right w:w="108" w:type="dxa"/>
            </w:tcMar>
          </w:tcPr>
          <w:p w14:paraId="3980468D" w14:textId="61E0BC60" w:rsidR="00F83258" w:rsidRPr="001B47A7" w:rsidRDefault="00561F5C" w:rsidP="001B47A7">
            <w:pPr>
              <w:pStyle w:val="TableText"/>
            </w:pPr>
            <w:r w:rsidRPr="001B47A7">
              <w:t>BI-03</w:t>
            </w:r>
          </w:p>
        </w:tc>
        <w:tc>
          <w:tcPr>
            <w:tcW w:w="2818" w:type="pct"/>
            <w:tcBorders>
              <w:top w:val="single" w:sz="4" w:space="0" w:color="auto"/>
              <w:bottom w:val="single" w:sz="4" w:space="0" w:color="auto"/>
            </w:tcBorders>
            <w:tcMar>
              <w:left w:w="108" w:type="dxa"/>
              <w:right w:w="108" w:type="dxa"/>
            </w:tcMar>
          </w:tcPr>
          <w:p w14:paraId="091F71C2" w14:textId="610F5299" w:rsidR="00F83258" w:rsidRPr="001B47A7" w:rsidRDefault="00561F5C" w:rsidP="00AE7F0B">
            <w:pPr>
              <w:pStyle w:val="TableText"/>
              <w:cnfStyle w:val="000000000000" w:firstRow="0" w:lastRow="0" w:firstColumn="0" w:lastColumn="0" w:oddVBand="0" w:evenVBand="0" w:oddHBand="0" w:evenHBand="0" w:firstRowFirstColumn="0" w:firstRowLastColumn="0" w:lastRowFirstColumn="0" w:lastRowLastColumn="0"/>
            </w:pPr>
            <w:r w:rsidRPr="001B47A7">
              <w:t>Risk assessments completed in the development of import policy and regulation</w:t>
            </w:r>
            <w:r w:rsidR="00AE7F0B">
              <w:t xml:space="preserve"> </w:t>
            </w:r>
            <w:r w:rsidRPr="001B47A7">
              <w:t>of biosecurity risks on imported goods.</w:t>
            </w:r>
          </w:p>
        </w:tc>
        <w:tc>
          <w:tcPr>
            <w:tcW w:w="1086" w:type="pct"/>
            <w:tcBorders>
              <w:top w:val="single" w:sz="4" w:space="0" w:color="auto"/>
              <w:bottom w:val="single" w:sz="4" w:space="0" w:color="auto"/>
            </w:tcBorders>
            <w:tcMar>
              <w:left w:w="108" w:type="dxa"/>
              <w:right w:w="108" w:type="dxa"/>
            </w:tcMar>
          </w:tcPr>
          <w:p w14:paraId="165BCD7C" w14:textId="199510CF" w:rsidR="00F83258" w:rsidRPr="001B47A7" w:rsidRDefault="00561F5C" w:rsidP="001B47A7">
            <w:pPr>
              <w:pStyle w:val="TableText"/>
              <w:cnfStyle w:val="000000000000" w:firstRow="0" w:lastRow="0" w:firstColumn="0" w:lastColumn="0" w:oddVBand="0" w:evenVBand="0" w:oddHBand="0" w:evenHBand="0" w:firstRowFirstColumn="0" w:firstRowLastColumn="0" w:lastRowFirstColumn="0" w:lastRowLastColumn="0"/>
            </w:pPr>
            <w:r w:rsidRPr="001B47A7">
              <w:t>Achieved</w:t>
            </w:r>
          </w:p>
        </w:tc>
      </w:tr>
      <w:tr w:rsidR="00561F5C" w:rsidRPr="00E66900" w14:paraId="118131D2" w14:textId="77777777" w:rsidTr="001D3FAB">
        <w:tc>
          <w:tcPr>
            <w:cnfStyle w:val="001000000000" w:firstRow="0" w:lastRow="0" w:firstColumn="1" w:lastColumn="0" w:oddVBand="0" w:evenVBand="0" w:oddHBand="0" w:evenHBand="0" w:firstRowFirstColumn="0" w:firstRowLastColumn="0" w:lastRowFirstColumn="0" w:lastRowLastColumn="0"/>
            <w:tcW w:w="1096" w:type="pct"/>
            <w:tcBorders>
              <w:top w:val="single" w:sz="4" w:space="0" w:color="auto"/>
              <w:bottom w:val="nil"/>
            </w:tcBorders>
            <w:tcMar>
              <w:left w:w="108" w:type="dxa"/>
              <w:right w:w="108" w:type="dxa"/>
            </w:tcMar>
          </w:tcPr>
          <w:p w14:paraId="6A659B56" w14:textId="39E8233A" w:rsidR="00561F5C" w:rsidRPr="001B47A7" w:rsidRDefault="00561F5C" w:rsidP="001B47A7">
            <w:pPr>
              <w:pStyle w:val="TableText"/>
            </w:pPr>
            <w:r w:rsidRPr="001B47A7">
              <w:t>BI-04</w:t>
            </w:r>
          </w:p>
        </w:tc>
        <w:tc>
          <w:tcPr>
            <w:tcW w:w="2818" w:type="pct"/>
            <w:tcBorders>
              <w:top w:val="single" w:sz="4" w:space="0" w:color="auto"/>
              <w:bottom w:val="single" w:sz="4" w:space="0" w:color="auto"/>
            </w:tcBorders>
            <w:tcMar>
              <w:left w:w="108" w:type="dxa"/>
              <w:right w:w="108" w:type="dxa"/>
            </w:tcMar>
          </w:tcPr>
          <w:p w14:paraId="57052D59" w14:textId="72F04B3F" w:rsidR="00561F5C" w:rsidRPr="001B47A7" w:rsidRDefault="00561F5C" w:rsidP="001B47A7">
            <w:pPr>
              <w:pStyle w:val="TableText"/>
              <w:cnfStyle w:val="000000000000" w:firstRow="0" w:lastRow="0" w:firstColumn="0" w:lastColumn="0" w:oddVBand="0" w:evenVBand="0" w:oddHBand="0" w:evenHBand="0" w:firstRowFirstColumn="0" w:firstRowLastColumn="0" w:lastRowFirstColumn="0" w:lastRowLastColumn="0"/>
            </w:pPr>
            <w:r w:rsidRPr="001B47A7">
              <w:t xml:space="preserve">Number of consignments of imported goods with khapra beetle detections </w:t>
            </w:r>
            <w:proofErr w:type="gramStart"/>
            <w:r w:rsidRPr="001B47A7">
              <w:t>is reduced</w:t>
            </w:r>
            <w:proofErr w:type="gramEnd"/>
            <w:r w:rsidRPr="001B47A7">
              <w:t xml:space="preserve"> </w:t>
            </w:r>
            <w:proofErr w:type="gramStart"/>
            <w:r w:rsidRPr="001B47A7">
              <w:t>as a result of</w:t>
            </w:r>
            <w:proofErr w:type="gramEnd"/>
            <w:r w:rsidRPr="001B47A7">
              <w:t xml:space="preserve"> biosecurity measures implemented by the department.</w:t>
            </w:r>
          </w:p>
        </w:tc>
        <w:tc>
          <w:tcPr>
            <w:tcW w:w="1086" w:type="pct"/>
            <w:tcBorders>
              <w:top w:val="single" w:sz="4" w:space="0" w:color="auto"/>
              <w:bottom w:val="single" w:sz="4" w:space="0" w:color="auto"/>
            </w:tcBorders>
            <w:tcMar>
              <w:left w:w="108" w:type="dxa"/>
              <w:right w:w="108" w:type="dxa"/>
            </w:tcMar>
          </w:tcPr>
          <w:p w14:paraId="7CA999E0" w14:textId="09DDB5D3" w:rsidR="00561F5C" w:rsidRPr="001B47A7" w:rsidRDefault="00561F5C" w:rsidP="001B47A7">
            <w:pPr>
              <w:pStyle w:val="TableText"/>
              <w:cnfStyle w:val="000000000000" w:firstRow="0" w:lastRow="0" w:firstColumn="0" w:lastColumn="0" w:oddVBand="0" w:evenVBand="0" w:oddHBand="0" w:evenHBand="0" w:firstRowFirstColumn="0" w:firstRowLastColumn="0" w:lastRowFirstColumn="0" w:lastRowLastColumn="0"/>
            </w:pPr>
            <w:r w:rsidRPr="001B47A7">
              <w:t>Achieved</w:t>
            </w:r>
          </w:p>
        </w:tc>
      </w:tr>
      <w:tr w:rsidR="00561F5C" w:rsidRPr="00E66900" w14:paraId="328B9F26" w14:textId="77777777" w:rsidTr="001D3FAB">
        <w:tc>
          <w:tcPr>
            <w:cnfStyle w:val="001000000000" w:firstRow="0" w:lastRow="0" w:firstColumn="1" w:lastColumn="0" w:oddVBand="0" w:evenVBand="0" w:oddHBand="0" w:evenHBand="0" w:firstRowFirstColumn="0" w:firstRowLastColumn="0" w:lastRowFirstColumn="0" w:lastRowLastColumn="0"/>
            <w:tcW w:w="1096" w:type="pct"/>
            <w:tcBorders>
              <w:top w:val="single" w:sz="4" w:space="0" w:color="auto"/>
              <w:bottom w:val="nil"/>
            </w:tcBorders>
            <w:tcMar>
              <w:left w:w="108" w:type="dxa"/>
              <w:right w:w="108" w:type="dxa"/>
            </w:tcMar>
          </w:tcPr>
          <w:p w14:paraId="6687A156" w14:textId="028D411C" w:rsidR="00561F5C" w:rsidRPr="001B47A7" w:rsidRDefault="00BD30D4" w:rsidP="001B47A7">
            <w:pPr>
              <w:pStyle w:val="TableText"/>
            </w:pPr>
            <w:r w:rsidRPr="001B47A7">
              <w:t>BI-05</w:t>
            </w:r>
          </w:p>
        </w:tc>
        <w:tc>
          <w:tcPr>
            <w:tcW w:w="2818" w:type="pct"/>
            <w:tcBorders>
              <w:top w:val="single" w:sz="4" w:space="0" w:color="auto"/>
              <w:bottom w:val="single" w:sz="4" w:space="0" w:color="auto"/>
            </w:tcBorders>
            <w:tcMar>
              <w:left w:w="108" w:type="dxa"/>
              <w:right w:w="108" w:type="dxa"/>
            </w:tcMar>
          </w:tcPr>
          <w:p w14:paraId="7C454B76" w14:textId="76B11BA0" w:rsidR="00561F5C" w:rsidRPr="001B47A7" w:rsidRDefault="009E6F2E" w:rsidP="001B47A7">
            <w:pPr>
              <w:pStyle w:val="TableText"/>
              <w:cnfStyle w:val="000000000000" w:firstRow="0" w:lastRow="0" w:firstColumn="0" w:lastColumn="0" w:oddVBand="0" w:evenVBand="0" w:oddHBand="0" w:evenHBand="0" w:firstRowFirstColumn="0" w:firstRowLastColumn="0" w:lastRowFirstColumn="0" w:lastRowLastColumn="0"/>
            </w:pPr>
            <w:r w:rsidRPr="001B47A7">
              <w:t>Number and extent of biosecurity preparedness exercises completed.</w:t>
            </w:r>
          </w:p>
        </w:tc>
        <w:tc>
          <w:tcPr>
            <w:tcW w:w="1086" w:type="pct"/>
            <w:tcBorders>
              <w:top w:val="single" w:sz="4" w:space="0" w:color="auto"/>
              <w:bottom w:val="single" w:sz="4" w:space="0" w:color="auto"/>
            </w:tcBorders>
            <w:tcMar>
              <w:left w:w="108" w:type="dxa"/>
              <w:right w:w="108" w:type="dxa"/>
            </w:tcMar>
          </w:tcPr>
          <w:p w14:paraId="096CEB4D" w14:textId="4B2C9F07" w:rsidR="00561F5C" w:rsidRPr="001B47A7" w:rsidRDefault="009E6F2E" w:rsidP="001B47A7">
            <w:pPr>
              <w:pStyle w:val="TableText"/>
              <w:cnfStyle w:val="000000000000" w:firstRow="0" w:lastRow="0" w:firstColumn="0" w:lastColumn="0" w:oddVBand="0" w:evenVBand="0" w:oddHBand="0" w:evenHBand="0" w:firstRowFirstColumn="0" w:firstRowLastColumn="0" w:lastRowFirstColumn="0" w:lastRowLastColumn="0"/>
            </w:pPr>
            <w:r w:rsidRPr="001B47A7">
              <w:t>Achieved</w:t>
            </w:r>
          </w:p>
        </w:tc>
      </w:tr>
      <w:tr w:rsidR="00561F5C" w:rsidRPr="00E66900" w14:paraId="18B4162B" w14:textId="77777777" w:rsidTr="001D3FAB">
        <w:tc>
          <w:tcPr>
            <w:cnfStyle w:val="001000000000" w:firstRow="0" w:lastRow="0" w:firstColumn="1" w:lastColumn="0" w:oddVBand="0" w:evenVBand="0" w:oddHBand="0" w:evenHBand="0" w:firstRowFirstColumn="0" w:firstRowLastColumn="0" w:lastRowFirstColumn="0" w:lastRowLastColumn="0"/>
            <w:tcW w:w="1096" w:type="pct"/>
            <w:tcBorders>
              <w:top w:val="single" w:sz="4" w:space="0" w:color="auto"/>
              <w:bottom w:val="single" w:sz="4" w:space="0" w:color="auto"/>
            </w:tcBorders>
            <w:tcMar>
              <w:left w:w="108" w:type="dxa"/>
              <w:right w:w="108" w:type="dxa"/>
            </w:tcMar>
          </w:tcPr>
          <w:p w14:paraId="4354DB14" w14:textId="78F44FD4" w:rsidR="00561F5C" w:rsidRPr="001B47A7" w:rsidRDefault="008144AA" w:rsidP="001B47A7">
            <w:pPr>
              <w:pStyle w:val="TableText"/>
            </w:pPr>
            <w:r w:rsidRPr="001B47A7">
              <w:t>BI-06</w:t>
            </w:r>
          </w:p>
        </w:tc>
        <w:tc>
          <w:tcPr>
            <w:tcW w:w="2818" w:type="pct"/>
            <w:tcBorders>
              <w:top w:val="single" w:sz="4" w:space="0" w:color="auto"/>
              <w:bottom w:val="single" w:sz="4" w:space="0" w:color="auto"/>
            </w:tcBorders>
            <w:tcMar>
              <w:left w:w="108" w:type="dxa"/>
              <w:right w:w="108" w:type="dxa"/>
            </w:tcMar>
          </w:tcPr>
          <w:p w14:paraId="2965675B" w14:textId="7B6B148E" w:rsidR="00561F5C" w:rsidRPr="001B47A7" w:rsidRDefault="008144AA" w:rsidP="00AE7F0B">
            <w:pPr>
              <w:pStyle w:val="TableText"/>
              <w:cnfStyle w:val="000000000000" w:firstRow="0" w:lastRow="0" w:firstColumn="0" w:lastColumn="0" w:oddVBand="0" w:evenVBand="0" w:oddHBand="0" w:evenHBand="0" w:firstRowFirstColumn="0" w:firstRowLastColumn="0" w:lastRowFirstColumn="0" w:lastRowLastColumn="0"/>
            </w:pPr>
            <w:r w:rsidRPr="001B47A7">
              <w:t>Improve the management of biosecurity risk offshore by increasing assurance</w:t>
            </w:r>
            <w:r w:rsidR="00AE7F0B">
              <w:t xml:space="preserve"> </w:t>
            </w:r>
            <w:r w:rsidRPr="001B47A7">
              <w:t>activities on pre-border biosecurity arrangements.</w:t>
            </w:r>
          </w:p>
        </w:tc>
        <w:tc>
          <w:tcPr>
            <w:tcW w:w="1086" w:type="pct"/>
            <w:tcBorders>
              <w:top w:val="single" w:sz="4" w:space="0" w:color="auto"/>
              <w:bottom w:val="single" w:sz="4" w:space="0" w:color="auto"/>
            </w:tcBorders>
            <w:tcMar>
              <w:left w:w="108" w:type="dxa"/>
              <w:right w:w="108" w:type="dxa"/>
            </w:tcMar>
          </w:tcPr>
          <w:p w14:paraId="323AE6C6" w14:textId="3CE11F33" w:rsidR="00561F5C" w:rsidRPr="001B47A7" w:rsidRDefault="00E47112" w:rsidP="001B47A7">
            <w:pPr>
              <w:pStyle w:val="TableText"/>
              <w:cnfStyle w:val="000000000000" w:firstRow="0" w:lastRow="0" w:firstColumn="0" w:lastColumn="0" w:oddVBand="0" w:evenVBand="0" w:oddHBand="0" w:evenHBand="0" w:firstRowFirstColumn="0" w:firstRowLastColumn="0" w:lastRowFirstColumn="0" w:lastRowLastColumn="0"/>
            </w:pPr>
            <w:r w:rsidRPr="001B47A7">
              <w:t>Achieved</w:t>
            </w:r>
          </w:p>
        </w:tc>
      </w:tr>
      <w:tr w:rsidR="00A917B2" w:rsidRPr="00E66900" w14:paraId="6D99A4C6" w14:textId="77777777" w:rsidTr="001D3FAB">
        <w:tc>
          <w:tcPr>
            <w:cnfStyle w:val="001000000000" w:firstRow="0" w:lastRow="0" w:firstColumn="1" w:lastColumn="0" w:oddVBand="0" w:evenVBand="0" w:oddHBand="0" w:evenHBand="0" w:firstRowFirstColumn="0" w:firstRowLastColumn="0" w:lastRowFirstColumn="0" w:lastRowLastColumn="0"/>
            <w:tcW w:w="1096" w:type="pct"/>
            <w:tcBorders>
              <w:top w:val="single" w:sz="4" w:space="0" w:color="auto"/>
              <w:bottom w:val="single" w:sz="4" w:space="0" w:color="auto"/>
            </w:tcBorders>
            <w:tcMar>
              <w:left w:w="108" w:type="dxa"/>
              <w:right w:w="108" w:type="dxa"/>
            </w:tcMar>
          </w:tcPr>
          <w:p w14:paraId="5A2981A8" w14:textId="74FA997D" w:rsidR="00A917B2" w:rsidRPr="001B47A7" w:rsidRDefault="00A917B2" w:rsidP="00A917B2">
            <w:pPr>
              <w:pStyle w:val="TableText"/>
            </w:pPr>
            <w:r w:rsidRPr="001B47A7">
              <w:t>BI-07</w:t>
            </w:r>
          </w:p>
        </w:tc>
        <w:tc>
          <w:tcPr>
            <w:tcW w:w="2818" w:type="pct"/>
            <w:tcBorders>
              <w:top w:val="single" w:sz="4" w:space="0" w:color="auto"/>
              <w:bottom w:val="single" w:sz="4" w:space="0" w:color="auto"/>
            </w:tcBorders>
            <w:tcMar>
              <w:left w:w="108" w:type="dxa"/>
              <w:right w:w="108" w:type="dxa"/>
            </w:tcMar>
          </w:tcPr>
          <w:p w14:paraId="0560030C" w14:textId="6D9DDA86" w:rsidR="00A917B2" w:rsidRPr="001B47A7" w:rsidRDefault="00A917B2" w:rsidP="00A917B2">
            <w:pPr>
              <w:pStyle w:val="TableText"/>
              <w:cnfStyle w:val="000000000000" w:firstRow="0" w:lastRow="0" w:firstColumn="0" w:lastColumn="0" w:oddVBand="0" w:evenVBand="0" w:oddHBand="0" w:evenHBand="0" w:firstRowFirstColumn="0" w:firstRowLastColumn="0" w:lastRowFirstColumn="0" w:lastRowLastColumn="0"/>
            </w:pPr>
            <w:r w:rsidRPr="001B47A7">
              <w:t>Reduction in risk of African swine fever because of biosecurity measures</w:t>
            </w:r>
            <w:r>
              <w:t xml:space="preserve"> </w:t>
            </w:r>
            <w:r w:rsidRPr="001B47A7">
              <w:t>implemented by the department.</w:t>
            </w:r>
          </w:p>
        </w:tc>
        <w:tc>
          <w:tcPr>
            <w:tcW w:w="1086" w:type="pct"/>
            <w:tcBorders>
              <w:top w:val="single" w:sz="4" w:space="0" w:color="auto"/>
              <w:bottom w:val="single" w:sz="4" w:space="0" w:color="auto"/>
            </w:tcBorders>
            <w:tcMar>
              <w:left w:w="108" w:type="dxa"/>
              <w:right w:w="108" w:type="dxa"/>
            </w:tcMar>
          </w:tcPr>
          <w:p w14:paraId="4F6194E3" w14:textId="61DB1CC2" w:rsidR="00A917B2" w:rsidRPr="001B47A7" w:rsidRDefault="00A917B2" w:rsidP="00A917B2">
            <w:pPr>
              <w:pStyle w:val="TableText"/>
              <w:cnfStyle w:val="000000000000" w:firstRow="0" w:lastRow="0" w:firstColumn="0" w:lastColumn="0" w:oddVBand="0" w:evenVBand="0" w:oddHBand="0" w:evenHBand="0" w:firstRowFirstColumn="0" w:firstRowLastColumn="0" w:lastRowFirstColumn="0" w:lastRowLastColumn="0"/>
            </w:pPr>
            <w:r w:rsidRPr="00883D7A">
              <w:t>Achieved</w:t>
            </w:r>
          </w:p>
        </w:tc>
      </w:tr>
      <w:tr w:rsidR="00A917B2" w:rsidRPr="00E66900" w14:paraId="66C40578" w14:textId="77777777" w:rsidTr="001D3FAB">
        <w:tc>
          <w:tcPr>
            <w:cnfStyle w:val="001000000000" w:firstRow="0" w:lastRow="0" w:firstColumn="1" w:lastColumn="0" w:oddVBand="0" w:evenVBand="0" w:oddHBand="0" w:evenHBand="0" w:firstRowFirstColumn="0" w:firstRowLastColumn="0" w:lastRowFirstColumn="0" w:lastRowLastColumn="0"/>
            <w:tcW w:w="1096" w:type="pct"/>
            <w:tcBorders>
              <w:top w:val="single" w:sz="4" w:space="0" w:color="auto"/>
              <w:bottom w:val="single" w:sz="4" w:space="0" w:color="auto"/>
            </w:tcBorders>
            <w:tcMar>
              <w:left w:w="108" w:type="dxa"/>
              <w:right w:w="108" w:type="dxa"/>
            </w:tcMar>
          </w:tcPr>
          <w:p w14:paraId="44E425A2" w14:textId="7B24ACF5" w:rsidR="00A917B2" w:rsidRPr="001B47A7" w:rsidRDefault="00A917B2" w:rsidP="00A917B2">
            <w:pPr>
              <w:pStyle w:val="TableText"/>
            </w:pPr>
            <w:r w:rsidRPr="001B47A7">
              <w:t>BI-08</w:t>
            </w:r>
          </w:p>
        </w:tc>
        <w:tc>
          <w:tcPr>
            <w:tcW w:w="2818" w:type="pct"/>
            <w:tcBorders>
              <w:top w:val="single" w:sz="4" w:space="0" w:color="auto"/>
              <w:bottom w:val="single" w:sz="4" w:space="0" w:color="auto"/>
            </w:tcBorders>
            <w:tcMar>
              <w:left w:w="108" w:type="dxa"/>
              <w:right w:w="108" w:type="dxa"/>
            </w:tcMar>
          </w:tcPr>
          <w:p w14:paraId="7F84961C" w14:textId="1C669ACE" w:rsidR="00A917B2" w:rsidRPr="001B47A7" w:rsidRDefault="00A917B2" w:rsidP="00A917B2">
            <w:pPr>
              <w:pStyle w:val="TableText"/>
              <w:cnfStyle w:val="000000000000" w:firstRow="0" w:lastRow="0" w:firstColumn="0" w:lastColumn="0" w:oddVBand="0" w:evenVBand="0" w:oddHBand="0" w:evenHBand="0" w:firstRowFirstColumn="0" w:firstRowLastColumn="0" w:lastRowFirstColumn="0" w:lastRowLastColumn="0"/>
            </w:pPr>
            <w:r w:rsidRPr="001B47A7">
              <w:t>Undertake compliance and enforcement actions.</w:t>
            </w:r>
          </w:p>
        </w:tc>
        <w:tc>
          <w:tcPr>
            <w:tcW w:w="1086" w:type="pct"/>
            <w:tcBorders>
              <w:top w:val="single" w:sz="4" w:space="0" w:color="auto"/>
              <w:bottom w:val="single" w:sz="4" w:space="0" w:color="auto"/>
            </w:tcBorders>
            <w:tcMar>
              <w:left w:w="108" w:type="dxa"/>
              <w:right w:w="108" w:type="dxa"/>
            </w:tcMar>
          </w:tcPr>
          <w:p w14:paraId="1C7F9D58" w14:textId="2DEB3BFC" w:rsidR="00A917B2" w:rsidRPr="001B47A7" w:rsidRDefault="00A917B2" w:rsidP="00A917B2">
            <w:pPr>
              <w:pStyle w:val="TableText"/>
              <w:cnfStyle w:val="000000000000" w:firstRow="0" w:lastRow="0" w:firstColumn="0" w:lastColumn="0" w:oddVBand="0" w:evenVBand="0" w:oddHBand="0" w:evenHBand="0" w:firstRowFirstColumn="0" w:firstRowLastColumn="0" w:lastRowFirstColumn="0" w:lastRowLastColumn="0"/>
            </w:pPr>
            <w:r w:rsidRPr="00883D7A">
              <w:t>Achieved</w:t>
            </w:r>
          </w:p>
        </w:tc>
      </w:tr>
      <w:tr w:rsidR="00A917B2" w:rsidRPr="00E66900" w14:paraId="0804D9AE" w14:textId="77777777" w:rsidTr="001D3FAB">
        <w:tc>
          <w:tcPr>
            <w:cnfStyle w:val="001000000000" w:firstRow="0" w:lastRow="0" w:firstColumn="1" w:lastColumn="0" w:oddVBand="0" w:evenVBand="0" w:oddHBand="0" w:evenHBand="0" w:firstRowFirstColumn="0" w:firstRowLastColumn="0" w:lastRowFirstColumn="0" w:lastRowLastColumn="0"/>
            <w:tcW w:w="1096" w:type="pct"/>
            <w:tcBorders>
              <w:top w:val="single" w:sz="4" w:space="0" w:color="auto"/>
              <w:bottom w:val="single" w:sz="4" w:space="0" w:color="auto"/>
            </w:tcBorders>
            <w:tcMar>
              <w:left w:w="108" w:type="dxa"/>
              <w:right w:w="108" w:type="dxa"/>
            </w:tcMar>
          </w:tcPr>
          <w:p w14:paraId="12AF47B0" w14:textId="453F5F59" w:rsidR="00A917B2" w:rsidRPr="001B47A7" w:rsidRDefault="00A917B2" w:rsidP="00A917B2">
            <w:pPr>
              <w:pStyle w:val="TableText"/>
            </w:pPr>
            <w:r w:rsidRPr="001B47A7">
              <w:t>BI-09</w:t>
            </w:r>
          </w:p>
        </w:tc>
        <w:tc>
          <w:tcPr>
            <w:tcW w:w="2818" w:type="pct"/>
            <w:tcBorders>
              <w:top w:val="single" w:sz="4" w:space="0" w:color="auto"/>
              <w:bottom w:val="single" w:sz="4" w:space="0" w:color="auto"/>
            </w:tcBorders>
            <w:tcMar>
              <w:left w:w="108" w:type="dxa"/>
              <w:right w:w="108" w:type="dxa"/>
            </w:tcMar>
          </w:tcPr>
          <w:p w14:paraId="695DDC17" w14:textId="437F21DC" w:rsidR="00A917B2" w:rsidRPr="001B47A7" w:rsidRDefault="00A917B2" w:rsidP="00A917B2">
            <w:pPr>
              <w:pStyle w:val="TableText"/>
              <w:cnfStyle w:val="000000000000" w:firstRow="0" w:lastRow="0" w:firstColumn="0" w:lastColumn="0" w:oddVBand="0" w:evenVBand="0" w:oddHBand="0" w:evenHBand="0" w:firstRowFirstColumn="0" w:firstRowLastColumn="0" w:lastRowFirstColumn="0" w:lastRowLastColumn="0"/>
            </w:pPr>
            <w:r w:rsidRPr="001B47A7">
              <w:t>Targeted public communication and engagement activities.</w:t>
            </w:r>
          </w:p>
        </w:tc>
        <w:tc>
          <w:tcPr>
            <w:tcW w:w="1086" w:type="pct"/>
            <w:tcBorders>
              <w:top w:val="single" w:sz="4" w:space="0" w:color="auto"/>
              <w:bottom w:val="single" w:sz="4" w:space="0" w:color="auto"/>
            </w:tcBorders>
            <w:tcMar>
              <w:left w:w="108" w:type="dxa"/>
              <w:right w:w="108" w:type="dxa"/>
            </w:tcMar>
          </w:tcPr>
          <w:p w14:paraId="50D149B1" w14:textId="3468EF8A" w:rsidR="00A917B2" w:rsidRPr="001B47A7" w:rsidRDefault="00A917B2" w:rsidP="00A917B2">
            <w:pPr>
              <w:pStyle w:val="TableText"/>
              <w:cnfStyle w:val="000000000000" w:firstRow="0" w:lastRow="0" w:firstColumn="0" w:lastColumn="0" w:oddVBand="0" w:evenVBand="0" w:oddHBand="0" w:evenHBand="0" w:firstRowFirstColumn="0" w:firstRowLastColumn="0" w:lastRowFirstColumn="0" w:lastRowLastColumn="0"/>
            </w:pPr>
            <w:r w:rsidRPr="00883D7A">
              <w:t>Achieved</w:t>
            </w:r>
          </w:p>
        </w:tc>
      </w:tr>
      <w:tr w:rsidR="00E47112" w:rsidRPr="00E66900" w14:paraId="5B0C1D2C" w14:textId="77777777" w:rsidTr="001D3FAB">
        <w:tc>
          <w:tcPr>
            <w:cnfStyle w:val="001000000000" w:firstRow="0" w:lastRow="0" w:firstColumn="1" w:lastColumn="0" w:oddVBand="0" w:evenVBand="0" w:oddHBand="0" w:evenHBand="0" w:firstRowFirstColumn="0" w:firstRowLastColumn="0" w:lastRowFirstColumn="0" w:lastRowLastColumn="0"/>
            <w:tcW w:w="1096" w:type="pct"/>
            <w:tcBorders>
              <w:top w:val="single" w:sz="4" w:space="0" w:color="auto"/>
              <w:bottom w:val="single" w:sz="4" w:space="0" w:color="auto"/>
            </w:tcBorders>
            <w:tcMar>
              <w:left w:w="108" w:type="dxa"/>
              <w:right w:w="108" w:type="dxa"/>
            </w:tcMar>
          </w:tcPr>
          <w:p w14:paraId="74D15F71" w14:textId="43E1A2AA" w:rsidR="00E47112" w:rsidRPr="001B47A7" w:rsidRDefault="003049E8" w:rsidP="001B47A7">
            <w:pPr>
              <w:pStyle w:val="TableText"/>
            </w:pPr>
            <w:r w:rsidRPr="001B47A7">
              <w:t>BI-10</w:t>
            </w:r>
          </w:p>
        </w:tc>
        <w:tc>
          <w:tcPr>
            <w:tcW w:w="2818" w:type="pct"/>
            <w:tcBorders>
              <w:top w:val="single" w:sz="4" w:space="0" w:color="auto"/>
              <w:bottom w:val="single" w:sz="4" w:space="0" w:color="auto"/>
            </w:tcBorders>
            <w:tcMar>
              <w:left w:w="108" w:type="dxa"/>
              <w:right w:w="108" w:type="dxa"/>
            </w:tcMar>
          </w:tcPr>
          <w:p w14:paraId="1F476F55" w14:textId="5BE2DE75" w:rsidR="00E47112" w:rsidRPr="001B47A7" w:rsidRDefault="003049E8" w:rsidP="001B47A7">
            <w:pPr>
              <w:pStyle w:val="TableText"/>
              <w:cnfStyle w:val="000000000000" w:firstRow="0" w:lastRow="0" w:firstColumn="0" w:lastColumn="0" w:oddVBand="0" w:evenVBand="0" w:oddHBand="0" w:evenHBand="0" w:firstRowFirstColumn="0" w:firstRowLastColumn="0" w:lastRowFirstColumn="0" w:lastRowLastColumn="0"/>
            </w:pPr>
            <w:r w:rsidRPr="001B47A7">
              <w:t xml:space="preserve">The import permits service standard </w:t>
            </w:r>
            <w:proofErr w:type="gramStart"/>
            <w:r w:rsidRPr="001B47A7">
              <w:t>is met</w:t>
            </w:r>
            <w:proofErr w:type="gramEnd"/>
            <w:r w:rsidRPr="001B47A7">
              <w:t>.</w:t>
            </w:r>
          </w:p>
        </w:tc>
        <w:tc>
          <w:tcPr>
            <w:tcW w:w="1086" w:type="pct"/>
            <w:tcBorders>
              <w:top w:val="single" w:sz="4" w:space="0" w:color="auto"/>
              <w:bottom w:val="single" w:sz="4" w:space="0" w:color="auto"/>
            </w:tcBorders>
            <w:tcMar>
              <w:left w:w="108" w:type="dxa"/>
              <w:right w:w="108" w:type="dxa"/>
            </w:tcMar>
          </w:tcPr>
          <w:p w14:paraId="1286DE55" w14:textId="38BA556E" w:rsidR="00E47112" w:rsidRPr="001B47A7" w:rsidRDefault="003049E8" w:rsidP="001B47A7">
            <w:pPr>
              <w:pStyle w:val="TableText"/>
              <w:cnfStyle w:val="000000000000" w:firstRow="0" w:lastRow="0" w:firstColumn="0" w:lastColumn="0" w:oddVBand="0" w:evenVBand="0" w:oddHBand="0" w:evenHBand="0" w:firstRowFirstColumn="0" w:firstRowLastColumn="0" w:lastRowFirstColumn="0" w:lastRowLastColumn="0"/>
            </w:pPr>
            <w:r w:rsidRPr="001B47A7">
              <w:t>Not achieved</w:t>
            </w:r>
          </w:p>
        </w:tc>
      </w:tr>
    </w:tbl>
    <w:p w14:paraId="3ACDB0FC" w14:textId="0B58ECC7" w:rsidR="00960759" w:rsidRPr="00AE1BEB" w:rsidRDefault="00A37C7E" w:rsidP="0020383C">
      <w:pPr>
        <w:pStyle w:val="FigureTableNoteSource"/>
      </w:pPr>
      <w:r w:rsidRPr="00A37C7E">
        <w:t>Note: For a complete analysis of our performance measures, see the</w:t>
      </w:r>
      <w:r w:rsidR="002D4BAE">
        <w:t xml:space="preserve"> </w:t>
      </w:r>
      <w:bookmarkStart w:id="193" w:name="_Hlk188626144"/>
      <w:r w:rsidR="002D4BAE">
        <w:fldChar w:fldCharType="begin"/>
      </w:r>
      <w:r w:rsidR="002D4BAE">
        <w:instrText>HYPERLINK "https://www.agriculture.gov.au/about/reporting/annual-report"</w:instrText>
      </w:r>
      <w:r w:rsidR="002D4BAE">
        <w:fldChar w:fldCharType="separate"/>
      </w:r>
      <w:r w:rsidR="002D4BAE" w:rsidRPr="002D4BAE">
        <w:rPr>
          <w:rStyle w:val="Hyperlink"/>
        </w:rPr>
        <w:t>Annual report 2023–24</w:t>
      </w:r>
      <w:r w:rsidR="002D4BAE">
        <w:fldChar w:fldCharType="end"/>
      </w:r>
      <w:bookmarkEnd w:id="193"/>
      <w:r w:rsidR="00041A02">
        <w:t xml:space="preserve"> </w:t>
      </w:r>
      <w:r w:rsidR="00D22E23">
        <w:t>(</w:t>
      </w:r>
      <w:r w:rsidR="00D22E23" w:rsidRPr="00D22E23">
        <w:t>p</w:t>
      </w:r>
      <w:r w:rsidRPr="00D22E23">
        <w:t>p</w:t>
      </w:r>
      <w:r w:rsidR="00D22E23" w:rsidRPr="001D3FAB">
        <w:t>.</w:t>
      </w:r>
      <w:r w:rsidRPr="00D22E23">
        <w:t xml:space="preserve"> </w:t>
      </w:r>
      <w:r w:rsidR="002D4BAE" w:rsidRPr="00D22E23">
        <w:t>13</w:t>
      </w:r>
      <w:r w:rsidRPr="00D22E23">
        <w:t>–</w:t>
      </w:r>
      <w:r w:rsidR="002D4BAE" w:rsidRPr="00D22E23">
        <w:t>14</w:t>
      </w:r>
      <w:r w:rsidR="00D22E23" w:rsidRPr="00D22E23">
        <w:t>)</w:t>
      </w:r>
      <w:r w:rsidRPr="00A37C7E">
        <w:t xml:space="preserve"> </w:t>
      </w:r>
      <w:bookmarkStart w:id="194" w:name="_Key_dates_and"/>
      <w:bookmarkEnd w:id="194"/>
      <w:r w:rsidR="00960759">
        <w:t xml:space="preserve">and the </w:t>
      </w:r>
      <w:hyperlink r:id="rId55" w:history="1">
        <w:r w:rsidR="008E2352">
          <w:rPr>
            <w:rStyle w:val="Hyperlink"/>
          </w:rPr>
          <w:t>Corporate Plan 2023–24</w:t>
        </w:r>
      </w:hyperlink>
      <w:r w:rsidR="00960759">
        <w:t xml:space="preserve"> </w:t>
      </w:r>
      <w:r w:rsidR="00D22E23">
        <w:t>(</w:t>
      </w:r>
      <w:r w:rsidR="00D22E23" w:rsidRPr="00D22E23">
        <w:t>p</w:t>
      </w:r>
      <w:r w:rsidR="00960759" w:rsidRPr="00D22E23">
        <w:t>p</w:t>
      </w:r>
      <w:r w:rsidR="00D22E23" w:rsidRPr="001D3FAB">
        <w:t>.</w:t>
      </w:r>
      <w:r w:rsidR="00960759" w:rsidRPr="00D22E23">
        <w:t xml:space="preserve"> 32</w:t>
      </w:r>
      <w:r w:rsidR="00A917B2" w:rsidRPr="00D22E23">
        <w:t>–</w:t>
      </w:r>
      <w:r w:rsidR="00960759" w:rsidRPr="00D22E23">
        <w:t>49</w:t>
      </w:r>
      <w:r w:rsidR="00D22E23" w:rsidRPr="00D22E23">
        <w:t>)</w:t>
      </w:r>
      <w:r w:rsidR="00041A02" w:rsidRPr="00D22E23">
        <w:t>.</w:t>
      </w:r>
    </w:p>
    <w:p w14:paraId="732D5441" w14:textId="3F23ACCA" w:rsidR="00A25765" w:rsidRPr="00A25765" w:rsidRDefault="00A25765" w:rsidP="009C7C37">
      <w:pPr>
        <w:pStyle w:val="Heading2"/>
      </w:pPr>
      <w:bookmarkStart w:id="195" w:name="_Key_dates_and_1"/>
      <w:bookmarkStart w:id="196" w:name="_Toc168489269"/>
      <w:bookmarkStart w:id="197" w:name="_Toc168489566"/>
      <w:bookmarkStart w:id="198" w:name="_Toc168645264"/>
      <w:bookmarkStart w:id="199" w:name="_Toc200115609"/>
      <w:bookmarkEnd w:id="195"/>
      <w:r w:rsidRPr="00A25765">
        <w:lastRenderedPageBreak/>
        <w:t>Key dates and events</w:t>
      </w:r>
      <w:bookmarkEnd w:id="196"/>
      <w:bookmarkEnd w:id="197"/>
      <w:bookmarkEnd w:id="198"/>
      <w:bookmarkEnd w:id="199"/>
    </w:p>
    <w:p w14:paraId="2D06323B" w14:textId="01428D47" w:rsidR="00A25765" w:rsidRPr="00AE1BEB" w:rsidRDefault="00A25765" w:rsidP="00A25765">
      <w:pPr>
        <w:rPr>
          <w:rFonts w:cstheme="minorHAnsi"/>
          <w:lang w:eastAsia="ja-JP"/>
        </w:rPr>
      </w:pPr>
      <w:r w:rsidRPr="0029663C">
        <w:rPr>
          <w:rFonts w:cstheme="minorHAnsi"/>
          <w:lang w:eastAsia="ja-JP"/>
        </w:rPr>
        <w:t xml:space="preserve">We undertake regular reviews of our financial performance and conduct stakeholder engagement activities throughout the </w:t>
      </w:r>
      <w:r w:rsidR="00ED64DF" w:rsidRPr="0029663C">
        <w:rPr>
          <w:rFonts w:cstheme="minorHAnsi"/>
          <w:lang w:eastAsia="ja-JP"/>
        </w:rPr>
        <w:t>annual review cycle</w:t>
      </w:r>
      <w:r w:rsidRPr="0029663C">
        <w:rPr>
          <w:rFonts w:cstheme="minorHAnsi"/>
          <w:lang w:eastAsia="ja-JP"/>
        </w:rPr>
        <w:t>. Key forward dates for</w:t>
      </w:r>
      <w:r w:rsidR="000738CB" w:rsidRPr="0029663C">
        <w:rPr>
          <w:rFonts w:cstheme="minorHAnsi"/>
          <w:lang w:eastAsia="ja-JP"/>
        </w:rPr>
        <w:t xml:space="preserve"> review</w:t>
      </w:r>
      <w:r w:rsidRPr="0029663C">
        <w:rPr>
          <w:rFonts w:cstheme="minorHAnsi"/>
          <w:lang w:eastAsia="ja-JP"/>
        </w:rPr>
        <w:t xml:space="preserve"> </w:t>
      </w:r>
      <w:r w:rsidR="0029663C" w:rsidRPr="0029663C">
        <w:rPr>
          <w:rFonts w:cstheme="minorHAnsi"/>
          <w:lang w:eastAsia="ja-JP"/>
        </w:rPr>
        <w:t xml:space="preserve">of </w:t>
      </w:r>
      <w:r w:rsidRPr="0029663C">
        <w:rPr>
          <w:rFonts w:cstheme="minorHAnsi"/>
          <w:lang w:eastAsia="ja-JP"/>
        </w:rPr>
        <w:t xml:space="preserve">the </w:t>
      </w:r>
      <w:r w:rsidR="00B1013F" w:rsidRPr="0029663C">
        <w:rPr>
          <w:rFonts w:cstheme="minorHAnsi"/>
          <w:lang w:eastAsia="ja-JP"/>
        </w:rPr>
        <w:t>arrangement</w:t>
      </w:r>
      <w:r w:rsidRPr="0029663C">
        <w:rPr>
          <w:rFonts w:cstheme="minorHAnsi"/>
          <w:lang w:eastAsia="ja-JP"/>
        </w:rPr>
        <w:t xml:space="preserve"> </w:t>
      </w:r>
      <w:proofErr w:type="gramStart"/>
      <w:r w:rsidRPr="0029663C">
        <w:rPr>
          <w:rFonts w:cstheme="minorHAnsi"/>
          <w:lang w:eastAsia="ja-JP"/>
        </w:rPr>
        <w:t>are documented</w:t>
      </w:r>
      <w:proofErr w:type="gramEnd"/>
      <w:r w:rsidRPr="0029663C">
        <w:rPr>
          <w:rFonts w:cstheme="minorHAnsi"/>
          <w:lang w:eastAsia="ja-JP"/>
        </w:rPr>
        <w:t xml:space="preserve"> in </w:t>
      </w:r>
      <w:r w:rsidR="00B1013F" w:rsidRPr="00AE1BEB">
        <w:rPr>
          <w:rFonts w:cstheme="minorHAnsi"/>
          <w:lang w:eastAsia="ja-JP"/>
        </w:rPr>
        <w:fldChar w:fldCharType="begin"/>
      </w:r>
      <w:r w:rsidR="00B1013F" w:rsidRPr="00AE1BEB">
        <w:rPr>
          <w:rFonts w:cstheme="minorHAnsi"/>
          <w:lang w:eastAsia="ja-JP"/>
        </w:rPr>
        <w:instrText xml:space="preserve"> REF _Ref193955769 \h </w:instrText>
      </w:r>
      <w:r w:rsidR="00DB32D2" w:rsidRPr="00AE1BEB">
        <w:rPr>
          <w:rFonts w:cstheme="minorHAnsi"/>
          <w:lang w:eastAsia="ja-JP"/>
        </w:rPr>
        <w:instrText xml:space="preserve"> \* MERGEFORMAT </w:instrText>
      </w:r>
      <w:r w:rsidR="00B1013F" w:rsidRPr="00AE1BEB">
        <w:rPr>
          <w:rFonts w:cstheme="minorHAnsi"/>
          <w:lang w:eastAsia="ja-JP"/>
        </w:rPr>
      </w:r>
      <w:r w:rsidR="00B1013F" w:rsidRPr="00AE1BEB">
        <w:rPr>
          <w:rFonts w:cstheme="minorHAnsi"/>
          <w:lang w:eastAsia="ja-JP"/>
        </w:rPr>
        <w:fldChar w:fldCharType="separate"/>
      </w:r>
      <w:r w:rsidR="00AE1BEB" w:rsidRPr="00AE1BEB">
        <w:t xml:space="preserve">Table </w:t>
      </w:r>
      <w:r w:rsidR="00AE1BEB" w:rsidRPr="00AE1BEB">
        <w:rPr>
          <w:noProof/>
        </w:rPr>
        <w:t>10</w:t>
      </w:r>
      <w:r w:rsidR="00B1013F" w:rsidRPr="00AE1BEB">
        <w:rPr>
          <w:rFonts w:cstheme="minorHAnsi"/>
          <w:lang w:eastAsia="ja-JP"/>
        </w:rPr>
        <w:fldChar w:fldCharType="end"/>
      </w:r>
      <w:r w:rsidRPr="00AE1BEB">
        <w:rPr>
          <w:rFonts w:cstheme="minorHAnsi"/>
          <w:lang w:eastAsia="ja-JP"/>
        </w:rPr>
        <w:t>.</w:t>
      </w:r>
    </w:p>
    <w:p w14:paraId="595DA06C" w14:textId="30C87748" w:rsidR="00D04C36" w:rsidRPr="00D04C36" w:rsidRDefault="0020383C" w:rsidP="0020383C">
      <w:pPr>
        <w:pStyle w:val="Caption"/>
        <w:rPr>
          <w:b w:val="0"/>
          <w:bCs w:val="0"/>
        </w:rPr>
      </w:pPr>
      <w:bookmarkStart w:id="200" w:name="_Ref193955769"/>
      <w:bookmarkStart w:id="201" w:name="_Toc200534250"/>
      <w:r w:rsidRPr="00AE1BEB">
        <w:t xml:space="preserve">Table </w:t>
      </w:r>
      <w:r w:rsidRPr="00AE1BEB">
        <w:fldChar w:fldCharType="begin"/>
      </w:r>
      <w:r w:rsidRPr="00AE1BEB">
        <w:instrText xml:space="preserve"> SEQ Table \* ARABIC </w:instrText>
      </w:r>
      <w:r w:rsidRPr="00AE1BEB">
        <w:fldChar w:fldCharType="separate"/>
      </w:r>
      <w:r w:rsidR="00AE1BEB" w:rsidRPr="00AE1BEB">
        <w:rPr>
          <w:noProof/>
        </w:rPr>
        <w:t>10</w:t>
      </w:r>
      <w:r w:rsidRPr="00AE1BEB">
        <w:fldChar w:fldCharType="end"/>
      </w:r>
      <w:bookmarkEnd w:id="200"/>
      <w:r w:rsidRPr="00AE1BEB">
        <w:t xml:space="preserve"> Key forward dates and events</w:t>
      </w:r>
      <w:bookmarkEnd w:id="201"/>
    </w:p>
    <w:tbl>
      <w:tblPr>
        <w:tblW w:w="5000" w:type="pct"/>
        <w:tblBorders>
          <w:top w:val="single" w:sz="4" w:space="0" w:color="auto"/>
          <w:bottom w:val="single" w:sz="4" w:space="0" w:color="auto"/>
          <w:insideH w:val="single" w:sz="4" w:space="0" w:color="auto"/>
        </w:tblBorders>
        <w:tblCellMar>
          <w:left w:w="40" w:type="dxa"/>
          <w:right w:w="40" w:type="dxa"/>
        </w:tblCellMar>
        <w:tblLook w:val="04A0" w:firstRow="1" w:lastRow="0" w:firstColumn="1" w:lastColumn="0" w:noHBand="0" w:noVBand="1"/>
      </w:tblPr>
      <w:tblGrid>
        <w:gridCol w:w="5954"/>
        <w:gridCol w:w="3116"/>
      </w:tblGrid>
      <w:tr w:rsidR="00640DAB" w:rsidRPr="00D74FA6" w14:paraId="68E70AFD" w14:textId="77777777" w:rsidTr="00986BB3">
        <w:trPr>
          <w:cantSplit/>
          <w:tblHeader/>
        </w:trPr>
        <w:tc>
          <w:tcPr>
            <w:tcW w:w="3282" w:type="pct"/>
            <w:tcMar>
              <w:left w:w="108" w:type="dxa"/>
              <w:right w:w="108" w:type="dxa"/>
            </w:tcMar>
          </w:tcPr>
          <w:p w14:paraId="101C698B" w14:textId="36B31CFC" w:rsidR="00640DAB" w:rsidRPr="00B1013F" w:rsidRDefault="00D22E23" w:rsidP="00B1013F">
            <w:pPr>
              <w:pStyle w:val="TableHeading"/>
              <w:rPr>
                <w:rStyle w:val="Strong"/>
                <w:b/>
                <w:bCs w:val="0"/>
              </w:rPr>
            </w:pPr>
            <w:bookmarkStart w:id="202" w:name="Title_10"/>
            <w:bookmarkEnd w:id="202"/>
            <w:r>
              <w:rPr>
                <w:rStyle w:val="Strong"/>
                <w:b/>
                <w:bCs w:val="0"/>
              </w:rPr>
              <w:t>E</w:t>
            </w:r>
            <w:r>
              <w:rPr>
                <w:rStyle w:val="Strong"/>
                <w:b/>
              </w:rPr>
              <w:t>vent</w:t>
            </w:r>
          </w:p>
        </w:tc>
        <w:tc>
          <w:tcPr>
            <w:tcW w:w="1718" w:type="pct"/>
            <w:tcMar>
              <w:left w:w="108" w:type="dxa"/>
              <w:right w:w="108" w:type="dxa"/>
            </w:tcMar>
          </w:tcPr>
          <w:p w14:paraId="2D09B810" w14:textId="77777777" w:rsidR="00640DAB" w:rsidRPr="00B1013F" w:rsidRDefault="00640DAB" w:rsidP="00B1013F">
            <w:pPr>
              <w:pStyle w:val="TableHeading"/>
              <w:rPr>
                <w:rStyle w:val="Strong"/>
                <w:b/>
                <w:bCs w:val="0"/>
              </w:rPr>
            </w:pPr>
            <w:r w:rsidRPr="00B1013F">
              <w:rPr>
                <w:rStyle w:val="Strong"/>
                <w:b/>
                <w:bCs w:val="0"/>
              </w:rPr>
              <w:t>Next scheduled update</w:t>
            </w:r>
          </w:p>
        </w:tc>
      </w:tr>
      <w:tr w:rsidR="00640DAB" w:rsidRPr="00DD0541" w14:paraId="126F379A" w14:textId="77777777" w:rsidTr="001D3FAB">
        <w:tc>
          <w:tcPr>
            <w:tcW w:w="3282" w:type="pct"/>
            <w:tcMar>
              <w:left w:w="108" w:type="dxa"/>
              <w:right w:w="108" w:type="dxa"/>
            </w:tcMar>
          </w:tcPr>
          <w:p w14:paraId="029D6933" w14:textId="77777777" w:rsidR="00640DAB" w:rsidRPr="00DD0541" w:rsidRDefault="00640DAB" w:rsidP="00733737">
            <w:pPr>
              <w:pStyle w:val="TableText"/>
            </w:pPr>
            <w:r w:rsidRPr="00DD0541">
              <w:t>Review of arrangement and indexation</w:t>
            </w:r>
          </w:p>
        </w:tc>
        <w:tc>
          <w:tcPr>
            <w:tcW w:w="1718" w:type="pct"/>
            <w:shd w:val="clear" w:color="auto" w:fill="auto"/>
            <w:tcMar>
              <w:left w:w="108" w:type="dxa"/>
              <w:right w:w="108" w:type="dxa"/>
            </w:tcMar>
          </w:tcPr>
          <w:p w14:paraId="6BD98278" w14:textId="4A29B7F5" w:rsidR="00640DAB" w:rsidRPr="00DD0541" w:rsidRDefault="00640DAB" w:rsidP="00733737">
            <w:pPr>
              <w:pStyle w:val="TableText"/>
            </w:pPr>
            <w:r w:rsidRPr="00195720">
              <w:t>1</w:t>
            </w:r>
            <w:r w:rsidRPr="00195720">
              <w:rPr>
                <w:vertAlign w:val="superscript"/>
              </w:rPr>
              <w:t>st</w:t>
            </w:r>
            <w:r w:rsidRPr="00195720">
              <w:t xml:space="preserve"> quarter 202</w:t>
            </w:r>
            <w:r w:rsidR="004E7BF6">
              <w:t>5</w:t>
            </w:r>
          </w:p>
        </w:tc>
      </w:tr>
      <w:tr w:rsidR="00640DAB" w:rsidRPr="00DD0541" w14:paraId="091D29E3" w14:textId="77777777" w:rsidTr="001D3FAB">
        <w:tc>
          <w:tcPr>
            <w:tcW w:w="3282" w:type="pct"/>
            <w:tcMar>
              <w:left w:w="108" w:type="dxa"/>
              <w:right w:w="108" w:type="dxa"/>
            </w:tcMar>
          </w:tcPr>
          <w:p w14:paraId="4FB4B8AE" w14:textId="77777777" w:rsidR="00640DAB" w:rsidRPr="00DD0541" w:rsidRDefault="00640DAB" w:rsidP="00733737">
            <w:pPr>
              <w:pStyle w:val="TableText"/>
            </w:pPr>
            <w:r w:rsidRPr="00DD0541">
              <w:t>Updated fees and charges implemented</w:t>
            </w:r>
          </w:p>
        </w:tc>
        <w:tc>
          <w:tcPr>
            <w:tcW w:w="1718" w:type="pct"/>
            <w:shd w:val="clear" w:color="auto" w:fill="auto"/>
            <w:tcMar>
              <w:left w:w="108" w:type="dxa"/>
              <w:right w:w="108" w:type="dxa"/>
            </w:tcMar>
          </w:tcPr>
          <w:p w14:paraId="631DCBB7" w14:textId="679B0CF1" w:rsidR="00640DAB" w:rsidRPr="00DD0541" w:rsidRDefault="00640DAB" w:rsidP="00733737">
            <w:pPr>
              <w:pStyle w:val="TableText"/>
            </w:pPr>
            <w:r w:rsidRPr="00DD0541">
              <w:t>1 July 202</w:t>
            </w:r>
            <w:r w:rsidR="004E7BF6">
              <w:t>5</w:t>
            </w:r>
          </w:p>
        </w:tc>
      </w:tr>
      <w:tr w:rsidR="00640DAB" w:rsidRPr="00DD0541" w14:paraId="33F54927" w14:textId="77777777" w:rsidTr="001D3FAB">
        <w:tc>
          <w:tcPr>
            <w:tcW w:w="3282" w:type="pct"/>
            <w:tcMar>
              <w:left w:w="108" w:type="dxa"/>
              <w:right w:w="108" w:type="dxa"/>
            </w:tcMar>
          </w:tcPr>
          <w:p w14:paraId="3EDCAD5A" w14:textId="60D3A515" w:rsidR="00640DAB" w:rsidRPr="00DD0541" w:rsidRDefault="00640DAB" w:rsidP="00733737">
            <w:pPr>
              <w:pStyle w:val="TableText"/>
            </w:pPr>
            <w:r>
              <w:t>Consultation on 202</w:t>
            </w:r>
            <w:r w:rsidR="001A1665">
              <w:t>6</w:t>
            </w:r>
            <w:r w:rsidR="00D22E23">
              <w:t>–</w:t>
            </w:r>
            <w:r>
              <w:t>2</w:t>
            </w:r>
            <w:r w:rsidR="001A1665">
              <w:t>7</w:t>
            </w:r>
            <w:r>
              <w:t xml:space="preserve"> CRIS</w:t>
            </w:r>
          </w:p>
        </w:tc>
        <w:tc>
          <w:tcPr>
            <w:tcW w:w="1718" w:type="pct"/>
            <w:shd w:val="clear" w:color="auto" w:fill="auto"/>
            <w:tcMar>
              <w:left w:w="108" w:type="dxa"/>
              <w:right w:w="108" w:type="dxa"/>
            </w:tcMar>
          </w:tcPr>
          <w:p w14:paraId="32F31EE7" w14:textId="4F47A2C8" w:rsidR="00640DAB" w:rsidRPr="00DD0541" w:rsidRDefault="00640DAB" w:rsidP="00733737">
            <w:pPr>
              <w:pStyle w:val="TableText"/>
            </w:pPr>
            <w:r>
              <w:t>3</w:t>
            </w:r>
            <w:r w:rsidRPr="00322D85">
              <w:rPr>
                <w:vertAlign w:val="superscript"/>
              </w:rPr>
              <w:t>rd</w:t>
            </w:r>
            <w:r w:rsidRPr="00195720">
              <w:t xml:space="preserve"> quarter </w:t>
            </w:r>
            <w:r>
              <w:t>202</w:t>
            </w:r>
            <w:r w:rsidR="001A1665">
              <w:t>6</w:t>
            </w:r>
          </w:p>
        </w:tc>
      </w:tr>
      <w:tr w:rsidR="00640DAB" w:rsidRPr="00DD0541" w14:paraId="5F2378A0" w14:textId="77777777" w:rsidTr="001D3FAB">
        <w:tc>
          <w:tcPr>
            <w:tcW w:w="3282" w:type="pct"/>
            <w:tcMar>
              <w:left w:w="108" w:type="dxa"/>
              <w:right w:w="108" w:type="dxa"/>
            </w:tcMar>
          </w:tcPr>
          <w:p w14:paraId="640430B6" w14:textId="24B7D577" w:rsidR="00640DAB" w:rsidRPr="00DD0541" w:rsidRDefault="00640DAB" w:rsidP="00733737">
            <w:pPr>
              <w:pStyle w:val="TableText"/>
            </w:pPr>
            <w:r w:rsidRPr="00DD0541">
              <w:t>Portfolio charging review</w:t>
            </w:r>
          </w:p>
        </w:tc>
        <w:tc>
          <w:tcPr>
            <w:tcW w:w="1718" w:type="pct"/>
            <w:shd w:val="clear" w:color="auto" w:fill="auto"/>
            <w:tcMar>
              <w:left w:w="108" w:type="dxa"/>
              <w:right w:w="108" w:type="dxa"/>
            </w:tcMar>
          </w:tcPr>
          <w:p w14:paraId="0FCDA444" w14:textId="77777777" w:rsidR="00640DAB" w:rsidRPr="00DD0541" w:rsidRDefault="00640DAB" w:rsidP="00733737">
            <w:pPr>
              <w:pStyle w:val="TableText"/>
            </w:pPr>
            <w:r w:rsidRPr="00DD0541">
              <w:t>2025</w:t>
            </w:r>
          </w:p>
        </w:tc>
      </w:tr>
      <w:tr w:rsidR="00640DAB" w:rsidRPr="0029167F" w14:paraId="317665CB" w14:textId="77777777" w:rsidTr="001D3FAB">
        <w:tc>
          <w:tcPr>
            <w:tcW w:w="3282" w:type="pct"/>
            <w:tcMar>
              <w:left w:w="108" w:type="dxa"/>
              <w:right w:w="108" w:type="dxa"/>
            </w:tcMar>
          </w:tcPr>
          <w:p w14:paraId="6ED78D9B" w14:textId="77777777" w:rsidR="00640DAB" w:rsidRPr="00DD0541" w:rsidRDefault="00640DAB" w:rsidP="00733737">
            <w:pPr>
              <w:pStyle w:val="TableText"/>
            </w:pPr>
            <w:r w:rsidRPr="00DD0541">
              <w:t xml:space="preserve">Portfolio charging review outcomes to </w:t>
            </w:r>
            <w:proofErr w:type="gramStart"/>
            <w:r w:rsidRPr="00DD0541">
              <w:t>be brought</w:t>
            </w:r>
            <w:proofErr w:type="gramEnd"/>
            <w:r w:rsidRPr="00DD0541">
              <w:t xml:space="preserve"> forward in Budget 2026</w:t>
            </w:r>
            <w:r w:rsidRPr="00DD0541">
              <w:rPr>
                <w:lang w:eastAsia="ja-JP"/>
              </w:rPr>
              <w:t>–</w:t>
            </w:r>
            <w:r w:rsidRPr="00DD0541">
              <w:t>27</w:t>
            </w:r>
          </w:p>
        </w:tc>
        <w:tc>
          <w:tcPr>
            <w:tcW w:w="1718" w:type="pct"/>
            <w:shd w:val="clear" w:color="auto" w:fill="auto"/>
            <w:tcMar>
              <w:left w:w="108" w:type="dxa"/>
              <w:right w:w="108" w:type="dxa"/>
            </w:tcMar>
          </w:tcPr>
          <w:p w14:paraId="5E605A55" w14:textId="77777777" w:rsidR="00640DAB" w:rsidRPr="0029167F" w:rsidRDefault="00640DAB" w:rsidP="00733737">
            <w:pPr>
              <w:pStyle w:val="TableText"/>
            </w:pPr>
            <w:r w:rsidRPr="00DD0541">
              <w:t>2026</w:t>
            </w:r>
          </w:p>
        </w:tc>
      </w:tr>
    </w:tbl>
    <w:p w14:paraId="7367FB5A" w14:textId="77777777" w:rsidR="00873528" w:rsidRDefault="00873528" w:rsidP="009C7C37">
      <w:pPr>
        <w:pStyle w:val="Heading2"/>
      </w:pPr>
      <w:bookmarkStart w:id="203" w:name="_Toc200115610"/>
      <w:r w:rsidRPr="00873528">
        <w:lastRenderedPageBreak/>
        <w:t>CRIS approval and change register</w:t>
      </w:r>
      <w:bookmarkEnd w:id="203"/>
    </w:p>
    <w:p w14:paraId="31CDFC95" w14:textId="4F64A20C" w:rsidR="00B1013F" w:rsidRPr="00AE1BEB" w:rsidRDefault="003306F1" w:rsidP="00B1013F">
      <w:pPr>
        <w:rPr>
          <w:lang w:eastAsia="ja-JP"/>
        </w:rPr>
      </w:pPr>
      <w:r>
        <w:rPr>
          <w:lang w:eastAsia="ja-JP"/>
        </w:rPr>
        <w:t>T</w:t>
      </w:r>
      <w:r w:rsidR="00B1013F" w:rsidRPr="00B1013F">
        <w:rPr>
          <w:lang w:eastAsia="ja-JP"/>
        </w:rPr>
        <w:t xml:space="preserve">he department </w:t>
      </w:r>
      <w:r w:rsidR="00D22E23">
        <w:rPr>
          <w:lang w:eastAsia="ja-JP"/>
        </w:rPr>
        <w:t xml:space="preserve">publishes an </w:t>
      </w:r>
      <w:r w:rsidR="00B1013F" w:rsidRPr="00B1013F">
        <w:rPr>
          <w:lang w:eastAsia="ja-JP"/>
        </w:rPr>
        <w:t>update</w:t>
      </w:r>
      <w:r w:rsidR="00D22E23">
        <w:rPr>
          <w:lang w:eastAsia="ja-JP"/>
        </w:rPr>
        <w:t>d</w:t>
      </w:r>
      <w:r w:rsidR="00B1013F" w:rsidRPr="00B1013F">
        <w:rPr>
          <w:lang w:eastAsia="ja-JP"/>
        </w:rPr>
        <w:t xml:space="preserve"> CRIS annually as recommended by the Australian Government Charging Framework and in conjunction with the key dates and events in </w:t>
      </w:r>
      <w:hyperlink w:anchor="_Key_dates_and_1" w:history="1">
        <w:r w:rsidR="00DF58E0" w:rsidRPr="00DF58E0">
          <w:rPr>
            <w:rStyle w:val="Hyperlink"/>
            <w:lang w:eastAsia="ja-JP"/>
          </w:rPr>
          <w:t>section 7</w:t>
        </w:r>
      </w:hyperlink>
      <w:r w:rsidR="00B1013F" w:rsidRPr="00DF58E0">
        <w:rPr>
          <w:lang w:eastAsia="ja-JP"/>
        </w:rPr>
        <w:t>.</w:t>
      </w:r>
      <w:r w:rsidR="00B1013F" w:rsidRPr="00B1013F">
        <w:rPr>
          <w:lang w:eastAsia="ja-JP"/>
        </w:rPr>
        <w:t xml:space="preserve"> The change register in </w:t>
      </w:r>
      <w:r w:rsidR="00B1013F" w:rsidRPr="00AE1BEB">
        <w:rPr>
          <w:lang w:eastAsia="ja-JP"/>
        </w:rPr>
        <w:fldChar w:fldCharType="begin"/>
      </w:r>
      <w:r w:rsidR="00B1013F" w:rsidRPr="00AE1BEB">
        <w:rPr>
          <w:lang w:eastAsia="ja-JP"/>
        </w:rPr>
        <w:instrText xml:space="preserve"> REF _Ref193990705 \h </w:instrText>
      </w:r>
      <w:r w:rsidR="0087286F" w:rsidRPr="00AE1BEB">
        <w:rPr>
          <w:lang w:eastAsia="ja-JP"/>
        </w:rPr>
        <w:instrText xml:space="preserve"> \* MERGEFORMAT </w:instrText>
      </w:r>
      <w:r w:rsidR="00B1013F" w:rsidRPr="00AE1BEB">
        <w:rPr>
          <w:lang w:eastAsia="ja-JP"/>
        </w:rPr>
      </w:r>
      <w:r w:rsidR="00B1013F" w:rsidRPr="00AE1BEB">
        <w:rPr>
          <w:lang w:eastAsia="ja-JP"/>
        </w:rPr>
        <w:fldChar w:fldCharType="separate"/>
      </w:r>
      <w:r w:rsidR="00AE1BEB" w:rsidRPr="00AE1BEB">
        <w:t xml:space="preserve">Table </w:t>
      </w:r>
      <w:r w:rsidR="00AE1BEB" w:rsidRPr="00AE1BEB">
        <w:rPr>
          <w:noProof/>
        </w:rPr>
        <w:t>11</w:t>
      </w:r>
      <w:r w:rsidR="00B1013F" w:rsidRPr="00AE1BEB">
        <w:rPr>
          <w:lang w:eastAsia="ja-JP"/>
        </w:rPr>
        <w:fldChar w:fldCharType="end"/>
      </w:r>
      <w:r w:rsidR="00B1013F" w:rsidRPr="00AE1BEB">
        <w:rPr>
          <w:lang w:eastAsia="ja-JP"/>
        </w:rPr>
        <w:t xml:space="preserve"> provides a record of updates to this CRIS.</w:t>
      </w:r>
    </w:p>
    <w:p w14:paraId="29698425" w14:textId="1149BDDD" w:rsidR="00B1013F" w:rsidRPr="00B1013F" w:rsidRDefault="00B1013F" w:rsidP="00B1013F">
      <w:pPr>
        <w:pStyle w:val="Caption"/>
        <w:rPr>
          <w:lang w:eastAsia="ja-JP"/>
        </w:rPr>
      </w:pPr>
      <w:bookmarkStart w:id="204" w:name="_Ref193990705"/>
      <w:bookmarkStart w:id="205" w:name="_Toc200534251"/>
      <w:r w:rsidRPr="00AE1BEB">
        <w:t xml:space="preserve">Table </w:t>
      </w:r>
      <w:r w:rsidRPr="00AE1BEB">
        <w:fldChar w:fldCharType="begin"/>
      </w:r>
      <w:r w:rsidRPr="00AE1BEB">
        <w:instrText xml:space="preserve"> SEQ Table \* ARABIC </w:instrText>
      </w:r>
      <w:r w:rsidRPr="00AE1BEB">
        <w:fldChar w:fldCharType="separate"/>
      </w:r>
      <w:r w:rsidR="00AE1BEB" w:rsidRPr="00AE1BEB">
        <w:rPr>
          <w:noProof/>
        </w:rPr>
        <w:t>11</w:t>
      </w:r>
      <w:r w:rsidRPr="00AE1BEB">
        <w:fldChar w:fldCharType="end"/>
      </w:r>
      <w:bookmarkEnd w:id="204"/>
      <w:r w:rsidRPr="00AE1BEB">
        <w:t xml:space="preserve"> Change register</w:t>
      </w:r>
      <w:bookmarkEnd w:id="205"/>
    </w:p>
    <w:tbl>
      <w:tblPr>
        <w:tblW w:w="5000" w:type="pct"/>
        <w:tblBorders>
          <w:top w:val="single" w:sz="4" w:space="0" w:color="auto"/>
          <w:bottom w:val="single" w:sz="4" w:space="0" w:color="auto"/>
        </w:tblBorders>
        <w:tblCellMar>
          <w:left w:w="40" w:type="dxa"/>
          <w:right w:w="40" w:type="dxa"/>
        </w:tblCellMar>
        <w:tblLook w:val="04A0" w:firstRow="1" w:lastRow="0" w:firstColumn="1" w:lastColumn="0" w:noHBand="0" w:noVBand="1"/>
      </w:tblPr>
      <w:tblGrid>
        <w:gridCol w:w="1030"/>
        <w:gridCol w:w="2415"/>
        <w:gridCol w:w="1235"/>
        <w:gridCol w:w="1417"/>
        <w:gridCol w:w="2973"/>
      </w:tblGrid>
      <w:tr w:rsidR="00D22E23" w:rsidRPr="00581026" w14:paraId="02C497CE" w14:textId="77777777" w:rsidTr="00986BB3">
        <w:trPr>
          <w:cantSplit/>
          <w:tblHeader/>
        </w:trPr>
        <w:tc>
          <w:tcPr>
            <w:tcW w:w="567" w:type="pct"/>
            <w:tcBorders>
              <w:top w:val="single" w:sz="4" w:space="0" w:color="auto"/>
              <w:bottom w:val="single" w:sz="4" w:space="0" w:color="auto"/>
            </w:tcBorders>
            <w:tcMar>
              <w:left w:w="108" w:type="dxa"/>
              <w:right w:w="108" w:type="dxa"/>
            </w:tcMar>
          </w:tcPr>
          <w:p w14:paraId="332491D4" w14:textId="641EC49C" w:rsidR="00D22E23" w:rsidRPr="001D3FAB" w:rsidRDefault="00D22E23" w:rsidP="003306F1">
            <w:pPr>
              <w:pStyle w:val="TableHeading"/>
            </w:pPr>
            <w:bookmarkStart w:id="206" w:name="Title_11"/>
            <w:bookmarkEnd w:id="206"/>
            <w:r w:rsidRPr="003306F1">
              <w:t>Date</w:t>
            </w:r>
          </w:p>
        </w:tc>
        <w:tc>
          <w:tcPr>
            <w:tcW w:w="1331" w:type="pct"/>
            <w:tcBorders>
              <w:top w:val="single" w:sz="4" w:space="0" w:color="auto"/>
              <w:bottom w:val="single" w:sz="4" w:space="0" w:color="auto"/>
            </w:tcBorders>
            <w:tcMar>
              <w:left w:w="108" w:type="dxa"/>
              <w:right w:w="108" w:type="dxa"/>
            </w:tcMar>
          </w:tcPr>
          <w:p w14:paraId="0C3C49A1" w14:textId="4B18DA41" w:rsidR="00D22E23" w:rsidRPr="003306F1" w:rsidRDefault="00D22E23" w:rsidP="003306F1">
            <w:pPr>
              <w:pStyle w:val="TableHeading"/>
            </w:pPr>
            <w:r>
              <w:t>Document</w:t>
            </w:r>
          </w:p>
        </w:tc>
        <w:tc>
          <w:tcPr>
            <w:tcW w:w="681" w:type="pct"/>
            <w:tcBorders>
              <w:top w:val="single" w:sz="4" w:space="0" w:color="auto"/>
              <w:bottom w:val="single" w:sz="4" w:space="0" w:color="auto"/>
            </w:tcBorders>
            <w:tcMar>
              <w:left w:w="108" w:type="dxa"/>
              <w:right w:w="108" w:type="dxa"/>
            </w:tcMar>
          </w:tcPr>
          <w:p w14:paraId="1CFB377A" w14:textId="0B6970FD" w:rsidR="00D22E23" w:rsidRPr="003306F1" w:rsidRDefault="00D22E23" w:rsidP="003306F1">
            <w:pPr>
              <w:pStyle w:val="TableHeading"/>
            </w:pPr>
            <w:r>
              <w:t>C</w:t>
            </w:r>
            <w:r w:rsidRPr="003306F1">
              <w:t>hange</w:t>
            </w:r>
          </w:p>
        </w:tc>
        <w:tc>
          <w:tcPr>
            <w:tcW w:w="781" w:type="pct"/>
            <w:tcBorders>
              <w:top w:val="single" w:sz="4" w:space="0" w:color="auto"/>
              <w:bottom w:val="single" w:sz="4" w:space="0" w:color="auto"/>
            </w:tcBorders>
            <w:tcMar>
              <w:left w:w="108" w:type="dxa"/>
              <w:right w:w="108" w:type="dxa"/>
            </w:tcMar>
          </w:tcPr>
          <w:p w14:paraId="6C8C0568" w14:textId="77777777" w:rsidR="00D22E23" w:rsidRPr="003306F1" w:rsidRDefault="00D22E23" w:rsidP="003306F1">
            <w:pPr>
              <w:pStyle w:val="TableHeading"/>
            </w:pPr>
            <w:r w:rsidRPr="003306F1">
              <w:t>Approver</w:t>
            </w:r>
          </w:p>
        </w:tc>
        <w:tc>
          <w:tcPr>
            <w:tcW w:w="1639" w:type="pct"/>
            <w:tcBorders>
              <w:top w:val="single" w:sz="4" w:space="0" w:color="auto"/>
              <w:bottom w:val="single" w:sz="4" w:space="0" w:color="auto"/>
            </w:tcBorders>
            <w:tcMar>
              <w:left w:w="108" w:type="dxa"/>
              <w:right w:w="108" w:type="dxa"/>
            </w:tcMar>
          </w:tcPr>
          <w:p w14:paraId="52B84890" w14:textId="77777777" w:rsidR="00D22E23" w:rsidRPr="003306F1" w:rsidRDefault="00D22E23" w:rsidP="003306F1">
            <w:pPr>
              <w:pStyle w:val="TableHeading"/>
            </w:pPr>
            <w:r w:rsidRPr="003306F1">
              <w:t>Basis for change</w:t>
            </w:r>
          </w:p>
        </w:tc>
      </w:tr>
      <w:tr w:rsidR="00D22E23" w:rsidRPr="00581026" w14:paraId="57101C65" w14:textId="77777777" w:rsidTr="00D22E23">
        <w:tc>
          <w:tcPr>
            <w:tcW w:w="567" w:type="pct"/>
            <w:tcBorders>
              <w:top w:val="single" w:sz="4" w:space="0" w:color="auto"/>
              <w:bottom w:val="single" w:sz="4" w:space="0" w:color="auto"/>
            </w:tcBorders>
            <w:tcMar>
              <w:left w:w="108" w:type="dxa"/>
              <w:right w:w="108" w:type="dxa"/>
            </w:tcMar>
          </w:tcPr>
          <w:p w14:paraId="37442F1F" w14:textId="5C03AF1F" w:rsidR="00D22E23" w:rsidRPr="00581026" w:rsidRDefault="00D22E23" w:rsidP="00D22E23">
            <w:pPr>
              <w:pStyle w:val="TableText"/>
            </w:pPr>
            <w:r w:rsidRPr="00581026">
              <w:t>May 2023</w:t>
            </w:r>
          </w:p>
        </w:tc>
        <w:tc>
          <w:tcPr>
            <w:tcW w:w="1331" w:type="pct"/>
            <w:tcBorders>
              <w:top w:val="single" w:sz="4" w:space="0" w:color="auto"/>
              <w:bottom w:val="single" w:sz="4" w:space="0" w:color="auto"/>
            </w:tcBorders>
            <w:tcMar>
              <w:left w:w="108" w:type="dxa"/>
              <w:right w:w="108" w:type="dxa"/>
            </w:tcMar>
          </w:tcPr>
          <w:p w14:paraId="05CAEEA0" w14:textId="203ADDB8" w:rsidR="00D22E23" w:rsidRPr="00581026" w:rsidRDefault="00D22E23" w:rsidP="00B1013F">
            <w:pPr>
              <w:pStyle w:val="TableText"/>
            </w:pPr>
            <w:r w:rsidRPr="00581026">
              <w:t>CRIS: Biosecurity 2023–24</w:t>
            </w:r>
          </w:p>
        </w:tc>
        <w:tc>
          <w:tcPr>
            <w:tcW w:w="681" w:type="pct"/>
            <w:tcBorders>
              <w:top w:val="single" w:sz="4" w:space="0" w:color="auto"/>
              <w:bottom w:val="single" w:sz="4" w:space="0" w:color="auto"/>
            </w:tcBorders>
            <w:tcMar>
              <w:left w:w="108" w:type="dxa"/>
              <w:right w:w="108" w:type="dxa"/>
            </w:tcMar>
          </w:tcPr>
          <w:p w14:paraId="4DD0946C" w14:textId="7FE16ACB" w:rsidR="00D22E23" w:rsidRPr="00581026" w:rsidRDefault="00D22E23" w:rsidP="00B1013F">
            <w:pPr>
              <w:pStyle w:val="TableText"/>
            </w:pPr>
            <w:r w:rsidRPr="00581026">
              <w:t>Certification of the CRIS</w:t>
            </w:r>
          </w:p>
        </w:tc>
        <w:tc>
          <w:tcPr>
            <w:tcW w:w="781" w:type="pct"/>
            <w:tcBorders>
              <w:top w:val="single" w:sz="4" w:space="0" w:color="auto"/>
              <w:bottom w:val="single" w:sz="4" w:space="0" w:color="auto"/>
            </w:tcBorders>
            <w:tcMar>
              <w:left w:w="108" w:type="dxa"/>
              <w:right w:w="108" w:type="dxa"/>
            </w:tcMar>
          </w:tcPr>
          <w:p w14:paraId="55DADD1B" w14:textId="146212DA" w:rsidR="00D22E23" w:rsidRPr="00581026" w:rsidRDefault="00D22E23" w:rsidP="00B1013F">
            <w:pPr>
              <w:pStyle w:val="TableText"/>
            </w:pPr>
            <w:r w:rsidRPr="008949A1">
              <w:t>Secretary</w:t>
            </w:r>
            <w:r w:rsidR="008949A1" w:rsidRPr="0052010F">
              <w:t xml:space="preserve"> of the Department of Agriculture, Fisheries and Forestry</w:t>
            </w:r>
          </w:p>
        </w:tc>
        <w:tc>
          <w:tcPr>
            <w:tcW w:w="1639" w:type="pct"/>
            <w:tcBorders>
              <w:top w:val="single" w:sz="4" w:space="0" w:color="auto"/>
              <w:bottom w:val="single" w:sz="4" w:space="0" w:color="auto"/>
            </w:tcBorders>
            <w:tcMar>
              <w:left w:w="108" w:type="dxa"/>
              <w:right w:w="108" w:type="dxa"/>
            </w:tcMar>
          </w:tcPr>
          <w:p w14:paraId="486147E6" w14:textId="77777777" w:rsidR="00D22E23" w:rsidRPr="00581026" w:rsidRDefault="00D22E23" w:rsidP="00B1013F">
            <w:pPr>
              <w:pStyle w:val="TableText"/>
            </w:pPr>
            <w:r w:rsidRPr="00581026">
              <w:t>Increase to regulatory charges following a comprehensive review of the cost recovery arrangement, aligning actual costs, effort, risk and prices.</w:t>
            </w:r>
          </w:p>
        </w:tc>
      </w:tr>
      <w:tr w:rsidR="00D22E23" w:rsidRPr="00581026" w14:paraId="7FF0DE1B" w14:textId="77777777" w:rsidTr="00D22E23">
        <w:tc>
          <w:tcPr>
            <w:tcW w:w="567" w:type="pct"/>
            <w:tcBorders>
              <w:top w:val="single" w:sz="4" w:space="0" w:color="auto"/>
              <w:bottom w:val="single" w:sz="4" w:space="0" w:color="auto"/>
            </w:tcBorders>
            <w:tcMar>
              <w:left w:w="108" w:type="dxa"/>
              <w:right w:w="108" w:type="dxa"/>
            </w:tcMar>
          </w:tcPr>
          <w:p w14:paraId="3ECC692D" w14:textId="10581833" w:rsidR="00D22E23" w:rsidRPr="00581026" w:rsidRDefault="00D22E23" w:rsidP="00D22E23">
            <w:pPr>
              <w:pStyle w:val="TableText"/>
            </w:pPr>
            <w:r w:rsidRPr="00581026">
              <w:t>June 2023</w:t>
            </w:r>
          </w:p>
        </w:tc>
        <w:tc>
          <w:tcPr>
            <w:tcW w:w="1331" w:type="pct"/>
            <w:tcBorders>
              <w:top w:val="single" w:sz="4" w:space="0" w:color="auto"/>
              <w:bottom w:val="single" w:sz="4" w:space="0" w:color="auto"/>
            </w:tcBorders>
            <w:tcMar>
              <w:left w:w="108" w:type="dxa"/>
              <w:right w:w="108" w:type="dxa"/>
            </w:tcMar>
          </w:tcPr>
          <w:p w14:paraId="5B9C80AE" w14:textId="14D66767" w:rsidR="00D22E23" w:rsidRPr="00581026" w:rsidRDefault="00D22E23" w:rsidP="00B1013F">
            <w:pPr>
              <w:pStyle w:val="TableText"/>
            </w:pPr>
            <w:r w:rsidRPr="00581026">
              <w:t>CRIS: Biosecurity 2023–24</w:t>
            </w:r>
          </w:p>
        </w:tc>
        <w:tc>
          <w:tcPr>
            <w:tcW w:w="681" w:type="pct"/>
            <w:tcBorders>
              <w:top w:val="single" w:sz="4" w:space="0" w:color="auto"/>
              <w:bottom w:val="single" w:sz="4" w:space="0" w:color="auto"/>
            </w:tcBorders>
            <w:tcMar>
              <w:left w:w="108" w:type="dxa"/>
              <w:right w:w="108" w:type="dxa"/>
            </w:tcMar>
          </w:tcPr>
          <w:p w14:paraId="42EBB193" w14:textId="553133C9" w:rsidR="00D22E23" w:rsidRPr="00581026" w:rsidRDefault="00D22E23" w:rsidP="00B1013F">
            <w:pPr>
              <w:pStyle w:val="TableText"/>
            </w:pPr>
            <w:r w:rsidRPr="00581026">
              <w:t>Approval for the CRIS release</w:t>
            </w:r>
          </w:p>
        </w:tc>
        <w:tc>
          <w:tcPr>
            <w:tcW w:w="781" w:type="pct"/>
            <w:tcBorders>
              <w:top w:val="single" w:sz="4" w:space="0" w:color="auto"/>
              <w:bottom w:val="single" w:sz="4" w:space="0" w:color="auto"/>
            </w:tcBorders>
            <w:tcMar>
              <w:left w:w="108" w:type="dxa"/>
              <w:right w:w="108" w:type="dxa"/>
            </w:tcMar>
          </w:tcPr>
          <w:p w14:paraId="67082027" w14:textId="77777777" w:rsidR="00D22E23" w:rsidRPr="00581026" w:rsidRDefault="00D22E23" w:rsidP="00B1013F">
            <w:pPr>
              <w:pStyle w:val="TableText"/>
            </w:pPr>
            <w:r w:rsidRPr="00581026">
              <w:t>Minister for Agriculture, Fisheries and Forestry</w:t>
            </w:r>
          </w:p>
        </w:tc>
        <w:tc>
          <w:tcPr>
            <w:tcW w:w="1639" w:type="pct"/>
            <w:tcBorders>
              <w:top w:val="single" w:sz="4" w:space="0" w:color="auto"/>
              <w:bottom w:val="single" w:sz="4" w:space="0" w:color="auto"/>
            </w:tcBorders>
            <w:tcMar>
              <w:left w:w="108" w:type="dxa"/>
              <w:right w:w="108" w:type="dxa"/>
            </w:tcMar>
          </w:tcPr>
          <w:p w14:paraId="3DC66A82" w14:textId="1EA50823" w:rsidR="00D22E23" w:rsidRPr="00581026" w:rsidRDefault="00D22E23" w:rsidP="00B1013F">
            <w:pPr>
              <w:pStyle w:val="TableText"/>
            </w:pPr>
            <w:r w:rsidRPr="00581026">
              <w:t xml:space="preserve">Medium risk rating for regulatory charging activities requiring portfolio </w:t>
            </w:r>
            <w:r>
              <w:t>m</w:t>
            </w:r>
            <w:r w:rsidRPr="00581026">
              <w:t>inister approval only.</w:t>
            </w:r>
          </w:p>
        </w:tc>
      </w:tr>
      <w:tr w:rsidR="00D22E23" w:rsidRPr="00581026" w14:paraId="5289676D" w14:textId="77777777" w:rsidTr="001D3FAB">
        <w:tc>
          <w:tcPr>
            <w:tcW w:w="567" w:type="pct"/>
            <w:vMerge w:val="restart"/>
            <w:tcBorders>
              <w:top w:val="single" w:sz="4" w:space="0" w:color="auto"/>
            </w:tcBorders>
            <w:tcMar>
              <w:left w:w="108" w:type="dxa"/>
              <w:right w:w="108" w:type="dxa"/>
            </w:tcMar>
          </w:tcPr>
          <w:p w14:paraId="613ED7F1" w14:textId="563B022A" w:rsidR="00D22E23" w:rsidRPr="00581026" w:rsidRDefault="00D22E23" w:rsidP="00D22E23">
            <w:pPr>
              <w:pStyle w:val="TableText"/>
            </w:pPr>
            <w:r w:rsidRPr="00581026">
              <w:t>June 2024</w:t>
            </w:r>
          </w:p>
        </w:tc>
        <w:tc>
          <w:tcPr>
            <w:tcW w:w="1331" w:type="pct"/>
            <w:vMerge w:val="restart"/>
            <w:tcBorders>
              <w:top w:val="single" w:sz="4" w:space="0" w:color="auto"/>
            </w:tcBorders>
            <w:tcMar>
              <w:left w:w="108" w:type="dxa"/>
              <w:right w:w="108" w:type="dxa"/>
            </w:tcMar>
          </w:tcPr>
          <w:p w14:paraId="3C44E968" w14:textId="65A5D0FF" w:rsidR="00D22E23" w:rsidRPr="00581026" w:rsidRDefault="00D22E23" w:rsidP="00D22E23">
            <w:pPr>
              <w:pStyle w:val="TableText"/>
            </w:pPr>
            <w:r w:rsidRPr="00581026">
              <w:t>CRIS: Biosecurity 2024–25</w:t>
            </w:r>
          </w:p>
        </w:tc>
        <w:tc>
          <w:tcPr>
            <w:tcW w:w="681" w:type="pct"/>
            <w:tcBorders>
              <w:top w:val="single" w:sz="4" w:space="0" w:color="auto"/>
              <w:bottom w:val="single" w:sz="4" w:space="0" w:color="auto"/>
            </w:tcBorders>
            <w:tcMar>
              <w:left w:w="108" w:type="dxa"/>
              <w:right w:w="108" w:type="dxa"/>
            </w:tcMar>
          </w:tcPr>
          <w:p w14:paraId="42EF29FE" w14:textId="1E018B2C" w:rsidR="00D22E23" w:rsidRPr="00581026" w:rsidRDefault="00D22E23" w:rsidP="00B1013F">
            <w:pPr>
              <w:pStyle w:val="TableText"/>
            </w:pPr>
            <w:r w:rsidRPr="00581026">
              <w:t>Certification of the CRIS</w:t>
            </w:r>
          </w:p>
        </w:tc>
        <w:tc>
          <w:tcPr>
            <w:tcW w:w="781" w:type="pct"/>
            <w:tcBorders>
              <w:top w:val="single" w:sz="4" w:space="0" w:color="auto"/>
              <w:bottom w:val="single" w:sz="4" w:space="0" w:color="auto"/>
            </w:tcBorders>
            <w:tcMar>
              <w:left w:w="108" w:type="dxa"/>
              <w:right w:w="108" w:type="dxa"/>
            </w:tcMar>
          </w:tcPr>
          <w:p w14:paraId="6C2ACF43" w14:textId="30CEEF82" w:rsidR="00D22E23" w:rsidRPr="00581026" w:rsidRDefault="008949A1" w:rsidP="00B1013F">
            <w:pPr>
              <w:pStyle w:val="TableText"/>
            </w:pPr>
            <w:r w:rsidRPr="008949A1">
              <w:t>Secretary</w:t>
            </w:r>
            <w:r w:rsidRPr="00F155C8">
              <w:t xml:space="preserve"> of the Department of Agriculture, Fisheries and Forestry</w:t>
            </w:r>
          </w:p>
        </w:tc>
        <w:tc>
          <w:tcPr>
            <w:tcW w:w="1639" w:type="pct"/>
            <w:tcBorders>
              <w:top w:val="single" w:sz="4" w:space="0" w:color="auto"/>
              <w:bottom w:val="single" w:sz="4" w:space="0" w:color="auto"/>
            </w:tcBorders>
            <w:tcMar>
              <w:left w:w="108" w:type="dxa"/>
              <w:right w:w="108" w:type="dxa"/>
            </w:tcMar>
          </w:tcPr>
          <w:p w14:paraId="415E1CF3" w14:textId="77777777" w:rsidR="00D22E23" w:rsidRPr="00581026" w:rsidRDefault="00D22E23" w:rsidP="00B1013F">
            <w:pPr>
              <w:pStyle w:val="TableText"/>
            </w:pPr>
            <w:r w:rsidRPr="00581026">
              <w:t>Apply indexation to increase regulatory fees and charges for the cost recovery arrangement, to continue to align actual costs, effort, risk and prices.</w:t>
            </w:r>
          </w:p>
        </w:tc>
      </w:tr>
      <w:tr w:rsidR="00D22E23" w:rsidRPr="00581026" w14:paraId="4BD29976" w14:textId="77777777" w:rsidTr="001D3FAB">
        <w:tc>
          <w:tcPr>
            <w:tcW w:w="567" w:type="pct"/>
            <w:vMerge/>
            <w:tcBorders>
              <w:bottom w:val="single" w:sz="4" w:space="0" w:color="auto"/>
            </w:tcBorders>
            <w:tcMar>
              <w:left w:w="108" w:type="dxa"/>
              <w:right w:w="108" w:type="dxa"/>
            </w:tcMar>
          </w:tcPr>
          <w:p w14:paraId="5FFDBF1C" w14:textId="727EB9FB" w:rsidR="00D22E23" w:rsidRPr="00581026" w:rsidRDefault="00D22E23" w:rsidP="00D22E23">
            <w:pPr>
              <w:pStyle w:val="TableText"/>
            </w:pPr>
          </w:p>
        </w:tc>
        <w:tc>
          <w:tcPr>
            <w:tcW w:w="1331" w:type="pct"/>
            <w:vMerge/>
            <w:tcBorders>
              <w:bottom w:val="single" w:sz="4" w:space="0" w:color="auto"/>
            </w:tcBorders>
            <w:tcMar>
              <w:left w:w="108" w:type="dxa"/>
              <w:right w:w="108" w:type="dxa"/>
            </w:tcMar>
          </w:tcPr>
          <w:p w14:paraId="34F3765E" w14:textId="579CAACD" w:rsidR="00D22E23" w:rsidRPr="00581026" w:rsidRDefault="00D22E23" w:rsidP="00B1013F">
            <w:pPr>
              <w:pStyle w:val="TableText"/>
            </w:pPr>
          </w:p>
        </w:tc>
        <w:tc>
          <w:tcPr>
            <w:tcW w:w="681" w:type="pct"/>
            <w:tcBorders>
              <w:top w:val="single" w:sz="4" w:space="0" w:color="auto"/>
              <w:bottom w:val="single" w:sz="4" w:space="0" w:color="auto"/>
            </w:tcBorders>
            <w:tcMar>
              <w:left w:w="108" w:type="dxa"/>
              <w:right w:w="108" w:type="dxa"/>
            </w:tcMar>
          </w:tcPr>
          <w:p w14:paraId="249984BE" w14:textId="3ABB0D21" w:rsidR="00D22E23" w:rsidRPr="00581026" w:rsidRDefault="00D22E23" w:rsidP="00B1013F">
            <w:pPr>
              <w:pStyle w:val="TableText"/>
            </w:pPr>
            <w:r w:rsidRPr="00581026">
              <w:t>Approval for the CRIS release</w:t>
            </w:r>
          </w:p>
        </w:tc>
        <w:tc>
          <w:tcPr>
            <w:tcW w:w="781" w:type="pct"/>
            <w:tcBorders>
              <w:top w:val="single" w:sz="4" w:space="0" w:color="auto"/>
              <w:bottom w:val="single" w:sz="4" w:space="0" w:color="auto"/>
            </w:tcBorders>
            <w:tcMar>
              <w:left w:w="108" w:type="dxa"/>
              <w:right w:w="108" w:type="dxa"/>
            </w:tcMar>
          </w:tcPr>
          <w:p w14:paraId="30863242" w14:textId="77777777" w:rsidR="00D22E23" w:rsidRPr="00581026" w:rsidRDefault="00D22E23" w:rsidP="00B1013F">
            <w:pPr>
              <w:pStyle w:val="TableText"/>
            </w:pPr>
            <w:r w:rsidRPr="00581026">
              <w:t>Minister for Agriculture, Fisheries and Forestry</w:t>
            </w:r>
          </w:p>
        </w:tc>
        <w:tc>
          <w:tcPr>
            <w:tcW w:w="1639" w:type="pct"/>
            <w:tcBorders>
              <w:top w:val="single" w:sz="4" w:space="0" w:color="auto"/>
              <w:bottom w:val="single" w:sz="4" w:space="0" w:color="auto"/>
            </w:tcBorders>
            <w:tcMar>
              <w:left w:w="108" w:type="dxa"/>
              <w:right w:w="108" w:type="dxa"/>
            </w:tcMar>
            <w:vAlign w:val="center"/>
          </w:tcPr>
          <w:p w14:paraId="2742E186" w14:textId="0DC7176F" w:rsidR="00D22E23" w:rsidRPr="00581026" w:rsidRDefault="00D22E23" w:rsidP="00B1013F">
            <w:pPr>
              <w:pStyle w:val="TableText"/>
            </w:pPr>
            <w:r w:rsidRPr="00581026">
              <w:t xml:space="preserve">Medium risk rating for regulatory charging activities requiring portfolio </w:t>
            </w:r>
            <w:r>
              <w:t>m</w:t>
            </w:r>
            <w:r w:rsidRPr="00581026">
              <w:t>inister approval only.</w:t>
            </w:r>
          </w:p>
        </w:tc>
      </w:tr>
      <w:tr w:rsidR="00D22E23" w:rsidRPr="00581026" w14:paraId="6DC06956" w14:textId="77777777" w:rsidTr="001D3FAB">
        <w:tc>
          <w:tcPr>
            <w:tcW w:w="567" w:type="pct"/>
            <w:vMerge w:val="restart"/>
            <w:tcBorders>
              <w:top w:val="single" w:sz="4" w:space="0" w:color="auto"/>
            </w:tcBorders>
            <w:tcMar>
              <w:left w:w="108" w:type="dxa"/>
              <w:right w:w="108" w:type="dxa"/>
            </w:tcMar>
          </w:tcPr>
          <w:p w14:paraId="510713BE" w14:textId="1BA0D2B2" w:rsidR="00D22E23" w:rsidRPr="00581026" w:rsidRDefault="00D22E23" w:rsidP="00D22E23">
            <w:pPr>
              <w:pStyle w:val="TableText"/>
            </w:pPr>
            <w:r>
              <w:t>June 2025</w:t>
            </w:r>
          </w:p>
        </w:tc>
        <w:tc>
          <w:tcPr>
            <w:tcW w:w="1331" w:type="pct"/>
            <w:vMerge w:val="restart"/>
            <w:tcBorders>
              <w:top w:val="single" w:sz="4" w:space="0" w:color="auto"/>
            </w:tcBorders>
            <w:tcMar>
              <w:left w:w="108" w:type="dxa"/>
              <w:right w:w="108" w:type="dxa"/>
            </w:tcMar>
          </w:tcPr>
          <w:p w14:paraId="4D2E866E" w14:textId="3BD0D4B4" w:rsidR="00D22E23" w:rsidRPr="00581026" w:rsidRDefault="00D22E23" w:rsidP="00D22E23">
            <w:pPr>
              <w:pStyle w:val="TableText"/>
            </w:pPr>
            <w:r w:rsidRPr="00581026">
              <w:t>CRIS: Biosecurity 202</w:t>
            </w:r>
            <w:r>
              <w:t>5</w:t>
            </w:r>
            <w:r w:rsidRPr="00581026">
              <w:t>–2</w:t>
            </w:r>
            <w:r>
              <w:t>6</w:t>
            </w:r>
          </w:p>
        </w:tc>
        <w:tc>
          <w:tcPr>
            <w:tcW w:w="681" w:type="pct"/>
            <w:tcBorders>
              <w:top w:val="single" w:sz="4" w:space="0" w:color="auto"/>
              <w:bottom w:val="single" w:sz="4" w:space="0" w:color="auto"/>
            </w:tcBorders>
            <w:tcMar>
              <w:left w:w="108" w:type="dxa"/>
              <w:right w:w="108" w:type="dxa"/>
            </w:tcMar>
          </w:tcPr>
          <w:p w14:paraId="178D2FAD" w14:textId="7B10C3A5" w:rsidR="00D22E23" w:rsidRPr="00581026" w:rsidRDefault="00D22E23" w:rsidP="00B1013F">
            <w:pPr>
              <w:pStyle w:val="TableText"/>
            </w:pPr>
            <w:r w:rsidRPr="00581026">
              <w:t>Certification of the CRIS</w:t>
            </w:r>
          </w:p>
        </w:tc>
        <w:tc>
          <w:tcPr>
            <w:tcW w:w="781" w:type="pct"/>
            <w:tcBorders>
              <w:top w:val="single" w:sz="4" w:space="0" w:color="auto"/>
              <w:bottom w:val="single" w:sz="4" w:space="0" w:color="auto"/>
            </w:tcBorders>
            <w:tcMar>
              <w:left w:w="108" w:type="dxa"/>
              <w:right w:w="108" w:type="dxa"/>
            </w:tcMar>
          </w:tcPr>
          <w:p w14:paraId="1E6AB68C" w14:textId="6B1736F0" w:rsidR="00D22E23" w:rsidRPr="00581026" w:rsidRDefault="008949A1" w:rsidP="00B1013F">
            <w:pPr>
              <w:pStyle w:val="TableText"/>
            </w:pPr>
            <w:r w:rsidRPr="008949A1">
              <w:t>Secretary</w:t>
            </w:r>
            <w:r w:rsidRPr="00F155C8">
              <w:t xml:space="preserve"> of the Department of Agriculture, Fisheries and Forestry</w:t>
            </w:r>
          </w:p>
        </w:tc>
        <w:tc>
          <w:tcPr>
            <w:tcW w:w="1639" w:type="pct"/>
            <w:tcBorders>
              <w:top w:val="single" w:sz="4" w:space="0" w:color="auto"/>
              <w:bottom w:val="single" w:sz="4" w:space="0" w:color="auto"/>
            </w:tcBorders>
            <w:tcMar>
              <w:left w:w="108" w:type="dxa"/>
              <w:right w:w="108" w:type="dxa"/>
            </w:tcMar>
          </w:tcPr>
          <w:p w14:paraId="7EE9E342" w14:textId="35DAC618" w:rsidR="00D22E23" w:rsidRPr="00581026" w:rsidRDefault="00862696" w:rsidP="001D3FAB">
            <w:pPr>
              <w:pStyle w:val="TableText"/>
            </w:pPr>
            <w:r w:rsidRPr="00581026">
              <w:t>Apply indexation to increase regulatory fees and charges for the cost recovery arrangement, to continue to align actual costs, effort, risk and prices</w:t>
            </w:r>
            <w:r>
              <w:t>. Introduced new charge</w:t>
            </w:r>
            <w:r w:rsidR="00892619">
              <w:t>s</w:t>
            </w:r>
            <w:r>
              <w:t xml:space="preserve"> for approved arrangements and compliance agreements. </w:t>
            </w:r>
          </w:p>
        </w:tc>
      </w:tr>
      <w:tr w:rsidR="00D22E23" w:rsidRPr="00581026" w14:paraId="4399BBF0" w14:textId="77777777" w:rsidTr="001D3FAB">
        <w:tc>
          <w:tcPr>
            <w:tcW w:w="567" w:type="pct"/>
            <w:vMerge/>
            <w:tcBorders>
              <w:bottom w:val="single" w:sz="4" w:space="0" w:color="auto"/>
            </w:tcBorders>
            <w:tcMar>
              <w:left w:w="108" w:type="dxa"/>
              <w:right w:w="108" w:type="dxa"/>
            </w:tcMar>
          </w:tcPr>
          <w:p w14:paraId="5975DC1C" w14:textId="6303DD1A" w:rsidR="00D22E23" w:rsidRPr="00581026" w:rsidRDefault="00D22E23" w:rsidP="00D22E23">
            <w:pPr>
              <w:pStyle w:val="TableText"/>
            </w:pPr>
          </w:p>
        </w:tc>
        <w:tc>
          <w:tcPr>
            <w:tcW w:w="1331" w:type="pct"/>
            <w:vMerge/>
            <w:tcBorders>
              <w:bottom w:val="single" w:sz="4" w:space="0" w:color="auto"/>
            </w:tcBorders>
            <w:tcMar>
              <w:left w:w="108" w:type="dxa"/>
              <w:right w:w="108" w:type="dxa"/>
            </w:tcMar>
          </w:tcPr>
          <w:p w14:paraId="3AD2AD8F" w14:textId="412EFE40" w:rsidR="00D22E23" w:rsidRPr="00581026" w:rsidRDefault="00D22E23" w:rsidP="00B1013F">
            <w:pPr>
              <w:pStyle w:val="TableText"/>
            </w:pPr>
          </w:p>
        </w:tc>
        <w:tc>
          <w:tcPr>
            <w:tcW w:w="681" w:type="pct"/>
            <w:tcBorders>
              <w:top w:val="single" w:sz="4" w:space="0" w:color="auto"/>
              <w:bottom w:val="single" w:sz="4" w:space="0" w:color="auto"/>
            </w:tcBorders>
            <w:tcMar>
              <w:left w:w="108" w:type="dxa"/>
              <w:right w:w="108" w:type="dxa"/>
            </w:tcMar>
          </w:tcPr>
          <w:p w14:paraId="198A0FC4" w14:textId="0CE7FC9C" w:rsidR="00D22E23" w:rsidRPr="00581026" w:rsidRDefault="00D22E23" w:rsidP="00B1013F">
            <w:pPr>
              <w:pStyle w:val="TableText"/>
            </w:pPr>
            <w:r w:rsidRPr="00581026">
              <w:t>Approval for the CRIS release</w:t>
            </w:r>
          </w:p>
        </w:tc>
        <w:tc>
          <w:tcPr>
            <w:tcW w:w="781" w:type="pct"/>
            <w:tcBorders>
              <w:top w:val="single" w:sz="4" w:space="0" w:color="auto"/>
              <w:bottom w:val="single" w:sz="4" w:space="0" w:color="auto"/>
            </w:tcBorders>
            <w:tcMar>
              <w:left w:w="108" w:type="dxa"/>
              <w:right w:w="108" w:type="dxa"/>
            </w:tcMar>
          </w:tcPr>
          <w:p w14:paraId="608B93C4" w14:textId="6D78E383" w:rsidR="00D22E23" w:rsidRPr="00581026" w:rsidRDefault="00D22E23" w:rsidP="00B1013F">
            <w:pPr>
              <w:pStyle w:val="TableText"/>
            </w:pPr>
            <w:r w:rsidRPr="00581026">
              <w:t>Minister for Agriculture, Fisheries and Forestry</w:t>
            </w:r>
          </w:p>
        </w:tc>
        <w:tc>
          <w:tcPr>
            <w:tcW w:w="1639" w:type="pct"/>
            <w:tcBorders>
              <w:top w:val="single" w:sz="4" w:space="0" w:color="auto"/>
              <w:bottom w:val="single" w:sz="4" w:space="0" w:color="auto"/>
            </w:tcBorders>
            <w:tcMar>
              <w:left w:w="108" w:type="dxa"/>
              <w:right w:w="108" w:type="dxa"/>
            </w:tcMar>
          </w:tcPr>
          <w:p w14:paraId="65B09D91" w14:textId="74A3819B" w:rsidR="00D22E23" w:rsidRPr="00581026" w:rsidRDefault="00862696" w:rsidP="001D3FAB">
            <w:pPr>
              <w:pStyle w:val="TableText"/>
            </w:pPr>
            <w:r w:rsidRPr="00581026">
              <w:t xml:space="preserve">Medium risk rating for regulatory charging activities requiring portfolio </w:t>
            </w:r>
            <w:r>
              <w:t>m</w:t>
            </w:r>
            <w:r w:rsidRPr="00581026">
              <w:t>inister approval only.</w:t>
            </w:r>
          </w:p>
        </w:tc>
      </w:tr>
    </w:tbl>
    <w:p w14:paraId="0456C569" w14:textId="60048599" w:rsidR="003232D5" w:rsidRPr="003232D5" w:rsidRDefault="003232D5">
      <w:pPr>
        <w:pStyle w:val="Heading2"/>
        <w:numPr>
          <w:ilvl w:val="0"/>
          <w:numId w:val="0"/>
        </w:numPr>
      </w:pPr>
      <w:bookmarkStart w:id="207" w:name="_Appendix_A:_Summary"/>
      <w:bookmarkStart w:id="208" w:name="_Toc168489271"/>
      <w:bookmarkStart w:id="209" w:name="_Toc168489568"/>
      <w:bookmarkStart w:id="210" w:name="_Toc168645266"/>
      <w:bookmarkStart w:id="211" w:name="_Toc200115611"/>
      <w:bookmarkEnd w:id="207"/>
      <w:r w:rsidRPr="003232D5">
        <w:lastRenderedPageBreak/>
        <w:t>Appendix A: Summary</w:t>
      </w:r>
      <w:r w:rsidR="006E77C9">
        <w:t xml:space="preserve"> </w:t>
      </w:r>
      <w:r w:rsidRPr="003232D5">
        <w:t>of</w:t>
      </w:r>
      <w:r w:rsidR="006E77C9">
        <w:t xml:space="preserve"> </w:t>
      </w:r>
      <w:r w:rsidR="000738CB">
        <w:t>key regulatory activity</w:t>
      </w:r>
      <w:r w:rsidR="000738CB" w:rsidRPr="003232D5">
        <w:t xml:space="preserve"> </w:t>
      </w:r>
      <w:r w:rsidRPr="003232D5">
        <w:t>volumes</w:t>
      </w:r>
      <w:bookmarkEnd w:id="208"/>
      <w:bookmarkEnd w:id="209"/>
      <w:bookmarkEnd w:id="210"/>
      <w:bookmarkEnd w:id="211"/>
    </w:p>
    <w:p w14:paraId="0FE00E09" w14:textId="1C0AE5FE" w:rsidR="003232D5" w:rsidRDefault="0010050B" w:rsidP="003232D5">
      <w:r w:rsidRPr="0010050B">
        <w:t xml:space="preserve">During 2023–24, over 124 million cargo declarations </w:t>
      </w:r>
      <w:proofErr w:type="gramStart"/>
      <w:r w:rsidRPr="0010050B">
        <w:t>were made</w:t>
      </w:r>
      <w:proofErr w:type="gramEnd"/>
      <w:r w:rsidR="0066545A">
        <w:t>.</w:t>
      </w:r>
      <w:r w:rsidRPr="0010050B">
        <w:t xml:space="preserve"> </w:t>
      </w:r>
      <w:r w:rsidR="0066545A">
        <w:t>O</w:t>
      </w:r>
      <w:r w:rsidRPr="0010050B">
        <w:t xml:space="preserve">f </w:t>
      </w:r>
      <w:r w:rsidR="0066545A">
        <w:t>these,</w:t>
      </w:r>
      <w:r w:rsidRPr="0010050B">
        <w:t xml:space="preserve"> 4.4 million were full import declarations and 119.7 million were for low</w:t>
      </w:r>
      <w:r w:rsidR="0066545A">
        <w:t>-</w:t>
      </w:r>
      <w:r w:rsidRPr="0010050B">
        <w:t>value cargo under $1,000 in value. Over 104,000 international voyages and flights arrived at international airports and seaports a</w:t>
      </w:r>
      <w:r w:rsidR="0066545A">
        <w:t>cross Australia</w:t>
      </w:r>
      <w:r w:rsidRPr="0010050B">
        <w:t xml:space="preserve">. Around 19,000 import permit applications </w:t>
      </w:r>
      <w:proofErr w:type="gramStart"/>
      <w:r w:rsidRPr="0010050B">
        <w:t>were submitted</w:t>
      </w:r>
      <w:proofErr w:type="gramEnd"/>
      <w:r w:rsidRPr="0010050B">
        <w:t xml:space="preserve"> and nearly 8,000 animals </w:t>
      </w:r>
      <w:proofErr w:type="gramStart"/>
      <w:r w:rsidRPr="0010050B">
        <w:t>were processed</w:t>
      </w:r>
      <w:proofErr w:type="gramEnd"/>
      <w:r w:rsidRPr="0010050B">
        <w:t xml:space="preserve"> at PEQ facilities</w:t>
      </w:r>
      <w:r w:rsidR="003232D5" w:rsidRPr="003232D5">
        <w:t>.</w:t>
      </w:r>
    </w:p>
    <w:p w14:paraId="07A5A4C3" w14:textId="3F37BECB" w:rsidR="0087286F" w:rsidRPr="003232D5" w:rsidRDefault="00DD0CDF" w:rsidP="003232D5">
      <w:r>
        <w:t xml:space="preserve">The </w:t>
      </w:r>
      <w:r w:rsidR="0087286F" w:rsidRPr="006731D8">
        <w:t xml:space="preserve">data </w:t>
      </w:r>
      <w:r>
        <w:t xml:space="preserve">provided in this section </w:t>
      </w:r>
      <w:r w:rsidR="0087286F" w:rsidRPr="006731D8">
        <w:t>may differ to other reported figures due to updates associated with data reporting protocols.</w:t>
      </w:r>
    </w:p>
    <w:p w14:paraId="21872E49" w14:textId="14AE9F6B" w:rsidR="003232D5" w:rsidRDefault="003232D5" w:rsidP="00955554">
      <w:pPr>
        <w:pStyle w:val="Caption"/>
        <w:rPr>
          <w:b w:val="0"/>
          <w:bCs w:val="0"/>
        </w:rPr>
      </w:pPr>
      <w:r w:rsidRPr="003232D5">
        <w:rPr>
          <w:b w:val="0"/>
          <w:bCs w:val="0"/>
        </w:rPr>
        <w:fldChar w:fldCharType="begin"/>
      </w:r>
      <w:r w:rsidRPr="003232D5">
        <w:instrText xml:space="preserve"> REF Charges \h </w:instrText>
      </w:r>
      <w:r w:rsidRPr="003232D5">
        <w:rPr>
          <w:b w:val="0"/>
          <w:bCs w:val="0"/>
        </w:rPr>
      </w:r>
      <w:r w:rsidRPr="003232D5">
        <w:rPr>
          <w:b w:val="0"/>
          <w:bCs w:val="0"/>
        </w:rPr>
        <w:fldChar w:fldCharType="end"/>
      </w:r>
      <w:bookmarkStart w:id="212" w:name="_Toc193971033"/>
      <w:bookmarkStart w:id="213" w:name="_Toc200534252"/>
      <w:r w:rsidR="00955554">
        <w:t>Table A</w:t>
      </w:r>
      <w:r w:rsidR="00955554">
        <w:fldChar w:fldCharType="begin"/>
      </w:r>
      <w:r w:rsidR="00955554">
        <w:instrText xml:space="preserve"> SEQ Table_A \* ARABIC </w:instrText>
      </w:r>
      <w:r w:rsidR="00955554">
        <w:fldChar w:fldCharType="separate"/>
      </w:r>
      <w:r w:rsidR="005B4D28">
        <w:rPr>
          <w:noProof/>
        </w:rPr>
        <w:t>1</w:t>
      </w:r>
      <w:r w:rsidR="00955554">
        <w:fldChar w:fldCharType="end"/>
      </w:r>
      <w:r w:rsidR="00955554" w:rsidRPr="003232D5">
        <w:t xml:space="preserve"> Vessel</w:t>
      </w:r>
      <w:r w:rsidR="00955554">
        <w:t xml:space="preserve"> and aircraft</w:t>
      </w:r>
      <w:bookmarkEnd w:id="212"/>
      <w:r w:rsidR="0066545A">
        <w:t xml:space="preserve"> volumes</w:t>
      </w:r>
      <w:bookmarkEnd w:id="213"/>
    </w:p>
    <w:tbl>
      <w:tblPr>
        <w:tblpPr w:leftFromText="180" w:rightFromText="180" w:vertAnchor="text" w:horzAnchor="margin" w:tblpY="103"/>
        <w:tblW w:w="5000" w:type="pct"/>
        <w:tblBorders>
          <w:top w:val="single" w:sz="4" w:space="0" w:color="auto"/>
          <w:bottom w:val="single" w:sz="4" w:space="0" w:color="auto"/>
          <w:insideH w:val="single" w:sz="4" w:space="0" w:color="auto"/>
        </w:tblBorders>
        <w:tblCellMar>
          <w:left w:w="40" w:type="dxa"/>
          <w:right w:w="40" w:type="dxa"/>
        </w:tblCellMar>
        <w:tblLook w:val="04A0" w:firstRow="1" w:lastRow="0" w:firstColumn="1" w:lastColumn="0" w:noHBand="0" w:noVBand="1"/>
      </w:tblPr>
      <w:tblGrid>
        <w:gridCol w:w="1040"/>
        <w:gridCol w:w="2677"/>
        <w:gridCol w:w="2677"/>
        <w:gridCol w:w="2676"/>
      </w:tblGrid>
      <w:tr w:rsidR="00F66006" w:rsidRPr="0029167F" w14:paraId="5DDE5425" w14:textId="77777777" w:rsidTr="00986BB3">
        <w:trPr>
          <w:cantSplit/>
          <w:tblHeader/>
        </w:trPr>
        <w:tc>
          <w:tcPr>
            <w:tcW w:w="573" w:type="pct"/>
            <w:tcMar>
              <w:left w:w="108" w:type="dxa"/>
              <w:right w:w="108" w:type="dxa"/>
            </w:tcMar>
          </w:tcPr>
          <w:p w14:paraId="1F1A4C8D" w14:textId="77777777" w:rsidR="00F66006" w:rsidRPr="00CA4189" w:rsidRDefault="00F66006" w:rsidP="00CA4189">
            <w:pPr>
              <w:pStyle w:val="TableHeading"/>
              <w:rPr>
                <w:rStyle w:val="Strong"/>
                <w:b/>
                <w:bCs w:val="0"/>
              </w:rPr>
            </w:pPr>
            <w:bookmarkStart w:id="214" w:name="Title_A1"/>
            <w:bookmarkEnd w:id="214"/>
            <w:r w:rsidRPr="00CA4189">
              <w:rPr>
                <w:rStyle w:val="Strong"/>
                <w:b/>
                <w:bCs w:val="0"/>
              </w:rPr>
              <w:t>Year</w:t>
            </w:r>
          </w:p>
        </w:tc>
        <w:tc>
          <w:tcPr>
            <w:tcW w:w="1476" w:type="pct"/>
            <w:tcMar>
              <w:left w:w="108" w:type="dxa"/>
              <w:right w:w="108" w:type="dxa"/>
            </w:tcMar>
          </w:tcPr>
          <w:p w14:paraId="4EF78D2C" w14:textId="77777777" w:rsidR="00F66006" w:rsidRPr="00CA4189" w:rsidRDefault="00F66006" w:rsidP="00986BB3">
            <w:pPr>
              <w:pStyle w:val="TableHeading"/>
              <w:jc w:val="right"/>
              <w:rPr>
                <w:rStyle w:val="Strong"/>
                <w:b/>
                <w:bCs w:val="0"/>
              </w:rPr>
            </w:pPr>
            <w:r w:rsidRPr="00CA4189">
              <w:rPr>
                <w:rStyle w:val="Strong"/>
                <w:b/>
                <w:bCs w:val="0"/>
              </w:rPr>
              <w:t>Total number of international voyages</w:t>
            </w:r>
          </w:p>
        </w:tc>
        <w:tc>
          <w:tcPr>
            <w:tcW w:w="1476" w:type="pct"/>
            <w:tcMar>
              <w:left w:w="108" w:type="dxa"/>
              <w:right w:w="108" w:type="dxa"/>
            </w:tcMar>
          </w:tcPr>
          <w:p w14:paraId="09EFA38F" w14:textId="77777777" w:rsidR="00F66006" w:rsidRPr="00CA4189" w:rsidRDefault="00F66006" w:rsidP="00986BB3">
            <w:pPr>
              <w:pStyle w:val="TableHeading"/>
              <w:jc w:val="right"/>
              <w:rPr>
                <w:rStyle w:val="Strong"/>
                <w:b/>
                <w:bCs w:val="0"/>
              </w:rPr>
            </w:pPr>
            <w:bookmarkStart w:id="215" w:name="_Hlk167262314"/>
            <w:r w:rsidRPr="00CA4189">
              <w:rPr>
                <w:rStyle w:val="Strong"/>
                <w:b/>
                <w:bCs w:val="0"/>
              </w:rPr>
              <w:t>Number of voyage inspections</w:t>
            </w:r>
            <w:bookmarkEnd w:id="215"/>
          </w:p>
        </w:tc>
        <w:tc>
          <w:tcPr>
            <w:tcW w:w="1475" w:type="pct"/>
            <w:tcMar>
              <w:left w:w="108" w:type="dxa"/>
              <w:right w:w="108" w:type="dxa"/>
            </w:tcMar>
          </w:tcPr>
          <w:p w14:paraId="49625EDE" w14:textId="77777777" w:rsidR="00F66006" w:rsidRPr="00CA4189" w:rsidRDefault="00F66006" w:rsidP="00986BB3">
            <w:pPr>
              <w:pStyle w:val="TableHeading"/>
              <w:jc w:val="right"/>
              <w:rPr>
                <w:rStyle w:val="Strong"/>
                <w:b/>
                <w:bCs w:val="0"/>
              </w:rPr>
            </w:pPr>
            <w:r w:rsidRPr="00CA4189">
              <w:rPr>
                <w:rStyle w:val="Strong"/>
                <w:b/>
                <w:bCs w:val="0"/>
              </w:rPr>
              <w:t>Total number of international aircraft arrivals</w:t>
            </w:r>
          </w:p>
        </w:tc>
      </w:tr>
      <w:tr w:rsidR="0010050B" w:rsidRPr="0029167F" w14:paraId="63DFC82C" w14:textId="77777777" w:rsidTr="00CA4189">
        <w:tc>
          <w:tcPr>
            <w:tcW w:w="573" w:type="pct"/>
            <w:tcMar>
              <w:left w:w="108" w:type="dxa"/>
              <w:right w:w="108" w:type="dxa"/>
            </w:tcMar>
          </w:tcPr>
          <w:p w14:paraId="354F060E" w14:textId="4F845778" w:rsidR="0010050B" w:rsidRPr="00CA4189" w:rsidRDefault="0010050B" w:rsidP="00CA4189">
            <w:pPr>
              <w:pStyle w:val="TableText"/>
            </w:pPr>
            <w:r w:rsidRPr="00CA4189">
              <w:t>2023</w:t>
            </w:r>
            <w:r w:rsidR="00CA4189" w:rsidRPr="00CA4189">
              <w:t>–</w:t>
            </w:r>
            <w:r w:rsidRPr="00CA4189">
              <w:t>24</w:t>
            </w:r>
          </w:p>
        </w:tc>
        <w:tc>
          <w:tcPr>
            <w:tcW w:w="1476" w:type="pct"/>
            <w:tcMar>
              <w:left w:w="108" w:type="dxa"/>
              <w:right w:w="108" w:type="dxa"/>
            </w:tcMar>
          </w:tcPr>
          <w:p w14:paraId="33A80F2B" w14:textId="049E3D2A" w:rsidR="0010050B" w:rsidRPr="00CA4189" w:rsidRDefault="0010050B" w:rsidP="00CA4189">
            <w:pPr>
              <w:pStyle w:val="TableText"/>
              <w:jc w:val="right"/>
            </w:pPr>
            <w:r w:rsidRPr="00CA4189">
              <w:t>19,824</w:t>
            </w:r>
          </w:p>
        </w:tc>
        <w:tc>
          <w:tcPr>
            <w:tcW w:w="1476" w:type="pct"/>
            <w:tcMar>
              <w:left w:w="108" w:type="dxa"/>
              <w:right w:w="108" w:type="dxa"/>
            </w:tcMar>
          </w:tcPr>
          <w:p w14:paraId="515AB46B" w14:textId="368925CF" w:rsidR="0010050B" w:rsidRPr="00CA4189" w:rsidRDefault="0010050B" w:rsidP="00CA4189">
            <w:pPr>
              <w:pStyle w:val="TableText"/>
              <w:jc w:val="right"/>
            </w:pPr>
            <w:r w:rsidRPr="00CA4189">
              <w:t>11,089</w:t>
            </w:r>
          </w:p>
        </w:tc>
        <w:tc>
          <w:tcPr>
            <w:tcW w:w="1475" w:type="pct"/>
            <w:tcMar>
              <w:left w:w="108" w:type="dxa"/>
              <w:right w:w="108" w:type="dxa"/>
            </w:tcMar>
          </w:tcPr>
          <w:p w14:paraId="1FC857DF" w14:textId="29C4050F" w:rsidR="0010050B" w:rsidRPr="00CA4189" w:rsidRDefault="0010050B" w:rsidP="00CA4189">
            <w:pPr>
              <w:pStyle w:val="TableText"/>
              <w:jc w:val="right"/>
            </w:pPr>
            <w:r w:rsidRPr="00CA4189">
              <w:t>104,530</w:t>
            </w:r>
          </w:p>
        </w:tc>
      </w:tr>
      <w:tr w:rsidR="0010050B" w:rsidRPr="0029167F" w14:paraId="5DF3B363" w14:textId="77777777" w:rsidTr="00CA4189">
        <w:tc>
          <w:tcPr>
            <w:tcW w:w="573" w:type="pct"/>
            <w:tcMar>
              <w:left w:w="108" w:type="dxa"/>
              <w:right w:w="108" w:type="dxa"/>
            </w:tcMar>
          </w:tcPr>
          <w:p w14:paraId="1B0F28BD" w14:textId="65BB85EA" w:rsidR="0010050B" w:rsidRPr="00CA4189" w:rsidRDefault="0010050B" w:rsidP="00CA4189">
            <w:pPr>
              <w:pStyle w:val="TableText"/>
            </w:pPr>
            <w:r w:rsidRPr="00CA4189">
              <w:t>2022–23</w:t>
            </w:r>
          </w:p>
        </w:tc>
        <w:tc>
          <w:tcPr>
            <w:tcW w:w="1476" w:type="pct"/>
            <w:tcMar>
              <w:left w:w="108" w:type="dxa"/>
              <w:right w:w="108" w:type="dxa"/>
            </w:tcMar>
          </w:tcPr>
          <w:p w14:paraId="2F9A8B97" w14:textId="266FD1FA" w:rsidR="0010050B" w:rsidRPr="00CA4189" w:rsidRDefault="0010050B" w:rsidP="00CA4189">
            <w:pPr>
              <w:pStyle w:val="TableText"/>
              <w:jc w:val="right"/>
            </w:pPr>
            <w:r w:rsidRPr="00CA4189">
              <w:t>19,316</w:t>
            </w:r>
          </w:p>
        </w:tc>
        <w:tc>
          <w:tcPr>
            <w:tcW w:w="1476" w:type="pct"/>
            <w:tcMar>
              <w:left w:w="108" w:type="dxa"/>
              <w:right w:w="108" w:type="dxa"/>
            </w:tcMar>
          </w:tcPr>
          <w:p w14:paraId="56E9EAC8" w14:textId="1D0F3D75" w:rsidR="0010050B" w:rsidRPr="00CA4189" w:rsidRDefault="0010050B" w:rsidP="00CA4189">
            <w:pPr>
              <w:pStyle w:val="TableText"/>
              <w:jc w:val="right"/>
            </w:pPr>
            <w:r w:rsidRPr="00CA4189">
              <w:t>10,949</w:t>
            </w:r>
          </w:p>
        </w:tc>
        <w:tc>
          <w:tcPr>
            <w:tcW w:w="1475" w:type="pct"/>
            <w:tcMar>
              <w:left w:w="108" w:type="dxa"/>
              <w:right w:w="108" w:type="dxa"/>
            </w:tcMar>
          </w:tcPr>
          <w:p w14:paraId="66E0ED12" w14:textId="0A5F2FC6" w:rsidR="0010050B" w:rsidRPr="00CA4189" w:rsidRDefault="0010050B" w:rsidP="00CA4189">
            <w:pPr>
              <w:pStyle w:val="TableText"/>
              <w:jc w:val="right"/>
            </w:pPr>
            <w:r w:rsidRPr="00CA4189">
              <w:t>74,114</w:t>
            </w:r>
          </w:p>
        </w:tc>
      </w:tr>
      <w:tr w:rsidR="0010050B" w:rsidRPr="0029167F" w14:paraId="31002B50" w14:textId="77777777" w:rsidTr="00CA4189">
        <w:tc>
          <w:tcPr>
            <w:tcW w:w="573" w:type="pct"/>
            <w:tcMar>
              <w:left w:w="108" w:type="dxa"/>
              <w:right w:w="108" w:type="dxa"/>
            </w:tcMar>
          </w:tcPr>
          <w:p w14:paraId="6935D3B9" w14:textId="423FEC77" w:rsidR="0010050B" w:rsidRPr="00CA4189" w:rsidRDefault="0010050B" w:rsidP="00CA4189">
            <w:pPr>
              <w:pStyle w:val="TableText"/>
            </w:pPr>
            <w:r w:rsidRPr="00CA4189">
              <w:t>2021–22</w:t>
            </w:r>
          </w:p>
        </w:tc>
        <w:tc>
          <w:tcPr>
            <w:tcW w:w="1476" w:type="pct"/>
            <w:tcMar>
              <w:left w:w="108" w:type="dxa"/>
              <w:right w:w="108" w:type="dxa"/>
            </w:tcMar>
          </w:tcPr>
          <w:p w14:paraId="51085C96" w14:textId="4E225D16" w:rsidR="0010050B" w:rsidRPr="00CA4189" w:rsidRDefault="0010050B" w:rsidP="00CA4189">
            <w:pPr>
              <w:pStyle w:val="TableText"/>
              <w:jc w:val="right"/>
            </w:pPr>
            <w:r w:rsidRPr="00CA4189">
              <w:t>18,256</w:t>
            </w:r>
          </w:p>
        </w:tc>
        <w:tc>
          <w:tcPr>
            <w:tcW w:w="1476" w:type="pct"/>
            <w:tcMar>
              <w:left w:w="108" w:type="dxa"/>
              <w:right w:w="108" w:type="dxa"/>
            </w:tcMar>
          </w:tcPr>
          <w:p w14:paraId="48D4D469" w14:textId="712647CC" w:rsidR="0010050B" w:rsidRPr="00CA4189" w:rsidRDefault="0010050B" w:rsidP="00CA4189">
            <w:pPr>
              <w:pStyle w:val="TableText"/>
              <w:jc w:val="right"/>
            </w:pPr>
            <w:r w:rsidRPr="00CA4189">
              <w:t>15,166</w:t>
            </w:r>
          </w:p>
        </w:tc>
        <w:tc>
          <w:tcPr>
            <w:tcW w:w="1475" w:type="pct"/>
            <w:tcMar>
              <w:left w:w="108" w:type="dxa"/>
              <w:right w:w="108" w:type="dxa"/>
            </w:tcMar>
          </w:tcPr>
          <w:p w14:paraId="27E5ABE5" w14:textId="02038F68" w:rsidR="0010050B" w:rsidRPr="00CA4189" w:rsidRDefault="0010050B" w:rsidP="00CA4189">
            <w:pPr>
              <w:pStyle w:val="TableText"/>
              <w:jc w:val="right"/>
            </w:pPr>
            <w:r w:rsidRPr="00CA4189">
              <w:t>27,464</w:t>
            </w:r>
          </w:p>
        </w:tc>
      </w:tr>
      <w:tr w:rsidR="0010050B" w:rsidRPr="0029167F" w14:paraId="44EDA0A9" w14:textId="77777777" w:rsidTr="00CA4189">
        <w:tc>
          <w:tcPr>
            <w:tcW w:w="573" w:type="pct"/>
            <w:tcMar>
              <w:left w:w="108" w:type="dxa"/>
              <w:right w:w="108" w:type="dxa"/>
            </w:tcMar>
          </w:tcPr>
          <w:p w14:paraId="6E8A5B99" w14:textId="0B893910" w:rsidR="0010050B" w:rsidRPr="00CA4189" w:rsidRDefault="0010050B" w:rsidP="00CA4189">
            <w:pPr>
              <w:pStyle w:val="TableText"/>
            </w:pPr>
            <w:r w:rsidRPr="00CA4189">
              <w:t>2020–21</w:t>
            </w:r>
          </w:p>
        </w:tc>
        <w:tc>
          <w:tcPr>
            <w:tcW w:w="1476" w:type="pct"/>
            <w:tcMar>
              <w:left w:w="108" w:type="dxa"/>
              <w:right w:w="108" w:type="dxa"/>
            </w:tcMar>
          </w:tcPr>
          <w:p w14:paraId="4CE8FDFC" w14:textId="124ABC7D" w:rsidR="0010050B" w:rsidRPr="00CA4189" w:rsidRDefault="0010050B" w:rsidP="00CA4189">
            <w:pPr>
              <w:pStyle w:val="TableText"/>
              <w:jc w:val="right"/>
            </w:pPr>
            <w:r w:rsidRPr="00CA4189">
              <w:t>17,844</w:t>
            </w:r>
          </w:p>
        </w:tc>
        <w:tc>
          <w:tcPr>
            <w:tcW w:w="1476" w:type="pct"/>
            <w:tcMar>
              <w:left w:w="108" w:type="dxa"/>
              <w:right w:w="108" w:type="dxa"/>
            </w:tcMar>
          </w:tcPr>
          <w:p w14:paraId="21647AB3" w14:textId="6EF4164A" w:rsidR="0010050B" w:rsidRPr="00CA4189" w:rsidRDefault="0010050B" w:rsidP="00CA4189">
            <w:pPr>
              <w:pStyle w:val="TableText"/>
              <w:jc w:val="right"/>
            </w:pPr>
            <w:r w:rsidRPr="00CA4189">
              <w:t>15,108</w:t>
            </w:r>
          </w:p>
        </w:tc>
        <w:tc>
          <w:tcPr>
            <w:tcW w:w="1475" w:type="pct"/>
            <w:tcMar>
              <w:left w:w="108" w:type="dxa"/>
              <w:right w:w="108" w:type="dxa"/>
            </w:tcMar>
          </w:tcPr>
          <w:p w14:paraId="26C3E9D0" w14:textId="3D4F7617" w:rsidR="0010050B" w:rsidRPr="00CA4189" w:rsidRDefault="0010050B" w:rsidP="00CA4189">
            <w:pPr>
              <w:pStyle w:val="TableText"/>
              <w:jc w:val="right"/>
            </w:pPr>
            <w:r w:rsidRPr="00CA4189">
              <w:t>16,206</w:t>
            </w:r>
          </w:p>
        </w:tc>
      </w:tr>
    </w:tbl>
    <w:p w14:paraId="290107F4" w14:textId="1227D076" w:rsidR="004545CF" w:rsidRPr="004545CF" w:rsidRDefault="004545CF" w:rsidP="0010050B">
      <w:pPr>
        <w:pStyle w:val="FigureTableNoteSource"/>
      </w:pPr>
      <w:r w:rsidRPr="004545CF">
        <w:t xml:space="preserve">Note: For 2022–23 an update to ‘Number of voyage inspections’ data has </w:t>
      </w:r>
      <w:proofErr w:type="gramStart"/>
      <w:r w:rsidRPr="004545CF">
        <w:t>been applied</w:t>
      </w:r>
      <w:proofErr w:type="gramEnd"/>
      <w:r w:rsidRPr="004545CF">
        <w:t xml:space="preserve"> from previous years data within this report. Data </w:t>
      </w:r>
      <w:proofErr w:type="gramStart"/>
      <w:r w:rsidRPr="004545CF">
        <w:t>is now calculated</w:t>
      </w:r>
      <w:proofErr w:type="gramEnd"/>
      <w:r w:rsidRPr="004545CF">
        <w:t xml:space="preserve"> on the number of </w:t>
      </w:r>
      <w:r w:rsidR="0087286F">
        <w:t>conveyances</w:t>
      </w:r>
      <w:r w:rsidRPr="004545CF">
        <w:t xml:space="preserve"> inspected after international arrival rather than the number of </w:t>
      </w:r>
      <w:r w:rsidR="0087286F">
        <w:t>conveyance</w:t>
      </w:r>
      <w:r w:rsidRPr="004545CF">
        <w:t xml:space="preserve"> inspections that may have occurred.</w:t>
      </w:r>
    </w:p>
    <w:p w14:paraId="279AD2F1" w14:textId="1C5CDC1D" w:rsidR="004545CF" w:rsidRPr="004545CF" w:rsidRDefault="00955554" w:rsidP="00955554">
      <w:pPr>
        <w:pStyle w:val="Caption"/>
        <w:rPr>
          <w:b w:val="0"/>
          <w:bCs w:val="0"/>
        </w:rPr>
      </w:pPr>
      <w:bookmarkStart w:id="216" w:name="_Toc193971034"/>
      <w:bookmarkStart w:id="217" w:name="_Toc200534253"/>
      <w:r>
        <w:t>Table A</w:t>
      </w:r>
      <w:r>
        <w:fldChar w:fldCharType="begin"/>
      </w:r>
      <w:r>
        <w:instrText xml:space="preserve"> SEQ Table_A \* ARABIC </w:instrText>
      </w:r>
      <w:r>
        <w:fldChar w:fldCharType="separate"/>
      </w:r>
      <w:r w:rsidR="005B4D28">
        <w:rPr>
          <w:noProof/>
        </w:rPr>
        <w:t>2</w:t>
      </w:r>
      <w:r>
        <w:fldChar w:fldCharType="end"/>
      </w:r>
      <w:r w:rsidRPr="004545CF">
        <w:t xml:space="preserve"> Cargo</w:t>
      </w:r>
      <w:bookmarkEnd w:id="216"/>
      <w:r w:rsidR="0066545A">
        <w:t xml:space="preserve"> volumes</w:t>
      </w:r>
      <w:bookmarkEnd w:id="217"/>
    </w:p>
    <w:tbl>
      <w:tblPr>
        <w:tblW w:w="5000" w:type="pct"/>
        <w:tblBorders>
          <w:top w:val="single" w:sz="4" w:space="0" w:color="auto"/>
          <w:bottom w:val="single" w:sz="4" w:space="0" w:color="auto"/>
          <w:insideH w:val="single" w:sz="4" w:space="0" w:color="auto"/>
        </w:tblBorders>
        <w:tblCellMar>
          <w:left w:w="40" w:type="dxa"/>
          <w:right w:w="40" w:type="dxa"/>
        </w:tblCellMar>
        <w:tblLook w:val="04A0" w:firstRow="1" w:lastRow="0" w:firstColumn="1" w:lastColumn="0" w:noHBand="0" w:noVBand="1"/>
      </w:tblPr>
      <w:tblGrid>
        <w:gridCol w:w="1013"/>
        <w:gridCol w:w="1727"/>
        <w:gridCol w:w="1725"/>
        <w:gridCol w:w="1584"/>
        <w:gridCol w:w="1584"/>
        <w:gridCol w:w="1437"/>
      </w:tblGrid>
      <w:tr w:rsidR="006E77C9" w:rsidRPr="0029167F" w14:paraId="7A133777" w14:textId="77777777" w:rsidTr="00986BB3">
        <w:trPr>
          <w:cantSplit/>
          <w:tblHeader/>
        </w:trPr>
        <w:tc>
          <w:tcPr>
            <w:tcW w:w="559" w:type="pct"/>
            <w:tcMar>
              <w:left w:w="108" w:type="dxa"/>
              <w:right w:w="108" w:type="dxa"/>
            </w:tcMar>
          </w:tcPr>
          <w:p w14:paraId="1C4F580B" w14:textId="77777777" w:rsidR="00955554" w:rsidRPr="00CA4189" w:rsidRDefault="00955554" w:rsidP="00CA4189">
            <w:pPr>
              <w:pStyle w:val="TableHeading"/>
              <w:rPr>
                <w:rStyle w:val="Strong"/>
                <w:b/>
                <w:bCs w:val="0"/>
              </w:rPr>
            </w:pPr>
            <w:bookmarkStart w:id="218" w:name="Title_A2"/>
            <w:bookmarkEnd w:id="218"/>
            <w:r w:rsidRPr="00CA4189">
              <w:rPr>
                <w:rStyle w:val="Strong"/>
                <w:b/>
                <w:bCs w:val="0"/>
              </w:rPr>
              <w:t>Year</w:t>
            </w:r>
          </w:p>
        </w:tc>
        <w:tc>
          <w:tcPr>
            <w:tcW w:w="952" w:type="pct"/>
            <w:tcMar>
              <w:left w:w="108" w:type="dxa"/>
              <w:right w:w="108" w:type="dxa"/>
            </w:tcMar>
          </w:tcPr>
          <w:p w14:paraId="2AF16867" w14:textId="77777777" w:rsidR="00955554" w:rsidRPr="00CA4189" w:rsidRDefault="00955554" w:rsidP="00CA4189">
            <w:pPr>
              <w:pStyle w:val="TableHeading"/>
              <w:rPr>
                <w:rStyle w:val="Strong"/>
                <w:b/>
                <w:bCs w:val="0"/>
              </w:rPr>
            </w:pPr>
            <w:r w:rsidRPr="00CA4189">
              <w:rPr>
                <w:rStyle w:val="Strong"/>
                <w:b/>
                <w:bCs w:val="0"/>
              </w:rPr>
              <w:t>Total international cargo import declarations</w:t>
            </w:r>
          </w:p>
        </w:tc>
        <w:tc>
          <w:tcPr>
            <w:tcW w:w="951" w:type="pct"/>
            <w:tcMar>
              <w:left w:w="108" w:type="dxa"/>
              <w:right w:w="108" w:type="dxa"/>
            </w:tcMar>
          </w:tcPr>
          <w:p w14:paraId="0A3EF90F" w14:textId="77777777" w:rsidR="00955554" w:rsidRPr="00CA4189" w:rsidRDefault="00955554" w:rsidP="00CA4189">
            <w:pPr>
              <w:pStyle w:val="TableHeading"/>
              <w:rPr>
                <w:rStyle w:val="Strong"/>
                <w:b/>
                <w:bCs w:val="0"/>
              </w:rPr>
            </w:pPr>
            <w:r w:rsidRPr="00CA4189">
              <w:rPr>
                <w:rStyle w:val="Strong"/>
                <w:b/>
                <w:bCs w:val="0"/>
              </w:rPr>
              <w:t>Number of cargo imports assessed</w:t>
            </w:r>
          </w:p>
        </w:tc>
        <w:tc>
          <w:tcPr>
            <w:tcW w:w="873" w:type="pct"/>
            <w:tcMar>
              <w:left w:w="108" w:type="dxa"/>
              <w:right w:w="108" w:type="dxa"/>
            </w:tcMar>
          </w:tcPr>
          <w:p w14:paraId="2CE56C6C" w14:textId="58121A15" w:rsidR="00955554" w:rsidRPr="00CA4189" w:rsidRDefault="00955554" w:rsidP="00CA4189">
            <w:pPr>
              <w:pStyle w:val="TableHeading"/>
              <w:rPr>
                <w:rStyle w:val="Strong"/>
                <w:b/>
                <w:bCs w:val="0"/>
              </w:rPr>
            </w:pPr>
            <w:r w:rsidRPr="00CA4189">
              <w:rPr>
                <w:rStyle w:val="Strong"/>
                <w:b/>
                <w:bCs w:val="0"/>
              </w:rPr>
              <w:t>Number of cargo import inspections</w:t>
            </w:r>
          </w:p>
        </w:tc>
        <w:tc>
          <w:tcPr>
            <w:tcW w:w="873" w:type="pct"/>
            <w:tcMar>
              <w:left w:w="108" w:type="dxa"/>
              <w:right w:w="108" w:type="dxa"/>
            </w:tcMar>
          </w:tcPr>
          <w:p w14:paraId="787D3902" w14:textId="5C42B91A" w:rsidR="00955554" w:rsidRPr="00CA4189" w:rsidRDefault="00955554" w:rsidP="00CA4189">
            <w:pPr>
              <w:pStyle w:val="TableHeading"/>
              <w:rPr>
                <w:rStyle w:val="Strong"/>
                <w:b/>
                <w:bCs w:val="0"/>
              </w:rPr>
            </w:pPr>
            <w:r w:rsidRPr="00CA4189">
              <w:rPr>
                <w:rStyle w:val="Strong"/>
                <w:b/>
                <w:bCs w:val="0"/>
              </w:rPr>
              <w:t>Total high</w:t>
            </w:r>
            <w:r w:rsidR="0066545A">
              <w:rPr>
                <w:rStyle w:val="Strong"/>
                <w:b/>
                <w:bCs w:val="0"/>
              </w:rPr>
              <w:t>-</w:t>
            </w:r>
            <w:r w:rsidRPr="00CA4189">
              <w:rPr>
                <w:rStyle w:val="Strong"/>
                <w:b/>
                <w:bCs w:val="0"/>
              </w:rPr>
              <w:t>value cargo import declarations</w:t>
            </w:r>
          </w:p>
        </w:tc>
        <w:tc>
          <w:tcPr>
            <w:tcW w:w="792" w:type="pct"/>
            <w:tcMar>
              <w:left w:w="108" w:type="dxa"/>
              <w:right w:w="108" w:type="dxa"/>
            </w:tcMar>
          </w:tcPr>
          <w:p w14:paraId="7700F065" w14:textId="679885B3" w:rsidR="00955554" w:rsidRPr="00CA4189" w:rsidRDefault="00955554" w:rsidP="00CA4189">
            <w:pPr>
              <w:pStyle w:val="TableHeading"/>
              <w:rPr>
                <w:rStyle w:val="Strong"/>
                <w:b/>
                <w:bCs w:val="0"/>
              </w:rPr>
            </w:pPr>
            <w:r w:rsidRPr="00CA4189">
              <w:rPr>
                <w:rStyle w:val="Strong"/>
                <w:b/>
                <w:bCs w:val="0"/>
              </w:rPr>
              <w:t>Total low</w:t>
            </w:r>
            <w:r w:rsidR="0066545A">
              <w:rPr>
                <w:rStyle w:val="Strong"/>
                <w:b/>
                <w:bCs w:val="0"/>
              </w:rPr>
              <w:t>-</w:t>
            </w:r>
            <w:r w:rsidRPr="00CA4189">
              <w:rPr>
                <w:rStyle w:val="Strong"/>
                <w:b/>
                <w:bCs w:val="0"/>
              </w:rPr>
              <w:t>value cargo import declarations</w:t>
            </w:r>
          </w:p>
        </w:tc>
      </w:tr>
      <w:tr w:rsidR="006E77C9" w:rsidRPr="0029167F" w14:paraId="66AC6E65" w14:textId="77777777" w:rsidTr="007D7238">
        <w:tc>
          <w:tcPr>
            <w:tcW w:w="559" w:type="pct"/>
            <w:tcMar>
              <w:left w:w="108" w:type="dxa"/>
              <w:right w:w="108" w:type="dxa"/>
            </w:tcMar>
          </w:tcPr>
          <w:p w14:paraId="4E43DC45" w14:textId="55219338" w:rsidR="00955554" w:rsidRPr="0029167F" w:rsidRDefault="00955554" w:rsidP="0010050B">
            <w:pPr>
              <w:pStyle w:val="TableText"/>
              <w:rPr>
                <w:rFonts w:cstheme="minorHAnsi"/>
              </w:rPr>
            </w:pPr>
            <w:r w:rsidRPr="003711D4">
              <w:t>2023–24</w:t>
            </w:r>
          </w:p>
        </w:tc>
        <w:tc>
          <w:tcPr>
            <w:tcW w:w="952" w:type="pct"/>
            <w:tcMar>
              <w:left w:w="108" w:type="dxa"/>
              <w:right w:w="108" w:type="dxa"/>
            </w:tcMar>
          </w:tcPr>
          <w:p w14:paraId="1C662FA4" w14:textId="679AC578" w:rsidR="00955554" w:rsidRPr="0029167F" w:rsidRDefault="00955554" w:rsidP="0010050B">
            <w:pPr>
              <w:pStyle w:val="TableText"/>
              <w:jc w:val="right"/>
              <w:rPr>
                <w:rFonts w:cstheme="minorHAnsi"/>
              </w:rPr>
            </w:pPr>
            <w:r w:rsidRPr="003711D4">
              <w:t>124,043,244</w:t>
            </w:r>
          </w:p>
        </w:tc>
        <w:tc>
          <w:tcPr>
            <w:tcW w:w="951" w:type="pct"/>
            <w:tcMar>
              <w:left w:w="108" w:type="dxa"/>
              <w:right w:w="108" w:type="dxa"/>
            </w:tcMar>
          </w:tcPr>
          <w:p w14:paraId="173E61A0" w14:textId="208B3A7F" w:rsidR="00955554" w:rsidRPr="0029167F" w:rsidRDefault="00955554" w:rsidP="0010050B">
            <w:pPr>
              <w:pStyle w:val="TableText"/>
              <w:jc w:val="right"/>
              <w:rPr>
                <w:rFonts w:cstheme="minorHAnsi"/>
              </w:rPr>
            </w:pPr>
            <w:r w:rsidRPr="003711D4">
              <w:t>624,512</w:t>
            </w:r>
          </w:p>
        </w:tc>
        <w:tc>
          <w:tcPr>
            <w:tcW w:w="873" w:type="pct"/>
            <w:tcMar>
              <w:left w:w="108" w:type="dxa"/>
              <w:right w:w="108" w:type="dxa"/>
            </w:tcMar>
          </w:tcPr>
          <w:p w14:paraId="4F33EFB2" w14:textId="3A1F6F88" w:rsidR="00955554" w:rsidRPr="0029167F" w:rsidRDefault="00955554" w:rsidP="0010050B">
            <w:pPr>
              <w:pStyle w:val="TableText"/>
              <w:jc w:val="right"/>
              <w:rPr>
                <w:rFonts w:cstheme="minorHAnsi"/>
              </w:rPr>
            </w:pPr>
            <w:r w:rsidRPr="003711D4">
              <w:t>275,133</w:t>
            </w:r>
          </w:p>
        </w:tc>
        <w:tc>
          <w:tcPr>
            <w:tcW w:w="873" w:type="pct"/>
            <w:tcMar>
              <w:left w:w="108" w:type="dxa"/>
              <w:right w:w="108" w:type="dxa"/>
            </w:tcMar>
          </w:tcPr>
          <w:p w14:paraId="167F5ED3" w14:textId="7C6F7656" w:rsidR="00955554" w:rsidRPr="0029167F" w:rsidRDefault="00955554" w:rsidP="0010050B">
            <w:pPr>
              <w:pStyle w:val="TableText"/>
              <w:jc w:val="right"/>
              <w:rPr>
                <w:rFonts w:cstheme="minorHAnsi"/>
              </w:rPr>
            </w:pPr>
            <w:r w:rsidRPr="003711D4">
              <w:t>4,353716</w:t>
            </w:r>
          </w:p>
        </w:tc>
        <w:tc>
          <w:tcPr>
            <w:tcW w:w="792" w:type="pct"/>
            <w:tcMar>
              <w:left w:w="108" w:type="dxa"/>
              <w:right w:w="108" w:type="dxa"/>
            </w:tcMar>
          </w:tcPr>
          <w:p w14:paraId="2F65925B" w14:textId="52F00320" w:rsidR="00955554" w:rsidRPr="0029167F" w:rsidRDefault="00955554" w:rsidP="0010050B">
            <w:pPr>
              <w:pStyle w:val="TableText"/>
              <w:jc w:val="right"/>
              <w:rPr>
                <w:rFonts w:cstheme="minorHAnsi"/>
              </w:rPr>
            </w:pPr>
            <w:r w:rsidRPr="003711D4">
              <w:t>119,689,528</w:t>
            </w:r>
          </w:p>
        </w:tc>
      </w:tr>
      <w:tr w:rsidR="006E77C9" w:rsidRPr="0029167F" w14:paraId="4934D4E6" w14:textId="77777777" w:rsidTr="007D7238">
        <w:tc>
          <w:tcPr>
            <w:tcW w:w="559" w:type="pct"/>
            <w:tcMar>
              <w:left w:w="108" w:type="dxa"/>
              <w:right w:w="108" w:type="dxa"/>
            </w:tcMar>
          </w:tcPr>
          <w:p w14:paraId="00140185" w14:textId="1E77FE58" w:rsidR="00955554" w:rsidRPr="0029167F" w:rsidRDefault="00955554" w:rsidP="0010050B">
            <w:pPr>
              <w:pStyle w:val="TableText"/>
              <w:rPr>
                <w:rFonts w:cstheme="minorHAnsi"/>
              </w:rPr>
            </w:pPr>
            <w:r w:rsidRPr="003711D4">
              <w:t>2022–23</w:t>
            </w:r>
          </w:p>
        </w:tc>
        <w:tc>
          <w:tcPr>
            <w:tcW w:w="952" w:type="pct"/>
            <w:tcMar>
              <w:left w:w="108" w:type="dxa"/>
              <w:right w:w="108" w:type="dxa"/>
            </w:tcMar>
          </w:tcPr>
          <w:p w14:paraId="1A8B0337" w14:textId="4F6CB22A" w:rsidR="00955554" w:rsidRPr="0029167F" w:rsidRDefault="00955554" w:rsidP="0010050B">
            <w:pPr>
              <w:pStyle w:val="TableText"/>
              <w:jc w:val="right"/>
              <w:rPr>
                <w:rFonts w:cstheme="minorHAnsi"/>
              </w:rPr>
            </w:pPr>
            <w:r w:rsidRPr="003711D4">
              <w:t>89,875,509</w:t>
            </w:r>
          </w:p>
        </w:tc>
        <w:tc>
          <w:tcPr>
            <w:tcW w:w="951" w:type="pct"/>
            <w:tcMar>
              <w:left w:w="108" w:type="dxa"/>
              <w:right w:w="108" w:type="dxa"/>
            </w:tcMar>
          </w:tcPr>
          <w:p w14:paraId="62071BCA" w14:textId="327E412B" w:rsidR="00955554" w:rsidRPr="0029167F" w:rsidRDefault="00955554" w:rsidP="0010050B">
            <w:pPr>
              <w:pStyle w:val="TableText"/>
              <w:jc w:val="right"/>
              <w:rPr>
                <w:rFonts w:cstheme="minorHAnsi"/>
              </w:rPr>
            </w:pPr>
            <w:r w:rsidRPr="003711D4">
              <w:t>682,129</w:t>
            </w:r>
          </w:p>
        </w:tc>
        <w:tc>
          <w:tcPr>
            <w:tcW w:w="873" w:type="pct"/>
            <w:tcMar>
              <w:left w:w="108" w:type="dxa"/>
              <w:right w:w="108" w:type="dxa"/>
            </w:tcMar>
          </w:tcPr>
          <w:p w14:paraId="45C1EE77" w14:textId="0DF633C7" w:rsidR="00955554" w:rsidRPr="0029167F" w:rsidRDefault="00955554" w:rsidP="0010050B">
            <w:pPr>
              <w:pStyle w:val="TableText"/>
              <w:jc w:val="right"/>
              <w:rPr>
                <w:rFonts w:cstheme="minorHAnsi"/>
              </w:rPr>
            </w:pPr>
            <w:r w:rsidRPr="003711D4">
              <w:t>272,417</w:t>
            </w:r>
          </w:p>
        </w:tc>
        <w:tc>
          <w:tcPr>
            <w:tcW w:w="873" w:type="pct"/>
            <w:tcMar>
              <w:left w:w="108" w:type="dxa"/>
              <w:right w:w="108" w:type="dxa"/>
            </w:tcMar>
          </w:tcPr>
          <w:p w14:paraId="3BE629F1" w14:textId="418C4547" w:rsidR="00955554" w:rsidRPr="0029167F" w:rsidRDefault="00955554" w:rsidP="0010050B">
            <w:pPr>
              <w:pStyle w:val="TableText"/>
              <w:jc w:val="right"/>
              <w:rPr>
                <w:rFonts w:cstheme="minorHAnsi"/>
              </w:rPr>
            </w:pPr>
            <w:r w:rsidRPr="003711D4">
              <w:t>4,327,283</w:t>
            </w:r>
          </w:p>
        </w:tc>
        <w:tc>
          <w:tcPr>
            <w:tcW w:w="792" w:type="pct"/>
            <w:tcMar>
              <w:left w:w="108" w:type="dxa"/>
              <w:right w:w="108" w:type="dxa"/>
            </w:tcMar>
          </w:tcPr>
          <w:p w14:paraId="07E3CCCF" w14:textId="713A63EA" w:rsidR="00955554" w:rsidRPr="0029167F" w:rsidRDefault="00955554" w:rsidP="0010050B">
            <w:pPr>
              <w:pStyle w:val="TableText"/>
              <w:jc w:val="right"/>
              <w:rPr>
                <w:rFonts w:cstheme="minorHAnsi"/>
              </w:rPr>
            </w:pPr>
            <w:r w:rsidRPr="003711D4">
              <w:t>85,548,226</w:t>
            </w:r>
          </w:p>
        </w:tc>
      </w:tr>
      <w:tr w:rsidR="006E77C9" w:rsidRPr="0029167F" w14:paraId="7222DD25" w14:textId="77777777" w:rsidTr="007D7238">
        <w:tc>
          <w:tcPr>
            <w:tcW w:w="559" w:type="pct"/>
            <w:tcMar>
              <w:left w:w="108" w:type="dxa"/>
              <w:right w:w="108" w:type="dxa"/>
            </w:tcMar>
          </w:tcPr>
          <w:p w14:paraId="0AD86223" w14:textId="7E084576" w:rsidR="00955554" w:rsidRPr="0029167F" w:rsidRDefault="00955554" w:rsidP="0010050B">
            <w:pPr>
              <w:pStyle w:val="TableText"/>
              <w:rPr>
                <w:rFonts w:cstheme="minorHAnsi"/>
              </w:rPr>
            </w:pPr>
            <w:r w:rsidRPr="003711D4">
              <w:t>2021–22</w:t>
            </w:r>
          </w:p>
        </w:tc>
        <w:tc>
          <w:tcPr>
            <w:tcW w:w="952" w:type="pct"/>
            <w:tcMar>
              <w:left w:w="108" w:type="dxa"/>
              <w:right w:w="108" w:type="dxa"/>
            </w:tcMar>
          </w:tcPr>
          <w:p w14:paraId="2A397F61" w14:textId="0F44D15A" w:rsidR="00955554" w:rsidRPr="0029167F" w:rsidRDefault="00955554" w:rsidP="0010050B">
            <w:pPr>
              <w:pStyle w:val="TableText"/>
              <w:jc w:val="right"/>
              <w:rPr>
                <w:rFonts w:cstheme="minorHAnsi"/>
              </w:rPr>
            </w:pPr>
            <w:r w:rsidRPr="003711D4">
              <w:t>88,955,196</w:t>
            </w:r>
          </w:p>
        </w:tc>
        <w:tc>
          <w:tcPr>
            <w:tcW w:w="951" w:type="pct"/>
            <w:tcMar>
              <w:left w:w="108" w:type="dxa"/>
              <w:right w:w="108" w:type="dxa"/>
            </w:tcMar>
          </w:tcPr>
          <w:p w14:paraId="7AD87B96" w14:textId="1444ED8B" w:rsidR="00955554" w:rsidRPr="0029167F" w:rsidRDefault="00955554" w:rsidP="0010050B">
            <w:pPr>
              <w:pStyle w:val="TableText"/>
              <w:jc w:val="right"/>
              <w:rPr>
                <w:rFonts w:cstheme="minorHAnsi"/>
              </w:rPr>
            </w:pPr>
            <w:r w:rsidRPr="003711D4">
              <w:t>782,208</w:t>
            </w:r>
          </w:p>
        </w:tc>
        <w:tc>
          <w:tcPr>
            <w:tcW w:w="873" w:type="pct"/>
            <w:tcMar>
              <w:left w:w="108" w:type="dxa"/>
              <w:right w:w="108" w:type="dxa"/>
            </w:tcMar>
          </w:tcPr>
          <w:p w14:paraId="5E0A110B" w14:textId="1063D256" w:rsidR="00955554" w:rsidRPr="0029167F" w:rsidRDefault="00955554" w:rsidP="0010050B">
            <w:pPr>
              <w:pStyle w:val="TableText"/>
              <w:jc w:val="right"/>
              <w:rPr>
                <w:rFonts w:cstheme="minorHAnsi"/>
              </w:rPr>
            </w:pPr>
            <w:r w:rsidRPr="003711D4">
              <w:t>335,195</w:t>
            </w:r>
          </w:p>
        </w:tc>
        <w:tc>
          <w:tcPr>
            <w:tcW w:w="873" w:type="pct"/>
            <w:tcMar>
              <w:left w:w="108" w:type="dxa"/>
              <w:right w:w="108" w:type="dxa"/>
            </w:tcMar>
          </w:tcPr>
          <w:p w14:paraId="433CAE09" w14:textId="411048E3" w:rsidR="00955554" w:rsidRPr="0029167F" w:rsidRDefault="00955554" w:rsidP="0010050B">
            <w:pPr>
              <w:pStyle w:val="TableText"/>
              <w:jc w:val="right"/>
              <w:rPr>
                <w:rFonts w:cstheme="minorHAnsi"/>
              </w:rPr>
            </w:pPr>
            <w:r w:rsidRPr="003711D4">
              <w:t>4,385,366</w:t>
            </w:r>
          </w:p>
        </w:tc>
        <w:tc>
          <w:tcPr>
            <w:tcW w:w="792" w:type="pct"/>
            <w:tcMar>
              <w:left w:w="108" w:type="dxa"/>
              <w:right w:w="108" w:type="dxa"/>
            </w:tcMar>
          </w:tcPr>
          <w:p w14:paraId="09ED5D59" w14:textId="442602F2" w:rsidR="00955554" w:rsidRPr="0029167F" w:rsidRDefault="00955554" w:rsidP="0010050B">
            <w:pPr>
              <w:pStyle w:val="TableText"/>
              <w:jc w:val="right"/>
              <w:rPr>
                <w:rFonts w:cstheme="minorHAnsi"/>
              </w:rPr>
            </w:pPr>
            <w:r w:rsidRPr="003711D4">
              <w:t>84,569,830</w:t>
            </w:r>
          </w:p>
        </w:tc>
      </w:tr>
      <w:tr w:rsidR="006E77C9" w:rsidRPr="0029167F" w14:paraId="031E6D72" w14:textId="77777777" w:rsidTr="007D7238">
        <w:tc>
          <w:tcPr>
            <w:tcW w:w="559" w:type="pct"/>
            <w:tcMar>
              <w:left w:w="108" w:type="dxa"/>
              <w:right w:w="108" w:type="dxa"/>
            </w:tcMar>
          </w:tcPr>
          <w:p w14:paraId="3E8ACF06" w14:textId="566CEF9A" w:rsidR="00955554" w:rsidRPr="0029167F" w:rsidRDefault="00955554" w:rsidP="0010050B">
            <w:pPr>
              <w:pStyle w:val="TableText"/>
              <w:rPr>
                <w:rFonts w:cstheme="minorHAnsi"/>
              </w:rPr>
            </w:pPr>
            <w:r w:rsidRPr="003711D4">
              <w:t>2020–21</w:t>
            </w:r>
          </w:p>
        </w:tc>
        <w:tc>
          <w:tcPr>
            <w:tcW w:w="952" w:type="pct"/>
            <w:tcMar>
              <w:left w:w="108" w:type="dxa"/>
              <w:right w:w="108" w:type="dxa"/>
            </w:tcMar>
          </w:tcPr>
          <w:p w14:paraId="6E34F94F" w14:textId="6774843A" w:rsidR="00955554" w:rsidRPr="0029167F" w:rsidRDefault="00955554" w:rsidP="0010050B">
            <w:pPr>
              <w:pStyle w:val="TableText"/>
              <w:jc w:val="right"/>
              <w:rPr>
                <w:rFonts w:cstheme="minorHAnsi"/>
              </w:rPr>
            </w:pPr>
            <w:r w:rsidRPr="003711D4">
              <w:t>77,199,249</w:t>
            </w:r>
          </w:p>
        </w:tc>
        <w:tc>
          <w:tcPr>
            <w:tcW w:w="951" w:type="pct"/>
            <w:tcMar>
              <w:left w:w="108" w:type="dxa"/>
              <w:right w:w="108" w:type="dxa"/>
            </w:tcMar>
          </w:tcPr>
          <w:p w14:paraId="014D4DA1" w14:textId="65A4464F" w:rsidR="00955554" w:rsidRPr="0029167F" w:rsidRDefault="00955554" w:rsidP="0010050B">
            <w:pPr>
              <w:pStyle w:val="TableText"/>
              <w:jc w:val="right"/>
              <w:rPr>
                <w:rFonts w:cstheme="minorHAnsi"/>
              </w:rPr>
            </w:pPr>
            <w:r w:rsidRPr="003711D4">
              <w:t>790,857</w:t>
            </w:r>
          </w:p>
        </w:tc>
        <w:tc>
          <w:tcPr>
            <w:tcW w:w="873" w:type="pct"/>
            <w:tcMar>
              <w:left w:w="108" w:type="dxa"/>
              <w:right w:w="108" w:type="dxa"/>
            </w:tcMar>
          </w:tcPr>
          <w:p w14:paraId="0DA7CBC5" w14:textId="7F7D94DD" w:rsidR="00955554" w:rsidRPr="0029167F" w:rsidRDefault="00955554" w:rsidP="0010050B">
            <w:pPr>
              <w:pStyle w:val="TableText"/>
              <w:jc w:val="right"/>
              <w:rPr>
                <w:rFonts w:cstheme="minorHAnsi"/>
              </w:rPr>
            </w:pPr>
            <w:r w:rsidRPr="003711D4">
              <w:t>329,709</w:t>
            </w:r>
          </w:p>
        </w:tc>
        <w:tc>
          <w:tcPr>
            <w:tcW w:w="873" w:type="pct"/>
            <w:tcMar>
              <w:left w:w="108" w:type="dxa"/>
              <w:right w:w="108" w:type="dxa"/>
            </w:tcMar>
          </w:tcPr>
          <w:p w14:paraId="7940F378" w14:textId="6F4173C7" w:rsidR="00955554" w:rsidRPr="0029167F" w:rsidRDefault="00955554" w:rsidP="0010050B">
            <w:pPr>
              <w:pStyle w:val="TableText"/>
              <w:jc w:val="right"/>
              <w:rPr>
                <w:rFonts w:cstheme="minorHAnsi"/>
              </w:rPr>
            </w:pPr>
            <w:r w:rsidRPr="003711D4">
              <w:t>4,508,546</w:t>
            </w:r>
          </w:p>
        </w:tc>
        <w:tc>
          <w:tcPr>
            <w:tcW w:w="792" w:type="pct"/>
            <w:tcMar>
              <w:left w:w="108" w:type="dxa"/>
              <w:right w:w="108" w:type="dxa"/>
            </w:tcMar>
          </w:tcPr>
          <w:p w14:paraId="4BC9430F" w14:textId="4D35E515" w:rsidR="00955554" w:rsidRPr="0029167F" w:rsidRDefault="00955554" w:rsidP="0010050B">
            <w:pPr>
              <w:pStyle w:val="TableText"/>
              <w:jc w:val="right"/>
              <w:rPr>
                <w:rFonts w:cstheme="minorHAnsi"/>
              </w:rPr>
            </w:pPr>
            <w:r w:rsidRPr="003711D4">
              <w:t>72,690,703</w:t>
            </w:r>
          </w:p>
        </w:tc>
      </w:tr>
    </w:tbl>
    <w:p w14:paraId="708D976A" w14:textId="44B6E12F" w:rsidR="00701185" w:rsidRDefault="00701185" w:rsidP="006E77C9">
      <w:pPr>
        <w:pStyle w:val="FigureTableNoteSource"/>
        <w:rPr>
          <w:rFonts w:asciiTheme="minorHAnsi" w:hAnsiTheme="minorHAnsi" w:cstheme="minorHAnsi"/>
        </w:rPr>
      </w:pPr>
      <w:r w:rsidRPr="0029167F">
        <w:rPr>
          <w:rFonts w:asciiTheme="minorHAnsi" w:hAnsiTheme="minorHAnsi" w:cstheme="minorHAnsi"/>
        </w:rPr>
        <w:t xml:space="preserve">Note: </w:t>
      </w:r>
      <w:r w:rsidR="00664207">
        <w:rPr>
          <w:rFonts w:asciiTheme="minorHAnsi" w:hAnsiTheme="minorHAnsi" w:cstheme="minorHAnsi"/>
        </w:rPr>
        <w:t>C</w:t>
      </w:r>
      <w:r w:rsidRPr="0029167F">
        <w:rPr>
          <w:rFonts w:asciiTheme="minorHAnsi" w:hAnsiTheme="minorHAnsi" w:cstheme="minorHAnsi"/>
        </w:rPr>
        <w:t xml:space="preserve">argo import declarations </w:t>
      </w:r>
      <w:proofErr w:type="gramStart"/>
      <w:r w:rsidRPr="0029167F">
        <w:rPr>
          <w:rFonts w:asciiTheme="minorHAnsi" w:hAnsiTheme="minorHAnsi" w:cstheme="minorHAnsi"/>
        </w:rPr>
        <w:t>are profiled</w:t>
      </w:r>
      <w:proofErr w:type="gramEnd"/>
      <w:r w:rsidRPr="0029167F">
        <w:rPr>
          <w:rFonts w:asciiTheme="minorHAnsi" w:hAnsiTheme="minorHAnsi" w:cstheme="minorHAnsi"/>
        </w:rPr>
        <w:t xml:space="preserve"> for biosecurity </w:t>
      </w:r>
      <w:r w:rsidR="00664207">
        <w:rPr>
          <w:rFonts w:asciiTheme="minorHAnsi" w:hAnsiTheme="minorHAnsi" w:cstheme="minorHAnsi"/>
        </w:rPr>
        <w:t>and food safety risks</w:t>
      </w:r>
      <w:r w:rsidRPr="0029167F">
        <w:rPr>
          <w:rFonts w:asciiTheme="minorHAnsi" w:hAnsiTheme="minorHAnsi" w:cstheme="minorHAnsi"/>
        </w:rPr>
        <w:t xml:space="preserve">. Declarations that match a profile </w:t>
      </w:r>
      <w:proofErr w:type="gramStart"/>
      <w:r w:rsidRPr="0029167F">
        <w:rPr>
          <w:rFonts w:asciiTheme="minorHAnsi" w:hAnsiTheme="minorHAnsi" w:cstheme="minorHAnsi"/>
        </w:rPr>
        <w:t>are referred</w:t>
      </w:r>
      <w:proofErr w:type="gramEnd"/>
      <w:r w:rsidRPr="0029167F">
        <w:rPr>
          <w:rFonts w:asciiTheme="minorHAnsi" w:hAnsiTheme="minorHAnsi" w:cstheme="minorHAnsi"/>
        </w:rPr>
        <w:t xml:space="preserve"> to the department for action.</w:t>
      </w:r>
    </w:p>
    <w:p w14:paraId="3DC99EE8" w14:textId="495B6D4A" w:rsidR="005B4D28" w:rsidRPr="005B4D28" w:rsidRDefault="005B4D28" w:rsidP="005B4D28">
      <w:pPr>
        <w:pStyle w:val="Caption"/>
      </w:pPr>
      <w:bookmarkStart w:id="219" w:name="_Toc200534254"/>
      <w:r>
        <w:t>Table A</w:t>
      </w:r>
      <w:r>
        <w:fldChar w:fldCharType="begin"/>
      </w:r>
      <w:r>
        <w:instrText xml:space="preserve"> SEQ Table_A \* ARABIC </w:instrText>
      </w:r>
      <w:r>
        <w:fldChar w:fldCharType="separate"/>
      </w:r>
      <w:r>
        <w:rPr>
          <w:noProof/>
        </w:rPr>
        <w:t>3</w:t>
      </w:r>
      <w:r>
        <w:fldChar w:fldCharType="end"/>
      </w:r>
      <w:r>
        <w:t xml:space="preserve"> Import permit applications and animals processed at PEQ</w:t>
      </w:r>
      <w:bookmarkEnd w:id="219"/>
    </w:p>
    <w:tbl>
      <w:tblPr>
        <w:tblW w:w="5000" w:type="pct"/>
        <w:tblBorders>
          <w:top w:val="single" w:sz="4" w:space="0" w:color="auto"/>
          <w:bottom w:val="single" w:sz="4" w:space="0" w:color="auto"/>
          <w:insideH w:val="single" w:sz="4" w:space="0" w:color="auto"/>
        </w:tblBorders>
        <w:tblCellMar>
          <w:left w:w="40" w:type="dxa"/>
          <w:right w:w="40" w:type="dxa"/>
        </w:tblCellMar>
        <w:tblLook w:val="04A0" w:firstRow="1" w:lastRow="0" w:firstColumn="1" w:lastColumn="0" w:noHBand="0" w:noVBand="1"/>
      </w:tblPr>
      <w:tblGrid>
        <w:gridCol w:w="1037"/>
        <w:gridCol w:w="3719"/>
        <w:gridCol w:w="4314"/>
      </w:tblGrid>
      <w:tr w:rsidR="001C66E2" w:rsidRPr="001C66E2" w14:paraId="6B5C0905" w14:textId="77777777" w:rsidTr="00986BB3">
        <w:trPr>
          <w:cantSplit/>
          <w:tblHeader/>
        </w:trPr>
        <w:tc>
          <w:tcPr>
            <w:tcW w:w="572" w:type="pct"/>
            <w:tcMar>
              <w:left w:w="108" w:type="dxa"/>
              <w:right w:w="108" w:type="dxa"/>
            </w:tcMar>
          </w:tcPr>
          <w:p w14:paraId="61E91D8B" w14:textId="77777777" w:rsidR="001C66E2" w:rsidRPr="00CA4189" w:rsidRDefault="001C66E2" w:rsidP="00CA4189">
            <w:pPr>
              <w:pStyle w:val="TableHeading"/>
              <w:rPr>
                <w:rStyle w:val="Strong"/>
                <w:b/>
                <w:bCs w:val="0"/>
              </w:rPr>
            </w:pPr>
            <w:bookmarkStart w:id="220" w:name="Table_A3"/>
            <w:bookmarkStart w:id="221" w:name="Table_A4" w:colFirst="0" w:colLast="0"/>
            <w:bookmarkEnd w:id="220"/>
            <w:r w:rsidRPr="00CA4189">
              <w:rPr>
                <w:rStyle w:val="Strong"/>
                <w:b/>
                <w:bCs w:val="0"/>
              </w:rPr>
              <w:t>Year</w:t>
            </w:r>
          </w:p>
        </w:tc>
        <w:tc>
          <w:tcPr>
            <w:tcW w:w="2050" w:type="pct"/>
            <w:tcMar>
              <w:left w:w="108" w:type="dxa"/>
              <w:right w:w="108" w:type="dxa"/>
            </w:tcMar>
          </w:tcPr>
          <w:p w14:paraId="471F3A55" w14:textId="77777777" w:rsidR="001C66E2" w:rsidRPr="00CA4189" w:rsidRDefault="001C66E2" w:rsidP="00CA4189">
            <w:pPr>
              <w:pStyle w:val="TableHeading"/>
              <w:rPr>
                <w:rStyle w:val="Strong"/>
                <w:b/>
                <w:bCs w:val="0"/>
              </w:rPr>
            </w:pPr>
            <w:r w:rsidRPr="00CA4189">
              <w:rPr>
                <w:rStyle w:val="Strong"/>
                <w:b/>
                <w:bCs w:val="0"/>
              </w:rPr>
              <w:t>Total volume of permit applications submitted and paid to the department</w:t>
            </w:r>
          </w:p>
        </w:tc>
        <w:tc>
          <w:tcPr>
            <w:tcW w:w="2378" w:type="pct"/>
            <w:tcMar>
              <w:left w:w="108" w:type="dxa"/>
              <w:right w:w="108" w:type="dxa"/>
            </w:tcMar>
          </w:tcPr>
          <w:p w14:paraId="140DAABE" w14:textId="77777777" w:rsidR="001C66E2" w:rsidRPr="00CA4189" w:rsidRDefault="001C66E2" w:rsidP="00CA4189">
            <w:pPr>
              <w:pStyle w:val="TableHeading"/>
              <w:rPr>
                <w:rStyle w:val="Strong"/>
                <w:b/>
                <w:bCs w:val="0"/>
              </w:rPr>
            </w:pPr>
            <w:r w:rsidRPr="00CA4189">
              <w:rPr>
                <w:rStyle w:val="Strong"/>
                <w:b/>
                <w:bCs w:val="0"/>
              </w:rPr>
              <w:t>Number of animals (cats, dogs &amp; horses) processed at the PEQ</w:t>
            </w:r>
          </w:p>
        </w:tc>
      </w:tr>
      <w:bookmarkEnd w:id="221"/>
      <w:tr w:rsidR="0010050B" w:rsidRPr="001C66E2" w14:paraId="7DC155F8" w14:textId="77777777" w:rsidTr="007D7238">
        <w:tc>
          <w:tcPr>
            <w:tcW w:w="572" w:type="pct"/>
            <w:tcMar>
              <w:left w:w="108" w:type="dxa"/>
              <w:right w:w="108" w:type="dxa"/>
            </w:tcMar>
          </w:tcPr>
          <w:p w14:paraId="44D30864" w14:textId="36763432" w:rsidR="0010050B" w:rsidRPr="0010050B" w:rsidRDefault="0010050B" w:rsidP="0010050B">
            <w:pPr>
              <w:pStyle w:val="TableText"/>
            </w:pPr>
            <w:r w:rsidRPr="00A25F07">
              <w:t>2023–24</w:t>
            </w:r>
          </w:p>
        </w:tc>
        <w:tc>
          <w:tcPr>
            <w:tcW w:w="2050" w:type="pct"/>
            <w:tcMar>
              <w:left w:w="108" w:type="dxa"/>
              <w:right w:w="108" w:type="dxa"/>
            </w:tcMar>
          </w:tcPr>
          <w:p w14:paraId="6EF5BCAB" w14:textId="45F0CF5C" w:rsidR="0010050B" w:rsidRPr="0010050B" w:rsidRDefault="0010050B" w:rsidP="00955554">
            <w:pPr>
              <w:pStyle w:val="TableText"/>
              <w:jc w:val="right"/>
            </w:pPr>
            <w:r w:rsidRPr="00A25F07">
              <w:t>19,157</w:t>
            </w:r>
          </w:p>
        </w:tc>
        <w:tc>
          <w:tcPr>
            <w:tcW w:w="2378" w:type="pct"/>
            <w:tcMar>
              <w:left w:w="108" w:type="dxa"/>
              <w:right w:w="108" w:type="dxa"/>
            </w:tcMar>
          </w:tcPr>
          <w:p w14:paraId="6453CBE1" w14:textId="0BB91B91" w:rsidR="0010050B" w:rsidRPr="0010050B" w:rsidRDefault="0010050B" w:rsidP="0010050B">
            <w:pPr>
              <w:pStyle w:val="TableText"/>
              <w:jc w:val="right"/>
            </w:pPr>
            <w:r w:rsidRPr="00A25F07">
              <w:t>7,995</w:t>
            </w:r>
          </w:p>
        </w:tc>
      </w:tr>
      <w:tr w:rsidR="0010050B" w:rsidRPr="001C66E2" w14:paraId="08DEE9C0" w14:textId="77777777" w:rsidTr="007D7238">
        <w:tc>
          <w:tcPr>
            <w:tcW w:w="572" w:type="pct"/>
            <w:tcMar>
              <w:left w:w="108" w:type="dxa"/>
              <w:right w:w="108" w:type="dxa"/>
            </w:tcMar>
          </w:tcPr>
          <w:p w14:paraId="7D0C061F" w14:textId="16C6007A" w:rsidR="0010050B" w:rsidRPr="0010050B" w:rsidRDefault="0010050B" w:rsidP="0010050B">
            <w:pPr>
              <w:pStyle w:val="TableText"/>
            </w:pPr>
            <w:r w:rsidRPr="00A25F07">
              <w:t>2022–23</w:t>
            </w:r>
          </w:p>
        </w:tc>
        <w:tc>
          <w:tcPr>
            <w:tcW w:w="2050" w:type="pct"/>
            <w:tcMar>
              <w:left w:w="108" w:type="dxa"/>
              <w:right w:w="108" w:type="dxa"/>
            </w:tcMar>
          </w:tcPr>
          <w:p w14:paraId="5153DD5B" w14:textId="225D6228" w:rsidR="0010050B" w:rsidRPr="0010050B" w:rsidRDefault="0010050B" w:rsidP="00955554">
            <w:pPr>
              <w:pStyle w:val="TableText"/>
              <w:jc w:val="right"/>
            </w:pPr>
            <w:r w:rsidRPr="00A25F07">
              <w:t>18,992</w:t>
            </w:r>
          </w:p>
        </w:tc>
        <w:tc>
          <w:tcPr>
            <w:tcW w:w="2378" w:type="pct"/>
            <w:tcMar>
              <w:left w:w="108" w:type="dxa"/>
              <w:right w:w="108" w:type="dxa"/>
            </w:tcMar>
          </w:tcPr>
          <w:p w14:paraId="195FBCE9" w14:textId="455F52D3" w:rsidR="0010050B" w:rsidRPr="0010050B" w:rsidRDefault="0010050B" w:rsidP="0010050B">
            <w:pPr>
              <w:pStyle w:val="TableText"/>
              <w:jc w:val="right"/>
            </w:pPr>
            <w:r w:rsidRPr="00A25F07">
              <w:t>6,784</w:t>
            </w:r>
          </w:p>
        </w:tc>
      </w:tr>
      <w:tr w:rsidR="0010050B" w:rsidRPr="001C66E2" w14:paraId="28BFB62A" w14:textId="77777777" w:rsidTr="007D7238">
        <w:tc>
          <w:tcPr>
            <w:tcW w:w="572" w:type="pct"/>
            <w:tcMar>
              <w:left w:w="108" w:type="dxa"/>
              <w:right w:w="108" w:type="dxa"/>
            </w:tcMar>
          </w:tcPr>
          <w:p w14:paraId="6ABA1994" w14:textId="1A2525B0" w:rsidR="0010050B" w:rsidRPr="0010050B" w:rsidRDefault="0010050B" w:rsidP="0010050B">
            <w:pPr>
              <w:pStyle w:val="TableText"/>
            </w:pPr>
            <w:r w:rsidRPr="00A25F07">
              <w:t>2021–22</w:t>
            </w:r>
          </w:p>
        </w:tc>
        <w:tc>
          <w:tcPr>
            <w:tcW w:w="2050" w:type="pct"/>
            <w:tcMar>
              <w:left w:w="108" w:type="dxa"/>
              <w:right w:w="108" w:type="dxa"/>
            </w:tcMar>
          </w:tcPr>
          <w:p w14:paraId="007430C4" w14:textId="56C083F8" w:rsidR="0010050B" w:rsidRPr="0010050B" w:rsidRDefault="0010050B" w:rsidP="00955554">
            <w:pPr>
              <w:pStyle w:val="TableText"/>
              <w:jc w:val="right"/>
            </w:pPr>
            <w:r w:rsidRPr="00A25F07">
              <w:t>17,515</w:t>
            </w:r>
          </w:p>
        </w:tc>
        <w:tc>
          <w:tcPr>
            <w:tcW w:w="2378" w:type="pct"/>
            <w:tcMar>
              <w:left w:w="108" w:type="dxa"/>
              <w:right w:w="108" w:type="dxa"/>
            </w:tcMar>
          </w:tcPr>
          <w:p w14:paraId="047F7532" w14:textId="63275A71" w:rsidR="0010050B" w:rsidRPr="0010050B" w:rsidRDefault="0010050B" w:rsidP="0010050B">
            <w:pPr>
              <w:pStyle w:val="TableText"/>
              <w:jc w:val="right"/>
            </w:pPr>
            <w:r w:rsidRPr="00A25F07">
              <w:t>6,484</w:t>
            </w:r>
          </w:p>
        </w:tc>
      </w:tr>
      <w:tr w:rsidR="0010050B" w:rsidRPr="001C66E2" w14:paraId="011B5B42" w14:textId="77777777" w:rsidTr="007D7238">
        <w:tc>
          <w:tcPr>
            <w:tcW w:w="572" w:type="pct"/>
            <w:tcMar>
              <w:left w:w="108" w:type="dxa"/>
              <w:right w:w="108" w:type="dxa"/>
            </w:tcMar>
          </w:tcPr>
          <w:p w14:paraId="5DBC34AB" w14:textId="736090F0" w:rsidR="0010050B" w:rsidRPr="0010050B" w:rsidRDefault="0010050B" w:rsidP="0010050B">
            <w:pPr>
              <w:pStyle w:val="TableText"/>
            </w:pPr>
            <w:r w:rsidRPr="00A25F07">
              <w:t>2020–21</w:t>
            </w:r>
          </w:p>
        </w:tc>
        <w:tc>
          <w:tcPr>
            <w:tcW w:w="2050" w:type="pct"/>
            <w:tcMar>
              <w:left w:w="108" w:type="dxa"/>
              <w:right w:w="108" w:type="dxa"/>
            </w:tcMar>
          </w:tcPr>
          <w:p w14:paraId="183D62A5" w14:textId="10E1A264" w:rsidR="0010050B" w:rsidRPr="0010050B" w:rsidRDefault="0010050B" w:rsidP="00955554">
            <w:pPr>
              <w:pStyle w:val="TableText"/>
              <w:jc w:val="right"/>
            </w:pPr>
            <w:r w:rsidRPr="00A25F07">
              <w:t>15,140</w:t>
            </w:r>
          </w:p>
        </w:tc>
        <w:tc>
          <w:tcPr>
            <w:tcW w:w="2378" w:type="pct"/>
            <w:tcMar>
              <w:left w:w="108" w:type="dxa"/>
              <w:right w:w="108" w:type="dxa"/>
            </w:tcMar>
          </w:tcPr>
          <w:p w14:paraId="05FE1FEC" w14:textId="43699BD8" w:rsidR="0010050B" w:rsidRPr="0010050B" w:rsidRDefault="0010050B" w:rsidP="0010050B">
            <w:pPr>
              <w:pStyle w:val="TableText"/>
              <w:jc w:val="right"/>
            </w:pPr>
            <w:r w:rsidRPr="00A25F07">
              <w:t>4,936</w:t>
            </w:r>
          </w:p>
        </w:tc>
      </w:tr>
    </w:tbl>
    <w:p w14:paraId="4A85D13F" w14:textId="2801B5C3" w:rsidR="00022816" w:rsidRPr="006E77C9" w:rsidRDefault="00022816" w:rsidP="00022816">
      <w:pPr>
        <w:pStyle w:val="Heading2"/>
        <w:numPr>
          <w:ilvl w:val="0"/>
          <w:numId w:val="0"/>
        </w:numPr>
        <w:ind w:left="720" w:hanging="720"/>
      </w:pPr>
      <w:bookmarkStart w:id="222" w:name="_Appendix_B:_Description"/>
      <w:bookmarkStart w:id="223" w:name="_Appendix_B:_Indexation"/>
      <w:bookmarkStart w:id="224" w:name="_Appendix_B:_Cost"/>
      <w:bookmarkStart w:id="225" w:name="_Toc200115612"/>
      <w:bookmarkEnd w:id="222"/>
      <w:bookmarkEnd w:id="223"/>
      <w:bookmarkEnd w:id="224"/>
      <w:r w:rsidRPr="006E77C9">
        <w:lastRenderedPageBreak/>
        <w:t xml:space="preserve">Appendix </w:t>
      </w:r>
      <w:r>
        <w:t>B</w:t>
      </w:r>
      <w:r w:rsidRPr="006E77C9">
        <w:t xml:space="preserve">: </w:t>
      </w:r>
      <w:r>
        <w:t>C</w:t>
      </w:r>
      <w:r w:rsidRPr="006E77C9">
        <w:t>ost</w:t>
      </w:r>
      <w:r w:rsidR="0066545A">
        <w:t>-</w:t>
      </w:r>
      <w:r w:rsidRPr="006E77C9">
        <w:t>model activities</w:t>
      </w:r>
      <w:bookmarkEnd w:id="225"/>
    </w:p>
    <w:p w14:paraId="0AB942F8" w14:textId="19691FC8" w:rsidR="00022816" w:rsidRPr="003328FE" w:rsidRDefault="00022816" w:rsidP="00022816">
      <w:pPr>
        <w:rPr>
          <w:rFonts w:cstheme="minorHAnsi"/>
          <w:lang w:eastAsia="ja-JP"/>
        </w:rPr>
      </w:pPr>
      <w:r w:rsidRPr="003328FE">
        <w:rPr>
          <w:rFonts w:cstheme="minorHAnsi"/>
          <w:lang w:eastAsia="ja-JP"/>
        </w:rPr>
        <w:t>This section details the cost</w:t>
      </w:r>
      <w:r w:rsidR="0066545A">
        <w:rPr>
          <w:rFonts w:cstheme="minorHAnsi"/>
          <w:lang w:eastAsia="ja-JP"/>
        </w:rPr>
        <w:t>-</w:t>
      </w:r>
      <w:r w:rsidRPr="003328FE">
        <w:rPr>
          <w:rFonts w:cstheme="minorHAnsi"/>
          <w:lang w:eastAsia="ja-JP"/>
        </w:rPr>
        <w:t xml:space="preserve">model activities </w:t>
      </w:r>
      <w:r w:rsidR="00FE03BE">
        <w:rPr>
          <w:rFonts w:cstheme="minorHAnsi"/>
          <w:lang w:eastAsia="ja-JP"/>
        </w:rPr>
        <w:t>included under</w:t>
      </w:r>
      <w:r w:rsidRPr="003328FE">
        <w:rPr>
          <w:rFonts w:cstheme="minorHAnsi"/>
          <w:lang w:eastAsia="ja-JP"/>
        </w:rPr>
        <w:t xml:space="preserve"> our regulatory charging arrangements.</w:t>
      </w:r>
    </w:p>
    <w:p w14:paraId="004AD8D9" w14:textId="77777777" w:rsidR="00022816" w:rsidRPr="00010C9A" w:rsidRDefault="00022816" w:rsidP="00022816">
      <w:pPr>
        <w:pStyle w:val="Heading3"/>
        <w:numPr>
          <w:ilvl w:val="0"/>
          <w:numId w:val="0"/>
        </w:numPr>
        <w:rPr>
          <w:sz w:val="36"/>
          <w:szCs w:val="36"/>
          <w:lang w:eastAsia="ja-JP"/>
        </w:rPr>
      </w:pPr>
      <w:bookmarkStart w:id="226" w:name="_Toc200115613"/>
      <w:r w:rsidRPr="00010C9A">
        <w:rPr>
          <w:sz w:val="36"/>
          <w:szCs w:val="36"/>
          <w:lang w:eastAsia="ja-JP"/>
        </w:rPr>
        <w:t>Program management and administration activities (charge)</w:t>
      </w:r>
      <w:bookmarkEnd w:id="226"/>
    </w:p>
    <w:p w14:paraId="526DAB83" w14:textId="77777777" w:rsidR="00022816" w:rsidRPr="00C123D9" w:rsidRDefault="00022816" w:rsidP="00022816">
      <w:pPr>
        <w:pStyle w:val="Heading5"/>
        <w:rPr>
          <w:lang w:eastAsia="ja-JP"/>
        </w:rPr>
      </w:pPr>
      <w:r w:rsidRPr="00C123D9">
        <w:rPr>
          <w:lang w:eastAsia="ja-JP"/>
        </w:rPr>
        <w:t>Workforce and business management</w:t>
      </w:r>
    </w:p>
    <w:p w14:paraId="0D74E34A" w14:textId="16451DA3" w:rsidR="00022816" w:rsidRPr="00220E8F" w:rsidRDefault="00022816" w:rsidP="00104E08">
      <w:pPr>
        <w:pStyle w:val="ListBullet"/>
        <w:rPr>
          <w:lang w:eastAsia="ja-JP"/>
        </w:rPr>
      </w:pPr>
      <w:r w:rsidRPr="00220E8F">
        <w:rPr>
          <w:lang w:eastAsia="ja-JP"/>
        </w:rPr>
        <w:t xml:space="preserve">Workforce management </w:t>
      </w:r>
      <w:r w:rsidR="0066545A">
        <w:rPr>
          <w:lang w:eastAsia="ja-JP"/>
        </w:rPr>
        <w:t xml:space="preserve">– </w:t>
      </w:r>
      <w:r w:rsidRPr="00220E8F">
        <w:rPr>
          <w:lang w:eastAsia="ja-JP"/>
        </w:rPr>
        <w:t>staff supervision, allocating workforce resources, managing employee performance, leave, training and other conditions, managing work, health and safety requirements, recruitment, and termination.</w:t>
      </w:r>
    </w:p>
    <w:p w14:paraId="58403F56" w14:textId="748EB514" w:rsidR="00022816" w:rsidRPr="00220E8F" w:rsidRDefault="00022816" w:rsidP="00104E08">
      <w:pPr>
        <w:pStyle w:val="ListBullet"/>
        <w:rPr>
          <w:lang w:eastAsia="ja-JP"/>
        </w:rPr>
      </w:pPr>
      <w:r w:rsidRPr="00220E8F">
        <w:rPr>
          <w:lang w:eastAsia="ja-JP"/>
        </w:rPr>
        <w:t xml:space="preserve">Business management </w:t>
      </w:r>
      <w:r w:rsidR="0066545A">
        <w:rPr>
          <w:lang w:eastAsia="ja-JP"/>
        </w:rPr>
        <w:t xml:space="preserve">– </w:t>
      </w:r>
      <w:r w:rsidRPr="00220E8F">
        <w:rPr>
          <w:lang w:eastAsia="ja-JP"/>
        </w:rPr>
        <w:t>business planning and continuity, requesting legal advice, procurement and contracts, program and project administration, assurance, design and management, management of fixtures, facilities, equipment, supplies and logistics.</w:t>
      </w:r>
    </w:p>
    <w:p w14:paraId="33CA9B96" w14:textId="36FD5561" w:rsidR="00022816" w:rsidRPr="00220E8F" w:rsidRDefault="00022816" w:rsidP="00104E08">
      <w:pPr>
        <w:pStyle w:val="ListBullet"/>
        <w:rPr>
          <w:lang w:eastAsia="ja-JP"/>
        </w:rPr>
      </w:pPr>
      <w:r w:rsidRPr="00220E8F">
        <w:rPr>
          <w:lang w:eastAsia="ja-JP"/>
        </w:rPr>
        <w:t>Financial management</w:t>
      </w:r>
      <w:r w:rsidR="0066545A">
        <w:rPr>
          <w:lang w:eastAsia="ja-JP"/>
        </w:rPr>
        <w:t xml:space="preserve"> –</w:t>
      </w:r>
      <w:r w:rsidRPr="00220E8F">
        <w:rPr>
          <w:lang w:eastAsia="ja-JP"/>
        </w:rPr>
        <w:t xml:space="preserve"> billing and accounting, budgeting, charges and payments, collections and receivables, debt management, financial accounts, reporting and policy development.</w:t>
      </w:r>
    </w:p>
    <w:p w14:paraId="7EBF9F0F" w14:textId="2FC1329F" w:rsidR="00022816" w:rsidRPr="00446A2A" w:rsidRDefault="00022816" w:rsidP="008336F3">
      <w:pPr>
        <w:pStyle w:val="ListBullet"/>
      </w:pPr>
      <w:r w:rsidRPr="00446A2A">
        <w:t>Information management</w:t>
      </w:r>
      <w:r w:rsidR="0066545A">
        <w:t xml:space="preserve"> –</w:t>
      </w:r>
      <w:r w:rsidRPr="00446A2A">
        <w:t xml:space="preserve"> data management, information and records management, and information sharing and collaboration.</w:t>
      </w:r>
    </w:p>
    <w:p w14:paraId="1845ECED" w14:textId="77777777" w:rsidR="00022816" w:rsidRPr="00A7069B" w:rsidRDefault="00022816" w:rsidP="00022816">
      <w:pPr>
        <w:pStyle w:val="Heading5"/>
        <w:rPr>
          <w:lang w:eastAsia="ja-JP"/>
        </w:rPr>
      </w:pPr>
      <w:r w:rsidRPr="00A7069B">
        <w:rPr>
          <w:lang w:eastAsia="ja-JP"/>
        </w:rPr>
        <w:t>Business systems administration</w:t>
      </w:r>
    </w:p>
    <w:p w14:paraId="4D9EF7EB" w14:textId="15C4B112" w:rsidR="00022816" w:rsidRPr="00A7069B" w:rsidRDefault="0066545A" w:rsidP="00E8435C">
      <w:pPr>
        <w:rPr>
          <w:lang w:eastAsia="ja-JP"/>
        </w:rPr>
      </w:pPr>
      <w:r>
        <w:rPr>
          <w:lang w:eastAsia="ja-JP"/>
        </w:rPr>
        <w:t>This activity i</w:t>
      </w:r>
      <w:r w:rsidR="00022816" w:rsidRPr="00A7069B">
        <w:rPr>
          <w:lang w:eastAsia="ja-JP"/>
        </w:rPr>
        <w:t>ncludes developing, acquiring, testing, implementing, and supporting applications and business systems. It encompasses technical support and maintenance of all business systems, including information and communication technology.</w:t>
      </w:r>
    </w:p>
    <w:p w14:paraId="6699D892" w14:textId="77777777" w:rsidR="00022816" w:rsidRPr="00A7069B" w:rsidRDefault="00022816" w:rsidP="00022816">
      <w:pPr>
        <w:pStyle w:val="Heading5"/>
        <w:rPr>
          <w:lang w:eastAsia="ja-JP"/>
        </w:rPr>
      </w:pPr>
      <w:r w:rsidRPr="00A7069B">
        <w:rPr>
          <w:lang w:eastAsia="ja-JP"/>
        </w:rPr>
        <w:t>Stakeholder engagement</w:t>
      </w:r>
    </w:p>
    <w:p w14:paraId="37164FF3" w14:textId="511B5834" w:rsidR="00022816" w:rsidRPr="00E8435C" w:rsidRDefault="0066545A" w:rsidP="00E8435C">
      <w:r w:rsidRPr="00E8435C">
        <w:t>This activity i</w:t>
      </w:r>
      <w:r w:rsidR="00022816" w:rsidRPr="00E8435C">
        <w:t>nvolves proactive engagement with any person, business, or organisation, including any associated travel. It includes engaging with peak industry bodies, secretariat support and attendance at industry consultative committee meetings, consultation on new standards and requirements, publishing website content and other information.</w:t>
      </w:r>
    </w:p>
    <w:p w14:paraId="6E06013B" w14:textId="77777777" w:rsidR="00022816" w:rsidRPr="00A7069B" w:rsidRDefault="00022816" w:rsidP="00022816">
      <w:pPr>
        <w:pStyle w:val="Heading5"/>
        <w:rPr>
          <w:lang w:eastAsia="ja-JP"/>
        </w:rPr>
      </w:pPr>
      <w:r w:rsidRPr="00A7069B">
        <w:rPr>
          <w:lang w:eastAsia="ja-JP"/>
        </w:rPr>
        <w:t>Policy and instructional material</w:t>
      </w:r>
    </w:p>
    <w:p w14:paraId="776A1A1C" w14:textId="50B667F2" w:rsidR="00022816" w:rsidRPr="00A7069B" w:rsidRDefault="0066545A" w:rsidP="00022816">
      <w:pPr>
        <w:rPr>
          <w:rFonts w:cstheme="minorHAnsi"/>
          <w:lang w:eastAsia="ja-JP"/>
        </w:rPr>
      </w:pPr>
      <w:r>
        <w:rPr>
          <w:rFonts w:cstheme="minorHAnsi"/>
          <w:lang w:eastAsia="ja-JP"/>
        </w:rPr>
        <w:t>This</w:t>
      </w:r>
      <w:r w:rsidR="00596A1C">
        <w:rPr>
          <w:rFonts w:cstheme="minorHAnsi"/>
          <w:lang w:eastAsia="ja-JP"/>
        </w:rPr>
        <w:t xml:space="preserve"> activity</w:t>
      </w:r>
      <w:r>
        <w:rPr>
          <w:rFonts w:cstheme="minorHAnsi"/>
          <w:lang w:eastAsia="ja-JP"/>
        </w:rPr>
        <w:t xml:space="preserve"> </w:t>
      </w:r>
      <w:r w:rsidR="00596A1C">
        <w:rPr>
          <w:rFonts w:cstheme="minorHAnsi"/>
          <w:lang w:eastAsia="ja-JP"/>
        </w:rPr>
        <w:t>i</w:t>
      </w:r>
      <w:r w:rsidR="00022816" w:rsidRPr="00A7069B">
        <w:rPr>
          <w:rFonts w:cstheme="minorHAnsi"/>
          <w:lang w:eastAsia="ja-JP"/>
        </w:rPr>
        <w:t>ncludes developing, maintaining, and communicating our policy and instructional material, such as operational and corporate policies, scientific advice, guidelines and work instructions, and associated training development and delivery. Examples include developing or revising policy, processes and developing new instructional material.</w:t>
      </w:r>
    </w:p>
    <w:p w14:paraId="3C7890BE" w14:textId="77777777" w:rsidR="00022816" w:rsidRPr="001B4256" w:rsidRDefault="00022816" w:rsidP="00022816">
      <w:pPr>
        <w:pStyle w:val="Heading5"/>
        <w:rPr>
          <w:lang w:eastAsia="ja-JP"/>
        </w:rPr>
      </w:pPr>
      <w:r w:rsidRPr="001B4256">
        <w:rPr>
          <w:lang w:eastAsia="ja-JP"/>
        </w:rPr>
        <w:t>Business improvement</w:t>
      </w:r>
    </w:p>
    <w:p w14:paraId="7855AA81" w14:textId="715CD149" w:rsidR="00022816" w:rsidRPr="001B4256" w:rsidRDefault="00271472" w:rsidP="00022816">
      <w:pPr>
        <w:rPr>
          <w:rFonts w:cstheme="minorHAnsi"/>
          <w:lang w:eastAsia="ja-JP"/>
        </w:rPr>
      </w:pPr>
      <w:r>
        <w:rPr>
          <w:rFonts w:cstheme="minorHAnsi"/>
          <w:lang w:eastAsia="ja-JP"/>
        </w:rPr>
        <w:t xml:space="preserve">This </w:t>
      </w:r>
      <w:r w:rsidR="00892619">
        <w:rPr>
          <w:rFonts w:cstheme="minorHAnsi"/>
          <w:lang w:eastAsia="ja-JP"/>
        </w:rPr>
        <w:t xml:space="preserve">activity </w:t>
      </w:r>
      <w:r w:rsidR="00596A1C">
        <w:rPr>
          <w:rFonts w:cstheme="minorHAnsi"/>
          <w:lang w:eastAsia="ja-JP"/>
        </w:rPr>
        <w:t>i</w:t>
      </w:r>
      <w:r w:rsidR="00022816" w:rsidRPr="001B4256">
        <w:rPr>
          <w:rFonts w:cstheme="minorHAnsi"/>
          <w:lang w:eastAsia="ja-JP"/>
        </w:rPr>
        <w:t>ncludes assessment, monitoring and development of initiatives to improve performance. Examples include adjustments to improve program and service delivery, business performance reports against key performance indicators and similar activities.</w:t>
      </w:r>
    </w:p>
    <w:p w14:paraId="097AFCC5" w14:textId="77777777" w:rsidR="00022816" w:rsidRPr="001B4256" w:rsidRDefault="00022816" w:rsidP="00022816">
      <w:pPr>
        <w:pStyle w:val="Heading3"/>
        <w:numPr>
          <w:ilvl w:val="0"/>
          <w:numId w:val="0"/>
        </w:numPr>
        <w:rPr>
          <w:lang w:eastAsia="ja-JP"/>
        </w:rPr>
      </w:pPr>
      <w:bookmarkStart w:id="227" w:name="_Toc200115614"/>
      <w:r w:rsidRPr="001B4256">
        <w:rPr>
          <w:lang w:eastAsia="ja-JP"/>
        </w:rPr>
        <w:t>Assurance activities (charge)</w:t>
      </w:r>
      <w:bookmarkEnd w:id="227"/>
    </w:p>
    <w:p w14:paraId="4E3FC63E" w14:textId="77777777" w:rsidR="00022816" w:rsidRPr="001B4256" w:rsidRDefault="00022816" w:rsidP="00022816">
      <w:pPr>
        <w:pStyle w:val="Heading5"/>
        <w:rPr>
          <w:lang w:eastAsia="ja-JP"/>
        </w:rPr>
      </w:pPr>
      <w:r w:rsidRPr="001B4256">
        <w:rPr>
          <w:lang w:eastAsia="ja-JP"/>
        </w:rPr>
        <w:t>Risk management</w:t>
      </w:r>
    </w:p>
    <w:p w14:paraId="7FA50698" w14:textId="794C9F66" w:rsidR="00022816" w:rsidRPr="001B4256" w:rsidRDefault="00596A1C" w:rsidP="00022816">
      <w:pPr>
        <w:rPr>
          <w:rFonts w:cstheme="minorHAnsi"/>
          <w:lang w:eastAsia="ja-JP"/>
        </w:rPr>
      </w:pPr>
      <w:r>
        <w:rPr>
          <w:rFonts w:cstheme="minorHAnsi"/>
          <w:lang w:eastAsia="ja-JP"/>
        </w:rPr>
        <w:t>A</w:t>
      </w:r>
      <w:r w:rsidR="00022816" w:rsidRPr="001B4256">
        <w:rPr>
          <w:rFonts w:cstheme="minorHAnsi"/>
          <w:lang w:eastAsia="ja-JP"/>
        </w:rPr>
        <w:t>ssessing and managing the risks posed to Australia’s biosecurity and imported food systems. This includes communicating</w:t>
      </w:r>
      <w:r w:rsidR="00664207">
        <w:rPr>
          <w:rFonts w:cstheme="minorHAnsi"/>
          <w:lang w:eastAsia="ja-JP"/>
        </w:rPr>
        <w:t xml:space="preserve"> strategic intelligence advice to the department’s decision makers,</w:t>
      </w:r>
      <w:r w:rsidR="00022816" w:rsidRPr="001B4256">
        <w:rPr>
          <w:rFonts w:cstheme="minorHAnsi"/>
          <w:lang w:eastAsia="ja-JP"/>
        </w:rPr>
        <w:t xml:space="preserve"> results of </w:t>
      </w:r>
      <w:r w:rsidR="00022816" w:rsidRPr="001B4256">
        <w:rPr>
          <w:rFonts w:cstheme="minorHAnsi"/>
          <w:lang w:eastAsia="ja-JP"/>
        </w:rPr>
        <w:lastRenderedPageBreak/>
        <w:t xml:space="preserve">risk analysis, modelling and forecasting to operational areas and the collection, receipt and use of data, information and intelligence to meet our compliance objectives. This work also includes any associated travel and client assistance work, such as assessment of </w:t>
      </w:r>
      <w:r w:rsidR="00664207">
        <w:rPr>
          <w:rFonts w:cstheme="minorHAnsi"/>
          <w:lang w:eastAsia="ja-JP"/>
        </w:rPr>
        <w:t xml:space="preserve">threats and risks </w:t>
      </w:r>
      <w:r w:rsidR="00022816" w:rsidRPr="001B4256">
        <w:rPr>
          <w:rFonts w:cstheme="minorHAnsi"/>
          <w:lang w:eastAsia="ja-JP"/>
        </w:rPr>
        <w:t>associated with cargo, vessels, plants, animals, food, biological and genetic material.</w:t>
      </w:r>
    </w:p>
    <w:p w14:paraId="78FAFFC2" w14:textId="77777777" w:rsidR="00022816" w:rsidRPr="001B4256" w:rsidRDefault="00022816" w:rsidP="00022816">
      <w:pPr>
        <w:pStyle w:val="Heading5"/>
        <w:rPr>
          <w:lang w:eastAsia="ja-JP"/>
        </w:rPr>
      </w:pPr>
      <w:r w:rsidRPr="001B4256">
        <w:rPr>
          <w:lang w:eastAsia="ja-JP"/>
        </w:rPr>
        <w:t>Verification</w:t>
      </w:r>
    </w:p>
    <w:p w14:paraId="5032B022" w14:textId="6220385D" w:rsidR="00022816" w:rsidRPr="001B4256" w:rsidRDefault="00596A1C" w:rsidP="00022816">
      <w:pPr>
        <w:rPr>
          <w:rFonts w:cstheme="minorHAnsi"/>
          <w:lang w:eastAsia="ja-JP"/>
        </w:rPr>
      </w:pPr>
      <w:r>
        <w:rPr>
          <w:rFonts w:cstheme="minorHAnsi"/>
          <w:lang w:eastAsia="ja-JP"/>
        </w:rPr>
        <w:t>A</w:t>
      </w:r>
      <w:r w:rsidR="00022816" w:rsidRPr="001B4256">
        <w:rPr>
          <w:rFonts w:cstheme="minorHAnsi"/>
          <w:lang w:eastAsia="ja-JP"/>
        </w:rPr>
        <w:t>ctivities that provide our executive and stakeholders with confidence that our systems and processes are operating in accordance with their intended design and associated documentation and managing the identified risk. For example, internal quality assurance systems and verification activities to ensure officers are following procedures, processes or instructional material and are making appropriate decisions.</w:t>
      </w:r>
    </w:p>
    <w:p w14:paraId="439BEF87" w14:textId="77777777" w:rsidR="00022816" w:rsidRPr="001B4256" w:rsidRDefault="00022816" w:rsidP="00022816">
      <w:pPr>
        <w:pStyle w:val="Heading5"/>
        <w:rPr>
          <w:lang w:eastAsia="ja-JP"/>
        </w:rPr>
      </w:pPr>
      <w:r w:rsidRPr="001B4256">
        <w:rPr>
          <w:lang w:eastAsia="ja-JP"/>
        </w:rPr>
        <w:t>Surveillance</w:t>
      </w:r>
    </w:p>
    <w:p w14:paraId="5040EC74" w14:textId="097D7084" w:rsidR="00022816" w:rsidRPr="001B4256" w:rsidRDefault="00596A1C" w:rsidP="00022816">
      <w:pPr>
        <w:rPr>
          <w:rFonts w:cstheme="minorHAnsi"/>
          <w:lang w:eastAsia="ja-JP"/>
        </w:rPr>
      </w:pPr>
      <w:r>
        <w:rPr>
          <w:rFonts w:cstheme="minorHAnsi"/>
          <w:lang w:eastAsia="ja-JP"/>
        </w:rPr>
        <w:t>F</w:t>
      </w:r>
      <w:r w:rsidR="00022816" w:rsidRPr="001B4256">
        <w:rPr>
          <w:rFonts w:cstheme="minorHAnsi"/>
          <w:lang w:eastAsia="ja-JP"/>
        </w:rPr>
        <w:t xml:space="preserve">ormal and informal monitoring to detect changes in Australia’s pest or disease status, or the presence of food safety concerns which may affect imports and onshore production. Surveillance differs from an inspection as it </w:t>
      </w:r>
      <w:proofErr w:type="gramStart"/>
      <w:r w:rsidR="00022816" w:rsidRPr="001B4256">
        <w:rPr>
          <w:rFonts w:cstheme="minorHAnsi"/>
          <w:lang w:eastAsia="ja-JP"/>
        </w:rPr>
        <w:t>is not conducted</w:t>
      </w:r>
      <w:proofErr w:type="gramEnd"/>
      <w:r w:rsidR="00022816" w:rsidRPr="001B4256">
        <w:rPr>
          <w:rFonts w:cstheme="minorHAnsi"/>
          <w:lang w:eastAsia="ja-JP"/>
        </w:rPr>
        <w:t xml:space="preserve"> for a specific client.</w:t>
      </w:r>
    </w:p>
    <w:p w14:paraId="65BBF2E2" w14:textId="77777777" w:rsidR="00022816" w:rsidRPr="001B4256" w:rsidRDefault="00022816" w:rsidP="00022816">
      <w:pPr>
        <w:rPr>
          <w:rFonts w:cstheme="minorHAnsi"/>
          <w:lang w:eastAsia="ja-JP"/>
        </w:rPr>
      </w:pPr>
      <w:r w:rsidRPr="001B4256">
        <w:rPr>
          <w:rFonts w:cstheme="minorHAnsi"/>
          <w:lang w:eastAsia="ja-JP"/>
        </w:rPr>
        <w:t>It includes all pre and post work, travel and client assistance in relation to surveillance. Examples include deploying detector dogs, wharf surveillance, vector monitoring at proclaimed ports, new car surveillance, break bulk surveillance, monitoring the entry of exotic pests, weeds and disease across passenger and cargo pathways, monitoring of animal welfare issues and monitoring for microbiological or chemical hazards in food.</w:t>
      </w:r>
    </w:p>
    <w:p w14:paraId="7661B2A6" w14:textId="77777777" w:rsidR="00022816" w:rsidRPr="00000ABC" w:rsidRDefault="00022816" w:rsidP="00022816">
      <w:pPr>
        <w:pStyle w:val="Heading3"/>
        <w:numPr>
          <w:ilvl w:val="0"/>
          <w:numId w:val="0"/>
        </w:numPr>
      </w:pPr>
      <w:bookmarkStart w:id="228" w:name="_Toc200115615"/>
      <w:r w:rsidRPr="00000ABC">
        <w:t>Incident management activities (charge)</w:t>
      </w:r>
      <w:bookmarkEnd w:id="228"/>
    </w:p>
    <w:p w14:paraId="1D0F6F63" w14:textId="77777777" w:rsidR="00022816" w:rsidRPr="001B4256" w:rsidRDefault="00022816" w:rsidP="00022816">
      <w:pPr>
        <w:pStyle w:val="Heading5"/>
        <w:rPr>
          <w:lang w:eastAsia="ja-JP"/>
        </w:rPr>
      </w:pPr>
      <w:r w:rsidRPr="001B4256">
        <w:rPr>
          <w:lang w:eastAsia="ja-JP"/>
        </w:rPr>
        <w:t>Incident management</w:t>
      </w:r>
    </w:p>
    <w:p w14:paraId="7430DDC9" w14:textId="32B4B161" w:rsidR="00022816" w:rsidRPr="001B4256" w:rsidRDefault="00596A1C" w:rsidP="00022816">
      <w:pPr>
        <w:rPr>
          <w:rFonts w:cstheme="minorHAnsi"/>
          <w:lang w:eastAsia="ja-JP"/>
        </w:rPr>
      </w:pPr>
      <w:r>
        <w:rPr>
          <w:rFonts w:cstheme="minorHAnsi"/>
          <w:lang w:eastAsia="ja-JP"/>
        </w:rPr>
        <w:t>C</w:t>
      </w:r>
      <w:r w:rsidR="00022816" w:rsidRPr="001B4256">
        <w:rPr>
          <w:rFonts w:cstheme="minorHAnsi"/>
          <w:lang w:eastAsia="ja-JP"/>
        </w:rPr>
        <w:t>oordination and management of any incident, including post-border detections and biosecurity and imported food incidents. This includes all associated pre and post work, travel and client assistance in relation to an incident. It excludes cost-sharing for emergency responses under the formal national disease and pest response arrangements.</w:t>
      </w:r>
    </w:p>
    <w:p w14:paraId="11B96A66" w14:textId="77777777" w:rsidR="00022816" w:rsidRPr="001B4256" w:rsidRDefault="00022816" w:rsidP="00022816">
      <w:pPr>
        <w:pStyle w:val="Heading5"/>
        <w:rPr>
          <w:lang w:eastAsia="ja-JP"/>
        </w:rPr>
      </w:pPr>
      <w:r w:rsidRPr="001B4256">
        <w:rPr>
          <w:lang w:eastAsia="ja-JP"/>
        </w:rPr>
        <w:t xml:space="preserve">Investigation </w:t>
      </w:r>
      <w:r w:rsidRPr="0062405B">
        <w:t>support</w:t>
      </w:r>
    </w:p>
    <w:p w14:paraId="113380A2" w14:textId="4694CB3A" w:rsidR="00022816" w:rsidRPr="001B4256" w:rsidRDefault="00596A1C" w:rsidP="00022816">
      <w:pPr>
        <w:rPr>
          <w:rFonts w:cstheme="minorHAnsi"/>
          <w:lang w:eastAsia="ja-JP"/>
        </w:rPr>
      </w:pPr>
      <w:r>
        <w:rPr>
          <w:rFonts w:cstheme="minorHAnsi"/>
          <w:lang w:eastAsia="ja-JP"/>
        </w:rPr>
        <w:t>S</w:t>
      </w:r>
      <w:r w:rsidR="00022816" w:rsidRPr="001B4256">
        <w:rPr>
          <w:rFonts w:cstheme="minorHAnsi"/>
          <w:lang w:eastAsia="ja-JP"/>
        </w:rPr>
        <w:t>upport for enforcement activities relating to an alleged breach of portfolio legislation, including any related client assistance and travel. It does not include the work of the enforcement officers. Examples of investigation support include data extraction and analysis to support an investigation.</w:t>
      </w:r>
    </w:p>
    <w:p w14:paraId="7FDA7574" w14:textId="77777777" w:rsidR="00022816" w:rsidRPr="002A5E46" w:rsidRDefault="00022816" w:rsidP="00022816">
      <w:pPr>
        <w:pStyle w:val="Heading5"/>
        <w:rPr>
          <w:lang w:eastAsia="ja-JP"/>
        </w:rPr>
      </w:pPr>
      <w:r w:rsidRPr="002A5E46">
        <w:rPr>
          <w:lang w:eastAsia="ja-JP"/>
        </w:rPr>
        <w:t>Corrective action</w:t>
      </w:r>
    </w:p>
    <w:p w14:paraId="7AD8E297" w14:textId="5EDAD9AF" w:rsidR="00022816" w:rsidRPr="00AE1BEB" w:rsidRDefault="00596A1C" w:rsidP="00AE1BEB">
      <w:r>
        <w:t>A</w:t>
      </w:r>
      <w:r w:rsidR="00022816" w:rsidRPr="00AE1BEB">
        <w:t xml:space="preserve">ctions taken in response to non-compliance with or contravention of legislation or procedures that </w:t>
      </w:r>
      <w:proofErr w:type="gramStart"/>
      <w:r w:rsidR="00022816" w:rsidRPr="00AE1BEB">
        <w:t>are managed</w:t>
      </w:r>
      <w:proofErr w:type="gramEnd"/>
      <w:r w:rsidR="00022816" w:rsidRPr="00AE1BEB">
        <w:t xml:space="preserve"> without a formal investigation by an Enforcement officer. Corrective action activities include advice and support to operational staff and clients on the management of non-compliance and the development of options to effectively manage the risk.</w:t>
      </w:r>
    </w:p>
    <w:p w14:paraId="6D79BA02" w14:textId="77777777" w:rsidR="00022816" w:rsidRPr="002A5E46" w:rsidRDefault="00022816" w:rsidP="00022816">
      <w:pPr>
        <w:pStyle w:val="Heading3"/>
        <w:numPr>
          <w:ilvl w:val="0"/>
          <w:numId w:val="0"/>
        </w:numPr>
        <w:rPr>
          <w:lang w:eastAsia="ja-JP"/>
        </w:rPr>
      </w:pPr>
      <w:bookmarkStart w:id="229" w:name="_Toc200115616"/>
      <w:r w:rsidRPr="002A5E46">
        <w:rPr>
          <w:lang w:eastAsia="ja-JP"/>
        </w:rPr>
        <w:t>Intervention activities (fee)</w:t>
      </w:r>
      <w:bookmarkEnd w:id="229"/>
    </w:p>
    <w:p w14:paraId="71E1C201" w14:textId="77777777" w:rsidR="00022816" w:rsidRPr="002A5E46" w:rsidRDefault="00022816" w:rsidP="00022816">
      <w:pPr>
        <w:pStyle w:val="Heading5"/>
        <w:rPr>
          <w:lang w:eastAsia="ja-JP"/>
        </w:rPr>
      </w:pPr>
      <w:r w:rsidRPr="002A5E46">
        <w:rPr>
          <w:lang w:eastAsia="ja-JP"/>
        </w:rPr>
        <w:t>Assessment</w:t>
      </w:r>
    </w:p>
    <w:p w14:paraId="7CDC9420" w14:textId="4DB0B18E" w:rsidR="00022816" w:rsidRPr="002A5E46" w:rsidRDefault="00596A1C" w:rsidP="00022816">
      <w:pPr>
        <w:rPr>
          <w:rFonts w:cstheme="minorHAnsi"/>
          <w:lang w:eastAsia="ja-JP"/>
        </w:rPr>
      </w:pPr>
      <w:r>
        <w:rPr>
          <w:rFonts w:cstheme="minorHAnsi"/>
          <w:lang w:eastAsia="ja-JP"/>
        </w:rPr>
        <w:t>A</w:t>
      </w:r>
      <w:r w:rsidR="00022816" w:rsidRPr="002A5E46">
        <w:rPr>
          <w:rFonts w:cstheme="minorHAnsi"/>
          <w:lang w:eastAsia="ja-JP"/>
        </w:rPr>
        <w:t xml:space="preserve">ssessing information to determine if it meets the department’s requirements. This includes the assessment of import-related documentation for cargo, </w:t>
      </w:r>
      <w:r w:rsidR="002C6E38">
        <w:rPr>
          <w:rFonts w:cstheme="minorHAnsi"/>
          <w:lang w:eastAsia="ja-JP"/>
        </w:rPr>
        <w:t>conveyances</w:t>
      </w:r>
      <w:r w:rsidR="00022816" w:rsidRPr="002A5E46">
        <w:rPr>
          <w:rFonts w:cstheme="minorHAnsi"/>
          <w:lang w:eastAsia="ja-JP"/>
        </w:rPr>
        <w:t>, plants, animals, food, biological and genetic material, including administration of applications.</w:t>
      </w:r>
    </w:p>
    <w:p w14:paraId="352B81E4" w14:textId="77777777" w:rsidR="00022816" w:rsidRPr="002A5E46" w:rsidRDefault="00022816" w:rsidP="00022816">
      <w:pPr>
        <w:pStyle w:val="Heading5"/>
      </w:pPr>
      <w:r w:rsidRPr="002A5E46">
        <w:lastRenderedPageBreak/>
        <w:t>Issue approvals and certification</w:t>
      </w:r>
    </w:p>
    <w:p w14:paraId="6122E1D1" w14:textId="0BBF5B85" w:rsidR="00022816" w:rsidRPr="002A5E46" w:rsidRDefault="00596A1C" w:rsidP="00022816">
      <w:pPr>
        <w:rPr>
          <w:rFonts w:cstheme="minorHAnsi"/>
          <w:lang w:eastAsia="ja-JP"/>
        </w:rPr>
      </w:pPr>
      <w:r>
        <w:rPr>
          <w:rFonts w:cstheme="minorHAnsi"/>
          <w:lang w:eastAsia="ja-JP"/>
        </w:rPr>
        <w:t>I</w:t>
      </w:r>
      <w:r w:rsidR="00022816" w:rsidRPr="002A5E46">
        <w:rPr>
          <w:rFonts w:cstheme="minorHAnsi"/>
          <w:lang w:eastAsia="ja-JP"/>
        </w:rPr>
        <w:t xml:space="preserve">ssuing of a decision in relation to an assessment for cargo, </w:t>
      </w:r>
      <w:r w:rsidR="002C6E38">
        <w:rPr>
          <w:rFonts w:cstheme="minorHAnsi"/>
          <w:lang w:eastAsia="ja-JP"/>
        </w:rPr>
        <w:t>conveyances</w:t>
      </w:r>
      <w:r w:rsidR="00022816" w:rsidRPr="002A5E46">
        <w:rPr>
          <w:rFonts w:cstheme="minorHAnsi"/>
          <w:lang w:eastAsia="ja-JP"/>
        </w:rPr>
        <w:t>, plants, animals, food, biological and genetic material. This includes the work from the end of the assessment period to the completion of the decision-notification process.</w:t>
      </w:r>
    </w:p>
    <w:p w14:paraId="123DEE8A" w14:textId="77777777" w:rsidR="00022816" w:rsidRPr="002A5E46" w:rsidRDefault="00022816" w:rsidP="00022816">
      <w:pPr>
        <w:pStyle w:val="Heading5"/>
        <w:rPr>
          <w:lang w:eastAsia="ja-JP"/>
        </w:rPr>
      </w:pPr>
      <w:r w:rsidRPr="002A5E46">
        <w:rPr>
          <w:lang w:eastAsia="ja-JP"/>
        </w:rPr>
        <w:t>Inspection</w:t>
      </w:r>
    </w:p>
    <w:p w14:paraId="6CF4CEEA" w14:textId="1800563D" w:rsidR="00022816" w:rsidRPr="002A5E46" w:rsidRDefault="00596A1C" w:rsidP="00022816">
      <w:pPr>
        <w:rPr>
          <w:rFonts w:cstheme="minorHAnsi"/>
          <w:lang w:eastAsia="ja-JP"/>
        </w:rPr>
      </w:pPr>
      <w:r>
        <w:rPr>
          <w:rFonts w:cstheme="minorHAnsi"/>
          <w:lang w:eastAsia="ja-JP"/>
        </w:rPr>
        <w:t>P</w:t>
      </w:r>
      <w:r w:rsidR="00022816" w:rsidRPr="002A5E46">
        <w:rPr>
          <w:rFonts w:cstheme="minorHAnsi"/>
          <w:lang w:eastAsia="ja-JP"/>
        </w:rPr>
        <w:t xml:space="preserve">hysical examination and supervision of a physical examination, of cargo, </w:t>
      </w:r>
      <w:r w:rsidR="002C6E38">
        <w:rPr>
          <w:rFonts w:cstheme="minorHAnsi"/>
          <w:lang w:eastAsia="ja-JP"/>
        </w:rPr>
        <w:t>conveyances</w:t>
      </w:r>
      <w:r w:rsidR="00022816" w:rsidRPr="002A5E46">
        <w:rPr>
          <w:rFonts w:cstheme="minorHAnsi"/>
          <w:lang w:eastAsia="ja-JP"/>
        </w:rPr>
        <w:t>, plants, animals, food, biological and genetic material, to determine compliance with biosecurity and food safety requirements. Inspections also include activities related to post-quarantine detections of biosecurity-risk goods.</w:t>
      </w:r>
    </w:p>
    <w:p w14:paraId="06B2DC59" w14:textId="77777777" w:rsidR="00022816" w:rsidRPr="002A5E46" w:rsidRDefault="00022816" w:rsidP="00022816">
      <w:pPr>
        <w:pStyle w:val="Heading5"/>
        <w:rPr>
          <w:lang w:eastAsia="ja-JP"/>
        </w:rPr>
      </w:pPr>
      <w:r w:rsidRPr="002A5E46">
        <w:rPr>
          <w:lang w:eastAsia="ja-JP"/>
        </w:rPr>
        <w:t>Treatments</w:t>
      </w:r>
    </w:p>
    <w:p w14:paraId="16BC0732" w14:textId="557B83C9" w:rsidR="00022816" w:rsidRPr="002A5E46" w:rsidRDefault="00596A1C" w:rsidP="00022816">
      <w:pPr>
        <w:rPr>
          <w:rFonts w:cstheme="minorHAnsi"/>
          <w:lang w:eastAsia="ja-JP"/>
        </w:rPr>
      </w:pPr>
      <w:r>
        <w:rPr>
          <w:rFonts w:cstheme="minorHAnsi"/>
          <w:lang w:eastAsia="ja-JP"/>
        </w:rPr>
        <w:t>P</w:t>
      </w:r>
      <w:r w:rsidR="00022816" w:rsidRPr="002A5E46">
        <w:rPr>
          <w:rFonts w:cstheme="minorHAnsi"/>
          <w:lang w:eastAsia="ja-JP"/>
        </w:rPr>
        <w:t>hysical treatment of cargo, vessels, plants, animals, food, biological and genetic material, other conveyances or premises, to prevent an adverse biosecurity outcome from occurring.</w:t>
      </w:r>
    </w:p>
    <w:p w14:paraId="466CB9DE" w14:textId="77777777" w:rsidR="00022816" w:rsidRPr="002A5E46" w:rsidRDefault="00022816" w:rsidP="00022816">
      <w:pPr>
        <w:pStyle w:val="Heading5"/>
        <w:rPr>
          <w:lang w:eastAsia="ja-JP"/>
        </w:rPr>
      </w:pPr>
      <w:r w:rsidRPr="002A5E46">
        <w:rPr>
          <w:lang w:eastAsia="ja-JP"/>
        </w:rPr>
        <w:t>Husbandry</w:t>
      </w:r>
    </w:p>
    <w:p w14:paraId="54235609" w14:textId="69724CBE" w:rsidR="00022816" w:rsidRPr="002A5E46" w:rsidRDefault="00596A1C" w:rsidP="00022816">
      <w:pPr>
        <w:rPr>
          <w:rFonts w:cstheme="minorHAnsi"/>
          <w:lang w:eastAsia="ja-JP"/>
        </w:rPr>
      </w:pPr>
      <w:r>
        <w:rPr>
          <w:rFonts w:cstheme="minorHAnsi"/>
          <w:lang w:eastAsia="ja-JP"/>
        </w:rPr>
        <w:t>A</w:t>
      </w:r>
      <w:r w:rsidR="00022816" w:rsidRPr="002A5E46">
        <w:rPr>
          <w:rFonts w:cstheme="minorHAnsi"/>
          <w:lang w:eastAsia="ja-JP"/>
        </w:rPr>
        <w:t>ctivities relating to the care of plants and animals that we are responsible for, including transport of plants and animals, housing, daily monitoring, feeding, cleaning of facilities, administering of medication, bookings and client assistance.</w:t>
      </w:r>
    </w:p>
    <w:p w14:paraId="6AA86FAF" w14:textId="77777777" w:rsidR="00022816" w:rsidRPr="002A5E46" w:rsidRDefault="00022816" w:rsidP="00022816">
      <w:pPr>
        <w:pStyle w:val="Heading5"/>
        <w:rPr>
          <w:lang w:eastAsia="ja-JP"/>
        </w:rPr>
      </w:pPr>
      <w:r w:rsidRPr="002A5E46">
        <w:rPr>
          <w:lang w:eastAsia="ja-JP"/>
        </w:rPr>
        <w:t>Audit</w:t>
      </w:r>
    </w:p>
    <w:p w14:paraId="5AD1734D" w14:textId="7D9AD5EB" w:rsidR="00022816" w:rsidRPr="002A5E46" w:rsidRDefault="00596A1C" w:rsidP="00022816">
      <w:pPr>
        <w:rPr>
          <w:rFonts w:cstheme="minorHAnsi"/>
          <w:lang w:eastAsia="ja-JP"/>
        </w:rPr>
      </w:pPr>
      <w:r>
        <w:rPr>
          <w:rFonts w:cstheme="minorHAnsi"/>
          <w:lang w:eastAsia="ja-JP"/>
        </w:rPr>
        <w:t>S</w:t>
      </w:r>
      <w:r w:rsidR="00022816" w:rsidRPr="002A5E46">
        <w:rPr>
          <w:rFonts w:cstheme="minorHAnsi"/>
          <w:lang w:eastAsia="ja-JP"/>
        </w:rPr>
        <w:t>ystematic and functionally independent examination of industry systems and processes to determine whether activities and related results comply with legislative or documented requirements. This includes desktop audits, remote audits, site audits (including travel), reviews of standard operating procedures for new and existing approved arrangement sites, overseas manufacturing facilities and pre-export quarantine facilities and their procedures.</w:t>
      </w:r>
    </w:p>
    <w:p w14:paraId="3C9B51E5" w14:textId="19CA3EFA" w:rsidR="00704D72" w:rsidRPr="0029663C" w:rsidRDefault="00704D72" w:rsidP="006E77C9">
      <w:pPr>
        <w:pStyle w:val="Heading2"/>
        <w:numPr>
          <w:ilvl w:val="0"/>
          <w:numId w:val="0"/>
        </w:numPr>
        <w:ind w:left="720" w:hanging="720"/>
      </w:pPr>
      <w:bookmarkStart w:id="230" w:name="_Appendix_C:_Indexation"/>
      <w:bookmarkStart w:id="231" w:name="_Toc200115617"/>
      <w:bookmarkEnd w:id="230"/>
      <w:r w:rsidRPr="0029663C">
        <w:lastRenderedPageBreak/>
        <w:t xml:space="preserve">Appendix </w:t>
      </w:r>
      <w:r w:rsidR="00022816" w:rsidRPr="0029663C">
        <w:t>C</w:t>
      </w:r>
      <w:r w:rsidRPr="0029663C">
        <w:t>: Indexation</w:t>
      </w:r>
      <w:bookmarkEnd w:id="231"/>
    </w:p>
    <w:p w14:paraId="09F3008F" w14:textId="6747FFF0" w:rsidR="006E77C9" w:rsidRPr="0029663C" w:rsidRDefault="006E77C9" w:rsidP="006E77C9">
      <w:r w:rsidRPr="0029663C">
        <w:t xml:space="preserve">This section provides details of the application of indexation and sets out how it </w:t>
      </w:r>
      <w:proofErr w:type="gramStart"/>
      <w:r w:rsidRPr="0029663C">
        <w:t>is applied</w:t>
      </w:r>
      <w:proofErr w:type="gramEnd"/>
      <w:r w:rsidRPr="0029663C">
        <w:t xml:space="preserve"> to calculate new prices for regulatory charges.</w:t>
      </w:r>
    </w:p>
    <w:p w14:paraId="22E69373" w14:textId="5FC7AADE" w:rsidR="001736F4" w:rsidRPr="0029663C" w:rsidRDefault="001736F4" w:rsidP="007C2F94">
      <w:pPr>
        <w:pStyle w:val="Heading3"/>
        <w:numPr>
          <w:ilvl w:val="0"/>
          <w:numId w:val="0"/>
        </w:numPr>
        <w:ind w:left="964" w:hanging="964"/>
      </w:pPr>
      <w:bookmarkStart w:id="232" w:name="_Toc200115618"/>
      <w:r w:rsidRPr="0029663C">
        <w:t>Legislation</w:t>
      </w:r>
      <w:bookmarkEnd w:id="232"/>
    </w:p>
    <w:p w14:paraId="7F1D39F9" w14:textId="77777777" w:rsidR="001736F4" w:rsidRPr="0029663C" w:rsidRDefault="001736F4" w:rsidP="001736F4">
      <w:r w:rsidRPr="0029663C">
        <w:t xml:space="preserve">New prices for regulatory charges have </w:t>
      </w:r>
      <w:proofErr w:type="gramStart"/>
      <w:r w:rsidRPr="0029663C">
        <w:t>been calculated</w:t>
      </w:r>
      <w:proofErr w:type="gramEnd"/>
      <w:r w:rsidRPr="0029663C">
        <w:t xml:space="preserve"> using methodology prescribed in legislation:</w:t>
      </w:r>
    </w:p>
    <w:p w14:paraId="36E6976E" w14:textId="1F53B4F3" w:rsidR="001736F4" w:rsidRPr="0029663C" w:rsidRDefault="001736F4" w:rsidP="001736F4">
      <w:pPr>
        <w:pStyle w:val="ListBullet"/>
      </w:pPr>
      <w:r w:rsidRPr="0029663C">
        <w:t xml:space="preserve">Biosecurity Regulation 2016 </w:t>
      </w:r>
      <w:r w:rsidR="00092669">
        <w:t>–</w:t>
      </w:r>
      <w:r w:rsidRPr="0029663C">
        <w:t xml:space="preserve"> Chapter 9, Part 2, Division 1, Section 107A </w:t>
      </w:r>
      <w:r w:rsidR="00092669">
        <w:t>‘</w:t>
      </w:r>
      <w:r w:rsidRPr="00092669">
        <w:t>Indexation of fees</w:t>
      </w:r>
      <w:r w:rsidR="00092669">
        <w:t>’</w:t>
      </w:r>
      <w:r w:rsidRPr="00092669">
        <w:t>.</w:t>
      </w:r>
    </w:p>
    <w:p w14:paraId="474C2A6F" w14:textId="78E58405" w:rsidR="001736F4" w:rsidRPr="0029663C" w:rsidRDefault="001736F4" w:rsidP="001736F4">
      <w:pPr>
        <w:pStyle w:val="ListBullet"/>
      </w:pPr>
      <w:r w:rsidRPr="0029663C">
        <w:t xml:space="preserve">Biosecurity Charges Imposition (Customs) Regulation 2016, and Biosecurity Charges Imposition (General) Regulation 2016 </w:t>
      </w:r>
      <w:r w:rsidR="00092669">
        <w:t>–</w:t>
      </w:r>
      <w:r w:rsidRPr="0029663C">
        <w:t xml:space="preserve"> Part 2, Section 9A </w:t>
      </w:r>
      <w:r w:rsidR="00EF33ED">
        <w:t>‘</w:t>
      </w:r>
      <w:r w:rsidRPr="0029663C">
        <w:t xml:space="preserve">Indexation of </w:t>
      </w:r>
      <w:r w:rsidR="00EF33ED">
        <w:t>c</w:t>
      </w:r>
      <w:r w:rsidRPr="0029663C">
        <w:t>harges</w:t>
      </w:r>
      <w:r w:rsidR="00EF33ED">
        <w:t>’</w:t>
      </w:r>
      <w:r w:rsidRPr="0029663C">
        <w:t>.</w:t>
      </w:r>
    </w:p>
    <w:p w14:paraId="5004BC24" w14:textId="54ADB021" w:rsidR="001736F4" w:rsidRPr="0029663C" w:rsidRDefault="001736F4" w:rsidP="001736F4">
      <w:pPr>
        <w:pStyle w:val="ListBullet"/>
      </w:pPr>
      <w:r w:rsidRPr="0029663C">
        <w:t xml:space="preserve">Imported Food Control Regulations 2019 </w:t>
      </w:r>
      <w:r w:rsidR="00092669">
        <w:t>–</w:t>
      </w:r>
      <w:r w:rsidRPr="0029663C">
        <w:t xml:space="preserve"> Part 4, Section 30A </w:t>
      </w:r>
      <w:r w:rsidR="00EF33ED">
        <w:t>‘</w:t>
      </w:r>
      <w:r w:rsidRPr="0029663C">
        <w:t>Indexation of charges</w:t>
      </w:r>
      <w:r w:rsidR="00EF33ED">
        <w:t>’</w:t>
      </w:r>
      <w:r w:rsidRPr="0029663C">
        <w:t>.</w:t>
      </w:r>
    </w:p>
    <w:p w14:paraId="60B2866B" w14:textId="050AEF7C" w:rsidR="001736F4" w:rsidRPr="0029663C" w:rsidRDefault="001736F4" w:rsidP="001736F4">
      <w:pPr>
        <w:pStyle w:val="ListBullet"/>
        <w:rPr>
          <w:lang w:eastAsia="ja-JP"/>
        </w:rPr>
      </w:pPr>
      <w:r w:rsidRPr="0029663C">
        <w:t xml:space="preserve">Imported Food Charges (Imposition – Customs) Regulation 2015 and the Imported Food Charges (Imposition </w:t>
      </w:r>
      <w:r w:rsidR="00EF33ED">
        <w:t>–</w:t>
      </w:r>
      <w:r w:rsidRPr="0029663C">
        <w:t xml:space="preserve"> General) Regulation 2015 </w:t>
      </w:r>
      <w:r w:rsidR="00EF33ED">
        <w:t>–</w:t>
      </w:r>
      <w:r w:rsidRPr="0029663C">
        <w:t xml:space="preserve"> Part 2, Section 6A </w:t>
      </w:r>
      <w:r w:rsidR="00EF33ED">
        <w:t>‘</w:t>
      </w:r>
      <w:r w:rsidRPr="0029663C">
        <w:t>Indexation of charges</w:t>
      </w:r>
      <w:r w:rsidR="00EF33ED">
        <w:t>’</w:t>
      </w:r>
      <w:r w:rsidRPr="0029663C">
        <w:t>.</w:t>
      </w:r>
    </w:p>
    <w:p w14:paraId="1C5716D0" w14:textId="57A19B30" w:rsidR="000D0275" w:rsidRPr="0029663C" w:rsidRDefault="001736F4" w:rsidP="007C2F94">
      <w:pPr>
        <w:pStyle w:val="Heading3"/>
        <w:numPr>
          <w:ilvl w:val="0"/>
          <w:numId w:val="0"/>
        </w:numPr>
        <w:ind w:left="964" w:hanging="964"/>
      </w:pPr>
      <w:bookmarkStart w:id="233" w:name="_Toc200115619"/>
      <w:r w:rsidRPr="0029663C">
        <w:t>Price calculation methodology</w:t>
      </w:r>
      <w:bookmarkEnd w:id="233"/>
    </w:p>
    <w:p w14:paraId="5DA1BF30" w14:textId="5F295DFF" w:rsidR="00102904" w:rsidRPr="0029663C" w:rsidRDefault="00102904" w:rsidP="00102904">
      <w:r w:rsidRPr="0029663C">
        <w:t>Indexation provisions in biosecurity and imported food legislation provide the methodology for determining if indexation will increase the prices (fees and charges) for cost recovered regulatory activities. This is a 2</w:t>
      </w:r>
      <w:r w:rsidRPr="0029663C">
        <w:noBreakHyphen/>
        <w:t xml:space="preserve">step process where the indexation factor </w:t>
      </w:r>
      <w:proofErr w:type="gramStart"/>
      <w:r w:rsidRPr="0029663C">
        <w:t>is calculated</w:t>
      </w:r>
      <w:proofErr w:type="gramEnd"/>
      <w:r w:rsidRPr="0029663C">
        <w:t xml:space="preserve"> and</w:t>
      </w:r>
      <w:r w:rsidR="00EF33ED">
        <w:t>,</w:t>
      </w:r>
      <w:r w:rsidRPr="0029663C">
        <w:t xml:space="preserve"> if greater than </w:t>
      </w:r>
      <w:r w:rsidR="001736F4" w:rsidRPr="0029663C">
        <w:t>1</w:t>
      </w:r>
      <w:r w:rsidRPr="0029663C">
        <w:t xml:space="preserve">, </w:t>
      </w:r>
      <w:proofErr w:type="gramStart"/>
      <w:r w:rsidRPr="0029663C">
        <w:t>is used</w:t>
      </w:r>
      <w:proofErr w:type="gramEnd"/>
      <w:r w:rsidRPr="0029663C">
        <w:t xml:space="preserve"> to calculate new indexed </w:t>
      </w:r>
      <w:r w:rsidR="001736F4" w:rsidRPr="0029663C">
        <w:t>fee or charge.</w:t>
      </w:r>
    </w:p>
    <w:p w14:paraId="2DAB2D65" w14:textId="71C1A23C" w:rsidR="00AF62A6" w:rsidRPr="00D22887" w:rsidRDefault="00AF62A6" w:rsidP="00AF62A6">
      <w:pPr>
        <w:pStyle w:val="Heading4"/>
        <w:numPr>
          <w:ilvl w:val="0"/>
          <w:numId w:val="0"/>
        </w:numPr>
      </w:pPr>
      <w:bookmarkStart w:id="234" w:name="_Step__1"/>
      <w:bookmarkStart w:id="235" w:name="_Step_2_Calculate"/>
      <w:bookmarkStart w:id="236" w:name="Box_1"/>
      <w:bookmarkStart w:id="237" w:name="_Hlk167957406"/>
      <w:bookmarkEnd w:id="234"/>
      <w:bookmarkEnd w:id="235"/>
      <w:bookmarkEnd w:id="236"/>
      <w:r w:rsidRPr="00D22887">
        <w:t>Step 1 Calculate the ‘indexation factor’ for 1 July 202</w:t>
      </w:r>
      <w:r>
        <w:t>5</w:t>
      </w:r>
    </w:p>
    <w:p w14:paraId="1AF948CC" w14:textId="3820F6AE" w:rsidR="00AF62A6" w:rsidRPr="00485201" w:rsidRDefault="00AF62A6" w:rsidP="00AF62A6">
      <w:r w:rsidRPr="00485201">
        <w:t>The indexation factor for 1 July 202</w:t>
      </w:r>
      <w:r>
        <w:t>5</w:t>
      </w:r>
      <w:r w:rsidRPr="00485201">
        <w:t xml:space="preserve"> is calculated using the </w:t>
      </w:r>
      <w:hyperlink r:id="rId56" w:history="1">
        <w:r w:rsidRPr="00485201">
          <w:rPr>
            <w:rStyle w:val="Hyperlink"/>
          </w:rPr>
          <w:t>All-Groups Consumer Price Index (CPI) number</w:t>
        </w:r>
      </w:hyperlink>
      <w:r w:rsidRPr="00485201">
        <w:t xml:space="preserve"> for the 202</w:t>
      </w:r>
      <w:r>
        <w:t>4</w:t>
      </w:r>
      <w:r w:rsidRPr="00485201">
        <w:t xml:space="preserve"> December quarter and the CPI for the 202</w:t>
      </w:r>
      <w:r>
        <w:t>3</w:t>
      </w:r>
      <w:r w:rsidRPr="00485201">
        <w:t xml:space="preserve"> December quarter.</w:t>
      </w:r>
    </w:p>
    <w:p w14:paraId="686A6A10" w14:textId="77777777" w:rsidR="00AF62A6" w:rsidRPr="00485201" w:rsidRDefault="00AF62A6" w:rsidP="00AF62A6">
      <w:r w:rsidRPr="00485201">
        <w:t>The formula is:</w:t>
      </w:r>
    </w:p>
    <w:p w14:paraId="5573CB3E" w14:textId="77777777" w:rsidR="00AF62A6" w:rsidRPr="009D42CA" w:rsidRDefault="00AF62A6" w:rsidP="00AF62A6">
      <w:pPr>
        <w:pStyle w:val="Quote"/>
        <w:rPr>
          <w:color w:val="auto"/>
        </w:rPr>
      </w:pPr>
      <w:bookmarkStart w:id="238" w:name="_Hlk168051739"/>
      <w:r w:rsidRPr="00485201">
        <w:t>CPI for the 202</w:t>
      </w:r>
      <w:r>
        <w:t>4</w:t>
      </w:r>
      <w:r w:rsidRPr="00485201">
        <w:t xml:space="preserve"> December quarter (reference quarter) ÷ CPI for the 202</w:t>
      </w:r>
      <w:r>
        <w:t>3</w:t>
      </w:r>
      <w:r w:rsidRPr="00485201">
        <w:t xml:space="preserve"> December </w:t>
      </w:r>
      <w:r w:rsidRPr="009D42CA">
        <w:rPr>
          <w:color w:val="auto"/>
        </w:rPr>
        <w:t>quarter (base quarter) = Indexation factor (13</w:t>
      </w:r>
      <w:r>
        <w:rPr>
          <w:color w:val="auto"/>
        </w:rPr>
        <w:t>9</w:t>
      </w:r>
      <w:r w:rsidRPr="009D42CA">
        <w:rPr>
          <w:color w:val="auto"/>
        </w:rPr>
        <w:t>.</w:t>
      </w:r>
      <w:r>
        <w:rPr>
          <w:color w:val="auto"/>
        </w:rPr>
        <w:t>4</w:t>
      </w:r>
      <w:r w:rsidRPr="009D42CA">
        <w:rPr>
          <w:color w:val="auto"/>
        </w:rPr>
        <w:t xml:space="preserve"> ÷ 13</w:t>
      </w:r>
      <w:r>
        <w:rPr>
          <w:color w:val="auto"/>
        </w:rPr>
        <w:t>6</w:t>
      </w:r>
      <w:r w:rsidRPr="009D42CA">
        <w:rPr>
          <w:color w:val="auto"/>
        </w:rPr>
        <w:t>.</w:t>
      </w:r>
      <w:r>
        <w:rPr>
          <w:color w:val="auto"/>
        </w:rPr>
        <w:t>1</w:t>
      </w:r>
      <w:r w:rsidRPr="009D42CA">
        <w:rPr>
          <w:color w:val="auto"/>
        </w:rPr>
        <w:t xml:space="preserve"> = 1.0</w:t>
      </w:r>
      <w:r>
        <w:rPr>
          <w:color w:val="auto"/>
        </w:rPr>
        <w:t>24</w:t>
      </w:r>
      <w:r w:rsidRPr="009D42CA">
        <w:rPr>
          <w:color w:val="auto"/>
        </w:rPr>
        <w:t>)</w:t>
      </w:r>
      <w:bookmarkEnd w:id="238"/>
    </w:p>
    <w:p w14:paraId="5648E4C9" w14:textId="77777777" w:rsidR="00AF62A6" w:rsidRPr="00D53FE2" w:rsidRDefault="00AF62A6" w:rsidP="00AF62A6">
      <w:bookmarkStart w:id="239" w:name="_Hlk168051761"/>
      <w:r w:rsidRPr="00D53FE2">
        <w:t>Based on this formula, the indexation factor for July 202</w:t>
      </w:r>
      <w:r w:rsidRPr="009D42CA">
        <w:t>5</w:t>
      </w:r>
      <w:r w:rsidRPr="00D53FE2">
        <w:t xml:space="preserve"> is 1.0</w:t>
      </w:r>
      <w:r>
        <w:t>24</w:t>
      </w:r>
      <w:r w:rsidRPr="00D53FE2">
        <w:t>.</w:t>
      </w:r>
      <w:bookmarkStart w:id="240" w:name="Box_2"/>
      <w:bookmarkStart w:id="241" w:name="_Hlk167957697"/>
      <w:bookmarkEnd w:id="237"/>
      <w:bookmarkEnd w:id="239"/>
      <w:bookmarkEnd w:id="240"/>
    </w:p>
    <w:p w14:paraId="457DD600" w14:textId="77777777" w:rsidR="00AF62A6" w:rsidRPr="00485201" w:rsidRDefault="00AF62A6" w:rsidP="00AF62A6">
      <w:pPr>
        <w:pStyle w:val="Heading4"/>
        <w:numPr>
          <w:ilvl w:val="0"/>
          <w:numId w:val="0"/>
        </w:numPr>
      </w:pPr>
      <w:r w:rsidRPr="00485201">
        <w:t>Step 2 Calculate the ‘</w:t>
      </w:r>
      <w:r w:rsidRPr="00D22887">
        <w:t>indexed amount’</w:t>
      </w:r>
      <w:r w:rsidRPr="00485201">
        <w:t xml:space="preserve"> for the fee or charge in question</w:t>
      </w:r>
    </w:p>
    <w:p w14:paraId="078795D2" w14:textId="77777777" w:rsidR="00AF62A6" w:rsidRDefault="00AF62A6" w:rsidP="00AF62A6">
      <w:bookmarkStart w:id="242" w:name="_Hlk168051861"/>
      <w:r w:rsidRPr="00485201">
        <w:t>Because the indexation factor for 1 July 202</w:t>
      </w:r>
      <w:r>
        <w:t>5</w:t>
      </w:r>
      <w:r w:rsidRPr="00485201">
        <w:t xml:space="preserve"> is greater than</w:t>
      </w:r>
      <w:r w:rsidRPr="00D22887">
        <w:t xml:space="preserve"> 1</w:t>
      </w:r>
      <w:r w:rsidRPr="00485201">
        <w:t xml:space="preserve">, fees and charges covered by an indexation provision will </w:t>
      </w:r>
      <w:proofErr w:type="gramStart"/>
      <w:r w:rsidRPr="00485201">
        <w:t>be indexed</w:t>
      </w:r>
      <w:proofErr w:type="gramEnd"/>
      <w:r w:rsidRPr="00485201">
        <w:t xml:space="preserve"> using</w:t>
      </w:r>
      <w:r>
        <w:t>:</w:t>
      </w:r>
    </w:p>
    <w:p w14:paraId="778B4844" w14:textId="77777777" w:rsidR="00AF62A6" w:rsidRPr="00485201" w:rsidRDefault="00AF62A6" w:rsidP="00AF62A6">
      <w:pPr>
        <w:pStyle w:val="Quote"/>
      </w:pPr>
      <w:bookmarkStart w:id="243" w:name="_Hlk168051871"/>
      <w:bookmarkEnd w:id="242"/>
      <w:r w:rsidRPr="00485201">
        <w:t>the dollar amount of the relevant fee or charge immediately before 1 July 202</w:t>
      </w:r>
      <w:r>
        <w:t>5</w:t>
      </w:r>
      <w:r w:rsidRPr="00485201">
        <w:t xml:space="preserve"> × </w:t>
      </w:r>
      <w:r w:rsidRPr="00D22887">
        <w:t>t</w:t>
      </w:r>
      <w:r w:rsidRPr="00485201">
        <w:t>he indexation factor for 1 July 202</w:t>
      </w:r>
      <w:r>
        <w:t>5</w:t>
      </w:r>
      <w:r w:rsidRPr="00485201">
        <w:t xml:space="preserve"> (1.0</w:t>
      </w:r>
      <w:r>
        <w:t>24</w:t>
      </w:r>
      <w:r w:rsidRPr="00485201">
        <w:t>)</w:t>
      </w:r>
      <w:r w:rsidRPr="00D22887">
        <w:t>.</w:t>
      </w:r>
    </w:p>
    <w:p w14:paraId="6DA51126" w14:textId="7FCD23F9" w:rsidR="00AF62A6" w:rsidRPr="00C22610" w:rsidRDefault="00AF62A6" w:rsidP="00102904">
      <w:bookmarkStart w:id="244" w:name="_Hlk168051886"/>
      <w:bookmarkEnd w:id="243"/>
      <w:r w:rsidRPr="00485201">
        <w:t>The indexed amount of the fee or charge is to the nearest dollar</w:t>
      </w:r>
      <w:r>
        <w:t>.</w:t>
      </w:r>
      <w:bookmarkEnd w:id="241"/>
      <w:bookmarkEnd w:id="244"/>
    </w:p>
    <w:p w14:paraId="6B780181" w14:textId="77777777" w:rsidR="00764D6A" w:rsidRDefault="00E91D72" w:rsidP="00717DEB">
      <w:pPr>
        <w:pStyle w:val="Heading2"/>
        <w:numPr>
          <w:ilvl w:val="0"/>
          <w:numId w:val="0"/>
        </w:numPr>
      </w:pPr>
      <w:bookmarkStart w:id="245" w:name="Box_3"/>
      <w:bookmarkStart w:id="246" w:name="_Appendix_C:_Description"/>
      <w:bookmarkStart w:id="247" w:name="_Appendix_D:_Government_1"/>
      <w:bookmarkStart w:id="248" w:name="_Appendix_E:_Government"/>
      <w:bookmarkStart w:id="249" w:name="_Appendix_A:_Statistical"/>
      <w:bookmarkStart w:id="250" w:name="_Toc430782162"/>
      <w:bookmarkStart w:id="251" w:name="_Toc183501118"/>
      <w:bookmarkStart w:id="252" w:name="_Toc200115620"/>
      <w:bookmarkEnd w:id="31"/>
      <w:bookmarkEnd w:id="32"/>
      <w:bookmarkEnd w:id="245"/>
      <w:bookmarkEnd w:id="246"/>
      <w:bookmarkEnd w:id="247"/>
      <w:bookmarkEnd w:id="248"/>
      <w:bookmarkEnd w:id="249"/>
      <w:r w:rsidRPr="00717DEB">
        <w:lastRenderedPageBreak/>
        <w:t>References</w:t>
      </w:r>
      <w:bookmarkEnd w:id="250"/>
      <w:bookmarkEnd w:id="251"/>
      <w:bookmarkEnd w:id="252"/>
    </w:p>
    <w:p w14:paraId="12CBCC4C" w14:textId="05E6B639" w:rsidR="0012672E" w:rsidRDefault="0012672E" w:rsidP="0012672E">
      <w:r>
        <w:t>DAFF, 202</w:t>
      </w:r>
      <w:r w:rsidR="00D01DFC">
        <w:t>5</w:t>
      </w:r>
      <w:r>
        <w:t xml:space="preserve"> </w:t>
      </w:r>
      <w:hyperlink r:id="rId57" w:history="1">
        <w:r w:rsidR="00D01DFC">
          <w:rPr>
            <w:rStyle w:val="Hyperlink"/>
          </w:rPr>
          <w:t>Portfolio Budget Statements 2025-26</w:t>
        </w:r>
      </w:hyperlink>
      <w:r w:rsidR="0096669E">
        <w:t>,</w:t>
      </w:r>
      <w:r>
        <w:t xml:space="preserve"> Department of Agriculture Fisheries and Forestry, Canberra, M</w:t>
      </w:r>
      <w:r w:rsidR="00D01DFC">
        <w:t xml:space="preserve">arch </w:t>
      </w:r>
      <w:r>
        <w:t>202</w:t>
      </w:r>
      <w:r w:rsidR="00D01DFC">
        <w:t>5</w:t>
      </w:r>
      <w:r>
        <w:t>, accessed 2</w:t>
      </w:r>
      <w:r w:rsidR="00D01DFC">
        <w:t>6</w:t>
      </w:r>
      <w:r>
        <w:t xml:space="preserve"> March 2025.</w:t>
      </w:r>
    </w:p>
    <w:p w14:paraId="3B8EB5EE" w14:textId="7B5DB30B" w:rsidR="0096669E" w:rsidRDefault="00A92F7D" w:rsidP="0096669E">
      <w:r>
        <w:t>ABS,</w:t>
      </w:r>
      <w:r w:rsidR="0096669E" w:rsidRPr="0096669E">
        <w:t xml:space="preserve"> 2024</w:t>
      </w:r>
      <w:r w:rsidR="0096669E">
        <w:t xml:space="preserve"> </w:t>
      </w:r>
      <w:hyperlink r:id="rId58" w:history="1">
        <w:r w:rsidR="0096669E" w:rsidRPr="0096669E">
          <w:rPr>
            <w:rStyle w:val="Hyperlink"/>
          </w:rPr>
          <w:t>Australian National Accounts: National Income, Expenditure and Product</w:t>
        </w:r>
      </w:hyperlink>
      <w:r w:rsidR="0096669E">
        <w:t xml:space="preserve">, </w:t>
      </w:r>
      <w:r w:rsidRPr="0096669E">
        <w:t>Australian Bureau of Statistics</w:t>
      </w:r>
      <w:r>
        <w:t>,</w:t>
      </w:r>
      <w:r w:rsidR="0096669E">
        <w:t xml:space="preserve"> accessed 26 March 2025</w:t>
      </w:r>
    </w:p>
    <w:sectPr w:rsidR="0096669E" w:rsidSect="00866A1F">
      <w:pgSz w:w="11906" w:h="16838"/>
      <w:pgMar w:top="1418" w:right="1418" w:bottom="1418" w:left="1418"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27E0EA" w14:textId="77777777" w:rsidR="002B189F" w:rsidRDefault="002B189F">
      <w:r>
        <w:separator/>
      </w:r>
    </w:p>
    <w:p w14:paraId="44EC7675" w14:textId="77777777" w:rsidR="002B189F" w:rsidRDefault="002B189F"/>
    <w:p w14:paraId="3E892D50" w14:textId="77777777" w:rsidR="002B189F" w:rsidRDefault="002B189F"/>
  </w:endnote>
  <w:endnote w:type="continuationSeparator" w:id="0">
    <w:p w14:paraId="13E3F9BE" w14:textId="77777777" w:rsidR="002B189F" w:rsidRDefault="002B189F">
      <w:r>
        <w:continuationSeparator/>
      </w:r>
    </w:p>
    <w:p w14:paraId="2BF0A9D1" w14:textId="77777777" w:rsidR="002B189F" w:rsidRDefault="002B189F"/>
    <w:p w14:paraId="4AAF8ED1" w14:textId="77777777" w:rsidR="002B189F" w:rsidRDefault="002B189F"/>
  </w:endnote>
  <w:endnote w:type="continuationNotice" w:id="1">
    <w:p w14:paraId="3AA3299C" w14:textId="77777777" w:rsidR="002B189F" w:rsidRDefault="002B189F" w:rsidP="00274B73">
      <w:pPr>
        <w:pStyle w:val="Footer"/>
      </w:pPr>
    </w:p>
    <w:p w14:paraId="20800A29" w14:textId="77777777" w:rsidR="002B189F" w:rsidRDefault="002B189F"/>
    <w:p w14:paraId="6B127B1E" w14:textId="77777777" w:rsidR="002B189F" w:rsidRDefault="002B18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BDC97D" w14:textId="48BB2320" w:rsidR="00331180" w:rsidRDefault="00331180">
    <w:pPr>
      <w:pStyle w:val="Footer"/>
    </w:pPr>
    <w:r>
      <w:fldChar w:fldCharType="begin"/>
    </w:r>
    <w:r>
      <w:instrText xml:space="preserve"> PAGE   \* MERGEFORMAT </w:instrText>
    </w:r>
    <w:r>
      <w:fldChar w:fldCharType="separate"/>
    </w:r>
    <w:r>
      <w:rPr>
        <w:noProof/>
      </w:rPr>
      <w:t>1</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4CCC9A" w14:textId="77777777" w:rsidR="00CA6C9D" w:rsidRDefault="009622CD" w:rsidP="00274B73">
    <w:pPr>
      <w:pStyle w:val="Footer"/>
    </w:pPr>
    <w:r>
      <w:rPr>
        <w:noProof/>
      </w:rPr>
      <mc:AlternateContent>
        <mc:Choice Requires="wps">
          <w:drawing>
            <wp:anchor distT="0" distB="0" distL="0" distR="0" simplePos="0" relativeHeight="251658245" behindDoc="0" locked="0" layoutInCell="1" allowOverlap="1" wp14:anchorId="5E8CDD71" wp14:editId="62BC84FC">
              <wp:simplePos x="635" y="635"/>
              <wp:positionH relativeFrom="page">
                <wp:align>center</wp:align>
              </wp:positionH>
              <wp:positionV relativeFrom="page">
                <wp:align>bottom</wp:align>
              </wp:positionV>
              <wp:extent cx="551815" cy="404495"/>
              <wp:effectExtent l="0" t="0" r="635" b="0"/>
              <wp:wrapNone/>
              <wp:docPr id="2007835689"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343E60AC" w14:textId="77777777" w:rsidR="009622CD" w:rsidRPr="009622CD" w:rsidRDefault="009622CD" w:rsidP="009622CD">
                          <w:pPr>
                            <w:spacing w:after="0"/>
                            <w:rPr>
                              <w:rFonts w:ascii="Calibri" w:eastAsia="Calibri" w:hAnsi="Calibri" w:cs="Calibri"/>
                              <w:noProof/>
                              <w:color w:val="FF0000"/>
                              <w:sz w:val="24"/>
                              <w:szCs w:val="24"/>
                            </w:rPr>
                          </w:pPr>
                          <w:r w:rsidRPr="009622CD">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E8CDD71" id="_x0000_t202" coordsize="21600,21600" o:spt="202" path="m,l,21600r21600,l21600,xe">
              <v:stroke joinstyle="miter"/>
              <v:path gradientshapeok="t" o:connecttype="rect"/>
            </v:shapetype>
            <v:shape id="Text Box 5" o:spid="_x0000_s1027" type="#_x0000_t202" alt="OFFICIAL" style="position:absolute;left:0;text-align:left;margin-left:0;margin-top:0;width:43.45pt;height:31.8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" filled="f" stroked="f">
              <v:textbox style="mso-fit-shape-to-text:t" inset="0,0,0,15pt">
                <w:txbxContent>
                  <w:p w14:paraId="343E60AC" w14:textId="77777777" w:rsidR="009622CD" w:rsidRPr="009622CD" w:rsidRDefault="009622CD" w:rsidP="009622CD">
                    <w:pPr>
                      <w:spacing w:after="0"/>
                      <w:rPr>
                        <w:rFonts w:ascii="Calibri" w:eastAsia="Calibri" w:hAnsi="Calibri" w:cs="Calibri"/>
                        <w:noProof/>
                        <w:color w:val="FF0000"/>
                        <w:sz w:val="24"/>
                        <w:szCs w:val="24"/>
                      </w:rPr>
                    </w:pPr>
                    <w:r w:rsidRPr="009622CD">
                      <w:rPr>
                        <w:rFonts w:ascii="Calibri" w:eastAsia="Calibri" w:hAnsi="Calibri" w:cs="Calibri"/>
                        <w:noProof/>
                        <w:color w:val="FF0000"/>
                        <w:sz w:val="24"/>
                        <w:szCs w:val="24"/>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342B59" w14:textId="77777777" w:rsidR="00B861B4" w:rsidRDefault="009622CD" w:rsidP="00274B73">
    <w:pPr>
      <w:pStyle w:val="Footer"/>
    </w:pPr>
    <w:r>
      <w:rPr>
        <w:noProof/>
      </w:rPr>
      <mc:AlternateContent>
        <mc:Choice Requires="wps">
          <w:drawing>
            <wp:anchor distT="0" distB="0" distL="0" distR="0" simplePos="0" relativeHeight="251658246" behindDoc="0" locked="0" layoutInCell="1" allowOverlap="1" wp14:anchorId="7ED7F07B" wp14:editId="75469A26">
              <wp:simplePos x="901065" y="10053320"/>
              <wp:positionH relativeFrom="page">
                <wp:align>center</wp:align>
              </wp:positionH>
              <wp:positionV relativeFrom="page">
                <wp:align>bottom</wp:align>
              </wp:positionV>
              <wp:extent cx="551815" cy="404495"/>
              <wp:effectExtent l="0" t="0" r="635" b="0"/>
              <wp:wrapNone/>
              <wp:docPr id="1018248292"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6450921E" w14:textId="77777777" w:rsidR="009622CD" w:rsidRPr="009622CD" w:rsidRDefault="009622CD" w:rsidP="009622CD">
                          <w:pPr>
                            <w:spacing w:after="0"/>
                            <w:rPr>
                              <w:rFonts w:ascii="Calibri" w:eastAsia="Calibri" w:hAnsi="Calibri" w:cs="Calibri"/>
                              <w:noProof/>
                              <w:color w:val="FF0000"/>
                              <w:sz w:val="24"/>
                              <w:szCs w:val="24"/>
                            </w:rPr>
                          </w:pPr>
                          <w:r w:rsidRPr="009622CD">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ED7F07B" id="_x0000_t202" coordsize="21600,21600" o:spt="202" path="m,l,21600r21600,l21600,xe">
              <v:stroke joinstyle="miter"/>
              <v:path gradientshapeok="t" o:connecttype="rect"/>
            </v:shapetype>
            <v:shape id="Text Box 6" o:spid="_x0000_s1028" type="#_x0000_t202" alt="OFFICIAL" style="position:absolute;left:0;text-align:left;margin-left:0;margin-top:0;width:43.45pt;height:31.85pt;z-index:25165824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" filled="f" stroked="f">
              <v:textbox style="mso-fit-shape-to-text:t" inset="0,0,0,15pt">
                <w:txbxContent>
                  <w:p w14:paraId="6450921E" w14:textId="77777777" w:rsidR="009622CD" w:rsidRPr="009622CD" w:rsidRDefault="009622CD" w:rsidP="009622CD">
                    <w:pPr>
                      <w:spacing w:after="0"/>
                      <w:rPr>
                        <w:rFonts w:ascii="Calibri" w:eastAsia="Calibri" w:hAnsi="Calibri" w:cs="Calibri"/>
                        <w:noProof/>
                        <w:color w:val="FF0000"/>
                        <w:sz w:val="24"/>
                        <w:szCs w:val="24"/>
                      </w:rPr>
                    </w:pPr>
                    <w:r w:rsidRPr="009622CD">
                      <w:rPr>
                        <w:rFonts w:ascii="Calibri" w:eastAsia="Calibri" w:hAnsi="Calibri" w:cs="Calibri"/>
                        <w:noProof/>
                        <w:color w:val="FF0000"/>
                        <w:sz w:val="24"/>
                        <w:szCs w:val="24"/>
                      </w:rPr>
                      <w:t>OFFICIAL</w:t>
                    </w:r>
                  </w:p>
                </w:txbxContent>
              </v:textbox>
              <w10:wrap anchorx="page" anchory="page"/>
            </v:shape>
          </w:pict>
        </mc:Fallback>
      </mc:AlternateContent>
    </w:r>
    <w:r w:rsidR="00DE0AAE" w:rsidRPr="00DE0AAE">
      <w:t>Department of Agriculture, Fisheries and Forestry</w:t>
    </w:r>
    <w:r w:rsidR="00493F3C">
      <w:tab/>
    </w:r>
    <w:r w:rsidR="00B861B4">
      <w:fldChar w:fldCharType="begin"/>
    </w:r>
    <w:r w:rsidR="00B861B4">
      <w:instrText xml:space="preserve"> PAGE   \* MERGEFORMAT </w:instrText>
    </w:r>
    <w:r w:rsidR="00B861B4">
      <w:fldChar w:fldCharType="separate"/>
    </w:r>
    <w:r w:rsidR="005E25BD">
      <w:rPr>
        <w:noProof/>
      </w:rPr>
      <w:t>12</w:t>
    </w:r>
    <w:r w:rsidR="00B861B4">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11889B" w14:textId="77777777" w:rsidR="007A4DDB" w:rsidRDefault="009622CD" w:rsidP="00274B73">
    <w:pPr>
      <w:pStyle w:val="Footer"/>
    </w:pPr>
    <w:r>
      <w:rPr>
        <w:noProof/>
      </w:rPr>
      <mc:AlternateContent>
        <mc:Choice Requires="wps">
          <w:drawing>
            <wp:anchor distT="0" distB="0" distL="0" distR="0" simplePos="0" relativeHeight="251658244" behindDoc="0" locked="0" layoutInCell="1" allowOverlap="1" wp14:anchorId="30A17867" wp14:editId="37696E62">
              <wp:simplePos x="899770" y="10051085"/>
              <wp:positionH relativeFrom="page">
                <wp:align>center</wp:align>
              </wp:positionH>
              <wp:positionV relativeFrom="page">
                <wp:align>bottom</wp:align>
              </wp:positionV>
              <wp:extent cx="551815" cy="404495"/>
              <wp:effectExtent l="0" t="0" r="635" b="0"/>
              <wp:wrapNone/>
              <wp:docPr id="1520032261"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6F07DEA2" w14:textId="77777777" w:rsidR="009622CD" w:rsidRPr="009622CD" w:rsidRDefault="009622CD" w:rsidP="009622CD">
                          <w:pPr>
                            <w:spacing w:after="0"/>
                            <w:rPr>
                              <w:rFonts w:ascii="Calibri" w:eastAsia="Calibri" w:hAnsi="Calibri" w:cs="Calibri"/>
                              <w:noProof/>
                              <w:color w:val="FF0000"/>
                              <w:sz w:val="24"/>
                              <w:szCs w:val="24"/>
                            </w:rPr>
                          </w:pPr>
                          <w:r w:rsidRPr="009622CD">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0A17867" id="_x0000_t202" coordsize="21600,21600" o:spt="202" path="m,l,21600r21600,l21600,xe">
              <v:stroke joinstyle="miter"/>
              <v:path gradientshapeok="t" o:connecttype="rect"/>
            </v:shapetype>
            <v:shape id="Text Box 4" o:spid="_x0000_s1030" type="#_x0000_t202" alt="OFFICIAL" style="position:absolute;left:0;text-align:left;margin-left:0;margin-top:0;width:43.45pt;height:31.85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" filled="f" stroked="f">
              <v:textbox style="mso-fit-shape-to-text:t" inset="0,0,0,15pt">
                <w:txbxContent>
                  <w:p w14:paraId="6F07DEA2" w14:textId="77777777" w:rsidR="009622CD" w:rsidRPr="009622CD" w:rsidRDefault="009622CD" w:rsidP="009622CD">
                    <w:pPr>
                      <w:spacing w:after="0"/>
                      <w:rPr>
                        <w:rFonts w:ascii="Calibri" w:eastAsia="Calibri" w:hAnsi="Calibri" w:cs="Calibri"/>
                        <w:noProof/>
                        <w:color w:val="FF0000"/>
                        <w:sz w:val="24"/>
                        <w:szCs w:val="24"/>
                      </w:rPr>
                    </w:pPr>
                    <w:r w:rsidRPr="009622CD">
                      <w:rPr>
                        <w:rFonts w:ascii="Calibri" w:eastAsia="Calibri" w:hAnsi="Calibri" w:cs="Calibri"/>
                        <w:noProof/>
                        <w:color w:val="FF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198A22" w14:textId="77777777" w:rsidR="002B189F" w:rsidRDefault="002B189F">
      <w:r>
        <w:separator/>
      </w:r>
    </w:p>
  </w:footnote>
  <w:footnote w:type="continuationSeparator" w:id="0">
    <w:p w14:paraId="74BC75BF" w14:textId="77777777" w:rsidR="002B189F" w:rsidRDefault="002B189F">
      <w:r>
        <w:continuationSeparator/>
      </w:r>
    </w:p>
  </w:footnote>
  <w:footnote w:type="continuationNotice" w:id="1">
    <w:p w14:paraId="3B6BDBA8" w14:textId="77777777" w:rsidR="002B189F" w:rsidRDefault="002B189F" w:rsidP="00274B73">
      <w:pPr>
        <w:pStyle w:val="Footer"/>
      </w:pPr>
    </w:p>
    <w:p w14:paraId="33D68A08" w14:textId="77777777" w:rsidR="002B189F" w:rsidRDefault="002B189F"/>
    <w:p w14:paraId="487A321E" w14:textId="77777777" w:rsidR="002B189F" w:rsidRDefault="002B189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9E9ECB" w14:textId="54B2425B" w:rsidR="003A271F" w:rsidRDefault="00B262C0">
    <w:pPr>
      <w:pStyle w:val="Header"/>
    </w:pPr>
    <w:r w:rsidRPr="00B262C0">
      <w:t>Biosecurity cost recovery implementation statement 2025–26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A80A34" w14:textId="629B6250" w:rsidR="00331180" w:rsidRDefault="00331180">
    <w:pPr>
      <w:pStyle w:val="Header"/>
    </w:pPr>
    <w:r>
      <w:rPr>
        <w:noProof/>
      </w:rPr>
      <w:drawing>
        <wp:anchor distT="0" distB="0" distL="114300" distR="114300" simplePos="0" relativeHeight="251660294" behindDoc="1" locked="0" layoutInCell="1" allowOverlap="1" wp14:anchorId="7E179277" wp14:editId="44AE7996">
          <wp:simplePos x="0" y="0"/>
          <wp:positionH relativeFrom="page">
            <wp:align>left</wp:align>
          </wp:positionH>
          <wp:positionV relativeFrom="paragraph">
            <wp:posOffset>-361902</wp:posOffset>
          </wp:positionV>
          <wp:extent cx="7565594" cy="10701655"/>
          <wp:effectExtent l="0" t="0" r="0" b="4445"/>
          <wp:wrapNone/>
          <wp:docPr id="99899946" name="Picture 99899946" descr="Department of Agriculture, Fisheries and Forestry">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300097" name="Picture 227300097" descr="Department of Agriculture, Fisheries and Forestry">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5594" cy="1070165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594980" w14:textId="79BA7258" w:rsidR="00B861B4" w:rsidRDefault="009622CD">
    <w:pPr>
      <w:pStyle w:val="Header"/>
    </w:pPr>
    <w:r>
      <w:rPr>
        <w:noProof/>
        <w:lang w:val="en-US"/>
      </w:rPr>
      <mc:AlternateContent>
        <mc:Choice Requires="wps">
          <w:drawing>
            <wp:anchor distT="0" distB="0" distL="0" distR="0" simplePos="0" relativeHeight="251658240" behindDoc="0" locked="0" layoutInCell="1" allowOverlap="1" wp14:anchorId="46CD53A9" wp14:editId="55BE0F9B">
              <wp:simplePos x="635" y="635"/>
              <wp:positionH relativeFrom="page">
                <wp:align>center</wp:align>
              </wp:positionH>
              <wp:positionV relativeFrom="page">
                <wp:align>top</wp:align>
              </wp:positionV>
              <wp:extent cx="551815" cy="404495"/>
              <wp:effectExtent l="0" t="0" r="635" b="14605"/>
              <wp:wrapNone/>
              <wp:docPr id="313378704"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10061B85" w14:textId="77777777" w:rsidR="009622CD" w:rsidRPr="009622CD" w:rsidRDefault="009622CD" w:rsidP="009622CD">
                          <w:pPr>
                            <w:spacing w:after="0"/>
                            <w:rPr>
                              <w:rFonts w:ascii="Calibri" w:eastAsia="Calibri" w:hAnsi="Calibri" w:cs="Calibri"/>
                              <w:noProof/>
                              <w:color w:val="FF0000"/>
                              <w:sz w:val="24"/>
                              <w:szCs w:val="24"/>
                            </w:rPr>
                          </w:pPr>
                          <w:r w:rsidRPr="009622CD">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6CD53A9" id="_x0000_t202" coordsize="21600,21600" o:spt="202" path="m,l,21600r21600,l21600,xe">
              <v:stroke joinstyle="miter"/>
              <v:path gradientshapeok="t" o:connecttype="rect"/>
            </v:shapetype>
            <v:shape id="Text Box 2" o:spid="_x0000_s1026" type="#_x0000_t202" alt="OFFICIAL" style="position:absolute;left:0;text-align:left;margin-left:0;margin-top:0;width:43.45pt;height:31.8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HukCQIAABU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" filled="f" stroked="f">
              <v:textbox style="mso-fit-shape-to-text:t" inset="0,15pt,0,0">
                <w:txbxContent>
                  <w:p w14:paraId="10061B85" w14:textId="77777777" w:rsidR="009622CD" w:rsidRPr="009622CD" w:rsidRDefault="009622CD" w:rsidP="009622CD">
                    <w:pPr>
                      <w:spacing w:after="0"/>
                      <w:rPr>
                        <w:rFonts w:ascii="Calibri" w:eastAsia="Calibri" w:hAnsi="Calibri" w:cs="Calibri"/>
                        <w:noProof/>
                        <w:color w:val="FF0000"/>
                        <w:sz w:val="24"/>
                        <w:szCs w:val="24"/>
                      </w:rPr>
                    </w:pPr>
                    <w:r w:rsidRPr="009622CD">
                      <w:rPr>
                        <w:rFonts w:ascii="Calibri" w:eastAsia="Calibri" w:hAnsi="Calibri" w:cs="Calibri"/>
                        <w:noProof/>
                        <w:color w:val="FF0000"/>
                        <w:sz w:val="24"/>
                        <w:szCs w:val="24"/>
                      </w:rPr>
                      <w:t>OFFICIAL</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155787" w14:textId="3A93D7B6" w:rsidR="00B861B4" w:rsidRDefault="00B262C0">
    <w:pPr>
      <w:pStyle w:val="Header"/>
    </w:pPr>
    <w:r w:rsidRPr="00B262C0">
      <w:t>Biosecurity cost recovery implementation statement 2025–26</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F084C0" w14:textId="08DF4DDB" w:rsidR="00B861B4" w:rsidRDefault="006B3546">
    <w:pPr>
      <w:pStyle w:val="Header"/>
      <w:jc w:val="left"/>
    </w:pPr>
    <w:r>
      <w:rPr>
        <w:noProof/>
      </w:rPr>
      <w:drawing>
        <wp:anchor distT="0" distB="0" distL="114300" distR="114300" simplePos="0" relativeHeight="251658241" behindDoc="1" locked="0" layoutInCell="1" allowOverlap="1" wp14:anchorId="3272CA2E" wp14:editId="776980ED">
          <wp:simplePos x="0" y="0"/>
          <wp:positionH relativeFrom="page">
            <wp:posOffset>0</wp:posOffset>
          </wp:positionH>
          <wp:positionV relativeFrom="paragraph">
            <wp:posOffset>-387341</wp:posOffset>
          </wp:positionV>
          <wp:extent cx="7565594" cy="10701655"/>
          <wp:effectExtent l="0" t="0" r="0" b="4445"/>
          <wp:wrapNone/>
          <wp:docPr id="1330026411" name="Picture 1330026411" descr="Department of Agriculture, Fisheries and Forestry">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300097" name="Picture 227300097" descr="Department of Agriculture, Fisheries and Forestry">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5594" cy="10701655"/>
                  </a:xfrm>
                  <a:prstGeom prst="rect">
                    <a:avLst/>
                  </a:prstGeom>
                </pic:spPr>
              </pic:pic>
            </a:graphicData>
          </a:graphic>
          <wp14:sizeRelH relativeFrom="page">
            <wp14:pctWidth>0</wp14:pctWidth>
          </wp14:sizeRelH>
          <wp14:sizeRelV relativeFrom="page">
            <wp14:pctHeight>0</wp14:pctHeight>
          </wp14:sizeRelV>
        </wp:anchor>
      </w:drawing>
    </w:r>
    <w:r w:rsidR="009622CD">
      <w:rPr>
        <w:noProof/>
      </w:rPr>
      <mc:AlternateContent>
        <mc:Choice Requires="wps">
          <w:drawing>
            <wp:anchor distT="0" distB="0" distL="0" distR="0" simplePos="0" relativeHeight="251658242" behindDoc="0" locked="0" layoutInCell="1" allowOverlap="1" wp14:anchorId="6F744206" wp14:editId="2583F936">
              <wp:simplePos x="899770" y="358445"/>
              <wp:positionH relativeFrom="page">
                <wp:align>center</wp:align>
              </wp:positionH>
              <wp:positionV relativeFrom="page">
                <wp:align>top</wp:align>
              </wp:positionV>
              <wp:extent cx="551815" cy="404495"/>
              <wp:effectExtent l="0" t="0" r="635" b="14605"/>
              <wp:wrapNone/>
              <wp:docPr id="1979450224"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33951BAC" w14:textId="77777777" w:rsidR="009622CD" w:rsidRPr="009622CD" w:rsidRDefault="009622CD" w:rsidP="009622CD">
                          <w:pPr>
                            <w:spacing w:after="0"/>
                            <w:rPr>
                              <w:rFonts w:ascii="Calibri" w:eastAsia="Calibri" w:hAnsi="Calibri" w:cs="Calibri"/>
                              <w:noProof/>
                              <w:color w:val="FF0000"/>
                              <w:sz w:val="24"/>
                              <w:szCs w:val="24"/>
                            </w:rPr>
                          </w:pPr>
                          <w:r w:rsidRPr="009622CD">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F744206" id="_x0000_t202" coordsize="21600,21600" o:spt="202" path="m,l,21600r21600,l21600,xe">
              <v:stroke joinstyle="miter"/>
              <v:path gradientshapeok="t" o:connecttype="rect"/>
            </v:shapetype>
            <v:shape id="Text Box 1" o:spid="_x0000_s1029" type="#_x0000_t202" alt="OFFICIAL" style="position:absolute;margin-left:0;margin-top:0;width:43.45pt;height:31.8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" filled="f" stroked="f">
              <v:textbox style="mso-fit-shape-to-text:t" inset="0,15pt,0,0">
                <w:txbxContent>
                  <w:p w14:paraId="33951BAC" w14:textId="77777777" w:rsidR="009622CD" w:rsidRPr="009622CD" w:rsidRDefault="009622CD" w:rsidP="009622CD">
                    <w:pPr>
                      <w:spacing w:after="0"/>
                      <w:rPr>
                        <w:rFonts w:ascii="Calibri" w:eastAsia="Calibri" w:hAnsi="Calibri" w:cs="Calibri"/>
                        <w:noProof/>
                        <w:color w:val="FF0000"/>
                        <w:sz w:val="24"/>
                        <w:szCs w:val="24"/>
                      </w:rPr>
                    </w:pPr>
                    <w:r w:rsidRPr="009622CD">
                      <w:rPr>
                        <w:rFonts w:ascii="Calibri" w:eastAsia="Calibri" w:hAnsi="Calibri" w:cs="Calibri"/>
                        <w:noProof/>
                        <w:color w:val="FF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4D88B84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8913EA"/>
    <w:multiLevelType w:val="multilevel"/>
    <w:tmpl w:val="7C4CE320"/>
    <w:lvl w:ilvl="0">
      <w:start w:val="1"/>
      <w:numFmt w:val="decimal"/>
      <w:pStyle w:val="BoxTextNumb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18E6448"/>
    <w:multiLevelType w:val="hybridMultilevel"/>
    <w:tmpl w:val="BFB890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3B56D32"/>
    <w:multiLevelType w:val="multilevel"/>
    <w:tmpl w:val="DFE4B30C"/>
    <w:lvl w:ilvl="0">
      <w:start w:val="77"/>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5E2F35"/>
    <w:multiLevelType w:val="multilevel"/>
    <w:tmpl w:val="9340AC4C"/>
    <w:lvl w:ilvl="0">
      <w:start w:val="1"/>
      <w:numFmt w:val="decimal"/>
      <w:lvlText w:val="%1)"/>
      <w:lvlJc w:val="left"/>
      <w:pPr>
        <w:ind w:left="567" w:hanging="567"/>
      </w:pPr>
      <w:rPr>
        <w:rFonts w:hint="default"/>
        <w:color w:val="auto"/>
      </w:rPr>
    </w:lvl>
    <w:lvl w:ilvl="1">
      <w:start w:val="1"/>
      <w:numFmt w:val="lowerLetter"/>
      <w:lvlText w:val="%2)"/>
      <w:lvlJc w:val="left"/>
      <w:pPr>
        <w:ind w:left="851" w:hanging="284"/>
      </w:pPr>
      <w:rPr>
        <w:rFonts w:hint="default"/>
      </w:rPr>
    </w:lvl>
    <w:lvl w:ilvl="2">
      <w:start w:val="1"/>
      <w:numFmt w:val="lowerRoman"/>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5" w15:restartNumberingAfterBreak="0">
    <w:nsid w:val="12056DAA"/>
    <w:multiLevelType w:val="hybridMultilevel"/>
    <w:tmpl w:val="1F60E8A6"/>
    <w:lvl w:ilvl="0" w:tplc="E528DA04">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6" w15:restartNumberingAfterBreak="0">
    <w:nsid w:val="21E20078"/>
    <w:multiLevelType w:val="multilevel"/>
    <w:tmpl w:val="BCF0F0A0"/>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274E0266"/>
    <w:multiLevelType w:val="hybridMultilevel"/>
    <w:tmpl w:val="3FA28E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DE56FF1"/>
    <w:multiLevelType w:val="hybridMultilevel"/>
    <w:tmpl w:val="2F789950"/>
    <w:lvl w:ilvl="0" w:tplc="2848BD98">
      <w:start w:val="1"/>
      <w:numFmt w:val="bullet"/>
      <w:lvlText w:val=""/>
      <w:lvlJc w:val="left"/>
      <w:pPr>
        <w:ind w:left="720" w:hanging="360"/>
      </w:pPr>
      <w:rPr>
        <w:rFonts w:ascii="Symbol" w:hAnsi="Symbol" w:hint="default"/>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E3728D6"/>
    <w:multiLevelType w:val="hybridMultilevel"/>
    <w:tmpl w:val="C88426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86800B4"/>
    <w:multiLevelType w:val="multilevel"/>
    <w:tmpl w:val="A0241B28"/>
    <w:numStyleLink w:val="List1"/>
  </w:abstractNum>
  <w:abstractNum w:abstractNumId="11" w15:restartNumberingAfterBreak="0">
    <w:nsid w:val="48DE2E4A"/>
    <w:multiLevelType w:val="hybridMultilevel"/>
    <w:tmpl w:val="6626592E"/>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12"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1240ADF"/>
    <w:multiLevelType w:val="hybridMultilevel"/>
    <w:tmpl w:val="EDB871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A8B541B"/>
    <w:multiLevelType w:val="multilevel"/>
    <w:tmpl w:val="6614A676"/>
    <w:lvl w:ilvl="0">
      <w:start w:val="1"/>
      <w:numFmt w:val="bullet"/>
      <w:pStyle w:val="Table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AA12966"/>
    <w:multiLevelType w:val="multilevel"/>
    <w:tmpl w:val="A0241B28"/>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6"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17" w15:restartNumberingAfterBreak="0">
    <w:nsid w:val="65A81951"/>
    <w:multiLevelType w:val="hybridMultilevel"/>
    <w:tmpl w:val="B92090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76E3536"/>
    <w:multiLevelType w:val="hybridMultilevel"/>
    <w:tmpl w:val="242AD5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A730FE1"/>
    <w:multiLevelType w:val="hybridMultilevel"/>
    <w:tmpl w:val="7E96ACDE"/>
    <w:lvl w:ilvl="0" w:tplc="E3BC50E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E51632B"/>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0EF5FA8"/>
    <w:multiLevelType w:val="hybridMultilevel"/>
    <w:tmpl w:val="1AEAD8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607443B"/>
    <w:multiLevelType w:val="hybridMultilevel"/>
    <w:tmpl w:val="F1AE34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6AE4563"/>
    <w:multiLevelType w:val="multilevel"/>
    <w:tmpl w:val="F452ADBA"/>
    <w:styleLink w:val="Tablenumberedlists"/>
    <w:lvl w:ilvl="0">
      <w:start w:val="1"/>
      <w:numFmt w:val="decimal"/>
      <w:pStyle w:val="TableListNumber"/>
      <w:lvlText w:val="%1)"/>
      <w:lvlJc w:val="left"/>
      <w:pPr>
        <w:ind w:left="284" w:hanging="284"/>
      </w:pPr>
      <w:rPr>
        <w:rFonts w:ascii="Calibri" w:hAnsi="Calibri" w:hint="default"/>
        <w:sz w:val="18"/>
      </w:rPr>
    </w:lvl>
    <w:lvl w:ilvl="1">
      <w:start w:val="1"/>
      <w:numFmt w:val="lowerLetter"/>
      <w:pStyle w:val="TableListNumber2"/>
      <w:lvlText w:val="%2)"/>
      <w:lvlJc w:val="left"/>
      <w:pPr>
        <w:ind w:left="567" w:hanging="283"/>
      </w:pPr>
      <w:rPr>
        <w:rFonts w:ascii="Calibri" w:hAnsi="Calibri" w:hint="default"/>
        <w:sz w:val="18"/>
      </w:rPr>
    </w:lvl>
    <w:lvl w:ilvl="2">
      <w:start w:val="1"/>
      <w:numFmt w:val="lowerRoman"/>
      <w:pStyle w:val="TableListNumber3"/>
      <w:lvlText w:val="%3)"/>
      <w:lvlJc w:val="left"/>
      <w:pPr>
        <w:ind w:left="851" w:hanging="284"/>
      </w:pPr>
      <w:rPr>
        <w:rFonts w:ascii="Calibri" w:hAnsi="Calibri" w:hint="default"/>
        <w:sz w:val="18"/>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381057155">
    <w:abstractNumId w:val="15"/>
  </w:num>
  <w:num w:numId="2" w16cid:durableId="1639215797">
    <w:abstractNumId w:val="16"/>
  </w:num>
  <w:num w:numId="3" w16cid:durableId="1643265712">
    <w:abstractNumId w:val="6"/>
    <w:lvlOverride w:ilvl="0">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Override>
    <w:lvlOverride w:ilvl="1">
      <w:lvl w:ilvl="1">
        <w:start w:val="1"/>
        <w:numFmt w:val="decimal"/>
        <w:pStyle w:val="Heading3"/>
        <w:lvlText w:val="%1.%2"/>
        <w:lvlJc w:val="left"/>
        <w:pPr>
          <w:ind w:left="964" w:hanging="964"/>
        </w:pPr>
        <w:rPr>
          <w:rFonts w:hint="default"/>
          <w:strike w:val="0"/>
        </w:rPr>
      </w:lvl>
    </w:lvlOverride>
    <w:lvlOverride w:ilvl="2">
      <w:lvl w:ilvl="2">
        <w:start w:val="1"/>
        <w:numFmt w:val="decimal"/>
        <w:pStyle w:val="Heading4"/>
        <w:lvlText w:val="%1.%2.%3"/>
        <w:lvlJc w:val="left"/>
        <w:pPr>
          <w:ind w:left="964" w:hanging="964"/>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4" w16cid:durableId="156895039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26202022">
    <w:abstractNumId w:val="12"/>
  </w:num>
  <w:num w:numId="6" w16cid:durableId="281765065">
    <w:abstractNumId w:val="14"/>
  </w:num>
  <w:num w:numId="7" w16cid:durableId="2092000146">
    <w:abstractNumId w:val="11"/>
  </w:num>
  <w:num w:numId="8" w16cid:durableId="864908900">
    <w:abstractNumId w:val="6"/>
    <w:lvlOverride w:ilvl="0">
      <w:lvl w:ilvl="0">
        <w:start w:val="1"/>
        <w:numFmt w:val="decimal"/>
        <w:pStyle w:val="Heading2"/>
        <w:lvlText w:val="%1"/>
        <w:lvlJc w:val="left"/>
        <w:pPr>
          <w:ind w:left="720" w:hanging="720"/>
        </w:pPr>
        <w:rPr>
          <w:color w:val="auto"/>
        </w:rPr>
      </w:lvl>
    </w:lvlOverride>
  </w:num>
  <w:num w:numId="9" w16cid:durableId="1469322956">
    <w:abstractNumId w:val="15"/>
  </w:num>
  <w:num w:numId="10" w16cid:durableId="1341661948">
    <w:abstractNumId w:val="16"/>
  </w:num>
  <w:num w:numId="11" w16cid:durableId="1983389004">
    <w:abstractNumId w:val="5"/>
  </w:num>
  <w:num w:numId="12" w16cid:durableId="435951209">
    <w:abstractNumId w:val="18"/>
  </w:num>
  <w:num w:numId="13" w16cid:durableId="1385720017">
    <w:abstractNumId w:val="23"/>
  </w:num>
  <w:num w:numId="14" w16cid:durableId="1361395064">
    <w:abstractNumId w:val="19"/>
  </w:num>
  <w:num w:numId="15" w16cid:durableId="2119637520">
    <w:abstractNumId w:val="1"/>
  </w:num>
  <w:num w:numId="16" w16cid:durableId="1956865562">
    <w:abstractNumId w:val="4"/>
    <w:lvlOverride w:ilvl="0">
      <w:startOverride w:val="10"/>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58437945">
    <w:abstractNumId w:val="13"/>
  </w:num>
  <w:num w:numId="18" w16cid:durableId="367411226">
    <w:abstractNumId w:val="20"/>
  </w:num>
  <w:num w:numId="19" w16cid:durableId="1079210861">
    <w:abstractNumId w:val="6"/>
  </w:num>
  <w:num w:numId="20" w16cid:durableId="1838812484">
    <w:abstractNumId w:val="9"/>
  </w:num>
  <w:num w:numId="21" w16cid:durableId="181940390">
    <w:abstractNumId w:val="2"/>
  </w:num>
  <w:num w:numId="22" w16cid:durableId="459030374">
    <w:abstractNumId w:val="21"/>
  </w:num>
  <w:num w:numId="23" w16cid:durableId="1819765868">
    <w:abstractNumId w:val="8"/>
  </w:num>
  <w:num w:numId="24" w16cid:durableId="219050547">
    <w:abstractNumId w:val="6"/>
    <w:lvlOverride w:ilvl="0">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Override>
    <w:lvlOverride w:ilvl="1">
      <w:lvl w:ilvl="1">
        <w:start w:val="1"/>
        <w:numFmt w:val="decimal"/>
        <w:pStyle w:val="Heading3"/>
        <w:lvlText w:val="%1.%2"/>
        <w:lvlJc w:val="left"/>
        <w:pPr>
          <w:ind w:left="1815" w:hanging="964"/>
        </w:pPr>
        <w:rPr>
          <w:rFonts w:hint="default"/>
        </w:rPr>
      </w:lvl>
    </w:lvlOverride>
    <w:lvlOverride w:ilvl="2">
      <w:lvl w:ilvl="2">
        <w:start w:val="1"/>
        <w:numFmt w:val="decimal"/>
        <w:pStyle w:val="Heading4"/>
        <w:lvlText w:val="%1.%2.%3"/>
        <w:lvlJc w:val="left"/>
        <w:pPr>
          <w:ind w:left="964" w:hanging="964"/>
        </w:pPr>
      </w:lvl>
    </w:lvlOverride>
  </w:num>
  <w:num w:numId="25" w16cid:durableId="677460453">
    <w:abstractNumId w:val="3"/>
  </w:num>
  <w:num w:numId="26" w16cid:durableId="440801241">
    <w:abstractNumId w:val="15"/>
  </w:num>
  <w:num w:numId="27" w16cid:durableId="752288140">
    <w:abstractNumId w:val="22"/>
  </w:num>
  <w:num w:numId="28" w16cid:durableId="962689326">
    <w:abstractNumId w:val="7"/>
  </w:num>
  <w:num w:numId="29" w16cid:durableId="713503943">
    <w:abstractNumId w:val="17"/>
  </w:num>
  <w:num w:numId="30" w16cid:durableId="915940627">
    <w:abstractNumId w:val="0"/>
  </w:num>
  <w:num w:numId="31" w16cid:durableId="152110630">
    <w:abstractNumId w:val="15"/>
  </w:num>
  <w:num w:numId="32" w16cid:durableId="1401250974">
    <w:abstractNumId w:val="6"/>
    <w:lvlOverride w:ilvl="0">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Override>
    <w:lvlOverride w:ilvl="1">
      <w:lvl w:ilvl="1">
        <w:start w:val="1"/>
        <w:numFmt w:val="decimal"/>
        <w:pStyle w:val="Heading3"/>
        <w:lvlText w:val="%1.%2"/>
        <w:lvlJc w:val="left"/>
        <w:pPr>
          <w:ind w:left="964" w:hanging="964"/>
        </w:pPr>
        <w:rPr>
          <w:rFonts w:hint="default"/>
          <w:strike w:val="0"/>
        </w:rPr>
      </w:lvl>
    </w:lvlOverride>
    <w:lvlOverride w:ilvl="2">
      <w:lvl w:ilvl="2">
        <w:start w:val="1"/>
        <w:numFmt w:val="decimal"/>
        <w:pStyle w:val="Heading4"/>
        <w:lvlText w:val="%1.%2.%3"/>
        <w:lvlJc w:val="left"/>
        <w:pPr>
          <w:ind w:left="964" w:hanging="964"/>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33" w16cid:durableId="99406437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75204957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54077779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28622885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6987236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710423430">
    <w:abstractNumId w:val="6"/>
    <w:lvlOverride w:ilvl="0">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Override>
    <w:lvlOverride w:ilvl="1">
      <w:lvl w:ilvl="1">
        <w:start w:val="1"/>
        <w:numFmt w:val="decimal"/>
        <w:pStyle w:val="Heading3"/>
        <w:lvlText w:val="%1.%2"/>
        <w:lvlJc w:val="left"/>
        <w:pPr>
          <w:ind w:left="964" w:hanging="964"/>
        </w:pPr>
        <w:rPr>
          <w:rFonts w:hint="default"/>
          <w:strike w:val="0"/>
        </w:rPr>
      </w:lvl>
    </w:lvlOverride>
    <w:lvlOverride w:ilvl="2">
      <w:lvl w:ilvl="2">
        <w:start w:val="1"/>
        <w:numFmt w:val="decimal"/>
        <w:pStyle w:val="Heading4"/>
        <w:lvlText w:val="%1.%2.%3"/>
        <w:lvlJc w:val="left"/>
        <w:pPr>
          <w:ind w:left="964" w:hanging="964"/>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39" w16cid:durableId="1198272944">
    <w:abstractNumId w:val="6"/>
    <w:lvlOverride w:ilvl="0">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Override>
    <w:lvlOverride w:ilvl="1">
      <w:lvl w:ilvl="1">
        <w:start w:val="1"/>
        <w:numFmt w:val="decimal"/>
        <w:pStyle w:val="Heading3"/>
        <w:lvlText w:val="%1.%2"/>
        <w:lvlJc w:val="left"/>
        <w:pPr>
          <w:ind w:left="964" w:hanging="964"/>
        </w:pPr>
        <w:rPr>
          <w:rFonts w:hint="default"/>
          <w:strike w:val="0"/>
        </w:rPr>
      </w:lvl>
    </w:lvlOverride>
    <w:lvlOverride w:ilvl="2">
      <w:lvl w:ilvl="2">
        <w:start w:val="1"/>
        <w:numFmt w:val="decimal"/>
        <w:pStyle w:val="Heading4"/>
        <w:lvlText w:val="%1.%2.%3"/>
        <w:lvlJc w:val="left"/>
        <w:pPr>
          <w:ind w:left="964" w:hanging="964"/>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AU" w:vendorID="64" w:dllVersion="0" w:nlCheck="1" w:checkStyle="0"/>
  <w:activeWritingStyle w:appName="MSWord" w:lang="en-US" w:vendorID="64" w:dllVersion="0" w:nlCheck="1" w:checkStyle="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96D"/>
    <w:rsid w:val="00000ABC"/>
    <w:rsid w:val="00001614"/>
    <w:rsid w:val="00001D88"/>
    <w:rsid w:val="000032AD"/>
    <w:rsid w:val="00006408"/>
    <w:rsid w:val="00006D71"/>
    <w:rsid w:val="00006F2A"/>
    <w:rsid w:val="000101D7"/>
    <w:rsid w:val="00010C9A"/>
    <w:rsid w:val="000114AE"/>
    <w:rsid w:val="00012D9C"/>
    <w:rsid w:val="00012DBA"/>
    <w:rsid w:val="00016630"/>
    <w:rsid w:val="0002040D"/>
    <w:rsid w:val="00020EEA"/>
    <w:rsid w:val="00022816"/>
    <w:rsid w:val="00022A3C"/>
    <w:rsid w:val="00025FD2"/>
    <w:rsid w:val="00026B77"/>
    <w:rsid w:val="0002768F"/>
    <w:rsid w:val="000306B1"/>
    <w:rsid w:val="0003192E"/>
    <w:rsid w:val="00032789"/>
    <w:rsid w:val="00033E60"/>
    <w:rsid w:val="000359AF"/>
    <w:rsid w:val="0003681E"/>
    <w:rsid w:val="000373C5"/>
    <w:rsid w:val="000400F9"/>
    <w:rsid w:val="00041A02"/>
    <w:rsid w:val="00042265"/>
    <w:rsid w:val="000438BE"/>
    <w:rsid w:val="00043D3A"/>
    <w:rsid w:val="00043D85"/>
    <w:rsid w:val="00044EE9"/>
    <w:rsid w:val="00052DA1"/>
    <w:rsid w:val="000542FF"/>
    <w:rsid w:val="00056E1D"/>
    <w:rsid w:val="000606DF"/>
    <w:rsid w:val="00060C48"/>
    <w:rsid w:val="00061A8F"/>
    <w:rsid w:val="000625F9"/>
    <w:rsid w:val="00062B71"/>
    <w:rsid w:val="00063FF1"/>
    <w:rsid w:val="0006415B"/>
    <w:rsid w:val="00064166"/>
    <w:rsid w:val="00065B24"/>
    <w:rsid w:val="000660E7"/>
    <w:rsid w:val="00070E11"/>
    <w:rsid w:val="00071927"/>
    <w:rsid w:val="00072A4B"/>
    <w:rsid w:val="000738CB"/>
    <w:rsid w:val="000743B7"/>
    <w:rsid w:val="00075A80"/>
    <w:rsid w:val="0007617D"/>
    <w:rsid w:val="000771EB"/>
    <w:rsid w:val="000835D4"/>
    <w:rsid w:val="0008414D"/>
    <w:rsid w:val="00084BCA"/>
    <w:rsid w:val="000869AB"/>
    <w:rsid w:val="00086EFA"/>
    <w:rsid w:val="0009235E"/>
    <w:rsid w:val="00092669"/>
    <w:rsid w:val="000928B6"/>
    <w:rsid w:val="0009379C"/>
    <w:rsid w:val="00093DBD"/>
    <w:rsid w:val="00093EE3"/>
    <w:rsid w:val="000942EE"/>
    <w:rsid w:val="0009720B"/>
    <w:rsid w:val="00097FA8"/>
    <w:rsid w:val="000A1447"/>
    <w:rsid w:val="000A16BF"/>
    <w:rsid w:val="000A4222"/>
    <w:rsid w:val="000A5170"/>
    <w:rsid w:val="000A778E"/>
    <w:rsid w:val="000A7A40"/>
    <w:rsid w:val="000A7AAF"/>
    <w:rsid w:val="000B02B5"/>
    <w:rsid w:val="000B2C5C"/>
    <w:rsid w:val="000B39FD"/>
    <w:rsid w:val="000B477E"/>
    <w:rsid w:val="000B4F87"/>
    <w:rsid w:val="000B5A9E"/>
    <w:rsid w:val="000B5FA0"/>
    <w:rsid w:val="000B70D7"/>
    <w:rsid w:val="000C0F45"/>
    <w:rsid w:val="000C2C89"/>
    <w:rsid w:val="000C544C"/>
    <w:rsid w:val="000C6CB3"/>
    <w:rsid w:val="000D0275"/>
    <w:rsid w:val="000D21F9"/>
    <w:rsid w:val="000D5F07"/>
    <w:rsid w:val="000E09F3"/>
    <w:rsid w:val="000E267A"/>
    <w:rsid w:val="000E2A3E"/>
    <w:rsid w:val="000E32DA"/>
    <w:rsid w:val="000E3C0F"/>
    <w:rsid w:val="000E3F18"/>
    <w:rsid w:val="000E5499"/>
    <w:rsid w:val="000E6E1B"/>
    <w:rsid w:val="000E7788"/>
    <w:rsid w:val="000F03C0"/>
    <w:rsid w:val="000F320E"/>
    <w:rsid w:val="000F3CE3"/>
    <w:rsid w:val="000F690E"/>
    <w:rsid w:val="000F6910"/>
    <w:rsid w:val="0010050B"/>
    <w:rsid w:val="001013AD"/>
    <w:rsid w:val="00102904"/>
    <w:rsid w:val="00104C3C"/>
    <w:rsid w:val="00104E08"/>
    <w:rsid w:val="00111143"/>
    <w:rsid w:val="001116C3"/>
    <w:rsid w:val="00112962"/>
    <w:rsid w:val="00112965"/>
    <w:rsid w:val="00117835"/>
    <w:rsid w:val="00117CDE"/>
    <w:rsid w:val="00121C20"/>
    <w:rsid w:val="00124DC8"/>
    <w:rsid w:val="001261DE"/>
    <w:rsid w:val="0012672E"/>
    <w:rsid w:val="00126945"/>
    <w:rsid w:val="00127F2F"/>
    <w:rsid w:val="0013191B"/>
    <w:rsid w:val="00132718"/>
    <w:rsid w:val="00133440"/>
    <w:rsid w:val="00133B0B"/>
    <w:rsid w:val="00135A8C"/>
    <w:rsid w:val="00135E5D"/>
    <w:rsid w:val="00136B2B"/>
    <w:rsid w:val="0014204F"/>
    <w:rsid w:val="001443B6"/>
    <w:rsid w:val="00150527"/>
    <w:rsid w:val="00150D36"/>
    <w:rsid w:val="00150D4F"/>
    <w:rsid w:val="0015123F"/>
    <w:rsid w:val="00151F05"/>
    <w:rsid w:val="00155E63"/>
    <w:rsid w:val="001579A2"/>
    <w:rsid w:val="001618C5"/>
    <w:rsid w:val="0016201B"/>
    <w:rsid w:val="00162673"/>
    <w:rsid w:val="001641A3"/>
    <w:rsid w:val="00165D47"/>
    <w:rsid w:val="0016754C"/>
    <w:rsid w:val="0017015D"/>
    <w:rsid w:val="00170442"/>
    <w:rsid w:val="001728AE"/>
    <w:rsid w:val="001736F4"/>
    <w:rsid w:val="00176594"/>
    <w:rsid w:val="0017699C"/>
    <w:rsid w:val="00180660"/>
    <w:rsid w:val="00182200"/>
    <w:rsid w:val="001846F3"/>
    <w:rsid w:val="001852C5"/>
    <w:rsid w:val="0018559C"/>
    <w:rsid w:val="001868A1"/>
    <w:rsid w:val="00186D1B"/>
    <w:rsid w:val="00187EA9"/>
    <w:rsid w:val="00192355"/>
    <w:rsid w:val="0019267A"/>
    <w:rsid w:val="00192E9B"/>
    <w:rsid w:val="00194478"/>
    <w:rsid w:val="00195F02"/>
    <w:rsid w:val="00196B1B"/>
    <w:rsid w:val="00196E0C"/>
    <w:rsid w:val="001A1665"/>
    <w:rsid w:val="001A32E2"/>
    <w:rsid w:val="001A3BC8"/>
    <w:rsid w:val="001A6551"/>
    <w:rsid w:val="001B0402"/>
    <w:rsid w:val="001B2C4C"/>
    <w:rsid w:val="001B4256"/>
    <w:rsid w:val="001B47A7"/>
    <w:rsid w:val="001B5879"/>
    <w:rsid w:val="001B62D1"/>
    <w:rsid w:val="001B69E5"/>
    <w:rsid w:val="001B7806"/>
    <w:rsid w:val="001C12FB"/>
    <w:rsid w:val="001C1865"/>
    <w:rsid w:val="001C22A4"/>
    <w:rsid w:val="001C32ED"/>
    <w:rsid w:val="001C4A08"/>
    <w:rsid w:val="001C51F2"/>
    <w:rsid w:val="001C66E2"/>
    <w:rsid w:val="001C70DC"/>
    <w:rsid w:val="001C782B"/>
    <w:rsid w:val="001D0C12"/>
    <w:rsid w:val="001D1A2A"/>
    <w:rsid w:val="001D3FAB"/>
    <w:rsid w:val="001D5290"/>
    <w:rsid w:val="001E057F"/>
    <w:rsid w:val="001E1B41"/>
    <w:rsid w:val="001E4930"/>
    <w:rsid w:val="001E5006"/>
    <w:rsid w:val="001E50A9"/>
    <w:rsid w:val="001E62F7"/>
    <w:rsid w:val="001E760C"/>
    <w:rsid w:val="001F0058"/>
    <w:rsid w:val="001F115E"/>
    <w:rsid w:val="001F1FA9"/>
    <w:rsid w:val="001F3327"/>
    <w:rsid w:val="001F39B1"/>
    <w:rsid w:val="001F5CE0"/>
    <w:rsid w:val="001F65FC"/>
    <w:rsid w:val="001F73AF"/>
    <w:rsid w:val="00201A37"/>
    <w:rsid w:val="0020383C"/>
    <w:rsid w:val="002104BC"/>
    <w:rsid w:val="002110C0"/>
    <w:rsid w:val="00211245"/>
    <w:rsid w:val="00215CF0"/>
    <w:rsid w:val="0021649B"/>
    <w:rsid w:val="002165DC"/>
    <w:rsid w:val="00216882"/>
    <w:rsid w:val="002170F1"/>
    <w:rsid w:val="0022064F"/>
    <w:rsid w:val="00220E8F"/>
    <w:rsid w:val="0022130B"/>
    <w:rsid w:val="0022147F"/>
    <w:rsid w:val="0022198B"/>
    <w:rsid w:val="00222137"/>
    <w:rsid w:val="00224749"/>
    <w:rsid w:val="00224F3B"/>
    <w:rsid w:val="00230379"/>
    <w:rsid w:val="002305A4"/>
    <w:rsid w:val="002324FA"/>
    <w:rsid w:val="00232F52"/>
    <w:rsid w:val="00233961"/>
    <w:rsid w:val="00233FCD"/>
    <w:rsid w:val="002349E0"/>
    <w:rsid w:val="0024200A"/>
    <w:rsid w:val="00242244"/>
    <w:rsid w:val="00242247"/>
    <w:rsid w:val="00243864"/>
    <w:rsid w:val="00247C06"/>
    <w:rsid w:val="00251093"/>
    <w:rsid w:val="00253987"/>
    <w:rsid w:val="00254661"/>
    <w:rsid w:val="002558EA"/>
    <w:rsid w:val="00256115"/>
    <w:rsid w:val="00257487"/>
    <w:rsid w:val="00257A16"/>
    <w:rsid w:val="00261C20"/>
    <w:rsid w:val="00262118"/>
    <w:rsid w:val="002621CA"/>
    <w:rsid w:val="002630DB"/>
    <w:rsid w:val="00263CB6"/>
    <w:rsid w:val="002652ED"/>
    <w:rsid w:val="00265978"/>
    <w:rsid w:val="00265A2D"/>
    <w:rsid w:val="00266255"/>
    <w:rsid w:val="0026637F"/>
    <w:rsid w:val="0026662E"/>
    <w:rsid w:val="00266B5E"/>
    <w:rsid w:val="00266C5A"/>
    <w:rsid w:val="00267F7F"/>
    <w:rsid w:val="0027120A"/>
    <w:rsid w:val="00271472"/>
    <w:rsid w:val="00272273"/>
    <w:rsid w:val="00274B73"/>
    <w:rsid w:val="00274FFC"/>
    <w:rsid w:val="00275281"/>
    <w:rsid w:val="00277C65"/>
    <w:rsid w:val="00281BB6"/>
    <w:rsid w:val="00283676"/>
    <w:rsid w:val="00283B02"/>
    <w:rsid w:val="00284C5A"/>
    <w:rsid w:val="00284D14"/>
    <w:rsid w:val="00284E48"/>
    <w:rsid w:val="00285C0A"/>
    <w:rsid w:val="00286307"/>
    <w:rsid w:val="00291FEE"/>
    <w:rsid w:val="002939FE"/>
    <w:rsid w:val="0029663C"/>
    <w:rsid w:val="002971AB"/>
    <w:rsid w:val="002A06B4"/>
    <w:rsid w:val="002A5E46"/>
    <w:rsid w:val="002B0FE5"/>
    <w:rsid w:val="002B1817"/>
    <w:rsid w:val="002B189F"/>
    <w:rsid w:val="002B36E5"/>
    <w:rsid w:val="002B382C"/>
    <w:rsid w:val="002B627B"/>
    <w:rsid w:val="002B71C6"/>
    <w:rsid w:val="002B7DC5"/>
    <w:rsid w:val="002C0706"/>
    <w:rsid w:val="002C2571"/>
    <w:rsid w:val="002C31E6"/>
    <w:rsid w:val="002C37BA"/>
    <w:rsid w:val="002C6782"/>
    <w:rsid w:val="002C6E38"/>
    <w:rsid w:val="002D4BAE"/>
    <w:rsid w:val="002D4BDA"/>
    <w:rsid w:val="002D5B0A"/>
    <w:rsid w:val="002D61F6"/>
    <w:rsid w:val="002D67C2"/>
    <w:rsid w:val="002D6C46"/>
    <w:rsid w:val="002D7345"/>
    <w:rsid w:val="002E0FC4"/>
    <w:rsid w:val="002E1CA8"/>
    <w:rsid w:val="002E301B"/>
    <w:rsid w:val="002E3568"/>
    <w:rsid w:val="002E6FA0"/>
    <w:rsid w:val="002F070E"/>
    <w:rsid w:val="002F0D32"/>
    <w:rsid w:val="002F1457"/>
    <w:rsid w:val="002F1980"/>
    <w:rsid w:val="002F2ECB"/>
    <w:rsid w:val="002F3278"/>
    <w:rsid w:val="002F3D9D"/>
    <w:rsid w:val="002F456B"/>
    <w:rsid w:val="002F4E18"/>
    <w:rsid w:val="002F4F1F"/>
    <w:rsid w:val="002F5C8A"/>
    <w:rsid w:val="002F75C1"/>
    <w:rsid w:val="003024BD"/>
    <w:rsid w:val="00302BD0"/>
    <w:rsid w:val="003049E8"/>
    <w:rsid w:val="00304AB4"/>
    <w:rsid w:val="00304C37"/>
    <w:rsid w:val="00304CA8"/>
    <w:rsid w:val="00310911"/>
    <w:rsid w:val="00311204"/>
    <w:rsid w:val="00312821"/>
    <w:rsid w:val="00314123"/>
    <w:rsid w:val="00316294"/>
    <w:rsid w:val="0031683D"/>
    <w:rsid w:val="00316BEE"/>
    <w:rsid w:val="00317369"/>
    <w:rsid w:val="00320AD9"/>
    <w:rsid w:val="003213B4"/>
    <w:rsid w:val="003214B3"/>
    <w:rsid w:val="003215E5"/>
    <w:rsid w:val="003232D5"/>
    <w:rsid w:val="00324BD0"/>
    <w:rsid w:val="0032791A"/>
    <w:rsid w:val="003306F1"/>
    <w:rsid w:val="00331180"/>
    <w:rsid w:val="00331760"/>
    <w:rsid w:val="003322C2"/>
    <w:rsid w:val="003328FE"/>
    <w:rsid w:val="00333F03"/>
    <w:rsid w:val="003347FA"/>
    <w:rsid w:val="0033567B"/>
    <w:rsid w:val="0033709B"/>
    <w:rsid w:val="00341111"/>
    <w:rsid w:val="003412E8"/>
    <w:rsid w:val="003421C3"/>
    <w:rsid w:val="00344030"/>
    <w:rsid w:val="00347D5F"/>
    <w:rsid w:val="00350D80"/>
    <w:rsid w:val="0035187F"/>
    <w:rsid w:val="00352028"/>
    <w:rsid w:val="00352306"/>
    <w:rsid w:val="003537AD"/>
    <w:rsid w:val="00354C6A"/>
    <w:rsid w:val="003567DD"/>
    <w:rsid w:val="00360039"/>
    <w:rsid w:val="0036006F"/>
    <w:rsid w:val="00360C03"/>
    <w:rsid w:val="00360E8F"/>
    <w:rsid w:val="003646EC"/>
    <w:rsid w:val="00364A4A"/>
    <w:rsid w:val="00365130"/>
    <w:rsid w:val="003654AC"/>
    <w:rsid w:val="00365F27"/>
    <w:rsid w:val="00366F2B"/>
    <w:rsid w:val="0036759C"/>
    <w:rsid w:val="0037073B"/>
    <w:rsid w:val="0037260F"/>
    <w:rsid w:val="00382F7A"/>
    <w:rsid w:val="003858A7"/>
    <w:rsid w:val="00391A46"/>
    <w:rsid w:val="00395407"/>
    <w:rsid w:val="003955E1"/>
    <w:rsid w:val="003A25D0"/>
    <w:rsid w:val="003A271F"/>
    <w:rsid w:val="003A291E"/>
    <w:rsid w:val="003A4089"/>
    <w:rsid w:val="003A5150"/>
    <w:rsid w:val="003A5290"/>
    <w:rsid w:val="003A65E0"/>
    <w:rsid w:val="003A6F9D"/>
    <w:rsid w:val="003B03CA"/>
    <w:rsid w:val="003B10F4"/>
    <w:rsid w:val="003B1B26"/>
    <w:rsid w:val="003B1E29"/>
    <w:rsid w:val="003B2683"/>
    <w:rsid w:val="003B2E59"/>
    <w:rsid w:val="003B5888"/>
    <w:rsid w:val="003B77B3"/>
    <w:rsid w:val="003B7F79"/>
    <w:rsid w:val="003C1849"/>
    <w:rsid w:val="003C1FCE"/>
    <w:rsid w:val="003C2304"/>
    <w:rsid w:val="003C32E1"/>
    <w:rsid w:val="003C6518"/>
    <w:rsid w:val="003D0CCE"/>
    <w:rsid w:val="003D572C"/>
    <w:rsid w:val="003D7303"/>
    <w:rsid w:val="003E186A"/>
    <w:rsid w:val="003E216A"/>
    <w:rsid w:val="003F0145"/>
    <w:rsid w:val="003F07B6"/>
    <w:rsid w:val="003F0B72"/>
    <w:rsid w:val="003F1096"/>
    <w:rsid w:val="003F5006"/>
    <w:rsid w:val="003F5044"/>
    <w:rsid w:val="003F58F8"/>
    <w:rsid w:val="003F5B3C"/>
    <w:rsid w:val="003F6992"/>
    <w:rsid w:val="00401C08"/>
    <w:rsid w:val="004031B6"/>
    <w:rsid w:val="004052E9"/>
    <w:rsid w:val="00405861"/>
    <w:rsid w:val="00405C3D"/>
    <w:rsid w:val="004106E7"/>
    <w:rsid w:val="00410B27"/>
    <w:rsid w:val="004119A5"/>
    <w:rsid w:val="004124D1"/>
    <w:rsid w:val="0041465A"/>
    <w:rsid w:val="004206D3"/>
    <w:rsid w:val="004209B0"/>
    <w:rsid w:val="00420C7E"/>
    <w:rsid w:val="00420FC9"/>
    <w:rsid w:val="004210ED"/>
    <w:rsid w:val="00421DEB"/>
    <w:rsid w:val="00421E96"/>
    <w:rsid w:val="0042229C"/>
    <w:rsid w:val="00422F86"/>
    <w:rsid w:val="00423966"/>
    <w:rsid w:val="0042443D"/>
    <w:rsid w:val="00424514"/>
    <w:rsid w:val="00425AED"/>
    <w:rsid w:val="00425D8C"/>
    <w:rsid w:val="00427F34"/>
    <w:rsid w:val="00432172"/>
    <w:rsid w:val="00434559"/>
    <w:rsid w:val="0043470E"/>
    <w:rsid w:val="004350D1"/>
    <w:rsid w:val="004352B3"/>
    <w:rsid w:val="00436B38"/>
    <w:rsid w:val="00437495"/>
    <w:rsid w:val="004376FC"/>
    <w:rsid w:val="00437A44"/>
    <w:rsid w:val="00437F0A"/>
    <w:rsid w:val="0044128C"/>
    <w:rsid w:val="00441BFD"/>
    <w:rsid w:val="00441FFC"/>
    <w:rsid w:val="004425D1"/>
    <w:rsid w:val="00444ED6"/>
    <w:rsid w:val="004458F6"/>
    <w:rsid w:val="00446881"/>
    <w:rsid w:val="00446A2A"/>
    <w:rsid w:val="00447039"/>
    <w:rsid w:val="00451B82"/>
    <w:rsid w:val="00452C11"/>
    <w:rsid w:val="00453AFD"/>
    <w:rsid w:val="004545CF"/>
    <w:rsid w:val="0045724C"/>
    <w:rsid w:val="00457418"/>
    <w:rsid w:val="00461957"/>
    <w:rsid w:val="00463288"/>
    <w:rsid w:val="00464C9A"/>
    <w:rsid w:val="0046564A"/>
    <w:rsid w:val="0046625C"/>
    <w:rsid w:val="004667B7"/>
    <w:rsid w:val="00470C21"/>
    <w:rsid w:val="00470FDD"/>
    <w:rsid w:val="00472697"/>
    <w:rsid w:val="00472805"/>
    <w:rsid w:val="00474BF7"/>
    <w:rsid w:val="00474BFE"/>
    <w:rsid w:val="00475116"/>
    <w:rsid w:val="00476C9E"/>
    <w:rsid w:val="004847A3"/>
    <w:rsid w:val="00490BF9"/>
    <w:rsid w:val="004917E8"/>
    <w:rsid w:val="00491E5F"/>
    <w:rsid w:val="00492607"/>
    <w:rsid w:val="00492732"/>
    <w:rsid w:val="00493AFB"/>
    <w:rsid w:val="00493F3C"/>
    <w:rsid w:val="004944FC"/>
    <w:rsid w:val="00496D0B"/>
    <w:rsid w:val="00496D14"/>
    <w:rsid w:val="00497BC6"/>
    <w:rsid w:val="004A024A"/>
    <w:rsid w:val="004A038E"/>
    <w:rsid w:val="004A0536"/>
    <w:rsid w:val="004A36A4"/>
    <w:rsid w:val="004A4EBF"/>
    <w:rsid w:val="004A50F9"/>
    <w:rsid w:val="004A5566"/>
    <w:rsid w:val="004A59B9"/>
    <w:rsid w:val="004A7401"/>
    <w:rsid w:val="004A775D"/>
    <w:rsid w:val="004B1AF1"/>
    <w:rsid w:val="004B1D54"/>
    <w:rsid w:val="004B2D8E"/>
    <w:rsid w:val="004B36FD"/>
    <w:rsid w:val="004B3F30"/>
    <w:rsid w:val="004B51E6"/>
    <w:rsid w:val="004B5217"/>
    <w:rsid w:val="004B5936"/>
    <w:rsid w:val="004B5E36"/>
    <w:rsid w:val="004B6E01"/>
    <w:rsid w:val="004C024B"/>
    <w:rsid w:val="004C10AA"/>
    <w:rsid w:val="004C292B"/>
    <w:rsid w:val="004C2B62"/>
    <w:rsid w:val="004C320D"/>
    <w:rsid w:val="004C44DD"/>
    <w:rsid w:val="004C625C"/>
    <w:rsid w:val="004C7FE6"/>
    <w:rsid w:val="004D1EEF"/>
    <w:rsid w:val="004D1F0E"/>
    <w:rsid w:val="004D25E3"/>
    <w:rsid w:val="004D2C61"/>
    <w:rsid w:val="004D2F80"/>
    <w:rsid w:val="004D6AD1"/>
    <w:rsid w:val="004D6DD4"/>
    <w:rsid w:val="004D70D4"/>
    <w:rsid w:val="004E0F77"/>
    <w:rsid w:val="004E267C"/>
    <w:rsid w:val="004E284A"/>
    <w:rsid w:val="004E31EA"/>
    <w:rsid w:val="004E34C4"/>
    <w:rsid w:val="004E5900"/>
    <w:rsid w:val="004E5F7B"/>
    <w:rsid w:val="004E667E"/>
    <w:rsid w:val="004E7BF6"/>
    <w:rsid w:val="004F2A85"/>
    <w:rsid w:val="004F3DF8"/>
    <w:rsid w:val="004F3F2A"/>
    <w:rsid w:val="004F47B0"/>
    <w:rsid w:val="004F5EC6"/>
    <w:rsid w:val="004F78FB"/>
    <w:rsid w:val="00502D35"/>
    <w:rsid w:val="005043EB"/>
    <w:rsid w:val="00505697"/>
    <w:rsid w:val="005059A2"/>
    <w:rsid w:val="00506475"/>
    <w:rsid w:val="005079D7"/>
    <w:rsid w:val="00511939"/>
    <w:rsid w:val="0051212B"/>
    <w:rsid w:val="00512738"/>
    <w:rsid w:val="0051302E"/>
    <w:rsid w:val="00514A31"/>
    <w:rsid w:val="00515577"/>
    <w:rsid w:val="00517306"/>
    <w:rsid w:val="00517A68"/>
    <w:rsid w:val="0052010F"/>
    <w:rsid w:val="0052220B"/>
    <w:rsid w:val="00522D3B"/>
    <w:rsid w:val="00523BF0"/>
    <w:rsid w:val="005245DD"/>
    <w:rsid w:val="00526664"/>
    <w:rsid w:val="00527416"/>
    <w:rsid w:val="0052764F"/>
    <w:rsid w:val="00531C26"/>
    <w:rsid w:val="0053275D"/>
    <w:rsid w:val="00533B7F"/>
    <w:rsid w:val="0053602B"/>
    <w:rsid w:val="0053608D"/>
    <w:rsid w:val="00540EF1"/>
    <w:rsid w:val="00544064"/>
    <w:rsid w:val="00544D73"/>
    <w:rsid w:val="005459BE"/>
    <w:rsid w:val="00546E9E"/>
    <w:rsid w:val="00551B7F"/>
    <w:rsid w:val="0055280C"/>
    <w:rsid w:val="0055555B"/>
    <w:rsid w:val="00556365"/>
    <w:rsid w:val="00561F5C"/>
    <w:rsid w:val="00562C39"/>
    <w:rsid w:val="005633C6"/>
    <w:rsid w:val="00566143"/>
    <w:rsid w:val="00567C2B"/>
    <w:rsid w:val="0057056C"/>
    <w:rsid w:val="00571EA0"/>
    <w:rsid w:val="00574557"/>
    <w:rsid w:val="00574C81"/>
    <w:rsid w:val="00581026"/>
    <w:rsid w:val="00581D3D"/>
    <w:rsid w:val="00585CBB"/>
    <w:rsid w:val="0058626F"/>
    <w:rsid w:val="005863AB"/>
    <w:rsid w:val="00591F29"/>
    <w:rsid w:val="0059380F"/>
    <w:rsid w:val="00593D91"/>
    <w:rsid w:val="00596A1C"/>
    <w:rsid w:val="00596E5C"/>
    <w:rsid w:val="005A08B1"/>
    <w:rsid w:val="005A1C83"/>
    <w:rsid w:val="005A24CD"/>
    <w:rsid w:val="005A290D"/>
    <w:rsid w:val="005A549F"/>
    <w:rsid w:val="005A6B32"/>
    <w:rsid w:val="005A6F44"/>
    <w:rsid w:val="005A6FAF"/>
    <w:rsid w:val="005A7193"/>
    <w:rsid w:val="005A7CBF"/>
    <w:rsid w:val="005B02B3"/>
    <w:rsid w:val="005B0C22"/>
    <w:rsid w:val="005B18D1"/>
    <w:rsid w:val="005B29CD"/>
    <w:rsid w:val="005B4125"/>
    <w:rsid w:val="005B4D28"/>
    <w:rsid w:val="005B56AA"/>
    <w:rsid w:val="005B5E4F"/>
    <w:rsid w:val="005B6516"/>
    <w:rsid w:val="005C0D85"/>
    <w:rsid w:val="005C130B"/>
    <w:rsid w:val="005C36F6"/>
    <w:rsid w:val="005C5602"/>
    <w:rsid w:val="005C7CFB"/>
    <w:rsid w:val="005C7DF4"/>
    <w:rsid w:val="005D042F"/>
    <w:rsid w:val="005D15E0"/>
    <w:rsid w:val="005D185C"/>
    <w:rsid w:val="005D2535"/>
    <w:rsid w:val="005D3790"/>
    <w:rsid w:val="005D4383"/>
    <w:rsid w:val="005D4506"/>
    <w:rsid w:val="005D5037"/>
    <w:rsid w:val="005D5501"/>
    <w:rsid w:val="005E0A4A"/>
    <w:rsid w:val="005E25BD"/>
    <w:rsid w:val="005E2F05"/>
    <w:rsid w:val="005E3E93"/>
    <w:rsid w:val="005E5BB3"/>
    <w:rsid w:val="005F04E1"/>
    <w:rsid w:val="005F09FC"/>
    <w:rsid w:val="005F277E"/>
    <w:rsid w:val="005F2DB5"/>
    <w:rsid w:val="005F3122"/>
    <w:rsid w:val="00602811"/>
    <w:rsid w:val="00603565"/>
    <w:rsid w:val="0060605C"/>
    <w:rsid w:val="0061071D"/>
    <w:rsid w:val="006108E8"/>
    <w:rsid w:val="00611CFB"/>
    <w:rsid w:val="006138D1"/>
    <w:rsid w:val="00615FA5"/>
    <w:rsid w:val="00617DED"/>
    <w:rsid w:val="00622E91"/>
    <w:rsid w:val="006236BA"/>
    <w:rsid w:val="0062405B"/>
    <w:rsid w:val="0062581F"/>
    <w:rsid w:val="0062657E"/>
    <w:rsid w:val="0062729F"/>
    <w:rsid w:val="00631754"/>
    <w:rsid w:val="00633537"/>
    <w:rsid w:val="00634A16"/>
    <w:rsid w:val="00635C53"/>
    <w:rsid w:val="00640DAB"/>
    <w:rsid w:val="00641A48"/>
    <w:rsid w:val="00642088"/>
    <w:rsid w:val="006420C2"/>
    <w:rsid w:val="00643C78"/>
    <w:rsid w:val="006440A9"/>
    <w:rsid w:val="006454AF"/>
    <w:rsid w:val="00645BDC"/>
    <w:rsid w:val="00647B21"/>
    <w:rsid w:val="00647DC7"/>
    <w:rsid w:val="006547B2"/>
    <w:rsid w:val="0065490A"/>
    <w:rsid w:val="00661450"/>
    <w:rsid w:val="006615B1"/>
    <w:rsid w:val="006641FE"/>
    <w:rsid w:val="00664207"/>
    <w:rsid w:val="00664266"/>
    <w:rsid w:val="0066545A"/>
    <w:rsid w:val="00666BC6"/>
    <w:rsid w:val="00670818"/>
    <w:rsid w:val="006713A7"/>
    <w:rsid w:val="00671FA9"/>
    <w:rsid w:val="00672071"/>
    <w:rsid w:val="00674BC2"/>
    <w:rsid w:val="006769C4"/>
    <w:rsid w:val="00677BBE"/>
    <w:rsid w:val="00680970"/>
    <w:rsid w:val="00680ADB"/>
    <w:rsid w:val="006821C9"/>
    <w:rsid w:val="006822EF"/>
    <w:rsid w:val="006829F0"/>
    <w:rsid w:val="00682F4A"/>
    <w:rsid w:val="006852C1"/>
    <w:rsid w:val="0068698F"/>
    <w:rsid w:val="00687CB7"/>
    <w:rsid w:val="0069009B"/>
    <w:rsid w:val="006931CC"/>
    <w:rsid w:val="0069502D"/>
    <w:rsid w:val="006952EF"/>
    <w:rsid w:val="006954F6"/>
    <w:rsid w:val="006A148A"/>
    <w:rsid w:val="006A1874"/>
    <w:rsid w:val="006A2962"/>
    <w:rsid w:val="006A6863"/>
    <w:rsid w:val="006B222A"/>
    <w:rsid w:val="006B2AAD"/>
    <w:rsid w:val="006B3546"/>
    <w:rsid w:val="006B4548"/>
    <w:rsid w:val="006B4BFC"/>
    <w:rsid w:val="006B5FEF"/>
    <w:rsid w:val="006B60D3"/>
    <w:rsid w:val="006B7D62"/>
    <w:rsid w:val="006C0745"/>
    <w:rsid w:val="006C16FF"/>
    <w:rsid w:val="006C170B"/>
    <w:rsid w:val="006C1B39"/>
    <w:rsid w:val="006C261F"/>
    <w:rsid w:val="006C350D"/>
    <w:rsid w:val="006C458F"/>
    <w:rsid w:val="006C4809"/>
    <w:rsid w:val="006C4CB8"/>
    <w:rsid w:val="006C5145"/>
    <w:rsid w:val="006C73B4"/>
    <w:rsid w:val="006C74AA"/>
    <w:rsid w:val="006D0F47"/>
    <w:rsid w:val="006D12C7"/>
    <w:rsid w:val="006D1999"/>
    <w:rsid w:val="006D2063"/>
    <w:rsid w:val="006D60E4"/>
    <w:rsid w:val="006D78D5"/>
    <w:rsid w:val="006E03F2"/>
    <w:rsid w:val="006E1A6F"/>
    <w:rsid w:val="006E1CC4"/>
    <w:rsid w:val="006E24AB"/>
    <w:rsid w:val="006E3294"/>
    <w:rsid w:val="006E6712"/>
    <w:rsid w:val="006E77C9"/>
    <w:rsid w:val="006F12E2"/>
    <w:rsid w:val="006F1E17"/>
    <w:rsid w:val="006F27EC"/>
    <w:rsid w:val="006F3929"/>
    <w:rsid w:val="006F6390"/>
    <w:rsid w:val="006F6656"/>
    <w:rsid w:val="00701185"/>
    <w:rsid w:val="0070123E"/>
    <w:rsid w:val="00701729"/>
    <w:rsid w:val="00701F1F"/>
    <w:rsid w:val="00702ACF"/>
    <w:rsid w:val="00704D72"/>
    <w:rsid w:val="00706147"/>
    <w:rsid w:val="00706362"/>
    <w:rsid w:val="00706B45"/>
    <w:rsid w:val="007112DF"/>
    <w:rsid w:val="007113C4"/>
    <w:rsid w:val="00711BFE"/>
    <w:rsid w:val="007135C0"/>
    <w:rsid w:val="0071381A"/>
    <w:rsid w:val="0071457B"/>
    <w:rsid w:val="007169D6"/>
    <w:rsid w:val="00717DEB"/>
    <w:rsid w:val="007218D5"/>
    <w:rsid w:val="007271E9"/>
    <w:rsid w:val="00733389"/>
    <w:rsid w:val="00733737"/>
    <w:rsid w:val="00733CEF"/>
    <w:rsid w:val="007353B6"/>
    <w:rsid w:val="00740947"/>
    <w:rsid w:val="0074133B"/>
    <w:rsid w:val="00745085"/>
    <w:rsid w:val="007467C8"/>
    <w:rsid w:val="00750EB7"/>
    <w:rsid w:val="00754173"/>
    <w:rsid w:val="007546B7"/>
    <w:rsid w:val="00761705"/>
    <w:rsid w:val="00761FCF"/>
    <w:rsid w:val="00763E8C"/>
    <w:rsid w:val="00764252"/>
    <w:rsid w:val="00764D6A"/>
    <w:rsid w:val="00765656"/>
    <w:rsid w:val="00765692"/>
    <w:rsid w:val="00772A50"/>
    <w:rsid w:val="00773056"/>
    <w:rsid w:val="00774EB4"/>
    <w:rsid w:val="00777AFF"/>
    <w:rsid w:val="00780980"/>
    <w:rsid w:val="00780BEB"/>
    <w:rsid w:val="00784979"/>
    <w:rsid w:val="007904D6"/>
    <w:rsid w:val="00790D54"/>
    <w:rsid w:val="007912C3"/>
    <w:rsid w:val="00793EDA"/>
    <w:rsid w:val="007961BD"/>
    <w:rsid w:val="00796B66"/>
    <w:rsid w:val="00797460"/>
    <w:rsid w:val="007A19C5"/>
    <w:rsid w:val="007A27E5"/>
    <w:rsid w:val="007A3B49"/>
    <w:rsid w:val="007A47DF"/>
    <w:rsid w:val="007A4DDB"/>
    <w:rsid w:val="007A510D"/>
    <w:rsid w:val="007A5B40"/>
    <w:rsid w:val="007A5D10"/>
    <w:rsid w:val="007A730B"/>
    <w:rsid w:val="007B018C"/>
    <w:rsid w:val="007B0C36"/>
    <w:rsid w:val="007B1841"/>
    <w:rsid w:val="007B5726"/>
    <w:rsid w:val="007B66C4"/>
    <w:rsid w:val="007B7E13"/>
    <w:rsid w:val="007C2F94"/>
    <w:rsid w:val="007C358A"/>
    <w:rsid w:val="007C4794"/>
    <w:rsid w:val="007C53A9"/>
    <w:rsid w:val="007C5DEF"/>
    <w:rsid w:val="007D2076"/>
    <w:rsid w:val="007D2C52"/>
    <w:rsid w:val="007D458C"/>
    <w:rsid w:val="007D5BC3"/>
    <w:rsid w:val="007D7238"/>
    <w:rsid w:val="007E08FD"/>
    <w:rsid w:val="007E0BB7"/>
    <w:rsid w:val="007E1660"/>
    <w:rsid w:val="007E2BC6"/>
    <w:rsid w:val="007E39EF"/>
    <w:rsid w:val="007E48EF"/>
    <w:rsid w:val="007E5799"/>
    <w:rsid w:val="007E7070"/>
    <w:rsid w:val="007E7417"/>
    <w:rsid w:val="007E758D"/>
    <w:rsid w:val="007F0E93"/>
    <w:rsid w:val="007F1EAF"/>
    <w:rsid w:val="007F410F"/>
    <w:rsid w:val="007F4D3F"/>
    <w:rsid w:val="00800FE1"/>
    <w:rsid w:val="0080372F"/>
    <w:rsid w:val="008037E2"/>
    <w:rsid w:val="0080442C"/>
    <w:rsid w:val="008049B0"/>
    <w:rsid w:val="00804C6C"/>
    <w:rsid w:val="0080648B"/>
    <w:rsid w:val="008103A5"/>
    <w:rsid w:val="00810642"/>
    <w:rsid w:val="00811A82"/>
    <w:rsid w:val="00811B44"/>
    <w:rsid w:val="00812D5B"/>
    <w:rsid w:val="008135D6"/>
    <w:rsid w:val="008144AA"/>
    <w:rsid w:val="00814A92"/>
    <w:rsid w:val="00815198"/>
    <w:rsid w:val="0081538F"/>
    <w:rsid w:val="00820F04"/>
    <w:rsid w:val="00821B22"/>
    <w:rsid w:val="00822649"/>
    <w:rsid w:val="00822F6A"/>
    <w:rsid w:val="00827EEC"/>
    <w:rsid w:val="00830967"/>
    <w:rsid w:val="00831DED"/>
    <w:rsid w:val="008330DB"/>
    <w:rsid w:val="008336F3"/>
    <w:rsid w:val="0083384D"/>
    <w:rsid w:val="008351D1"/>
    <w:rsid w:val="00836BBB"/>
    <w:rsid w:val="00837B06"/>
    <w:rsid w:val="0084011B"/>
    <w:rsid w:val="00845621"/>
    <w:rsid w:val="00846B6F"/>
    <w:rsid w:val="0085166E"/>
    <w:rsid w:val="00853440"/>
    <w:rsid w:val="0085381B"/>
    <w:rsid w:val="0085444F"/>
    <w:rsid w:val="0085478D"/>
    <w:rsid w:val="008556AC"/>
    <w:rsid w:val="008579F6"/>
    <w:rsid w:val="00857DB4"/>
    <w:rsid w:val="0086057C"/>
    <w:rsid w:val="00862696"/>
    <w:rsid w:val="00863135"/>
    <w:rsid w:val="00866A1F"/>
    <w:rsid w:val="0087054E"/>
    <w:rsid w:val="0087286F"/>
    <w:rsid w:val="00873528"/>
    <w:rsid w:val="0087752B"/>
    <w:rsid w:val="00880725"/>
    <w:rsid w:val="00883C7E"/>
    <w:rsid w:val="008858B1"/>
    <w:rsid w:val="00885EA4"/>
    <w:rsid w:val="00886462"/>
    <w:rsid w:val="00886A82"/>
    <w:rsid w:val="00886EB4"/>
    <w:rsid w:val="00891BF7"/>
    <w:rsid w:val="00891E47"/>
    <w:rsid w:val="00892619"/>
    <w:rsid w:val="00892CC1"/>
    <w:rsid w:val="0089320B"/>
    <w:rsid w:val="008949A1"/>
    <w:rsid w:val="00894B92"/>
    <w:rsid w:val="00895C3B"/>
    <w:rsid w:val="008960AE"/>
    <w:rsid w:val="00897B06"/>
    <w:rsid w:val="008A0EE3"/>
    <w:rsid w:val="008A1B79"/>
    <w:rsid w:val="008A2941"/>
    <w:rsid w:val="008A370F"/>
    <w:rsid w:val="008A3887"/>
    <w:rsid w:val="008A3D9E"/>
    <w:rsid w:val="008A4077"/>
    <w:rsid w:val="008A6E6A"/>
    <w:rsid w:val="008A72CF"/>
    <w:rsid w:val="008A75F4"/>
    <w:rsid w:val="008B0111"/>
    <w:rsid w:val="008B0333"/>
    <w:rsid w:val="008B14E1"/>
    <w:rsid w:val="008B164E"/>
    <w:rsid w:val="008B1766"/>
    <w:rsid w:val="008B34EE"/>
    <w:rsid w:val="008B50B1"/>
    <w:rsid w:val="008B5210"/>
    <w:rsid w:val="008C1BA1"/>
    <w:rsid w:val="008C27F6"/>
    <w:rsid w:val="008C38E0"/>
    <w:rsid w:val="008C47F4"/>
    <w:rsid w:val="008C56EB"/>
    <w:rsid w:val="008C584E"/>
    <w:rsid w:val="008C66D1"/>
    <w:rsid w:val="008D2679"/>
    <w:rsid w:val="008D3DE9"/>
    <w:rsid w:val="008D619B"/>
    <w:rsid w:val="008E2231"/>
    <w:rsid w:val="008E2352"/>
    <w:rsid w:val="008E35B8"/>
    <w:rsid w:val="008E43AF"/>
    <w:rsid w:val="008E53A2"/>
    <w:rsid w:val="008F0DB9"/>
    <w:rsid w:val="008F5066"/>
    <w:rsid w:val="008F71BA"/>
    <w:rsid w:val="008F7418"/>
    <w:rsid w:val="00900F76"/>
    <w:rsid w:val="009020C3"/>
    <w:rsid w:val="00905E7D"/>
    <w:rsid w:val="00912538"/>
    <w:rsid w:val="0091290E"/>
    <w:rsid w:val="0091352C"/>
    <w:rsid w:val="009142FD"/>
    <w:rsid w:val="00917CCC"/>
    <w:rsid w:val="0092040B"/>
    <w:rsid w:val="00920CE5"/>
    <w:rsid w:val="009210E0"/>
    <w:rsid w:val="00921D99"/>
    <w:rsid w:val="0092200B"/>
    <w:rsid w:val="009223A2"/>
    <w:rsid w:val="00923CC9"/>
    <w:rsid w:val="00925226"/>
    <w:rsid w:val="009263B9"/>
    <w:rsid w:val="0092654F"/>
    <w:rsid w:val="00931C1E"/>
    <w:rsid w:val="00931F8D"/>
    <w:rsid w:val="00932A46"/>
    <w:rsid w:val="00932AC7"/>
    <w:rsid w:val="00933CAE"/>
    <w:rsid w:val="00935D12"/>
    <w:rsid w:val="009369AC"/>
    <w:rsid w:val="0093737F"/>
    <w:rsid w:val="0093763A"/>
    <w:rsid w:val="009407D8"/>
    <w:rsid w:val="00942C22"/>
    <w:rsid w:val="00943CF5"/>
    <w:rsid w:val="00944998"/>
    <w:rsid w:val="0095290B"/>
    <w:rsid w:val="00955554"/>
    <w:rsid w:val="00955B35"/>
    <w:rsid w:val="00960759"/>
    <w:rsid w:val="00960AC9"/>
    <w:rsid w:val="00961054"/>
    <w:rsid w:val="009622CD"/>
    <w:rsid w:val="0096267B"/>
    <w:rsid w:val="00964641"/>
    <w:rsid w:val="0096669E"/>
    <w:rsid w:val="00970F69"/>
    <w:rsid w:val="0097139F"/>
    <w:rsid w:val="00972162"/>
    <w:rsid w:val="00973546"/>
    <w:rsid w:val="00974177"/>
    <w:rsid w:val="009753E8"/>
    <w:rsid w:val="0097615E"/>
    <w:rsid w:val="00976F22"/>
    <w:rsid w:val="00977137"/>
    <w:rsid w:val="0097750F"/>
    <w:rsid w:val="00977A52"/>
    <w:rsid w:val="00977ACB"/>
    <w:rsid w:val="0098023E"/>
    <w:rsid w:val="00981C43"/>
    <w:rsid w:val="00982AB2"/>
    <w:rsid w:val="0098606A"/>
    <w:rsid w:val="00986BB3"/>
    <w:rsid w:val="00986C44"/>
    <w:rsid w:val="00987A1B"/>
    <w:rsid w:val="009920DB"/>
    <w:rsid w:val="00995D54"/>
    <w:rsid w:val="009978EE"/>
    <w:rsid w:val="009A0CDB"/>
    <w:rsid w:val="009A149D"/>
    <w:rsid w:val="009A3B19"/>
    <w:rsid w:val="009A501D"/>
    <w:rsid w:val="009A6E27"/>
    <w:rsid w:val="009B12C7"/>
    <w:rsid w:val="009B1B50"/>
    <w:rsid w:val="009B2AC9"/>
    <w:rsid w:val="009B2EDC"/>
    <w:rsid w:val="009B3A71"/>
    <w:rsid w:val="009B44B5"/>
    <w:rsid w:val="009B4CD7"/>
    <w:rsid w:val="009B558A"/>
    <w:rsid w:val="009B697B"/>
    <w:rsid w:val="009B774A"/>
    <w:rsid w:val="009B790D"/>
    <w:rsid w:val="009C0C8A"/>
    <w:rsid w:val="009C2097"/>
    <w:rsid w:val="009C2166"/>
    <w:rsid w:val="009C21AF"/>
    <w:rsid w:val="009C2D57"/>
    <w:rsid w:val="009C7453"/>
    <w:rsid w:val="009C7C37"/>
    <w:rsid w:val="009C7C53"/>
    <w:rsid w:val="009D0141"/>
    <w:rsid w:val="009D0C98"/>
    <w:rsid w:val="009D181E"/>
    <w:rsid w:val="009D21E4"/>
    <w:rsid w:val="009D23C4"/>
    <w:rsid w:val="009D263F"/>
    <w:rsid w:val="009D29DF"/>
    <w:rsid w:val="009D4F48"/>
    <w:rsid w:val="009D5007"/>
    <w:rsid w:val="009D5301"/>
    <w:rsid w:val="009D565A"/>
    <w:rsid w:val="009D73A2"/>
    <w:rsid w:val="009D783D"/>
    <w:rsid w:val="009E0FC1"/>
    <w:rsid w:val="009E1AFB"/>
    <w:rsid w:val="009E2823"/>
    <w:rsid w:val="009E3A91"/>
    <w:rsid w:val="009E6F2E"/>
    <w:rsid w:val="009F2B22"/>
    <w:rsid w:val="009F3268"/>
    <w:rsid w:val="009F48A2"/>
    <w:rsid w:val="009F6831"/>
    <w:rsid w:val="009F7749"/>
    <w:rsid w:val="009F776E"/>
    <w:rsid w:val="00A00A8D"/>
    <w:rsid w:val="00A0327F"/>
    <w:rsid w:val="00A035AB"/>
    <w:rsid w:val="00A04325"/>
    <w:rsid w:val="00A1039F"/>
    <w:rsid w:val="00A10BE3"/>
    <w:rsid w:val="00A10F95"/>
    <w:rsid w:val="00A12B41"/>
    <w:rsid w:val="00A174AD"/>
    <w:rsid w:val="00A21F2A"/>
    <w:rsid w:val="00A222E7"/>
    <w:rsid w:val="00A25765"/>
    <w:rsid w:val="00A25FB0"/>
    <w:rsid w:val="00A2616C"/>
    <w:rsid w:val="00A26EF8"/>
    <w:rsid w:val="00A306C3"/>
    <w:rsid w:val="00A31640"/>
    <w:rsid w:val="00A32257"/>
    <w:rsid w:val="00A32E25"/>
    <w:rsid w:val="00A339B9"/>
    <w:rsid w:val="00A37C7E"/>
    <w:rsid w:val="00A411A8"/>
    <w:rsid w:val="00A42077"/>
    <w:rsid w:val="00A4398E"/>
    <w:rsid w:val="00A44FF8"/>
    <w:rsid w:val="00A45A19"/>
    <w:rsid w:val="00A468C1"/>
    <w:rsid w:val="00A50675"/>
    <w:rsid w:val="00A50EBC"/>
    <w:rsid w:val="00A53D09"/>
    <w:rsid w:val="00A56A25"/>
    <w:rsid w:val="00A614BE"/>
    <w:rsid w:val="00A626C5"/>
    <w:rsid w:val="00A6699F"/>
    <w:rsid w:val="00A670C3"/>
    <w:rsid w:val="00A67C95"/>
    <w:rsid w:val="00A67F5F"/>
    <w:rsid w:val="00A7069B"/>
    <w:rsid w:val="00A721A9"/>
    <w:rsid w:val="00A73CE6"/>
    <w:rsid w:val="00A75C84"/>
    <w:rsid w:val="00A8022E"/>
    <w:rsid w:val="00A80E6D"/>
    <w:rsid w:val="00A812AF"/>
    <w:rsid w:val="00A8228B"/>
    <w:rsid w:val="00A85690"/>
    <w:rsid w:val="00A87308"/>
    <w:rsid w:val="00A906AD"/>
    <w:rsid w:val="00A91307"/>
    <w:rsid w:val="00A917B2"/>
    <w:rsid w:val="00A92F7D"/>
    <w:rsid w:val="00A93BF3"/>
    <w:rsid w:val="00A97DEA"/>
    <w:rsid w:val="00AA1D58"/>
    <w:rsid w:val="00AA557D"/>
    <w:rsid w:val="00AA587C"/>
    <w:rsid w:val="00AA6670"/>
    <w:rsid w:val="00AA68BD"/>
    <w:rsid w:val="00AA7640"/>
    <w:rsid w:val="00AB0721"/>
    <w:rsid w:val="00AB1441"/>
    <w:rsid w:val="00AB5F2B"/>
    <w:rsid w:val="00AB665C"/>
    <w:rsid w:val="00AB7911"/>
    <w:rsid w:val="00AC02D8"/>
    <w:rsid w:val="00AC1075"/>
    <w:rsid w:val="00AC16AD"/>
    <w:rsid w:val="00AC2EEC"/>
    <w:rsid w:val="00AC35F5"/>
    <w:rsid w:val="00AC4DA8"/>
    <w:rsid w:val="00AC4F0B"/>
    <w:rsid w:val="00AC68AE"/>
    <w:rsid w:val="00AC6E41"/>
    <w:rsid w:val="00AD0227"/>
    <w:rsid w:val="00AD1AC3"/>
    <w:rsid w:val="00AD2B08"/>
    <w:rsid w:val="00AD2CA4"/>
    <w:rsid w:val="00AD2E81"/>
    <w:rsid w:val="00AD344F"/>
    <w:rsid w:val="00AD3B94"/>
    <w:rsid w:val="00AD4D7D"/>
    <w:rsid w:val="00AD5224"/>
    <w:rsid w:val="00AD54FE"/>
    <w:rsid w:val="00AD555A"/>
    <w:rsid w:val="00AD7D30"/>
    <w:rsid w:val="00AD7F3B"/>
    <w:rsid w:val="00AE071D"/>
    <w:rsid w:val="00AE1BEB"/>
    <w:rsid w:val="00AE1CA8"/>
    <w:rsid w:val="00AE1EA1"/>
    <w:rsid w:val="00AE2452"/>
    <w:rsid w:val="00AE2FDE"/>
    <w:rsid w:val="00AE3B3C"/>
    <w:rsid w:val="00AE4237"/>
    <w:rsid w:val="00AE6907"/>
    <w:rsid w:val="00AE719E"/>
    <w:rsid w:val="00AE7F0B"/>
    <w:rsid w:val="00AF006E"/>
    <w:rsid w:val="00AF2102"/>
    <w:rsid w:val="00AF345C"/>
    <w:rsid w:val="00AF54F6"/>
    <w:rsid w:val="00AF62A6"/>
    <w:rsid w:val="00AF6DD0"/>
    <w:rsid w:val="00AF7997"/>
    <w:rsid w:val="00B005E0"/>
    <w:rsid w:val="00B02B9B"/>
    <w:rsid w:val="00B0489C"/>
    <w:rsid w:val="00B1013F"/>
    <w:rsid w:val="00B1089C"/>
    <w:rsid w:val="00B110AD"/>
    <w:rsid w:val="00B1542C"/>
    <w:rsid w:val="00B20F1E"/>
    <w:rsid w:val="00B23108"/>
    <w:rsid w:val="00B240A5"/>
    <w:rsid w:val="00B2557D"/>
    <w:rsid w:val="00B255F4"/>
    <w:rsid w:val="00B262C0"/>
    <w:rsid w:val="00B27CFC"/>
    <w:rsid w:val="00B301FB"/>
    <w:rsid w:val="00B31D04"/>
    <w:rsid w:val="00B34FDD"/>
    <w:rsid w:val="00B37F99"/>
    <w:rsid w:val="00B4058A"/>
    <w:rsid w:val="00B44CE7"/>
    <w:rsid w:val="00B44E06"/>
    <w:rsid w:val="00B4642C"/>
    <w:rsid w:val="00B52559"/>
    <w:rsid w:val="00B53321"/>
    <w:rsid w:val="00B54B30"/>
    <w:rsid w:val="00B5740E"/>
    <w:rsid w:val="00B578ED"/>
    <w:rsid w:val="00B57964"/>
    <w:rsid w:val="00B57D24"/>
    <w:rsid w:val="00B603F6"/>
    <w:rsid w:val="00B60E2B"/>
    <w:rsid w:val="00B63B5D"/>
    <w:rsid w:val="00B63D80"/>
    <w:rsid w:val="00B63ED5"/>
    <w:rsid w:val="00B65249"/>
    <w:rsid w:val="00B65BB7"/>
    <w:rsid w:val="00B65BBA"/>
    <w:rsid w:val="00B672EC"/>
    <w:rsid w:val="00B74826"/>
    <w:rsid w:val="00B806A3"/>
    <w:rsid w:val="00B80DA6"/>
    <w:rsid w:val="00B81E2F"/>
    <w:rsid w:val="00B83E08"/>
    <w:rsid w:val="00B84485"/>
    <w:rsid w:val="00B861B4"/>
    <w:rsid w:val="00B87D9F"/>
    <w:rsid w:val="00B87F60"/>
    <w:rsid w:val="00B902AF"/>
    <w:rsid w:val="00B91407"/>
    <w:rsid w:val="00B93C7A"/>
    <w:rsid w:val="00B9700B"/>
    <w:rsid w:val="00B97E61"/>
    <w:rsid w:val="00BA003E"/>
    <w:rsid w:val="00BA0A85"/>
    <w:rsid w:val="00BA0E21"/>
    <w:rsid w:val="00BA114C"/>
    <w:rsid w:val="00BA37AB"/>
    <w:rsid w:val="00BA3CC9"/>
    <w:rsid w:val="00BA49CB"/>
    <w:rsid w:val="00BA5B0F"/>
    <w:rsid w:val="00BA6ADD"/>
    <w:rsid w:val="00BA70FC"/>
    <w:rsid w:val="00BB040D"/>
    <w:rsid w:val="00BB2122"/>
    <w:rsid w:val="00BB44CB"/>
    <w:rsid w:val="00BB4E52"/>
    <w:rsid w:val="00BB6209"/>
    <w:rsid w:val="00BB62FC"/>
    <w:rsid w:val="00BB7AAB"/>
    <w:rsid w:val="00BC0EDB"/>
    <w:rsid w:val="00BC1616"/>
    <w:rsid w:val="00BC174E"/>
    <w:rsid w:val="00BC577C"/>
    <w:rsid w:val="00BC6780"/>
    <w:rsid w:val="00BD0600"/>
    <w:rsid w:val="00BD0B2F"/>
    <w:rsid w:val="00BD1D60"/>
    <w:rsid w:val="00BD2528"/>
    <w:rsid w:val="00BD28DE"/>
    <w:rsid w:val="00BD2ECB"/>
    <w:rsid w:val="00BD30D4"/>
    <w:rsid w:val="00BD36B4"/>
    <w:rsid w:val="00BD3CF9"/>
    <w:rsid w:val="00BD61ED"/>
    <w:rsid w:val="00BD671A"/>
    <w:rsid w:val="00BD6E04"/>
    <w:rsid w:val="00BE02B3"/>
    <w:rsid w:val="00BE292F"/>
    <w:rsid w:val="00BE4A8B"/>
    <w:rsid w:val="00BE53DD"/>
    <w:rsid w:val="00BE561A"/>
    <w:rsid w:val="00BF0428"/>
    <w:rsid w:val="00BF1CA0"/>
    <w:rsid w:val="00BF4D87"/>
    <w:rsid w:val="00BF4E55"/>
    <w:rsid w:val="00BF6B40"/>
    <w:rsid w:val="00C00243"/>
    <w:rsid w:val="00C003C5"/>
    <w:rsid w:val="00C00773"/>
    <w:rsid w:val="00C00D2C"/>
    <w:rsid w:val="00C02519"/>
    <w:rsid w:val="00C02D4D"/>
    <w:rsid w:val="00C031C0"/>
    <w:rsid w:val="00C047D8"/>
    <w:rsid w:val="00C04B9E"/>
    <w:rsid w:val="00C06EA3"/>
    <w:rsid w:val="00C078F2"/>
    <w:rsid w:val="00C10B18"/>
    <w:rsid w:val="00C123D9"/>
    <w:rsid w:val="00C12ACE"/>
    <w:rsid w:val="00C12D66"/>
    <w:rsid w:val="00C1536C"/>
    <w:rsid w:val="00C15DFC"/>
    <w:rsid w:val="00C16B39"/>
    <w:rsid w:val="00C16B75"/>
    <w:rsid w:val="00C16E60"/>
    <w:rsid w:val="00C20EF9"/>
    <w:rsid w:val="00C22610"/>
    <w:rsid w:val="00C23C7B"/>
    <w:rsid w:val="00C277AE"/>
    <w:rsid w:val="00C277CE"/>
    <w:rsid w:val="00C30C7A"/>
    <w:rsid w:val="00C32040"/>
    <w:rsid w:val="00C33358"/>
    <w:rsid w:val="00C35B5B"/>
    <w:rsid w:val="00C37068"/>
    <w:rsid w:val="00C413AD"/>
    <w:rsid w:val="00C416EC"/>
    <w:rsid w:val="00C42046"/>
    <w:rsid w:val="00C445F7"/>
    <w:rsid w:val="00C45884"/>
    <w:rsid w:val="00C53563"/>
    <w:rsid w:val="00C53952"/>
    <w:rsid w:val="00C548D7"/>
    <w:rsid w:val="00C54C29"/>
    <w:rsid w:val="00C55426"/>
    <w:rsid w:val="00C618E0"/>
    <w:rsid w:val="00C62448"/>
    <w:rsid w:val="00C63E3B"/>
    <w:rsid w:val="00C646F7"/>
    <w:rsid w:val="00C674B7"/>
    <w:rsid w:val="00C7093C"/>
    <w:rsid w:val="00C742C1"/>
    <w:rsid w:val="00C76A59"/>
    <w:rsid w:val="00C77FAD"/>
    <w:rsid w:val="00C82D32"/>
    <w:rsid w:val="00C84903"/>
    <w:rsid w:val="00C84F44"/>
    <w:rsid w:val="00C85114"/>
    <w:rsid w:val="00C859C9"/>
    <w:rsid w:val="00C85C62"/>
    <w:rsid w:val="00C907E2"/>
    <w:rsid w:val="00C90D8F"/>
    <w:rsid w:val="00C91806"/>
    <w:rsid w:val="00C91F07"/>
    <w:rsid w:val="00C91FB4"/>
    <w:rsid w:val="00C951F2"/>
    <w:rsid w:val="00C959C4"/>
    <w:rsid w:val="00CA408B"/>
    <w:rsid w:val="00CA4189"/>
    <w:rsid w:val="00CA5C13"/>
    <w:rsid w:val="00CA6C9D"/>
    <w:rsid w:val="00CB22B2"/>
    <w:rsid w:val="00CC0AF9"/>
    <w:rsid w:val="00CC266B"/>
    <w:rsid w:val="00CD3743"/>
    <w:rsid w:val="00CD49C3"/>
    <w:rsid w:val="00CD4F96"/>
    <w:rsid w:val="00CD507C"/>
    <w:rsid w:val="00CD5A5B"/>
    <w:rsid w:val="00CD6120"/>
    <w:rsid w:val="00CD701E"/>
    <w:rsid w:val="00CE015E"/>
    <w:rsid w:val="00CE141D"/>
    <w:rsid w:val="00CE3101"/>
    <w:rsid w:val="00CE5218"/>
    <w:rsid w:val="00CE5D96"/>
    <w:rsid w:val="00CE7874"/>
    <w:rsid w:val="00CF03CB"/>
    <w:rsid w:val="00CF1BD1"/>
    <w:rsid w:val="00CF3ECC"/>
    <w:rsid w:val="00CF4520"/>
    <w:rsid w:val="00CF4F5E"/>
    <w:rsid w:val="00CF52C1"/>
    <w:rsid w:val="00D0019A"/>
    <w:rsid w:val="00D01BA5"/>
    <w:rsid w:val="00D01DFC"/>
    <w:rsid w:val="00D01F48"/>
    <w:rsid w:val="00D03DA6"/>
    <w:rsid w:val="00D04C36"/>
    <w:rsid w:val="00D04C5B"/>
    <w:rsid w:val="00D05AEB"/>
    <w:rsid w:val="00D07F7D"/>
    <w:rsid w:val="00D1032B"/>
    <w:rsid w:val="00D13906"/>
    <w:rsid w:val="00D160B7"/>
    <w:rsid w:val="00D20DAF"/>
    <w:rsid w:val="00D21424"/>
    <w:rsid w:val="00D216A6"/>
    <w:rsid w:val="00D226AE"/>
    <w:rsid w:val="00D22E23"/>
    <w:rsid w:val="00D252BE"/>
    <w:rsid w:val="00D26DEB"/>
    <w:rsid w:val="00D32286"/>
    <w:rsid w:val="00D33FF7"/>
    <w:rsid w:val="00D35CE1"/>
    <w:rsid w:val="00D365A9"/>
    <w:rsid w:val="00D404F9"/>
    <w:rsid w:val="00D40B71"/>
    <w:rsid w:val="00D41432"/>
    <w:rsid w:val="00D4152B"/>
    <w:rsid w:val="00D41EF7"/>
    <w:rsid w:val="00D43316"/>
    <w:rsid w:val="00D4456E"/>
    <w:rsid w:val="00D4550F"/>
    <w:rsid w:val="00D45A58"/>
    <w:rsid w:val="00D46506"/>
    <w:rsid w:val="00D46CA3"/>
    <w:rsid w:val="00D47121"/>
    <w:rsid w:val="00D47932"/>
    <w:rsid w:val="00D51BE4"/>
    <w:rsid w:val="00D525DE"/>
    <w:rsid w:val="00D55656"/>
    <w:rsid w:val="00D627CC"/>
    <w:rsid w:val="00D62FA0"/>
    <w:rsid w:val="00D6561B"/>
    <w:rsid w:val="00D65CD1"/>
    <w:rsid w:val="00D6626A"/>
    <w:rsid w:val="00D71345"/>
    <w:rsid w:val="00D72F35"/>
    <w:rsid w:val="00D731EC"/>
    <w:rsid w:val="00D7381E"/>
    <w:rsid w:val="00D743A1"/>
    <w:rsid w:val="00D75BE2"/>
    <w:rsid w:val="00D76D9F"/>
    <w:rsid w:val="00D807E9"/>
    <w:rsid w:val="00D81B08"/>
    <w:rsid w:val="00D84C0F"/>
    <w:rsid w:val="00D8513A"/>
    <w:rsid w:val="00D854EC"/>
    <w:rsid w:val="00D87B8D"/>
    <w:rsid w:val="00D92E99"/>
    <w:rsid w:val="00D96A23"/>
    <w:rsid w:val="00D96A45"/>
    <w:rsid w:val="00D975B5"/>
    <w:rsid w:val="00DA022D"/>
    <w:rsid w:val="00DA0B38"/>
    <w:rsid w:val="00DA14D6"/>
    <w:rsid w:val="00DA1F76"/>
    <w:rsid w:val="00DA24B4"/>
    <w:rsid w:val="00DA4F0B"/>
    <w:rsid w:val="00DA71B8"/>
    <w:rsid w:val="00DB1009"/>
    <w:rsid w:val="00DB1BA9"/>
    <w:rsid w:val="00DB31EB"/>
    <w:rsid w:val="00DB32D2"/>
    <w:rsid w:val="00DB3E16"/>
    <w:rsid w:val="00DB5AE9"/>
    <w:rsid w:val="00DB71A3"/>
    <w:rsid w:val="00DC1DCD"/>
    <w:rsid w:val="00DC41DE"/>
    <w:rsid w:val="00DC55BE"/>
    <w:rsid w:val="00DC5AC7"/>
    <w:rsid w:val="00DC6963"/>
    <w:rsid w:val="00DC7AA9"/>
    <w:rsid w:val="00DD0CDF"/>
    <w:rsid w:val="00DD3612"/>
    <w:rsid w:val="00DD38D4"/>
    <w:rsid w:val="00DD41FC"/>
    <w:rsid w:val="00DD4CDB"/>
    <w:rsid w:val="00DD69A0"/>
    <w:rsid w:val="00DD79B4"/>
    <w:rsid w:val="00DD7AA8"/>
    <w:rsid w:val="00DE0AAE"/>
    <w:rsid w:val="00DE21ED"/>
    <w:rsid w:val="00DE258D"/>
    <w:rsid w:val="00DE58F9"/>
    <w:rsid w:val="00DE6E5D"/>
    <w:rsid w:val="00DF2CC7"/>
    <w:rsid w:val="00DF58E0"/>
    <w:rsid w:val="00DF5A66"/>
    <w:rsid w:val="00DF7DE3"/>
    <w:rsid w:val="00E00F93"/>
    <w:rsid w:val="00E029F4"/>
    <w:rsid w:val="00E03801"/>
    <w:rsid w:val="00E0634F"/>
    <w:rsid w:val="00E06BC3"/>
    <w:rsid w:val="00E11A41"/>
    <w:rsid w:val="00E11AC7"/>
    <w:rsid w:val="00E128DB"/>
    <w:rsid w:val="00E14760"/>
    <w:rsid w:val="00E16344"/>
    <w:rsid w:val="00E2038E"/>
    <w:rsid w:val="00E20810"/>
    <w:rsid w:val="00E2091C"/>
    <w:rsid w:val="00E223F4"/>
    <w:rsid w:val="00E252FE"/>
    <w:rsid w:val="00E27A2C"/>
    <w:rsid w:val="00E31D99"/>
    <w:rsid w:val="00E336D6"/>
    <w:rsid w:val="00E33AE3"/>
    <w:rsid w:val="00E402E3"/>
    <w:rsid w:val="00E40A71"/>
    <w:rsid w:val="00E41913"/>
    <w:rsid w:val="00E422F7"/>
    <w:rsid w:val="00E459E0"/>
    <w:rsid w:val="00E47112"/>
    <w:rsid w:val="00E47514"/>
    <w:rsid w:val="00E5196B"/>
    <w:rsid w:val="00E5351A"/>
    <w:rsid w:val="00E5596D"/>
    <w:rsid w:val="00E55BC4"/>
    <w:rsid w:val="00E576FA"/>
    <w:rsid w:val="00E57988"/>
    <w:rsid w:val="00E57E4A"/>
    <w:rsid w:val="00E60C39"/>
    <w:rsid w:val="00E61AE9"/>
    <w:rsid w:val="00E63F33"/>
    <w:rsid w:val="00E6418B"/>
    <w:rsid w:val="00E65DFD"/>
    <w:rsid w:val="00E66B2C"/>
    <w:rsid w:val="00E67096"/>
    <w:rsid w:val="00E70494"/>
    <w:rsid w:val="00E70C06"/>
    <w:rsid w:val="00E723CE"/>
    <w:rsid w:val="00E72E63"/>
    <w:rsid w:val="00E73732"/>
    <w:rsid w:val="00E80B01"/>
    <w:rsid w:val="00E8173A"/>
    <w:rsid w:val="00E83BAC"/>
    <w:rsid w:val="00E83CB8"/>
    <w:rsid w:val="00E8435C"/>
    <w:rsid w:val="00E84F8D"/>
    <w:rsid w:val="00E85F56"/>
    <w:rsid w:val="00E87CEC"/>
    <w:rsid w:val="00E9112B"/>
    <w:rsid w:val="00E91D72"/>
    <w:rsid w:val="00E95561"/>
    <w:rsid w:val="00E95785"/>
    <w:rsid w:val="00E95A4F"/>
    <w:rsid w:val="00E96102"/>
    <w:rsid w:val="00E96693"/>
    <w:rsid w:val="00E966A7"/>
    <w:rsid w:val="00E97CE1"/>
    <w:rsid w:val="00E97F13"/>
    <w:rsid w:val="00EA1201"/>
    <w:rsid w:val="00EA3E22"/>
    <w:rsid w:val="00EA5678"/>
    <w:rsid w:val="00EA56AE"/>
    <w:rsid w:val="00EA6830"/>
    <w:rsid w:val="00EA7163"/>
    <w:rsid w:val="00EB1D91"/>
    <w:rsid w:val="00EB30DE"/>
    <w:rsid w:val="00EB4650"/>
    <w:rsid w:val="00EB4AC0"/>
    <w:rsid w:val="00EB4DA2"/>
    <w:rsid w:val="00EB4DE8"/>
    <w:rsid w:val="00EB4F6E"/>
    <w:rsid w:val="00EC0F98"/>
    <w:rsid w:val="00EC2327"/>
    <w:rsid w:val="00EC40D3"/>
    <w:rsid w:val="00EC4A2A"/>
    <w:rsid w:val="00ED01BB"/>
    <w:rsid w:val="00ED149D"/>
    <w:rsid w:val="00ED5E15"/>
    <w:rsid w:val="00ED64DF"/>
    <w:rsid w:val="00ED75D5"/>
    <w:rsid w:val="00ED78A6"/>
    <w:rsid w:val="00ED79B7"/>
    <w:rsid w:val="00EE06B1"/>
    <w:rsid w:val="00EE1AB1"/>
    <w:rsid w:val="00EE1BEE"/>
    <w:rsid w:val="00EE2B46"/>
    <w:rsid w:val="00EE42DC"/>
    <w:rsid w:val="00EE4833"/>
    <w:rsid w:val="00EE77D5"/>
    <w:rsid w:val="00EF33ED"/>
    <w:rsid w:val="00EF55CC"/>
    <w:rsid w:val="00F00DB0"/>
    <w:rsid w:val="00F01D00"/>
    <w:rsid w:val="00F0237D"/>
    <w:rsid w:val="00F02D17"/>
    <w:rsid w:val="00F02EAA"/>
    <w:rsid w:val="00F033DA"/>
    <w:rsid w:val="00F041D6"/>
    <w:rsid w:val="00F04322"/>
    <w:rsid w:val="00F04729"/>
    <w:rsid w:val="00F04D65"/>
    <w:rsid w:val="00F07B17"/>
    <w:rsid w:val="00F15D6F"/>
    <w:rsid w:val="00F2489D"/>
    <w:rsid w:val="00F25D42"/>
    <w:rsid w:val="00F2666F"/>
    <w:rsid w:val="00F3255C"/>
    <w:rsid w:val="00F32600"/>
    <w:rsid w:val="00F333E9"/>
    <w:rsid w:val="00F34776"/>
    <w:rsid w:val="00F347F6"/>
    <w:rsid w:val="00F34B2D"/>
    <w:rsid w:val="00F3684B"/>
    <w:rsid w:val="00F3714D"/>
    <w:rsid w:val="00F37622"/>
    <w:rsid w:val="00F37B54"/>
    <w:rsid w:val="00F41F46"/>
    <w:rsid w:val="00F423BD"/>
    <w:rsid w:val="00F43092"/>
    <w:rsid w:val="00F44199"/>
    <w:rsid w:val="00F453BF"/>
    <w:rsid w:val="00F46684"/>
    <w:rsid w:val="00F51EC6"/>
    <w:rsid w:val="00F5304F"/>
    <w:rsid w:val="00F53598"/>
    <w:rsid w:val="00F5459E"/>
    <w:rsid w:val="00F62403"/>
    <w:rsid w:val="00F65A7A"/>
    <w:rsid w:val="00F66006"/>
    <w:rsid w:val="00F672D4"/>
    <w:rsid w:val="00F67AFC"/>
    <w:rsid w:val="00F70CBD"/>
    <w:rsid w:val="00F70EFB"/>
    <w:rsid w:val="00F71378"/>
    <w:rsid w:val="00F71579"/>
    <w:rsid w:val="00F72175"/>
    <w:rsid w:val="00F72CD8"/>
    <w:rsid w:val="00F75070"/>
    <w:rsid w:val="00F75130"/>
    <w:rsid w:val="00F76C4C"/>
    <w:rsid w:val="00F8075F"/>
    <w:rsid w:val="00F81227"/>
    <w:rsid w:val="00F81297"/>
    <w:rsid w:val="00F82C59"/>
    <w:rsid w:val="00F82F27"/>
    <w:rsid w:val="00F83258"/>
    <w:rsid w:val="00F853D4"/>
    <w:rsid w:val="00F86608"/>
    <w:rsid w:val="00F87FB2"/>
    <w:rsid w:val="00F9088A"/>
    <w:rsid w:val="00F93868"/>
    <w:rsid w:val="00F96194"/>
    <w:rsid w:val="00F974C9"/>
    <w:rsid w:val="00FA0B2E"/>
    <w:rsid w:val="00FA2743"/>
    <w:rsid w:val="00FA3D7E"/>
    <w:rsid w:val="00FA52B0"/>
    <w:rsid w:val="00FA63E2"/>
    <w:rsid w:val="00FA6F58"/>
    <w:rsid w:val="00FC04C5"/>
    <w:rsid w:val="00FC1759"/>
    <w:rsid w:val="00FC2305"/>
    <w:rsid w:val="00FC3025"/>
    <w:rsid w:val="00FC3978"/>
    <w:rsid w:val="00FC559E"/>
    <w:rsid w:val="00FC577F"/>
    <w:rsid w:val="00FC5A2A"/>
    <w:rsid w:val="00FC608A"/>
    <w:rsid w:val="00FC74A5"/>
    <w:rsid w:val="00FD0AC1"/>
    <w:rsid w:val="00FD1C69"/>
    <w:rsid w:val="00FD3D83"/>
    <w:rsid w:val="00FD5231"/>
    <w:rsid w:val="00FD5A9F"/>
    <w:rsid w:val="00FD7468"/>
    <w:rsid w:val="00FE03BE"/>
    <w:rsid w:val="00FE05A1"/>
    <w:rsid w:val="00FE0DBE"/>
    <w:rsid w:val="00FE0EFC"/>
    <w:rsid w:val="00FE1731"/>
    <w:rsid w:val="00FE274C"/>
    <w:rsid w:val="00FE2B2A"/>
    <w:rsid w:val="00FE3585"/>
    <w:rsid w:val="00FE4203"/>
    <w:rsid w:val="00FE5B62"/>
    <w:rsid w:val="00FE64BC"/>
    <w:rsid w:val="00FF0CBE"/>
    <w:rsid w:val="00FF1791"/>
    <w:rsid w:val="00FF2F78"/>
    <w:rsid w:val="00FF4FC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F8A1AD"/>
  <w15:docId w15:val="{9C69834B-18F9-4FBD-A895-A1737EAB8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locked="1" w:uiPriority="21" w:qFormat="1"/>
    <w:lsdException w:name="Subtle Reference" w:semiHidden="1" w:uiPriority="31" w:qFormat="1"/>
    <w:lsdException w:name="Intense Reference" w:locked="1"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66A7"/>
    <w:pPr>
      <w:spacing w:after="200" w:line="276" w:lineRule="auto"/>
    </w:pPr>
    <w:rPr>
      <w:rFonts w:asciiTheme="minorHAnsi" w:eastAsiaTheme="minorHAnsi" w:hAnsiTheme="minorHAnsi" w:cstheme="minorBidi"/>
      <w:sz w:val="22"/>
      <w:szCs w:val="22"/>
      <w:lang w:eastAsia="en-US"/>
    </w:rPr>
  </w:style>
  <w:style w:type="paragraph" w:styleId="Heading1">
    <w:name w:val="heading 1"/>
    <w:next w:val="Normal"/>
    <w:link w:val="Heading1Char"/>
    <w:uiPriority w:val="1"/>
    <w:qFormat/>
    <w:rsid w:val="004C320D"/>
    <w:pPr>
      <w:widowControl w:val="0"/>
      <w:spacing w:before="2880"/>
      <w:contextualSpacing/>
      <w:outlineLvl w:val="0"/>
    </w:pPr>
    <w:rPr>
      <w:rFonts w:ascii="Calibri" w:eastAsiaTheme="minorHAnsi" w:hAnsi="Calibri" w:cstheme="minorBidi"/>
      <w:b/>
      <w:bCs/>
      <w:spacing w:val="5"/>
      <w:kern w:val="28"/>
      <w:sz w:val="72"/>
      <w:szCs w:val="28"/>
      <w:lang w:eastAsia="en-US"/>
    </w:rPr>
  </w:style>
  <w:style w:type="paragraph" w:styleId="Heading2">
    <w:name w:val="heading 2"/>
    <w:basedOn w:val="Normal"/>
    <w:next w:val="Normal"/>
    <w:link w:val="Heading2Char"/>
    <w:uiPriority w:val="3"/>
    <w:rsid w:val="007E39EF"/>
    <w:pPr>
      <w:pageBreakBefore/>
      <w:numPr>
        <w:numId w:val="3"/>
      </w:numPr>
      <w:spacing w:after="240" w:line="240" w:lineRule="auto"/>
      <w:outlineLvl w:val="1"/>
    </w:pPr>
    <w:rPr>
      <w:rFonts w:ascii="Calibri" w:eastAsiaTheme="minorEastAsia" w:hAnsi="Calibri"/>
      <w:bCs/>
      <w:color w:val="000000" w:themeColor="text1"/>
      <w:sz w:val="56"/>
      <w:szCs w:val="28"/>
      <w:lang w:eastAsia="ja-JP"/>
    </w:rPr>
  </w:style>
  <w:style w:type="paragraph" w:styleId="Heading3">
    <w:name w:val="heading 3"/>
    <w:next w:val="Normal"/>
    <w:link w:val="Heading3Char"/>
    <w:uiPriority w:val="4"/>
    <w:qFormat/>
    <w:rsid w:val="000373C5"/>
    <w:pPr>
      <w:keepNext/>
      <w:keepLines/>
      <w:numPr>
        <w:ilvl w:val="1"/>
        <w:numId w:val="3"/>
      </w:numPr>
      <w:outlineLvl w:val="2"/>
    </w:pPr>
    <w:rPr>
      <w:rFonts w:ascii="Calibri" w:eastAsia="Times New Roman" w:hAnsi="Calibri"/>
      <w:b/>
      <w:bCs/>
      <w:sz w:val="40"/>
      <w:szCs w:val="24"/>
      <w:lang w:eastAsia="en-US"/>
    </w:rPr>
  </w:style>
  <w:style w:type="paragraph" w:styleId="Heading4">
    <w:name w:val="heading 4"/>
    <w:next w:val="Normal"/>
    <w:link w:val="Heading4Char"/>
    <w:uiPriority w:val="5"/>
    <w:qFormat/>
    <w:rsid w:val="000373C5"/>
    <w:pPr>
      <w:keepNext/>
      <w:numPr>
        <w:ilvl w:val="2"/>
        <w:numId w:val="3"/>
      </w:numPr>
      <w:outlineLvl w:val="3"/>
    </w:pPr>
    <w:rPr>
      <w:rFonts w:ascii="Calibri" w:eastAsia="Times New Roman" w:hAnsi="Calibri"/>
      <w:b/>
      <w:bCs/>
      <w:sz w:val="32"/>
      <w:szCs w:val="24"/>
      <w:lang w:eastAsia="en-US"/>
    </w:rPr>
  </w:style>
  <w:style w:type="paragraph" w:styleId="Heading5">
    <w:name w:val="heading 5"/>
    <w:basedOn w:val="Normal"/>
    <w:next w:val="Normal"/>
    <w:link w:val="Heading5Char"/>
    <w:uiPriority w:val="6"/>
    <w:rsid w:val="000373C5"/>
    <w:pPr>
      <w:keepNext/>
      <w:keepLines/>
      <w:spacing w:after="0" w:line="240" w:lineRule="auto"/>
      <w:outlineLvl w:val="4"/>
    </w:pPr>
    <w:rPr>
      <w:rFonts w:ascii="Calibri" w:hAnsi="Calibri"/>
      <w:b/>
      <w:sz w:val="28"/>
      <w:szCs w:val="24"/>
    </w:rPr>
  </w:style>
  <w:style w:type="paragraph" w:styleId="Heading6">
    <w:name w:val="heading 6"/>
    <w:basedOn w:val="Normal"/>
    <w:next w:val="Normal"/>
    <w:link w:val="Heading6Char"/>
    <w:uiPriority w:val="9"/>
    <w:semiHidden/>
    <w:qFormat/>
    <w:rsid w:val="000373C5"/>
    <w:pPr>
      <w:keepNext/>
      <w:keepLines/>
      <w:spacing w:before="40" w:after="0"/>
      <w:outlineLvl w:val="5"/>
    </w:pPr>
    <w:rPr>
      <w:rFonts w:eastAsiaTheme="majorEastAsia" w:cstheme="majorBidi"/>
      <w:b/>
      <w:i/>
      <w:sz w:val="24"/>
    </w:rPr>
  </w:style>
  <w:style w:type="paragraph" w:styleId="Heading7">
    <w:name w:val="heading 7"/>
    <w:basedOn w:val="Normal"/>
    <w:next w:val="Normal"/>
    <w:link w:val="Heading7Char"/>
    <w:uiPriority w:val="9"/>
    <w:semiHidden/>
    <w:qFormat/>
    <w:rsid w:val="00CD6120"/>
    <w:pPr>
      <w:keepNext/>
      <w:keepLines/>
      <w:spacing w:after="0"/>
      <w:outlineLvl w:val="6"/>
    </w:pPr>
    <w:rPr>
      <w:rFonts w:ascii="Calibri" w:eastAsiaTheme="majorEastAsia" w:hAnsi="Calibri" w:cstheme="majorBidi"/>
      <w:b/>
      <w:iCs/>
    </w:rPr>
  </w:style>
  <w:style w:type="paragraph" w:styleId="Heading8">
    <w:name w:val="heading 8"/>
    <w:basedOn w:val="Normal"/>
    <w:next w:val="Normal"/>
    <w:link w:val="Heading8Char"/>
    <w:uiPriority w:val="9"/>
    <w:semiHidden/>
    <w:qFormat/>
    <w:rsid w:val="00D01BA5"/>
    <w:pPr>
      <w:keepNext/>
      <w:keepLines/>
      <w:spacing w:before="40" w:after="0"/>
      <w:outlineLvl w:val="7"/>
    </w:pPr>
    <w:rPr>
      <w:rFonts w:ascii="Calibri" w:eastAsiaTheme="majorEastAsia" w:hAnsi="Calibri" w:cstheme="majorBidi"/>
      <w:b/>
      <w:i/>
      <w:color w:val="272727" w:themeColor="text1" w:themeTint="D8"/>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rsid w:val="00441BFD"/>
    <w:rPr>
      <w:sz w:val="20"/>
      <w:szCs w:val="20"/>
    </w:rPr>
  </w:style>
  <w:style w:type="character" w:customStyle="1" w:styleId="CommentTextChar">
    <w:name w:val="Comment Text Char"/>
    <w:basedOn w:val="DefaultParagraphFont"/>
    <w:link w:val="CommentText"/>
    <w:rsid w:val="00441BFD"/>
    <w:rPr>
      <w:rFonts w:asciiTheme="minorHAnsi" w:eastAsiaTheme="minorHAnsi" w:hAnsiTheme="minorHAnsi" w:cstheme="minorBidi"/>
      <w:lang w:eastAsia="en-US"/>
    </w:rPr>
  </w:style>
  <w:style w:type="paragraph" w:styleId="Header">
    <w:name w:val="header"/>
    <w:basedOn w:val="Normal"/>
    <w:link w:val="HeaderChar"/>
    <w:uiPriority w:val="26"/>
    <w:rsid w:val="00493F3C"/>
    <w:pPr>
      <w:tabs>
        <w:tab w:val="center" w:pos="4820"/>
      </w:tabs>
      <w:spacing w:before="120" w:line="240" w:lineRule="auto"/>
      <w:jc w:val="center"/>
    </w:pPr>
    <w:rPr>
      <w:rFonts w:ascii="Calibri" w:hAnsi="Calibri"/>
      <w:sz w:val="20"/>
    </w:rPr>
  </w:style>
  <w:style w:type="character" w:customStyle="1" w:styleId="HeaderChar">
    <w:name w:val="Header Char"/>
    <w:basedOn w:val="DefaultParagraphFont"/>
    <w:link w:val="Header"/>
    <w:uiPriority w:val="26"/>
    <w:rsid w:val="00493F3C"/>
    <w:rPr>
      <w:rFonts w:ascii="Calibri" w:eastAsiaTheme="minorHAnsi" w:hAnsi="Calibri" w:cstheme="minorBidi"/>
      <w:szCs w:val="22"/>
      <w:lang w:eastAsia="en-US"/>
    </w:rPr>
  </w:style>
  <w:style w:type="paragraph" w:styleId="Footer">
    <w:name w:val="footer"/>
    <w:basedOn w:val="Normal"/>
    <w:link w:val="FooterChar"/>
    <w:uiPriority w:val="27"/>
    <w:rsid w:val="00274B73"/>
    <w:pPr>
      <w:tabs>
        <w:tab w:val="center" w:pos="4536"/>
      </w:tabs>
      <w:spacing w:after="480" w:line="240" w:lineRule="auto"/>
      <w:jc w:val="center"/>
    </w:pPr>
    <w:rPr>
      <w:rFonts w:ascii="Calibri" w:hAnsi="Calibri"/>
      <w:sz w:val="20"/>
    </w:rPr>
  </w:style>
  <w:style w:type="character" w:customStyle="1" w:styleId="FooterChar">
    <w:name w:val="Footer Char"/>
    <w:basedOn w:val="DefaultParagraphFont"/>
    <w:link w:val="Footer"/>
    <w:uiPriority w:val="27"/>
    <w:rsid w:val="00274B73"/>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441BFD"/>
    <w:rPr>
      <w:sz w:val="16"/>
      <w:szCs w:val="16"/>
    </w:rPr>
  </w:style>
  <w:style w:type="paragraph" w:styleId="CommentSubject">
    <w:name w:val="annotation subject"/>
    <w:basedOn w:val="CommentText"/>
    <w:next w:val="CommentText"/>
    <w:link w:val="CommentSubjectChar"/>
    <w:uiPriority w:val="99"/>
    <w:semiHidden/>
    <w:unhideWhenUsed/>
    <w:rsid w:val="00441BFD"/>
    <w:rPr>
      <w:b/>
      <w:bCs/>
    </w:rPr>
  </w:style>
  <w:style w:type="character" w:customStyle="1" w:styleId="CommentSubjectChar">
    <w:name w:val="Comment Subject Char"/>
    <w:basedOn w:val="CommentTextChar"/>
    <w:link w:val="CommentSubject"/>
    <w:uiPriority w:val="99"/>
    <w:semiHidden/>
    <w:rsid w:val="00441BFD"/>
    <w:rPr>
      <w:rFonts w:asciiTheme="minorHAnsi" w:eastAsiaTheme="minorHAnsi" w:hAnsiTheme="minorHAnsi" w:cstheme="minorBidi"/>
      <w:b/>
      <w:bCs/>
      <w:lang w:eastAsia="en-US"/>
    </w:rPr>
  </w:style>
  <w:style w:type="paragraph" w:styleId="BalloonText">
    <w:name w:val="Balloon Text"/>
    <w:basedOn w:val="Normal"/>
    <w:link w:val="BalloonTextChar"/>
    <w:uiPriority w:val="99"/>
    <w:semiHidden/>
    <w:unhideWhenUsed/>
    <w:rsid w:val="00441BFD"/>
    <w:rPr>
      <w:rFonts w:ascii="Calibri" w:hAnsi="Calibri"/>
      <w:sz w:val="18"/>
      <w:szCs w:val="18"/>
    </w:rPr>
  </w:style>
  <w:style w:type="character" w:customStyle="1" w:styleId="BalloonTextChar">
    <w:name w:val="Balloon Text Char"/>
    <w:basedOn w:val="DefaultParagraphFont"/>
    <w:link w:val="BalloonText"/>
    <w:uiPriority w:val="99"/>
    <w:semiHidden/>
    <w:rsid w:val="00441BFD"/>
    <w:rPr>
      <w:rFonts w:ascii="Calibri" w:eastAsiaTheme="minorHAnsi" w:hAnsi="Calibri" w:cstheme="minorBidi"/>
      <w:sz w:val="18"/>
      <w:szCs w:val="18"/>
      <w:lang w:eastAsia="en-US"/>
    </w:rPr>
  </w:style>
  <w:style w:type="table" w:styleId="TableGrid">
    <w:name w:val="Table Grid"/>
    <w:basedOn w:val="TableNormal"/>
    <w:uiPriority w:val="59"/>
    <w:rsid w:val="00441BFD"/>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441BFD"/>
    <w:rPr>
      <w:sz w:val="16"/>
    </w:rPr>
  </w:style>
  <w:style w:type="character" w:customStyle="1" w:styleId="Heading1Char">
    <w:name w:val="Heading 1 Char"/>
    <w:basedOn w:val="DefaultParagraphFont"/>
    <w:link w:val="Heading1"/>
    <w:uiPriority w:val="1"/>
    <w:rsid w:val="004C320D"/>
    <w:rPr>
      <w:rFonts w:ascii="Calibri" w:eastAsiaTheme="minorHAnsi" w:hAnsi="Calibri" w:cstheme="minorBidi"/>
      <w:b/>
      <w:bCs/>
      <w:spacing w:val="5"/>
      <w:kern w:val="28"/>
      <w:sz w:val="72"/>
      <w:szCs w:val="28"/>
      <w:lang w:eastAsia="en-US"/>
    </w:rPr>
  </w:style>
  <w:style w:type="character" w:customStyle="1" w:styleId="Heading2Char">
    <w:name w:val="Heading 2 Char"/>
    <w:basedOn w:val="DefaultParagraphFont"/>
    <w:link w:val="Heading2"/>
    <w:uiPriority w:val="3"/>
    <w:rsid w:val="007E39EF"/>
    <w:rPr>
      <w:rFonts w:ascii="Calibri" w:eastAsiaTheme="minorEastAsia" w:hAnsi="Calibri" w:cstheme="minorBidi"/>
      <w:bCs/>
      <w:color w:val="000000" w:themeColor="text1"/>
      <w:sz w:val="56"/>
      <w:szCs w:val="28"/>
      <w:lang w:eastAsia="ja-JP"/>
    </w:rPr>
  </w:style>
  <w:style w:type="character" w:customStyle="1" w:styleId="Heading3Char">
    <w:name w:val="Heading 3 Char"/>
    <w:basedOn w:val="DefaultParagraphFont"/>
    <w:link w:val="Heading3"/>
    <w:uiPriority w:val="4"/>
    <w:rsid w:val="000373C5"/>
    <w:rPr>
      <w:rFonts w:ascii="Calibri" w:eastAsia="Times New Roman" w:hAnsi="Calibri"/>
      <w:b/>
      <w:bCs/>
      <w:sz w:val="40"/>
      <w:szCs w:val="24"/>
      <w:lang w:eastAsia="en-US"/>
    </w:rPr>
  </w:style>
  <w:style w:type="character" w:customStyle="1" w:styleId="Heading4Char">
    <w:name w:val="Heading 4 Char"/>
    <w:basedOn w:val="DefaultParagraphFont"/>
    <w:link w:val="Heading4"/>
    <w:uiPriority w:val="5"/>
    <w:rsid w:val="000373C5"/>
    <w:rPr>
      <w:rFonts w:ascii="Calibri" w:eastAsia="Times New Roman" w:hAnsi="Calibri"/>
      <w:b/>
      <w:bCs/>
      <w:sz w:val="32"/>
      <w:szCs w:val="24"/>
      <w:lang w:eastAsia="en-US"/>
    </w:rPr>
  </w:style>
  <w:style w:type="character" w:customStyle="1" w:styleId="Heading5Char">
    <w:name w:val="Heading 5 Char"/>
    <w:basedOn w:val="DefaultParagraphFont"/>
    <w:link w:val="Heading5"/>
    <w:uiPriority w:val="6"/>
    <w:rsid w:val="000373C5"/>
    <w:rPr>
      <w:rFonts w:ascii="Calibri" w:eastAsiaTheme="minorHAnsi" w:hAnsi="Calibri" w:cstheme="minorBidi"/>
      <w:b/>
      <w:sz w:val="28"/>
      <w:szCs w:val="24"/>
      <w:lang w:eastAsia="en-US"/>
    </w:rPr>
  </w:style>
  <w:style w:type="paragraph" w:styleId="Quote">
    <w:name w:val="Quote"/>
    <w:basedOn w:val="Normal"/>
    <w:next w:val="Normal"/>
    <w:link w:val="QuoteChar"/>
    <w:uiPriority w:val="18"/>
    <w:qFormat/>
    <w:rsid w:val="00441BFD"/>
    <w:pPr>
      <w:ind w:left="709" w:right="567"/>
    </w:pPr>
    <w:rPr>
      <w:iCs/>
      <w:color w:val="000000"/>
    </w:rPr>
  </w:style>
  <w:style w:type="character" w:customStyle="1" w:styleId="QuoteChar">
    <w:name w:val="Quote Char"/>
    <w:basedOn w:val="DefaultParagraphFont"/>
    <w:link w:val="Quote"/>
    <w:uiPriority w:val="18"/>
    <w:rsid w:val="00441BFD"/>
    <w:rPr>
      <w:rFonts w:asciiTheme="minorHAnsi" w:eastAsiaTheme="minorHAnsi" w:hAnsiTheme="minorHAnsi" w:cstheme="minorBidi"/>
      <w:iCs/>
      <w:color w:val="000000"/>
      <w:sz w:val="22"/>
      <w:szCs w:val="22"/>
      <w:lang w:eastAsia="en-US"/>
    </w:rPr>
  </w:style>
  <w:style w:type="paragraph" w:customStyle="1" w:styleId="BoxText">
    <w:name w:val="Box Text"/>
    <w:basedOn w:val="Normal"/>
    <w:uiPriority w:val="19"/>
    <w:qFormat/>
    <w:rsid w:val="00441BFD"/>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C031C0"/>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441BFD"/>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6F6656"/>
    <w:pPr>
      <w:spacing w:before="120"/>
    </w:pPr>
    <w:rPr>
      <w:b w:val="0"/>
      <w:sz w:val="56"/>
      <w:szCs w:val="56"/>
    </w:rPr>
  </w:style>
  <w:style w:type="character" w:customStyle="1" w:styleId="SubtitleChar">
    <w:name w:val="Subtitle Char"/>
    <w:basedOn w:val="DefaultParagraphFont"/>
    <w:link w:val="Subtitle"/>
    <w:uiPriority w:val="23"/>
    <w:rsid w:val="006F6656"/>
    <w:rPr>
      <w:rFonts w:ascii="Calibri" w:eastAsiaTheme="minorHAnsi" w:hAnsi="Calibri" w:cstheme="minorBidi"/>
      <w:bCs/>
      <w:spacing w:val="5"/>
      <w:kern w:val="28"/>
      <w:sz w:val="56"/>
      <w:szCs w:val="56"/>
      <w:lang w:eastAsia="en-US"/>
    </w:rPr>
  </w:style>
  <w:style w:type="paragraph" w:styleId="TOCHeading">
    <w:name w:val="TOC Heading"/>
    <w:next w:val="Normal"/>
    <w:uiPriority w:val="39"/>
    <w:qFormat/>
    <w:rsid w:val="006F6656"/>
    <w:pPr>
      <w:spacing w:before="480" w:line="276" w:lineRule="auto"/>
    </w:pPr>
    <w:rPr>
      <w:rFonts w:ascii="Calibri" w:eastAsiaTheme="minorEastAsia" w:hAnsi="Calibri" w:cstheme="minorBidi"/>
      <w:bCs/>
      <w:sz w:val="56"/>
      <w:szCs w:val="28"/>
      <w:lang w:eastAsia="ja-JP"/>
    </w:rPr>
  </w:style>
  <w:style w:type="paragraph" w:styleId="TOC1">
    <w:name w:val="toc 1"/>
    <w:basedOn w:val="Normal"/>
    <w:next w:val="Normal"/>
    <w:uiPriority w:val="39"/>
    <w:unhideWhenUsed/>
    <w:qFormat/>
    <w:rsid w:val="00441BFD"/>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441BFD"/>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441BFD"/>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441BFD"/>
    <w:rPr>
      <w:color w:val="165788"/>
      <w:u w:val="single"/>
    </w:rPr>
  </w:style>
  <w:style w:type="paragraph" w:styleId="ListBullet">
    <w:name w:val="List Bullet"/>
    <w:basedOn w:val="Normal"/>
    <w:uiPriority w:val="99"/>
    <w:qFormat/>
    <w:rsid w:val="00CA6C9D"/>
    <w:pPr>
      <w:numPr>
        <w:numId w:val="9"/>
      </w:numPr>
      <w:spacing w:before="120" w:after="120"/>
    </w:pPr>
  </w:style>
  <w:style w:type="paragraph" w:styleId="TableofFigures">
    <w:name w:val="table of figures"/>
    <w:basedOn w:val="Normal"/>
    <w:next w:val="Normal"/>
    <w:uiPriority w:val="99"/>
    <w:rsid w:val="00441BFD"/>
    <w:pPr>
      <w:spacing w:before="120" w:after="120" w:line="240" w:lineRule="auto"/>
    </w:pPr>
  </w:style>
  <w:style w:type="paragraph" w:styleId="ListBullet2">
    <w:name w:val="List Bullet 2"/>
    <w:basedOn w:val="Normal"/>
    <w:uiPriority w:val="8"/>
    <w:qFormat/>
    <w:rsid w:val="00CA6C9D"/>
    <w:pPr>
      <w:numPr>
        <w:ilvl w:val="1"/>
        <w:numId w:val="9"/>
      </w:numPr>
      <w:spacing w:before="120" w:after="120"/>
      <w:ind w:left="908" w:hanging="454"/>
      <w:contextualSpacing/>
    </w:pPr>
  </w:style>
  <w:style w:type="paragraph" w:styleId="ListNumber">
    <w:name w:val="List Number"/>
    <w:basedOn w:val="Normal"/>
    <w:uiPriority w:val="9"/>
    <w:qFormat/>
    <w:rsid w:val="00CA6C9D"/>
    <w:pPr>
      <w:numPr>
        <w:numId w:val="10"/>
      </w:numPr>
      <w:tabs>
        <w:tab w:val="left" w:pos="142"/>
      </w:tabs>
      <w:spacing w:before="120" w:after="120"/>
      <w:ind w:left="454" w:hanging="454"/>
    </w:pPr>
  </w:style>
  <w:style w:type="paragraph" w:styleId="ListNumber2">
    <w:name w:val="List Number 2"/>
    <w:uiPriority w:val="10"/>
    <w:qFormat/>
    <w:rsid w:val="002B382C"/>
    <w:pPr>
      <w:numPr>
        <w:ilvl w:val="1"/>
        <w:numId w:val="10"/>
      </w:numPr>
      <w:spacing w:before="120" w:after="120" w:line="264" w:lineRule="auto"/>
      <w:ind w:left="908" w:hanging="454"/>
    </w:pPr>
    <w:rPr>
      <w:rFonts w:asciiTheme="minorHAnsi" w:eastAsia="Times New Roman" w:hAnsiTheme="minorHAnsi"/>
      <w:sz w:val="22"/>
      <w:szCs w:val="24"/>
      <w:lang w:eastAsia="en-US"/>
    </w:rPr>
  </w:style>
  <w:style w:type="paragraph" w:styleId="ListNumber3">
    <w:name w:val="List Number 3"/>
    <w:uiPriority w:val="11"/>
    <w:qFormat/>
    <w:rsid w:val="00CA6C9D"/>
    <w:pPr>
      <w:numPr>
        <w:ilvl w:val="2"/>
        <w:numId w:val="10"/>
      </w:numPr>
      <w:spacing w:before="120" w:after="120" w:line="264" w:lineRule="auto"/>
      <w:ind w:left="1361" w:hanging="454"/>
    </w:pPr>
    <w:rPr>
      <w:rFonts w:asciiTheme="minorHAnsi" w:eastAsia="Times New Roman" w:hAnsiTheme="minorHAnsi"/>
      <w:sz w:val="22"/>
      <w:szCs w:val="24"/>
      <w:lang w:eastAsia="en-US"/>
    </w:rPr>
  </w:style>
  <w:style w:type="table" w:customStyle="1" w:styleId="LightShading1">
    <w:name w:val="Light Shading1"/>
    <w:basedOn w:val="TableNormal"/>
    <w:uiPriority w:val="60"/>
    <w:rsid w:val="00441BFD"/>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441BFD"/>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441BFD"/>
    <w:pPr>
      <w:spacing w:before="60" w:after="60" w:line="240" w:lineRule="auto"/>
    </w:pPr>
    <w:rPr>
      <w:sz w:val="18"/>
    </w:rPr>
  </w:style>
  <w:style w:type="table" w:styleId="TableGrid1">
    <w:name w:val="Table Grid 1"/>
    <w:basedOn w:val="TableNormal"/>
    <w:uiPriority w:val="99"/>
    <w:semiHidden/>
    <w:unhideWhenUsed/>
    <w:rsid w:val="00441BF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441BFD"/>
    <w:pPr>
      <w:keepNext/>
    </w:pPr>
    <w:rPr>
      <w:b/>
    </w:rPr>
  </w:style>
  <w:style w:type="character" w:styleId="PlaceholderText">
    <w:name w:val="Placeholder Text"/>
    <w:basedOn w:val="DefaultParagraphFont"/>
    <w:uiPriority w:val="99"/>
    <w:semiHidden/>
    <w:rsid w:val="00441BFD"/>
    <w:rPr>
      <w:color w:val="808080"/>
    </w:rPr>
  </w:style>
  <w:style w:type="paragraph" w:customStyle="1" w:styleId="Author">
    <w:name w:val="Author"/>
    <w:basedOn w:val="Normal"/>
    <w:next w:val="Normal"/>
    <w:uiPriority w:val="24"/>
    <w:qFormat/>
    <w:rsid w:val="00441BFD"/>
    <w:pPr>
      <w:spacing w:after="60"/>
    </w:pPr>
    <w:rPr>
      <w:b/>
      <w:sz w:val="28"/>
      <w:szCs w:val="28"/>
    </w:rPr>
  </w:style>
  <w:style w:type="paragraph" w:customStyle="1" w:styleId="AuthorOrganisationAffiliation">
    <w:name w:val="Author Organisation/Affiliation"/>
    <w:basedOn w:val="Normal"/>
    <w:next w:val="Normal"/>
    <w:uiPriority w:val="25"/>
    <w:qFormat/>
    <w:rsid w:val="00441BFD"/>
    <w:pPr>
      <w:spacing w:after="720"/>
    </w:pPr>
  </w:style>
  <w:style w:type="character" w:styleId="Strong">
    <w:name w:val="Strong"/>
    <w:basedOn w:val="DefaultParagraphFont"/>
    <w:uiPriority w:val="22"/>
    <w:qFormat/>
    <w:rsid w:val="00441BFD"/>
    <w:rPr>
      <w:b/>
      <w:bCs/>
    </w:rPr>
  </w:style>
  <w:style w:type="paragraph" w:customStyle="1" w:styleId="Glossary">
    <w:name w:val="Glossary"/>
    <w:basedOn w:val="Normal"/>
    <w:link w:val="GlossaryChar"/>
    <w:uiPriority w:val="28"/>
    <w:semiHidden/>
    <w:locked/>
    <w:rsid w:val="00441BFD"/>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semiHidden/>
    <w:rsid w:val="00441BFD"/>
    <w:rPr>
      <w:rFonts w:asciiTheme="minorHAnsi" w:eastAsia="Calibri" w:hAnsiTheme="minorHAnsi" w:cstheme="minorBidi"/>
      <w:color w:val="000000"/>
      <w:sz w:val="22"/>
      <w:szCs w:val="22"/>
      <w:lang w:eastAsia="en-US"/>
    </w:rPr>
  </w:style>
  <w:style w:type="character" w:styleId="Emphasis">
    <w:name w:val="Emphasis"/>
    <w:basedOn w:val="DefaultParagraphFont"/>
    <w:uiPriority w:val="99"/>
    <w:qFormat/>
    <w:rsid w:val="00441BFD"/>
    <w:rPr>
      <w:i/>
      <w:iCs/>
    </w:rPr>
  </w:style>
  <w:style w:type="paragraph" w:styleId="TOAHeading">
    <w:name w:val="toa heading"/>
    <w:basedOn w:val="Heading1"/>
    <w:next w:val="Normal"/>
    <w:uiPriority w:val="99"/>
    <w:semiHidden/>
    <w:unhideWhenUsed/>
    <w:rsid w:val="00441BFD"/>
    <w:pPr>
      <w:spacing w:before="120"/>
    </w:pPr>
    <w:rPr>
      <w:bCs w:val="0"/>
      <w:sz w:val="24"/>
    </w:rPr>
  </w:style>
  <w:style w:type="paragraph" w:styleId="NormalWeb">
    <w:name w:val="Normal (Web)"/>
    <w:basedOn w:val="Normal"/>
    <w:uiPriority w:val="99"/>
    <w:semiHidden/>
    <w:unhideWhenUsed/>
    <w:rsid w:val="00441BF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D6561B"/>
    <w:pPr>
      <w:numPr>
        <w:numId w:val="7"/>
      </w:numPr>
      <w:ind w:left="357" w:hanging="357"/>
    </w:pPr>
  </w:style>
  <w:style w:type="paragraph" w:customStyle="1" w:styleId="TableBullet">
    <w:name w:val="Table Bullet"/>
    <w:basedOn w:val="TableText"/>
    <w:uiPriority w:val="15"/>
    <w:qFormat/>
    <w:rsid w:val="00ED01BB"/>
    <w:pPr>
      <w:numPr>
        <w:numId w:val="6"/>
      </w:numPr>
    </w:pPr>
  </w:style>
  <w:style w:type="paragraph" w:styleId="DocumentMap">
    <w:name w:val="Document Map"/>
    <w:basedOn w:val="Normal"/>
    <w:link w:val="DocumentMapChar"/>
    <w:uiPriority w:val="99"/>
    <w:semiHidden/>
    <w:unhideWhenUsed/>
    <w:rsid w:val="00441BF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441BFD"/>
    <w:rPr>
      <w:rFonts w:ascii="Tahoma" w:eastAsiaTheme="minorHAnsi" w:hAnsi="Tahoma" w:cs="Tahoma"/>
      <w:sz w:val="16"/>
      <w:szCs w:val="16"/>
      <w:lang w:eastAsia="en-US"/>
    </w:rPr>
  </w:style>
  <w:style w:type="paragraph" w:customStyle="1" w:styleId="BoxHeading">
    <w:name w:val="Box Heading"/>
    <w:basedOn w:val="BoxText"/>
    <w:uiPriority w:val="20"/>
    <w:qFormat/>
    <w:rsid w:val="00441BFD"/>
    <w:pPr>
      <w:spacing w:line="240" w:lineRule="auto"/>
    </w:pPr>
    <w:rPr>
      <w:b/>
    </w:rPr>
  </w:style>
  <w:style w:type="paragraph" w:customStyle="1" w:styleId="Securityclassification">
    <w:name w:val="Security classification"/>
    <w:basedOn w:val="Header"/>
    <w:next w:val="Header"/>
    <w:uiPriority w:val="26"/>
    <w:semiHidden/>
    <w:qFormat/>
    <w:rsid w:val="00441BFD"/>
    <w:pPr>
      <w:spacing w:after="0"/>
    </w:pPr>
    <w:rPr>
      <w:b/>
      <w:color w:val="FF0000"/>
      <w:sz w:val="36"/>
      <w:szCs w:val="36"/>
    </w:rPr>
  </w:style>
  <w:style w:type="paragraph" w:customStyle="1" w:styleId="DisseminationLimitingMarker">
    <w:name w:val="Dissemination Limiting Marker"/>
    <w:basedOn w:val="Header"/>
    <w:next w:val="Header"/>
    <w:uiPriority w:val="27"/>
    <w:semiHidden/>
    <w:rsid w:val="00441BFD"/>
    <w:pPr>
      <w:spacing w:after="0"/>
    </w:pPr>
    <w:rPr>
      <w:b/>
      <w:sz w:val="36"/>
      <w:szCs w:val="36"/>
    </w:rPr>
  </w:style>
  <w:style w:type="paragraph" w:styleId="FootnoteText">
    <w:name w:val="footnote text"/>
    <w:basedOn w:val="Normal"/>
    <w:link w:val="FootnoteTextChar"/>
    <w:uiPriority w:val="99"/>
    <w:unhideWhenUsed/>
    <w:rsid w:val="00441BFD"/>
    <w:pPr>
      <w:spacing w:after="60" w:line="264" w:lineRule="auto"/>
    </w:pPr>
    <w:rPr>
      <w:sz w:val="20"/>
      <w:szCs w:val="20"/>
    </w:rPr>
  </w:style>
  <w:style w:type="character" w:customStyle="1" w:styleId="FootnoteTextChar">
    <w:name w:val="Footnote Text Char"/>
    <w:basedOn w:val="DefaultParagraphFont"/>
    <w:link w:val="FootnoteText"/>
    <w:uiPriority w:val="99"/>
    <w:rsid w:val="00441BFD"/>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441BFD"/>
    <w:rPr>
      <w:vertAlign w:val="superscript"/>
    </w:rPr>
  </w:style>
  <w:style w:type="character" w:styleId="EndnoteReference">
    <w:name w:val="endnote reference"/>
    <w:basedOn w:val="DefaultParagraphFont"/>
    <w:uiPriority w:val="99"/>
    <w:semiHidden/>
    <w:unhideWhenUsed/>
    <w:rsid w:val="00441BFD"/>
    <w:rPr>
      <w:vertAlign w:val="superscript"/>
    </w:rPr>
  </w:style>
  <w:style w:type="character" w:styleId="FollowedHyperlink">
    <w:name w:val="FollowedHyperlink"/>
    <w:basedOn w:val="DefaultParagraphFont"/>
    <w:uiPriority w:val="99"/>
    <w:semiHidden/>
    <w:unhideWhenUsed/>
    <w:rsid w:val="00441BFD"/>
    <w:rPr>
      <w:color w:val="800080"/>
      <w:u w:val="single"/>
    </w:rPr>
  </w:style>
  <w:style w:type="paragraph" w:customStyle="1" w:styleId="BoxSource">
    <w:name w:val="Box Source"/>
    <w:basedOn w:val="FigureTableNoteSource"/>
    <w:uiPriority w:val="22"/>
    <w:qFormat/>
    <w:rsid w:val="00441BFD"/>
    <w:pPr>
      <w:pBdr>
        <w:top w:val="single" w:sz="4" w:space="10" w:color="auto"/>
        <w:left w:val="single" w:sz="4" w:space="10" w:color="auto"/>
        <w:bottom w:val="single" w:sz="4" w:space="10" w:color="auto"/>
        <w:right w:val="single" w:sz="4" w:space="10" w:color="auto"/>
      </w:pBdr>
    </w:pPr>
    <w:rPr>
      <w:rFonts w:asciiTheme="minorHAnsi" w:hAnsiTheme="minorHAnsi"/>
    </w:rPr>
  </w:style>
  <w:style w:type="numbering" w:customStyle="1" w:styleId="List1">
    <w:name w:val="List1"/>
    <w:basedOn w:val="NoList"/>
    <w:uiPriority w:val="99"/>
    <w:rsid w:val="00441BFD"/>
    <w:pPr>
      <w:numPr>
        <w:numId w:val="1"/>
      </w:numPr>
    </w:pPr>
  </w:style>
  <w:style w:type="paragraph" w:styleId="Title">
    <w:name w:val="Title"/>
    <w:basedOn w:val="Normal"/>
    <w:next w:val="Normal"/>
    <w:link w:val="TitleChar"/>
    <w:uiPriority w:val="10"/>
    <w:semiHidden/>
    <w:qFormat/>
    <w:rsid w:val="00441BFD"/>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441BFD"/>
    <w:rPr>
      <w:rFonts w:asciiTheme="minorHAnsi" w:eastAsiaTheme="majorEastAsia" w:hAnsiTheme="minorHAnsi" w:cstheme="majorBidi"/>
      <w:b/>
      <w:spacing w:val="5"/>
      <w:kern w:val="28"/>
      <w:sz w:val="72"/>
      <w:szCs w:val="52"/>
      <w:lang w:eastAsia="en-US"/>
    </w:rPr>
  </w:style>
  <w:style w:type="paragraph" w:customStyle="1" w:styleId="TOCHeading2">
    <w:name w:val="TOC Heading 2"/>
    <w:next w:val="Normal"/>
    <w:qFormat/>
    <w:rsid w:val="009622CD"/>
    <w:pPr>
      <w:spacing w:before="240"/>
    </w:pPr>
    <w:rPr>
      <w:rFonts w:ascii="Calibri Light" w:eastAsiaTheme="minorHAnsi" w:hAnsi="Calibri Light" w:cstheme="minorBidi"/>
      <w:b/>
      <w:sz w:val="36"/>
      <w:szCs w:val="22"/>
      <w:lang w:eastAsia="en-US"/>
    </w:rPr>
  </w:style>
  <w:style w:type="numbering" w:customStyle="1" w:styleId="Numberlist">
    <w:name w:val="Number list"/>
    <w:uiPriority w:val="99"/>
    <w:rsid w:val="00441BFD"/>
    <w:pPr>
      <w:numPr>
        <w:numId w:val="2"/>
      </w:numPr>
    </w:pPr>
  </w:style>
  <w:style w:type="numbering" w:customStyle="1" w:styleId="Headinglist">
    <w:name w:val="Heading list"/>
    <w:uiPriority w:val="99"/>
    <w:rsid w:val="00441BFD"/>
    <w:pPr>
      <w:numPr>
        <w:numId w:val="19"/>
      </w:numPr>
    </w:pPr>
  </w:style>
  <w:style w:type="paragraph" w:customStyle="1" w:styleId="Normalsmall">
    <w:name w:val="Normal small"/>
    <w:qFormat/>
    <w:rsid w:val="00441BFD"/>
    <w:pPr>
      <w:spacing w:after="120" w:line="276" w:lineRule="auto"/>
    </w:pPr>
    <w:rPr>
      <w:rFonts w:asciiTheme="minorHAnsi" w:eastAsiaTheme="minorHAnsi" w:hAnsiTheme="minorHAnsi" w:cstheme="minorBidi"/>
      <w:sz w:val="18"/>
      <w:szCs w:val="18"/>
      <w:lang w:eastAsia="en-US"/>
    </w:rPr>
  </w:style>
  <w:style w:type="paragraph" w:styleId="ListBullet3">
    <w:name w:val="List Bullet 3"/>
    <w:basedOn w:val="Normal"/>
    <w:uiPriority w:val="99"/>
    <w:semiHidden/>
    <w:rsid w:val="00441BFD"/>
    <w:pPr>
      <w:numPr>
        <w:ilvl w:val="2"/>
        <w:numId w:val="9"/>
      </w:numPr>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val="0"/>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val="0"/>
      </w:rPr>
    </w:tblStylePr>
    <w:tblStylePr w:type="firstCol">
      <w:pPr>
        <w:wordWrap/>
        <w:jc w:val="left"/>
      </w:pPr>
    </w:tblStylePr>
  </w:style>
  <w:style w:type="paragraph" w:customStyle="1" w:styleId="TableListNumber">
    <w:name w:val="Table List Number"/>
    <w:uiPriority w:val="99"/>
    <w:qFormat/>
    <w:rsid w:val="0071381A"/>
    <w:pPr>
      <w:numPr>
        <w:numId w:val="13"/>
      </w:numPr>
      <w:spacing w:before="60" w:after="60"/>
      <w:contextualSpacing/>
    </w:pPr>
    <w:rPr>
      <w:rFonts w:asciiTheme="minorHAnsi" w:eastAsia="Calibri" w:hAnsiTheme="minorHAnsi"/>
      <w:color w:val="000000" w:themeColor="text1"/>
      <w:sz w:val="18"/>
      <w:szCs w:val="22"/>
      <w:lang w:eastAsia="en-US"/>
    </w:rPr>
  </w:style>
  <w:style w:type="character" w:styleId="IntenseEmphasis">
    <w:name w:val="Intense Emphasis"/>
    <w:basedOn w:val="DefaultParagraphFont"/>
    <w:uiPriority w:val="21"/>
    <w:semiHidden/>
    <w:qFormat/>
    <w:locked/>
    <w:rsid w:val="00441BFD"/>
    <w:rPr>
      <w:i/>
      <w:iCs/>
      <w:color w:val="4F81BD" w:themeColor="accent1"/>
    </w:rPr>
  </w:style>
  <w:style w:type="paragraph" w:customStyle="1" w:styleId="TableBullet2">
    <w:name w:val="Table Bullet 2"/>
    <w:basedOn w:val="TableBullet"/>
    <w:qFormat/>
    <w:rsid w:val="00ED01BB"/>
    <w:pPr>
      <w:numPr>
        <w:numId w:val="11"/>
      </w:numPr>
      <w:tabs>
        <w:tab w:val="num" w:pos="361"/>
      </w:tabs>
      <w:ind w:left="568" w:hanging="284"/>
    </w:pPr>
  </w:style>
  <w:style w:type="numbering" w:customStyle="1" w:styleId="TableBulletlist">
    <w:name w:val="Table Bullet list"/>
    <w:uiPriority w:val="99"/>
    <w:rsid w:val="00441BFD"/>
    <w:pPr>
      <w:numPr>
        <w:numId w:val="5"/>
      </w:numPr>
    </w:pPr>
  </w:style>
  <w:style w:type="character" w:styleId="UnresolvedMention">
    <w:name w:val="Unresolved Mention"/>
    <w:basedOn w:val="DefaultParagraphFont"/>
    <w:uiPriority w:val="99"/>
    <w:semiHidden/>
    <w:unhideWhenUsed/>
    <w:rsid w:val="00441BFD"/>
    <w:rPr>
      <w:color w:val="605E5C"/>
      <w:shd w:val="clear" w:color="auto" w:fill="E1DFDD"/>
    </w:rPr>
  </w:style>
  <w:style w:type="paragraph" w:styleId="ListParagraph">
    <w:name w:val="List Paragraph"/>
    <w:basedOn w:val="Normal"/>
    <w:uiPriority w:val="34"/>
    <w:semiHidden/>
    <w:qFormat/>
    <w:rsid w:val="00441BFD"/>
    <w:pPr>
      <w:spacing w:after="0" w:line="240" w:lineRule="auto"/>
      <w:ind w:left="720"/>
    </w:pPr>
    <w:rPr>
      <w:rFonts w:ascii="Calibri" w:hAnsi="Calibri" w:cs="Calibri"/>
    </w:rPr>
  </w:style>
  <w:style w:type="character" w:customStyle="1" w:styleId="Heading6Char">
    <w:name w:val="Heading 6 Char"/>
    <w:basedOn w:val="DefaultParagraphFont"/>
    <w:link w:val="Heading6"/>
    <w:uiPriority w:val="9"/>
    <w:semiHidden/>
    <w:rsid w:val="000373C5"/>
    <w:rPr>
      <w:rFonts w:asciiTheme="minorHAnsi" w:eastAsiaTheme="majorEastAsia" w:hAnsiTheme="minorHAnsi" w:cstheme="majorBidi"/>
      <w:b/>
      <w:i/>
      <w:sz w:val="24"/>
      <w:szCs w:val="22"/>
      <w:lang w:eastAsia="en-US"/>
    </w:rPr>
  </w:style>
  <w:style w:type="paragraph" w:customStyle="1" w:styleId="TableListNumber2">
    <w:name w:val="Table List Number 2"/>
    <w:basedOn w:val="TableText"/>
    <w:qFormat/>
    <w:rsid w:val="0071381A"/>
    <w:pPr>
      <w:numPr>
        <w:ilvl w:val="1"/>
        <w:numId w:val="13"/>
      </w:numPr>
    </w:pPr>
  </w:style>
  <w:style w:type="paragraph" w:customStyle="1" w:styleId="TableListNumber3">
    <w:name w:val="Table List Number 3"/>
    <w:basedOn w:val="TableText"/>
    <w:qFormat/>
    <w:rsid w:val="0071381A"/>
    <w:pPr>
      <w:numPr>
        <w:ilvl w:val="2"/>
        <w:numId w:val="13"/>
      </w:numPr>
    </w:pPr>
  </w:style>
  <w:style w:type="numbering" w:customStyle="1" w:styleId="Tablenumberedlists">
    <w:name w:val="Table numbered lists"/>
    <w:uiPriority w:val="99"/>
    <w:rsid w:val="0071381A"/>
    <w:pPr>
      <w:numPr>
        <w:numId w:val="13"/>
      </w:numPr>
    </w:pPr>
  </w:style>
  <w:style w:type="character" w:customStyle="1" w:styleId="Heading7Char">
    <w:name w:val="Heading 7 Char"/>
    <w:basedOn w:val="DefaultParagraphFont"/>
    <w:link w:val="Heading7"/>
    <w:uiPriority w:val="9"/>
    <w:semiHidden/>
    <w:rsid w:val="00CD6120"/>
    <w:rPr>
      <w:rFonts w:ascii="Calibri" w:eastAsiaTheme="majorEastAsia" w:hAnsi="Calibri" w:cstheme="majorBidi"/>
      <w:b/>
      <w:iCs/>
      <w:sz w:val="22"/>
      <w:szCs w:val="22"/>
      <w:lang w:eastAsia="en-US"/>
    </w:rPr>
  </w:style>
  <w:style w:type="character" w:customStyle="1" w:styleId="Heading8Char">
    <w:name w:val="Heading 8 Char"/>
    <w:basedOn w:val="DefaultParagraphFont"/>
    <w:link w:val="Heading8"/>
    <w:uiPriority w:val="9"/>
    <w:semiHidden/>
    <w:rsid w:val="00D01BA5"/>
    <w:rPr>
      <w:rFonts w:ascii="Calibri" w:eastAsiaTheme="majorEastAsia" w:hAnsi="Calibri" w:cstheme="majorBidi"/>
      <w:b/>
      <w:i/>
      <w:color w:val="272727" w:themeColor="text1" w:themeTint="D8"/>
      <w:sz w:val="22"/>
      <w:szCs w:val="21"/>
      <w:lang w:eastAsia="en-US"/>
    </w:rPr>
  </w:style>
  <w:style w:type="paragraph" w:customStyle="1" w:styleId="BoxTextNumber">
    <w:name w:val="Box Text Number"/>
    <w:basedOn w:val="BoxText"/>
    <w:qFormat/>
    <w:rsid w:val="009D263F"/>
    <w:pPr>
      <w:numPr>
        <w:numId w:val="15"/>
      </w:numPr>
    </w:pPr>
  </w:style>
  <w:style w:type="numbering" w:customStyle="1" w:styleId="Headinglist1">
    <w:name w:val="Heading list1"/>
    <w:uiPriority w:val="99"/>
    <w:rsid w:val="003955E1"/>
  </w:style>
  <w:style w:type="numbering" w:customStyle="1" w:styleId="Headinglist2">
    <w:name w:val="Heading list2"/>
    <w:uiPriority w:val="99"/>
    <w:rsid w:val="0053608D"/>
  </w:style>
  <w:style w:type="numbering" w:customStyle="1" w:styleId="Headinglist3">
    <w:name w:val="Heading list3"/>
    <w:uiPriority w:val="99"/>
    <w:rsid w:val="009920DB"/>
  </w:style>
  <w:style w:type="numbering" w:customStyle="1" w:styleId="Headinglist4">
    <w:name w:val="Heading list4"/>
    <w:uiPriority w:val="99"/>
    <w:rsid w:val="008049B0"/>
  </w:style>
  <w:style w:type="numbering" w:customStyle="1" w:styleId="List11">
    <w:name w:val="List11"/>
    <w:basedOn w:val="NoList"/>
    <w:uiPriority w:val="99"/>
    <w:rsid w:val="00C22610"/>
  </w:style>
  <w:style w:type="numbering" w:customStyle="1" w:styleId="Headinglist5">
    <w:name w:val="Heading list5"/>
    <w:uiPriority w:val="99"/>
    <w:rsid w:val="00C22610"/>
  </w:style>
  <w:style w:type="numbering" w:customStyle="1" w:styleId="Headinglist6">
    <w:name w:val="Heading list6"/>
    <w:uiPriority w:val="99"/>
    <w:rsid w:val="004C292B"/>
  </w:style>
  <w:style w:type="numbering" w:customStyle="1" w:styleId="Headinglist7">
    <w:name w:val="Heading list7"/>
    <w:uiPriority w:val="99"/>
    <w:rsid w:val="00DF7DE3"/>
  </w:style>
  <w:style w:type="numbering" w:customStyle="1" w:styleId="Headinglist8">
    <w:name w:val="Heading list8"/>
    <w:uiPriority w:val="99"/>
    <w:rsid w:val="00B20F1E"/>
  </w:style>
  <w:style w:type="numbering" w:customStyle="1" w:styleId="Headinglist9">
    <w:name w:val="Heading list9"/>
    <w:uiPriority w:val="99"/>
    <w:rsid w:val="00F70CBD"/>
  </w:style>
  <w:style w:type="numbering" w:customStyle="1" w:styleId="Headinglist10">
    <w:name w:val="Heading list10"/>
    <w:uiPriority w:val="99"/>
    <w:rsid w:val="007A19C5"/>
  </w:style>
  <w:style w:type="numbering" w:customStyle="1" w:styleId="List12">
    <w:name w:val="List12"/>
    <w:basedOn w:val="NoList"/>
    <w:uiPriority w:val="99"/>
    <w:rsid w:val="00A12B41"/>
  </w:style>
  <w:style w:type="numbering" w:customStyle="1" w:styleId="Headinglist11">
    <w:name w:val="Heading list11"/>
    <w:uiPriority w:val="99"/>
    <w:rsid w:val="00596E5C"/>
  </w:style>
  <w:style w:type="numbering" w:customStyle="1" w:styleId="Headinglist12">
    <w:name w:val="Heading list12"/>
    <w:uiPriority w:val="99"/>
    <w:rsid w:val="00405861"/>
  </w:style>
  <w:style w:type="numbering" w:customStyle="1" w:styleId="Headinglist13">
    <w:name w:val="Heading list13"/>
    <w:uiPriority w:val="99"/>
    <w:rsid w:val="00C04B9E"/>
  </w:style>
  <w:style w:type="numbering" w:customStyle="1" w:styleId="Headinglist14">
    <w:name w:val="Heading list14"/>
    <w:uiPriority w:val="99"/>
    <w:rsid w:val="00A25765"/>
  </w:style>
  <w:style w:type="numbering" w:customStyle="1" w:styleId="Headinglist15">
    <w:name w:val="Heading list15"/>
    <w:uiPriority w:val="99"/>
    <w:rsid w:val="00873528"/>
  </w:style>
  <w:style w:type="paragraph" w:styleId="Revision">
    <w:name w:val="Revision"/>
    <w:hidden/>
    <w:uiPriority w:val="99"/>
    <w:semiHidden/>
    <w:rsid w:val="001C51F2"/>
    <w:rPr>
      <w:rFonts w:asciiTheme="minorHAnsi" w:eastAsiaTheme="minorHAnsi" w:hAnsiTheme="minorHAnsi" w:cstheme="minorBidi"/>
      <w:sz w:val="22"/>
      <w:szCs w:val="22"/>
      <w:lang w:eastAsia="en-US"/>
    </w:rPr>
  </w:style>
  <w:style w:type="numbering" w:customStyle="1" w:styleId="Headinglist16">
    <w:name w:val="Heading list16"/>
    <w:uiPriority w:val="99"/>
    <w:rsid w:val="009C7453"/>
  </w:style>
  <w:style w:type="paragraph" w:styleId="TOC4">
    <w:name w:val="toc 4"/>
    <w:basedOn w:val="Normal"/>
    <w:next w:val="Normal"/>
    <w:autoRedefine/>
    <w:uiPriority w:val="39"/>
    <w:rsid w:val="00B672EC"/>
    <w:pPr>
      <w:spacing w:after="100"/>
      <w:ind w:left="660"/>
    </w:pPr>
  </w:style>
  <w:style w:type="paragraph" w:styleId="TOC5">
    <w:name w:val="toc 5"/>
    <w:basedOn w:val="Normal"/>
    <w:next w:val="Normal"/>
    <w:autoRedefine/>
    <w:uiPriority w:val="39"/>
    <w:rsid w:val="00B672EC"/>
    <w:pPr>
      <w:spacing w:after="100"/>
      <w:ind w:left="880"/>
    </w:pPr>
  </w:style>
  <w:style w:type="character" w:styleId="Mention">
    <w:name w:val="Mention"/>
    <w:basedOn w:val="DefaultParagraphFont"/>
    <w:uiPriority w:val="99"/>
    <w:unhideWhenUsed/>
    <w:rsid w:val="00E55BC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577151">
      <w:bodyDiv w:val="1"/>
      <w:marLeft w:val="0"/>
      <w:marRight w:val="0"/>
      <w:marTop w:val="0"/>
      <w:marBottom w:val="0"/>
      <w:divBdr>
        <w:top w:val="none" w:sz="0" w:space="0" w:color="auto"/>
        <w:left w:val="none" w:sz="0" w:space="0" w:color="auto"/>
        <w:bottom w:val="none" w:sz="0" w:space="0" w:color="auto"/>
        <w:right w:val="none" w:sz="0" w:space="0" w:color="auto"/>
      </w:divBdr>
    </w:div>
    <w:div w:id="192767086">
      <w:bodyDiv w:val="1"/>
      <w:marLeft w:val="0"/>
      <w:marRight w:val="0"/>
      <w:marTop w:val="0"/>
      <w:marBottom w:val="0"/>
      <w:divBdr>
        <w:top w:val="none" w:sz="0" w:space="0" w:color="auto"/>
        <w:left w:val="none" w:sz="0" w:space="0" w:color="auto"/>
        <w:bottom w:val="none" w:sz="0" w:space="0" w:color="auto"/>
        <w:right w:val="none" w:sz="0" w:space="0" w:color="auto"/>
      </w:divBdr>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9400699">
      <w:bodyDiv w:val="1"/>
      <w:marLeft w:val="0"/>
      <w:marRight w:val="0"/>
      <w:marTop w:val="0"/>
      <w:marBottom w:val="0"/>
      <w:divBdr>
        <w:top w:val="none" w:sz="0" w:space="0" w:color="auto"/>
        <w:left w:val="none" w:sz="0" w:space="0" w:color="auto"/>
        <w:bottom w:val="none" w:sz="0" w:space="0" w:color="auto"/>
        <w:right w:val="none" w:sz="0" w:space="0" w:color="auto"/>
      </w:divBdr>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8021774">
      <w:bodyDiv w:val="1"/>
      <w:marLeft w:val="0"/>
      <w:marRight w:val="0"/>
      <w:marTop w:val="0"/>
      <w:marBottom w:val="0"/>
      <w:divBdr>
        <w:top w:val="none" w:sz="0" w:space="0" w:color="auto"/>
        <w:left w:val="none" w:sz="0" w:space="0" w:color="auto"/>
        <w:bottom w:val="none" w:sz="0" w:space="0" w:color="auto"/>
        <w:right w:val="none" w:sz="0" w:space="0" w:color="auto"/>
      </w:divBdr>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2351179">
      <w:bodyDiv w:val="1"/>
      <w:marLeft w:val="0"/>
      <w:marRight w:val="0"/>
      <w:marTop w:val="0"/>
      <w:marBottom w:val="0"/>
      <w:divBdr>
        <w:top w:val="none" w:sz="0" w:space="0" w:color="auto"/>
        <w:left w:val="none" w:sz="0" w:space="0" w:color="auto"/>
        <w:bottom w:val="none" w:sz="0" w:space="0" w:color="auto"/>
        <w:right w:val="none" w:sz="0" w:space="0" w:color="auto"/>
      </w:divBdr>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22909297">
      <w:bodyDiv w:val="1"/>
      <w:marLeft w:val="0"/>
      <w:marRight w:val="0"/>
      <w:marTop w:val="0"/>
      <w:marBottom w:val="0"/>
      <w:divBdr>
        <w:top w:val="none" w:sz="0" w:space="0" w:color="auto"/>
        <w:left w:val="none" w:sz="0" w:space="0" w:color="auto"/>
        <w:bottom w:val="none" w:sz="0" w:space="0" w:color="auto"/>
        <w:right w:val="none" w:sz="0" w:space="0" w:color="auto"/>
      </w:divBdr>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1415209">
      <w:bodyDiv w:val="1"/>
      <w:marLeft w:val="0"/>
      <w:marRight w:val="0"/>
      <w:marTop w:val="0"/>
      <w:marBottom w:val="0"/>
      <w:divBdr>
        <w:top w:val="none" w:sz="0" w:space="0" w:color="auto"/>
        <w:left w:val="none" w:sz="0" w:space="0" w:color="auto"/>
        <w:bottom w:val="none" w:sz="0" w:space="0" w:color="auto"/>
        <w:right w:val="none" w:sz="0" w:space="0" w:color="auto"/>
      </w:divBdr>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9366667">
      <w:bodyDiv w:val="1"/>
      <w:marLeft w:val="0"/>
      <w:marRight w:val="0"/>
      <w:marTop w:val="0"/>
      <w:marBottom w:val="0"/>
      <w:divBdr>
        <w:top w:val="none" w:sz="0" w:space="0" w:color="auto"/>
        <w:left w:val="none" w:sz="0" w:space="0" w:color="auto"/>
        <w:bottom w:val="none" w:sz="0" w:space="0" w:color="auto"/>
        <w:right w:val="none" w:sz="0" w:space="0" w:color="auto"/>
      </w:divBdr>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295255866">
      <w:bodyDiv w:val="1"/>
      <w:marLeft w:val="0"/>
      <w:marRight w:val="0"/>
      <w:marTop w:val="0"/>
      <w:marBottom w:val="0"/>
      <w:divBdr>
        <w:top w:val="none" w:sz="0" w:space="0" w:color="auto"/>
        <w:left w:val="none" w:sz="0" w:space="0" w:color="auto"/>
        <w:bottom w:val="none" w:sz="0" w:space="0" w:color="auto"/>
        <w:right w:val="none" w:sz="0" w:space="0" w:color="auto"/>
      </w:divBdr>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40739257">
      <w:bodyDiv w:val="1"/>
      <w:marLeft w:val="0"/>
      <w:marRight w:val="0"/>
      <w:marTop w:val="0"/>
      <w:marBottom w:val="0"/>
      <w:divBdr>
        <w:top w:val="none" w:sz="0" w:space="0" w:color="auto"/>
        <w:left w:val="none" w:sz="0" w:space="0" w:color="auto"/>
        <w:bottom w:val="none" w:sz="0" w:space="0" w:color="auto"/>
        <w:right w:val="none" w:sz="0" w:space="0" w:color="auto"/>
      </w:divBdr>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creativecommons.org/licenses/by/4.0/legalcode" TargetMode="External"/><Relationship Id="rId18" Type="http://schemas.openxmlformats.org/officeDocument/2006/relationships/footer" Target="footer1.xml"/><Relationship Id="rId26" Type="http://schemas.openxmlformats.org/officeDocument/2006/relationships/hyperlink" Target="https://www.legislation.gov.au/F2016L00756/latest/text" TargetMode="External"/><Relationship Id="rId39" Type="http://schemas.openxmlformats.org/officeDocument/2006/relationships/image" Target="media/image3.png"/><Relationship Id="rId21" Type="http://schemas.openxmlformats.org/officeDocument/2006/relationships/hyperlink" Target="https://www.biosecurity.gov.au/about/national-biosecurity-committee/nbs" TargetMode="External"/><Relationship Id="rId34" Type="http://schemas.openxmlformats.org/officeDocument/2006/relationships/hyperlink" Target="https://www.legislation.gov.au/C2015A00096/latest/text" TargetMode="External"/><Relationship Id="rId42" Type="http://schemas.openxmlformats.org/officeDocument/2006/relationships/header" Target="header3.xml"/><Relationship Id="rId47" Type="http://schemas.openxmlformats.org/officeDocument/2006/relationships/footer" Target="footer4.xml"/><Relationship Id="rId50" Type="http://schemas.openxmlformats.org/officeDocument/2006/relationships/hyperlink" Target="https://www.agriculture.gov.au/biosecurity/partnerships/consultative-committees" TargetMode="External"/><Relationship Id="rId55" Type="http://schemas.openxmlformats.org/officeDocument/2006/relationships/hyperlink" Target="https://www.agriculture.gov.au/about/reporting/corporate-plan" TargetMode="Externa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s://www.agriculture.gov.au/" TargetMode="External"/><Relationship Id="rId29" Type="http://schemas.openxmlformats.org/officeDocument/2006/relationships/hyperlink" Target="https://www.legislation.gov.au/Details/C2016C00674" TargetMode="External"/><Relationship Id="rId11" Type="http://schemas.openxmlformats.org/officeDocument/2006/relationships/footnotes" Target="footnotes.xml"/><Relationship Id="rId24" Type="http://schemas.openxmlformats.org/officeDocument/2006/relationships/hyperlink" Target="https://www.legislation.gov.au/C2015A00061/latest/text" TargetMode="External"/><Relationship Id="rId32" Type="http://schemas.openxmlformats.org/officeDocument/2006/relationships/hyperlink" Target="https://www.legislation.gov.au/Details/C2016C00821" TargetMode="External"/><Relationship Id="rId37" Type="http://schemas.openxmlformats.org/officeDocument/2006/relationships/hyperlink" Target="https://www.legislation.gov.au/F2015L01869/latest/text" TargetMode="External"/><Relationship Id="rId40" Type="http://schemas.openxmlformats.org/officeDocument/2006/relationships/image" Target="media/image4.png"/><Relationship Id="rId45" Type="http://schemas.openxmlformats.org/officeDocument/2006/relationships/footer" Target="footer3.xml"/><Relationship Id="rId53" Type="http://schemas.openxmlformats.org/officeDocument/2006/relationships/hyperlink" Target="https://www.agriculture.gov.au/about/reporting/annual-report" TargetMode="External"/><Relationship Id="rId58" Type="http://schemas.openxmlformats.org/officeDocument/2006/relationships/hyperlink" Target="https://www.abs.gov.au/statistics/economy/national-accounts/australian-national-accounts-national-income-expenditure-and-product/sep-2024" TargetMode="External"/><Relationship Id="rId5" Type="http://schemas.openxmlformats.org/officeDocument/2006/relationships/customXml" Target="../customXml/item5.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png"/><Relationship Id="rId22" Type="http://schemas.openxmlformats.org/officeDocument/2006/relationships/hyperlink" Target="https://www.legislation.gov.au/C2015A00061/latest/text" TargetMode="External"/><Relationship Id="rId27" Type="http://schemas.openxmlformats.org/officeDocument/2006/relationships/hyperlink" Target="https://www.legislation.gov.au/F2019L01006/latest/text" TargetMode="External"/><Relationship Id="rId30" Type="http://schemas.openxmlformats.org/officeDocument/2006/relationships/hyperlink" Target="https://www.legislation.gov.au/Details/C2016C00676" TargetMode="External"/><Relationship Id="rId35" Type="http://schemas.openxmlformats.org/officeDocument/2006/relationships/hyperlink" Target="https://www.legislation.gov.au/F2016L00723/latest/text" TargetMode="External"/><Relationship Id="rId43" Type="http://schemas.openxmlformats.org/officeDocument/2006/relationships/header" Target="header4.xml"/><Relationship Id="rId48" Type="http://schemas.openxmlformats.org/officeDocument/2006/relationships/hyperlink" Target="https://www.abs.gov.au/statistics/economy/price-indexes-and-inflation/consumer-price-index-australia/latest-release" TargetMode="External"/><Relationship Id="rId56" Type="http://schemas.openxmlformats.org/officeDocument/2006/relationships/hyperlink" Target="https://www.abs.gov.au/statistics/economy/price-indexes-and-inflation/consumer-price-index-australia/latest-release" TargetMode="External"/><Relationship Id="rId8" Type="http://schemas.openxmlformats.org/officeDocument/2006/relationships/styles" Target="styles.xml"/><Relationship Id="rId51" Type="http://schemas.openxmlformats.org/officeDocument/2006/relationships/hyperlink" Target="mailto:BioCRIS@aff.gov.au"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hyperlink" Target="https://www.legislation.gov.au/C2004A04512/latest/text" TargetMode="External"/><Relationship Id="rId33" Type="http://schemas.openxmlformats.org/officeDocument/2006/relationships/hyperlink" Target="https://www.legislation.gov.au/Details/C2016C00823" TargetMode="External"/><Relationship Id="rId38" Type="http://schemas.openxmlformats.org/officeDocument/2006/relationships/hyperlink" Target="https://www.legislation.gov.au/F2015L01866/latest/text" TargetMode="External"/><Relationship Id="rId46" Type="http://schemas.openxmlformats.org/officeDocument/2006/relationships/header" Target="header5.xml"/><Relationship Id="rId59" Type="http://schemas.openxmlformats.org/officeDocument/2006/relationships/fontTable" Target="fontTable.xml"/><Relationship Id="rId20" Type="http://schemas.openxmlformats.org/officeDocument/2006/relationships/hyperlink" Target="https://www.agriculture.gov.au/biosecurity-trade/policy/biosecurity-2030-roadmap" TargetMode="External"/><Relationship Id="rId41" Type="http://schemas.openxmlformats.org/officeDocument/2006/relationships/hyperlink" Target="https://www.finance.gov.au/government/managing-commonwealth-resources/implementing-charging-framework-rmg-302/australian-government-charging-policy" TargetMode="External"/><Relationship Id="rId54" Type="http://schemas.openxmlformats.org/officeDocument/2006/relationships/hyperlink" Target="https://www.agriculture.gov.au/about/reporting/corporate-plan"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https://www.agriculture.gov.au/about/fees/biosecurity-cris" TargetMode="External"/><Relationship Id="rId23" Type="http://schemas.openxmlformats.org/officeDocument/2006/relationships/hyperlink" Target="https://www.legislation.gov.au/C2004A04512/latest/text" TargetMode="External"/><Relationship Id="rId28" Type="http://schemas.openxmlformats.org/officeDocument/2006/relationships/hyperlink" Target="https://www.legislation.gov.au/Details/C2016C00675" TargetMode="External"/><Relationship Id="rId36" Type="http://schemas.openxmlformats.org/officeDocument/2006/relationships/hyperlink" Target="https://www.legislation.gov.au/F2016L00727/latest/text" TargetMode="External"/><Relationship Id="rId49" Type="http://schemas.openxmlformats.org/officeDocument/2006/relationships/hyperlink" Target="https://www.agriculture.gov.au/about/fees/biosecurity-cris" TargetMode="External"/><Relationship Id="rId57" Type="http://schemas.openxmlformats.org/officeDocument/2006/relationships/hyperlink" Target="https://www.agriculture.gov.au/about/reporting/budget" TargetMode="External"/><Relationship Id="rId10" Type="http://schemas.openxmlformats.org/officeDocument/2006/relationships/webSettings" Target="webSettings.xml"/><Relationship Id="rId31" Type="http://schemas.openxmlformats.org/officeDocument/2006/relationships/hyperlink" Target="https://www.legislation.gov.au/Details/C2016C00819" TargetMode="External"/><Relationship Id="rId44" Type="http://schemas.openxmlformats.org/officeDocument/2006/relationships/footer" Target="footer2.xml"/><Relationship Id="rId52" Type="http://schemas.openxmlformats.org/officeDocument/2006/relationships/hyperlink" Target="https://www.finance.gov.au/government/managing-commonwealth-resources/planning-and-reporting/commonwealth-performance-framework" TargetMode="External"/><Relationship Id="rId6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5.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https://deptagriculture.sharepoint.com/OfficeTemplates/Print%20and%20web%20content/Report_template_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of934ccb37d6451ba60cdb89c1817167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of934ccb37d6451ba60cdb89c1817167>
    <Security_x0020_Classification xmlns="a334ba3b-e131-42d3-95f3-2728f5a41884">OFFICIAL</Security_x0020_Classification>
    <lcf76f155ced4ddcb4097134ff3c332f xmlns="f9afac67-ad4e-477e-a6b2-e834d240f12a">
      <Terms xmlns="http://schemas.microsoft.com/office/infopath/2007/PartnerControls"/>
    </lcf76f155ced4ddcb4097134ff3c332f>
    <Original_x0020_Date_x0020_Created xmlns="a334ba3b-e131-42d3-95f3-2728f5a41884" xsi:nil="true"/>
    <TaxCatchAll xmlns="a334ba3b-e131-42d3-95f3-2728f5a41884">
      <Value>25</Value>
      <Value>2</Value>
      <Value>1</Value>
    </TaxCatchAll>
    <e0fcb3f570964638902a63147cd98219 xmlns="a334ba3b-e131-42d3-95f3-2728f5a41884">
      <Terms xmlns="http://schemas.microsoft.com/office/infopath/2007/PartnerControls">
        <TermInfo xmlns="http://schemas.microsoft.com/office/infopath/2007/PartnerControls">
          <TermName xmlns="http://schemas.microsoft.com/office/infopath/2007/PartnerControls">Charging Policy</TermName>
          <TermId xmlns="http://schemas.microsoft.com/office/infopath/2007/PartnerControls">cbcf5b89-4aab-4c5d-ba02-041c19cdb5b1</TermId>
        </TermInfo>
      </Terms>
    </e0fcb3f570964638902a63147cd98219>
    <_ip_UnifiedCompliancePolicyProperties xmlns="http://schemas.microsoft.com/sharepoint/v3" xsi:nil="true"/>
    <TaxKeywordTaxHTField xmlns="a334ba3b-e131-42d3-95f3-2728f5a41884">
      <Terms xmlns="http://schemas.microsoft.com/office/infopath/2007/PartnerControls"/>
    </TaxKeywordTaxHTField>
    <lf395e0388bc45bfb8642f07b9d090f4 xmlns="a334ba3b-e131-42d3-95f3-2728f5a41884">
      <Terms xmlns="http://schemas.microsoft.com/office/infopath/2007/PartnerControls"/>
    </lf395e0388bc45bfb8642f07b9d090f4>
    <f0888ba7078d4a1bac90b097c1ed0fad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f0888ba7078d4a1bac90b097c1ed0fad>
    <_dlc_DocId xmlns="6a7e9632-768a-49bf-85ac-c69233ab2a52">FIN33521-1552707537-14870</_dlc_DocId>
    <_dlc_DocIdUrl xmlns="6a7e9632-768a-49bf-85ac-c69233ab2a52">
      <Url>https://financegovau.sharepoint.com/sites/M365_DoF_50033521/_layouts/15/DocIdRedir.aspx?ID=FIN33521-1552707537-14870</Url>
      <Description>FIN33521-1552707537-14870</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Finance Document" ma:contentTypeID="0x010100B7B479F47583304BA8B631462CC772D70005B38B9AD9C0B1408AB99B2B827F7B2E" ma:contentTypeVersion="33" ma:contentTypeDescription="Create a new document." ma:contentTypeScope="" ma:versionID="3e5ccee47301e54fccf841d12074207e">
  <xsd:schema xmlns:xsd="http://www.w3.org/2001/XMLSchema" xmlns:xs="http://www.w3.org/2001/XMLSchema" xmlns:p="http://schemas.microsoft.com/office/2006/metadata/properties" xmlns:ns1="http://schemas.microsoft.com/sharepoint/v3" xmlns:ns2="a334ba3b-e131-42d3-95f3-2728f5a41884" xmlns:ns3="6a7e9632-768a-49bf-85ac-c69233ab2a52" xmlns:ns4="f9afac67-ad4e-477e-a6b2-e834d240f12a" targetNamespace="http://schemas.microsoft.com/office/2006/metadata/properties" ma:root="true" ma:fieldsID="fab149df01bfce78dee5ac7aeeb9a347" ns1:_="" ns2:_="" ns3:_="" ns4:_="">
    <xsd:import namespace="http://schemas.microsoft.com/sharepoint/v3"/>
    <xsd:import namespace="a334ba3b-e131-42d3-95f3-2728f5a41884"/>
    <xsd:import namespace="6a7e9632-768a-49bf-85ac-c69233ab2a52"/>
    <xsd:import namespace="f9afac67-ad4e-477e-a6b2-e834d240f12a"/>
    <xsd:element name="properties">
      <xsd:complexType>
        <xsd:sequence>
          <xsd:element name="documentManagement">
            <xsd:complexType>
              <xsd:all>
                <xsd:element ref="ns2:Security_x0020_Classification" minOccurs="0"/>
                <xsd:element ref="ns2:Original_x0020_Date_x0020_Created" minOccurs="0"/>
                <xsd:element ref="ns2:TaxCatchAllLabel" minOccurs="0"/>
                <xsd:element ref="ns2:e0fcb3f570964638902a63147cd98219" minOccurs="0"/>
                <xsd:element ref="ns2:f0888ba7078d4a1bac90b097c1ed0fad" minOccurs="0"/>
                <xsd:element ref="ns2:of934ccb37d6451ba60cdb89c1817167" minOccurs="0"/>
                <xsd:element ref="ns2:TaxKeywordTaxHTField" minOccurs="0"/>
                <xsd:element ref="ns2:lf395e0388bc45bfb8642f07b9d090f4" minOccurs="0"/>
                <xsd:element ref="ns2:TaxCatchAll" minOccurs="0"/>
                <xsd:element ref="ns3:SharedWithDetails" minOccurs="0"/>
                <xsd:element ref="ns4:MediaServiceMetadata" minOccurs="0"/>
                <xsd:element ref="ns4:MediaServiceFastMetadata" minOccurs="0"/>
                <xsd:element ref="ns4:MediaServiceDateTaken" minOccurs="0"/>
                <xsd:element ref="ns4:MediaLengthInSeconds" minOccurs="0"/>
                <xsd:element ref="ns4:lcf76f155ced4ddcb4097134ff3c332f" minOccurs="0"/>
                <xsd:element ref="ns4:MediaServiceGenerationTime" minOccurs="0"/>
                <xsd:element ref="ns4:MediaServiceEventHashCode" minOccurs="0"/>
                <xsd:element ref="ns4:MediaServiceOCR" minOccurs="0"/>
                <xsd:element ref="ns3:SharedWithUsers" minOccurs="0"/>
                <xsd:element ref="ns3:_dlc_DocId" minOccurs="0"/>
                <xsd:element ref="ns3:_dlc_DocIdUrl" minOccurs="0"/>
                <xsd:element ref="ns3:_dlc_DocIdPersistId" minOccurs="0"/>
                <xsd:element ref="ns4:MediaServiceObjectDetectorVersions" minOccurs="0"/>
                <xsd:element ref="ns1:_ip_UnifiedCompliancePolicyProperties" minOccurs="0"/>
                <xsd:element ref="ns1:_ip_UnifiedCompliancePolicyUIAction" minOccurs="0"/>
                <xsd:element ref="ns4:MediaServiceSearchProperties" minOccurs="0"/>
                <xsd:element ref="ns4: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7" nillable="true" ma:displayName="Unified Compliance Policy Properties" ma:hidden="true" ma:internalName="_ip_UnifiedCompliancePolicyProperties">
      <xsd:simpleType>
        <xsd:restriction base="dms:Note"/>
      </xsd:simpleType>
    </xsd:element>
    <xsd:element name="_ip_UnifiedCompliancePolicyUIAction" ma:index="3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34ba3b-e131-42d3-95f3-2728f5a41884" elementFormDefault="qualified">
    <xsd:import namespace="http://schemas.microsoft.com/office/2006/documentManagement/types"/>
    <xsd:import namespace="http://schemas.microsoft.com/office/infopath/2007/PartnerControls"/>
    <xsd:element name="Security_x0020_Classification" ma:index="3" nillable="true" ma:displayName="Security Classification" ma:default="OFFICIAL" ma:format="Dropdown" ma:hidden="true" ma:internalName="Security_x0020_Classification" ma:readOnly="false">
      <xsd:simpleType>
        <xsd:union memberTypes="dms:Text">
          <xsd:simpleType>
            <xsd:restriction base="dms:Choice">
              <xsd:enumeration value="UNOFFICIAL"/>
              <xsd:enumeration value="OFFICIAL"/>
              <xsd:enumeration value="OFFICIAL:Sensitive"/>
              <xsd:enumeration value="OFFICIAL:Sensitive, Personal-Privacy"/>
              <xsd:enumeration value="OFFICIAL:Sensitive, Legal-Privilege"/>
              <xsd:enumeration value="OFFICIAL:Sensitive, Legislative-Secrecy"/>
              <xsd:enumeration value="OFFICIAL:Sensitive, SH:National-Cabinet"/>
              <xsd:enumeration value="OFFICIAL:Sensitive, SH:National-Cabinet, Personal-Privacy"/>
              <xsd:enumeration value="OFFICIAL:Sensitive, SH:National-Cabinet, Legislative-Secrecy"/>
              <xsd:enumeration value="OFFICIAL:Sensitive, SH:National-Cabinet, Legal-Privilege"/>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enumeration value="PROTECTED:CABINET"/>
            </xsd:restriction>
          </xsd:simpleType>
        </xsd:union>
      </xsd:simpleType>
    </xsd:element>
    <xsd:element name="Original_x0020_Date_x0020_Created" ma:index="8" nillable="true" ma:displayName="Original Date Created" ma:default="" ma:format="DateOnly" ma:internalName="Original_x0020_Date_x0020_Created">
      <xsd:simpleType>
        <xsd:restriction base="dms:DateTime"/>
      </xsd:simpleType>
    </xsd:element>
    <xsd:element name="TaxCatchAllLabel" ma:index="9" nillable="true" ma:displayName="Taxonomy Catch All Column1" ma:hidden="true" ma:list="{9eea89ee-b1b2-4a6f-a5d3-0d5d3da7d5fb}" ma:internalName="TaxCatchAllLabel" ma:readOnly="true" ma:showField="CatchAllDataLabel" ma:web="6a7e9632-768a-49bf-85ac-c69233ab2a52">
      <xsd:complexType>
        <xsd:complexContent>
          <xsd:extension base="dms:MultiChoiceLookup">
            <xsd:sequence>
              <xsd:element name="Value" type="dms:Lookup" maxOccurs="unbounded" minOccurs="0" nillable="true"/>
            </xsd:sequence>
          </xsd:extension>
        </xsd:complexContent>
      </xsd:complexType>
    </xsd:element>
    <xsd:element name="e0fcb3f570964638902a63147cd98219" ma:index="11" nillable="true" ma:taxonomy="true" ma:internalName="e0fcb3f570964638902a63147cd98219" ma:taxonomyFieldName="Organisation_x0020_Unit" ma:displayName="Organisation Unit" ma:default="2;#Charging Policy|cbcf5b89-4aab-4c5d-ba02-041c19cdb5b1" ma:fieldId="{e0fcb3f5-7096-4638-902a-63147cd98219}" ma:sspId="c4b2c377-c74f-46b8-b62e-9cefa93d8fc8" ma:termSetId="642ac736-c0d1-48cf-939c-a81b0e893448" ma:anchorId="00000000-0000-0000-0000-000000000000" ma:open="false" ma:isKeyword="false">
      <xsd:complexType>
        <xsd:sequence>
          <xsd:element ref="pc:Terms" minOccurs="0" maxOccurs="1"/>
        </xsd:sequence>
      </xsd:complexType>
    </xsd:element>
    <xsd:element name="f0888ba7078d4a1bac90b097c1ed0fad" ma:index="13" nillable="true" ma:taxonomy="true" ma:internalName="f0888ba7078d4a1bac90b097c1ed0fad" ma:taxonomyFieldName="Initiating_x0020_Entity" ma:displayName="Initiating Entity" ma:default="1;#Department of Finance|fd660e8f-8f31-49bd-92a3-d31d4da31afe" ma:fieldId="{f0888ba7-078d-4a1b-ac90-b097c1ed0fad}"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of934ccb37d6451ba60cdb89c1817167" ma:index="15" nillable="true" ma:taxonomy="true" ma:internalName="of934ccb37d6451ba60cdb89c1817167" ma:taxonomyFieldName="About_x0020_Entity" ma:displayName="About Entity" ma:default="1;#Department of Finance|fd660e8f-8f31-49bd-92a3-d31d4da31afe" ma:fieldId="{8f934ccb-37d6-451b-a60c-db89c1817167}"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TaxKeywordTaxHTField" ma:index="17" nillable="true" ma:taxonomy="true" ma:internalName="TaxKeywordTaxHTField" ma:taxonomyFieldName="TaxKeyword" ma:displayName="Enterprise Keywords" ma:fieldId="{23f27201-bee3-471e-b2e7-b64fd8b7ca38}" ma:taxonomyMulti="true" ma:sspId="c4b2c377-c74f-46b8-b62e-9cefa93d8fc8" ma:termSetId="00000000-0000-0000-0000-000000000000" ma:anchorId="00000000-0000-0000-0000-000000000000" ma:open="true" ma:isKeyword="true">
      <xsd:complexType>
        <xsd:sequence>
          <xsd:element ref="pc:Terms" minOccurs="0" maxOccurs="1"/>
        </xsd:sequence>
      </xsd:complexType>
    </xsd:element>
    <xsd:element name="lf395e0388bc45bfb8642f07b9d090f4" ma:index="20" nillable="true" ma:taxonomy="true" ma:internalName="lf395e0388bc45bfb8642f07b9d090f4" ma:taxonomyFieldName="Function_x0020_and_x0020_Activity" ma:displayName="Function and Activity" ma:default="" ma:fieldId="{5f395e03-88bc-45bf-b864-2f07b9d090f4}" ma:sspId="c4b2c377-c74f-46b8-b62e-9cefa93d8fc8" ma:termSetId="d6a09c5b-e950-47cc-8e6b-7e27719f9f0b"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9eea89ee-b1b2-4a6f-a5d3-0d5d3da7d5fb}" ma:internalName="TaxCatchAll" ma:showField="CatchAllData" ma:web="6a7e9632-768a-49bf-85ac-c69233ab2a5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a7e9632-768a-49bf-85ac-c69233ab2a52" elementFormDefault="qualified">
    <xsd:import namespace="http://schemas.microsoft.com/office/2006/documentManagement/types"/>
    <xsd:import namespace="http://schemas.microsoft.com/office/infopath/2007/PartnerControls"/>
    <xsd:element name="SharedWithDetails" ma:index="22" nillable="true" ma:displayName="Shared With Details" ma:internalName="SharedWithDetails" ma:readOnly="true">
      <xsd:simpleType>
        <xsd:restriction base="dms:Note">
          <xsd:maxLength value="255"/>
        </xsd:restrictio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33" nillable="true" ma:displayName="Document ID Value" ma:description="The value of the document ID assigned to this item." ma:indexed="true" ma:internalName="_dlc_DocId" ma:readOnly="true">
      <xsd:simpleType>
        <xsd:restriction base="dms:Text"/>
      </xsd:simpleType>
    </xsd:element>
    <xsd:element name="_dlc_DocIdUrl" ma:index="3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5"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9afac67-ad4e-477e-a6b2-e834d240f12a" elementFormDefault="qualified">
    <xsd:import namespace="http://schemas.microsoft.com/office/2006/documentManagement/types"/>
    <xsd:import namespace="http://schemas.microsoft.com/office/infopath/2007/PartnerControls"/>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MediaServiceDateTaken" ma:index="25" nillable="true" ma:displayName="MediaServiceDateTaken" ma:hidden="true" ma:indexed="true" ma:internalName="MediaServiceDateTaken"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c4b2c377-c74f-46b8-b62e-9cefa93d8fc8" ma:termSetId="09814cd3-568e-fe90-9814-8d621ff8fb84" ma:anchorId="fba54fb3-c3e1-fe81-a776-ca4b69148c4d" ma:open="true" ma:isKeyword="false">
      <xsd:complexType>
        <xsd:sequence>
          <xsd:element ref="pc:Terms" minOccurs="0" maxOccurs="1"/>
        </xsd:sequence>
      </xsd:complex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ObjectDetectorVersions" ma:index="36" nillable="true" ma:displayName="MediaServiceObjectDetectorVersions"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ServiceBillingMetadata" ma:index="40"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HarvardAGPS.XSL" StyleName="Harvard - AGP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c4b2c377-c74f-46b8-b62e-9cefa93d8fc8" ContentTypeId="0x010100B7B479F47583304BA8B631462CC772D7" PreviousValue="true"/>
</file>

<file path=customXml/itemProps1.xml><?xml version="1.0" encoding="utf-8"?>
<ds:datastoreItem xmlns:ds="http://schemas.openxmlformats.org/officeDocument/2006/customXml" ds:itemID="{9D1CAD33-3B39-4665-A5E6-666D035120E9}">
  <ds:schemaRefs>
    <ds:schemaRef ds:uri="http://schemas.microsoft.com/sharepoint/v3"/>
    <ds:schemaRef ds:uri="http://purl.org/dc/terms/"/>
    <ds:schemaRef ds:uri="http://schemas.microsoft.com/office/2006/documentManagement/types"/>
    <ds:schemaRef ds:uri="f9afac67-ad4e-477e-a6b2-e834d240f12a"/>
    <ds:schemaRef ds:uri="http://purl.org/dc/dcmitype/"/>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6a7e9632-768a-49bf-85ac-c69233ab2a52"/>
    <ds:schemaRef ds:uri="a334ba3b-e131-42d3-95f3-2728f5a41884"/>
    <ds:schemaRef ds:uri="http://www.w3.org/XML/1998/namespace"/>
  </ds:schemaRefs>
</ds:datastoreItem>
</file>

<file path=customXml/itemProps2.xml><?xml version="1.0" encoding="utf-8"?>
<ds:datastoreItem xmlns:ds="http://schemas.openxmlformats.org/officeDocument/2006/customXml" ds:itemID="{49F30B1A-5A3F-4984-8C40-B14612F991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334ba3b-e131-42d3-95f3-2728f5a41884"/>
    <ds:schemaRef ds:uri="6a7e9632-768a-49bf-85ac-c69233ab2a52"/>
    <ds:schemaRef ds:uri="f9afac67-ad4e-477e-a6b2-e834d240f1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DEDD9B-2A9B-49C9-B274-737FCC3913CD}">
  <ds:schemaRefs>
    <ds:schemaRef ds:uri="http://schemas.openxmlformats.org/officeDocument/2006/bibliography"/>
  </ds:schemaRefs>
</ds:datastoreItem>
</file>

<file path=customXml/itemProps4.xml><?xml version="1.0" encoding="utf-8"?>
<ds:datastoreItem xmlns:ds="http://schemas.openxmlformats.org/officeDocument/2006/customXml" ds:itemID="{5882822D-E5C6-48E0-817F-83B4D3E6C732}">
  <ds:schemaRefs>
    <ds:schemaRef ds:uri="http://schemas.microsoft.com/sharepoint/events"/>
  </ds:schemaRefs>
</ds:datastoreItem>
</file>

<file path=customXml/itemProps5.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6.xml><?xml version="1.0" encoding="utf-8"?>
<ds:datastoreItem xmlns:ds="http://schemas.openxmlformats.org/officeDocument/2006/customXml" ds:itemID="{E3244C21-7AD8-48FB-B281-AA12BBF9BCE5}">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Report_template_1</Template>
  <TotalTime>1009</TotalTime>
  <Pages>39</Pages>
  <Words>11726</Words>
  <Characters>66840</Characters>
  <Application>Microsoft Office Word</Application>
  <DocSecurity>0</DocSecurity>
  <Lines>557</Lines>
  <Paragraphs>156</Paragraphs>
  <ScaleCrop>false</ScaleCrop>
  <HeadingPairs>
    <vt:vector size="2" baseType="variant">
      <vt:variant>
        <vt:lpstr>Title</vt:lpstr>
      </vt:variant>
      <vt:variant>
        <vt:i4>1</vt:i4>
      </vt:variant>
    </vt:vector>
  </HeadingPairs>
  <TitlesOfParts>
    <vt:vector size="1" baseType="lpstr">
      <vt:lpstr>Biosecurity cost recovery implementation statement 2025–26</vt:lpstr>
    </vt:vector>
  </TitlesOfParts>
  <Company/>
  <LinksUpToDate>false</LinksUpToDate>
  <CharactersWithSpaces>78410</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Biosecurity cost recovery implementation statement 2025–26</dc:title>
  <dc:subject/>
  <dc:creator>Department of Agriculture, Fisheries and Forestry</dc:creator>
  <cp:keywords/>
  <dc:description/>
  <cp:lastModifiedBy>Payne, Leanne</cp:lastModifiedBy>
  <cp:revision>9</cp:revision>
  <cp:lastPrinted>2022-11-17T23:20:00Z</cp:lastPrinted>
  <dcterms:created xsi:type="dcterms:W3CDTF">2025-06-10T08:05:00Z</dcterms:created>
  <dcterms:modified xsi:type="dcterms:W3CDTF">2025-06-20T00:11:00Z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608e1b88,7444fd5b,75fc0370,12adc790,4af551bd</vt:lpwstr>
  </property>
  <property fmtid="{D5CDD505-2E9C-101B-9397-08002B2CF9AE}" pid="3" name="ClassificationContentMarkingHeaderFontProps">
    <vt:lpwstr>#ff0000,12,Calibri</vt:lpwstr>
  </property>
  <property fmtid="{D5CDD505-2E9C-101B-9397-08002B2CF9AE}" pid="4" name="ClassificationContentMarkingHeaderText">
    <vt:lpwstr>OFFICIAL</vt:lpwstr>
  </property>
  <property fmtid="{D5CDD505-2E9C-101B-9397-08002B2CF9AE}" pid="5" name="ClassificationContentMarkingFooterShapeIds">
    <vt:lpwstr>8d70cd,f055d4a,5a99da05,77ad2429,3cb13c64</vt:lpwstr>
  </property>
  <property fmtid="{D5CDD505-2E9C-101B-9397-08002B2CF9AE}" pid="6" name="ClassificationContentMarkingFooterFontProps">
    <vt:lpwstr>#ff0000,12,Calibri</vt:lpwstr>
  </property>
  <property fmtid="{D5CDD505-2E9C-101B-9397-08002B2CF9AE}" pid="7" name="ClassificationContentMarkingFooterText">
    <vt:lpwstr>OFFICIAL</vt:lpwstr>
  </property>
  <property fmtid="{D5CDD505-2E9C-101B-9397-08002B2CF9AE}" pid="8" name="MSIP_Label_933d8be6-3c40-4052-87a2-9c2adcba8759_Enabled">
    <vt:lpwstr>true</vt:lpwstr>
  </property>
  <property fmtid="{D5CDD505-2E9C-101B-9397-08002B2CF9AE}" pid="9" name="MSIP_Label_933d8be6-3c40-4052-87a2-9c2adcba8759_SetDate">
    <vt:lpwstr>2024-07-12T05:27:22Z</vt:lpwstr>
  </property>
  <property fmtid="{D5CDD505-2E9C-101B-9397-08002B2CF9AE}" pid="10" name="MSIP_Label_933d8be6-3c40-4052-87a2-9c2adcba8759_Method">
    <vt:lpwstr>Privileged</vt:lpwstr>
  </property>
  <property fmtid="{D5CDD505-2E9C-101B-9397-08002B2CF9AE}" pid="11" name="MSIP_Label_933d8be6-3c40-4052-87a2-9c2adcba8759_Name">
    <vt:lpwstr>OFFICIAL</vt:lpwstr>
  </property>
  <property fmtid="{D5CDD505-2E9C-101B-9397-08002B2CF9AE}" pid="12" name="MSIP_Label_933d8be6-3c40-4052-87a2-9c2adcba8759_SiteId">
    <vt:lpwstr>2be67eb7-400c-4b3f-a5a1-1258c0da0696</vt:lpwstr>
  </property>
  <property fmtid="{D5CDD505-2E9C-101B-9397-08002B2CF9AE}" pid="13" name="MSIP_Label_933d8be6-3c40-4052-87a2-9c2adcba8759_ActionId">
    <vt:lpwstr>99b1a1e8-51bf-4650-b895-c4c5a219e14e</vt:lpwstr>
  </property>
  <property fmtid="{D5CDD505-2E9C-101B-9397-08002B2CF9AE}" pid="14" name="MSIP_Label_933d8be6-3c40-4052-87a2-9c2adcba8759_ContentBits">
    <vt:lpwstr>3</vt:lpwstr>
  </property>
  <property fmtid="{D5CDD505-2E9C-101B-9397-08002B2CF9AE}" pid="15" name="PM_SecurityClassification">
    <vt:lpwstr>OFFICIAL</vt:lpwstr>
  </property>
  <property fmtid="{D5CDD505-2E9C-101B-9397-08002B2CF9AE}" pid="16" name="PM_Namespace">
    <vt:lpwstr>gov.au</vt:lpwstr>
  </property>
  <property fmtid="{D5CDD505-2E9C-101B-9397-08002B2CF9AE}" pid="17" name="PM_Caveats_Count">
    <vt:lpwstr>0</vt:lpwstr>
  </property>
  <property fmtid="{D5CDD505-2E9C-101B-9397-08002B2CF9AE}" pid="18" name="PM_ProtectiveMarkingImage_Header">
    <vt:lpwstr>C:\Program Files\Common Files\janusNET Shared\janusSEAL\Images\DocumentSlashBlue.png</vt:lpwstr>
  </property>
  <property fmtid="{D5CDD505-2E9C-101B-9397-08002B2CF9AE}" pid="19" name="PM_Version">
    <vt:lpwstr>2018.4</vt:lpwstr>
  </property>
  <property fmtid="{D5CDD505-2E9C-101B-9397-08002B2CF9AE}" pid="20" name="PMHMAC">
    <vt:lpwstr>v=2022.1;a=SHA256;h=7927B6EC8717828DCDC3F9F620CE7A90581D2407FE5060D1D830B7878C4796FC</vt:lpwstr>
  </property>
  <property fmtid="{D5CDD505-2E9C-101B-9397-08002B2CF9AE}" pid="21" name="PM_Qualifier">
    <vt:lpwstr/>
  </property>
  <property fmtid="{D5CDD505-2E9C-101B-9397-08002B2CF9AE}" pid="22" name="PM_ProtectiveMarkingValue_Header">
    <vt:lpwstr>OFFICIAL</vt:lpwstr>
  </property>
  <property fmtid="{D5CDD505-2E9C-101B-9397-08002B2CF9AE}" pid="23" name="PM_OriginationTimeStamp">
    <vt:lpwstr>2025-04-29T03:35:34Z</vt:lpwstr>
  </property>
  <property fmtid="{D5CDD505-2E9C-101B-9397-08002B2CF9AE}" pid="24" name="PM_Note">
    <vt:lpwstr/>
  </property>
  <property fmtid="{D5CDD505-2E9C-101B-9397-08002B2CF9AE}" pid="25" name="PM_Markers">
    <vt:lpwstr/>
  </property>
  <property fmtid="{D5CDD505-2E9C-101B-9397-08002B2CF9AE}" pid="26" name="MSIP_Label_87d6481e-ccdd-4ab6-8b26-05a0df5699e7_Name">
    <vt:lpwstr>OFFICIAL</vt:lpwstr>
  </property>
  <property fmtid="{D5CDD505-2E9C-101B-9397-08002B2CF9AE}" pid="27" name="MSIP_Label_87d6481e-ccdd-4ab6-8b26-05a0df5699e7_SiteId">
    <vt:lpwstr>08954cee-4782-4ff6-9ad5-1997dccef4b0</vt:lpwstr>
  </property>
  <property fmtid="{D5CDD505-2E9C-101B-9397-08002B2CF9AE}" pid="28" name="MSIP_Label_87d6481e-ccdd-4ab6-8b26-05a0df5699e7_Enabled">
    <vt:lpwstr>true</vt:lpwstr>
  </property>
  <property fmtid="{D5CDD505-2E9C-101B-9397-08002B2CF9AE}" pid="29" name="PM_OriginatorUserAccountName_SHA256">
    <vt:lpwstr>9C0D0B09893BE2EAB6117FA692AAD5A3EB0EA40417C488F466CB44683ABC8F58</vt:lpwstr>
  </property>
  <property fmtid="{D5CDD505-2E9C-101B-9397-08002B2CF9AE}" pid="30" name="MSIP_Label_87d6481e-ccdd-4ab6-8b26-05a0df5699e7_SetDate">
    <vt:lpwstr>2025-04-29T03:35:34Z</vt:lpwstr>
  </property>
  <property fmtid="{D5CDD505-2E9C-101B-9397-08002B2CF9AE}" pid="31" name="MSIP_Label_87d6481e-ccdd-4ab6-8b26-05a0df5699e7_Method">
    <vt:lpwstr>Privileged</vt:lpwstr>
  </property>
  <property fmtid="{D5CDD505-2E9C-101B-9397-08002B2CF9AE}" pid="32" name="MSIP_Label_87d6481e-ccdd-4ab6-8b26-05a0df5699e7_ContentBits">
    <vt:lpwstr>0</vt:lpwstr>
  </property>
  <property fmtid="{D5CDD505-2E9C-101B-9397-08002B2CF9AE}" pid="33" name="MSIP_Label_87d6481e-ccdd-4ab6-8b26-05a0df5699e7_ActionId">
    <vt:lpwstr>5bc91dff199b4c67863a41f2f2cd0335</vt:lpwstr>
  </property>
  <property fmtid="{D5CDD505-2E9C-101B-9397-08002B2CF9AE}" pid="34" name="PM_InsertionValue">
    <vt:lpwstr>OFFICIAL</vt:lpwstr>
  </property>
  <property fmtid="{D5CDD505-2E9C-101B-9397-08002B2CF9AE}" pid="35" name="PM_Originator_Hash_SHA1">
    <vt:lpwstr>2A0C81B6CA320C7166B4B190F3F85A0BB222FF98</vt:lpwstr>
  </property>
  <property fmtid="{D5CDD505-2E9C-101B-9397-08002B2CF9AE}" pid="36" name="PM_DisplayValueSecClassificationWithQualifier">
    <vt:lpwstr>OFFICIAL</vt:lpwstr>
  </property>
  <property fmtid="{D5CDD505-2E9C-101B-9397-08002B2CF9AE}" pid="37" name="PM_Originating_FileId">
    <vt:lpwstr>5F0D9DE8C20D4F4499161F786A64911B</vt:lpwstr>
  </property>
  <property fmtid="{D5CDD505-2E9C-101B-9397-08002B2CF9AE}" pid="38" name="PM_ProtectiveMarkingValue_Footer">
    <vt:lpwstr>OFFICIAL</vt:lpwstr>
  </property>
  <property fmtid="{D5CDD505-2E9C-101B-9397-08002B2CF9AE}" pid="39" name="PM_ProtectiveMarkingImage_Footer">
    <vt:lpwstr>C:\Program Files\Common Files\janusNET Shared\janusSEAL\Images\DocumentSlashBlue.png</vt:lpwstr>
  </property>
  <property fmtid="{D5CDD505-2E9C-101B-9397-08002B2CF9AE}" pid="40" name="PM_Display">
    <vt:lpwstr>OFFICIAL</vt:lpwstr>
  </property>
  <property fmtid="{D5CDD505-2E9C-101B-9397-08002B2CF9AE}" pid="41" name="PM_OriginatorDomainName_SHA256">
    <vt:lpwstr>325440F6CA31C4C3BCE4433552DC42928CAAD3E2731ABE35FDE729ECEB763AF0</vt:lpwstr>
  </property>
  <property fmtid="{D5CDD505-2E9C-101B-9397-08002B2CF9AE}" pid="42" name="PMUuid">
    <vt:lpwstr>v=2022.2;d=gov.au;g=46DD6D7C-8107-577B-BC6E-F348953B2E44</vt:lpwstr>
  </property>
  <property fmtid="{D5CDD505-2E9C-101B-9397-08002B2CF9AE}" pid="43" name="PM_Hash_Version">
    <vt:lpwstr>2022.1</vt:lpwstr>
  </property>
  <property fmtid="{D5CDD505-2E9C-101B-9397-08002B2CF9AE}" pid="44" name="PM_Hash_Salt_Prev">
    <vt:lpwstr>C2279EDC6A0C94449791D2DA7DC79AAD</vt:lpwstr>
  </property>
  <property fmtid="{D5CDD505-2E9C-101B-9397-08002B2CF9AE}" pid="45" name="PM_Hash_Salt">
    <vt:lpwstr>31960859B35A673E47227239B764F85A</vt:lpwstr>
  </property>
  <property fmtid="{D5CDD505-2E9C-101B-9397-08002B2CF9AE}" pid="46" name="PM_Hash_SHA1">
    <vt:lpwstr>70C3CA407AF81CCBCDA0D8088276EBB79C19EF7F</vt:lpwstr>
  </property>
  <property fmtid="{D5CDD505-2E9C-101B-9397-08002B2CF9AE}" pid="47" name="ContentTypeId">
    <vt:lpwstr>0x010100B7B479F47583304BA8B631462CC772D70005B38B9AD9C0B1408AB99B2B827F7B2E</vt:lpwstr>
  </property>
  <property fmtid="{D5CDD505-2E9C-101B-9397-08002B2CF9AE}" pid="48" name="TaxKeyword">
    <vt:lpwstr>25;#[SEC=OFFICIAL]|07351cc0-de73-4913-be2f-56f124cbf8bb</vt:lpwstr>
  </property>
  <property fmtid="{D5CDD505-2E9C-101B-9397-08002B2CF9AE}" pid="49" name="MediaServiceImageTags">
    <vt:lpwstr/>
  </property>
  <property fmtid="{D5CDD505-2E9C-101B-9397-08002B2CF9AE}" pid="50" name="About_x0020_Entity">
    <vt:lpwstr>1;#Department of Finance|fd660e8f-8f31-49bd-92a3-d31d4da31afe</vt:lpwstr>
  </property>
  <property fmtid="{D5CDD505-2E9C-101B-9397-08002B2CF9AE}" pid="51" name="Organisation Unit">
    <vt:lpwstr>2;#Charging Policy|cbcf5b89-4aab-4c5d-ba02-041c19cdb5b1</vt:lpwstr>
  </property>
  <property fmtid="{D5CDD505-2E9C-101B-9397-08002B2CF9AE}" pid="52" name="Function_x0020_and_x0020_Activity">
    <vt:lpwstr/>
  </property>
  <property fmtid="{D5CDD505-2E9C-101B-9397-08002B2CF9AE}" pid="53" name="About Entity">
    <vt:lpwstr>1;#Department of Finance|fd660e8f-8f31-49bd-92a3-d31d4da31afe</vt:lpwstr>
  </property>
  <property fmtid="{D5CDD505-2E9C-101B-9397-08002B2CF9AE}" pid="54" name="Initiating Entity">
    <vt:lpwstr>1;#Department of Finance|fd660e8f-8f31-49bd-92a3-d31d4da31afe</vt:lpwstr>
  </property>
  <property fmtid="{D5CDD505-2E9C-101B-9397-08002B2CF9AE}" pid="55" name="Function and Activity">
    <vt:lpwstr/>
  </property>
  <property fmtid="{D5CDD505-2E9C-101B-9397-08002B2CF9AE}" pid="56" name="Initiating_x0020_Entity">
    <vt:lpwstr>1;#Department of Finance|fd660e8f-8f31-49bd-92a3-d31d4da31afe</vt:lpwstr>
  </property>
  <property fmtid="{D5CDD505-2E9C-101B-9397-08002B2CF9AE}" pid="57" name="Organisation_x0020_Unit">
    <vt:lpwstr>2;#Charging Policy|cbcf5b89-4aab-4c5d-ba02-041c19cdb5b1</vt:lpwstr>
  </property>
  <property fmtid="{D5CDD505-2E9C-101B-9397-08002B2CF9AE}" pid="58" name="_dlc_DocIdItemGuid">
    <vt:lpwstr>d50473bf-62a2-4aea-be04-134d4386585c</vt:lpwstr>
  </property>
</Properties>
</file>