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C98" w:rsidRDefault="005F192D">
      <w:pPr>
        <w:pStyle w:val="Heading1"/>
      </w:pPr>
      <w:r>
        <w:t>Cost recovery implementation statement: biosecurity 2019–20</w:t>
      </w:r>
    </w:p>
    <w:p w:rsidR="009B4C98" w:rsidRDefault="005F192D">
      <w:pPr>
        <w:pStyle w:val="Picture"/>
      </w:pPr>
      <w:r>
        <w:rPr>
          <w:b/>
          <w:i/>
          <w:color w:val="000000"/>
          <w:sz w:val="24"/>
          <w:szCs w:val="24"/>
        </w:rPr>
        <w:drawing>
          <wp:inline distT="0" distB="0" distL="0" distR="0" wp14:anchorId="20365CAC" wp14:editId="608DE9DB">
            <wp:extent cx="5759450" cy="5627913"/>
            <wp:effectExtent l="0" t="0" r="0" b="0"/>
            <wp:docPr id="7" name="image6.jpg"/>
            <wp:cNvGraphicFramePr/>
            <a:graphic xmlns:a="http://schemas.openxmlformats.org/drawingml/2006/main">
              <a:graphicData uri="http://schemas.openxmlformats.org/drawingml/2006/picture">
                <pic:pic xmlns:pic="http://schemas.openxmlformats.org/drawingml/2006/picture">
                  <pic:nvPicPr>
                    <pic:cNvPr id="0" name="image6.jpg" descr="Department of Agriculture and Water Resources"/>
                    <pic:cNvPicPr preferRelativeResize="0"/>
                  </pic:nvPicPr>
                  <pic:blipFill>
                    <a:blip r:embed="rId11"/>
                    <a:srcRect/>
                    <a:stretch>
                      <a:fillRect/>
                    </a:stretch>
                  </pic:blipFill>
                  <pic:spPr>
                    <a:xfrm>
                      <a:off x="0" y="0"/>
                      <a:ext cx="5759450" cy="5627913"/>
                    </a:xfrm>
                    <a:prstGeom prst="rect">
                      <a:avLst/>
                    </a:prstGeom>
                    <a:ln/>
                  </pic:spPr>
                </pic:pic>
              </a:graphicData>
            </a:graphic>
          </wp:inline>
        </w:drawing>
      </w:r>
    </w:p>
    <w:p w:rsidR="009B4C98" w:rsidRDefault="005F192D">
      <w:pPr>
        <w:pStyle w:val="Normalsmall"/>
      </w:pPr>
      <w:r>
        <w:br w:type="page"/>
      </w:r>
      <w:r>
        <w:lastRenderedPageBreak/>
        <w:t>© Commonwealth of Australia 2019</w:t>
      </w:r>
    </w:p>
    <w:p w:rsidR="009B4C98" w:rsidRDefault="005F192D">
      <w:pPr>
        <w:pStyle w:val="Normalsmall"/>
        <w:rPr>
          <w:rStyle w:val="Strong"/>
        </w:rPr>
      </w:pPr>
      <w:r>
        <w:rPr>
          <w:rStyle w:val="Strong"/>
        </w:rPr>
        <w:t>Ownership of intellectual property rights</w:t>
      </w:r>
    </w:p>
    <w:p w:rsidR="009B4C98" w:rsidRDefault="005F192D">
      <w:pPr>
        <w:pStyle w:val="Normalsmall"/>
      </w:pPr>
      <w:r>
        <w:t>Unless otherwise noted, copyright (and any other intellectual property rights) in this publication is owned by the Commonwealth of Australia (referred to as the Commonwealth).</w:t>
      </w:r>
    </w:p>
    <w:p w:rsidR="009B4C98" w:rsidRDefault="005F192D">
      <w:pPr>
        <w:pStyle w:val="Normalsmall"/>
        <w:rPr>
          <w:rStyle w:val="Strong"/>
        </w:rPr>
      </w:pPr>
      <w:proofErr w:type="gramStart"/>
      <w:r>
        <w:rPr>
          <w:rStyle w:val="Strong"/>
        </w:rPr>
        <w:t>Creative Commons</w:t>
      </w:r>
      <w:proofErr w:type="gramEnd"/>
      <w:r>
        <w:rPr>
          <w:rStyle w:val="Strong"/>
        </w:rPr>
        <w:t xml:space="preserve"> licence</w:t>
      </w:r>
    </w:p>
    <w:p w:rsidR="009B4C98" w:rsidRDefault="005F192D">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rsidR="009B4C98" w:rsidRDefault="005F192D">
      <w:pPr>
        <w:pStyle w:val="Normalsmall"/>
      </w:pPr>
      <w:r>
        <w:t xml:space="preserve">Inquiries about the licence and any use of this document </w:t>
      </w:r>
      <w:proofErr w:type="gramStart"/>
      <w:r>
        <w:t>should be emailed</w:t>
      </w:r>
      <w:proofErr w:type="gramEnd"/>
      <w:r>
        <w:t xml:space="preserve"> to </w:t>
      </w:r>
      <w:hyperlink r:id="rId13" w:history="1">
        <w:r>
          <w:rPr>
            <w:rStyle w:val="Hyperlink"/>
          </w:rPr>
          <w:t>copyright@agriculture.gov.au</w:t>
        </w:r>
      </w:hyperlink>
      <w:r>
        <w:t>.</w:t>
      </w:r>
    </w:p>
    <w:p w:rsidR="009B4C98" w:rsidRDefault="005F192D">
      <w:pPr>
        <w:pStyle w:val="Normalsmall"/>
      </w:pPr>
      <w:r>
        <w:rPr>
          <w:noProof/>
          <w:lang w:eastAsia="en-AU"/>
        </w:rPr>
        <w:drawing>
          <wp:inline distT="0" distB="0" distL="0" distR="0" wp14:anchorId="3F515950" wp14:editId="2EDC3B57">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rsidR="009B4C98" w:rsidRDefault="005F192D">
      <w:pPr>
        <w:pStyle w:val="Normalsmall"/>
        <w:rPr>
          <w:rStyle w:val="Strong"/>
        </w:rPr>
      </w:pPr>
      <w:r>
        <w:rPr>
          <w:rStyle w:val="Strong"/>
        </w:rPr>
        <w:t>Cataloguing data</w:t>
      </w:r>
    </w:p>
    <w:p w:rsidR="009B4C98" w:rsidRDefault="005F192D">
      <w:pPr>
        <w:pStyle w:val="Normalsmall"/>
      </w:pPr>
      <w:r>
        <w:t xml:space="preserve">This publication (and any material sourced from it) should be attributed </w:t>
      </w:r>
      <w:proofErr w:type="gramStart"/>
      <w:r>
        <w:t>as:</w:t>
      </w:r>
      <w:proofErr w:type="gramEnd"/>
      <w:r>
        <w:t xml:space="preserve"> Department of Agriculture 2019, </w:t>
      </w:r>
      <w:r w:rsidRPr="00037F97">
        <w:rPr>
          <w:rStyle w:val="Emphasis"/>
        </w:rPr>
        <w:t>Cost recovery implementation statement: biosecurity</w:t>
      </w:r>
      <w:r>
        <w:rPr>
          <w:i/>
        </w:rPr>
        <w:t xml:space="preserve"> 2019–20</w:t>
      </w:r>
      <w:r w:rsidR="00983BE2">
        <w:t>, Canberra, December</w:t>
      </w:r>
      <w:r>
        <w:t>. CC BY 4.0.</w:t>
      </w:r>
    </w:p>
    <w:p w:rsidR="009B4C98" w:rsidRDefault="005F192D">
      <w:pPr>
        <w:pStyle w:val="Normalsmall"/>
      </w:pPr>
      <w:r>
        <w:t>ISBN 978-1-76003-248-7</w:t>
      </w:r>
    </w:p>
    <w:p w:rsidR="009B4C98" w:rsidRDefault="005F192D">
      <w:pPr>
        <w:pStyle w:val="Normalsmall"/>
        <w:rPr>
          <w:rStyle w:val="Hyperlink"/>
        </w:rPr>
      </w:pPr>
      <w:r>
        <w:t xml:space="preserve">This publication is available at </w:t>
      </w:r>
      <w:hyperlink r:id="rId15" w:history="1">
        <w:r w:rsidR="00382606" w:rsidRPr="00C70CB9">
          <w:rPr>
            <w:rStyle w:val="Hyperlink"/>
          </w:rPr>
          <w:t>www.agriculture.gov.au/fees/cost-recovery/biosecurity-cris</w:t>
        </w:r>
      </w:hyperlink>
    </w:p>
    <w:p w:rsidR="009B4C98" w:rsidRDefault="005F192D">
      <w:pPr>
        <w:pStyle w:val="Normalsmall"/>
        <w:spacing w:after="0"/>
      </w:pPr>
      <w:r>
        <w:t>Department of Agriculture</w:t>
      </w:r>
    </w:p>
    <w:p w:rsidR="009B4C98" w:rsidRDefault="005F192D">
      <w:pPr>
        <w:pStyle w:val="Normalsmall"/>
        <w:spacing w:after="0"/>
      </w:pPr>
      <w:r>
        <w:t>GPO Box 858 Canberra ACT 2601</w:t>
      </w:r>
    </w:p>
    <w:p w:rsidR="009B4C98" w:rsidRDefault="005F192D">
      <w:pPr>
        <w:pStyle w:val="Normalsmall"/>
        <w:spacing w:after="0"/>
      </w:pPr>
      <w:r>
        <w:t>Telephone 1800 900 090</w:t>
      </w:r>
    </w:p>
    <w:p w:rsidR="009B4C98" w:rsidRDefault="005F192D">
      <w:pPr>
        <w:pStyle w:val="Normalsmall"/>
      </w:pPr>
      <w:r>
        <w:t xml:space="preserve">Web </w:t>
      </w:r>
      <w:hyperlink r:id="rId16" w:history="1">
        <w:r>
          <w:rPr>
            <w:rStyle w:val="Hyperlink"/>
          </w:rPr>
          <w:t>agriculture.gov.au</w:t>
        </w:r>
      </w:hyperlink>
    </w:p>
    <w:p w:rsidR="009B4C98" w:rsidRDefault="005F192D">
      <w:pPr>
        <w:pStyle w:val="Normalsmall"/>
      </w:pPr>
      <w:r>
        <w:t>The Australian Government acting through the Department of Agriculture has exercised due care and skill in preparing and compiling the information and data in this publication. Notwithstanding, the Department of Agriculture,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rsidR="009B4C98" w:rsidRDefault="005F192D">
      <w:pPr>
        <w:spacing w:after="0" w:line="240" w:lineRule="auto"/>
        <w:rPr>
          <w:lang w:eastAsia="ja-JP"/>
        </w:rPr>
      </w:pPr>
      <w:r>
        <w:rPr>
          <w:lang w:eastAsia="ja-JP"/>
        </w:rPr>
        <w:br w:type="page"/>
      </w:r>
    </w:p>
    <w:sdt>
      <w:sdtPr>
        <w:rPr>
          <w:rFonts w:ascii="Cambria" w:eastAsiaTheme="minorHAnsi" w:hAnsi="Cambria"/>
          <w:bCs w:val="0"/>
          <w:color w:val="auto"/>
          <w:sz w:val="22"/>
          <w:szCs w:val="22"/>
          <w:lang w:eastAsia="en-US"/>
        </w:rPr>
        <w:id w:val="-312957171"/>
        <w:docPartObj>
          <w:docPartGallery w:val="Table of Contents"/>
          <w:docPartUnique/>
        </w:docPartObj>
      </w:sdtPr>
      <w:sdtEndPr>
        <w:rPr>
          <w:b/>
          <w:noProof/>
        </w:rPr>
      </w:sdtEndPr>
      <w:sdtContent>
        <w:p w:rsidR="009B4C98" w:rsidRDefault="005F192D">
          <w:pPr>
            <w:pStyle w:val="TOCHeading"/>
          </w:pPr>
          <w:r>
            <w:t>Contents</w:t>
          </w:r>
        </w:p>
        <w:p w:rsidR="004D5B87" w:rsidRDefault="005F192D">
          <w:pPr>
            <w:pStyle w:val="TOC1"/>
            <w:rPr>
              <w:rFonts w:asciiTheme="minorHAnsi" w:eastAsiaTheme="minorEastAsia" w:hAnsiTheme="minorHAnsi"/>
              <w:b w:val="0"/>
              <w:lang w:eastAsia="en-AU"/>
            </w:rPr>
          </w:pPr>
          <w:r>
            <w:rPr>
              <w:b w:val="0"/>
              <w:bCs/>
            </w:rPr>
            <w:fldChar w:fldCharType="begin"/>
          </w:r>
          <w:r>
            <w:rPr>
              <w:b w:val="0"/>
              <w:bCs/>
            </w:rPr>
            <w:instrText xml:space="preserve"> TOC \h \z \t "Heading 2,1,Heading 3,2,TOA Heading,1" </w:instrText>
          </w:r>
          <w:r>
            <w:rPr>
              <w:b w:val="0"/>
              <w:bCs/>
            </w:rPr>
            <w:fldChar w:fldCharType="separate"/>
          </w:r>
          <w:hyperlink w:anchor="_Toc26363633" w:history="1">
            <w:r w:rsidR="004D5B87" w:rsidRPr="00EE5974">
              <w:rPr>
                <w:rStyle w:val="Hyperlink"/>
              </w:rPr>
              <w:t>1</w:t>
            </w:r>
            <w:r w:rsidR="004D5B87">
              <w:rPr>
                <w:rFonts w:asciiTheme="minorHAnsi" w:eastAsiaTheme="minorEastAsia" w:hAnsiTheme="minorHAnsi"/>
                <w:b w:val="0"/>
                <w:lang w:eastAsia="en-AU"/>
              </w:rPr>
              <w:tab/>
            </w:r>
            <w:r w:rsidR="004D5B87" w:rsidRPr="00EE5974">
              <w:rPr>
                <w:rStyle w:val="Hyperlink"/>
              </w:rPr>
              <w:t>Introduction</w:t>
            </w:r>
            <w:r w:rsidR="004D5B87">
              <w:rPr>
                <w:webHidden/>
              </w:rPr>
              <w:tab/>
            </w:r>
            <w:r w:rsidR="004D5B87">
              <w:rPr>
                <w:webHidden/>
              </w:rPr>
              <w:fldChar w:fldCharType="begin"/>
            </w:r>
            <w:r w:rsidR="004D5B87">
              <w:rPr>
                <w:webHidden/>
              </w:rPr>
              <w:instrText xml:space="preserve"> PAGEREF _Toc26363633 \h </w:instrText>
            </w:r>
            <w:r w:rsidR="004D5B87">
              <w:rPr>
                <w:webHidden/>
              </w:rPr>
            </w:r>
            <w:r w:rsidR="004D5B87">
              <w:rPr>
                <w:webHidden/>
              </w:rPr>
              <w:fldChar w:fldCharType="separate"/>
            </w:r>
            <w:r w:rsidR="006962CE">
              <w:rPr>
                <w:webHidden/>
              </w:rPr>
              <w:t>5</w:t>
            </w:r>
            <w:r w:rsidR="004D5B87">
              <w:rPr>
                <w:webHidden/>
              </w:rPr>
              <w:fldChar w:fldCharType="end"/>
            </w:r>
          </w:hyperlink>
        </w:p>
        <w:p w:rsidR="004D5B87" w:rsidRDefault="006962CE">
          <w:pPr>
            <w:pStyle w:val="TOC2"/>
            <w:tabs>
              <w:tab w:val="left" w:pos="1100"/>
            </w:tabs>
            <w:rPr>
              <w:rFonts w:asciiTheme="minorHAnsi" w:eastAsiaTheme="minorEastAsia" w:hAnsiTheme="minorHAnsi"/>
              <w:lang w:eastAsia="en-AU"/>
            </w:rPr>
          </w:pPr>
          <w:hyperlink w:anchor="_Toc26363634" w:history="1">
            <w:r w:rsidR="004D5B87" w:rsidRPr="00EE5974">
              <w:rPr>
                <w:rStyle w:val="Hyperlink"/>
              </w:rPr>
              <w:t>1.1</w:t>
            </w:r>
            <w:r w:rsidR="004D5B87">
              <w:rPr>
                <w:rFonts w:asciiTheme="minorHAnsi" w:eastAsiaTheme="minorEastAsia" w:hAnsiTheme="minorHAnsi"/>
                <w:lang w:eastAsia="en-AU"/>
              </w:rPr>
              <w:tab/>
            </w:r>
            <w:r w:rsidR="004D5B87" w:rsidRPr="00EE5974">
              <w:rPr>
                <w:rStyle w:val="Hyperlink"/>
              </w:rPr>
              <w:t>Purpose of the cost recovery implementation statement</w:t>
            </w:r>
            <w:r w:rsidR="004D5B87">
              <w:rPr>
                <w:webHidden/>
              </w:rPr>
              <w:tab/>
            </w:r>
            <w:r w:rsidR="004D5B87">
              <w:rPr>
                <w:webHidden/>
              </w:rPr>
              <w:fldChar w:fldCharType="begin"/>
            </w:r>
            <w:r w:rsidR="004D5B87">
              <w:rPr>
                <w:webHidden/>
              </w:rPr>
              <w:instrText xml:space="preserve"> PAGEREF _Toc26363634 \h </w:instrText>
            </w:r>
            <w:r w:rsidR="004D5B87">
              <w:rPr>
                <w:webHidden/>
              </w:rPr>
            </w:r>
            <w:r w:rsidR="004D5B87">
              <w:rPr>
                <w:webHidden/>
              </w:rPr>
              <w:fldChar w:fldCharType="separate"/>
            </w:r>
            <w:r>
              <w:rPr>
                <w:webHidden/>
              </w:rPr>
              <w:t>5</w:t>
            </w:r>
            <w:r w:rsidR="004D5B87">
              <w:rPr>
                <w:webHidden/>
              </w:rPr>
              <w:fldChar w:fldCharType="end"/>
            </w:r>
          </w:hyperlink>
        </w:p>
        <w:p w:rsidR="004D5B87" w:rsidRDefault="006962CE">
          <w:pPr>
            <w:pStyle w:val="TOC2"/>
            <w:tabs>
              <w:tab w:val="left" w:pos="1100"/>
            </w:tabs>
            <w:rPr>
              <w:rFonts w:asciiTheme="minorHAnsi" w:eastAsiaTheme="minorEastAsia" w:hAnsiTheme="minorHAnsi"/>
              <w:lang w:eastAsia="en-AU"/>
            </w:rPr>
          </w:pPr>
          <w:hyperlink w:anchor="_Toc26363635" w:history="1">
            <w:r w:rsidR="004D5B87" w:rsidRPr="00EE5974">
              <w:rPr>
                <w:rStyle w:val="Hyperlink"/>
              </w:rPr>
              <w:t>1.2</w:t>
            </w:r>
            <w:r w:rsidR="004D5B87">
              <w:rPr>
                <w:rFonts w:asciiTheme="minorHAnsi" w:eastAsiaTheme="minorEastAsia" w:hAnsiTheme="minorHAnsi"/>
                <w:lang w:eastAsia="en-AU"/>
              </w:rPr>
              <w:tab/>
            </w:r>
            <w:r w:rsidR="004D5B87" w:rsidRPr="00EE5974">
              <w:rPr>
                <w:rStyle w:val="Hyperlink"/>
              </w:rPr>
              <w:t>Description of regulatory activities</w:t>
            </w:r>
            <w:r w:rsidR="004D5B87">
              <w:rPr>
                <w:webHidden/>
              </w:rPr>
              <w:tab/>
            </w:r>
            <w:r w:rsidR="004D5B87">
              <w:rPr>
                <w:webHidden/>
              </w:rPr>
              <w:fldChar w:fldCharType="begin"/>
            </w:r>
            <w:r w:rsidR="004D5B87">
              <w:rPr>
                <w:webHidden/>
              </w:rPr>
              <w:instrText xml:space="preserve"> PAGEREF _Toc26363635 \h </w:instrText>
            </w:r>
            <w:r w:rsidR="004D5B87">
              <w:rPr>
                <w:webHidden/>
              </w:rPr>
            </w:r>
            <w:r w:rsidR="004D5B87">
              <w:rPr>
                <w:webHidden/>
              </w:rPr>
              <w:fldChar w:fldCharType="separate"/>
            </w:r>
            <w:r>
              <w:rPr>
                <w:webHidden/>
              </w:rPr>
              <w:t>5</w:t>
            </w:r>
            <w:r w:rsidR="004D5B87">
              <w:rPr>
                <w:webHidden/>
              </w:rPr>
              <w:fldChar w:fldCharType="end"/>
            </w:r>
          </w:hyperlink>
        </w:p>
        <w:p w:rsidR="004D5B87" w:rsidRDefault="006962CE">
          <w:pPr>
            <w:pStyle w:val="TOC2"/>
            <w:tabs>
              <w:tab w:val="left" w:pos="1100"/>
            </w:tabs>
            <w:rPr>
              <w:rFonts w:asciiTheme="minorHAnsi" w:eastAsiaTheme="minorEastAsia" w:hAnsiTheme="minorHAnsi"/>
              <w:lang w:eastAsia="en-AU"/>
            </w:rPr>
          </w:pPr>
          <w:hyperlink w:anchor="_Toc26363636" w:history="1">
            <w:r w:rsidR="004D5B87" w:rsidRPr="00EE5974">
              <w:rPr>
                <w:rStyle w:val="Hyperlink"/>
              </w:rPr>
              <w:t>1.3</w:t>
            </w:r>
            <w:r w:rsidR="004D5B87">
              <w:rPr>
                <w:rFonts w:asciiTheme="minorHAnsi" w:eastAsiaTheme="minorEastAsia" w:hAnsiTheme="minorHAnsi"/>
                <w:lang w:eastAsia="en-AU"/>
              </w:rPr>
              <w:tab/>
            </w:r>
            <w:r w:rsidR="004D5B87" w:rsidRPr="00EE5974">
              <w:rPr>
                <w:rStyle w:val="Hyperlink"/>
              </w:rPr>
              <w:t>Why cost recovery is appropriate</w:t>
            </w:r>
            <w:r w:rsidR="004D5B87">
              <w:rPr>
                <w:webHidden/>
              </w:rPr>
              <w:tab/>
            </w:r>
            <w:r w:rsidR="004D5B87">
              <w:rPr>
                <w:webHidden/>
              </w:rPr>
              <w:fldChar w:fldCharType="begin"/>
            </w:r>
            <w:r w:rsidR="004D5B87">
              <w:rPr>
                <w:webHidden/>
              </w:rPr>
              <w:instrText xml:space="preserve"> PAGEREF _Toc26363636 \h </w:instrText>
            </w:r>
            <w:r w:rsidR="004D5B87">
              <w:rPr>
                <w:webHidden/>
              </w:rPr>
            </w:r>
            <w:r w:rsidR="004D5B87">
              <w:rPr>
                <w:webHidden/>
              </w:rPr>
              <w:fldChar w:fldCharType="separate"/>
            </w:r>
            <w:r>
              <w:rPr>
                <w:webHidden/>
              </w:rPr>
              <w:t>6</w:t>
            </w:r>
            <w:r w:rsidR="004D5B87">
              <w:rPr>
                <w:webHidden/>
              </w:rPr>
              <w:fldChar w:fldCharType="end"/>
            </w:r>
          </w:hyperlink>
        </w:p>
        <w:p w:rsidR="004D5B87" w:rsidRDefault="006962CE">
          <w:pPr>
            <w:pStyle w:val="TOC1"/>
            <w:rPr>
              <w:rFonts w:asciiTheme="minorHAnsi" w:eastAsiaTheme="minorEastAsia" w:hAnsiTheme="minorHAnsi"/>
              <w:b w:val="0"/>
              <w:lang w:eastAsia="en-AU"/>
            </w:rPr>
          </w:pPr>
          <w:hyperlink w:anchor="_Toc26363637" w:history="1">
            <w:r w:rsidR="004D5B87" w:rsidRPr="00EE5974">
              <w:rPr>
                <w:rStyle w:val="Hyperlink"/>
              </w:rPr>
              <w:t>2</w:t>
            </w:r>
            <w:r w:rsidR="004D5B87">
              <w:rPr>
                <w:rFonts w:asciiTheme="minorHAnsi" w:eastAsiaTheme="minorEastAsia" w:hAnsiTheme="minorHAnsi"/>
                <w:b w:val="0"/>
                <w:lang w:eastAsia="en-AU"/>
              </w:rPr>
              <w:tab/>
            </w:r>
            <w:r w:rsidR="004D5B87" w:rsidRPr="00EE5974">
              <w:rPr>
                <w:rStyle w:val="Hyperlink"/>
              </w:rPr>
              <w:t>Policy and statutory authority to cost recover</w:t>
            </w:r>
            <w:r w:rsidR="004D5B87">
              <w:rPr>
                <w:webHidden/>
              </w:rPr>
              <w:tab/>
            </w:r>
            <w:r w:rsidR="004D5B87">
              <w:rPr>
                <w:webHidden/>
              </w:rPr>
              <w:fldChar w:fldCharType="begin"/>
            </w:r>
            <w:r w:rsidR="004D5B87">
              <w:rPr>
                <w:webHidden/>
              </w:rPr>
              <w:instrText xml:space="preserve"> PAGEREF _Toc26363637 \h </w:instrText>
            </w:r>
            <w:r w:rsidR="004D5B87">
              <w:rPr>
                <w:webHidden/>
              </w:rPr>
            </w:r>
            <w:r w:rsidR="004D5B87">
              <w:rPr>
                <w:webHidden/>
              </w:rPr>
              <w:fldChar w:fldCharType="separate"/>
            </w:r>
            <w:r>
              <w:rPr>
                <w:webHidden/>
              </w:rPr>
              <w:t>7</w:t>
            </w:r>
            <w:r w:rsidR="004D5B87">
              <w:rPr>
                <w:webHidden/>
              </w:rPr>
              <w:fldChar w:fldCharType="end"/>
            </w:r>
          </w:hyperlink>
        </w:p>
        <w:p w:rsidR="004D5B87" w:rsidRDefault="006962CE">
          <w:pPr>
            <w:pStyle w:val="TOC2"/>
            <w:tabs>
              <w:tab w:val="left" w:pos="1100"/>
            </w:tabs>
            <w:rPr>
              <w:rFonts w:asciiTheme="minorHAnsi" w:eastAsiaTheme="minorEastAsia" w:hAnsiTheme="minorHAnsi"/>
              <w:lang w:eastAsia="en-AU"/>
            </w:rPr>
          </w:pPr>
          <w:hyperlink w:anchor="_Toc26363638" w:history="1">
            <w:r w:rsidR="004D5B87" w:rsidRPr="00EE5974">
              <w:rPr>
                <w:rStyle w:val="Hyperlink"/>
              </w:rPr>
              <w:t>2.1</w:t>
            </w:r>
            <w:r w:rsidR="004D5B87">
              <w:rPr>
                <w:rFonts w:asciiTheme="minorHAnsi" w:eastAsiaTheme="minorEastAsia" w:hAnsiTheme="minorHAnsi"/>
                <w:lang w:eastAsia="en-AU"/>
              </w:rPr>
              <w:tab/>
            </w:r>
            <w:r w:rsidR="004D5B87" w:rsidRPr="00EE5974">
              <w:rPr>
                <w:rStyle w:val="Hyperlink"/>
              </w:rPr>
              <w:t>Policy approval to cost recover regulatory activities</w:t>
            </w:r>
            <w:r w:rsidR="004D5B87">
              <w:rPr>
                <w:webHidden/>
              </w:rPr>
              <w:tab/>
            </w:r>
            <w:r w:rsidR="004D5B87">
              <w:rPr>
                <w:webHidden/>
              </w:rPr>
              <w:fldChar w:fldCharType="begin"/>
            </w:r>
            <w:r w:rsidR="004D5B87">
              <w:rPr>
                <w:webHidden/>
              </w:rPr>
              <w:instrText xml:space="preserve"> PAGEREF _Toc26363638 \h </w:instrText>
            </w:r>
            <w:r w:rsidR="004D5B87">
              <w:rPr>
                <w:webHidden/>
              </w:rPr>
            </w:r>
            <w:r w:rsidR="004D5B87">
              <w:rPr>
                <w:webHidden/>
              </w:rPr>
              <w:fldChar w:fldCharType="separate"/>
            </w:r>
            <w:r>
              <w:rPr>
                <w:webHidden/>
              </w:rPr>
              <w:t>7</w:t>
            </w:r>
            <w:r w:rsidR="004D5B87">
              <w:rPr>
                <w:webHidden/>
              </w:rPr>
              <w:fldChar w:fldCharType="end"/>
            </w:r>
          </w:hyperlink>
        </w:p>
        <w:p w:rsidR="004D5B87" w:rsidRDefault="006962CE">
          <w:pPr>
            <w:pStyle w:val="TOC2"/>
            <w:tabs>
              <w:tab w:val="left" w:pos="1100"/>
            </w:tabs>
            <w:rPr>
              <w:rFonts w:asciiTheme="minorHAnsi" w:eastAsiaTheme="minorEastAsia" w:hAnsiTheme="minorHAnsi"/>
              <w:lang w:eastAsia="en-AU"/>
            </w:rPr>
          </w:pPr>
          <w:hyperlink w:anchor="_Toc26363639" w:history="1">
            <w:r w:rsidR="004D5B87" w:rsidRPr="00EE5974">
              <w:rPr>
                <w:rStyle w:val="Hyperlink"/>
              </w:rPr>
              <w:t>2.2</w:t>
            </w:r>
            <w:r w:rsidR="004D5B87">
              <w:rPr>
                <w:rFonts w:asciiTheme="minorHAnsi" w:eastAsiaTheme="minorEastAsia" w:hAnsiTheme="minorHAnsi"/>
                <w:lang w:eastAsia="en-AU"/>
              </w:rPr>
              <w:tab/>
            </w:r>
            <w:r w:rsidR="004D5B87" w:rsidRPr="00EE5974">
              <w:rPr>
                <w:rStyle w:val="Hyperlink"/>
              </w:rPr>
              <w:t>Statutory authority to charge</w:t>
            </w:r>
            <w:r w:rsidR="004D5B87">
              <w:rPr>
                <w:webHidden/>
              </w:rPr>
              <w:tab/>
            </w:r>
            <w:r w:rsidR="004D5B87">
              <w:rPr>
                <w:webHidden/>
              </w:rPr>
              <w:fldChar w:fldCharType="begin"/>
            </w:r>
            <w:r w:rsidR="004D5B87">
              <w:rPr>
                <w:webHidden/>
              </w:rPr>
              <w:instrText xml:space="preserve"> PAGEREF _Toc26363639 \h </w:instrText>
            </w:r>
            <w:r w:rsidR="004D5B87">
              <w:rPr>
                <w:webHidden/>
              </w:rPr>
            </w:r>
            <w:r w:rsidR="004D5B87">
              <w:rPr>
                <w:webHidden/>
              </w:rPr>
              <w:fldChar w:fldCharType="separate"/>
            </w:r>
            <w:r>
              <w:rPr>
                <w:webHidden/>
              </w:rPr>
              <w:t>9</w:t>
            </w:r>
            <w:r w:rsidR="004D5B87">
              <w:rPr>
                <w:webHidden/>
              </w:rPr>
              <w:fldChar w:fldCharType="end"/>
            </w:r>
          </w:hyperlink>
        </w:p>
        <w:p w:rsidR="004D5B87" w:rsidRDefault="006962CE">
          <w:pPr>
            <w:pStyle w:val="TOC1"/>
            <w:rPr>
              <w:rFonts w:asciiTheme="minorHAnsi" w:eastAsiaTheme="minorEastAsia" w:hAnsiTheme="minorHAnsi"/>
              <w:b w:val="0"/>
              <w:lang w:eastAsia="en-AU"/>
            </w:rPr>
          </w:pPr>
          <w:hyperlink w:anchor="_Toc26363640" w:history="1">
            <w:r w:rsidR="004D5B87" w:rsidRPr="00EE5974">
              <w:rPr>
                <w:rStyle w:val="Hyperlink"/>
              </w:rPr>
              <w:t>3</w:t>
            </w:r>
            <w:r w:rsidR="004D5B87">
              <w:rPr>
                <w:rFonts w:asciiTheme="minorHAnsi" w:eastAsiaTheme="minorEastAsia" w:hAnsiTheme="minorHAnsi"/>
                <w:b w:val="0"/>
                <w:lang w:eastAsia="en-AU"/>
              </w:rPr>
              <w:tab/>
            </w:r>
            <w:r w:rsidR="004D5B87" w:rsidRPr="00EE5974">
              <w:rPr>
                <w:rStyle w:val="Hyperlink"/>
              </w:rPr>
              <w:t>Cost recovery model</w:t>
            </w:r>
            <w:r w:rsidR="004D5B87">
              <w:rPr>
                <w:webHidden/>
              </w:rPr>
              <w:tab/>
            </w:r>
            <w:r w:rsidR="004D5B87">
              <w:rPr>
                <w:webHidden/>
              </w:rPr>
              <w:fldChar w:fldCharType="begin"/>
            </w:r>
            <w:r w:rsidR="004D5B87">
              <w:rPr>
                <w:webHidden/>
              </w:rPr>
              <w:instrText xml:space="preserve"> PAGEREF _Toc26363640 \h </w:instrText>
            </w:r>
            <w:r w:rsidR="004D5B87">
              <w:rPr>
                <w:webHidden/>
              </w:rPr>
            </w:r>
            <w:r w:rsidR="004D5B87">
              <w:rPr>
                <w:webHidden/>
              </w:rPr>
              <w:fldChar w:fldCharType="separate"/>
            </w:r>
            <w:r>
              <w:rPr>
                <w:webHidden/>
              </w:rPr>
              <w:t>10</w:t>
            </w:r>
            <w:r w:rsidR="004D5B87">
              <w:rPr>
                <w:webHidden/>
              </w:rPr>
              <w:fldChar w:fldCharType="end"/>
            </w:r>
          </w:hyperlink>
        </w:p>
        <w:p w:rsidR="004D5B87" w:rsidRDefault="006962CE">
          <w:pPr>
            <w:pStyle w:val="TOC2"/>
            <w:tabs>
              <w:tab w:val="left" w:pos="1100"/>
            </w:tabs>
            <w:rPr>
              <w:rFonts w:asciiTheme="minorHAnsi" w:eastAsiaTheme="minorEastAsia" w:hAnsiTheme="minorHAnsi"/>
              <w:lang w:eastAsia="en-AU"/>
            </w:rPr>
          </w:pPr>
          <w:hyperlink w:anchor="_Toc26363641" w:history="1">
            <w:r w:rsidR="004D5B87" w:rsidRPr="00EE5974">
              <w:rPr>
                <w:rStyle w:val="Hyperlink"/>
                <w:lang w:eastAsia="ja-JP"/>
              </w:rPr>
              <w:t>3.1</w:t>
            </w:r>
            <w:r w:rsidR="004D5B87">
              <w:rPr>
                <w:rFonts w:asciiTheme="minorHAnsi" w:eastAsiaTheme="minorEastAsia" w:hAnsiTheme="minorHAnsi"/>
                <w:lang w:eastAsia="en-AU"/>
              </w:rPr>
              <w:tab/>
            </w:r>
            <w:r w:rsidR="004D5B87" w:rsidRPr="00EE5974">
              <w:rPr>
                <w:rStyle w:val="Hyperlink"/>
                <w:lang w:eastAsia="ja-JP"/>
              </w:rPr>
              <w:t>Outputs and business processes of regulatory charging activities</w:t>
            </w:r>
            <w:r w:rsidR="004D5B87">
              <w:rPr>
                <w:webHidden/>
              </w:rPr>
              <w:tab/>
            </w:r>
            <w:r w:rsidR="004D5B87">
              <w:rPr>
                <w:webHidden/>
              </w:rPr>
              <w:fldChar w:fldCharType="begin"/>
            </w:r>
            <w:r w:rsidR="004D5B87">
              <w:rPr>
                <w:webHidden/>
              </w:rPr>
              <w:instrText xml:space="preserve"> PAGEREF _Toc26363641 \h </w:instrText>
            </w:r>
            <w:r w:rsidR="004D5B87">
              <w:rPr>
                <w:webHidden/>
              </w:rPr>
            </w:r>
            <w:r w:rsidR="004D5B87">
              <w:rPr>
                <w:webHidden/>
              </w:rPr>
              <w:fldChar w:fldCharType="separate"/>
            </w:r>
            <w:r>
              <w:rPr>
                <w:webHidden/>
              </w:rPr>
              <w:t>10</w:t>
            </w:r>
            <w:r w:rsidR="004D5B87">
              <w:rPr>
                <w:webHidden/>
              </w:rPr>
              <w:fldChar w:fldCharType="end"/>
            </w:r>
          </w:hyperlink>
        </w:p>
        <w:p w:rsidR="004D5B87" w:rsidRDefault="006962CE">
          <w:pPr>
            <w:pStyle w:val="TOC2"/>
            <w:tabs>
              <w:tab w:val="left" w:pos="1100"/>
            </w:tabs>
            <w:rPr>
              <w:rFonts w:asciiTheme="minorHAnsi" w:eastAsiaTheme="minorEastAsia" w:hAnsiTheme="minorHAnsi"/>
              <w:lang w:eastAsia="en-AU"/>
            </w:rPr>
          </w:pPr>
          <w:hyperlink w:anchor="_Toc26363642" w:history="1">
            <w:r w:rsidR="004D5B87" w:rsidRPr="00EE5974">
              <w:rPr>
                <w:rStyle w:val="Hyperlink"/>
                <w:lang w:eastAsia="ja-JP"/>
              </w:rPr>
              <w:t>3.2</w:t>
            </w:r>
            <w:r w:rsidR="004D5B87">
              <w:rPr>
                <w:rFonts w:asciiTheme="minorHAnsi" w:eastAsiaTheme="minorEastAsia" w:hAnsiTheme="minorHAnsi"/>
                <w:lang w:eastAsia="en-AU"/>
              </w:rPr>
              <w:tab/>
            </w:r>
            <w:r w:rsidR="004D5B87" w:rsidRPr="00EE5974">
              <w:rPr>
                <w:rStyle w:val="Hyperlink"/>
                <w:lang w:eastAsia="ja-JP"/>
              </w:rPr>
              <w:t>Costs of regulatory charging activities</w:t>
            </w:r>
            <w:r w:rsidR="004D5B87">
              <w:rPr>
                <w:webHidden/>
              </w:rPr>
              <w:tab/>
            </w:r>
            <w:r w:rsidR="004D5B87">
              <w:rPr>
                <w:webHidden/>
              </w:rPr>
              <w:fldChar w:fldCharType="begin"/>
            </w:r>
            <w:r w:rsidR="004D5B87">
              <w:rPr>
                <w:webHidden/>
              </w:rPr>
              <w:instrText xml:space="preserve"> PAGEREF _Toc26363642 \h </w:instrText>
            </w:r>
            <w:r w:rsidR="004D5B87">
              <w:rPr>
                <w:webHidden/>
              </w:rPr>
            </w:r>
            <w:r w:rsidR="004D5B87">
              <w:rPr>
                <w:webHidden/>
              </w:rPr>
              <w:fldChar w:fldCharType="separate"/>
            </w:r>
            <w:r>
              <w:rPr>
                <w:webHidden/>
              </w:rPr>
              <w:t>10</w:t>
            </w:r>
            <w:r w:rsidR="004D5B87">
              <w:rPr>
                <w:webHidden/>
              </w:rPr>
              <w:fldChar w:fldCharType="end"/>
            </w:r>
          </w:hyperlink>
        </w:p>
        <w:p w:rsidR="004D5B87" w:rsidRDefault="006962CE">
          <w:pPr>
            <w:pStyle w:val="TOC2"/>
            <w:tabs>
              <w:tab w:val="left" w:pos="1100"/>
            </w:tabs>
            <w:rPr>
              <w:rFonts w:asciiTheme="minorHAnsi" w:eastAsiaTheme="minorEastAsia" w:hAnsiTheme="minorHAnsi"/>
              <w:lang w:eastAsia="en-AU"/>
            </w:rPr>
          </w:pPr>
          <w:hyperlink w:anchor="_Toc26363643" w:history="1">
            <w:r w:rsidR="004D5B87" w:rsidRPr="00EE5974">
              <w:rPr>
                <w:rStyle w:val="Hyperlink"/>
                <w:lang w:eastAsia="ja-JP"/>
              </w:rPr>
              <w:t>3.3</w:t>
            </w:r>
            <w:r w:rsidR="004D5B87">
              <w:rPr>
                <w:rFonts w:asciiTheme="minorHAnsi" w:eastAsiaTheme="minorEastAsia" w:hAnsiTheme="minorHAnsi"/>
                <w:lang w:eastAsia="en-AU"/>
              </w:rPr>
              <w:tab/>
            </w:r>
            <w:r w:rsidR="004D5B87" w:rsidRPr="00EE5974">
              <w:rPr>
                <w:rStyle w:val="Hyperlink"/>
                <w:lang w:eastAsia="ja-JP"/>
              </w:rPr>
              <w:t>Design of regulatory charges</w:t>
            </w:r>
            <w:r w:rsidR="004D5B87">
              <w:rPr>
                <w:webHidden/>
              </w:rPr>
              <w:tab/>
            </w:r>
            <w:r w:rsidR="004D5B87">
              <w:rPr>
                <w:webHidden/>
              </w:rPr>
              <w:fldChar w:fldCharType="begin"/>
            </w:r>
            <w:r w:rsidR="004D5B87">
              <w:rPr>
                <w:webHidden/>
              </w:rPr>
              <w:instrText xml:space="preserve"> PAGEREF _Toc26363643 \h </w:instrText>
            </w:r>
            <w:r w:rsidR="004D5B87">
              <w:rPr>
                <w:webHidden/>
              </w:rPr>
            </w:r>
            <w:r w:rsidR="004D5B87">
              <w:rPr>
                <w:webHidden/>
              </w:rPr>
              <w:fldChar w:fldCharType="separate"/>
            </w:r>
            <w:r>
              <w:rPr>
                <w:webHidden/>
              </w:rPr>
              <w:t>12</w:t>
            </w:r>
            <w:r w:rsidR="004D5B87">
              <w:rPr>
                <w:webHidden/>
              </w:rPr>
              <w:fldChar w:fldCharType="end"/>
            </w:r>
          </w:hyperlink>
        </w:p>
        <w:p w:rsidR="004D5B87" w:rsidRDefault="006962CE">
          <w:pPr>
            <w:pStyle w:val="TOC1"/>
            <w:rPr>
              <w:rFonts w:asciiTheme="minorHAnsi" w:eastAsiaTheme="minorEastAsia" w:hAnsiTheme="minorHAnsi"/>
              <w:b w:val="0"/>
              <w:lang w:eastAsia="en-AU"/>
            </w:rPr>
          </w:pPr>
          <w:hyperlink w:anchor="_Toc26363644" w:history="1">
            <w:r w:rsidR="004D5B87" w:rsidRPr="00EE5974">
              <w:rPr>
                <w:rStyle w:val="Hyperlink"/>
              </w:rPr>
              <w:t>4</w:t>
            </w:r>
            <w:r w:rsidR="004D5B87">
              <w:rPr>
                <w:rFonts w:asciiTheme="minorHAnsi" w:eastAsiaTheme="minorEastAsia" w:hAnsiTheme="minorHAnsi"/>
                <w:b w:val="0"/>
                <w:lang w:eastAsia="en-AU"/>
              </w:rPr>
              <w:tab/>
            </w:r>
            <w:r w:rsidR="004D5B87" w:rsidRPr="00EE5974">
              <w:rPr>
                <w:rStyle w:val="Hyperlink"/>
              </w:rPr>
              <w:t>Changes to biosecurity cost recovery arrangements</w:t>
            </w:r>
            <w:r w:rsidR="004D5B87">
              <w:rPr>
                <w:webHidden/>
              </w:rPr>
              <w:tab/>
            </w:r>
            <w:r w:rsidR="004D5B87">
              <w:rPr>
                <w:webHidden/>
              </w:rPr>
              <w:fldChar w:fldCharType="begin"/>
            </w:r>
            <w:r w:rsidR="004D5B87">
              <w:rPr>
                <w:webHidden/>
              </w:rPr>
              <w:instrText xml:space="preserve"> PAGEREF _Toc26363644 \h </w:instrText>
            </w:r>
            <w:r w:rsidR="004D5B87">
              <w:rPr>
                <w:webHidden/>
              </w:rPr>
            </w:r>
            <w:r w:rsidR="004D5B87">
              <w:rPr>
                <w:webHidden/>
              </w:rPr>
              <w:fldChar w:fldCharType="separate"/>
            </w:r>
            <w:r>
              <w:rPr>
                <w:webHidden/>
              </w:rPr>
              <w:t>14</w:t>
            </w:r>
            <w:r w:rsidR="004D5B87">
              <w:rPr>
                <w:webHidden/>
              </w:rPr>
              <w:fldChar w:fldCharType="end"/>
            </w:r>
          </w:hyperlink>
        </w:p>
        <w:p w:rsidR="004D5B87" w:rsidRDefault="006962CE">
          <w:pPr>
            <w:pStyle w:val="TOC2"/>
            <w:tabs>
              <w:tab w:val="left" w:pos="1100"/>
            </w:tabs>
            <w:rPr>
              <w:rFonts w:asciiTheme="minorHAnsi" w:eastAsiaTheme="minorEastAsia" w:hAnsiTheme="minorHAnsi"/>
              <w:lang w:eastAsia="en-AU"/>
            </w:rPr>
          </w:pPr>
          <w:hyperlink w:anchor="_Toc26363645" w:history="1">
            <w:r w:rsidR="004D5B87" w:rsidRPr="00EE5974">
              <w:rPr>
                <w:rStyle w:val="Hyperlink"/>
              </w:rPr>
              <w:t>4.1</w:t>
            </w:r>
            <w:r w:rsidR="004D5B87">
              <w:rPr>
                <w:rFonts w:asciiTheme="minorHAnsi" w:eastAsiaTheme="minorEastAsia" w:hAnsiTheme="minorHAnsi"/>
                <w:lang w:eastAsia="en-AU"/>
              </w:rPr>
              <w:tab/>
            </w:r>
            <w:r w:rsidR="004D5B87" w:rsidRPr="00EE5974">
              <w:rPr>
                <w:rStyle w:val="Hyperlink"/>
              </w:rPr>
              <w:t>Design of cost recovered charges</w:t>
            </w:r>
            <w:r w:rsidR="004D5B87">
              <w:rPr>
                <w:webHidden/>
              </w:rPr>
              <w:tab/>
            </w:r>
            <w:r w:rsidR="004D5B87">
              <w:rPr>
                <w:webHidden/>
              </w:rPr>
              <w:fldChar w:fldCharType="begin"/>
            </w:r>
            <w:r w:rsidR="004D5B87">
              <w:rPr>
                <w:webHidden/>
              </w:rPr>
              <w:instrText xml:space="preserve"> PAGEREF _Toc26363645 \h </w:instrText>
            </w:r>
            <w:r w:rsidR="004D5B87">
              <w:rPr>
                <w:webHidden/>
              </w:rPr>
            </w:r>
            <w:r w:rsidR="004D5B87">
              <w:rPr>
                <w:webHidden/>
              </w:rPr>
              <w:fldChar w:fldCharType="separate"/>
            </w:r>
            <w:r>
              <w:rPr>
                <w:webHidden/>
              </w:rPr>
              <w:t>14</w:t>
            </w:r>
            <w:r w:rsidR="004D5B87">
              <w:rPr>
                <w:webHidden/>
              </w:rPr>
              <w:fldChar w:fldCharType="end"/>
            </w:r>
          </w:hyperlink>
        </w:p>
        <w:p w:rsidR="004D5B87" w:rsidRDefault="006962CE">
          <w:pPr>
            <w:pStyle w:val="TOC2"/>
            <w:tabs>
              <w:tab w:val="left" w:pos="1100"/>
            </w:tabs>
            <w:rPr>
              <w:rFonts w:asciiTheme="minorHAnsi" w:eastAsiaTheme="minorEastAsia" w:hAnsiTheme="minorHAnsi"/>
              <w:lang w:eastAsia="en-AU"/>
            </w:rPr>
          </w:pPr>
          <w:hyperlink w:anchor="_Toc26363646" w:history="1">
            <w:r w:rsidR="004D5B87" w:rsidRPr="00EE5974">
              <w:rPr>
                <w:rStyle w:val="Hyperlink"/>
              </w:rPr>
              <w:t>4.2</w:t>
            </w:r>
            <w:r w:rsidR="004D5B87">
              <w:rPr>
                <w:rFonts w:asciiTheme="minorHAnsi" w:eastAsiaTheme="minorEastAsia" w:hAnsiTheme="minorHAnsi"/>
                <w:lang w:eastAsia="en-AU"/>
              </w:rPr>
              <w:tab/>
            </w:r>
            <w:r w:rsidR="004D5B87" w:rsidRPr="00EE5974">
              <w:rPr>
                <w:rStyle w:val="Hyperlink"/>
              </w:rPr>
              <w:t>Cost base</w:t>
            </w:r>
            <w:r w:rsidR="004D5B87">
              <w:rPr>
                <w:webHidden/>
              </w:rPr>
              <w:tab/>
            </w:r>
            <w:r w:rsidR="004D5B87">
              <w:rPr>
                <w:webHidden/>
              </w:rPr>
              <w:fldChar w:fldCharType="begin"/>
            </w:r>
            <w:r w:rsidR="004D5B87">
              <w:rPr>
                <w:webHidden/>
              </w:rPr>
              <w:instrText xml:space="preserve"> PAGEREF _Toc26363646 \h </w:instrText>
            </w:r>
            <w:r w:rsidR="004D5B87">
              <w:rPr>
                <w:webHidden/>
              </w:rPr>
            </w:r>
            <w:r w:rsidR="004D5B87">
              <w:rPr>
                <w:webHidden/>
              </w:rPr>
              <w:fldChar w:fldCharType="separate"/>
            </w:r>
            <w:r>
              <w:rPr>
                <w:webHidden/>
              </w:rPr>
              <w:t>14</w:t>
            </w:r>
            <w:r w:rsidR="004D5B87">
              <w:rPr>
                <w:webHidden/>
              </w:rPr>
              <w:fldChar w:fldCharType="end"/>
            </w:r>
          </w:hyperlink>
        </w:p>
        <w:p w:rsidR="004D5B87" w:rsidRDefault="006962CE">
          <w:pPr>
            <w:pStyle w:val="TOC2"/>
            <w:tabs>
              <w:tab w:val="left" w:pos="1100"/>
            </w:tabs>
            <w:rPr>
              <w:rFonts w:asciiTheme="minorHAnsi" w:eastAsiaTheme="minorEastAsia" w:hAnsiTheme="minorHAnsi"/>
              <w:lang w:eastAsia="en-AU"/>
            </w:rPr>
          </w:pPr>
          <w:hyperlink w:anchor="_Toc26363647" w:history="1">
            <w:r w:rsidR="004D5B87" w:rsidRPr="00EE5974">
              <w:rPr>
                <w:rStyle w:val="Hyperlink"/>
              </w:rPr>
              <w:t>4.3</w:t>
            </w:r>
            <w:r w:rsidR="004D5B87">
              <w:rPr>
                <w:rFonts w:asciiTheme="minorHAnsi" w:eastAsiaTheme="minorEastAsia" w:hAnsiTheme="minorHAnsi"/>
                <w:lang w:eastAsia="en-AU"/>
              </w:rPr>
              <w:tab/>
            </w:r>
            <w:r w:rsidR="004D5B87" w:rsidRPr="00EE5974">
              <w:rPr>
                <w:rStyle w:val="Hyperlink"/>
              </w:rPr>
              <w:t>Industry-specific feedback</w:t>
            </w:r>
            <w:r w:rsidR="004D5B87">
              <w:rPr>
                <w:webHidden/>
              </w:rPr>
              <w:tab/>
            </w:r>
            <w:r w:rsidR="004D5B87">
              <w:rPr>
                <w:webHidden/>
              </w:rPr>
              <w:fldChar w:fldCharType="begin"/>
            </w:r>
            <w:r w:rsidR="004D5B87">
              <w:rPr>
                <w:webHidden/>
              </w:rPr>
              <w:instrText xml:space="preserve"> PAGEREF _Toc26363647 \h </w:instrText>
            </w:r>
            <w:r w:rsidR="004D5B87">
              <w:rPr>
                <w:webHidden/>
              </w:rPr>
            </w:r>
            <w:r w:rsidR="004D5B87">
              <w:rPr>
                <w:webHidden/>
              </w:rPr>
              <w:fldChar w:fldCharType="separate"/>
            </w:r>
            <w:r>
              <w:rPr>
                <w:webHidden/>
              </w:rPr>
              <w:t>18</w:t>
            </w:r>
            <w:r w:rsidR="004D5B87">
              <w:rPr>
                <w:webHidden/>
              </w:rPr>
              <w:fldChar w:fldCharType="end"/>
            </w:r>
          </w:hyperlink>
        </w:p>
        <w:p w:rsidR="004D5B87" w:rsidRDefault="006962CE">
          <w:pPr>
            <w:pStyle w:val="TOC2"/>
            <w:tabs>
              <w:tab w:val="left" w:pos="1100"/>
            </w:tabs>
            <w:rPr>
              <w:rFonts w:asciiTheme="minorHAnsi" w:eastAsiaTheme="minorEastAsia" w:hAnsiTheme="minorHAnsi"/>
              <w:lang w:eastAsia="en-AU"/>
            </w:rPr>
          </w:pPr>
          <w:hyperlink w:anchor="_Toc26363649" w:history="1">
            <w:r w:rsidR="004D5B87" w:rsidRPr="00EE5974">
              <w:rPr>
                <w:rStyle w:val="Hyperlink"/>
              </w:rPr>
              <w:t>4.4</w:t>
            </w:r>
            <w:r w:rsidR="004D5B87">
              <w:rPr>
                <w:rFonts w:asciiTheme="minorHAnsi" w:eastAsiaTheme="minorEastAsia" w:hAnsiTheme="minorHAnsi"/>
                <w:lang w:eastAsia="en-AU"/>
              </w:rPr>
              <w:tab/>
            </w:r>
            <w:r w:rsidR="004D5B87" w:rsidRPr="00EE5974">
              <w:rPr>
                <w:rStyle w:val="Hyperlink"/>
              </w:rPr>
              <w:t>Biosecurity fees and charges</w:t>
            </w:r>
            <w:r w:rsidR="004D5B87">
              <w:rPr>
                <w:webHidden/>
              </w:rPr>
              <w:tab/>
            </w:r>
            <w:r w:rsidR="004D5B87">
              <w:rPr>
                <w:webHidden/>
              </w:rPr>
              <w:fldChar w:fldCharType="begin"/>
            </w:r>
            <w:r w:rsidR="004D5B87">
              <w:rPr>
                <w:webHidden/>
              </w:rPr>
              <w:instrText xml:space="preserve"> PAGEREF _Toc26363649 \h </w:instrText>
            </w:r>
            <w:r w:rsidR="004D5B87">
              <w:rPr>
                <w:webHidden/>
              </w:rPr>
            </w:r>
            <w:r w:rsidR="004D5B87">
              <w:rPr>
                <w:webHidden/>
              </w:rPr>
              <w:fldChar w:fldCharType="separate"/>
            </w:r>
            <w:r>
              <w:rPr>
                <w:webHidden/>
              </w:rPr>
              <w:t>18</w:t>
            </w:r>
            <w:r w:rsidR="004D5B87">
              <w:rPr>
                <w:webHidden/>
              </w:rPr>
              <w:fldChar w:fldCharType="end"/>
            </w:r>
          </w:hyperlink>
        </w:p>
        <w:p w:rsidR="004D5B87" w:rsidRDefault="006962CE">
          <w:pPr>
            <w:pStyle w:val="TOC1"/>
            <w:rPr>
              <w:rFonts w:asciiTheme="minorHAnsi" w:eastAsiaTheme="minorEastAsia" w:hAnsiTheme="minorHAnsi"/>
              <w:b w:val="0"/>
              <w:lang w:eastAsia="en-AU"/>
            </w:rPr>
          </w:pPr>
          <w:hyperlink w:anchor="_Toc26363650" w:history="1">
            <w:r w:rsidR="004D5B87" w:rsidRPr="00EE5974">
              <w:rPr>
                <w:rStyle w:val="Hyperlink"/>
              </w:rPr>
              <w:t>5</w:t>
            </w:r>
            <w:r w:rsidR="004D5B87">
              <w:rPr>
                <w:rFonts w:asciiTheme="minorHAnsi" w:eastAsiaTheme="minorEastAsia" w:hAnsiTheme="minorHAnsi"/>
                <w:b w:val="0"/>
                <w:lang w:eastAsia="en-AU"/>
              </w:rPr>
              <w:tab/>
            </w:r>
            <w:r w:rsidR="004D5B87" w:rsidRPr="00EE5974">
              <w:rPr>
                <w:rStyle w:val="Hyperlink"/>
              </w:rPr>
              <w:t>Risk assessment</w:t>
            </w:r>
            <w:r w:rsidR="004D5B87">
              <w:rPr>
                <w:webHidden/>
              </w:rPr>
              <w:tab/>
            </w:r>
            <w:r w:rsidR="004D5B87">
              <w:rPr>
                <w:webHidden/>
              </w:rPr>
              <w:fldChar w:fldCharType="begin"/>
            </w:r>
            <w:r w:rsidR="004D5B87">
              <w:rPr>
                <w:webHidden/>
              </w:rPr>
              <w:instrText xml:space="preserve"> PAGEREF _Toc26363650 \h </w:instrText>
            </w:r>
            <w:r w:rsidR="004D5B87">
              <w:rPr>
                <w:webHidden/>
              </w:rPr>
            </w:r>
            <w:r w:rsidR="004D5B87">
              <w:rPr>
                <w:webHidden/>
              </w:rPr>
              <w:fldChar w:fldCharType="separate"/>
            </w:r>
            <w:r>
              <w:rPr>
                <w:webHidden/>
              </w:rPr>
              <w:t>21</w:t>
            </w:r>
            <w:r w:rsidR="004D5B87">
              <w:rPr>
                <w:webHidden/>
              </w:rPr>
              <w:fldChar w:fldCharType="end"/>
            </w:r>
          </w:hyperlink>
        </w:p>
        <w:p w:rsidR="004D5B87" w:rsidRDefault="006962CE">
          <w:pPr>
            <w:pStyle w:val="TOC1"/>
            <w:rPr>
              <w:rFonts w:asciiTheme="minorHAnsi" w:eastAsiaTheme="minorEastAsia" w:hAnsiTheme="minorHAnsi"/>
              <w:b w:val="0"/>
              <w:lang w:eastAsia="en-AU"/>
            </w:rPr>
          </w:pPr>
          <w:hyperlink w:anchor="_Toc26363651" w:history="1">
            <w:r w:rsidR="004D5B87" w:rsidRPr="00EE5974">
              <w:rPr>
                <w:rStyle w:val="Hyperlink"/>
              </w:rPr>
              <w:t>6</w:t>
            </w:r>
            <w:r w:rsidR="004D5B87">
              <w:rPr>
                <w:rFonts w:asciiTheme="minorHAnsi" w:eastAsiaTheme="minorEastAsia" w:hAnsiTheme="minorHAnsi"/>
                <w:b w:val="0"/>
                <w:lang w:eastAsia="en-AU"/>
              </w:rPr>
              <w:tab/>
            </w:r>
            <w:r w:rsidR="004D5B87" w:rsidRPr="00EE5974">
              <w:rPr>
                <w:rStyle w:val="Hyperlink"/>
              </w:rPr>
              <w:t>Stakeholder engagement</w:t>
            </w:r>
            <w:r w:rsidR="004D5B87">
              <w:rPr>
                <w:webHidden/>
              </w:rPr>
              <w:tab/>
            </w:r>
            <w:r w:rsidR="004D5B87">
              <w:rPr>
                <w:webHidden/>
              </w:rPr>
              <w:fldChar w:fldCharType="begin"/>
            </w:r>
            <w:r w:rsidR="004D5B87">
              <w:rPr>
                <w:webHidden/>
              </w:rPr>
              <w:instrText xml:space="preserve"> PAGEREF _Toc26363651 \h </w:instrText>
            </w:r>
            <w:r w:rsidR="004D5B87">
              <w:rPr>
                <w:webHidden/>
              </w:rPr>
            </w:r>
            <w:r w:rsidR="004D5B87">
              <w:rPr>
                <w:webHidden/>
              </w:rPr>
              <w:fldChar w:fldCharType="separate"/>
            </w:r>
            <w:r>
              <w:rPr>
                <w:webHidden/>
              </w:rPr>
              <w:t>22</w:t>
            </w:r>
            <w:r w:rsidR="004D5B87">
              <w:rPr>
                <w:webHidden/>
              </w:rPr>
              <w:fldChar w:fldCharType="end"/>
            </w:r>
          </w:hyperlink>
        </w:p>
        <w:p w:rsidR="004D5B87" w:rsidRDefault="006962CE">
          <w:pPr>
            <w:pStyle w:val="TOC2"/>
            <w:tabs>
              <w:tab w:val="left" w:pos="1100"/>
            </w:tabs>
            <w:rPr>
              <w:rFonts w:asciiTheme="minorHAnsi" w:eastAsiaTheme="minorEastAsia" w:hAnsiTheme="minorHAnsi"/>
              <w:lang w:eastAsia="en-AU"/>
            </w:rPr>
          </w:pPr>
          <w:hyperlink w:anchor="_Toc26363652" w:history="1">
            <w:r w:rsidR="004D5B87" w:rsidRPr="00EE5974">
              <w:rPr>
                <w:rStyle w:val="Hyperlink"/>
              </w:rPr>
              <w:t>6.1</w:t>
            </w:r>
            <w:r w:rsidR="004D5B87">
              <w:rPr>
                <w:rFonts w:asciiTheme="minorHAnsi" w:eastAsiaTheme="minorEastAsia" w:hAnsiTheme="minorHAnsi"/>
                <w:lang w:eastAsia="en-AU"/>
              </w:rPr>
              <w:tab/>
            </w:r>
            <w:r w:rsidR="004D5B87" w:rsidRPr="00EE5974">
              <w:rPr>
                <w:rStyle w:val="Hyperlink"/>
              </w:rPr>
              <w:t>Industry engagement</w:t>
            </w:r>
            <w:r w:rsidR="004D5B87">
              <w:rPr>
                <w:webHidden/>
              </w:rPr>
              <w:tab/>
            </w:r>
            <w:r w:rsidR="004D5B87">
              <w:rPr>
                <w:webHidden/>
              </w:rPr>
              <w:fldChar w:fldCharType="begin"/>
            </w:r>
            <w:r w:rsidR="004D5B87">
              <w:rPr>
                <w:webHidden/>
              </w:rPr>
              <w:instrText xml:space="preserve"> PAGEREF _Toc26363652 \h </w:instrText>
            </w:r>
            <w:r w:rsidR="004D5B87">
              <w:rPr>
                <w:webHidden/>
              </w:rPr>
            </w:r>
            <w:r w:rsidR="004D5B87">
              <w:rPr>
                <w:webHidden/>
              </w:rPr>
              <w:fldChar w:fldCharType="separate"/>
            </w:r>
            <w:r>
              <w:rPr>
                <w:webHidden/>
              </w:rPr>
              <w:t>22</w:t>
            </w:r>
            <w:r w:rsidR="004D5B87">
              <w:rPr>
                <w:webHidden/>
              </w:rPr>
              <w:fldChar w:fldCharType="end"/>
            </w:r>
          </w:hyperlink>
        </w:p>
        <w:p w:rsidR="004D5B87" w:rsidRDefault="006962CE">
          <w:pPr>
            <w:pStyle w:val="TOC2"/>
            <w:tabs>
              <w:tab w:val="left" w:pos="1100"/>
            </w:tabs>
            <w:rPr>
              <w:rFonts w:asciiTheme="minorHAnsi" w:eastAsiaTheme="minorEastAsia" w:hAnsiTheme="minorHAnsi"/>
              <w:lang w:eastAsia="en-AU"/>
            </w:rPr>
          </w:pPr>
          <w:hyperlink w:anchor="_Toc26363653" w:history="1">
            <w:r w:rsidR="004D5B87" w:rsidRPr="00EE5974">
              <w:rPr>
                <w:rStyle w:val="Hyperlink"/>
              </w:rPr>
              <w:t>6.2</w:t>
            </w:r>
            <w:r w:rsidR="004D5B87">
              <w:rPr>
                <w:rFonts w:asciiTheme="minorHAnsi" w:eastAsiaTheme="minorEastAsia" w:hAnsiTheme="minorHAnsi"/>
                <w:lang w:eastAsia="en-AU"/>
              </w:rPr>
              <w:tab/>
            </w:r>
            <w:r w:rsidR="004D5B87" w:rsidRPr="00EE5974">
              <w:rPr>
                <w:rStyle w:val="Hyperlink"/>
              </w:rPr>
              <w:t>Ongoing engagement strategy</w:t>
            </w:r>
            <w:r w:rsidR="004D5B87">
              <w:rPr>
                <w:webHidden/>
              </w:rPr>
              <w:tab/>
            </w:r>
            <w:r w:rsidR="004D5B87">
              <w:rPr>
                <w:webHidden/>
              </w:rPr>
              <w:fldChar w:fldCharType="begin"/>
            </w:r>
            <w:r w:rsidR="004D5B87">
              <w:rPr>
                <w:webHidden/>
              </w:rPr>
              <w:instrText xml:space="preserve"> PAGEREF _Toc26363653 \h </w:instrText>
            </w:r>
            <w:r w:rsidR="004D5B87">
              <w:rPr>
                <w:webHidden/>
              </w:rPr>
            </w:r>
            <w:r w:rsidR="004D5B87">
              <w:rPr>
                <w:webHidden/>
              </w:rPr>
              <w:fldChar w:fldCharType="separate"/>
            </w:r>
            <w:r>
              <w:rPr>
                <w:webHidden/>
              </w:rPr>
              <w:t>22</w:t>
            </w:r>
            <w:r w:rsidR="004D5B87">
              <w:rPr>
                <w:webHidden/>
              </w:rPr>
              <w:fldChar w:fldCharType="end"/>
            </w:r>
          </w:hyperlink>
        </w:p>
        <w:p w:rsidR="004D5B87" w:rsidRDefault="006962CE">
          <w:pPr>
            <w:pStyle w:val="TOC1"/>
            <w:rPr>
              <w:rFonts w:asciiTheme="minorHAnsi" w:eastAsiaTheme="minorEastAsia" w:hAnsiTheme="minorHAnsi"/>
              <w:b w:val="0"/>
              <w:lang w:eastAsia="en-AU"/>
            </w:rPr>
          </w:pPr>
          <w:hyperlink w:anchor="_Toc26363654" w:history="1">
            <w:r w:rsidR="004D5B87" w:rsidRPr="00EE5974">
              <w:rPr>
                <w:rStyle w:val="Hyperlink"/>
              </w:rPr>
              <w:t>7</w:t>
            </w:r>
            <w:r w:rsidR="004D5B87">
              <w:rPr>
                <w:rFonts w:asciiTheme="minorHAnsi" w:eastAsiaTheme="minorEastAsia" w:hAnsiTheme="minorHAnsi"/>
                <w:b w:val="0"/>
                <w:lang w:eastAsia="en-AU"/>
              </w:rPr>
              <w:tab/>
            </w:r>
            <w:r w:rsidR="004D5B87" w:rsidRPr="00EE5974">
              <w:rPr>
                <w:rStyle w:val="Hyperlink"/>
              </w:rPr>
              <w:t>Financial estimates</w:t>
            </w:r>
            <w:r w:rsidR="004D5B87">
              <w:rPr>
                <w:webHidden/>
              </w:rPr>
              <w:tab/>
            </w:r>
            <w:r w:rsidR="004D5B87">
              <w:rPr>
                <w:webHidden/>
              </w:rPr>
              <w:fldChar w:fldCharType="begin"/>
            </w:r>
            <w:r w:rsidR="004D5B87">
              <w:rPr>
                <w:webHidden/>
              </w:rPr>
              <w:instrText xml:space="preserve"> PAGEREF _Toc26363654 \h </w:instrText>
            </w:r>
            <w:r w:rsidR="004D5B87">
              <w:rPr>
                <w:webHidden/>
              </w:rPr>
            </w:r>
            <w:r w:rsidR="004D5B87">
              <w:rPr>
                <w:webHidden/>
              </w:rPr>
              <w:fldChar w:fldCharType="separate"/>
            </w:r>
            <w:r>
              <w:rPr>
                <w:webHidden/>
              </w:rPr>
              <w:t>24</w:t>
            </w:r>
            <w:r w:rsidR="004D5B87">
              <w:rPr>
                <w:webHidden/>
              </w:rPr>
              <w:fldChar w:fldCharType="end"/>
            </w:r>
          </w:hyperlink>
        </w:p>
        <w:p w:rsidR="004D5B87" w:rsidRDefault="006962CE">
          <w:pPr>
            <w:pStyle w:val="TOC1"/>
            <w:rPr>
              <w:rFonts w:asciiTheme="minorHAnsi" w:eastAsiaTheme="minorEastAsia" w:hAnsiTheme="minorHAnsi"/>
              <w:b w:val="0"/>
              <w:lang w:eastAsia="en-AU"/>
            </w:rPr>
          </w:pPr>
          <w:hyperlink w:anchor="_Toc26363655" w:history="1">
            <w:r w:rsidR="004D5B87" w:rsidRPr="00EE5974">
              <w:rPr>
                <w:rStyle w:val="Hyperlink"/>
              </w:rPr>
              <w:t>8</w:t>
            </w:r>
            <w:r w:rsidR="004D5B87">
              <w:rPr>
                <w:rFonts w:asciiTheme="minorHAnsi" w:eastAsiaTheme="minorEastAsia" w:hAnsiTheme="minorHAnsi"/>
                <w:b w:val="0"/>
                <w:lang w:eastAsia="en-AU"/>
              </w:rPr>
              <w:tab/>
            </w:r>
            <w:r w:rsidR="004D5B87" w:rsidRPr="00EE5974">
              <w:rPr>
                <w:rStyle w:val="Hyperlink"/>
              </w:rPr>
              <w:t>Financial and non-financial performance</w:t>
            </w:r>
            <w:r w:rsidR="004D5B87">
              <w:rPr>
                <w:webHidden/>
              </w:rPr>
              <w:tab/>
            </w:r>
            <w:r w:rsidR="004D5B87">
              <w:rPr>
                <w:webHidden/>
              </w:rPr>
              <w:fldChar w:fldCharType="begin"/>
            </w:r>
            <w:r w:rsidR="004D5B87">
              <w:rPr>
                <w:webHidden/>
              </w:rPr>
              <w:instrText xml:space="preserve"> PAGEREF _Toc26363655 \h </w:instrText>
            </w:r>
            <w:r w:rsidR="004D5B87">
              <w:rPr>
                <w:webHidden/>
              </w:rPr>
            </w:r>
            <w:r w:rsidR="004D5B87">
              <w:rPr>
                <w:webHidden/>
              </w:rPr>
              <w:fldChar w:fldCharType="separate"/>
            </w:r>
            <w:r>
              <w:rPr>
                <w:webHidden/>
              </w:rPr>
              <w:t>25</w:t>
            </w:r>
            <w:r w:rsidR="004D5B87">
              <w:rPr>
                <w:webHidden/>
              </w:rPr>
              <w:fldChar w:fldCharType="end"/>
            </w:r>
          </w:hyperlink>
        </w:p>
        <w:p w:rsidR="004D5B87" w:rsidRDefault="006962CE">
          <w:pPr>
            <w:pStyle w:val="TOC2"/>
            <w:tabs>
              <w:tab w:val="left" w:pos="1100"/>
            </w:tabs>
            <w:rPr>
              <w:rFonts w:asciiTheme="minorHAnsi" w:eastAsiaTheme="minorEastAsia" w:hAnsiTheme="minorHAnsi"/>
              <w:lang w:eastAsia="en-AU"/>
            </w:rPr>
          </w:pPr>
          <w:hyperlink w:anchor="_Toc26363656" w:history="1">
            <w:r w:rsidR="004D5B87" w:rsidRPr="00EE5974">
              <w:rPr>
                <w:rStyle w:val="Hyperlink"/>
              </w:rPr>
              <w:t>8.1</w:t>
            </w:r>
            <w:r w:rsidR="004D5B87">
              <w:rPr>
                <w:rFonts w:asciiTheme="minorHAnsi" w:eastAsiaTheme="minorEastAsia" w:hAnsiTheme="minorHAnsi"/>
                <w:lang w:eastAsia="en-AU"/>
              </w:rPr>
              <w:tab/>
            </w:r>
            <w:r w:rsidR="004D5B87" w:rsidRPr="00EE5974">
              <w:rPr>
                <w:rStyle w:val="Hyperlink"/>
              </w:rPr>
              <w:t>Financial performance</w:t>
            </w:r>
            <w:r w:rsidR="004D5B87">
              <w:rPr>
                <w:webHidden/>
              </w:rPr>
              <w:tab/>
            </w:r>
            <w:r w:rsidR="004D5B87">
              <w:rPr>
                <w:webHidden/>
              </w:rPr>
              <w:fldChar w:fldCharType="begin"/>
            </w:r>
            <w:r w:rsidR="004D5B87">
              <w:rPr>
                <w:webHidden/>
              </w:rPr>
              <w:instrText xml:space="preserve"> PAGEREF _Toc26363656 \h </w:instrText>
            </w:r>
            <w:r w:rsidR="004D5B87">
              <w:rPr>
                <w:webHidden/>
              </w:rPr>
            </w:r>
            <w:r w:rsidR="004D5B87">
              <w:rPr>
                <w:webHidden/>
              </w:rPr>
              <w:fldChar w:fldCharType="separate"/>
            </w:r>
            <w:r>
              <w:rPr>
                <w:webHidden/>
              </w:rPr>
              <w:t>25</w:t>
            </w:r>
            <w:r w:rsidR="004D5B87">
              <w:rPr>
                <w:webHidden/>
              </w:rPr>
              <w:fldChar w:fldCharType="end"/>
            </w:r>
          </w:hyperlink>
        </w:p>
        <w:p w:rsidR="004D5B87" w:rsidRDefault="006962CE">
          <w:pPr>
            <w:pStyle w:val="TOC2"/>
            <w:tabs>
              <w:tab w:val="left" w:pos="1100"/>
            </w:tabs>
            <w:rPr>
              <w:rFonts w:asciiTheme="minorHAnsi" w:eastAsiaTheme="minorEastAsia" w:hAnsiTheme="minorHAnsi"/>
              <w:lang w:eastAsia="en-AU"/>
            </w:rPr>
          </w:pPr>
          <w:hyperlink w:anchor="_Toc26363657" w:history="1">
            <w:r w:rsidR="004D5B87" w:rsidRPr="00EE5974">
              <w:rPr>
                <w:rStyle w:val="Hyperlink"/>
              </w:rPr>
              <w:t>8.2</w:t>
            </w:r>
            <w:r w:rsidR="004D5B87">
              <w:rPr>
                <w:rFonts w:asciiTheme="minorHAnsi" w:eastAsiaTheme="minorEastAsia" w:hAnsiTheme="minorHAnsi"/>
                <w:lang w:eastAsia="en-AU"/>
              </w:rPr>
              <w:tab/>
            </w:r>
            <w:r w:rsidR="004D5B87" w:rsidRPr="00EE5974">
              <w:rPr>
                <w:rStyle w:val="Hyperlink"/>
              </w:rPr>
              <w:t>Non-financial performance</w:t>
            </w:r>
            <w:r w:rsidR="004D5B87">
              <w:rPr>
                <w:webHidden/>
              </w:rPr>
              <w:tab/>
            </w:r>
            <w:r w:rsidR="004D5B87">
              <w:rPr>
                <w:webHidden/>
              </w:rPr>
              <w:fldChar w:fldCharType="begin"/>
            </w:r>
            <w:r w:rsidR="004D5B87">
              <w:rPr>
                <w:webHidden/>
              </w:rPr>
              <w:instrText xml:space="preserve"> PAGEREF _Toc26363657 \h </w:instrText>
            </w:r>
            <w:r w:rsidR="004D5B87">
              <w:rPr>
                <w:webHidden/>
              </w:rPr>
            </w:r>
            <w:r w:rsidR="004D5B87">
              <w:rPr>
                <w:webHidden/>
              </w:rPr>
              <w:fldChar w:fldCharType="separate"/>
            </w:r>
            <w:r>
              <w:rPr>
                <w:webHidden/>
              </w:rPr>
              <w:t>26</w:t>
            </w:r>
            <w:r w:rsidR="004D5B87">
              <w:rPr>
                <w:webHidden/>
              </w:rPr>
              <w:fldChar w:fldCharType="end"/>
            </w:r>
          </w:hyperlink>
        </w:p>
        <w:p w:rsidR="004D5B87" w:rsidRDefault="006962CE">
          <w:pPr>
            <w:pStyle w:val="TOC1"/>
            <w:rPr>
              <w:rFonts w:asciiTheme="minorHAnsi" w:eastAsiaTheme="minorEastAsia" w:hAnsiTheme="minorHAnsi"/>
              <w:b w:val="0"/>
              <w:lang w:eastAsia="en-AU"/>
            </w:rPr>
          </w:pPr>
          <w:hyperlink w:anchor="_Toc26363658" w:history="1">
            <w:r w:rsidR="004D5B87" w:rsidRPr="00EE5974">
              <w:rPr>
                <w:rStyle w:val="Hyperlink"/>
              </w:rPr>
              <w:t>9</w:t>
            </w:r>
            <w:r w:rsidR="004D5B87">
              <w:rPr>
                <w:rFonts w:asciiTheme="minorHAnsi" w:eastAsiaTheme="minorEastAsia" w:hAnsiTheme="minorHAnsi"/>
                <w:b w:val="0"/>
                <w:lang w:eastAsia="en-AU"/>
              </w:rPr>
              <w:tab/>
            </w:r>
            <w:r w:rsidR="004D5B87" w:rsidRPr="00EE5974">
              <w:rPr>
                <w:rStyle w:val="Hyperlink"/>
              </w:rPr>
              <w:t>Key dates and events</w:t>
            </w:r>
            <w:r w:rsidR="004D5B87">
              <w:rPr>
                <w:webHidden/>
              </w:rPr>
              <w:tab/>
            </w:r>
            <w:r w:rsidR="004D5B87">
              <w:rPr>
                <w:webHidden/>
              </w:rPr>
              <w:fldChar w:fldCharType="begin"/>
            </w:r>
            <w:r w:rsidR="004D5B87">
              <w:rPr>
                <w:webHidden/>
              </w:rPr>
              <w:instrText xml:space="preserve"> PAGEREF _Toc26363658 \h </w:instrText>
            </w:r>
            <w:r w:rsidR="004D5B87">
              <w:rPr>
                <w:webHidden/>
              </w:rPr>
            </w:r>
            <w:r w:rsidR="004D5B87">
              <w:rPr>
                <w:webHidden/>
              </w:rPr>
              <w:fldChar w:fldCharType="separate"/>
            </w:r>
            <w:r>
              <w:rPr>
                <w:webHidden/>
              </w:rPr>
              <w:t>27</w:t>
            </w:r>
            <w:r w:rsidR="004D5B87">
              <w:rPr>
                <w:webHidden/>
              </w:rPr>
              <w:fldChar w:fldCharType="end"/>
            </w:r>
          </w:hyperlink>
        </w:p>
        <w:p w:rsidR="004D5B87" w:rsidRDefault="006962CE">
          <w:pPr>
            <w:pStyle w:val="TOC1"/>
            <w:rPr>
              <w:rFonts w:asciiTheme="minorHAnsi" w:eastAsiaTheme="minorEastAsia" w:hAnsiTheme="minorHAnsi"/>
              <w:b w:val="0"/>
              <w:lang w:eastAsia="en-AU"/>
            </w:rPr>
          </w:pPr>
          <w:hyperlink w:anchor="_Toc26363659" w:history="1">
            <w:r w:rsidR="004D5B87" w:rsidRPr="00EE5974">
              <w:rPr>
                <w:rStyle w:val="Hyperlink"/>
              </w:rPr>
              <w:t>10</w:t>
            </w:r>
            <w:r w:rsidR="004D5B87">
              <w:rPr>
                <w:rFonts w:asciiTheme="minorHAnsi" w:eastAsiaTheme="minorEastAsia" w:hAnsiTheme="minorHAnsi"/>
                <w:b w:val="0"/>
                <w:lang w:eastAsia="en-AU"/>
              </w:rPr>
              <w:tab/>
            </w:r>
            <w:r w:rsidR="004D5B87" w:rsidRPr="00EE5974">
              <w:rPr>
                <w:rStyle w:val="Hyperlink"/>
              </w:rPr>
              <w:t>CRIS approval and change register</w:t>
            </w:r>
            <w:r w:rsidR="004D5B87">
              <w:rPr>
                <w:webHidden/>
              </w:rPr>
              <w:tab/>
            </w:r>
            <w:r w:rsidR="004D5B87">
              <w:rPr>
                <w:webHidden/>
              </w:rPr>
              <w:fldChar w:fldCharType="begin"/>
            </w:r>
            <w:r w:rsidR="004D5B87">
              <w:rPr>
                <w:webHidden/>
              </w:rPr>
              <w:instrText xml:space="preserve"> PAGEREF _Toc26363659 \h </w:instrText>
            </w:r>
            <w:r w:rsidR="004D5B87">
              <w:rPr>
                <w:webHidden/>
              </w:rPr>
            </w:r>
            <w:r w:rsidR="004D5B87">
              <w:rPr>
                <w:webHidden/>
              </w:rPr>
              <w:fldChar w:fldCharType="separate"/>
            </w:r>
            <w:r>
              <w:rPr>
                <w:webHidden/>
              </w:rPr>
              <w:t>28</w:t>
            </w:r>
            <w:r w:rsidR="004D5B87">
              <w:rPr>
                <w:webHidden/>
              </w:rPr>
              <w:fldChar w:fldCharType="end"/>
            </w:r>
          </w:hyperlink>
        </w:p>
        <w:p w:rsidR="004D5B87" w:rsidRDefault="006962CE">
          <w:pPr>
            <w:pStyle w:val="TOC1"/>
            <w:rPr>
              <w:rFonts w:asciiTheme="minorHAnsi" w:eastAsiaTheme="minorEastAsia" w:hAnsiTheme="minorHAnsi"/>
              <w:b w:val="0"/>
              <w:lang w:eastAsia="en-AU"/>
            </w:rPr>
          </w:pPr>
          <w:hyperlink w:anchor="_Toc26363660" w:history="1">
            <w:r w:rsidR="004D5B87" w:rsidRPr="00EE5974">
              <w:rPr>
                <w:rStyle w:val="Hyperlink"/>
              </w:rPr>
              <w:t>Appendix A: Description of cost model activities</w:t>
            </w:r>
            <w:r w:rsidR="004D5B87">
              <w:rPr>
                <w:webHidden/>
              </w:rPr>
              <w:tab/>
            </w:r>
            <w:r w:rsidR="004D5B87">
              <w:rPr>
                <w:webHidden/>
              </w:rPr>
              <w:fldChar w:fldCharType="begin"/>
            </w:r>
            <w:r w:rsidR="004D5B87">
              <w:rPr>
                <w:webHidden/>
              </w:rPr>
              <w:instrText xml:space="preserve"> PAGEREF _Toc26363660 \h </w:instrText>
            </w:r>
            <w:r w:rsidR="004D5B87">
              <w:rPr>
                <w:webHidden/>
              </w:rPr>
            </w:r>
            <w:r w:rsidR="004D5B87">
              <w:rPr>
                <w:webHidden/>
              </w:rPr>
              <w:fldChar w:fldCharType="separate"/>
            </w:r>
            <w:r>
              <w:rPr>
                <w:webHidden/>
              </w:rPr>
              <w:t>29</w:t>
            </w:r>
            <w:r w:rsidR="004D5B87">
              <w:rPr>
                <w:webHidden/>
              </w:rPr>
              <w:fldChar w:fldCharType="end"/>
            </w:r>
          </w:hyperlink>
        </w:p>
        <w:p w:rsidR="004D5B87" w:rsidRDefault="006962CE">
          <w:pPr>
            <w:pStyle w:val="TOC2"/>
            <w:rPr>
              <w:rFonts w:asciiTheme="minorHAnsi" w:eastAsiaTheme="minorEastAsia" w:hAnsiTheme="minorHAnsi"/>
              <w:lang w:eastAsia="en-AU"/>
            </w:rPr>
          </w:pPr>
          <w:hyperlink w:anchor="_Toc26363661" w:history="1">
            <w:r w:rsidR="004D5B87" w:rsidRPr="00EE5974">
              <w:rPr>
                <w:rStyle w:val="Hyperlink"/>
                <w:lang w:eastAsia="ja-JP"/>
              </w:rPr>
              <w:t>Program management and administration activities</w:t>
            </w:r>
            <w:r w:rsidR="004D5B87">
              <w:rPr>
                <w:webHidden/>
              </w:rPr>
              <w:tab/>
            </w:r>
            <w:r w:rsidR="004D5B87">
              <w:rPr>
                <w:webHidden/>
              </w:rPr>
              <w:fldChar w:fldCharType="begin"/>
            </w:r>
            <w:r w:rsidR="004D5B87">
              <w:rPr>
                <w:webHidden/>
              </w:rPr>
              <w:instrText xml:space="preserve"> PAGEREF _Toc26363661 \h </w:instrText>
            </w:r>
            <w:r w:rsidR="004D5B87">
              <w:rPr>
                <w:webHidden/>
              </w:rPr>
            </w:r>
            <w:r w:rsidR="004D5B87">
              <w:rPr>
                <w:webHidden/>
              </w:rPr>
              <w:fldChar w:fldCharType="separate"/>
            </w:r>
            <w:r>
              <w:rPr>
                <w:webHidden/>
              </w:rPr>
              <w:t>29</w:t>
            </w:r>
            <w:r w:rsidR="004D5B87">
              <w:rPr>
                <w:webHidden/>
              </w:rPr>
              <w:fldChar w:fldCharType="end"/>
            </w:r>
          </w:hyperlink>
        </w:p>
        <w:p w:rsidR="004D5B87" w:rsidRDefault="006962CE">
          <w:pPr>
            <w:pStyle w:val="TOC2"/>
            <w:rPr>
              <w:rFonts w:asciiTheme="minorHAnsi" w:eastAsiaTheme="minorEastAsia" w:hAnsiTheme="minorHAnsi"/>
              <w:lang w:eastAsia="en-AU"/>
            </w:rPr>
          </w:pPr>
          <w:hyperlink w:anchor="_Toc26363662" w:history="1">
            <w:r w:rsidR="004D5B87" w:rsidRPr="00EE5974">
              <w:rPr>
                <w:rStyle w:val="Hyperlink"/>
                <w:lang w:eastAsia="ja-JP"/>
              </w:rPr>
              <w:t>Assurance activities</w:t>
            </w:r>
            <w:r w:rsidR="004D5B87">
              <w:rPr>
                <w:webHidden/>
              </w:rPr>
              <w:tab/>
            </w:r>
            <w:r w:rsidR="004D5B87">
              <w:rPr>
                <w:webHidden/>
              </w:rPr>
              <w:fldChar w:fldCharType="begin"/>
            </w:r>
            <w:r w:rsidR="004D5B87">
              <w:rPr>
                <w:webHidden/>
              </w:rPr>
              <w:instrText xml:space="preserve"> PAGEREF _Toc26363662 \h </w:instrText>
            </w:r>
            <w:r w:rsidR="004D5B87">
              <w:rPr>
                <w:webHidden/>
              </w:rPr>
            </w:r>
            <w:r w:rsidR="004D5B87">
              <w:rPr>
                <w:webHidden/>
              </w:rPr>
              <w:fldChar w:fldCharType="separate"/>
            </w:r>
            <w:r>
              <w:rPr>
                <w:webHidden/>
              </w:rPr>
              <w:t>30</w:t>
            </w:r>
            <w:r w:rsidR="004D5B87">
              <w:rPr>
                <w:webHidden/>
              </w:rPr>
              <w:fldChar w:fldCharType="end"/>
            </w:r>
          </w:hyperlink>
        </w:p>
        <w:p w:rsidR="004D5B87" w:rsidRDefault="006962CE">
          <w:pPr>
            <w:pStyle w:val="TOC2"/>
            <w:rPr>
              <w:rFonts w:asciiTheme="minorHAnsi" w:eastAsiaTheme="minorEastAsia" w:hAnsiTheme="minorHAnsi"/>
              <w:lang w:eastAsia="en-AU"/>
            </w:rPr>
          </w:pPr>
          <w:hyperlink w:anchor="_Toc26363663" w:history="1">
            <w:r w:rsidR="004D5B87" w:rsidRPr="00EE5974">
              <w:rPr>
                <w:rStyle w:val="Hyperlink"/>
                <w:lang w:eastAsia="ja-JP"/>
              </w:rPr>
              <w:t>Incident management activities</w:t>
            </w:r>
            <w:r w:rsidR="004D5B87">
              <w:rPr>
                <w:webHidden/>
              </w:rPr>
              <w:tab/>
            </w:r>
            <w:r w:rsidR="004D5B87">
              <w:rPr>
                <w:webHidden/>
              </w:rPr>
              <w:fldChar w:fldCharType="begin"/>
            </w:r>
            <w:r w:rsidR="004D5B87">
              <w:rPr>
                <w:webHidden/>
              </w:rPr>
              <w:instrText xml:space="preserve"> PAGEREF _Toc26363663 \h </w:instrText>
            </w:r>
            <w:r w:rsidR="004D5B87">
              <w:rPr>
                <w:webHidden/>
              </w:rPr>
            </w:r>
            <w:r w:rsidR="004D5B87">
              <w:rPr>
                <w:webHidden/>
              </w:rPr>
              <w:fldChar w:fldCharType="separate"/>
            </w:r>
            <w:r>
              <w:rPr>
                <w:webHidden/>
              </w:rPr>
              <w:t>30</w:t>
            </w:r>
            <w:r w:rsidR="004D5B87">
              <w:rPr>
                <w:webHidden/>
              </w:rPr>
              <w:fldChar w:fldCharType="end"/>
            </w:r>
          </w:hyperlink>
        </w:p>
        <w:p w:rsidR="004D5B87" w:rsidRDefault="006962CE">
          <w:pPr>
            <w:pStyle w:val="TOC2"/>
            <w:rPr>
              <w:rFonts w:asciiTheme="minorHAnsi" w:eastAsiaTheme="minorEastAsia" w:hAnsiTheme="minorHAnsi"/>
              <w:lang w:eastAsia="en-AU"/>
            </w:rPr>
          </w:pPr>
          <w:hyperlink w:anchor="_Toc26363664" w:history="1">
            <w:r w:rsidR="004D5B87" w:rsidRPr="00EE5974">
              <w:rPr>
                <w:rStyle w:val="Hyperlink"/>
                <w:lang w:eastAsia="ja-JP"/>
              </w:rPr>
              <w:t>Intervention activities</w:t>
            </w:r>
            <w:r w:rsidR="004D5B87">
              <w:rPr>
                <w:webHidden/>
              </w:rPr>
              <w:tab/>
            </w:r>
            <w:r w:rsidR="004D5B87">
              <w:rPr>
                <w:webHidden/>
              </w:rPr>
              <w:fldChar w:fldCharType="begin"/>
            </w:r>
            <w:r w:rsidR="004D5B87">
              <w:rPr>
                <w:webHidden/>
              </w:rPr>
              <w:instrText xml:space="preserve"> PAGEREF _Toc26363664 \h </w:instrText>
            </w:r>
            <w:r w:rsidR="004D5B87">
              <w:rPr>
                <w:webHidden/>
              </w:rPr>
            </w:r>
            <w:r w:rsidR="004D5B87">
              <w:rPr>
                <w:webHidden/>
              </w:rPr>
              <w:fldChar w:fldCharType="separate"/>
            </w:r>
            <w:r>
              <w:rPr>
                <w:webHidden/>
              </w:rPr>
              <w:t>31</w:t>
            </w:r>
            <w:r w:rsidR="004D5B87">
              <w:rPr>
                <w:webHidden/>
              </w:rPr>
              <w:fldChar w:fldCharType="end"/>
            </w:r>
          </w:hyperlink>
        </w:p>
        <w:p w:rsidR="009B4C98" w:rsidRDefault="005F192D">
          <w:pPr>
            <w:rPr>
              <w:rStyle w:val="Strong"/>
              <w:b w:val="0"/>
              <w:bCs w:val="0"/>
            </w:rPr>
          </w:pPr>
          <w:r>
            <w:rPr>
              <w:b/>
              <w:bCs/>
              <w:noProof/>
            </w:rPr>
            <w:fldChar w:fldCharType="end"/>
          </w:r>
        </w:p>
      </w:sdtContent>
    </w:sdt>
    <w:p w:rsidR="00ED7ECD" w:rsidRDefault="00ED7ECD">
      <w:pPr>
        <w:spacing w:after="0" w:line="240" w:lineRule="auto"/>
        <w:rPr>
          <w:rStyle w:val="Strong"/>
          <w:rFonts w:ascii="Calibri Light" w:hAnsi="Calibri Light"/>
          <w:sz w:val="36"/>
        </w:rPr>
      </w:pPr>
      <w:r>
        <w:rPr>
          <w:rStyle w:val="Strong"/>
        </w:rPr>
        <w:br w:type="page"/>
      </w:r>
    </w:p>
    <w:p w:rsidR="009B4C98" w:rsidRDefault="005F192D">
      <w:pPr>
        <w:pStyle w:val="TOCHeading2"/>
        <w:keepNext/>
        <w:rPr>
          <w:rStyle w:val="Strong"/>
        </w:rPr>
      </w:pPr>
      <w:r>
        <w:rPr>
          <w:rStyle w:val="Strong"/>
        </w:rPr>
        <w:lastRenderedPageBreak/>
        <w:t>Tables</w:t>
      </w:r>
    </w:p>
    <w:p w:rsidR="004D5B87" w:rsidRDefault="005F192D">
      <w:pPr>
        <w:pStyle w:val="TableofFigures"/>
        <w:tabs>
          <w:tab w:val="right" w:leader="dot" w:pos="9060"/>
        </w:tabs>
        <w:rPr>
          <w:rFonts w:asciiTheme="minorHAnsi" w:eastAsiaTheme="minorEastAsia" w:hAnsiTheme="minorHAnsi"/>
          <w:noProof/>
          <w:lang w:eastAsia="en-AU"/>
        </w:rPr>
      </w:pPr>
      <w:r>
        <w:rPr>
          <w:rStyle w:val="Hyperlink"/>
        </w:rPr>
        <w:fldChar w:fldCharType="begin"/>
      </w:r>
      <w:r>
        <w:rPr>
          <w:rStyle w:val="Hyperlink"/>
          <w:noProof/>
        </w:rPr>
        <w:instrText xml:space="preserve"> TOC \h \z \c "Table" </w:instrText>
      </w:r>
      <w:r>
        <w:rPr>
          <w:rStyle w:val="Hyperlink"/>
        </w:rPr>
        <w:fldChar w:fldCharType="separate"/>
      </w:r>
      <w:hyperlink w:anchor="_Toc26363665" w:history="1">
        <w:r w:rsidR="004D5B87" w:rsidRPr="006D7CB7">
          <w:rPr>
            <w:rStyle w:val="Hyperlink"/>
            <w:noProof/>
          </w:rPr>
          <w:t>Table 1 Cost type breakdown for biosecurity cost recovery arrangement, by activity</w:t>
        </w:r>
        <w:r w:rsidR="004D5B87">
          <w:rPr>
            <w:noProof/>
            <w:webHidden/>
          </w:rPr>
          <w:tab/>
        </w:r>
        <w:r w:rsidR="004D5B87">
          <w:rPr>
            <w:noProof/>
            <w:webHidden/>
          </w:rPr>
          <w:fldChar w:fldCharType="begin"/>
        </w:r>
        <w:r w:rsidR="004D5B87">
          <w:rPr>
            <w:noProof/>
            <w:webHidden/>
          </w:rPr>
          <w:instrText xml:space="preserve"> PAGEREF _Toc26363665 \h </w:instrText>
        </w:r>
        <w:r w:rsidR="004D5B87">
          <w:rPr>
            <w:noProof/>
            <w:webHidden/>
          </w:rPr>
        </w:r>
        <w:r w:rsidR="004D5B87">
          <w:rPr>
            <w:noProof/>
            <w:webHidden/>
          </w:rPr>
          <w:fldChar w:fldCharType="separate"/>
        </w:r>
        <w:r w:rsidR="006962CE">
          <w:rPr>
            <w:noProof/>
            <w:webHidden/>
          </w:rPr>
          <w:t>16</w:t>
        </w:r>
        <w:r w:rsidR="004D5B87">
          <w:rPr>
            <w:noProof/>
            <w:webHidden/>
          </w:rPr>
          <w:fldChar w:fldCharType="end"/>
        </w:r>
      </w:hyperlink>
    </w:p>
    <w:p w:rsidR="004D5B87" w:rsidRDefault="006962CE">
      <w:pPr>
        <w:pStyle w:val="TableofFigures"/>
        <w:tabs>
          <w:tab w:val="right" w:leader="dot" w:pos="9060"/>
        </w:tabs>
        <w:rPr>
          <w:rFonts w:asciiTheme="minorHAnsi" w:eastAsiaTheme="minorEastAsia" w:hAnsiTheme="minorHAnsi"/>
          <w:noProof/>
          <w:lang w:eastAsia="en-AU"/>
        </w:rPr>
      </w:pPr>
      <w:hyperlink w:anchor="_Toc26363666" w:history="1">
        <w:r w:rsidR="004D5B87" w:rsidRPr="006D7CB7">
          <w:rPr>
            <w:rStyle w:val="Hyperlink"/>
            <w:noProof/>
          </w:rPr>
          <w:t>Table 2 Biosecurity cost recovery arrangement cost breakdown 2020</w:t>
        </w:r>
        <w:r w:rsidR="004D5B87" w:rsidRPr="006D7CB7">
          <w:rPr>
            <w:rStyle w:val="Hyperlink"/>
            <w:rFonts w:asciiTheme="majorHAnsi" w:hAnsiTheme="majorHAnsi"/>
            <w:noProof/>
            <w:lang w:eastAsia="ja-JP"/>
          </w:rPr>
          <w:t>–</w:t>
        </w:r>
        <w:r w:rsidR="004D5B87" w:rsidRPr="006D7CB7">
          <w:rPr>
            <w:rStyle w:val="Hyperlink"/>
            <w:noProof/>
          </w:rPr>
          <w:t>21</w:t>
        </w:r>
        <w:r w:rsidR="004D5B87">
          <w:rPr>
            <w:noProof/>
            <w:webHidden/>
          </w:rPr>
          <w:tab/>
        </w:r>
        <w:r w:rsidR="004D5B87">
          <w:rPr>
            <w:noProof/>
            <w:webHidden/>
          </w:rPr>
          <w:fldChar w:fldCharType="begin"/>
        </w:r>
        <w:r w:rsidR="004D5B87">
          <w:rPr>
            <w:noProof/>
            <w:webHidden/>
          </w:rPr>
          <w:instrText xml:space="preserve"> PAGEREF _Toc26363666 \h </w:instrText>
        </w:r>
        <w:r w:rsidR="004D5B87">
          <w:rPr>
            <w:noProof/>
            <w:webHidden/>
          </w:rPr>
        </w:r>
        <w:r w:rsidR="004D5B87">
          <w:rPr>
            <w:noProof/>
            <w:webHidden/>
          </w:rPr>
          <w:fldChar w:fldCharType="separate"/>
        </w:r>
        <w:r>
          <w:rPr>
            <w:noProof/>
            <w:webHidden/>
          </w:rPr>
          <w:t>17</w:t>
        </w:r>
        <w:r w:rsidR="004D5B87">
          <w:rPr>
            <w:noProof/>
            <w:webHidden/>
          </w:rPr>
          <w:fldChar w:fldCharType="end"/>
        </w:r>
      </w:hyperlink>
    </w:p>
    <w:p w:rsidR="004D5B87" w:rsidRDefault="006962CE">
      <w:pPr>
        <w:pStyle w:val="TableofFigures"/>
        <w:tabs>
          <w:tab w:val="right" w:leader="dot" w:pos="9060"/>
        </w:tabs>
        <w:rPr>
          <w:rFonts w:asciiTheme="minorHAnsi" w:eastAsiaTheme="minorEastAsia" w:hAnsiTheme="minorHAnsi"/>
          <w:noProof/>
          <w:lang w:eastAsia="en-AU"/>
        </w:rPr>
      </w:pPr>
      <w:hyperlink w:anchor="_Toc26363667" w:history="1">
        <w:r w:rsidR="004D5B87" w:rsidRPr="006D7CB7">
          <w:rPr>
            <w:rStyle w:val="Hyperlink"/>
            <w:noProof/>
          </w:rPr>
          <w:t>Table 3 Changes to biosecurity arrangement cost base</w:t>
        </w:r>
        <w:r w:rsidR="004D5B87">
          <w:rPr>
            <w:noProof/>
            <w:webHidden/>
          </w:rPr>
          <w:tab/>
        </w:r>
        <w:r w:rsidR="004D5B87">
          <w:rPr>
            <w:noProof/>
            <w:webHidden/>
          </w:rPr>
          <w:fldChar w:fldCharType="begin"/>
        </w:r>
        <w:r w:rsidR="004D5B87">
          <w:rPr>
            <w:noProof/>
            <w:webHidden/>
          </w:rPr>
          <w:instrText xml:space="preserve"> PAGEREF _Toc26363667 \h </w:instrText>
        </w:r>
        <w:r w:rsidR="004D5B87">
          <w:rPr>
            <w:noProof/>
            <w:webHidden/>
          </w:rPr>
        </w:r>
        <w:r w:rsidR="004D5B87">
          <w:rPr>
            <w:noProof/>
            <w:webHidden/>
          </w:rPr>
          <w:fldChar w:fldCharType="separate"/>
        </w:r>
        <w:r>
          <w:rPr>
            <w:noProof/>
            <w:webHidden/>
          </w:rPr>
          <w:t>17</w:t>
        </w:r>
        <w:r w:rsidR="004D5B87">
          <w:rPr>
            <w:noProof/>
            <w:webHidden/>
          </w:rPr>
          <w:fldChar w:fldCharType="end"/>
        </w:r>
      </w:hyperlink>
    </w:p>
    <w:p w:rsidR="004D5B87" w:rsidRDefault="006962CE">
      <w:pPr>
        <w:pStyle w:val="TableofFigures"/>
        <w:tabs>
          <w:tab w:val="right" w:leader="dot" w:pos="9060"/>
        </w:tabs>
        <w:rPr>
          <w:rFonts w:asciiTheme="minorHAnsi" w:eastAsiaTheme="minorEastAsia" w:hAnsiTheme="minorHAnsi"/>
          <w:noProof/>
          <w:lang w:eastAsia="en-AU"/>
        </w:rPr>
      </w:pPr>
      <w:hyperlink w:anchor="_Toc26363668" w:history="1">
        <w:r w:rsidR="004D5B87" w:rsidRPr="006D7CB7">
          <w:rPr>
            <w:rStyle w:val="Hyperlink"/>
            <w:noProof/>
          </w:rPr>
          <w:t>Table 4 Fees, charges and volumes for biosecurity cost recovery arrangement, 2019–20 to 2020–21</w:t>
        </w:r>
        <w:r w:rsidR="004D5B87">
          <w:rPr>
            <w:noProof/>
            <w:webHidden/>
          </w:rPr>
          <w:tab/>
        </w:r>
        <w:r w:rsidR="004D5B87">
          <w:rPr>
            <w:noProof/>
            <w:webHidden/>
          </w:rPr>
          <w:fldChar w:fldCharType="begin"/>
        </w:r>
        <w:r w:rsidR="004D5B87">
          <w:rPr>
            <w:noProof/>
            <w:webHidden/>
          </w:rPr>
          <w:instrText xml:space="preserve"> PAGEREF _Toc26363668 \h </w:instrText>
        </w:r>
        <w:r w:rsidR="004D5B87">
          <w:rPr>
            <w:noProof/>
            <w:webHidden/>
          </w:rPr>
        </w:r>
        <w:r w:rsidR="004D5B87">
          <w:rPr>
            <w:noProof/>
            <w:webHidden/>
          </w:rPr>
          <w:fldChar w:fldCharType="separate"/>
        </w:r>
        <w:r>
          <w:rPr>
            <w:noProof/>
            <w:webHidden/>
          </w:rPr>
          <w:t>19</w:t>
        </w:r>
        <w:r w:rsidR="004D5B87">
          <w:rPr>
            <w:noProof/>
            <w:webHidden/>
          </w:rPr>
          <w:fldChar w:fldCharType="end"/>
        </w:r>
      </w:hyperlink>
    </w:p>
    <w:p w:rsidR="004D5B87" w:rsidRDefault="006962CE">
      <w:pPr>
        <w:pStyle w:val="TableofFigures"/>
        <w:tabs>
          <w:tab w:val="right" w:leader="dot" w:pos="9060"/>
        </w:tabs>
        <w:rPr>
          <w:rFonts w:asciiTheme="minorHAnsi" w:eastAsiaTheme="minorEastAsia" w:hAnsiTheme="minorHAnsi"/>
          <w:noProof/>
          <w:lang w:eastAsia="en-AU"/>
        </w:rPr>
      </w:pPr>
      <w:hyperlink w:anchor="_Toc26363669" w:history="1">
        <w:r w:rsidR="004D5B87" w:rsidRPr="006D7CB7">
          <w:rPr>
            <w:rStyle w:val="Hyperlink"/>
            <w:noProof/>
          </w:rPr>
          <w:t>Table 5 Risks for biosecurity cost recovery arrangement</w:t>
        </w:r>
        <w:r w:rsidR="004D5B87">
          <w:rPr>
            <w:noProof/>
            <w:webHidden/>
          </w:rPr>
          <w:tab/>
        </w:r>
        <w:r w:rsidR="004D5B87">
          <w:rPr>
            <w:noProof/>
            <w:webHidden/>
          </w:rPr>
          <w:fldChar w:fldCharType="begin"/>
        </w:r>
        <w:r w:rsidR="004D5B87">
          <w:rPr>
            <w:noProof/>
            <w:webHidden/>
          </w:rPr>
          <w:instrText xml:space="preserve"> PAGEREF _Toc26363669 \h </w:instrText>
        </w:r>
        <w:r w:rsidR="004D5B87">
          <w:rPr>
            <w:noProof/>
            <w:webHidden/>
          </w:rPr>
        </w:r>
        <w:r w:rsidR="004D5B87">
          <w:rPr>
            <w:noProof/>
            <w:webHidden/>
          </w:rPr>
          <w:fldChar w:fldCharType="separate"/>
        </w:r>
        <w:r>
          <w:rPr>
            <w:noProof/>
            <w:webHidden/>
          </w:rPr>
          <w:t>21</w:t>
        </w:r>
        <w:r w:rsidR="004D5B87">
          <w:rPr>
            <w:noProof/>
            <w:webHidden/>
          </w:rPr>
          <w:fldChar w:fldCharType="end"/>
        </w:r>
      </w:hyperlink>
    </w:p>
    <w:p w:rsidR="004D5B87" w:rsidRDefault="006962CE">
      <w:pPr>
        <w:pStyle w:val="TableofFigures"/>
        <w:tabs>
          <w:tab w:val="right" w:leader="dot" w:pos="9060"/>
        </w:tabs>
        <w:rPr>
          <w:rFonts w:asciiTheme="minorHAnsi" w:eastAsiaTheme="minorEastAsia" w:hAnsiTheme="minorHAnsi"/>
          <w:noProof/>
          <w:lang w:eastAsia="en-AU"/>
        </w:rPr>
      </w:pPr>
      <w:hyperlink w:anchor="_Toc26363670" w:history="1">
        <w:r w:rsidR="004D5B87" w:rsidRPr="006D7CB7">
          <w:rPr>
            <w:rStyle w:val="Hyperlink"/>
            <w:noProof/>
          </w:rPr>
          <w:t>Table 6 Financial estimates for biosecurity cost recovery arrangement, 2019–20 to 2023–24</w:t>
        </w:r>
        <w:r w:rsidR="004D5B87">
          <w:rPr>
            <w:noProof/>
            <w:webHidden/>
          </w:rPr>
          <w:tab/>
        </w:r>
        <w:r w:rsidR="004D5B87">
          <w:rPr>
            <w:noProof/>
            <w:webHidden/>
          </w:rPr>
          <w:fldChar w:fldCharType="begin"/>
        </w:r>
        <w:r w:rsidR="004D5B87">
          <w:rPr>
            <w:noProof/>
            <w:webHidden/>
          </w:rPr>
          <w:instrText xml:space="preserve"> PAGEREF _Toc26363670 \h </w:instrText>
        </w:r>
        <w:r w:rsidR="004D5B87">
          <w:rPr>
            <w:noProof/>
            <w:webHidden/>
          </w:rPr>
        </w:r>
        <w:r w:rsidR="004D5B87">
          <w:rPr>
            <w:noProof/>
            <w:webHidden/>
          </w:rPr>
          <w:fldChar w:fldCharType="separate"/>
        </w:r>
        <w:r>
          <w:rPr>
            <w:noProof/>
            <w:webHidden/>
          </w:rPr>
          <w:t>24</w:t>
        </w:r>
        <w:r w:rsidR="004D5B87">
          <w:rPr>
            <w:noProof/>
            <w:webHidden/>
          </w:rPr>
          <w:fldChar w:fldCharType="end"/>
        </w:r>
      </w:hyperlink>
    </w:p>
    <w:p w:rsidR="004D5B87" w:rsidRDefault="006962CE">
      <w:pPr>
        <w:pStyle w:val="TableofFigures"/>
        <w:tabs>
          <w:tab w:val="right" w:leader="dot" w:pos="9060"/>
        </w:tabs>
        <w:rPr>
          <w:rFonts w:asciiTheme="minorHAnsi" w:eastAsiaTheme="minorEastAsia" w:hAnsiTheme="minorHAnsi"/>
          <w:noProof/>
          <w:lang w:eastAsia="en-AU"/>
        </w:rPr>
      </w:pPr>
      <w:hyperlink w:anchor="_Toc26363671" w:history="1">
        <w:r w:rsidR="004D5B87" w:rsidRPr="006D7CB7">
          <w:rPr>
            <w:rStyle w:val="Hyperlink"/>
            <w:noProof/>
          </w:rPr>
          <w:t>Table 7 Financial performance for biosecurity cost recovery arrangement, 2015–16 to 2018–19</w:t>
        </w:r>
        <w:r w:rsidR="004D5B87">
          <w:rPr>
            <w:noProof/>
            <w:webHidden/>
          </w:rPr>
          <w:tab/>
        </w:r>
        <w:r w:rsidR="004D5B87">
          <w:rPr>
            <w:noProof/>
            <w:webHidden/>
          </w:rPr>
          <w:fldChar w:fldCharType="begin"/>
        </w:r>
        <w:r w:rsidR="004D5B87">
          <w:rPr>
            <w:noProof/>
            <w:webHidden/>
          </w:rPr>
          <w:instrText xml:space="preserve"> PAGEREF _Toc26363671 \h </w:instrText>
        </w:r>
        <w:r w:rsidR="004D5B87">
          <w:rPr>
            <w:noProof/>
            <w:webHidden/>
          </w:rPr>
        </w:r>
        <w:r w:rsidR="004D5B87">
          <w:rPr>
            <w:noProof/>
            <w:webHidden/>
          </w:rPr>
          <w:fldChar w:fldCharType="separate"/>
        </w:r>
        <w:r>
          <w:rPr>
            <w:noProof/>
            <w:webHidden/>
          </w:rPr>
          <w:t>25</w:t>
        </w:r>
        <w:r w:rsidR="004D5B87">
          <w:rPr>
            <w:noProof/>
            <w:webHidden/>
          </w:rPr>
          <w:fldChar w:fldCharType="end"/>
        </w:r>
      </w:hyperlink>
    </w:p>
    <w:p w:rsidR="004D5B87" w:rsidRDefault="006962CE">
      <w:pPr>
        <w:pStyle w:val="TableofFigures"/>
        <w:tabs>
          <w:tab w:val="right" w:leader="dot" w:pos="9060"/>
        </w:tabs>
        <w:rPr>
          <w:rFonts w:asciiTheme="minorHAnsi" w:eastAsiaTheme="minorEastAsia" w:hAnsiTheme="minorHAnsi"/>
          <w:noProof/>
          <w:lang w:eastAsia="en-AU"/>
        </w:rPr>
      </w:pPr>
      <w:hyperlink w:anchor="_Toc26363672" w:history="1">
        <w:r w:rsidR="004D5B87" w:rsidRPr="006D7CB7">
          <w:rPr>
            <w:rStyle w:val="Hyperlink"/>
            <w:noProof/>
          </w:rPr>
          <w:t>Table 8 Non-financial performance measures for biosecurity cost recovery arrangement, 2018–19 to 2023–24</w:t>
        </w:r>
        <w:r w:rsidR="004D5B87">
          <w:rPr>
            <w:noProof/>
            <w:webHidden/>
          </w:rPr>
          <w:tab/>
        </w:r>
        <w:r w:rsidR="004D5B87">
          <w:rPr>
            <w:noProof/>
            <w:webHidden/>
          </w:rPr>
          <w:fldChar w:fldCharType="begin"/>
        </w:r>
        <w:r w:rsidR="004D5B87">
          <w:rPr>
            <w:noProof/>
            <w:webHidden/>
          </w:rPr>
          <w:instrText xml:space="preserve"> PAGEREF _Toc26363672 \h </w:instrText>
        </w:r>
        <w:r w:rsidR="004D5B87">
          <w:rPr>
            <w:noProof/>
            <w:webHidden/>
          </w:rPr>
        </w:r>
        <w:r w:rsidR="004D5B87">
          <w:rPr>
            <w:noProof/>
            <w:webHidden/>
          </w:rPr>
          <w:fldChar w:fldCharType="separate"/>
        </w:r>
        <w:r>
          <w:rPr>
            <w:noProof/>
            <w:webHidden/>
          </w:rPr>
          <w:t>26</w:t>
        </w:r>
        <w:r w:rsidR="004D5B87">
          <w:rPr>
            <w:noProof/>
            <w:webHidden/>
          </w:rPr>
          <w:fldChar w:fldCharType="end"/>
        </w:r>
      </w:hyperlink>
    </w:p>
    <w:p w:rsidR="004D5B87" w:rsidRDefault="006962CE">
      <w:pPr>
        <w:pStyle w:val="TableofFigures"/>
        <w:tabs>
          <w:tab w:val="right" w:leader="dot" w:pos="9060"/>
        </w:tabs>
        <w:rPr>
          <w:rFonts w:asciiTheme="minorHAnsi" w:eastAsiaTheme="minorEastAsia" w:hAnsiTheme="minorHAnsi"/>
          <w:noProof/>
          <w:lang w:eastAsia="en-AU"/>
        </w:rPr>
      </w:pPr>
      <w:hyperlink w:anchor="_Toc26363673" w:history="1">
        <w:r w:rsidR="004D5B87" w:rsidRPr="006D7CB7">
          <w:rPr>
            <w:rStyle w:val="Hyperlink"/>
            <w:noProof/>
          </w:rPr>
          <w:t>Table 9 Change register</w:t>
        </w:r>
        <w:r w:rsidR="004D5B87">
          <w:rPr>
            <w:noProof/>
            <w:webHidden/>
          </w:rPr>
          <w:tab/>
        </w:r>
        <w:r w:rsidR="004D5B87">
          <w:rPr>
            <w:noProof/>
            <w:webHidden/>
          </w:rPr>
          <w:fldChar w:fldCharType="begin"/>
        </w:r>
        <w:r w:rsidR="004D5B87">
          <w:rPr>
            <w:noProof/>
            <w:webHidden/>
          </w:rPr>
          <w:instrText xml:space="preserve"> PAGEREF _Toc26363673 \h </w:instrText>
        </w:r>
        <w:r w:rsidR="004D5B87">
          <w:rPr>
            <w:noProof/>
            <w:webHidden/>
          </w:rPr>
        </w:r>
        <w:r w:rsidR="004D5B87">
          <w:rPr>
            <w:noProof/>
            <w:webHidden/>
          </w:rPr>
          <w:fldChar w:fldCharType="separate"/>
        </w:r>
        <w:r>
          <w:rPr>
            <w:noProof/>
            <w:webHidden/>
          </w:rPr>
          <w:t>28</w:t>
        </w:r>
        <w:r w:rsidR="004D5B87">
          <w:rPr>
            <w:noProof/>
            <w:webHidden/>
          </w:rPr>
          <w:fldChar w:fldCharType="end"/>
        </w:r>
      </w:hyperlink>
    </w:p>
    <w:p w:rsidR="009B4C98" w:rsidRDefault="005F192D">
      <w:pPr>
        <w:pStyle w:val="TableofFigures"/>
        <w:keepNext/>
        <w:tabs>
          <w:tab w:val="right" w:leader="dot" w:pos="9060"/>
        </w:tabs>
      </w:pPr>
      <w:r>
        <w:rPr>
          <w:noProof/>
        </w:rPr>
        <w:fldChar w:fldCharType="end"/>
      </w:r>
    </w:p>
    <w:p w:rsidR="009B4C98" w:rsidRDefault="005F192D">
      <w:pPr>
        <w:pStyle w:val="TOCHeading2"/>
        <w:keepNext/>
        <w:rPr>
          <w:rStyle w:val="Strong"/>
        </w:rPr>
      </w:pPr>
      <w:r>
        <w:rPr>
          <w:rStyle w:val="Strong"/>
        </w:rPr>
        <w:t>Figures</w:t>
      </w:r>
    </w:p>
    <w:p w:rsidR="004D5B87" w:rsidRDefault="005F192D">
      <w:pPr>
        <w:pStyle w:val="TableofFigures"/>
        <w:tabs>
          <w:tab w:val="right" w:leader="dot" w:pos="9060"/>
        </w:tabs>
        <w:rPr>
          <w:rFonts w:asciiTheme="minorHAnsi" w:eastAsiaTheme="minorEastAsia" w:hAnsiTheme="minorHAnsi"/>
          <w:noProof/>
          <w:lang w:eastAsia="en-AU"/>
        </w:rPr>
      </w:pPr>
      <w:r>
        <w:rPr>
          <w:rStyle w:val="Hyperlink"/>
          <w:highlight w:val="yellow"/>
        </w:rPr>
        <w:fldChar w:fldCharType="begin"/>
      </w:r>
      <w:r>
        <w:rPr>
          <w:rStyle w:val="Hyperlink"/>
          <w:noProof/>
          <w:highlight w:val="yellow"/>
        </w:rPr>
        <w:instrText xml:space="preserve"> TOC \h \z \c "Figure" </w:instrText>
      </w:r>
      <w:r>
        <w:rPr>
          <w:rStyle w:val="Hyperlink"/>
          <w:highlight w:val="yellow"/>
        </w:rPr>
        <w:fldChar w:fldCharType="separate"/>
      </w:r>
      <w:hyperlink w:anchor="_Toc26363981" w:history="1">
        <w:r w:rsidR="004D5B87" w:rsidRPr="00C66F28">
          <w:rPr>
            <w:rStyle w:val="Hyperlink"/>
            <w:noProof/>
          </w:rPr>
          <w:t>Fi</w:t>
        </w:r>
        <w:r w:rsidR="00A547A0">
          <w:rPr>
            <w:rStyle w:val="Hyperlink"/>
            <w:noProof/>
          </w:rPr>
          <w:t>gure 1 Levy and fees related activities</w:t>
        </w:r>
        <w:r w:rsidR="004D5B87">
          <w:rPr>
            <w:noProof/>
            <w:webHidden/>
          </w:rPr>
          <w:tab/>
        </w:r>
        <w:r w:rsidR="004D5B87">
          <w:rPr>
            <w:noProof/>
            <w:webHidden/>
          </w:rPr>
          <w:fldChar w:fldCharType="begin"/>
        </w:r>
        <w:r w:rsidR="004D5B87">
          <w:rPr>
            <w:noProof/>
            <w:webHidden/>
          </w:rPr>
          <w:instrText xml:space="preserve"> PAGEREF _Toc26363981 \h </w:instrText>
        </w:r>
        <w:r w:rsidR="004D5B87">
          <w:rPr>
            <w:noProof/>
            <w:webHidden/>
          </w:rPr>
        </w:r>
        <w:r w:rsidR="004D5B87">
          <w:rPr>
            <w:noProof/>
            <w:webHidden/>
          </w:rPr>
          <w:fldChar w:fldCharType="separate"/>
        </w:r>
        <w:r w:rsidR="006962CE">
          <w:rPr>
            <w:noProof/>
            <w:webHidden/>
          </w:rPr>
          <w:t>12</w:t>
        </w:r>
        <w:r w:rsidR="004D5B87">
          <w:rPr>
            <w:noProof/>
            <w:webHidden/>
          </w:rPr>
          <w:fldChar w:fldCharType="end"/>
        </w:r>
      </w:hyperlink>
    </w:p>
    <w:p w:rsidR="004D5B87" w:rsidRDefault="006962CE">
      <w:pPr>
        <w:pStyle w:val="TableofFigures"/>
        <w:tabs>
          <w:tab w:val="right" w:leader="dot" w:pos="9060"/>
        </w:tabs>
        <w:rPr>
          <w:rFonts w:asciiTheme="minorHAnsi" w:eastAsiaTheme="minorEastAsia" w:hAnsiTheme="minorHAnsi"/>
          <w:noProof/>
          <w:lang w:eastAsia="en-AU"/>
        </w:rPr>
      </w:pPr>
      <w:hyperlink w:anchor="_Toc26363982" w:history="1">
        <w:r w:rsidR="004D5B87" w:rsidRPr="00C66F28">
          <w:rPr>
            <w:rStyle w:val="Hyperlink"/>
            <w:noProof/>
          </w:rPr>
          <w:t>Figure 2 A</w:t>
        </w:r>
        <w:r w:rsidR="00A547A0">
          <w:rPr>
            <w:rStyle w:val="Hyperlink"/>
            <w:noProof/>
          </w:rPr>
          <w:t>ctivity-based cost model</w:t>
        </w:r>
        <w:r w:rsidR="004D5B87">
          <w:rPr>
            <w:noProof/>
            <w:webHidden/>
          </w:rPr>
          <w:tab/>
        </w:r>
        <w:r w:rsidR="004D5B87">
          <w:rPr>
            <w:noProof/>
            <w:webHidden/>
          </w:rPr>
          <w:fldChar w:fldCharType="begin"/>
        </w:r>
        <w:r w:rsidR="004D5B87">
          <w:rPr>
            <w:noProof/>
            <w:webHidden/>
          </w:rPr>
          <w:instrText xml:space="preserve"> PAGEREF _Toc26363982 \h </w:instrText>
        </w:r>
        <w:r w:rsidR="004D5B87">
          <w:rPr>
            <w:noProof/>
            <w:webHidden/>
          </w:rPr>
        </w:r>
        <w:r w:rsidR="004D5B87">
          <w:rPr>
            <w:noProof/>
            <w:webHidden/>
          </w:rPr>
          <w:fldChar w:fldCharType="separate"/>
        </w:r>
        <w:r>
          <w:rPr>
            <w:noProof/>
            <w:webHidden/>
          </w:rPr>
          <w:t>12</w:t>
        </w:r>
        <w:r w:rsidR="004D5B87">
          <w:rPr>
            <w:noProof/>
            <w:webHidden/>
          </w:rPr>
          <w:fldChar w:fldCharType="end"/>
        </w:r>
      </w:hyperlink>
    </w:p>
    <w:p w:rsidR="009B4C98" w:rsidRDefault="005F192D">
      <w:pPr>
        <w:pStyle w:val="TableofFigures"/>
        <w:tabs>
          <w:tab w:val="right" w:leader="dot" w:pos="9060"/>
        </w:tabs>
      </w:pPr>
      <w:r>
        <w:rPr>
          <w:noProof/>
          <w:highlight w:val="yellow"/>
        </w:rPr>
        <w:fldChar w:fldCharType="end"/>
      </w:r>
    </w:p>
    <w:p w:rsidR="009B4C98" w:rsidRDefault="009B4C98">
      <w:pPr>
        <w:sectPr w:rsidR="009B4C98">
          <w:headerReference w:type="default" r:id="rId17"/>
          <w:footerReference w:type="default" r:id="rId18"/>
          <w:headerReference w:type="first" r:id="rId19"/>
          <w:pgSz w:w="11906" w:h="16838"/>
          <w:pgMar w:top="1418" w:right="1418" w:bottom="1418" w:left="1418" w:header="567" w:footer="283" w:gutter="0"/>
          <w:pgNumType w:fmt="lowerRoman" w:start="1"/>
          <w:cols w:space="708"/>
          <w:titlePg/>
          <w:docGrid w:linePitch="360"/>
        </w:sectPr>
      </w:pPr>
    </w:p>
    <w:p w:rsidR="009B4C98" w:rsidRDefault="005F192D">
      <w:pPr>
        <w:pStyle w:val="Heading2"/>
      </w:pPr>
      <w:bookmarkStart w:id="0" w:name="_Toc430782150"/>
      <w:bookmarkStart w:id="1" w:name="_Toc26363633"/>
      <w:r>
        <w:lastRenderedPageBreak/>
        <w:t>Introduction</w:t>
      </w:r>
      <w:bookmarkEnd w:id="0"/>
      <w:bookmarkEnd w:id="1"/>
    </w:p>
    <w:p w:rsidR="009B4C98" w:rsidRDefault="005F192D">
      <w:pPr>
        <w:pStyle w:val="Heading3"/>
      </w:pPr>
      <w:bookmarkStart w:id="2" w:name="_Toc26363634"/>
      <w:r>
        <w:t>Purpose of the cost recovery implementation statement</w:t>
      </w:r>
      <w:bookmarkEnd w:id="2"/>
    </w:p>
    <w:p w:rsidR="009B4C98" w:rsidRDefault="005F192D">
      <w:r>
        <w:t xml:space="preserve">This cost recovery implementation statement (CRIS) provides information on how </w:t>
      </w:r>
      <w:r w:rsidR="00BA467C">
        <w:t>the Department of Agriculture</w:t>
      </w:r>
      <w:r>
        <w:t xml:space="preserve"> implement</w:t>
      </w:r>
      <w:r w:rsidR="00BA467C">
        <w:t>s</w:t>
      </w:r>
      <w:r>
        <w:t xml:space="preserve"> cost recovery arrangements for biosecurity regulatory activities (including imported food).</w:t>
      </w:r>
    </w:p>
    <w:p w:rsidR="00FE5AFC" w:rsidRPr="003F2C94" w:rsidRDefault="005F192D" w:rsidP="00E760AD">
      <w:pPr>
        <w:pStyle w:val="Default"/>
        <w:rPr>
          <w:rFonts w:ascii="Cambria" w:hAnsi="Cambria"/>
          <w:sz w:val="22"/>
          <w:szCs w:val="22"/>
        </w:rPr>
      </w:pPr>
      <w:r w:rsidRPr="003F2C94">
        <w:rPr>
          <w:rFonts w:ascii="Cambria" w:hAnsi="Cambria"/>
          <w:sz w:val="22"/>
          <w:szCs w:val="22"/>
        </w:rPr>
        <w:t>In particular, this CRIS update describes changes to the cost model and pricing presented in the previous CRIS, published in 2015, to implement the November 2019 government decision to expand</w:t>
      </w:r>
      <w:r w:rsidR="00F70C3F" w:rsidRPr="003F2C94">
        <w:rPr>
          <w:rFonts w:ascii="Cambria" w:hAnsi="Cambria"/>
          <w:sz w:val="22"/>
          <w:szCs w:val="22"/>
        </w:rPr>
        <w:t xml:space="preserve"> </w:t>
      </w:r>
      <w:r w:rsidR="00E56552" w:rsidRPr="003F2C94">
        <w:rPr>
          <w:rFonts w:ascii="Cambria" w:hAnsi="Cambria"/>
          <w:sz w:val="22"/>
          <w:szCs w:val="22"/>
        </w:rPr>
        <w:t xml:space="preserve">regulatory </w:t>
      </w:r>
      <w:r w:rsidR="00F70C3F" w:rsidRPr="003F2C94">
        <w:rPr>
          <w:rFonts w:ascii="Cambria" w:hAnsi="Cambria"/>
          <w:sz w:val="22"/>
          <w:szCs w:val="22"/>
        </w:rPr>
        <w:t xml:space="preserve">charging </w:t>
      </w:r>
      <w:r w:rsidR="00F82DCA" w:rsidRPr="003F2C94">
        <w:rPr>
          <w:rFonts w:ascii="Cambria" w:hAnsi="Cambria"/>
          <w:sz w:val="22"/>
          <w:szCs w:val="22"/>
        </w:rPr>
        <w:t>for biosecurity</w:t>
      </w:r>
      <w:r w:rsidRPr="003F2C94">
        <w:rPr>
          <w:rFonts w:ascii="Cambria" w:hAnsi="Cambria"/>
          <w:sz w:val="22"/>
          <w:szCs w:val="22"/>
        </w:rPr>
        <w:t xml:space="preserve"> activities</w:t>
      </w:r>
      <w:r w:rsidR="00F70C3F" w:rsidRPr="003F2C94">
        <w:rPr>
          <w:rFonts w:ascii="Cambria" w:hAnsi="Cambria"/>
          <w:sz w:val="22"/>
          <w:szCs w:val="22"/>
        </w:rPr>
        <w:t xml:space="preserve"> on a cost recovery basis</w:t>
      </w:r>
      <w:r w:rsidRPr="003F2C94">
        <w:rPr>
          <w:rFonts w:ascii="Cambria" w:hAnsi="Cambria"/>
          <w:sz w:val="22"/>
          <w:szCs w:val="22"/>
        </w:rPr>
        <w:t xml:space="preserve">. This CRIS update </w:t>
      </w:r>
      <w:proofErr w:type="gramStart"/>
      <w:r w:rsidRPr="003F2C94">
        <w:rPr>
          <w:rFonts w:ascii="Cambria" w:hAnsi="Cambria"/>
          <w:sz w:val="22"/>
          <w:szCs w:val="22"/>
        </w:rPr>
        <w:t>should be read</w:t>
      </w:r>
      <w:proofErr w:type="gramEnd"/>
      <w:r w:rsidRPr="003F2C94">
        <w:rPr>
          <w:rFonts w:ascii="Cambria" w:hAnsi="Cambria"/>
          <w:sz w:val="22"/>
          <w:szCs w:val="22"/>
        </w:rPr>
        <w:t xml:space="preserve"> in conjunction with the </w:t>
      </w:r>
      <w:hyperlink r:id="rId20" w:history="1">
        <w:r w:rsidR="00FE5AFC" w:rsidRPr="003F2C94">
          <w:rPr>
            <w:rStyle w:val="Hyperlink"/>
            <w:rFonts w:ascii="Cambria" w:hAnsi="Cambria"/>
            <w:sz w:val="22"/>
            <w:szCs w:val="22"/>
          </w:rPr>
          <w:t>Cost Recovery Implementation Statement Biosecurity 2015-16</w:t>
        </w:r>
      </w:hyperlink>
      <w:r w:rsidR="00FE5AFC" w:rsidRPr="003F2C94">
        <w:rPr>
          <w:rFonts w:ascii="Cambria" w:hAnsi="Cambria"/>
          <w:sz w:val="22"/>
          <w:szCs w:val="22"/>
        </w:rPr>
        <w:t xml:space="preserve">. </w:t>
      </w:r>
    </w:p>
    <w:p w:rsidR="00FE5AFC" w:rsidRPr="003F2C94" w:rsidRDefault="00FE5AFC" w:rsidP="00E760AD">
      <w:pPr>
        <w:pStyle w:val="Default"/>
        <w:rPr>
          <w:rFonts w:ascii="Cambria" w:hAnsi="Cambria"/>
        </w:rPr>
      </w:pPr>
    </w:p>
    <w:p w:rsidR="009B4C98" w:rsidRDefault="005F192D">
      <w:r>
        <w:t>This CRIS update also contains new financial estimates for 2019–20 to 2023–24. Performance of the arrangement since 2015 has shown that expense and revenue have grown togethe</w:t>
      </w:r>
      <w:r w:rsidR="004F1829">
        <w:t>r over time. Th</w:t>
      </w:r>
      <w:r w:rsidR="007F5EF9">
        <w:t xml:space="preserve">e </w:t>
      </w:r>
      <w:r w:rsidR="001D4C67">
        <w:t xml:space="preserve">cost and </w:t>
      </w:r>
      <w:r>
        <w:t>pricing model is fundamentally sound and an immediate review of the full pricing model is not required to ensure financial sustainability of the biosecurity cost recovery arrangement.</w:t>
      </w:r>
    </w:p>
    <w:p w:rsidR="009B4C98" w:rsidRDefault="005F192D">
      <w:r>
        <w:t xml:space="preserve">This CRIS update changes </w:t>
      </w:r>
      <w:r w:rsidR="00FE5AFC">
        <w:t xml:space="preserve">4 </w:t>
      </w:r>
      <w:r>
        <w:t xml:space="preserve">charges. </w:t>
      </w:r>
      <w:r w:rsidR="00EC35A0">
        <w:t xml:space="preserve">A full review of regulatory charging for biosecurity activities on a cost recovery basis </w:t>
      </w:r>
      <w:proofErr w:type="gramStart"/>
      <w:r w:rsidR="00EC35A0">
        <w:t>will be undertaken</w:t>
      </w:r>
      <w:proofErr w:type="gramEnd"/>
      <w:r w:rsidR="00EC35A0">
        <w:t xml:space="preserve"> in 2020-21.</w:t>
      </w:r>
    </w:p>
    <w:p w:rsidR="009B4C98" w:rsidRDefault="005F192D">
      <w:r>
        <w:t xml:space="preserve">The CRIS </w:t>
      </w:r>
      <w:proofErr w:type="gramStart"/>
      <w:r>
        <w:t>will be updated</w:t>
      </w:r>
      <w:proofErr w:type="gramEnd"/>
      <w:r>
        <w:t xml:space="preserve"> annually and will remain in force until superseded or withdrawn.</w:t>
      </w:r>
    </w:p>
    <w:p w:rsidR="009B4C98" w:rsidRDefault="00BA467C">
      <w:pPr>
        <w:pStyle w:val="Heading3"/>
      </w:pPr>
      <w:bookmarkStart w:id="3" w:name="_Description_of_the"/>
      <w:bookmarkStart w:id="4" w:name="_Toc26363635"/>
      <w:bookmarkEnd w:id="3"/>
      <w:r>
        <w:t xml:space="preserve">Description of the </w:t>
      </w:r>
      <w:r w:rsidR="005F192D">
        <w:t>regulatory activit</w:t>
      </w:r>
      <w:bookmarkEnd w:id="4"/>
      <w:r w:rsidR="005F192D">
        <w:t>y</w:t>
      </w:r>
    </w:p>
    <w:p w:rsidR="009B4C98" w:rsidRDefault="005F192D">
      <w:r>
        <w:t xml:space="preserve">Biosecurity activity </w:t>
      </w:r>
      <w:proofErr w:type="gramStart"/>
      <w:r>
        <w:t>is regulated</w:t>
      </w:r>
      <w:proofErr w:type="gramEnd"/>
      <w:r>
        <w:t xml:space="preserve"> in accordance with the biosecurity legislative framework (outlined in </w:t>
      </w:r>
      <w:hyperlink w:anchor="_Statutory_authority_to" w:history="1">
        <w:r>
          <w:rPr>
            <w:rStyle w:val="Hyperlink"/>
          </w:rPr>
          <w:t>section 2.2</w:t>
        </w:r>
      </w:hyperlink>
      <w:r>
        <w:t xml:space="preserve">). </w:t>
      </w:r>
      <w:r w:rsidR="001053BC">
        <w:t xml:space="preserve">We undertake regulatory </w:t>
      </w:r>
      <w:r>
        <w:t>activities to assess and manage the biosecurity risks arising from people, goods and vessels (sea and aircraft) entering Australia. These activities also include assessing compliance of imported food with relevant food standards and public health and safety requirements.</w:t>
      </w:r>
    </w:p>
    <w:p w:rsidR="009B4C98" w:rsidRDefault="005F192D">
      <w:r>
        <w:t xml:space="preserve">These essential </w:t>
      </w:r>
      <w:r w:rsidR="00DC6C2D">
        <w:t>activities</w:t>
      </w:r>
      <w:r>
        <w:t xml:space="preserve">, which occur onshore, offshore and at the border, are a major part of </w:t>
      </w:r>
      <w:r w:rsidR="00EF0888">
        <w:t>our</w:t>
      </w:r>
      <w:r>
        <w:t xml:space="preserve"> day-to-day business. During 2018–19, </w:t>
      </w:r>
      <w:r w:rsidR="00242522">
        <w:t>we</w:t>
      </w:r>
      <w:r>
        <w:t xml:space="preserve"> assessed and cleared more than 120 million international mail articles and 18,500 international vessels and aircraft at international airports and seaports around the country. Around 14,500 import permit applications </w:t>
      </w:r>
      <w:proofErr w:type="gramStart"/>
      <w:r>
        <w:t>were received</w:t>
      </w:r>
      <w:proofErr w:type="gramEnd"/>
      <w:r>
        <w:t>, and 6</w:t>
      </w:r>
      <w:r w:rsidR="00702D22">
        <w:t>,400</w:t>
      </w:r>
      <w:r>
        <w:t xml:space="preserve"> animals were processed at </w:t>
      </w:r>
      <w:r w:rsidR="001223CE">
        <w:t>the</w:t>
      </w:r>
      <w:r>
        <w:t xml:space="preserve"> post</w:t>
      </w:r>
      <w:r w:rsidR="00693B70">
        <w:t>-</w:t>
      </w:r>
      <w:r>
        <w:t>entry quarantine</w:t>
      </w:r>
      <w:r w:rsidR="00693B70">
        <w:t xml:space="preserve"> (PEQ)</w:t>
      </w:r>
      <w:r>
        <w:t xml:space="preserve"> facilities.</w:t>
      </w:r>
    </w:p>
    <w:p w:rsidR="009B4C98" w:rsidRDefault="005F192D">
      <w:r>
        <w:t xml:space="preserve">This CRIS covers </w:t>
      </w:r>
      <w:r w:rsidR="00EF0888">
        <w:t>our</w:t>
      </w:r>
      <w:r>
        <w:t xml:space="preserve"> cost recovery of biosecurity activities. These are provided to </w:t>
      </w:r>
      <w:proofErr w:type="gramStart"/>
      <w:r w:rsidR="00FE5AFC">
        <w:t>4</w:t>
      </w:r>
      <w:proofErr w:type="gramEnd"/>
      <w:r w:rsidR="00FE5AFC">
        <w:t xml:space="preserve"> </w:t>
      </w:r>
      <w:r>
        <w:t>key groups: importers, vessel operators, approved arrangement participants and, to a limited extent, passengers.</w:t>
      </w:r>
    </w:p>
    <w:p w:rsidR="009B4C98" w:rsidRDefault="00EF0888" w:rsidP="00362F60">
      <w:pPr>
        <w:keepNext/>
        <w:keepLines/>
      </w:pPr>
      <w:r>
        <w:lastRenderedPageBreak/>
        <w:t xml:space="preserve">We provide </w:t>
      </w:r>
      <w:r w:rsidR="00E56552">
        <w:t xml:space="preserve">the </w:t>
      </w:r>
      <w:r>
        <w:t xml:space="preserve">following </w:t>
      </w:r>
      <w:r w:rsidR="005F192D">
        <w:t xml:space="preserve">key </w:t>
      </w:r>
      <w:r w:rsidR="004F1829">
        <w:t xml:space="preserve">biosecurity activities </w:t>
      </w:r>
      <w:r w:rsidR="00BA467C">
        <w:t>to the</w:t>
      </w:r>
      <w:r>
        <w:t xml:space="preserve"> regulated entities</w:t>
      </w:r>
      <w:r w:rsidR="005F192D">
        <w:t>:</w:t>
      </w:r>
    </w:p>
    <w:p w:rsidR="009B4C98" w:rsidRDefault="005F192D" w:rsidP="00E760AD">
      <w:pPr>
        <w:keepNext/>
        <w:keepLines/>
        <w:numPr>
          <w:ilvl w:val="0"/>
          <w:numId w:val="14"/>
        </w:numPr>
        <w:spacing w:before="120" w:after="120" w:line="240" w:lineRule="auto"/>
      </w:pPr>
      <w:r>
        <w:t xml:space="preserve">Importers—assessment and management of the biosecurity risks associated with imported goods and packaging (including air and sea cargo, international mail, food, live animals and plants). This also includes husbandry activities, undertaken by the department, associated with the </w:t>
      </w:r>
      <w:r w:rsidR="00693B70">
        <w:t>PEQ</w:t>
      </w:r>
      <w:r>
        <w:t xml:space="preserve"> of live animals and plants prior to release into Australia (such as horses, dogs, cats, hatching eggs, birds, ruminants, bees, nursery stock and viable seeds).</w:t>
      </w:r>
    </w:p>
    <w:p w:rsidR="009B4C98" w:rsidRDefault="005F192D" w:rsidP="00E760AD">
      <w:pPr>
        <w:keepNext/>
        <w:keepLines/>
        <w:numPr>
          <w:ilvl w:val="0"/>
          <w:numId w:val="14"/>
        </w:numPr>
        <w:spacing w:before="120" w:after="120" w:line="240" w:lineRule="auto"/>
      </w:pPr>
      <w:r>
        <w:t>Vessel operators—assessment and management of the biosecurity risks of sea vessels and aircraft entering Australia. This includes assessments and inspections to manage the risks posed by the vessel itself, contaminants on the vessel, human biosecurity risks, ballast water and biofouling on sea vessels</w:t>
      </w:r>
      <w:r w:rsidR="003F2C94">
        <w:t>,</w:t>
      </w:r>
      <w:r>
        <w:t xml:space="preserve"> and aircraft disinsection.</w:t>
      </w:r>
    </w:p>
    <w:p w:rsidR="009B4C98" w:rsidRDefault="005F192D" w:rsidP="00E760AD">
      <w:pPr>
        <w:keepNext/>
        <w:keepLines/>
        <w:numPr>
          <w:ilvl w:val="0"/>
          <w:numId w:val="14"/>
        </w:numPr>
        <w:spacing w:before="120" w:after="120" w:line="240" w:lineRule="auto"/>
      </w:pPr>
      <w:r>
        <w:t xml:space="preserve">Approved arrangement participants—administering arrangements, managing compliance regimes and setting standards for various third party arrangements managed by the department, such as </w:t>
      </w:r>
      <w:proofErr w:type="gramStart"/>
      <w:r>
        <w:t>quarantine</w:t>
      </w:r>
      <w:r w:rsidR="001223CE">
        <w:t xml:space="preserve"> </w:t>
      </w:r>
      <w:r>
        <w:t>approved</w:t>
      </w:r>
      <w:proofErr w:type="gramEnd"/>
      <w:r>
        <w:t xml:space="preserve"> premises, compliance agreements and imported food compliance agreements.</w:t>
      </w:r>
    </w:p>
    <w:p w:rsidR="009B4C98" w:rsidRDefault="005F192D" w:rsidP="00E760AD">
      <w:pPr>
        <w:keepNext/>
        <w:keepLines/>
        <w:numPr>
          <w:ilvl w:val="0"/>
          <w:numId w:val="14"/>
        </w:numPr>
        <w:spacing w:before="120" w:after="120" w:line="240" w:lineRule="auto"/>
      </w:pPr>
      <w:r>
        <w:t>Passengers—assessment and management of biosecurity risks posed by accompanied passenger’s baggage. Activities such as inspection and assessment of baggage are only cost recovered where provided outside of designated international airports or seaports.</w:t>
      </w:r>
    </w:p>
    <w:p w:rsidR="009B4C98" w:rsidRDefault="005F192D">
      <w:pPr>
        <w:pStyle w:val="Heading3"/>
      </w:pPr>
      <w:bookmarkStart w:id="5" w:name="_Toc26363636"/>
      <w:r>
        <w:t>Why cost recovery is appropriate</w:t>
      </w:r>
      <w:bookmarkEnd w:id="5"/>
    </w:p>
    <w:p w:rsidR="009B4C98" w:rsidRDefault="005F192D">
      <w:bookmarkStart w:id="6" w:name="_Policy_and_statutory"/>
      <w:bookmarkEnd w:id="6"/>
      <w:r w:rsidRPr="002B5F42">
        <w:t>Cost recovery fees and</w:t>
      </w:r>
      <w:r>
        <w:t xml:space="preserve"> levies fall within the Australian Government’s broader charging framework. Other charges in this framework include commercial charges and resource charges. The type of charge </w:t>
      </w:r>
      <w:proofErr w:type="gramStart"/>
      <w:r>
        <w:t>is determined</w:t>
      </w:r>
      <w:proofErr w:type="gramEnd"/>
      <w:r>
        <w:t xml:space="preserve"> by the characteristics of the </w:t>
      </w:r>
      <w:r w:rsidR="00DC6C2D">
        <w:t>activities</w:t>
      </w:r>
      <w:r w:rsidR="00F02CDB">
        <w:t xml:space="preserve"> as described in the </w:t>
      </w:r>
      <w:r w:rsidR="00757E8D">
        <w:t xml:space="preserve"> </w:t>
      </w:r>
      <w:r w:rsidR="00F02CDB">
        <w:t xml:space="preserve"> </w:t>
      </w:r>
      <w:r w:rsidR="00BA467C">
        <w:t>Australian Government Charging Framework (‘charging framework’).</w:t>
      </w:r>
    </w:p>
    <w:p w:rsidR="009B4C98" w:rsidRDefault="00F02CDB">
      <w:r>
        <w:t>Regulatory charging</w:t>
      </w:r>
      <w:r w:rsidR="007F5AB8">
        <w:t xml:space="preserve"> is appropriate because biosecurity regulatory activity is provided to </w:t>
      </w:r>
      <w:r w:rsidR="005F192D">
        <w:t xml:space="preserve">a clearly identifiable group—individuals and organisations that participate in the import supply chain. If it were not for the business activities of this group, much of the biosecurity </w:t>
      </w:r>
      <w:r w:rsidR="00DC6C2D">
        <w:t>activities</w:t>
      </w:r>
      <w:r w:rsidR="005F192D">
        <w:t xml:space="preserve"> would not be required.</w:t>
      </w:r>
    </w:p>
    <w:p w:rsidR="009B4C98" w:rsidRDefault="005F192D">
      <w:r>
        <w:t xml:space="preserve">There are </w:t>
      </w:r>
      <w:r w:rsidRPr="002B5F42">
        <w:t xml:space="preserve">additional benefits to funding biosecurity </w:t>
      </w:r>
      <w:r w:rsidR="00DC6C2D" w:rsidRPr="00F02CDB">
        <w:t>activities</w:t>
      </w:r>
      <w:r w:rsidRPr="00F02CDB">
        <w:t xml:space="preserve"> through </w:t>
      </w:r>
      <w:r w:rsidR="00F82DCA">
        <w:t>regulatory</w:t>
      </w:r>
      <w:r w:rsidR="00F02CDB">
        <w:t xml:space="preserve"> charging</w:t>
      </w:r>
      <w:r w:rsidRPr="00F02CDB">
        <w:t xml:space="preserve">. When a business pays for the activities it receives, the government has an obligation to justify the prices it charges. </w:t>
      </w:r>
      <w:r w:rsidR="00F02CDB">
        <w:t>Regulatory charging</w:t>
      </w:r>
      <w:r w:rsidRPr="00F02CDB">
        <w:t xml:space="preserve"> also increases</w:t>
      </w:r>
      <w:r>
        <w:t xml:space="preserve"> the cost consciousness of clients of how much a government activity actually costs.</w:t>
      </w:r>
    </w:p>
    <w:p w:rsidR="009B4C98" w:rsidRDefault="005F192D">
      <w:pPr>
        <w:spacing w:after="0"/>
      </w:pPr>
      <w:r>
        <w:t xml:space="preserve">For these reasons, the government has determined </w:t>
      </w:r>
      <w:r w:rsidR="00F02CDB">
        <w:t>regulatory charging</w:t>
      </w:r>
      <w:r>
        <w:t xml:space="preserve"> to be the most appropriate mechanism for funding biosecurity </w:t>
      </w:r>
      <w:r w:rsidR="00DC6C2D">
        <w:t>activities</w:t>
      </w:r>
      <w:r>
        <w:t xml:space="preserve">. </w:t>
      </w:r>
      <w:r w:rsidR="000236FA">
        <w:t>We have</w:t>
      </w:r>
      <w:r>
        <w:t xml:space="preserve"> </w:t>
      </w:r>
      <w:r w:rsidR="001223CE">
        <w:t>updated</w:t>
      </w:r>
      <w:r w:rsidR="0043255D">
        <w:t xml:space="preserve"> </w:t>
      </w:r>
      <w:r w:rsidR="00F02CDB">
        <w:t>regulatory charging</w:t>
      </w:r>
      <w:r>
        <w:t xml:space="preserve"> of biosecurity </w:t>
      </w:r>
      <w:r w:rsidR="00DC6C2D">
        <w:t>activities</w:t>
      </w:r>
      <w:r w:rsidR="0043255D">
        <w:t xml:space="preserve">, </w:t>
      </w:r>
      <w:r>
        <w:t xml:space="preserve">consistent with the </w:t>
      </w:r>
      <w:r w:rsidR="00BA467C">
        <w:t>charging f</w:t>
      </w:r>
      <w:r w:rsidR="007F5AB8">
        <w:t>ramework</w:t>
      </w:r>
      <w:r w:rsidR="003F2C94">
        <w:t>. This</w:t>
      </w:r>
      <w:r>
        <w:t xml:space="preserve"> provide</w:t>
      </w:r>
      <w:r w:rsidR="003F2C94">
        <w:t>s</w:t>
      </w:r>
      <w:r>
        <w:t xml:space="preserve"> the overarching framework under which government entities must design, implement and review cost recovery.</w:t>
      </w:r>
    </w:p>
    <w:p w:rsidR="009B4C98" w:rsidRDefault="005F192D">
      <w:pPr>
        <w:pStyle w:val="Heading2"/>
      </w:pPr>
      <w:bookmarkStart w:id="7" w:name="_Toc26363637"/>
      <w:r>
        <w:lastRenderedPageBreak/>
        <w:t>Policy and statutory authority to cost recover</w:t>
      </w:r>
      <w:bookmarkEnd w:id="7"/>
    </w:p>
    <w:p w:rsidR="009B4C98" w:rsidRDefault="005F192D">
      <w:r w:rsidRPr="00254BB1">
        <w:t xml:space="preserve">Under the </w:t>
      </w:r>
      <w:r w:rsidR="00BA467C">
        <w:t>charging f</w:t>
      </w:r>
      <w:r w:rsidR="00F02CDB" w:rsidRPr="00254BB1">
        <w:t>ramework</w:t>
      </w:r>
      <w:r w:rsidRPr="00254BB1">
        <w:t xml:space="preserve">, cost recovery requires both policy approval and statutory authority. The following section provides information on government approval of </w:t>
      </w:r>
      <w:r w:rsidR="00F02CDB" w:rsidRPr="006027B8">
        <w:t>regulatory charging</w:t>
      </w:r>
      <w:r w:rsidRPr="00254BB1">
        <w:t xml:space="preserve"> for biosecurity activities and the legislation that enable </w:t>
      </w:r>
      <w:r w:rsidR="0006685D" w:rsidRPr="00254BB1">
        <w:t>us</w:t>
      </w:r>
      <w:r w:rsidRPr="00254BB1">
        <w:t xml:space="preserve"> to collect fees and </w:t>
      </w:r>
      <w:r w:rsidRPr="00695214">
        <w:t>charges.</w:t>
      </w:r>
    </w:p>
    <w:p w:rsidR="009B4C98" w:rsidRDefault="005F192D">
      <w:pPr>
        <w:pStyle w:val="Heading3"/>
      </w:pPr>
      <w:bookmarkStart w:id="8" w:name="_Government_policy_approval"/>
      <w:bookmarkEnd w:id="8"/>
      <w:r>
        <w:t>Government p</w:t>
      </w:r>
      <w:bookmarkStart w:id="9" w:name="_Toc26363638"/>
      <w:r>
        <w:t>olicy approval to cost recover the regulatory activit</w:t>
      </w:r>
      <w:bookmarkEnd w:id="9"/>
      <w:r>
        <w:t>y</w:t>
      </w:r>
    </w:p>
    <w:p w:rsidR="00E0522E" w:rsidRPr="00695214" w:rsidRDefault="005F192D" w:rsidP="00E760AD">
      <w:pPr>
        <w:pStyle w:val="ListBullet"/>
        <w:numPr>
          <w:ilvl w:val="0"/>
          <w:numId w:val="0"/>
        </w:numPr>
      </w:pPr>
      <w:r w:rsidRPr="00254BB1">
        <w:t xml:space="preserve">Since the previous CRIS was released on 1 December 2015, the Australian Government has confirmed policy authority for continued </w:t>
      </w:r>
      <w:r w:rsidR="00F02CDB" w:rsidRPr="006027B8">
        <w:t>regulatory charging</w:t>
      </w:r>
      <w:r w:rsidRPr="00254BB1">
        <w:t xml:space="preserve"> of biosecurity activities by approving </w:t>
      </w:r>
      <w:proofErr w:type="gramStart"/>
      <w:r w:rsidR="00BA467C">
        <w:t>4</w:t>
      </w:r>
      <w:proofErr w:type="gramEnd"/>
      <w:r w:rsidR="00BA467C">
        <w:t xml:space="preserve"> </w:t>
      </w:r>
      <w:r w:rsidRPr="00695214">
        <w:t>changes to bi</w:t>
      </w:r>
      <w:r w:rsidR="00BA467C">
        <w:t>osecurity cost recovery charges (further details at section 4.4).</w:t>
      </w:r>
    </w:p>
    <w:p w:rsidR="009B4C98" w:rsidRDefault="005F192D" w:rsidP="00E760AD">
      <w:pPr>
        <w:pStyle w:val="ListBullet"/>
        <w:numPr>
          <w:ilvl w:val="0"/>
          <w:numId w:val="0"/>
        </w:numPr>
        <w:rPr>
          <w:lang w:eastAsia="ja-JP"/>
        </w:rPr>
      </w:pPr>
      <w:r w:rsidRPr="00842849">
        <w:t xml:space="preserve">In November 2019, the government </w:t>
      </w:r>
      <w:r w:rsidR="00B01B2C">
        <w:t>decided to expand</w:t>
      </w:r>
      <w:r w:rsidRPr="00842849">
        <w:t xml:space="preserve"> </w:t>
      </w:r>
      <w:r w:rsidR="00B01B2C" w:rsidRPr="00254BB1">
        <w:t>cost recovered</w:t>
      </w:r>
      <w:r w:rsidR="00B01B2C" w:rsidRPr="000A53B3">
        <w:t xml:space="preserve"> </w:t>
      </w:r>
      <w:r w:rsidR="00D23AF6" w:rsidRPr="000A53B3">
        <w:t xml:space="preserve">regulatory </w:t>
      </w:r>
      <w:r w:rsidRPr="00254BB1">
        <w:t xml:space="preserve">activities to </w:t>
      </w:r>
      <w:r w:rsidRPr="00254BB1">
        <w:rPr>
          <w:lang w:eastAsia="ja-JP"/>
        </w:rPr>
        <w:t>include $23.0 million per year of biosecurity activities. These directly relate to the regulatory framework. Implementing this decision is the purpose</w:t>
      </w:r>
      <w:r>
        <w:rPr>
          <w:lang w:eastAsia="ja-JP"/>
        </w:rPr>
        <w:t xml:space="preserve"> of this CRIS update.</w:t>
      </w:r>
    </w:p>
    <w:p w:rsidR="009B4C98" w:rsidRDefault="00F02CDB" w:rsidP="00E760AD">
      <w:pPr>
        <w:pStyle w:val="ListBullet"/>
        <w:numPr>
          <w:ilvl w:val="0"/>
          <w:numId w:val="0"/>
        </w:numPr>
        <w:rPr>
          <w:lang w:eastAsia="ja-JP"/>
        </w:rPr>
      </w:pPr>
      <w:r>
        <w:rPr>
          <w:lang w:eastAsia="ja-JP"/>
        </w:rPr>
        <w:t>F</w:t>
      </w:r>
      <w:r w:rsidR="005F192D">
        <w:rPr>
          <w:lang w:eastAsia="ja-JP"/>
        </w:rPr>
        <w:t xml:space="preserve">rom 1 January 2020 </w:t>
      </w:r>
      <w:r>
        <w:rPr>
          <w:lang w:eastAsia="ja-JP"/>
        </w:rPr>
        <w:t xml:space="preserve">regulatory activities to be included in the regulatory charges will be expanded </w:t>
      </w:r>
      <w:r w:rsidR="005F192D">
        <w:rPr>
          <w:lang w:eastAsia="ja-JP"/>
        </w:rPr>
        <w:t>to include:</w:t>
      </w:r>
    </w:p>
    <w:p w:rsidR="009B4C98" w:rsidRDefault="005F192D">
      <w:pPr>
        <w:pStyle w:val="ListBullet"/>
      </w:pPr>
      <w:proofErr w:type="gramStart"/>
      <w:r>
        <w:t>assurance</w:t>
      </w:r>
      <w:proofErr w:type="gramEnd"/>
      <w:r>
        <w:t xml:space="preserve"> and verification activities </w:t>
      </w:r>
      <w:r w:rsidR="003F2C94">
        <w:t xml:space="preserve">to </w:t>
      </w:r>
      <w:r>
        <w:t>provide confidence in compliance controls and support enforcement of regulation</w:t>
      </w:r>
      <w:r w:rsidR="001139A4">
        <w:t>, contributing to the efficiency and effectiveness of the biosecurity system that facilitates importers to bring goods safely into Australia</w:t>
      </w:r>
      <w:r>
        <w:t>. This activity includes</w:t>
      </w:r>
      <w:r w:rsidR="001223CE">
        <w:t>:</w:t>
      </w:r>
    </w:p>
    <w:p w:rsidR="009B4C98" w:rsidRDefault="005F192D" w:rsidP="00362F60">
      <w:pPr>
        <w:pStyle w:val="ListBullet2"/>
      </w:pPr>
      <w:r>
        <w:t>applying best practice regulatory procedures and monitoring their implementation to verify ongoing effectiveness of regulatory activity</w:t>
      </w:r>
    </w:p>
    <w:p w:rsidR="009B4C98" w:rsidRDefault="005F192D" w:rsidP="00362F60">
      <w:pPr>
        <w:pStyle w:val="ListBullet2"/>
      </w:pPr>
      <w:r>
        <w:t xml:space="preserve">implementing and maintaining a decision making tool that allows </w:t>
      </w:r>
      <w:r w:rsidR="00EC5224">
        <w:t>us</w:t>
      </w:r>
      <w:r>
        <w:t xml:space="preserve"> to calculate benefits and risks of change in regulatory activity</w:t>
      </w:r>
    </w:p>
    <w:p w:rsidR="009B4C98" w:rsidRDefault="005F192D" w:rsidP="00362F60">
      <w:pPr>
        <w:pStyle w:val="ListBullet2"/>
      </w:pPr>
      <w:r>
        <w:t>investigations of importer compliance with biosecurity regulation to maintain the integrity of the system, including provision and monitoring of corrective actions</w:t>
      </w:r>
    </w:p>
    <w:p w:rsidR="009B4C98" w:rsidRDefault="005F192D">
      <w:pPr>
        <w:pStyle w:val="ListBullet"/>
      </w:pPr>
      <w:proofErr w:type="gramStart"/>
      <w:r>
        <w:t>increased</w:t>
      </w:r>
      <w:proofErr w:type="gramEnd"/>
      <w:r>
        <w:t xml:space="preserve"> analytics and intelligence activities, including the use of data to identify trends to inform intervention and compliance activities</w:t>
      </w:r>
      <w:r w:rsidR="0064452F">
        <w:t>. This</w:t>
      </w:r>
      <w:r>
        <w:t xml:space="preserve"> will minimise the risk of incursions and prevent harm to Australia’s agricultural production and environment. These activities include the application, maintenance and refinement of algorithms and work processes that analyse biosecurity data and inform coordination of </w:t>
      </w:r>
      <w:proofErr w:type="gramStart"/>
      <w:r>
        <w:t>biosecurity risk management measures</w:t>
      </w:r>
      <w:proofErr w:type="gramEnd"/>
      <w:r>
        <w:t xml:space="preserve"> and compliance controls. The intelligence helps </w:t>
      </w:r>
      <w:r w:rsidR="00EC5224">
        <w:t>us</w:t>
      </w:r>
      <w:r>
        <w:t xml:space="preserve"> identify which imports are most likely to expose Australia to exotic pests and/or diseases. This allows for more targeted risk management activities</w:t>
      </w:r>
      <w:r w:rsidR="001139A4" w:rsidRPr="001139A4">
        <w:t xml:space="preserve"> </w:t>
      </w:r>
      <w:r w:rsidR="001139A4">
        <w:t>that streamline the border experience for importers, and reduces intervention with importers with minimal risk</w:t>
      </w:r>
      <w:r>
        <w:t>.</w:t>
      </w:r>
    </w:p>
    <w:p w:rsidR="009B4C98" w:rsidRDefault="005F192D">
      <w:pPr>
        <w:pStyle w:val="ListBullet"/>
      </w:pPr>
      <w:proofErr w:type="gramStart"/>
      <w:r>
        <w:t>the</w:t>
      </w:r>
      <w:proofErr w:type="gramEnd"/>
      <w:r>
        <w:t xml:space="preserve"> provision of technical and scientific advice to maintain up to date biosecurity risk management information within </w:t>
      </w:r>
      <w:r w:rsidR="00DB0930">
        <w:t xml:space="preserve">our </w:t>
      </w:r>
      <w:r>
        <w:t xml:space="preserve">Biosecurity Import Condition (BICON) system. Through BICON, </w:t>
      </w:r>
      <w:r w:rsidR="00DB0930">
        <w:t xml:space="preserve">we </w:t>
      </w:r>
      <w:r>
        <w:t xml:space="preserve">provide a single source of truth for biosecurity officers and importers </w:t>
      </w:r>
      <w:proofErr w:type="gramStart"/>
      <w:r>
        <w:t>to quickly and easily identify</w:t>
      </w:r>
      <w:proofErr w:type="gramEnd"/>
      <w:r>
        <w:t xml:space="preserve"> goods, relevant import conditions and further biosecurity risk management options for the safe import of goods.</w:t>
      </w:r>
    </w:p>
    <w:p w:rsidR="00254BB1" w:rsidRPr="00CF7292" w:rsidRDefault="00254BB1" w:rsidP="00CF7292">
      <w:pPr>
        <w:pStyle w:val="ListBullet"/>
      </w:pPr>
      <w:proofErr w:type="gramStart"/>
      <w:r w:rsidRPr="00E760AD">
        <w:rPr>
          <w:rFonts w:ascii="Times New Roman" w:hAnsi="Times New Roman" w:cs="Times New Roman"/>
          <w:sz w:val="24"/>
        </w:rPr>
        <w:lastRenderedPageBreak/>
        <w:t>import</w:t>
      </w:r>
      <w:proofErr w:type="gramEnd"/>
      <w:r w:rsidRPr="00E760AD">
        <w:rPr>
          <w:rFonts w:ascii="Times New Roman" w:hAnsi="Times New Roman" w:cs="Times New Roman"/>
          <w:sz w:val="24"/>
        </w:rPr>
        <w:t xml:space="preserve"> pest and disease risk mitigation planning, which ensures that we have the capability to mitigate the impact of pest and disease incursions that result from the import of goods. The activities include the development and maintenance of risk mitigation processes and plans, including the maintenance of the capability required to implement actions in those plans, which facilitates the import of goods.</w:t>
      </w:r>
      <w:r w:rsidR="001139A4" w:rsidRPr="00E760AD">
        <w:rPr>
          <w:rFonts w:ascii="Times New Roman" w:hAnsi="Times New Roman" w:cs="Times New Roman"/>
          <w:sz w:val="24"/>
        </w:rPr>
        <w:t xml:space="preserve"> Importers will be able to either choose to rely on publically available plans or choose to develop their own plans</w:t>
      </w:r>
      <w:r w:rsidR="00553533" w:rsidRPr="00E760AD">
        <w:rPr>
          <w:rFonts w:ascii="Times New Roman" w:hAnsi="Times New Roman" w:cs="Times New Roman"/>
          <w:sz w:val="24"/>
        </w:rPr>
        <w:t xml:space="preserve"> subject to the department granting a permit.</w:t>
      </w:r>
    </w:p>
    <w:p w:rsidR="009B4C98" w:rsidRDefault="005F192D">
      <w:pPr>
        <w:pStyle w:val="ListBullet"/>
        <w:numPr>
          <w:ilvl w:val="0"/>
          <w:numId w:val="0"/>
        </w:numPr>
      </w:pPr>
      <w:r>
        <w:t xml:space="preserve">In October 2018, the Australian Government approved a change to </w:t>
      </w:r>
      <w:r w:rsidR="00254BB1">
        <w:t>regulatory charging</w:t>
      </w:r>
      <w:r>
        <w:t xml:space="preserve"> for biosecurity-approved arrangements. As part of this change, </w:t>
      </w:r>
      <w:proofErr w:type="gramStart"/>
      <w:r>
        <w:t>a new throughput charge was introduced, together with remissions for the annual charges payable by some industry participants</w:t>
      </w:r>
      <w:proofErr w:type="gramEnd"/>
      <w:r>
        <w:t>.</w:t>
      </w:r>
    </w:p>
    <w:p w:rsidR="009B4C98" w:rsidRDefault="005F192D">
      <w:pPr>
        <w:pStyle w:val="ListBullet"/>
        <w:numPr>
          <w:ilvl w:val="0"/>
          <w:numId w:val="18"/>
        </w:numPr>
      </w:pPr>
      <w:r>
        <w:t xml:space="preserve">The new throughput charge applies to each entry made under the Automatic Entry Processing </w:t>
      </w:r>
      <w:r w:rsidR="003C1025">
        <w:t>(AEP) for Commodities (AEPCOMM)</w:t>
      </w:r>
      <w:r>
        <w:t xml:space="preserve">. A rate of $18 </w:t>
      </w:r>
      <w:proofErr w:type="gramStart"/>
      <w:r>
        <w:t>is charged</w:t>
      </w:r>
      <w:proofErr w:type="gramEnd"/>
      <w:r>
        <w:t xml:space="preserve"> for each entry by a person covered by an approved arrangement, </w:t>
      </w:r>
      <w:r w:rsidR="00EE7D63">
        <w:t>for</w:t>
      </w:r>
      <w:r>
        <w:t xml:space="preserve"> goods to be brought or imported into Australian territory.</w:t>
      </w:r>
    </w:p>
    <w:p w:rsidR="009B4C98" w:rsidRPr="007C4F97" w:rsidRDefault="005F192D">
      <w:pPr>
        <w:pStyle w:val="ListBullet"/>
        <w:numPr>
          <w:ilvl w:val="0"/>
          <w:numId w:val="18"/>
        </w:numPr>
      </w:pPr>
      <w:r>
        <w:t xml:space="preserve">The annual charge for biosecurity-approved arrangements is set at $2,900 per year. As part of the introduction of the throughput charge, the annual charges payable for some industry participants have been able to </w:t>
      </w:r>
      <w:proofErr w:type="gramStart"/>
      <w:r>
        <w:t>be reduced</w:t>
      </w:r>
      <w:proofErr w:type="gramEnd"/>
      <w:r>
        <w:t xml:space="preserve"> by remission</w:t>
      </w:r>
      <w:r w:rsidR="00742AFA">
        <w:t>.</w:t>
      </w:r>
    </w:p>
    <w:p w:rsidR="009B4C98" w:rsidRDefault="005F192D" w:rsidP="00E760AD">
      <w:pPr>
        <w:pStyle w:val="ListBullet"/>
        <w:numPr>
          <w:ilvl w:val="1"/>
          <w:numId w:val="18"/>
        </w:numPr>
      </w:pPr>
      <w:r>
        <w:t>Biosecurity approved arrangements operated at a single site</w:t>
      </w:r>
      <w:r w:rsidR="00930B0A">
        <w:t xml:space="preserve"> –</w:t>
      </w:r>
      <w:r>
        <w:t xml:space="preserve"> $2,500</w:t>
      </w:r>
    </w:p>
    <w:p w:rsidR="009B4C98" w:rsidRDefault="005F192D" w:rsidP="00E760AD">
      <w:pPr>
        <w:pStyle w:val="ListBullet"/>
        <w:numPr>
          <w:ilvl w:val="1"/>
          <w:numId w:val="18"/>
        </w:numPr>
      </w:pPr>
      <w:r>
        <w:t>Biosecurity approved arrangements operated as an AEP Broker only</w:t>
      </w:r>
      <w:r w:rsidR="00930B0A">
        <w:t xml:space="preserve"> –</w:t>
      </w:r>
      <w:r>
        <w:t xml:space="preserve"> $500. These operators will also pay a throughput charge of $18 for each AEP entry they process.</w:t>
      </w:r>
    </w:p>
    <w:p w:rsidR="009B4C98" w:rsidRDefault="005F192D" w:rsidP="00E760AD">
      <w:pPr>
        <w:pStyle w:val="ListBullet"/>
        <w:numPr>
          <w:ilvl w:val="0"/>
          <w:numId w:val="0"/>
        </w:numPr>
      </w:pPr>
      <w:r>
        <w:t>The number of international vessels actually arriving in Australia in 2016 and 2017 was below the arrival volumes forecast in the 2015 CRIS</w:t>
      </w:r>
      <w:r w:rsidR="00D543F1">
        <w:t xml:space="preserve"> and </w:t>
      </w:r>
      <w:r>
        <w:t xml:space="preserve">there was an under-recovery of expenses in the seaports program. </w:t>
      </w:r>
      <w:r w:rsidR="00F82DCA">
        <w:t>The</w:t>
      </w:r>
      <w:r>
        <w:t xml:space="preserve"> Australian Government </w:t>
      </w:r>
      <w:r w:rsidR="00E4787E">
        <w:t xml:space="preserve">as part of the 2017-18 Budget measures </w:t>
      </w:r>
      <w:r>
        <w:t xml:space="preserve">directed </w:t>
      </w:r>
      <w:proofErr w:type="gramStart"/>
      <w:r w:rsidR="00D431E2">
        <w:t>us</w:t>
      </w:r>
      <w:r w:rsidR="00E4787E">
        <w:t xml:space="preserve"> to increase the international vessel arrival charge</w:t>
      </w:r>
      <w:r>
        <w:t xml:space="preserve"> to</w:t>
      </w:r>
      <w:r w:rsidR="00254BB1">
        <w:t xml:space="preserve"> address the volume forecast and</w:t>
      </w:r>
      <w:r>
        <w:t xml:space="preserve"> cost</w:t>
      </w:r>
      <w:proofErr w:type="gramEnd"/>
      <w:r>
        <w:t xml:space="preserve"> recover the expenses of the expanded ballast water biosecurity activities. The international vessel arrival charge for vessels over 25 metres in length increased from $720 to $920, with effect from April</w:t>
      </w:r>
      <w:r w:rsidR="00930B0A">
        <w:t> </w:t>
      </w:r>
      <w:r>
        <w:t>2018.</w:t>
      </w:r>
    </w:p>
    <w:p w:rsidR="009B4C98" w:rsidRDefault="005F192D">
      <w:r>
        <w:t xml:space="preserve">In 2016, the Australian Government approved the provision of enhanced passenger clearance </w:t>
      </w:r>
      <w:r w:rsidR="00DC6C2D">
        <w:t>activities</w:t>
      </w:r>
      <w:r>
        <w:t xml:space="preserve"> at international airports. </w:t>
      </w:r>
      <w:r w:rsidR="00D431E2">
        <w:t>We</w:t>
      </w:r>
      <w:r>
        <w:t xml:space="preserve"> will enter into contractual arrangements with the operators (or other service providers) for the provision of personnel to participate in the premium traveller </w:t>
      </w:r>
      <w:r w:rsidR="00DC6C2D">
        <w:t>activities</w:t>
      </w:r>
      <w:r>
        <w:t xml:space="preserve">, which will set out the agreed fee to </w:t>
      </w:r>
      <w:proofErr w:type="gramStart"/>
      <w:r>
        <w:t>be paid</w:t>
      </w:r>
      <w:proofErr w:type="gramEnd"/>
      <w:r>
        <w:t xml:space="preserve"> by the operator (or other service providers). The agreements will set out the agreed amount to </w:t>
      </w:r>
      <w:proofErr w:type="gramStart"/>
      <w:r>
        <w:t>be paid</w:t>
      </w:r>
      <w:proofErr w:type="gramEnd"/>
      <w:r>
        <w:t xml:space="preserve"> by the airport (or other service provider) subject to fee parameters.</w:t>
      </w:r>
    </w:p>
    <w:p w:rsidR="009B4C98" w:rsidRDefault="005F192D">
      <w:pPr>
        <w:pStyle w:val="ListBullet"/>
        <w:numPr>
          <w:ilvl w:val="0"/>
          <w:numId w:val="19"/>
        </w:numPr>
      </w:pPr>
      <w:r>
        <w:t xml:space="preserve">The premium traveller service </w:t>
      </w:r>
      <w:proofErr w:type="gramStart"/>
      <w:r>
        <w:t>is offered</w:t>
      </w:r>
      <w:proofErr w:type="gramEnd"/>
      <w:r>
        <w:t xml:space="preserve"> to operators of landing places or ports (or other service providers) on a voluntary basis. International travellers who do not wish to use the premium traveller </w:t>
      </w:r>
      <w:r w:rsidR="00DC6C2D">
        <w:t xml:space="preserve">activities </w:t>
      </w:r>
      <w:r>
        <w:t>are still subject to existing customs, immigration and biosecurity inspections and aviation security screening.</w:t>
      </w:r>
    </w:p>
    <w:p w:rsidR="009B4C98" w:rsidRDefault="005F192D">
      <w:pPr>
        <w:pStyle w:val="ListBullet"/>
        <w:numPr>
          <w:ilvl w:val="0"/>
          <w:numId w:val="19"/>
        </w:numPr>
      </w:pPr>
      <w:r>
        <w:t xml:space="preserve">Similar fees </w:t>
      </w:r>
      <w:proofErr w:type="gramStart"/>
      <w:r>
        <w:t>have been implemented</w:t>
      </w:r>
      <w:proofErr w:type="gramEnd"/>
      <w:r>
        <w:t xml:space="preserve"> by the Department of Home Affairs for the customs and immigration related components of the proposal through amendments to the Migration Regulations 1994 and the Customs Regulation</w:t>
      </w:r>
      <w:r w:rsidR="00087778">
        <w:t>s</w:t>
      </w:r>
      <w:r>
        <w:t xml:space="preserve"> 2015.</w:t>
      </w:r>
    </w:p>
    <w:p w:rsidR="009B4C98" w:rsidRDefault="005F192D">
      <w:pPr>
        <w:pStyle w:val="ListBullet"/>
        <w:numPr>
          <w:ilvl w:val="0"/>
          <w:numId w:val="19"/>
        </w:numPr>
      </w:pPr>
      <w:r>
        <w:lastRenderedPageBreak/>
        <w:t xml:space="preserve">No contracts are presently in place at any airport for these passenger clearance </w:t>
      </w:r>
      <w:r w:rsidR="00DC6C2D">
        <w:t xml:space="preserve">activities </w:t>
      </w:r>
      <w:r>
        <w:t>—and as a result, the volumes forecast in this CRIS for that activity have been set at zero.</w:t>
      </w:r>
    </w:p>
    <w:p w:rsidR="009B4C98" w:rsidRDefault="005F192D">
      <w:pPr>
        <w:pStyle w:val="Heading3"/>
      </w:pPr>
      <w:bookmarkStart w:id="10" w:name="_Toc24470675"/>
      <w:bookmarkStart w:id="11" w:name="_Toc24470719"/>
      <w:bookmarkStart w:id="12" w:name="_Toc24470676"/>
      <w:bookmarkStart w:id="13" w:name="_Toc24470720"/>
      <w:bookmarkStart w:id="14" w:name="_Toc24470677"/>
      <w:bookmarkStart w:id="15" w:name="_Toc24470721"/>
      <w:bookmarkStart w:id="16" w:name="_Toc24470680"/>
      <w:bookmarkStart w:id="17" w:name="_Toc24470724"/>
      <w:bookmarkStart w:id="18" w:name="_Toc24470681"/>
      <w:bookmarkStart w:id="19" w:name="_Toc24470725"/>
      <w:bookmarkStart w:id="20" w:name="_Toc24029264"/>
      <w:bookmarkStart w:id="21" w:name="_Toc24029265"/>
      <w:bookmarkStart w:id="22" w:name="_Toc24029266"/>
      <w:bookmarkStart w:id="23" w:name="_Toc24029267"/>
      <w:bookmarkStart w:id="24" w:name="_Toc24029268"/>
      <w:bookmarkStart w:id="25" w:name="_Toc24029269"/>
      <w:bookmarkStart w:id="26" w:name="_Toc24029270"/>
      <w:bookmarkStart w:id="27" w:name="_Statutory_authority_to"/>
      <w:bookmarkStart w:id="28" w:name="_Toc2636363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t>Statutory authority to charge</w:t>
      </w:r>
      <w:bookmarkEnd w:id="28"/>
    </w:p>
    <w:p w:rsidR="009B4C98" w:rsidRDefault="00254BB1">
      <w:r>
        <w:t>F</w:t>
      </w:r>
      <w:r w:rsidR="005F192D">
        <w:t xml:space="preserve">ees and levies for biosecurity activities </w:t>
      </w:r>
      <w:proofErr w:type="gramStart"/>
      <w:r w:rsidR="005F192D">
        <w:t>are recovered</w:t>
      </w:r>
      <w:proofErr w:type="gramEnd"/>
      <w:r w:rsidR="005F192D">
        <w:t xml:space="preserve"> under separate statutory </w:t>
      </w:r>
      <w:r w:rsidR="00D23AF6">
        <w:t>authorities</w:t>
      </w:r>
      <w:r w:rsidR="005F192D">
        <w:t>.</w:t>
      </w:r>
    </w:p>
    <w:p w:rsidR="009B4C98" w:rsidRDefault="005F192D">
      <w:pPr>
        <w:pStyle w:val="Heading4"/>
      </w:pPr>
      <w:r>
        <w:t>Cost recovery fees</w:t>
      </w:r>
    </w:p>
    <w:p w:rsidR="009B4C98" w:rsidRDefault="005F192D">
      <w:r>
        <w:t xml:space="preserve">The </w:t>
      </w:r>
      <w:hyperlink r:id="rId21" w:history="1">
        <w:r w:rsidRPr="00FE337D">
          <w:rPr>
            <w:rStyle w:val="Hyperlink"/>
          </w:rPr>
          <w:t>Biosecurity Act 2015</w:t>
        </w:r>
      </w:hyperlink>
      <w:r w:rsidRPr="007555C4">
        <w:t xml:space="preserve"> </w:t>
      </w:r>
      <w:r>
        <w:t xml:space="preserve">is the primary piece of biosecurity legislation in Australia. Subordinate legislation and supporting polices includes regulations affecting the management of ballast water, approved arrangements and import risk analysis. The </w:t>
      </w:r>
      <w:hyperlink r:id="rId22" w:history="1">
        <w:r w:rsidRPr="007555C4">
          <w:rPr>
            <w:rStyle w:val="Hyperlink"/>
          </w:rPr>
          <w:t>Biosecurity Regulations 2016</w:t>
        </w:r>
      </w:hyperlink>
      <w:r w:rsidRPr="007555C4">
        <w:t xml:space="preserve"> </w:t>
      </w:r>
      <w:r>
        <w:t>provides fees for different biosecurity activities.</w:t>
      </w:r>
    </w:p>
    <w:p w:rsidR="009B4C98" w:rsidRDefault="005F192D">
      <w:pPr>
        <w:pStyle w:val="Heading4"/>
      </w:pPr>
      <w:r>
        <w:t>Cost recovery levies</w:t>
      </w:r>
    </w:p>
    <w:p w:rsidR="009B4C98" w:rsidRDefault="005F192D">
      <w:pPr>
        <w:keepNext/>
        <w:spacing w:after="120"/>
      </w:pPr>
      <w:r>
        <w:t xml:space="preserve">Cost recovery levies as described in the </w:t>
      </w:r>
      <w:r w:rsidR="00BA467C">
        <w:t>c</w:t>
      </w:r>
      <w:r w:rsidR="00F02CDB">
        <w:t>hargi</w:t>
      </w:r>
      <w:r w:rsidR="00BA467C">
        <w:t>ng f</w:t>
      </w:r>
      <w:r w:rsidR="00F02CDB">
        <w:t>ramework</w:t>
      </w:r>
      <w:r>
        <w:t xml:space="preserve"> are implemented through the biosecurity and imported food charging acts and associated delegated legislation, which provide powers to impose and collect charges for biosecurity and imported food compliance-related activities:</w:t>
      </w:r>
    </w:p>
    <w:p w:rsidR="009B4C98" w:rsidRDefault="005F192D">
      <w:pPr>
        <w:pStyle w:val="ListBullet"/>
        <w:keepNext/>
        <w:rPr>
          <w:rStyle w:val="Emphasis"/>
        </w:rPr>
      </w:pPr>
      <w:r>
        <w:rPr>
          <w:rStyle w:val="Emphasis"/>
        </w:rPr>
        <w:t>Biosecurity Charges Imposition (Customs) Act 2015</w:t>
      </w:r>
    </w:p>
    <w:p w:rsidR="009B4C98" w:rsidRDefault="005F192D">
      <w:pPr>
        <w:pStyle w:val="ListBullet"/>
        <w:rPr>
          <w:rStyle w:val="Emphasis"/>
        </w:rPr>
      </w:pPr>
      <w:r>
        <w:rPr>
          <w:rStyle w:val="Emphasis"/>
        </w:rPr>
        <w:t>Biosecurity Charges Imposition (Excise) Act 2015</w:t>
      </w:r>
    </w:p>
    <w:p w:rsidR="009B4C98" w:rsidRDefault="005F192D">
      <w:pPr>
        <w:pStyle w:val="ListBullet"/>
        <w:rPr>
          <w:rStyle w:val="Emphasis"/>
        </w:rPr>
      </w:pPr>
      <w:r>
        <w:rPr>
          <w:rStyle w:val="Emphasis"/>
        </w:rPr>
        <w:t>Biosecurity Charges Imposition (General) Act 2015</w:t>
      </w:r>
    </w:p>
    <w:p w:rsidR="009B4C98" w:rsidRDefault="005F192D">
      <w:pPr>
        <w:pStyle w:val="ListBullet"/>
        <w:rPr>
          <w:i/>
        </w:rPr>
      </w:pPr>
      <w:r>
        <w:rPr>
          <w:i/>
        </w:rPr>
        <w:t>Imported Food Charges (Imposition—Customs) Act 2015</w:t>
      </w:r>
    </w:p>
    <w:p w:rsidR="009B4C98" w:rsidRDefault="005F192D">
      <w:pPr>
        <w:pStyle w:val="ListBullet"/>
        <w:rPr>
          <w:i/>
        </w:rPr>
      </w:pPr>
      <w:r>
        <w:rPr>
          <w:i/>
        </w:rPr>
        <w:t>Imported Food Charges (Imposition—Excise) Act 2015</w:t>
      </w:r>
    </w:p>
    <w:p w:rsidR="009B4C98" w:rsidRDefault="005F192D">
      <w:pPr>
        <w:pStyle w:val="ListBullet"/>
        <w:rPr>
          <w:i/>
        </w:rPr>
      </w:pPr>
      <w:r>
        <w:rPr>
          <w:i/>
        </w:rPr>
        <w:t>Imported Food Charges (Imposition—General) Act 2015</w:t>
      </w:r>
    </w:p>
    <w:p w:rsidR="009B4C98" w:rsidRDefault="005F192D">
      <w:pPr>
        <w:pStyle w:val="ListBullet"/>
        <w:rPr>
          <w:i/>
        </w:rPr>
      </w:pPr>
      <w:r>
        <w:rPr>
          <w:i/>
        </w:rPr>
        <w:t>Imported Food Charges (Collection) Act 2015</w:t>
      </w:r>
    </w:p>
    <w:p w:rsidR="009B4C98" w:rsidRDefault="005F192D">
      <w:pPr>
        <w:pStyle w:val="ListBullet"/>
      </w:pPr>
      <w:r>
        <w:t>Biosecurity Charges Imposition (Customs) Regulation 2016</w:t>
      </w:r>
    </w:p>
    <w:p w:rsidR="009B4C98" w:rsidRDefault="005F192D">
      <w:pPr>
        <w:pStyle w:val="ListBullet"/>
      </w:pPr>
      <w:r>
        <w:t>Biosecurity Charges Imposition (General) Regulation 2016</w:t>
      </w:r>
    </w:p>
    <w:p w:rsidR="009B4C98" w:rsidRDefault="004423D1">
      <w:r>
        <w:t>Amendments to the existing regulations, or new regulations</w:t>
      </w:r>
      <w:r w:rsidR="00D23AF6">
        <w:t>,</w:t>
      </w:r>
      <w:r>
        <w:t xml:space="preserve"> will provide for the fees detailed in this CRIS to be established.</w:t>
      </w:r>
    </w:p>
    <w:p w:rsidR="009B4C98" w:rsidRDefault="005F192D">
      <w:pPr>
        <w:rPr>
          <w:rFonts w:cs="Times New Roman"/>
        </w:rPr>
      </w:pPr>
      <w:r>
        <w:t xml:space="preserve">Under the legislative framework for biosecurity cost recovery, charges </w:t>
      </w:r>
      <w:proofErr w:type="gramStart"/>
      <w:r>
        <w:t>are imposed</w:t>
      </w:r>
      <w:proofErr w:type="gramEnd"/>
      <w:r>
        <w:t xml:space="preserve"> under both the </w:t>
      </w:r>
      <w:r>
        <w:rPr>
          <w:i/>
          <w:iCs/>
        </w:rPr>
        <w:t>Biosecurity Charges Imposition (Customs) Act 2015</w:t>
      </w:r>
      <w:r>
        <w:t xml:space="preserve"> and the </w:t>
      </w:r>
      <w:r>
        <w:rPr>
          <w:i/>
          <w:iCs/>
        </w:rPr>
        <w:t>Biosecurity Charges Imposition (General) Act 2015</w:t>
      </w:r>
      <w:r>
        <w:t>. These Acts provide the taxing legislation framework necessary to support cost recovery charges.</w:t>
      </w:r>
    </w:p>
    <w:p w:rsidR="009B4C98" w:rsidRDefault="005F192D">
      <w:r>
        <w:t xml:space="preserve">Specific charges </w:t>
      </w:r>
      <w:proofErr w:type="gramStart"/>
      <w:r>
        <w:t>are prescribed</w:t>
      </w:r>
      <w:proofErr w:type="gramEnd"/>
      <w:r>
        <w:t xml:space="preserve"> in the Biosecurity Charges Imposition (Customs) Regulation 2016 and the Biosecurity Charges Imposition (General) Regulation 2016.</w:t>
      </w:r>
    </w:p>
    <w:p w:rsidR="009B4C98" w:rsidRDefault="005F192D">
      <w:r>
        <w:t>For the avoidance of any doubt as to the technical classification of the charge in the customs and taxation context, all charges appear in identical form in regulations made under each of the Acts.</w:t>
      </w:r>
    </w:p>
    <w:p w:rsidR="009B4C98" w:rsidRDefault="005F192D">
      <w:pPr>
        <w:pStyle w:val="Heading2"/>
      </w:pPr>
      <w:bookmarkStart w:id="29" w:name="_Cost_recovery_model"/>
      <w:bookmarkStart w:id="30" w:name="_Toc26363640"/>
      <w:bookmarkEnd w:id="29"/>
      <w:r>
        <w:lastRenderedPageBreak/>
        <w:t>Cost recovery model</w:t>
      </w:r>
      <w:bookmarkEnd w:id="30"/>
    </w:p>
    <w:p w:rsidR="009B4C98" w:rsidRDefault="005F192D">
      <w:pPr>
        <w:pStyle w:val="Heading3"/>
        <w:numPr>
          <w:ilvl w:val="1"/>
          <w:numId w:val="11"/>
        </w:numPr>
        <w:rPr>
          <w:lang w:eastAsia="ja-JP"/>
        </w:rPr>
      </w:pPr>
      <w:bookmarkStart w:id="31" w:name="_Outputs_and_business"/>
      <w:bookmarkStart w:id="32" w:name="_Toc26363641"/>
      <w:bookmarkStart w:id="33" w:name="_Toc15904874"/>
      <w:bookmarkStart w:id="34" w:name="_Toc15904875"/>
      <w:bookmarkStart w:id="35" w:name="_Toc15556527"/>
      <w:bookmarkEnd w:id="31"/>
      <w:r>
        <w:rPr>
          <w:lang w:eastAsia="ja-JP"/>
        </w:rPr>
        <w:t>Outputs and business processes of the regulatory charging activit</w:t>
      </w:r>
      <w:bookmarkEnd w:id="32"/>
      <w:r>
        <w:rPr>
          <w:lang w:eastAsia="ja-JP"/>
        </w:rPr>
        <w:t>y</w:t>
      </w:r>
      <w:bookmarkEnd w:id="33"/>
    </w:p>
    <w:p w:rsidR="009B4C98" w:rsidRDefault="005F192D">
      <w:pPr>
        <w:spacing w:before="120" w:after="160"/>
        <w:rPr>
          <w:rFonts w:asciiTheme="majorHAnsi" w:hAnsiTheme="majorHAnsi"/>
        </w:rPr>
      </w:pPr>
      <w:r>
        <w:rPr>
          <w:rFonts w:asciiTheme="majorHAnsi" w:hAnsiTheme="majorHAnsi" w:cstheme="minorHAnsi"/>
          <w:lang w:eastAsia="ja-JP"/>
        </w:rPr>
        <w:t xml:space="preserve">The key policy objectives for our </w:t>
      </w:r>
      <w:r w:rsidR="00254BB1">
        <w:rPr>
          <w:rFonts w:asciiTheme="majorHAnsi" w:hAnsiTheme="majorHAnsi" w:cstheme="minorHAnsi"/>
          <w:lang w:eastAsia="ja-JP"/>
        </w:rPr>
        <w:t>regulatory charging</w:t>
      </w:r>
      <w:r>
        <w:rPr>
          <w:rFonts w:asciiTheme="majorHAnsi" w:hAnsiTheme="majorHAnsi" w:cstheme="minorHAnsi"/>
          <w:lang w:eastAsia="ja-JP"/>
        </w:rPr>
        <w:t xml:space="preserve"> arrangements are to:</w:t>
      </w:r>
    </w:p>
    <w:p w:rsidR="009B4C98" w:rsidRDefault="005F192D">
      <w:pPr>
        <w:pStyle w:val="ListBullet"/>
      </w:pPr>
      <w:proofErr w:type="gramStart"/>
      <w:r>
        <w:t>safeguard</w:t>
      </w:r>
      <w:proofErr w:type="gramEnd"/>
      <w:r>
        <w:t xml:space="preserve"> Australia’s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p>
    <w:p w:rsidR="009B4C98" w:rsidRDefault="005F192D">
      <w:pPr>
        <w:pStyle w:val="ListBullet"/>
      </w:pPr>
      <w:proofErr w:type="gramStart"/>
      <w:r>
        <w:t>support</w:t>
      </w:r>
      <w:proofErr w:type="gramEnd"/>
      <w:r>
        <w:t xml:space="preserve"> sustainable, productive, internationally competitive and profitable Australian agricultural, food and fibre industries through policies and initiatives that promote better resource management practices, innovation, self-reliance and improved market access.</w:t>
      </w:r>
    </w:p>
    <w:p w:rsidR="009B4C98" w:rsidRDefault="005F192D">
      <w:r>
        <w:t xml:space="preserve">The regulatory activities </w:t>
      </w:r>
      <w:proofErr w:type="gramStart"/>
      <w:r>
        <w:t>are described</w:t>
      </w:r>
      <w:proofErr w:type="gramEnd"/>
      <w:r>
        <w:t xml:space="preserve"> in </w:t>
      </w:r>
      <w:hyperlink w:anchor="_Appendix_C_—" w:history="1">
        <w:r>
          <w:rPr>
            <w:rStyle w:val="Hyperlink"/>
          </w:rPr>
          <w:t>Appendix A</w:t>
        </w:r>
      </w:hyperlink>
      <w:r>
        <w:t xml:space="preserve"> and are grouped into</w:t>
      </w:r>
      <w:r w:rsidR="00D543F1">
        <w:t xml:space="preserve"> </w:t>
      </w:r>
      <w:r w:rsidRPr="007C4F97">
        <w:t>four</w:t>
      </w:r>
      <w:r>
        <w:t> categories of activities:</w:t>
      </w:r>
    </w:p>
    <w:p w:rsidR="009B4C98" w:rsidRDefault="005F192D">
      <w:pPr>
        <w:pStyle w:val="ListNumber"/>
      </w:pPr>
      <w:r>
        <w:t xml:space="preserve">Program management and administration—administrative activities that support </w:t>
      </w:r>
      <w:r w:rsidR="007555C4">
        <w:t xml:space="preserve">us to </w:t>
      </w:r>
      <w:r>
        <w:t xml:space="preserve">deliver our </w:t>
      </w:r>
      <w:r w:rsidR="001D6AA3">
        <w:t>biosecur</w:t>
      </w:r>
      <w:r w:rsidR="00E27568">
        <w:t>i</w:t>
      </w:r>
      <w:r w:rsidR="001D6AA3">
        <w:t>ty regulatory activities</w:t>
      </w:r>
      <w:r>
        <w:t>.</w:t>
      </w:r>
    </w:p>
    <w:p w:rsidR="009B4C98" w:rsidRDefault="005F192D">
      <w:pPr>
        <w:pStyle w:val="ListNumber"/>
      </w:pPr>
      <w:r>
        <w:t>Assurance—activities that mitigate risks to collective user groups by assessing departmental controls of systems and processes to ensure they operate in accordance with their intended design.</w:t>
      </w:r>
    </w:p>
    <w:p w:rsidR="009B4C98" w:rsidRDefault="005F192D">
      <w:pPr>
        <w:pStyle w:val="ListNumber"/>
      </w:pPr>
      <w:r>
        <w:t>Incident management—activities that respond to incidents concerning alleged breaches of Australian regulation or international import conditions.</w:t>
      </w:r>
    </w:p>
    <w:p w:rsidR="009B4C98" w:rsidRDefault="005F192D">
      <w:pPr>
        <w:pStyle w:val="ListNumber"/>
      </w:pPr>
      <w:r>
        <w:t>Intervention—activities provided directly to an individual, business or organisation to meet import requirements.</w:t>
      </w:r>
    </w:p>
    <w:p w:rsidR="009B4C98" w:rsidRDefault="005F192D">
      <w:pPr>
        <w:pStyle w:val="Heading3"/>
        <w:numPr>
          <w:ilvl w:val="1"/>
          <w:numId w:val="11"/>
        </w:numPr>
        <w:rPr>
          <w:lang w:eastAsia="ja-JP"/>
        </w:rPr>
      </w:pPr>
      <w:bookmarkStart w:id="36" w:name="_Toc26363642"/>
      <w:r>
        <w:rPr>
          <w:lang w:eastAsia="ja-JP"/>
        </w:rPr>
        <w:t>Costs of regulatory charging activit</w:t>
      </w:r>
      <w:bookmarkEnd w:id="36"/>
      <w:r>
        <w:rPr>
          <w:lang w:eastAsia="ja-JP"/>
        </w:rPr>
        <w:t>y</w:t>
      </w:r>
      <w:bookmarkEnd w:id="34"/>
    </w:p>
    <w:p w:rsidR="009B4C98" w:rsidRDefault="005F192D">
      <w:pPr>
        <w:pStyle w:val="Heading4"/>
        <w:numPr>
          <w:ilvl w:val="2"/>
          <w:numId w:val="11"/>
        </w:numPr>
        <w:spacing w:line="276" w:lineRule="auto"/>
      </w:pPr>
      <w:r>
        <w:t>Cost allocation process</w:t>
      </w:r>
    </w:p>
    <w:p w:rsidR="009B4C98" w:rsidRDefault="005F192D">
      <w:pPr>
        <w:rPr>
          <w:rFonts w:asciiTheme="majorHAnsi" w:hAnsiTheme="majorHAnsi"/>
          <w:lang w:eastAsia="ja-JP"/>
        </w:rPr>
      </w:pPr>
      <w:r>
        <w:rPr>
          <w:rFonts w:asciiTheme="majorHAnsi" w:hAnsiTheme="majorHAnsi"/>
          <w:lang w:eastAsia="ja-JP"/>
        </w:rPr>
        <w:t xml:space="preserve">To determine the cost of regulatory activities, we use an activity based costing (ABC) system. The ABC allocation methodology we employ reflects </w:t>
      </w:r>
      <w:r w:rsidR="00A23F6D">
        <w:rPr>
          <w:rFonts w:asciiTheme="majorHAnsi" w:hAnsiTheme="majorHAnsi"/>
          <w:lang w:eastAsia="ja-JP"/>
        </w:rPr>
        <w:t xml:space="preserve">effort </w:t>
      </w:r>
      <w:r>
        <w:rPr>
          <w:rFonts w:asciiTheme="majorHAnsi" w:hAnsiTheme="majorHAnsi"/>
          <w:lang w:eastAsia="ja-JP"/>
        </w:rPr>
        <w:t xml:space="preserve">incurred through </w:t>
      </w:r>
      <w:r w:rsidR="00A23F6D">
        <w:rPr>
          <w:rFonts w:asciiTheme="majorHAnsi" w:hAnsiTheme="majorHAnsi"/>
          <w:lang w:eastAsia="ja-JP"/>
        </w:rPr>
        <w:t xml:space="preserve">delivery </w:t>
      </w:r>
      <w:r>
        <w:rPr>
          <w:rFonts w:asciiTheme="majorHAnsi" w:hAnsiTheme="majorHAnsi"/>
          <w:lang w:eastAsia="ja-JP"/>
        </w:rPr>
        <w:t>of regulatory activities</w:t>
      </w:r>
      <w:r w:rsidR="00A23F6D">
        <w:rPr>
          <w:rFonts w:asciiTheme="majorHAnsi" w:hAnsiTheme="majorHAnsi"/>
          <w:lang w:eastAsia="ja-JP"/>
        </w:rPr>
        <w:t xml:space="preserve"> to the individual or entity</w:t>
      </w:r>
      <w:r>
        <w:rPr>
          <w:rFonts w:asciiTheme="majorHAnsi" w:hAnsiTheme="majorHAnsi"/>
          <w:lang w:eastAsia="ja-JP"/>
        </w:rPr>
        <w:t>. This provides a</w:t>
      </w:r>
      <w:r w:rsidR="00A23F6D">
        <w:rPr>
          <w:rFonts w:asciiTheme="majorHAnsi" w:hAnsiTheme="majorHAnsi"/>
          <w:lang w:eastAsia="ja-JP"/>
        </w:rPr>
        <w:t xml:space="preserve">n accountable and </w:t>
      </w:r>
      <w:r>
        <w:rPr>
          <w:rFonts w:asciiTheme="majorHAnsi" w:hAnsiTheme="majorHAnsi"/>
          <w:lang w:eastAsia="ja-JP"/>
        </w:rPr>
        <w:t>transparent allocation of costs that is also efficient and effective to administer.</w:t>
      </w:r>
    </w:p>
    <w:p w:rsidR="009B4C98" w:rsidRDefault="005F192D">
      <w:pPr>
        <w:rPr>
          <w:rFonts w:asciiTheme="majorHAnsi" w:hAnsiTheme="majorHAnsi"/>
          <w:lang w:eastAsia="ja-JP"/>
        </w:rPr>
      </w:pPr>
      <w:r>
        <w:rPr>
          <w:rFonts w:asciiTheme="majorHAnsi" w:hAnsiTheme="majorHAnsi"/>
          <w:lang w:eastAsia="ja-JP"/>
        </w:rPr>
        <w:t xml:space="preserve">The </w:t>
      </w:r>
      <w:proofErr w:type="gramStart"/>
      <w:r w:rsidR="00D543F1">
        <w:rPr>
          <w:rFonts w:asciiTheme="majorHAnsi" w:hAnsiTheme="majorHAnsi"/>
          <w:lang w:eastAsia="ja-JP"/>
        </w:rPr>
        <w:t>2</w:t>
      </w:r>
      <w:proofErr w:type="gramEnd"/>
      <w:r w:rsidR="00D543F1">
        <w:rPr>
          <w:rFonts w:asciiTheme="majorHAnsi" w:hAnsiTheme="majorHAnsi"/>
          <w:lang w:eastAsia="ja-JP"/>
        </w:rPr>
        <w:t xml:space="preserve"> </w:t>
      </w:r>
      <w:r w:rsidRPr="007C4F97">
        <w:rPr>
          <w:rFonts w:asciiTheme="majorHAnsi" w:hAnsiTheme="majorHAnsi"/>
          <w:lang w:eastAsia="ja-JP"/>
        </w:rPr>
        <w:t>two</w:t>
      </w:r>
      <w:r>
        <w:rPr>
          <w:rFonts w:asciiTheme="majorHAnsi" w:hAnsiTheme="majorHAnsi"/>
          <w:lang w:eastAsia="ja-JP"/>
        </w:rPr>
        <w:t> expense categories are:</w:t>
      </w:r>
    </w:p>
    <w:p w:rsidR="009B4C98" w:rsidRDefault="005F192D">
      <w:pPr>
        <w:pStyle w:val="ListNumber"/>
        <w:numPr>
          <w:ilvl w:val="0"/>
          <w:numId w:val="12"/>
        </w:numPr>
      </w:pPr>
      <w:proofErr w:type="gramStart"/>
      <w:r>
        <w:t>direct</w:t>
      </w:r>
      <w:proofErr w:type="gramEnd"/>
      <w:r>
        <w:t xml:space="preserve"> expenses—these can be directly attributed to the provision of an activity, for example, inspections. They comprise of staff salaries and supplier costs including direct capital expenses, which includes plant, property and depreciation.</w:t>
      </w:r>
    </w:p>
    <w:p w:rsidR="009B4C98" w:rsidRDefault="005F192D">
      <w:pPr>
        <w:pStyle w:val="ListNumber"/>
        <w:numPr>
          <w:ilvl w:val="0"/>
          <w:numId w:val="12"/>
        </w:numPr>
        <w:rPr>
          <w:rFonts w:eastAsia="Calibri" w:cstheme="minorHAnsi"/>
          <w:lang w:eastAsia="en-AU"/>
        </w:rPr>
      </w:pPr>
      <w:proofErr w:type="gramStart"/>
      <w:r>
        <w:t>indirect</w:t>
      </w:r>
      <w:proofErr w:type="gramEnd"/>
      <w:r>
        <w:t xml:space="preserve"> expenses—these support but are not directly linked to an activity provided by us. Indirect expenses include corporate employee salaries and overheads such as information</w:t>
      </w:r>
      <w:r>
        <w:rPr>
          <w:rFonts w:eastAsia="Calibri" w:cstheme="minorHAnsi"/>
          <w:lang w:eastAsia="en-AU"/>
        </w:rPr>
        <w:t xml:space="preserve"> technology, finance, human resources costs, and indirect capital expenses, which includes plant, property and depreciation.</w:t>
      </w:r>
    </w:p>
    <w:p w:rsidR="009B4C98" w:rsidRDefault="005F192D">
      <w:pPr>
        <w:rPr>
          <w:rFonts w:asciiTheme="majorHAnsi" w:hAnsiTheme="majorHAnsi"/>
        </w:rPr>
      </w:pPr>
      <w:r>
        <w:rPr>
          <w:rFonts w:asciiTheme="majorHAnsi" w:hAnsiTheme="majorHAnsi"/>
          <w:lang w:eastAsia="ja-JP"/>
        </w:rPr>
        <w:lastRenderedPageBreak/>
        <w:t xml:space="preserve">The </w:t>
      </w:r>
      <w:r>
        <w:rPr>
          <w:rFonts w:asciiTheme="majorHAnsi" w:hAnsiTheme="majorHAnsi"/>
        </w:rPr>
        <w:t xml:space="preserve">cost allocation process apportions the costs of support functions (indirect expense) and direct expense to the processes and activities defined in </w:t>
      </w:r>
      <w:hyperlink w:anchor="_Appendix_C_—" w:history="1">
        <w:r>
          <w:rPr>
            <w:rStyle w:val="Hyperlink"/>
            <w:rFonts w:asciiTheme="majorHAnsi" w:hAnsiTheme="majorHAnsi"/>
          </w:rPr>
          <w:t>Appendix A</w:t>
        </w:r>
      </w:hyperlink>
      <w:r>
        <w:rPr>
          <w:rFonts w:asciiTheme="majorHAnsi" w:hAnsiTheme="majorHAnsi"/>
        </w:rPr>
        <w:t xml:space="preserve">. We include </w:t>
      </w:r>
      <w:r>
        <w:rPr>
          <w:rFonts w:asciiTheme="majorHAnsi" w:hAnsiTheme="majorHAnsi"/>
          <w:lang w:eastAsia="ja-JP"/>
        </w:rPr>
        <w:t>indirect expenses in the cost base to reflect the systems and processes that exist to help with efficient administration, which the cost recovered arrangements benefit from. This is the same methodology employed for allocation of indirect costs to appropriated activities, in line with our cost allocation policy.</w:t>
      </w:r>
    </w:p>
    <w:p w:rsidR="009B4C98" w:rsidRDefault="005F192D">
      <w:pPr>
        <w:rPr>
          <w:rFonts w:asciiTheme="majorHAnsi" w:hAnsiTheme="majorHAnsi"/>
        </w:rPr>
      </w:pPr>
      <w:r>
        <w:rPr>
          <w:rFonts w:asciiTheme="majorHAnsi" w:hAnsiTheme="majorHAnsi"/>
        </w:rPr>
        <w:t>The ABC system allocates costs in a staged approach</w:t>
      </w:r>
      <w:r w:rsidR="00373C7F">
        <w:rPr>
          <w:rFonts w:asciiTheme="majorHAnsi" w:hAnsiTheme="majorHAnsi"/>
        </w:rPr>
        <w:t>. The steps are:</w:t>
      </w:r>
    </w:p>
    <w:p w:rsidR="009B4C98" w:rsidRDefault="005F192D">
      <w:pPr>
        <w:pStyle w:val="ListNumber"/>
        <w:numPr>
          <w:ilvl w:val="0"/>
          <w:numId w:val="13"/>
        </w:numPr>
      </w:pPr>
      <w:r>
        <w:t xml:space="preserve">Indirect costs such as property, finance, information technology, human resources and divisional executives </w:t>
      </w:r>
      <w:proofErr w:type="gramStart"/>
      <w:r>
        <w:t>are allocated</w:t>
      </w:r>
      <w:proofErr w:type="gramEnd"/>
      <w:r>
        <w:t xml:space="preserve"> to direct cost centres using a cost driver that estimates the relative usage of each of the corporate </w:t>
      </w:r>
      <w:r w:rsidR="00DC6C2D">
        <w:t>activities</w:t>
      </w:r>
      <w:r>
        <w:t xml:space="preserve">. Cost drivers for corporate </w:t>
      </w:r>
      <w:r w:rsidR="00DC6C2D">
        <w:t>activities</w:t>
      </w:r>
      <w:r>
        <w:t xml:space="preserve"> include</w:t>
      </w:r>
      <w:r w:rsidR="00DC6C2D">
        <w:t>:</w:t>
      </w:r>
    </w:p>
    <w:p w:rsidR="009B4C98" w:rsidRDefault="005F192D">
      <w:pPr>
        <w:pStyle w:val="ListNumber2"/>
      </w:pPr>
      <w:proofErr w:type="spellStart"/>
      <w:r>
        <w:t>Workpoints</w:t>
      </w:r>
      <w:proofErr w:type="spellEnd"/>
      <w:r>
        <w:t xml:space="preserve">—distributes costs based on space occupied, with the </w:t>
      </w:r>
      <w:proofErr w:type="spellStart"/>
      <w:r>
        <w:t>workpoint</w:t>
      </w:r>
      <w:proofErr w:type="spellEnd"/>
      <w:r>
        <w:t xml:space="preserve"> count reflecting the space where a person may be able to work.</w:t>
      </w:r>
    </w:p>
    <w:p w:rsidR="009B4C98" w:rsidRDefault="005F192D">
      <w:pPr>
        <w:pStyle w:val="ListNumber2"/>
      </w:pPr>
      <w:r>
        <w:t>FTE—distributes costs based on each program's full-time equivalent staff numbers.</w:t>
      </w:r>
    </w:p>
    <w:p w:rsidR="009B4C98" w:rsidRDefault="005F192D">
      <w:pPr>
        <w:pStyle w:val="ListNumber2"/>
      </w:pPr>
      <w:r>
        <w:t>PC count/IT assets—distributes costs based on the number of IT assets in a program.</w:t>
      </w:r>
    </w:p>
    <w:p w:rsidR="009B4C98" w:rsidRDefault="005F192D">
      <w:pPr>
        <w:pStyle w:val="ListNumber2"/>
      </w:pPr>
      <w:r>
        <w:t xml:space="preserve">Transactions—distributes costs based on the number of transactions incurred over a period. This driver </w:t>
      </w:r>
      <w:proofErr w:type="gramStart"/>
      <w:r>
        <w:t>is used</w:t>
      </w:r>
      <w:proofErr w:type="gramEnd"/>
      <w:r>
        <w:t xml:space="preserve"> to allocate expenses related to the functions of accounts receivable and accounts payable.</w:t>
      </w:r>
    </w:p>
    <w:p w:rsidR="009B4C98" w:rsidRDefault="005F192D">
      <w:pPr>
        <w:pStyle w:val="ListNumber2"/>
      </w:pPr>
      <w:r>
        <w:t>Headcount—allocates costs based on the number of staff a program area has as a proportion of the number of staff that are on the department’s total staff.</w:t>
      </w:r>
    </w:p>
    <w:p w:rsidR="009B4C98" w:rsidRDefault="005F192D">
      <w:pPr>
        <w:pStyle w:val="ListNumber2"/>
      </w:pPr>
      <w:r>
        <w:t>Custom drivers—allocate costs to specific cost centres, primarily based on usage for shared program resources.</w:t>
      </w:r>
    </w:p>
    <w:p w:rsidR="009B4C98" w:rsidRDefault="005F192D" w:rsidP="00E760AD">
      <w:pPr>
        <w:ind w:left="567"/>
      </w:pPr>
      <w:r>
        <w:t xml:space="preserve">Cost drivers </w:t>
      </w:r>
      <w:proofErr w:type="gramStart"/>
      <w:r>
        <w:t>are reviewed</w:t>
      </w:r>
      <w:proofErr w:type="gramEnd"/>
      <w:r>
        <w:t xml:space="preserve"> on an annual basis, or as required. Changes to cost drivers </w:t>
      </w:r>
      <w:proofErr w:type="gramStart"/>
      <w:r>
        <w:t>are substantiated</w:t>
      </w:r>
      <w:proofErr w:type="gramEnd"/>
      <w:r>
        <w:t xml:space="preserve"> through effort or other data.</w:t>
      </w:r>
    </w:p>
    <w:p w:rsidR="009B4C98" w:rsidRDefault="005F192D">
      <w:pPr>
        <w:pStyle w:val="ListNumber"/>
        <w:rPr>
          <w:lang w:eastAsia="ja-JP"/>
        </w:rPr>
      </w:pPr>
      <w:r>
        <w:t xml:space="preserve">Direct costs (which at this point include the indirect costs allocated in step 1) </w:t>
      </w:r>
      <w:proofErr w:type="gramStart"/>
      <w:r>
        <w:t>are allocated to the activity and cost recovered arrangements that best reflects the activity undertaken</w:t>
      </w:r>
      <w:proofErr w:type="gramEnd"/>
      <w:r>
        <w:t xml:space="preserve">. </w:t>
      </w:r>
      <w:r>
        <w:rPr>
          <w:lang w:eastAsia="ja-JP"/>
        </w:rPr>
        <w:t>Time recording systems allow the accurate allocation of effort to specific activities and arrangements, particularly to intervention activities.</w:t>
      </w:r>
    </w:p>
    <w:p w:rsidR="009B4C98" w:rsidRDefault="005F192D">
      <w:pPr>
        <w:pStyle w:val="ListNumber"/>
        <w:numPr>
          <w:ilvl w:val="0"/>
          <w:numId w:val="0"/>
        </w:numPr>
        <w:ind w:left="425"/>
        <w:rPr>
          <w:lang w:eastAsia="ja-JP"/>
        </w:rPr>
      </w:pPr>
      <w:r>
        <w:rPr>
          <w:lang w:eastAsia="ja-JP"/>
        </w:rPr>
        <w:t>The primary variable used in the allocation of costs to activities is effort. As a result, cost estimates vary with changes in activity. If actual activity levels change during a financial year, the costs allocated to arrangements would require adjustment to align with that effort. We monitor this throughout the year and adjust where necessary.</w:t>
      </w:r>
    </w:p>
    <w:p w:rsidR="009B4C98" w:rsidRDefault="005F192D">
      <w:pPr>
        <w:pStyle w:val="ListNumber"/>
        <w:numPr>
          <w:ilvl w:val="0"/>
          <w:numId w:val="0"/>
        </w:numPr>
        <w:ind w:left="425"/>
      </w:pPr>
      <w:r>
        <w:rPr>
          <w:lang w:eastAsia="ja-JP"/>
        </w:rPr>
        <w:t>For example, auditors undertake audits across multiple arrangements. We forecast the number of audits and average time for an audit for each arrangement. T</w:t>
      </w:r>
      <w:r>
        <w:t xml:space="preserve">he associated costs </w:t>
      </w:r>
      <w:proofErr w:type="gramStart"/>
      <w:r>
        <w:t>are allocated</w:t>
      </w:r>
      <w:proofErr w:type="gramEnd"/>
      <w:r>
        <w:t xml:space="preserve"> to the arrangements and audit function based on total audit hours.</w:t>
      </w:r>
    </w:p>
    <w:p w:rsidR="009B4C98" w:rsidRDefault="005F192D">
      <w:pPr>
        <w:pStyle w:val="ListNumber"/>
      </w:pPr>
      <w:r>
        <w:t xml:space="preserve">Activity/arrangement costs (from step 2) </w:t>
      </w:r>
      <w:proofErr w:type="gramStart"/>
      <w:r>
        <w:t>are allocated</w:t>
      </w:r>
      <w:proofErr w:type="gramEnd"/>
      <w:r>
        <w:t xml:space="preserve"> to charge points which identify the cost associated with that charge. We use a combination of </w:t>
      </w:r>
      <w:r w:rsidR="00254BB1">
        <w:t>regulatory</w:t>
      </w:r>
      <w:r>
        <w:t xml:space="preserve"> fees and charges. </w:t>
      </w:r>
      <w:r>
        <w:fldChar w:fldCharType="begin"/>
      </w:r>
      <w:r>
        <w:instrText xml:space="preserve"> REF _Ref24627796 \h </w:instrText>
      </w:r>
      <w:r>
        <w:fldChar w:fldCharType="separate"/>
      </w:r>
      <w:r w:rsidR="006962CE">
        <w:t xml:space="preserve">Figure </w:t>
      </w:r>
      <w:r w:rsidR="006962CE">
        <w:rPr>
          <w:noProof/>
        </w:rPr>
        <w:t>1</w:t>
      </w:r>
      <w:r>
        <w:fldChar w:fldCharType="end"/>
      </w:r>
      <w:r>
        <w:t xml:space="preserve"> shows how we categorise </w:t>
      </w:r>
      <w:proofErr w:type="gramStart"/>
      <w:r>
        <w:t>cost recovered</w:t>
      </w:r>
      <w:proofErr w:type="gramEnd"/>
      <w:r>
        <w:t xml:space="preserve"> </w:t>
      </w:r>
      <w:r w:rsidR="005F0DC4">
        <w:t xml:space="preserve">activities as </w:t>
      </w:r>
      <w:r w:rsidR="002932E9">
        <w:t xml:space="preserve">attributed to </w:t>
      </w:r>
      <w:r w:rsidR="005F0DC4">
        <w:t xml:space="preserve">either </w:t>
      </w:r>
      <w:r>
        <w:t xml:space="preserve">levy </w:t>
      </w:r>
      <w:r w:rsidR="005F0DC4">
        <w:t>or</w:t>
      </w:r>
      <w:r>
        <w:t xml:space="preserve"> fee </w:t>
      </w:r>
      <w:r w:rsidR="002932E9">
        <w:t>charge points</w:t>
      </w:r>
      <w:r>
        <w:t xml:space="preserve">. </w:t>
      </w:r>
      <w:r w:rsidR="00F9364B">
        <w:fldChar w:fldCharType="begin"/>
      </w:r>
      <w:r w:rsidR="00F9364B">
        <w:instrText xml:space="preserve"> REF _Ref25827229 \h </w:instrText>
      </w:r>
      <w:r w:rsidR="00F9364B">
        <w:fldChar w:fldCharType="separate"/>
      </w:r>
      <w:r w:rsidR="006962CE">
        <w:t xml:space="preserve">Figure </w:t>
      </w:r>
      <w:r w:rsidR="006962CE">
        <w:rPr>
          <w:noProof/>
        </w:rPr>
        <w:t>2</w:t>
      </w:r>
      <w:r w:rsidR="006962CE">
        <w:t xml:space="preserve"> Activity based cost </w:t>
      </w:r>
      <w:proofErr w:type="spellStart"/>
      <w:r w:rsidR="006962CE">
        <w:t>model</w:t>
      </w:r>
      <w:r w:rsidR="00F9364B">
        <w:fldChar w:fldCharType="end"/>
      </w:r>
      <w:r w:rsidR="0038286B">
        <w:t>provides</w:t>
      </w:r>
      <w:proofErr w:type="spellEnd"/>
      <w:r w:rsidR="0038286B">
        <w:t xml:space="preserve"> an example of cost associated with an activity subject to inspection fees</w:t>
      </w:r>
      <w:r w:rsidR="00F9364B">
        <w:t xml:space="preserve">. </w:t>
      </w:r>
      <w:r>
        <w:t xml:space="preserve">Regulatory charges </w:t>
      </w:r>
      <w:proofErr w:type="gramStart"/>
      <w:r>
        <w:t>are detailed</w:t>
      </w:r>
      <w:proofErr w:type="gramEnd"/>
      <w:r>
        <w:t xml:space="preserve"> further in </w:t>
      </w:r>
      <w:hyperlink w:anchor="_Design_of_regulatory" w:history="1">
        <w:r>
          <w:rPr>
            <w:rStyle w:val="Hyperlink"/>
            <w:rFonts w:asciiTheme="majorHAnsi" w:hAnsiTheme="majorHAnsi"/>
          </w:rPr>
          <w:t>section 3.3</w:t>
        </w:r>
      </w:hyperlink>
      <w:r>
        <w:t>.</w:t>
      </w:r>
    </w:p>
    <w:p w:rsidR="009B4C98" w:rsidRDefault="005F192D">
      <w:pPr>
        <w:pStyle w:val="Caption"/>
        <w:rPr>
          <w:rFonts w:asciiTheme="majorHAnsi" w:hAnsiTheme="majorHAnsi"/>
          <w:b w:val="0"/>
        </w:rPr>
      </w:pPr>
      <w:bookmarkStart w:id="37" w:name="_Ref24627796"/>
      <w:bookmarkStart w:id="38" w:name="_Toc26363981"/>
      <w:r>
        <w:lastRenderedPageBreak/>
        <w:t xml:space="preserve">Figure </w:t>
      </w:r>
      <w:r>
        <w:rPr>
          <w:noProof/>
        </w:rPr>
        <w:fldChar w:fldCharType="begin"/>
      </w:r>
      <w:r>
        <w:rPr>
          <w:noProof/>
        </w:rPr>
        <w:instrText xml:space="preserve"> SEQ Figure \* ARABIC </w:instrText>
      </w:r>
      <w:r>
        <w:rPr>
          <w:noProof/>
        </w:rPr>
        <w:fldChar w:fldCharType="separate"/>
      </w:r>
      <w:r w:rsidR="006962CE">
        <w:rPr>
          <w:noProof/>
        </w:rPr>
        <w:t>1</w:t>
      </w:r>
      <w:r>
        <w:rPr>
          <w:noProof/>
        </w:rPr>
        <w:fldChar w:fldCharType="end"/>
      </w:r>
      <w:bookmarkEnd w:id="37"/>
      <w:r>
        <w:t xml:space="preserve"> </w:t>
      </w:r>
      <w:bookmarkEnd w:id="38"/>
      <w:r w:rsidR="003E58B6">
        <w:t>Levy and fee related activities</w:t>
      </w:r>
    </w:p>
    <w:p w:rsidR="009B4C98" w:rsidRDefault="00467EA7">
      <w:r>
        <w:rPr>
          <w:noProof/>
          <w:lang w:eastAsia="en-AU"/>
        </w:rPr>
        <w:drawing>
          <wp:inline distT="0" distB="0" distL="0" distR="0" wp14:anchorId="51DD33F3" wp14:editId="14768348">
            <wp:extent cx="3863340" cy="4183380"/>
            <wp:effectExtent l="0" t="0" r="3810" b="7620"/>
            <wp:docPr id="4" name="Picture 4" descr="The 4 groups of activities are:&#10;1) Program Management and Administration&#10;2) Assurance&#10;3) Incident Management&#10;4) Intervention.&#10;Costs recovered through levies&#10;Costs in the Program Management and Administration, Assurance, and Incident Management categories are recovered through levies.&#10;Program Management and Administration activities include workforce and business management, business systems administration, stakeholder engagement, policy and instructional material, and business improvement.&#10;Assurance activities include risk management, verification, and surveillance.&#10;Incident Management costs include incident management, investigation support, and corrective action.&#10;Outputs for levy-related activities include annual registration, export documentation, throughput, application and organic certification.&#10;Costs recovered through fees&#10;Costs related to intervention are recovered through fees.&#10;Intervention activities include assessments, issuing approvals and certification, inspections, treatments, husbandry, and audits.&#10;Outputs for fee-related activities match each intervention activity. For example, the outputs for assessments are assessmen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ndya amar\AppData\Local\Microsoft\Windows\INetCache\Content.Word\BIO4033_0819_Cost recovery graphic-0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63340" cy="4183380"/>
                    </a:xfrm>
                    <a:prstGeom prst="rect">
                      <a:avLst/>
                    </a:prstGeom>
                    <a:noFill/>
                    <a:ln>
                      <a:noFill/>
                    </a:ln>
                  </pic:spPr>
                </pic:pic>
              </a:graphicData>
            </a:graphic>
          </wp:inline>
        </w:drawing>
      </w:r>
    </w:p>
    <w:p w:rsidR="00553533" w:rsidRDefault="00553533" w:rsidP="00553533">
      <w:pPr>
        <w:pStyle w:val="Caption"/>
        <w:rPr>
          <w:rFonts w:asciiTheme="majorHAnsi" w:hAnsiTheme="majorHAnsi"/>
          <w:b w:val="0"/>
        </w:rPr>
      </w:pPr>
      <w:bookmarkStart w:id="39" w:name="_Ref25827229"/>
      <w:bookmarkStart w:id="40" w:name="_Toc26363982"/>
      <w:r>
        <w:t xml:space="preserve">Figure </w:t>
      </w:r>
      <w:r>
        <w:rPr>
          <w:noProof/>
        </w:rPr>
        <w:fldChar w:fldCharType="begin"/>
      </w:r>
      <w:r>
        <w:rPr>
          <w:noProof/>
        </w:rPr>
        <w:instrText xml:space="preserve"> SEQ Figure \* ARABIC </w:instrText>
      </w:r>
      <w:r>
        <w:rPr>
          <w:noProof/>
        </w:rPr>
        <w:fldChar w:fldCharType="separate"/>
      </w:r>
      <w:r w:rsidR="006962CE">
        <w:rPr>
          <w:noProof/>
        </w:rPr>
        <w:t>2</w:t>
      </w:r>
      <w:r>
        <w:rPr>
          <w:noProof/>
        </w:rPr>
        <w:fldChar w:fldCharType="end"/>
      </w:r>
      <w:r>
        <w:t xml:space="preserve"> Activity based cost model</w:t>
      </w:r>
      <w:bookmarkEnd w:id="39"/>
      <w:bookmarkEnd w:id="40"/>
    </w:p>
    <w:p w:rsidR="00553533" w:rsidRDefault="0038286B">
      <w:r>
        <w:rPr>
          <w:noProof/>
          <w:lang w:eastAsia="en-AU"/>
        </w:rPr>
        <w:drawing>
          <wp:inline distT="0" distB="0" distL="0" distR="0" wp14:anchorId="3C4DD744" wp14:editId="5D1AB9F9">
            <wp:extent cx="5759450" cy="1290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5A4BB.9ADCD12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759450" cy="1290320"/>
                    </a:xfrm>
                    <a:prstGeom prst="rect">
                      <a:avLst/>
                    </a:prstGeom>
                    <a:noFill/>
                    <a:ln>
                      <a:noFill/>
                    </a:ln>
                  </pic:spPr>
                </pic:pic>
              </a:graphicData>
            </a:graphic>
          </wp:inline>
        </w:drawing>
      </w:r>
    </w:p>
    <w:p w:rsidR="009B4C98" w:rsidRDefault="005F192D">
      <w:pPr>
        <w:pStyle w:val="Heading4"/>
        <w:numPr>
          <w:ilvl w:val="2"/>
          <w:numId w:val="11"/>
        </w:numPr>
        <w:spacing w:line="276" w:lineRule="auto"/>
      </w:pPr>
      <w:r>
        <w:t>Financial management strategies</w:t>
      </w:r>
    </w:p>
    <w:p w:rsidR="009B4C98" w:rsidRDefault="005F192D">
      <w:pPr>
        <w:rPr>
          <w:rFonts w:asciiTheme="majorHAnsi" w:hAnsiTheme="majorHAnsi"/>
          <w:lang w:eastAsia="ja-JP"/>
        </w:rPr>
      </w:pPr>
      <w:r>
        <w:rPr>
          <w:rFonts w:asciiTheme="majorHAnsi" w:hAnsiTheme="majorHAnsi"/>
          <w:lang w:eastAsia="ja-JP"/>
        </w:rPr>
        <w:t>We are committed to managing costs in an efficient and effective manner in line with our responsibilities as an administrator of public resources. We monitor costs on a monthly basis and set tolerance levels for variances between budgeted and actual expense. We regularly review and improve our workforce models, systems and processes.</w:t>
      </w:r>
    </w:p>
    <w:p w:rsidR="009B4C98" w:rsidRDefault="005F192D">
      <w:pPr>
        <w:pStyle w:val="Heading3"/>
        <w:numPr>
          <w:ilvl w:val="1"/>
          <w:numId w:val="11"/>
        </w:numPr>
        <w:rPr>
          <w:lang w:eastAsia="ja-JP"/>
        </w:rPr>
      </w:pPr>
      <w:bookmarkStart w:id="41" w:name="_Design_of_regulatory"/>
      <w:bookmarkStart w:id="42" w:name="_Toc26363643"/>
      <w:bookmarkEnd w:id="41"/>
      <w:r>
        <w:rPr>
          <w:lang w:eastAsia="ja-JP"/>
        </w:rPr>
        <w:t>Design of regulatory charges</w:t>
      </w:r>
      <w:bookmarkEnd w:id="35"/>
      <w:bookmarkEnd w:id="42"/>
    </w:p>
    <w:p w:rsidR="009B4C98" w:rsidRDefault="005F192D">
      <w:pPr>
        <w:rPr>
          <w:rFonts w:asciiTheme="majorHAnsi" w:hAnsiTheme="majorHAnsi"/>
        </w:rPr>
      </w:pPr>
      <w:r>
        <w:rPr>
          <w:rFonts w:asciiTheme="majorHAnsi" w:hAnsiTheme="majorHAnsi"/>
        </w:rPr>
        <w:t xml:space="preserve">We determine appropriate regulatory charges after establishing activity costs and volumes. We use a combination of </w:t>
      </w:r>
      <w:r w:rsidR="00254BB1" w:rsidRPr="006027B8">
        <w:rPr>
          <w:rFonts w:asciiTheme="majorHAnsi" w:hAnsiTheme="majorHAnsi"/>
        </w:rPr>
        <w:t>regulatory</w:t>
      </w:r>
      <w:r w:rsidRPr="00254BB1">
        <w:rPr>
          <w:rFonts w:asciiTheme="majorHAnsi" w:hAnsiTheme="majorHAnsi"/>
        </w:rPr>
        <w:t xml:space="preserve"> </w:t>
      </w:r>
      <w:r>
        <w:rPr>
          <w:rFonts w:asciiTheme="majorHAnsi" w:hAnsiTheme="majorHAnsi"/>
        </w:rPr>
        <w:t xml:space="preserve">fees and charges depending on the beneficiary of a particular activity. Fees are used to recover the costs of direct intervention and certification activities undertaken for particular importers or regulated entities. </w:t>
      </w:r>
      <w:r w:rsidR="00A0174F">
        <w:rPr>
          <w:rFonts w:asciiTheme="majorHAnsi" w:hAnsiTheme="majorHAnsi"/>
        </w:rPr>
        <w:t xml:space="preserve">Regulatory </w:t>
      </w:r>
      <w:r>
        <w:rPr>
          <w:rFonts w:asciiTheme="majorHAnsi" w:hAnsiTheme="majorHAnsi"/>
        </w:rPr>
        <w:t xml:space="preserve">levies </w:t>
      </w:r>
      <w:proofErr w:type="gramStart"/>
      <w:r>
        <w:rPr>
          <w:rFonts w:asciiTheme="majorHAnsi" w:hAnsiTheme="majorHAnsi"/>
        </w:rPr>
        <w:t xml:space="preserve">are </w:t>
      </w:r>
      <w:r w:rsidR="000534CC">
        <w:rPr>
          <w:rFonts w:asciiTheme="majorHAnsi" w:hAnsiTheme="majorHAnsi"/>
        </w:rPr>
        <w:t>imposed</w:t>
      </w:r>
      <w:proofErr w:type="gramEnd"/>
      <w:r w:rsidR="000534CC">
        <w:rPr>
          <w:rFonts w:asciiTheme="majorHAnsi" w:hAnsiTheme="majorHAnsi"/>
        </w:rPr>
        <w:t xml:space="preserve"> when activities are</w:t>
      </w:r>
      <w:r w:rsidR="00465D9C">
        <w:rPr>
          <w:rFonts w:asciiTheme="majorHAnsi" w:hAnsiTheme="majorHAnsi"/>
        </w:rPr>
        <w:t xml:space="preserve"> provided to a group of individ</w:t>
      </w:r>
      <w:r w:rsidR="000534CC">
        <w:rPr>
          <w:rFonts w:asciiTheme="majorHAnsi" w:hAnsiTheme="majorHAnsi"/>
        </w:rPr>
        <w:t>uals or organisations</w:t>
      </w:r>
      <w:r w:rsidR="002932E9">
        <w:rPr>
          <w:rFonts w:asciiTheme="majorHAnsi" w:hAnsiTheme="majorHAnsi"/>
        </w:rPr>
        <w:t xml:space="preserve">. This </w:t>
      </w:r>
      <w:r>
        <w:rPr>
          <w:rFonts w:asciiTheme="majorHAnsi" w:hAnsiTheme="majorHAnsi"/>
        </w:rPr>
        <w:t>recover</w:t>
      </w:r>
      <w:r w:rsidR="002932E9">
        <w:rPr>
          <w:rFonts w:asciiTheme="majorHAnsi" w:hAnsiTheme="majorHAnsi"/>
        </w:rPr>
        <w:t>s</w:t>
      </w:r>
      <w:r>
        <w:rPr>
          <w:rFonts w:asciiTheme="majorHAnsi" w:hAnsiTheme="majorHAnsi"/>
        </w:rPr>
        <w:t xml:space="preserve"> costs not directly linked to a</w:t>
      </w:r>
      <w:r w:rsidR="000534CC">
        <w:rPr>
          <w:rFonts w:asciiTheme="majorHAnsi" w:hAnsiTheme="majorHAnsi"/>
        </w:rPr>
        <w:t xml:space="preserve"> specific</w:t>
      </w:r>
      <w:r>
        <w:rPr>
          <w:rFonts w:asciiTheme="majorHAnsi" w:hAnsiTheme="majorHAnsi"/>
        </w:rPr>
        <w:t xml:space="preserve"> individual</w:t>
      </w:r>
      <w:r w:rsidR="000534CC">
        <w:rPr>
          <w:rFonts w:asciiTheme="majorHAnsi" w:hAnsiTheme="majorHAnsi"/>
        </w:rPr>
        <w:t xml:space="preserve"> or organisation </w:t>
      </w:r>
      <w:r w:rsidR="002932E9" w:rsidRPr="004D5B87">
        <w:rPr>
          <w:rFonts w:asciiTheme="majorHAnsi" w:hAnsiTheme="majorHAnsi"/>
        </w:rPr>
        <w:t>but</w:t>
      </w:r>
      <w:r w:rsidR="000534CC" w:rsidRPr="004D5B87">
        <w:rPr>
          <w:rFonts w:asciiTheme="majorHAnsi" w:hAnsiTheme="majorHAnsi"/>
        </w:rPr>
        <w:t xml:space="preserve"> form</w:t>
      </w:r>
      <w:r w:rsidR="000534CC">
        <w:rPr>
          <w:rFonts w:asciiTheme="majorHAnsi" w:hAnsiTheme="majorHAnsi"/>
        </w:rPr>
        <w:t xml:space="preserve"> </w:t>
      </w:r>
      <w:r>
        <w:rPr>
          <w:rFonts w:asciiTheme="majorHAnsi" w:hAnsiTheme="majorHAnsi"/>
        </w:rPr>
        <w:t xml:space="preserve">part of the costs of the overall system of </w:t>
      </w:r>
      <w:r>
        <w:rPr>
          <w:rFonts w:asciiTheme="majorHAnsi" w:hAnsiTheme="majorHAnsi"/>
        </w:rPr>
        <w:lastRenderedPageBreak/>
        <w:t>biosecurity regulatory system. Our charging framework ensures that all user groups contribute to the biosecurity regulatory system, while recognising user groups that use more regulatory resources contribute more to the regulatory framework, reflecting their higher usage of the system.</w:t>
      </w:r>
    </w:p>
    <w:p w:rsidR="009B4C98" w:rsidRDefault="005F192D">
      <w:pPr>
        <w:rPr>
          <w:rFonts w:asciiTheme="majorHAnsi" w:hAnsiTheme="majorHAnsi"/>
        </w:rPr>
      </w:pPr>
      <w:r>
        <w:rPr>
          <w:rFonts w:asciiTheme="majorHAnsi" w:hAnsiTheme="majorHAnsi"/>
        </w:rPr>
        <w:t xml:space="preserve">We model prices in each year of the CRIS to balance revenue against expenses. For 2019–20 yearly prices, see the schedule of charges </w:t>
      </w:r>
      <w:r w:rsidR="00254BB1">
        <w:rPr>
          <w:rFonts w:asciiTheme="majorHAnsi" w:hAnsiTheme="majorHAnsi"/>
        </w:rPr>
        <w:t>at</w:t>
      </w:r>
      <w:r w:rsidR="00CE6B96">
        <w:rPr>
          <w:rFonts w:asciiTheme="majorHAnsi" w:hAnsiTheme="majorHAnsi"/>
        </w:rPr>
        <w:t xml:space="preserve"> </w:t>
      </w:r>
      <w:r w:rsidR="00CE6B96">
        <w:rPr>
          <w:rFonts w:asciiTheme="majorHAnsi" w:hAnsiTheme="majorHAnsi"/>
        </w:rPr>
        <w:fldChar w:fldCharType="begin"/>
      </w:r>
      <w:r w:rsidR="00CE6B96">
        <w:rPr>
          <w:rFonts w:asciiTheme="majorHAnsi" w:hAnsiTheme="majorHAnsi"/>
        </w:rPr>
        <w:instrText xml:space="preserve"> REF _Ref24629032 \h </w:instrText>
      </w:r>
      <w:r w:rsidR="00CE6B96">
        <w:rPr>
          <w:rFonts w:asciiTheme="majorHAnsi" w:hAnsiTheme="majorHAnsi"/>
        </w:rPr>
      </w:r>
      <w:r w:rsidR="00CE6B96">
        <w:rPr>
          <w:rFonts w:asciiTheme="majorHAnsi" w:hAnsiTheme="majorHAnsi"/>
        </w:rPr>
        <w:fldChar w:fldCharType="separate"/>
      </w:r>
      <w:r w:rsidR="006962CE">
        <w:t xml:space="preserve">Table </w:t>
      </w:r>
      <w:r w:rsidR="006962CE">
        <w:rPr>
          <w:noProof/>
        </w:rPr>
        <w:t>4</w:t>
      </w:r>
      <w:r w:rsidR="00CE6B96">
        <w:rPr>
          <w:rFonts w:asciiTheme="majorHAnsi" w:hAnsiTheme="majorHAnsi"/>
        </w:rPr>
        <w:fldChar w:fldCharType="end"/>
      </w:r>
      <w:r w:rsidR="00254BB1">
        <w:rPr>
          <w:rFonts w:asciiTheme="majorHAnsi" w:hAnsiTheme="majorHAnsi"/>
        </w:rPr>
        <w:t xml:space="preserve">. </w:t>
      </w:r>
    </w:p>
    <w:p w:rsidR="009B4C98" w:rsidRPr="006027B8" w:rsidRDefault="005F192D">
      <w:pPr>
        <w:rPr>
          <w:rFonts w:asciiTheme="majorHAnsi" w:hAnsiTheme="majorHAnsi"/>
        </w:rPr>
      </w:pPr>
      <w:r>
        <w:rPr>
          <w:rFonts w:asciiTheme="majorHAnsi" w:hAnsiTheme="majorHAnsi"/>
        </w:rPr>
        <w:t>We maintain a cost recovery reserve to assist with managing the alignment of revenue and expenses. Our cost recovery reserve policy outlines that a balance of 0–5</w:t>
      </w:r>
      <w:r w:rsidR="00A01D7A">
        <w:rPr>
          <w:rFonts w:asciiTheme="majorHAnsi" w:hAnsiTheme="majorHAnsi"/>
        </w:rPr>
        <w:t xml:space="preserve"> per cent</w:t>
      </w:r>
      <w:r>
        <w:rPr>
          <w:rFonts w:asciiTheme="majorHAnsi" w:hAnsiTheme="majorHAnsi"/>
        </w:rPr>
        <w:t xml:space="preserve"> of annual program expense be maintained. Subject to approval, over</w:t>
      </w:r>
      <w:r w:rsidR="00242A04">
        <w:rPr>
          <w:rFonts w:asciiTheme="majorHAnsi" w:hAnsiTheme="majorHAnsi"/>
        </w:rPr>
        <w:t>-</w:t>
      </w:r>
      <w:r>
        <w:rPr>
          <w:rFonts w:asciiTheme="majorHAnsi" w:hAnsiTheme="majorHAnsi"/>
        </w:rPr>
        <w:t xml:space="preserve">recoveries </w:t>
      </w:r>
      <w:proofErr w:type="gramStart"/>
      <w:r>
        <w:rPr>
          <w:rFonts w:asciiTheme="majorHAnsi" w:hAnsiTheme="majorHAnsi"/>
        </w:rPr>
        <w:t>may be managed</w:t>
      </w:r>
      <w:proofErr w:type="gramEnd"/>
      <w:r>
        <w:rPr>
          <w:rFonts w:asciiTheme="majorHAnsi" w:hAnsiTheme="majorHAnsi"/>
        </w:rPr>
        <w:t xml:space="preserve"> through remittance or investment initiatives. </w:t>
      </w:r>
      <w:r w:rsidR="00F74FBE" w:rsidRPr="00F74FBE">
        <w:rPr>
          <w:rFonts w:asciiTheme="majorHAnsi" w:hAnsiTheme="majorHAnsi"/>
        </w:rPr>
        <w:t xml:space="preserve">Under-recoveries will result in the arrangement not recovering the expenses of the relevant regulatory functions. This in turn will result in the arrangement operating at a loss, and adversely impact on the reserve balance for the arrangement at year’s end. Ongoing under recovery in an arrangement will lead to the need for a further review of the cost recovery arrangement to ensure its return to sustainable recovery of all regulatory </w:t>
      </w:r>
      <w:r w:rsidR="00F82DCA" w:rsidRPr="00F74FBE">
        <w:rPr>
          <w:rFonts w:asciiTheme="majorHAnsi" w:hAnsiTheme="majorHAnsi"/>
        </w:rPr>
        <w:t>costs.</w:t>
      </w:r>
      <w:r w:rsidR="00F82DCA">
        <w:rPr>
          <w:rFonts w:asciiTheme="majorHAnsi" w:hAnsiTheme="majorHAnsi"/>
        </w:rPr>
        <w:t xml:space="preserve"> A</w:t>
      </w:r>
      <w:r>
        <w:rPr>
          <w:rFonts w:asciiTheme="majorHAnsi" w:hAnsiTheme="majorHAnsi"/>
        </w:rPr>
        <w:t xml:space="preserve"> single reserve </w:t>
      </w:r>
      <w:proofErr w:type="gramStart"/>
      <w:r>
        <w:rPr>
          <w:rFonts w:asciiTheme="majorHAnsi" w:hAnsiTheme="majorHAnsi"/>
        </w:rPr>
        <w:t>is maintained</w:t>
      </w:r>
      <w:proofErr w:type="gramEnd"/>
      <w:r>
        <w:rPr>
          <w:rFonts w:asciiTheme="majorHAnsi" w:hAnsiTheme="majorHAnsi"/>
        </w:rPr>
        <w:t xml:space="preserve"> for each cost recovery arrangement.</w:t>
      </w:r>
    </w:p>
    <w:p w:rsidR="009B4C98" w:rsidRDefault="005F192D">
      <w:pPr>
        <w:pStyle w:val="Heading2"/>
      </w:pPr>
      <w:bookmarkStart w:id="43" w:name="_Cost_recovery_methodology"/>
      <w:bookmarkStart w:id="44" w:name="_Financial_management_strategies"/>
      <w:bookmarkStart w:id="45" w:name="_Changes_to_biosecurity"/>
      <w:bookmarkStart w:id="46" w:name="_Toc26363644"/>
      <w:bookmarkEnd w:id="43"/>
      <w:bookmarkEnd w:id="44"/>
      <w:bookmarkEnd w:id="45"/>
      <w:r>
        <w:lastRenderedPageBreak/>
        <w:t>Changes to biosecurity cost recovery arrangement</w:t>
      </w:r>
      <w:bookmarkEnd w:id="46"/>
    </w:p>
    <w:p w:rsidR="009B4C98" w:rsidRDefault="005F192D">
      <w:r>
        <w:t xml:space="preserve">The following section provides information on changes to the biosecurity </w:t>
      </w:r>
      <w:r w:rsidR="00D431E2">
        <w:t>activities</w:t>
      </w:r>
      <w:r>
        <w:t xml:space="preserve"> </w:t>
      </w:r>
      <w:r w:rsidR="00D431E2">
        <w:t>we</w:t>
      </w:r>
      <w:r>
        <w:t xml:space="preserve"> provide and the impact this will have on the cost base. These activities underpin </w:t>
      </w:r>
      <w:r w:rsidR="00465D9C">
        <w:t xml:space="preserve">our </w:t>
      </w:r>
      <w:r>
        <w:t>biosecurity system. All importers use this system, regardless of the contents of their consignments. Therefore, it is appropriate that all importers pay for these activities. As these activities are provided to all regulated entities, these costs will be funded though both</w:t>
      </w:r>
      <w:r w:rsidR="000534CC">
        <w:t xml:space="preserve"> Full Import Declaration</w:t>
      </w:r>
      <w:r>
        <w:t xml:space="preserve"> </w:t>
      </w:r>
      <w:r w:rsidR="00465D9C">
        <w:t>(</w:t>
      </w:r>
      <w:r>
        <w:t>FID</w:t>
      </w:r>
      <w:r w:rsidR="00465D9C">
        <w:t>)</w:t>
      </w:r>
      <w:r w:rsidR="00495AE0">
        <w:t xml:space="preserve"> </w:t>
      </w:r>
      <w:r>
        <w:t>charges and Vessel Arrival Charges.</w:t>
      </w:r>
    </w:p>
    <w:p w:rsidR="009B4C98" w:rsidRDefault="005F192D" w:rsidP="0010406C">
      <w:pPr>
        <w:pStyle w:val="Heading3"/>
      </w:pPr>
      <w:bookmarkStart w:id="47" w:name="_Toc26363645"/>
      <w:r>
        <w:t>Design of cost recovered charges</w:t>
      </w:r>
      <w:bookmarkEnd w:id="47"/>
    </w:p>
    <w:p w:rsidR="009B4C98" w:rsidRDefault="005F192D">
      <w:r>
        <w:t>The design of</w:t>
      </w:r>
      <w:r w:rsidR="00A0174F">
        <w:t xml:space="preserve"> regulatory</w:t>
      </w:r>
      <w:r>
        <w:t xml:space="preserve"> fees and charges is not changing as part of the expansion of cost recovery </w:t>
      </w:r>
      <w:r w:rsidR="00B01B2C">
        <w:t>decided</w:t>
      </w:r>
      <w:r>
        <w:t xml:space="preserve"> in November 2019. There will be increases to </w:t>
      </w:r>
      <w:proofErr w:type="gramStart"/>
      <w:r w:rsidR="00465D9C">
        <w:t>4</w:t>
      </w:r>
      <w:proofErr w:type="gramEnd"/>
      <w:r>
        <w:t xml:space="preserve"> charges, on consignments of goods valued over </w:t>
      </w:r>
      <w:r w:rsidRPr="007C4F97">
        <w:t>$</w:t>
      </w:r>
      <w:r w:rsidRPr="00362F60">
        <w:t>1,000</w:t>
      </w:r>
      <w:r>
        <w:t xml:space="preserve"> and international vessel arrivals, reflecting the increased expense base.</w:t>
      </w:r>
    </w:p>
    <w:p w:rsidR="009B4C98" w:rsidRDefault="005F192D">
      <w:pPr>
        <w:pStyle w:val="Heading3"/>
      </w:pPr>
      <w:bookmarkStart w:id="48" w:name="_Toc26363646"/>
      <w:r>
        <w:t>Cost base</w:t>
      </w:r>
      <w:bookmarkEnd w:id="48"/>
    </w:p>
    <w:p w:rsidR="009B4C98" w:rsidRDefault="00A23F6D">
      <w:pPr>
        <w:rPr>
          <w:rFonts w:asciiTheme="majorHAnsi" w:hAnsiTheme="majorHAnsi"/>
          <w:lang w:eastAsia="ja-JP"/>
        </w:rPr>
      </w:pPr>
      <w:r>
        <w:t>This CRIS update</w:t>
      </w:r>
      <w:r w:rsidR="005F192D">
        <w:t xml:space="preserve"> reflect</w:t>
      </w:r>
      <w:r>
        <w:t>s</w:t>
      </w:r>
      <w:r w:rsidR="005F192D">
        <w:t xml:space="preserve"> the government’s decision to expand cost recovery for some biosecurity activities as </w:t>
      </w:r>
      <w:r w:rsidR="00B01B2C">
        <w:t>decided</w:t>
      </w:r>
      <w:r w:rsidR="005F192D">
        <w:t xml:space="preserve"> in November 2019. To efficiently implement this decision, </w:t>
      </w:r>
      <w:r w:rsidR="005F192D">
        <w:rPr>
          <w:rFonts w:asciiTheme="majorHAnsi" w:hAnsiTheme="majorHAnsi"/>
          <w:lang w:eastAsia="ja-JP"/>
        </w:rPr>
        <w:t xml:space="preserve">the cost base and pricing model presented in the </w:t>
      </w:r>
      <w:hyperlink r:id="rId26" w:history="1">
        <w:r w:rsidR="00465D9C" w:rsidRPr="0090214B">
          <w:rPr>
            <w:rStyle w:val="Hyperlink"/>
          </w:rPr>
          <w:t>Cost Recovery Implementation Statement Biosecurity 2015-16</w:t>
        </w:r>
      </w:hyperlink>
      <w:r w:rsidR="00495AE0">
        <w:rPr>
          <w:rFonts w:asciiTheme="majorHAnsi" w:hAnsiTheme="majorHAnsi"/>
          <w:lang w:eastAsia="ja-JP"/>
        </w:rPr>
        <w:t xml:space="preserve"> </w:t>
      </w:r>
      <w:r w:rsidR="00465D9C">
        <w:rPr>
          <w:rFonts w:asciiTheme="majorHAnsi" w:hAnsiTheme="majorHAnsi"/>
          <w:lang w:eastAsia="ja-JP"/>
        </w:rPr>
        <w:t xml:space="preserve">has </w:t>
      </w:r>
      <w:r w:rsidR="005F192D">
        <w:rPr>
          <w:rFonts w:asciiTheme="majorHAnsi" w:hAnsiTheme="majorHAnsi"/>
          <w:lang w:eastAsia="ja-JP"/>
        </w:rPr>
        <w:t xml:space="preserve">been used as the starting point for determining the cost base and prices in this CRIS for 2019–20. </w:t>
      </w:r>
      <w:r w:rsidR="00465D9C">
        <w:rPr>
          <w:rFonts w:asciiTheme="majorHAnsi" w:hAnsiTheme="majorHAnsi"/>
          <w:lang w:eastAsia="ja-JP"/>
        </w:rPr>
        <w:t>T</w:t>
      </w:r>
      <w:r w:rsidR="005F192D">
        <w:rPr>
          <w:rFonts w:asciiTheme="majorHAnsi" w:hAnsiTheme="majorHAnsi"/>
          <w:lang w:eastAsia="ja-JP"/>
        </w:rPr>
        <w:t>he historical performance of the pricing model</w:t>
      </w:r>
      <w:r w:rsidR="00AE76A7">
        <w:rPr>
          <w:rFonts w:asciiTheme="majorHAnsi" w:hAnsiTheme="majorHAnsi"/>
          <w:lang w:eastAsia="ja-JP"/>
        </w:rPr>
        <w:t xml:space="preserve"> demonstrates that</w:t>
      </w:r>
      <w:r w:rsidR="005F192D">
        <w:rPr>
          <w:rFonts w:asciiTheme="majorHAnsi" w:hAnsiTheme="majorHAnsi"/>
          <w:lang w:eastAsia="ja-JP"/>
        </w:rPr>
        <w:t xml:space="preserve"> where revenue has matched expense</w:t>
      </w:r>
      <w:r w:rsidR="002932E9">
        <w:rPr>
          <w:rFonts w:asciiTheme="majorHAnsi" w:hAnsiTheme="majorHAnsi"/>
          <w:lang w:eastAsia="ja-JP"/>
        </w:rPr>
        <w:t>,</w:t>
      </w:r>
      <w:r w:rsidR="005F192D">
        <w:rPr>
          <w:rFonts w:asciiTheme="majorHAnsi" w:hAnsiTheme="majorHAnsi"/>
          <w:lang w:eastAsia="ja-JP"/>
        </w:rPr>
        <w:t xml:space="preserve"> changes in volume of regulatory activity has seen revenue respond</w:t>
      </w:r>
      <w:r w:rsidR="00495AE0">
        <w:rPr>
          <w:rFonts w:asciiTheme="majorHAnsi" w:hAnsiTheme="majorHAnsi"/>
          <w:lang w:eastAsia="ja-JP"/>
        </w:rPr>
        <w:t xml:space="preserve"> a</w:t>
      </w:r>
      <w:r w:rsidR="005F192D">
        <w:rPr>
          <w:rFonts w:asciiTheme="majorHAnsi" w:hAnsiTheme="majorHAnsi"/>
          <w:lang w:eastAsia="ja-JP"/>
        </w:rPr>
        <w:t>ccordingly</w:t>
      </w:r>
      <w:r w:rsidR="00AE76A7">
        <w:rPr>
          <w:rFonts w:asciiTheme="majorHAnsi" w:hAnsiTheme="majorHAnsi"/>
          <w:lang w:eastAsia="ja-JP"/>
        </w:rPr>
        <w:t xml:space="preserve">. </w:t>
      </w:r>
      <w:r w:rsidR="00495AE0">
        <w:rPr>
          <w:rFonts w:asciiTheme="majorHAnsi" w:hAnsiTheme="majorHAnsi"/>
          <w:lang w:eastAsia="ja-JP"/>
        </w:rPr>
        <w:t>W</w:t>
      </w:r>
      <w:r w:rsidR="00465D9C">
        <w:rPr>
          <w:rFonts w:asciiTheme="majorHAnsi" w:hAnsiTheme="majorHAnsi"/>
          <w:lang w:eastAsia="ja-JP"/>
        </w:rPr>
        <w:t xml:space="preserve">e are </w:t>
      </w:r>
      <w:r w:rsidR="005F192D">
        <w:rPr>
          <w:rFonts w:asciiTheme="majorHAnsi" w:hAnsiTheme="majorHAnsi"/>
          <w:lang w:eastAsia="ja-JP"/>
        </w:rPr>
        <w:t xml:space="preserve">confident </w:t>
      </w:r>
      <w:proofErr w:type="gramStart"/>
      <w:r w:rsidR="005F192D">
        <w:rPr>
          <w:rFonts w:asciiTheme="majorHAnsi" w:hAnsiTheme="majorHAnsi"/>
          <w:lang w:eastAsia="ja-JP"/>
        </w:rPr>
        <w:t>that the pricing model is performing well and is a solid base for implementing this pricing update</w:t>
      </w:r>
      <w:proofErr w:type="gramEnd"/>
      <w:r w:rsidR="005F192D">
        <w:rPr>
          <w:rFonts w:asciiTheme="majorHAnsi" w:hAnsiTheme="majorHAnsi"/>
          <w:lang w:eastAsia="ja-JP"/>
        </w:rPr>
        <w:t>.</w:t>
      </w:r>
      <w:r w:rsidR="00465D9C" w:rsidRPr="00465D9C">
        <w:t xml:space="preserve"> </w:t>
      </w:r>
      <w:r w:rsidR="00465617">
        <w:t xml:space="preserve">The pricing model </w:t>
      </w:r>
      <w:proofErr w:type="gramStart"/>
      <w:r w:rsidR="00465617">
        <w:t>is reflecte</w:t>
      </w:r>
      <w:r w:rsidR="00F82DCA">
        <w:t>d</w:t>
      </w:r>
      <w:proofErr w:type="gramEnd"/>
      <w:r w:rsidR="00465617">
        <w:t xml:space="preserve"> in the financial estimates described in </w:t>
      </w:r>
      <w:r w:rsidR="00465617">
        <w:rPr>
          <w:highlight w:val="yellow"/>
        </w:rPr>
        <w:fldChar w:fldCharType="begin"/>
      </w:r>
      <w:r w:rsidR="00465617">
        <w:instrText xml:space="preserve"> REF _Ref24629136 \h </w:instrText>
      </w:r>
      <w:r w:rsidR="00465617">
        <w:rPr>
          <w:highlight w:val="yellow"/>
        </w:rPr>
      </w:r>
      <w:r w:rsidR="00465617">
        <w:rPr>
          <w:highlight w:val="yellow"/>
        </w:rPr>
        <w:fldChar w:fldCharType="separate"/>
      </w:r>
      <w:r w:rsidR="006962CE">
        <w:t xml:space="preserve">Table </w:t>
      </w:r>
      <w:r w:rsidR="006962CE">
        <w:rPr>
          <w:noProof/>
        </w:rPr>
        <w:t>6</w:t>
      </w:r>
      <w:r w:rsidR="00465617">
        <w:rPr>
          <w:highlight w:val="yellow"/>
        </w:rPr>
        <w:fldChar w:fldCharType="end"/>
      </w:r>
      <w:r w:rsidR="007E46DF">
        <w:t>.</w:t>
      </w:r>
      <w:r w:rsidR="00465617">
        <w:t xml:space="preserve"> </w:t>
      </w:r>
    </w:p>
    <w:p w:rsidR="009B4C98" w:rsidRDefault="005F192D">
      <w:r>
        <w:t>Performance of the arrangement has shown expense and revenue growing together over time and an immediate review of the arrangement is not required to ensure financial sustainability of the biosecurity cost recovery arrangement.</w:t>
      </w:r>
    </w:p>
    <w:p w:rsidR="009B4C98" w:rsidRDefault="005F192D">
      <w:pPr>
        <w:rPr>
          <w:rFonts w:asciiTheme="majorHAnsi" w:hAnsiTheme="majorHAnsi"/>
          <w:lang w:eastAsia="ja-JP"/>
        </w:rPr>
      </w:pPr>
      <w:r>
        <w:rPr>
          <w:rFonts w:asciiTheme="majorHAnsi" w:hAnsiTheme="majorHAnsi"/>
          <w:lang w:eastAsia="ja-JP"/>
        </w:rPr>
        <w:t xml:space="preserve">Additional expense added to the cost base implements the November 2019 government decision to expand the activities being cost recovered. Additional expense </w:t>
      </w:r>
      <w:proofErr w:type="gramStart"/>
      <w:r>
        <w:rPr>
          <w:rFonts w:asciiTheme="majorHAnsi" w:hAnsiTheme="majorHAnsi"/>
          <w:lang w:eastAsia="ja-JP"/>
        </w:rPr>
        <w:t>has only been added</w:t>
      </w:r>
      <w:proofErr w:type="gramEnd"/>
      <w:r>
        <w:rPr>
          <w:rFonts w:asciiTheme="majorHAnsi" w:hAnsiTheme="majorHAnsi"/>
          <w:lang w:eastAsia="ja-JP"/>
        </w:rPr>
        <w:t xml:space="preserve"> as described in </w:t>
      </w:r>
      <w:r>
        <w:rPr>
          <w:rFonts w:asciiTheme="majorHAnsi" w:hAnsiTheme="majorHAnsi"/>
          <w:lang w:eastAsia="ja-JP"/>
        </w:rPr>
        <w:fldChar w:fldCharType="begin"/>
      </w:r>
      <w:r>
        <w:rPr>
          <w:rFonts w:asciiTheme="majorHAnsi" w:hAnsiTheme="majorHAnsi"/>
          <w:lang w:eastAsia="ja-JP"/>
        </w:rPr>
        <w:instrText xml:space="preserve"> REF _Ref24628856 \h </w:instrText>
      </w:r>
      <w:r>
        <w:rPr>
          <w:rFonts w:asciiTheme="majorHAnsi" w:hAnsiTheme="majorHAnsi"/>
          <w:lang w:eastAsia="ja-JP"/>
        </w:rPr>
      </w:r>
      <w:r>
        <w:rPr>
          <w:rFonts w:asciiTheme="majorHAnsi" w:hAnsiTheme="majorHAnsi"/>
          <w:lang w:eastAsia="ja-JP"/>
        </w:rPr>
        <w:fldChar w:fldCharType="separate"/>
      </w:r>
      <w:r w:rsidR="006962CE">
        <w:t xml:space="preserve">Table </w:t>
      </w:r>
      <w:r w:rsidR="006962CE">
        <w:rPr>
          <w:noProof/>
        </w:rPr>
        <w:t>3</w:t>
      </w:r>
      <w:r>
        <w:rPr>
          <w:rFonts w:asciiTheme="majorHAnsi" w:hAnsiTheme="majorHAnsi"/>
          <w:lang w:eastAsia="ja-JP"/>
        </w:rPr>
        <w:fldChar w:fldCharType="end"/>
      </w:r>
      <w:r>
        <w:rPr>
          <w:rFonts w:asciiTheme="majorHAnsi" w:hAnsiTheme="majorHAnsi"/>
          <w:lang w:eastAsia="ja-JP"/>
        </w:rPr>
        <w:t>.</w:t>
      </w:r>
    </w:p>
    <w:p w:rsidR="009B4C98" w:rsidRDefault="00465D9C">
      <w:pPr>
        <w:rPr>
          <w:rFonts w:asciiTheme="majorHAnsi" w:hAnsiTheme="majorHAnsi"/>
          <w:lang w:eastAsia="ja-JP"/>
        </w:rPr>
      </w:pPr>
      <w:r>
        <w:rPr>
          <w:rFonts w:asciiTheme="majorHAnsi" w:hAnsiTheme="majorHAnsi"/>
          <w:lang w:eastAsia="ja-JP"/>
        </w:rPr>
        <w:t>We intend</w:t>
      </w:r>
      <w:r w:rsidR="00495AE0">
        <w:rPr>
          <w:rFonts w:asciiTheme="majorHAnsi" w:hAnsiTheme="majorHAnsi"/>
          <w:lang w:eastAsia="ja-JP"/>
        </w:rPr>
        <w:t xml:space="preserve"> </w:t>
      </w:r>
      <w:r w:rsidR="005F192D">
        <w:rPr>
          <w:rFonts w:asciiTheme="majorHAnsi" w:hAnsiTheme="majorHAnsi"/>
          <w:lang w:eastAsia="ja-JP"/>
        </w:rPr>
        <w:t xml:space="preserve">to conduct a full review of this biosecurity CRIS </w:t>
      </w:r>
      <w:r w:rsidR="003E58B6">
        <w:rPr>
          <w:rFonts w:asciiTheme="majorHAnsi" w:hAnsiTheme="majorHAnsi"/>
          <w:lang w:eastAsia="ja-JP"/>
        </w:rPr>
        <w:t>in</w:t>
      </w:r>
      <w:r w:rsidR="005F192D">
        <w:rPr>
          <w:rFonts w:asciiTheme="majorHAnsi" w:hAnsiTheme="majorHAnsi"/>
          <w:lang w:eastAsia="ja-JP"/>
        </w:rPr>
        <w:t xml:space="preserve"> 2020–21 because a number of expected and emerging changes in the import supply chain and biosecurity regulatory system will need further analysis. This includes government decisions such as the implementation of a new </w:t>
      </w:r>
      <w:r w:rsidR="00693B70">
        <w:rPr>
          <w:rFonts w:asciiTheme="majorHAnsi" w:hAnsiTheme="majorHAnsi"/>
          <w:lang w:eastAsia="ja-JP"/>
        </w:rPr>
        <w:t>PEQ</w:t>
      </w:r>
      <w:r w:rsidR="005F192D">
        <w:rPr>
          <w:rFonts w:asciiTheme="majorHAnsi" w:hAnsiTheme="majorHAnsi"/>
          <w:lang w:eastAsia="ja-JP"/>
        </w:rPr>
        <w:t xml:space="preserve"> facility, new trends in importing business practices and the advent of biosecurity threats like Asian swine fever and the </w:t>
      </w:r>
      <w:r w:rsidR="00022B78">
        <w:rPr>
          <w:rFonts w:asciiTheme="majorHAnsi" w:hAnsiTheme="majorHAnsi"/>
          <w:lang w:eastAsia="ja-JP"/>
        </w:rPr>
        <w:t>B</w:t>
      </w:r>
      <w:r w:rsidR="005F192D">
        <w:rPr>
          <w:rFonts w:asciiTheme="majorHAnsi" w:hAnsiTheme="majorHAnsi"/>
          <w:lang w:eastAsia="ja-JP"/>
        </w:rPr>
        <w:t xml:space="preserve">rown </w:t>
      </w:r>
      <w:proofErr w:type="spellStart"/>
      <w:r w:rsidR="005F192D">
        <w:rPr>
          <w:rFonts w:asciiTheme="majorHAnsi" w:hAnsiTheme="majorHAnsi"/>
          <w:lang w:eastAsia="ja-JP"/>
        </w:rPr>
        <w:t>marmorated</w:t>
      </w:r>
      <w:proofErr w:type="spellEnd"/>
      <w:r w:rsidR="005F192D">
        <w:rPr>
          <w:rFonts w:asciiTheme="majorHAnsi" w:hAnsiTheme="majorHAnsi"/>
          <w:lang w:eastAsia="ja-JP"/>
        </w:rPr>
        <w:t xml:space="preserve"> </w:t>
      </w:r>
      <w:proofErr w:type="gramStart"/>
      <w:r w:rsidR="005F192D">
        <w:rPr>
          <w:rFonts w:asciiTheme="majorHAnsi" w:hAnsiTheme="majorHAnsi"/>
          <w:lang w:eastAsia="ja-JP"/>
        </w:rPr>
        <w:t>stink bug</w:t>
      </w:r>
      <w:proofErr w:type="gramEnd"/>
      <w:r w:rsidR="005F192D">
        <w:rPr>
          <w:rFonts w:asciiTheme="majorHAnsi" w:hAnsiTheme="majorHAnsi"/>
          <w:lang w:eastAsia="ja-JP"/>
        </w:rPr>
        <w:t>.</w:t>
      </w:r>
    </w:p>
    <w:p w:rsidR="00CB23EF" w:rsidRPr="00CB23EF" w:rsidRDefault="00CB23EF" w:rsidP="006027B8">
      <w:pPr>
        <w:keepNext/>
        <w:keepLines/>
      </w:pPr>
      <w:bookmarkStart w:id="49" w:name="_Projected_cost_base"/>
      <w:bookmarkEnd w:id="49"/>
    </w:p>
    <w:p w:rsidR="00CB23EF" w:rsidRPr="00060CF4" w:rsidRDefault="00CB23EF">
      <w:pPr>
        <w:keepNext/>
      </w:pPr>
    </w:p>
    <w:p w:rsidR="00CB23EF" w:rsidRDefault="00CB23EF" w:rsidP="00CB23EF">
      <w:pPr>
        <w:pStyle w:val="Heading4"/>
        <w:spacing w:before="120"/>
      </w:pPr>
      <w:r>
        <w:t>Projected cost base</w:t>
      </w:r>
      <w:r w:rsidR="009B5008">
        <w:t xml:space="preserve"> for 2020-21</w:t>
      </w:r>
    </w:p>
    <w:p w:rsidR="009B4C98" w:rsidRDefault="005F192D">
      <w:pPr>
        <w:keepNext/>
      </w:pPr>
      <w:r>
        <w:t>The updated cost base for the biosecurity cost recovery arrangement is $</w:t>
      </w:r>
      <w:r w:rsidR="00B33139">
        <w:t>279.</w:t>
      </w:r>
      <w:r w:rsidR="008B5163">
        <w:t>3</w:t>
      </w:r>
      <w:r w:rsidR="00B33139">
        <w:t xml:space="preserve"> million </w:t>
      </w:r>
      <w:r>
        <w:t>for 2020</w:t>
      </w:r>
      <w:r>
        <w:rPr>
          <w:lang w:eastAsia="en-AU"/>
        </w:rPr>
        <w:t>–</w:t>
      </w:r>
      <w:r>
        <w:t xml:space="preserve">21. This </w:t>
      </w:r>
      <w:proofErr w:type="gramStart"/>
      <w:r>
        <w:t>is made up</w:t>
      </w:r>
      <w:proofErr w:type="gramEnd"/>
      <w:r>
        <w:t xml:space="preserve"> of:</w:t>
      </w:r>
    </w:p>
    <w:p w:rsidR="009B4C98" w:rsidRDefault="005F192D">
      <w:pPr>
        <w:pStyle w:val="ListBullet"/>
        <w:keepNext/>
      </w:pPr>
      <w:r>
        <w:t>$</w:t>
      </w:r>
      <w:r w:rsidR="00B33139">
        <w:t>200.</w:t>
      </w:r>
      <w:r w:rsidR="008B5163">
        <w:t>5</w:t>
      </w:r>
      <w:r w:rsidR="00B33139">
        <w:t> million</w:t>
      </w:r>
      <w:r>
        <w:t xml:space="preserve"> in levy-related activities (including expanded cost recovery of $</w:t>
      </w:r>
      <w:r w:rsidR="00B33139">
        <w:t>22.9 </w:t>
      </w:r>
      <w:r>
        <w:t>million)</w:t>
      </w:r>
    </w:p>
    <w:p w:rsidR="009B4C98" w:rsidRDefault="005F192D">
      <w:pPr>
        <w:pStyle w:val="ListBullet"/>
      </w:pPr>
      <w:r>
        <w:t>$</w:t>
      </w:r>
      <w:r w:rsidR="00B33139">
        <w:t xml:space="preserve">78.8 million </w:t>
      </w:r>
      <w:r>
        <w:t>in fee-related activities.</w:t>
      </w:r>
    </w:p>
    <w:p w:rsidR="009B4C98" w:rsidRDefault="00F21B57">
      <w:pPr>
        <w:keepNext/>
      </w:pPr>
      <w:r>
        <w:fldChar w:fldCharType="begin"/>
      </w:r>
      <w:r>
        <w:instrText xml:space="preserve"> REF _Ref24628726 \h </w:instrText>
      </w:r>
      <w:r>
        <w:fldChar w:fldCharType="separate"/>
      </w:r>
      <w:r w:rsidR="006962CE">
        <w:t xml:space="preserve">Table </w:t>
      </w:r>
      <w:r w:rsidR="006962CE">
        <w:rPr>
          <w:noProof/>
        </w:rPr>
        <w:t>1</w:t>
      </w:r>
      <w:r>
        <w:fldChar w:fldCharType="end"/>
      </w:r>
      <w:r w:rsidR="005F192D">
        <w:t xml:space="preserve"> provides a breakdown of modelled cost base of the biosecurity cost recovery arrangement by activity type.</w:t>
      </w:r>
    </w:p>
    <w:p w:rsidR="009B4C98" w:rsidRDefault="005F192D">
      <w:r>
        <w:t xml:space="preserve">For a detailed description of cost activities, see </w:t>
      </w:r>
      <w:hyperlink w:anchor="_Appendix_C_—" w:history="1">
        <w:r>
          <w:rPr>
            <w:rStyle w:val="Hyperlink"/>
          </w:rPr>
          <w:t>Appendix A</w:t>
        </w:r>
      </w:hyperlink>
      <w:r>
        <w:t xml:space="preserve">. The methodology for attributing costs to these activities </w:t>
      </w:r>
      <w:proofErr w:type="gramStart"/>
      <w:r>
        <w:t>is provided</w:t>
      </w:r>
      <w:proofErr w:type="gramEnd"/>
      <w:r>
        <w:t xml:space="preserve"> in </w:t>
      </w:r>
      <w:hyperlink w:anchor="_Cost_recovery_model" w:history="1">
        <w:r>
          <w:rPr>
            <w:rStyle w:val="Hyperlink"/>
          </w:rPr>
          <w:t>section 3</w:t>
        </w:r>
      </w:hyperlink>
      <w:r>
        <w:t>.</w:t>
      </w:r>
    </w:p>
    <w:p w:rsidR="009B4C98" w:rsidRDefault="005F192D">
      <w:pPr>
        <w:pStyle w:val="Caption"/>
        <w:keepNext w:val="0"/>
        <w:pageBreakBefore/>
      </w:pPr>
      <w:bookmarkStart w:id="50" w:name="_Ref24628726"/>
      <w:bookmarkStart w:id="51" w:name="_Toc26363665"/>
      <w:r>
        <w:lastRenderedPageBreak/>
        <w:t xml:space="preserve">Table </w:t>
      </w:r>
      <w:r>
        <w:rPr>
          <w:noProof/>
        </w:rPr>
        <w:fldChar w:fldCharType="begin"/>
      </w:r>
      <w:r>
        <w:rPr>
          <w:noProof/>
        </w:rPr>
        <w:instrText xml:space="preserve"> SEQ Table \* ARABIC </w:instrText>
      </w:r>
      <w:r>
        <w:rPr>
          <w:noProof/>
        </w:rPr>
        <w:fldChar w:fldCharType="separate"/>
      </w:r>
      <w:r w:rsidR="006962CE">
        <w:rPr>
          <w:noProof/>
        </w:rPr>
        <w:t>1</w:t>
      </w:r>
      <w:r>
        <w:rPr>
          <w:noProof/>
        </w:rPr>
        <w:fldChar w:fldCharType="end"/>
      </w:r>
      <w:bookmarkEnd w:id="50"/>
      <w:r>
        <w:t xml:space="preserve"> Cost type breakdown for biosecurity cost recovery arrangement</w:t>
      </w:r>
      <w:bookmarkEnd w:id="51"/>
    </w:p>
    <w:tbl>
      <w:tblPr>
        <w:tblW w:w="0" w:type="auto"/>
        <w:tblCellMar>
          <w:left w:w="0" w:type="dxa"/>
          <w:right w:w="0" w:type="dxa"/>
        </w:tblCellMar>
        <w:tblLook w:val="04A0" w:firstRow="1" w:lastRow="0" w:firstColumn="1" w:lastColumn="0" w:noHBand="0" w:noVBand="1"/>
      </w:tblPr>
      <w:tblGrid>
        <w:gridCol w:w="1309"/>
        <w:gridCol w:w="3319"/>
        <w:gridCol w:w="3183"/>
        <w:gridCol w:w="1259"/>
      </w:tblGrid>
      <w:tr w:rsidR="00423C10" w:rsidTr="00930B0A">
        <w:trPr>
          <w:cantSplit/>
          <w:tblHeader/>
        </w:trPr>
        <w:tc>
          <w:tcPr>
            <w:tcW w:w="0" w:type="auto"/>
            <w:tcBorders>
              <w:top w:val="single" w:sz="4" w:space="0" w:color="auto"/>
              <w:bottom w:val="single" w:sz="4" w:space="0" w:color="auto"/>
            </w:tcBorders>
            <w:tcMar>
              <w:top w:w="0" w:type="dxa"/>
              <w:left w:w="108" w:type="dxa"/>
              <w:bottom w:w="0" w:type="dxa"/>
              <w:right w:w="108" w:type="dxa"/>
            </w:tcMar>
            <w:vAlign w:val="center"/>
            <w:hideMark/>
          </w:tcPr>
          <w:p w:rsidR="00423C10" w:rsidRPr="00FB6D98" w:rsidRDefault="00423C10" w:rsidP="00930B0A">
            <w:pPr>
              <w:pStyle w:val="TableHeading"/>
              <w:rPr>
                <w:rFonts w:cs="Times New Roman"/>
                <w:lang w:eastAsia="en-AU"/>
              </w:rPr>
            </w:pPr>
            <w:r w:rsidRPr="000B19D4">
              <w:rPr>
                <w:lang w:eastAsia="en-AU"/>
              </w:rPr>
              <w:t>Charge type</w:t>
            </w:r>
          </w:p>
        </w:tc>
        <w:tc>
          <w:tcPr>
            <w:tcW w:w="0" w:type="auto"/>
            <w:tcBorders>
              <w:top w:val="single" w:sz="4" w:space="0" w:color="auto"/>
              <w:bottom w:val="single" w:sz="4" w:space="0" w:color="auto"/>
            </w:tcBorders>
            <w:tcMar>
              <w:top w:w="0" w:type="dxa"/>
              <w:left w:w="108" w:type="dxa"/>
              <w:bottom w:w="0" w:type="dxa"/>
              <w:right w:w="108" w:type="dxa"/>
            </w:tcMar>
            <w:vAlign w:val="center"/>
            <w:hideMark/>
          </w:tcPr>
          <w:p w:rsidR="00423C10" w:rsidRPr="00FB6D98" w:rsidRDefault="00423C10" w:rsidP="00930B0A">
            <w:pPr>
              <w:pStyle w:val="TableHeading"/>
              <w:rPr>
                <w:rFonts w:ascii="Calibri" w:hAnsi="Calibri"/>
                <w:lang w:eastAsia="en-AU"/>
              </w:rPr>
            </w:pPr>
            <w:r w:rsidRPr="00FB6D98">
              <w:rPr>
                <w:lang w:eastAsia="en-AU"/>
              </w:rPr>
              <w:t>Activity group</w:t>
            </w:r>
          </w:p>
        </w:tc>
        <w:tc>
          <w:tcPr>
            <w:tcW w:w="0" w:type="auto"/>
            <w:tcBorders>
              <w:top w:val="single" w:sz="4" w:space="0" w:color="auto"/>
              <w:bottom w:val="single" w:sz="4" w:space="0" w:color="auto"/>
            </w:tcBorders>
            <w:tcMar>
              <w:top w:w="0" w:type="dxa"/>
              <w:left w:w="108" w:type="dxa"/>
              <w:bottom w:w="0" w:type="dxa"/>
              <w:right w:w="108" w:type="dxa"/>
            </w:tcMar>
            <w:vAlign w:val="center"/>
            <w:hideMark/>
          </w:tcPr>
          <w:p w:rsidR="00423C10" w:rsidRPr="00CF7292" w:rsidRDefault="00423C10" w:rsidP="00930B0A">
            <w:pPr>
              <w:pStyle w:val="TableHeading"/>
              <w:rPr>
                <w:lang w:eastAsia="en-AU"/>
              </w:rPr>
            </w:pPr>
            <w:r w:rsidRPr="00CF7292">
              <w:rPr>
                <w:lang w:eastAsia="en-AU"/>
              </w:rPr>
              <w:t>Activity</w:t>
            </w:r>
          </w:p>
        </w:tc>
        <w:tc>
          <w:tcPr>
            <w:tcW w:w="0" w:type="auto"/>
            <w:tcBorders>
              <w:top w:val="single" w:sz="4" w:space="0" w:color="auto"/>
              <w:bottom w:val="single" w:sz="4" w:space="0" w:color="auto"/>
            </w:tcBorders>
            <w:tcMar>
              <w:top w:w="0" w:type="dxa"/>
              <w:left w:w="108" w:type="dxa"/>
              <w:bottom w:w="0" w:type="dxa"/>
              <w:right w:w="108" w:type="dxa"/>
            </w:tcMar>
            <w:vAlign w:val="center"/>
            <w:hideMark/>
          </w:tcPr>
          <w:p w:rsidR="00423C10" w:rsidRPr="00C601E8" w:rsidRDefault="00423C10" w:rsidP="00930B0A">
            <w:pPr>
              <w:pStyle w:val="TableHeading"/>
              <w:jc w:val="right"/>
              <w:rPr>
                <w:lang w:eastAsia="en-AU"/>
              </w:rPr>
            </w:pPr>
            <w:r w:rsidRPr="00C601E8">
              <w:rPr>
                <w:lang w:eastAsia="en-AU"/>
              </w:rPr>
              <w:t>Expense ($)</w:t>
            </w:r>
          </w:p>
        </w:tc>
      </w:tr>
      <w:tr w:rsidR="003D1B52" w:rsidTr="00930B0A">
        <w:trPr>
          <w:trHeight w:val="300"/>
        </w:trPr>
        <w:tc>
          <w:tcPr>
            <w:tcW w:w="0" w:type="auto"/>
            <w:vMerge w:val="restart"/>
            <w:tcBorders>
              <w:top w:val="single" w:sz="4" w:space="0" w:color="auto"/>
            </w:tcBorders>
            <w:tcMar>
              <w:top w:w="0" w:type="dxa"/>
              <w:left w:w="108" w:type="dxa"/>
              <w:bottom w:w="0" w:type="dxa"/>
              <w:right w:w="108" w:type="dxa"/>
            </w:tcMar>
            <w:vAlign w:val="center"/>
            <w:hideMark/>
          </w:tcPr>
          <w:p w:rsidR="003D1B52" w:rsidRDefault="003D1B52" w:rsidP="003D1B52">
            <w:pPr>
              <w:pStyle w:val="TableText"/>
              <w:rPr>
                <w:lang w:eastAsia="en-AU"/>
              </w:rPr>
            </w:pPr>
            <w:r>
              <w:rPr>
                <w:lang w:eastAsia="en-AU"/>
              </w:rPr>
              <w:t>Charges</w:t>
            </w:r>
          </w:p>
        </w:tc>
        <w:tc>
          <w:tcPr>
            <w:tcW w:w="0" w:type="auto"/>
            <w:vMerge w:val="restart"/>
            <w:tcBorders>
              <w:top w:val="single" w:sz="4" w:space="0" w:color="auto"/>
            </w:tcBorders>
            <w:tcMar>
              <w:top w:w="0" w:type="dxa"/>
              <w:left w:w="108" w:type="dxa"/>
              <w:bottom w:w="0" w:type="dxa"/>
              <w:right w:w="108" w:type="dxa"/>
            </w:tcMar>
            <w:vAlign w:val="center"/>
            <w:hideMark/>
          </w:tcPr>
          <w:p w:rsidR="003D1B52" w:rsidRDefault="003D1B52" w:rsidP="003D1B52">
            <w:pPr>
              <w:pStyle w:val="TableText"/>
              <w:rPr>
                <w:lang w:eastAsia="en-AU"/>
              </w:rPr>
            </w:pPr>
            <w:r>
              <w:rPr>
                <w:lang w:eastAsia="en-AU"/>
              </w:rPr>
              <w:t>Program management and administration</w:t>
            </w:r>
          </w:p>
        </w:tc>
        <w:tc>
          <w:tcPr>
            <w:tcW w:w="0" w:type="auto"/>
            <w:tcBorders>
              <w:top w:val="single" w:sz="4" w:space="0" w:color="auto"/>
              <w:left w:val="nil"/>
              <w:bottom w:val="single" w:sz="8" w:space="0" w:color="auto"/>
            </w:tcBorders>
            <w:tcMar>
              <w:top w:w="0" w:type="dxa"/>
              <w:left w:w="108" w:type="dxa"/>
              <w:bottom w:w="0" w:type="dxa"/>
              <w:right w:w="108" w:type="dxa"/>
            </w:tcMar>
            <w:vAlign w:val="center"/>
            <w:hideMark/>
          </w:tcPr>
          <w:p w:rsidR="003D1B52" w:rsidRDefault="003D1B52" w:rsidP="003D1B52">
            <w:pPr>
              <w:pStyle w:val="TableText"/>
              <w:rPr>
                <w:lang w:eastAsia="en-AU"/>
              </w:rPr>
            </w:pPr>
            <w:r>
              <w:rPr>
                <w:lang w:eastAsia="en-AU"/>
              </w:rPr>
              <w:t>Workforce and business administration</w:t>
            </w:r>
          </w:p>
        </w:tc>
        <w:tc>
          <w:tcPr>
            <w:tcW w:w="0" w:type="auto"/>
            <w:tcBorders>
              <w:top w:val="single" w:sz="4" w:space="0" w:color="auto"/>
              <w:bottom w:val="single" w:sz="8" w:space="0" w:color="auto"/>
            </w:tcBorders>
            <w:tcMar>
              <w:top w:w="0" w:type="dxa"/>
              <w:left w:w="108" w:type="dxa"/>
              <w:bottom w:w="0" w:type="dxa"/>
              <w:right w:w="108" w:type="dxa"/>
            </w:tcMar>
            <w:vAlign w:val="center"/>
            <w:hideMark/>
          </w:tcPr>
          <w:p w:rsidR="003D1B52" w:rsidRDefault="008F0FDB" w:rsidP="003D1B52">
            <w:pPr>
              <w:pStyle w:val="TableText"/>
              <w:jc w:val="right"/>
              <w:rPr>
                <w:lang w:eastAsia="en-AU"/>
              </w:rPr>
            </w:pPr>
            <w:r>
              <w:rPr>
                <w:color w:val="000000"/>
                <w:szCs w:val="18"/>
              </w:rPr>
              <w:t>119,864,259</w:t>
            </w:r>
          </w:p>
        </w:tc>
      </w:tr>
      <w:tr w:rsidR="003D1B52" w:rsidTr="00930B0A">
        <w:trPr>
          <w:trHeight w:val="300"/>
        </w:trPr>
        <w:tc>
          <w:tcPr>
            <w:tcW w:w="0" w:type="auto"/>
            <w:vMerge/>
            <w:vAlign w:val="center"/>
            <w:hideMark/>
          </w:tcPr>
          <w:p w:rsidR="003D1B52" w:rsidRDefault="003D1B52" w:rsidP="003D1B52">
            <w:pPr>
              <w:pStyle w:val="TableText"/>
              <w:rPr>
                <w:rFonts w:ascii="Calibri" w:hAnsi="Calibri"/>
                <w:lang w:eastAsia="en-AU"/>
              </w:rPr>
            </w:pPr>
          </w:p>
        </w:tc>
        <w:tc>
          <w:tcPr>
            <w:tcW w:w="0" w:type="auto"/>
            <w:vMerge/>
            <w:vAlign w:val="center"/>
            <w:hideMark/>
          </w:tcPr>
          <w:p w:rsidR="003D1B52" w:rsidRDefault="003D1B52" w:rsidP="003D1B52">
            <w:pPr>
              <w:pStyle w:val="TableText"/>
              <w:rPr>
                <w:rFonts w:ascii="Calibri" w:hAnsi="Calibri"/>
                <w:lang w:eastAsia="en-AU"/>
              </w:rPr>
            </w:pPr>
          </w:p>
        </w:tc>
        <w:tc>
          <w:tcPr>
            <w:tcW w:w="0" w:type="auto"/>
            <w:tcBorders>
              <w:top w:val="nil"/>
              <w:left w:val="nil"/>
              <w:bottom w:val="single" w:sz="8" w:space="0" w:color="auto"/>
            </w:tcBorders>
            <w:tcMar>
              <w:top w:w="0" w:type="dxa"/>
              <w:left w:w="108" w:type="dxa"/>
              <w:bottom w:w="0" w:type="dxa"/>
              <w:right w:w="108" w:type="dxa"/>
            </w:tcMar>
            <w:vAlign w:val="center"/>
            <w:hideMark/>
          </w:tcPr>
          <w:p w:rsidR="003D1B52" w:rsidRDefault="003D1B52" w:rsidP="003D1B52">
            <w:pPr>
              <w:pStyle w:val="TableText"/>
              <w:rPr>
                <w:lang w:eastAsia="en-AU"/>
              </w:rPr>
            </w:pPr>
            <w:r>
              <w:rPr>
                <w:lang w:eastAsia="en-AU"/>
              </w:rPr>
              <w:t>Business system administration</w:t>
            </w:r>
          </w:p>
        </w:tc>
        <w:tc>
          <w:tcPr>
            <w:tcW w:w="0" w:type="auto"/>
            <w:tcBorders>
              <w:top w:val="nil"/>
              <w:bottom w:val="single" w:sz="8" w:space="0" w:color="auto"/>
            </w:tcBorders>
            <w:tcMar>
              <w:top w:w="0" w:type="dxa"/>
              <w:left w:w="108" w:type="dxa"/>
              <w:bottom w:w="0" w:type="dxa"/>
              <w:right w:w="108" w:type="dxa"/>
            </w:tcMar>
            <w:vAlign w:val="center"/>
            <w:hideMark/>
          </w:tcPr>
          <w:p w:rsidR="003D1B52" w:rsidRDefault="008F0FDB" w:rsidP="003D1B52">
            <w:pPr>
              <w:pStyle w:val="TableText"/>
              <w:jc w:val="right"/>
              <w:rPr>
                <w:lang w:eastAsia="en-AU"/>
              </w:rPr>
            </w:pPr>
            <w:r>
              <w:rPr>
                <w:color w:val="000000"/>
                <w:szCs w:val="18"/>
              </w:rPr>
              <w:t>4,666,638</w:t>
            </w:r>
          </w:p>
        </w:tc>
      </w:tr>
      <w:tr w:rsidR="003D1B52" w:rsidTr="00930B0A">
        <w:trPr>
          <w:trHeight w:val="300"/>
        </w:trPr>
        <w:tc>
          <w:tcPr>
            <w:tcW w:w="0" w:type="auto"/>
            <w:vMerge/>
            <w:vAlign w:val="center"/>
            <w:hideMark/>
          </w:tcPr>
          <w:p w:rsidR="003D1B52" w:rsidRDefault="003D1B52" w:rsidP="003D1B52">
            <w:pPr>
              <w:pStyle w:val="TableText"/>
              <w:rPr>
                <w:rFonts w:ascii="Calibri" w:hAnsi="Calibri"/>
                <w:lang w:eastAsia="en-AU"/>
              </w:rPr>
            </w:pPr>
          </w:p>
        </w:tc>
        <w:tc>
          <w:tcPr>
            <w:tcW w:w="0" w:type="auto"/>
            <w:vMerge/>
            <w:vAlign w:val="center"/>
            <w:hideMark/>
          </w:tcPr>
          <w:p w:rsidR="003D1B52" w:rsidRDefault="003D1B52" w:rsidP="003D1B52">
            <w:pPr>
              <w:pStyle w:val="TableText"/>
              <w:rPr>
                <w:rFonts w:ascii="Calibri" w:hAnsi="Calibri"/>
                <w:lang w:eastAsia="en-AU"/>
              </w:rPr>
            </w:pPr>
          </w:p>
        </w:tc>
        <w:tc>
          <w:tcPr>
            <w:tcW w:w="0" w:type="auto"/>
            <w:tcBorders>
              <w:top w:val="nil"/>
              <w:left w:val="nil"/>
              <w:bottom w:val="single" w:sz="4" w:space="0" w:color="auto"/>
            </w:tcBorders>
            <w:tcMar>
              <w:top w:w="0" w:type="dxa"/>
              <w:left w:w="108" w:type="dxa"/>
              <w:bottom w:w="0" w:type="dxa"/>
              <w:right w:w="108" w:type="dxa"/>
            </w:tcMar>
            <w:vAlign w:val="center"/>
            <w:hideMark/>
          </w:tcPr>
          <w:p w:rsidR="003D1B52" w:rsidRDefault="003D1B52" w:rsidP="003D1B52">
            <w:pPr>
              <w:pStyle w:val="TableText"/>
              <w:rPr>
                <w:lang w:eastAsia="en-AU"/>
              </w:rPr>
            </w:pPr>
            <w:r>
              <w:rPr>
                <w:lang w:eastAsia="en-AU"/>
              </w:rPr>
              <w:t>Stakeholder engagement</w:t>
            </w:r>
          </w:p>
        </w:tc>
        <w:tc>
          <w:tcPr>
            <w:tcW w:w="0" w:type="auto"/>
            <w:tcBorders>
              <w:top w:val="nil"/>
              <w:bottom w:val="single" w:sz="4" w:space="0" w:color="auto"/>
            </w:tcBorders>
            <w:tcMar>
              <w:top w:w="0" w:type="dxa"/>
              <w:left w:w="108" w:type="dxa"/>
              <w:bottom w:w="0" w:type="dxa"/>
              <w:right w:w="108" w:type="dxa"/>
            </w:tcMar>
            <w:vAlign w:val="center"/>
            <w:hideMark/>
          </w:tcPr>
          <w:p w:rsidR="003D1B52" w:rsidRDefault="008F0FDB" w:rsidP="003D1B52">
            <w:pPr>
              <w:pStyle w:val="TableText"/>
              <w:jc w:val="right"/>
              <w:rPr>
                <w:lang w:eastAsia="en-AU"/>
              </w:rPr>
            </w:pPr>
            <w:r>
              <w:rPr>
                <w:color w:val="000000"/>
                <w:szCs w:val="18"/>
              </w:rPr>
              <w:t>8,903,430</w:t>
            </w:r>
          </w:p>
        </w:tc>
      </w:tr>
      <w:tr w:rsidR="003D1B52" w:rsidTr="00930B0A">
        <w:trPr>
          <w:trHeight w:val="300"/>
        </w:trPr>
        <w:tc>
          <w:tcPr>
            <w:tcW w:w="0" w:type="auto"/>
            <w:vMerge/>
            <w:vAlign w:val="center"/>
            <w:hideMark/>
          </w:tcPr>
          <w:p w:rsidR="003D1B52" w:rsidRDefault="003D1B52" w:rsidP="003D1B52">
            <w:pPr>
              <w:pStyle w:val="TableText"/>
              <w:rPr>
                <w:rFonts w:ascii="Calibri" w:hAnsi="Calibri"/>
                <w:lang w:eastAsia="en-AU"/>
              </w:rPr>
            </w:pPr>
          </w:p>
        </w:tc>
        <w:tc>
          <w:tcPr>
            <w:tcW w:w="0" w:type="auto"/>
            <w:vMerge/>
            <w:vAlign w:val="center"/>
            <w:hideMark/>
          </w:tcPr>
          <w:p w:rsidR="003D1B52" w:rsidRDefault="003D1B52" w:rsidP="003D1B52">
            <w:pPr>
              <w:pStyle w:val="TableText"/>
              <w:rPr>
                <w:rFonts w:ascii="Calibri" w:hAnsi="Calibri"/>
                <w:lang w:eastAsia="en-AU"/>
              </w:rPr>
            </w:pPr>
          </w:p>
        </w:tc>
        <w:tc>
          <w:tcPr>
            <w:tcW w:w="0" w:type="auto"/>
            <w:tcBorders>
              <w:top w:val="single" w:sz="4" w:space="0" w:color="auto"/>
              <w:left w:val="nil"/>
              <w:bottom w:val="single" w:sz="8" w:space="0" w:color="auto"/>
            </w:tcBorders>
            <w:tcMar>
              <w:top w:w="0" w:type="dxa"/>
              <w:left w:w="108" w:type="dxa"/>
              <w:bottom w:w="0" w:type="dxa"/>
              <w:right w:w="108" w:type="dxa"/>
            </w:tcMar>
            <w:vAlign w:val="center"/>
            <w:hideMark/>
          </w:tcPr>
          <w:p w:rsidR="003D1B52" w:rsidRDefault="003D1B52" w:rsidP="003D1B52">
            <w:pPr>
              <w:pStyle w:val="TableText"/>
              <w:rPr>
                <w:lang w:eastAsia="en-AU"/>
              </w:rPr>
            </w:pPr>
            <w:r>
              <w:rPr>
                <w:lang w:eastAsia="en-AU"/>
              </w:rPr>
              <w:t>Policy and instructional material</w:t>
            </w:r>
          </w:p>
        </w:tc>
        <w:tc>
          <w:tcPr>
            <w:tcW w:w="0" w:type="auto"/>
            <w:tcBorders>
              <w:top w:val="single" w:sz="4" w:space="0" w:color="auto"/>
              <w:bottom w:val="single" w:sz="8" w:space="0" w:color="auto"/>
            </w:tcBorders>
            <w:tcMar>
              <w:top w:w="0" w:type="dxa"/>
              <w:left w:w="108" w:type="dxa"/>
              <w:bottom w:w="0" w:type="dxa"/>
              <w:right w:w="108" w:type="dxa"/>
            </w:tcMar>
            <w:vAlign w:val="center"/>
            <w:hideMark/>
          </w:tcPr>
          <w:p w:rsidR="003D1B52" w:rsidRDefault="008F0FDB" w:rsidP="003D1B52">
            <w:pPr>
              <w:pStyle w:val="TableText"/>
              <w:jc w:val="right"/>
              <w:rPr>
                <w:lang w:eastAsia="en-AU"/>
              </w:rPr>
            </w:pPr>
            <w:r>
              <w:rPr>
                <w:color w:val="000000"/>
                <w:szCs w:val="18"/>
              </w:rPr>
              <w:t>15,947,442</w:t>
            </w:r>
          </w:p>
        </w:tc>
      </w:tr>
      <w:tr w:rsidR="003D1B52" w:rsidTr="00930B0A">
        <w:trPr>
          <w:trHeight w:val="300"/>
        </w:trPr>
        <w:tc>
          <w:tcPr>
            <w:tcW w:w="0" w:type="auto"/>
            <w:vMerge/>
            <w:vAlign w:val="center"/>
            <w:hideMark/>
          </w:tcPr>
          <w:p w:rsidR="003D1B52" w:rsidRDefault="003D1B52" w:rsidP="003D1B52">
            <w:pPr>
              <w:pStyle w:val="TableText"/>
              <w:rPr>
                <w:rFonts w:ascii="Calibri" w:hAnsi="Calibri"/>
                <w:lang w:eastAsia="en-AU"/>
              </w:rPr>
            </w:pPr>
          </w:p>
        </w:tc>
        <w:tc>
          <w:tcPr>
            <w:tcW w:w="0" w:type="auto"/>
            <w:vMerge/>
            <w:vAlign w:val="center"/>
            <w:hideMark/>
          </w:tcPr>
          <w:p w:rsidR="003D1B52" w:rsidRDefault="003D1B52" w:rsidP="003D1B52">
            <w:pPr>
              <w:pStyle w:val="TableText"/>
              <w:rPr>
                <w:rFonts w:ascii="Calibri" w:hAnsi="Calibri"/>
                <w:lang w:eastAsia="en-AU"/>
              </w:rPr>
            </w:pPr>
          </w:p>
        </w:tc>
        <w:tc>
          <w:tcPr>
            <w:tcW w:w="0" w:type="auto"/>
            <w:tcBorders>
              <w:top w:val="nil"/>
              <w:left w:val="nil"/>
              <w:bottom w:val="single" w:sz="4" w:space="0" w:color="auto"/>
            </w:tcBorders>
            <w:tcMar>
              <w:top w:w="0" w:type="dxa"/>
              <w:left w:w="108" w:type="dxa"/>
              <w:bottom w:w="0" w:type="dxa"/>
              <w:right w:w="108" w:type="dxa"/>
            </w:tcMar>
            <w:vAlign w:val="center"/>
            <w:hideMark/>
          </w:tcPr>
          <w:p w:rsidR="003D1B52" w:rsidRDefault="003D1B52" w:rsidP="003D1B52">
            <w:pPr>
              <w:pStyle w:val="TableText"/>
              <w:rPr>
                <w:lang w:eastAsia="en-AU"/>
              </w:rPr>
            </w:pPr>
            <w:r>
              <w:rPr>
                <w:lang w:eastAsia="en-AU"/>
              </w:rPr>
              <w:t>Business improvement</w:t>
            </w:r>
          </w:p>
        </w:tc>
        <w:tc>
          <w:tcPr>
            <w:tcW w:w="0" w:type="auto"/>
            <w:tcBorders>
              <w:top w:val="nil"/>
              <w:bottom w:val="single" w:sz="8" w:space="0" w:color="auto"/>
            </w:tcBorders>
            <w:tcMar>
              <w:top w:w="0" w:type="dxa"/>
              <w:left w:w="108" w:type="dxa"/>
              <w:bottom w:w="0" w:type="dxa"/>
              <w:right w:w="108" w:type="dxa"/>
            </w:tcMar>
            <w:vAlign w:val="center"/>
            <w:hideMark/>
          </w:tcPr>
          <w:p w:rsidR="003D1B52" w:rsidRDefault="008F0FDB" w:rsidP="003D1B52">
            <w:pPr>
              <w:pStyle w:val="TableText"/>
              <w:jc w:val="right"/>
              <w:rPr>
                <w:lang w:eastAsia="en-AU"/>
              </w:rPr>
            </w:pPr>
            <w:r>
              <w:rPr>
                <w:color w:val="000000"/>
                <w:szCs w:val="18"/>
              </w:rPr>
              <w:t>5,426,091</w:t>
            </w:r>
          </w:p>
        </w:tc>
      </w:tr>
      <w:tr w:rsidR="008F0FDB" w:rsidTr="00930B0A">
        <w:trPr>
          <w:trHeight w:val="300"/>
        </w:trPr>
        <w:tc>
          <w:tcPr>
            <w:tcW w:w="0" w:type="auto"/>
            <w:vMerge/>
            <w:vAlign w:val="center"/>
          </w:tcPr>
          <w:p w:rsidR="008F0FDB" w:rsidRDefault="008F0FDB" w:rsidP="008F0FDB">
            <w:pPr>
              <w:pStyle w:val="TableText"/>
              <w:rPr>
                <w:rFonts w:ascii="Calibri" w:hAnsi="Calibri"/>
                <w:lang w:eastAsia="en-AU"/>
              </w:rPr>
            </w:pPr>
          </w:p>
        </w:tc>
        <w:tc>
          <w:tcPr>
            <w:tcW w:w="0" w:type="auto"/>
            <w:vMerge/>
            <w:tcBorders>
              <w:bottom w:val="single" w:sz="4" w:space="0" w:color="auto"/>
            </w:tcBorders>
            <w:vAlign w:val="center"/>
          </w:tcPr>
          <w:p w:rsidR="008F0FDB" w:rsidRDefault="008F0FDB" w:rsidP="008F0FDB">
            <w:pPr>
              <w:pStyle w:val="TableText"/>
              <w:rPr>
                <w:rFonts w:ascii="Calibri" w:hAnsi="Calibri"/>
                <w:lang w:eastAsia="en-AU"/>
              </w:rPr>
            </w:pPr>
          </w:p>
        </w:tc>
        <w:tc>
          <w:tcPr>
            <w:tcW w:w="0" w:type="auto"/>
            <w:tcBorders>
              <w:top w:val="nil"/>
              <w:left w:val="nil"/>
              <w:bottom w:val="single" w:sz="4" w:space="0" w:color="auto"/>
            </w:tcBorders>
            <w:tcMar>
              <w:top w:w="0" w:type="dxa"/>
              <w:left w:w="108" w:type="dxa"/>
              <w:bottom w:w="0" w:type="dxa"/>
              <w:right w:w="108" w:type="dxa"/>
            </w:tcMar>
            <w:vAlign w:val="center"/>
          </w:tcPr>
          <w:p w:rsidR="008F0FDB" w:rsidRDefault="008F0FDB" w:rsidP="008F0FDB">
            <w:pPr>
              <w:pStyle w:val="TableText"/>
              <w:rPr>
                <w:rStyle w:val="Strong"/>
              </w:rPr>
            </w:pPr>
            <w:r>
              <w:rPr>
                <w:rStyle w:val="Strong"/>
              </w:rPr>
              <w:t>Subtotal</w:t>
            </w:r>
          </w:p>
        </w:tc>
        <w:tc>
          <w:tcPr>
            <w:tcW w:w="0" w:type="auto"/>
            <w:tcBorders>
              <w:top w:val="nil"/>
              <w:bottom w:val="single" w:sz="8" w:space="0" w:color="auto"/>
            </w:tcBorders>
            <w:tcMar>
              <w:top w:w="0" w:type="dxa"/>
              <w:left w:w="108" w:type="dxa"/>
              <w:bottom w:w="0" w:type="dxa"/>
              <w:right w:w="108" w:type="dxa"/>
            </w:tcMar>
            <w:vAlign w:val="center"/>
          </w:tcPr>
          <w:p w:rsidR="008F0FDB" w:rsidRDefault="008F0FDB" w:rsidP="008F0FDB">
            <w:pPr>
              <w:pStyle w:val="TableText"/>
              <w:jc w:val="right"/>
              <w:rPr>
                <w:rStyle w:val="Strong"/>
              </w:rPr>
            </w:pPr>
            <w:r>
              <w:rPr>
                <w:rFonts w:cs="Calibri"/>
                <w:b/>
                <w:bCs/>
                <w:color w:val="000000"/>
                <w:szCs w:val="18"/>
              </w:rPr>
              <w:t>154,807,860</w:t>
            </w:r>
          </w:p>
        </w:tc>
      </w:tr>
      <w:tr w:rsidR="008F0FDB" w:rsidTr="00930B0A">
        <w:trPr>
          <w:trHeight w:val="300"/>
        </w:trPr>
        <w:tc>
          <w:tcPr>
            <w:tcW w:w="0" w:type="auto"/>
            <w:vMerge/>
            <w:vAlign w:val="center"/>
            <w:hideMark/>
          </w:tcPr>
          <w:p w:rsidR="008F0FDB" w:rsidRDefault="008F0FDB" w:rsidP="008F0FDB">
            <w:pPr>
              <w:pStyle w:val="TableText"/>
              <w:rPr>
                <w:rFonts w:ascii="Calibri" w:hAnsi="Calibri"/>
                <w:lang w:eastAsia="en-AU"/>
              </w:rPr>
            </w:pPr>
          </w:p>
        </w:tc>
        <w:tc>
          <w:tcPr>
            <w:tcW w:w="0" w:type="auto"/>
            <w:vMerge w:val="restart"/>
            <w:tcBorders>
              <w:top w:val="single" w:sz="4" w:space="0" w:color="auto"/>
            </w:tcBorders>
            <w:tcMar>
              <w:top w:w="0" w:type="dxa"/>
              <w:left w:w="108" w:type="dxa"/>
              <w:bottom w:w="0" w:type="dxa"/>
              <w:right w:w="108" w:type="dxa"/>
            </w:tcMar>
            <w:vAlign w:val="center"/>
            <w:hideMark/>
          </w:tcPr>
          <w:p w:rsidR="008F0FDB" w:rsidRDefault="008F0FDB" w:rsidP="008F0FDB">
            <w:pPr>
              <w:pStyle w:val="TableText"/>
              <w:rPr>
                <w:lang w:eastAsia="en-AU"/>
              </w:rPr>
            </w:pPr>
            <w:r>
              <w:rPr>
                <w:lang w:eastAsia="en-AU"/>
              </w:rPr>
              <w:t>Assurance</w:t>
            </w:r>
          </w:p>
        </w:tc>
        <w:tc>
          <w:tcPr>
            <w:tcW w:w="0" w:type="auto"/>
            <w:tcBorders>
              <w:top w:val="single" w:sz="4" w:space="0" w:color="auto"/>
              <w:left w:val="nil"/>
              <w:bottom w:val="single" w:sz="8" w:space="0" w:color="auto"/>
            </w:tcBorders>
            <w:tcMar>
              <w:top w:w="0" w:type="dxa"/>
              <w:left w:w="108" w:type="dxa"/>
              <w:bottom w:w="0" w:type="dxa"/>
              <w:right w:w="108" w:type="dxa"/>
            </w:tcMar>
            <w:vAlign w:val="center"/>
            <w:hideMark/>
          </w:tcPr>
          <w:p w:rsidR="008F0FDB" w:rsidRDefault="008F0FDB" w:rsidP="008F0FDB">
            <w:pPr>
              <w:pStyle w:val="TableText"/>
              <w:rPr>
                <w:lang w:eastAsia="en-AU"/>
              </w:rPr>
            </w:pPr>
            <w:r>
              <w:rPr>
                <w:lang w:eastAsia="en-AU"/>
              </w:rPr>
              <w:t>Risk management</w:t>
            </w:r>
          </w:p>
        </w:tc>
        <w:tc>
          <w:tcPr>
            <w:tcW w:w="0" w:type="auto"/>
            <w:tcBorders>
              <w:top w:val="nil"/>
              <w:bottom w:val="single" w:sz="8" w:space="0" w:color="auto"/>
            </w:tcBorders>
            <w:tcMar>
              <w:top w:w="0" w:type="dxa"/>
              <w:left w:w="108" w:type="dxa"/>
              <w:bottom w:w="0" w:type="dxa"/>
              <w:right w:w="108" w:type="dxa"/>
            </w:tcMar>
            <w:vAlign w:val="center"/>
            <w:hideMark/>
          </w:tcPr>
          <w:p w:rsidR="008F0FDB" w:rsidRDefault="008F0FDB" w:rsidP="008F0FDB">
            <w:pPr>
              <w:pStyle w:val="TableText"/>
              <w:jc w:val="right"/>
              <w:rPr>
                <w:lang w:eastAsia="en-AU"/>
              </w:rPr>
            </w:pPr>
            <w:r>
              <w:rPr>
                <w:rFonts w:cs="Calibri"/>
                <w:color w:val="000000"/>
                <w:szCs w:val="18"/>
              </w:rPr>
              <w:t>19,646,952</w:t>
            </w:r>
          </w:p>
        </w:tc>
      </w:tr>
      <w:tr w:rsidR="008F0FDB" w:rsidTr="00930B0A">
        <w:trPr>
          <w:trHeight w:val="300"/>
        </w:trPr>
        <w:tc>
          <w:tcPr>
            <w:tcW w:w="0" w:type="auto"/>
            <w:vMerge/>
            <w:vAlign w:val="center"/>
            <w:hideMark/>
          </w:tcPr>
          <w:p w:rsidR="008F0FDB" w:rsidRDefault="008F0FDB" w:rsidP="008F0FDB">
            <w:pPr>
              <w:pStyle w:val="TableText"/>
              <w:rPr>
                <w:rFonts w:ascii="Calibri" w:hAnsi="Calibri"/>
                <w:lang w:eastAsia="en-AU"/>
              </w:rPr>
            </w:pPr>
          </w:p>
        </w:tc>
        <w:tc>
          <w:tcPr>
            <w:tcW w:w="0" w:type="auto"/>
            <w:vMerge/>
            <w:vAlign w:val="center"/>
            <w:hideMark/>
          </w:tcPr>
          <w:p w:rsidR="008F0FDB" w:rsidRDefault="008F0FDB" w:rsidP="008F0FDB">
            <w:pPr>
              <w:pStyle w:val="TableText"/>
              <w:rPr>
                <w:rFonts w:ascii="Calibri" w:hAnsi="Calibri"/>
                <w:lang w:eastAsia="en-AU"/>
              </w:rPr>
            </w:pPr>
          </w:p>
        </w:tc>
        <w:tc>
          <w:tcPr>
            <w:tcW w:w="0" w:type="auto"/>
            <w:tcBorders>
              <w:top w:val="nil"/>
              <w:left w:val="nil"/>
              <w:bottom w:val="single" w:sz="8" w:space="0" w:color="auto"/>
            </w:tcBorders>
            <w:tcMar>
              <w:top w:w="0" w:type="dxa"/>
              <w:left w:w="108" w:type="dxa"/>
              <w:bottom w:w="0" w:type="dxa"/>
              <w:right w:w="108" w:type="dxa"/>
            </w:tcMar>
            <w:vAlign w:val="center"/>
            <w:hideMark/>
          </w:tcPr>
          <w:p w:rsidR="008F0FDB" w:rsidRDefault="008F0FDB" w:rsidP="008F0FDB">
            <w:pPr>
              <w:pStyle w:val="TableText"/>
              <w:rPr>
                <w:lang w:eastAsia="en-AU"/>
              </w:rPr>
            </w:pPr>
            <w:r>
              <w:rPr>
                <w:lang w:eastAsia="en-AU"/>
              </w:rPr>
              <w:t>Verification</w:t>
            </w:r>
          </w:p>
        </w:tc>
        <w:tc>
          <w:tcPr>
            <w:tcW w:w="0" w:type="auto"/>
            <w:tcBorders>
              <w:top w:val="nil"/>
              <w:bottom w:val="single" w:sz="8" w:space="0" w:color="auto"/>
            </w:tcBorders>
            <w:tcMar>
              <w:top w:w="0" w:type="dxa"/>
              <w:left w:w="108" w:type="dxa"/>
              <w:bottom w:w="0" w:type="dxa"/>
              <w:right w:w="108" w:type="dxa"/>
            </w:tcMar>
            <w:vAlign w:val="center"/>
            <w:hideMark/>
          </w:tcPr>
          <w:p w:rsidR="008F0FDB" w:rsidRDefault="008F0FDB" w:rsidP="008F0FDB">
            <w:pPr>
              <w:pStyle w:val="TableText"/>
              <w:jc w:val="right"/>
              <w:rPr>
                <w:lang w:eastAsia="en-AU"/>
              </w:rPr>
            </w:pPr>
            <w:r>
              <w:rPr>
                <w:rFonts w:cs="Calibri"/>
                <w:color w:val="000000"/>
                <w:szCs w:val="18"/>
              </w:rPr>
              <w:t>15,143,281</w:t>
            </w:r>
          </w:p>
        </w:tc>
      </w:tr>
      <w:tr w:rsidR="008F0FDB" w:rsidTr="00930B0A">
        <w:trPr>
          <w:trHeight w:val="300"/>
        </w:trPr>
        <w:tc>
          <w:tcPr>
            <w:tcW w:w="0" w:type="auto"/>
            <w:vMerge/>
            <w:vAlign w:val="center"/>
            <w:hideMark/>
          </w:tcPr>
          <w:p w:rsidR="008F0FDB" w:rsidRDefault="008F0FDB" w:rsidP="008F0FDB">
            <w:pPr>
              <w:pStyle w:val="TableText"/>
              <w:rPr>
                <w:rFonts w:ascii="Calibri" w:hAnsi="Calibri"/>
                <w:lang w:eastAsia="en-AU"/>
              </w:rPr>
            </w:pPr>
          </w:p>
        </w:tc>
        <w:tc>
          <w:tcPr>
            <w:tcW w:w="0" w:type="auto"/>
            <w:vMerge/>
            <w:vAlign w:val="center"/>
            <w:hideMark/>
          </w:tcPr>
          <w:p w:rsidR="008F0FDB" w:rsidRDefault="008F0FDB" w:rsidP="008F0FDB">
            <w:pPr>
              <w:pStyle w:val="TableText"/>
              <w:rPr>
                <w:rFonts w:ascii="Calibri" w:hAnsi="Calibri"/>
                <w:lang w:eastAsia="en-AU"/>
              </w:rPr>
            </w:pPr>
          </w:p>
        </w:tc>
        <w:tc>
          <w:tcPr>
            <w:tcW w:w="0" w:type="auto"/>
            <w:tcBorders>
              <w:top w:val="nil"/>
              <w:left w:val="nil"/>
              <w:bottom w:val="single" w:sz="4" w:space="0" w:color="auto"/>
            </w:tcBorders>
            <w:tcMar>
              <w:top w:w="0" w:type="dxa"/>
              <w:left w:w="108" w:type="dxa"/>
              <w:bottom w:w="0" w:type="dxa"/>
              <w:right w:w="108" w:type="dxa"/>
            </w:tcMar>
            <w:vAlign w:val="center"/>
            <w:hideMark/>
          </w:tcPr>
          <w:p w:rsidR="008F0FDB" w:rsidRDefault="008F0FDB" w:rsidP="008F0FDB">
            <w:pPr>
              <w:pStyle w:val="TableText"/>
              <w:rPr>
                <w:lang w:eastAsia="en-AU"/>
              </w:rPr>
            </w:pPr>
            <w:r>
              <w:rPr>
                <w:lang w:eastAsia="en-AU"/>
              </w:rPr>
              <w:t>Surveillance</w:t>
            </w:r>
          </w:p>
        </w:tc>
        <w:tc>
          <w:tcPr>
            <w:tcW w:w="0" w:type="auto"/>
            <w:tcBorders>
              <w:top w:val="nil"/>
              <w:bottom w:val="single" w:sz="4" w:space="0" w:color="auto"/>
            </w:tcBorders>
            <w:tcMar>
              <w:top w:w="0" w:type="dxa"/>
              <w:left w:w="108" w:type="dxa"/>
              <w:bottom w:w="0" w:type="dxa"/>
              <w:right w:w="108" w:type="dxa"/>
            </w:tcMar>
            <w:vAlign w:val="center"/>
            <w:hideMark/>
          </w:tcPr>
          <w:p w:rsidR="008F0FDB" w:rsidRDefault="008F0FDB" w:rsidP="008F0FDB">
            <w:pPr>
              <w:pStyle w:val="TableText"/>
              <w:jc w:val="right"/>
              <w:rPr>
                <w:lang w:eastAsia="en-AU"/>
              </w:rPr>
            </w:pPr>
            <w:r>
              <w:rPr>
                <w:rFonts w:cs="Calibri"/>
                <w:color w:val="000000"/>
                <w:szCs w:val="18"/>
              </w:rPr>
              <w:t>7,343,212</w:t>
            </w:r>
          </w:p>
        </w:tc>
      </w:tr>
      <w:tr w:rsidR="008F0FDB" w:rsidTr="00930B0A">
        <w:trPr>
          <w:trHeight w:val="300"/>
        </w:trPr>
        <w:tc>
          <w:tcPr>
            <w:tcW w:w="0" w:type="auto"/>
            <w:vMerge/>
            <w:vAlign w:val="center"/>
          </w:tcPr>
          <w:p w:rsidR="008F0FDB" w:rsidRDefault="008F0FDB" w:rsidP="008F0FDB">
            <w:pPr>
              <w:pStyle w:val="TableText"/>
              <w:rPr>
                <w:rFonts w:ascii="Calibri" w:hAnsi="Calibri"/>
                <w:lang w:eastAsia="en-AU"/>
              </w:rPr>
            </w:pPr>
          </w:p>
        </w:tc>
        <w:tc>
          <w:tcPr>
            <w:tcW w:w="0" w:type="auto"/>
            <w:vMerge/>
            <w:tcBorders>
              <w:bottom w:val="single" w:sz="4" w:space="0" w:color="auto"/>
            </w:tcBorders>
            <w:vAlign w:val="center"/>
          </w:tcPr>
          <w:p w:rsidR="008F0FDB" w:rsidRDefault="008F0FDB" w:rsidP="008F0FDB">
            <w:pPr>
              <w:pStyle w:val="TableText"/>
              <w:rPr>
                <w:rFonts w:ascii="Calibri" w:hAnsi="Calibri"/>
                <w:lang w:eastAsia="en-AU"/>
              </w:rPr>
            </w:pPr>
          </w:p>
        </w:tc>
        <w:tc>
          <w:tcPr>
            <w:tcW w:w="0" w:type="auto"/>
            <w:tcBorders>
              <w:top w:val="nil"/>
              <w:left w:val="nil"/>
              <w:bottom w:val="single" w:sz="4" w:space="0" w:color="auto"/>
            </w:tcBorders>
            <w:tcMar>
              <w:top w:w="0" w:type="dxa"/>
              <w:left w:w="108" w:type="dxa"/>
              <w:bottom w:w="0" w:type="dxa"/>
              <w:right w:w="108" w:type="dxa"/>
            </w:tcMar>
            <w:vAlign w:val="center"/>
          </w:tcPr>
          <w:p w:rsidR="008F0FDB" w:rsidRDefault="008F0FDB" w:rsidP="008F0FDB">
            <w:pPr>
              <w:pStyle w:val="TableText"/>
              <w:rPr>
                <w:rStyle w:val="Strong"/>
              </w:rPr>
            </w:pPr>
            <w:r>
              <w:rPr>
                <w:rStyle w:val="Strong"/>
              </w:rPr>
              <w:t>Subtotal</w:t>
            </w:r>
          </w:p>
        </w:tc>
        <w:tc>
          <w:tcPr>
            <w:tcW w:w="0" w:type="auto"/>
            <w:tcBorders>
              <w:top w:val="nil"/>
              <w:bottom w:val="single" w:sz="4" w:space="0" w:color="auto"/>
            </w:tcBorders>
            <w:tcMar>
              <w:top w:w="0" w:type="dxa"/>
              <w:left w:w="108" w:type="dxa"/>
              <w:bottom w:w="0" w:type="dxa"/>
              <w:right w:w="108" w:type="dxa"/>
            </w:tcMar>
            <w:vAlign w:val="center"/>
          </w:tcPr>
          <w:p w:rsidR="008F0FDB" w:rsidRDefault="008F0FDB" w:rsidP="008F0FDB">
            <w:pPr>
              <w:pStyle w:val="TableText"/>
              <w:jc w:val="right"/>
              <w:rPr>
                <w:rStyle w:val="Strong"/>
              </w:rPr>
            </w:pPr>
            <w:r>
              <w:rPr>
                <w:rFonts w:cs="Calibri"/>
                <w:b/>
                <w:bCs/>
                <w:color w:val="000000"/>
                <w:szCs w:val="18"/>
              </w:rPr>
              <w:t>42,133,445</w:t>
            </w:r>
          </w:p>
        </w:tc>
      </w:tr>
      <w:tr w:rsidR="008F0FDB" w:rsidTr="00930B0A">
        <w:trPr>
          <w:trHeight w:val="300"/>
        </w:trPr>
        <w:tc>
          <w:tcPr>
            <w:tcW w:w="0" w:type="auto"/>
            <w:vMerge/>
            <w:vAlign w:val="center"/>
            <w:hideMark/>
          </w:tcPr>
          <w:p w:rsidR="008F0FDB" w:rsidRDefault="008F0FDB" w:rsidP="008F0FDB">
            <w:pPr>
              <w:pStyle w:val="TableText"/>
              <w:rPr>
                <w:rFonts w:ascii="Calibri" w:hAnsi="Calibri"/>
                <w:lang w:eastAsia="en-AU"/>
              </w:rPr>
            </w:pPr>
          </w:p>
        </w:tc>
        <w:tc>
          <w:tcPr>
            <w:tcW w:w="0" w:type="auto"/>
            <w:vMerge w:val="restart"/>
            <w:tcBorders>
              <w:top w:val="single" w:sz="4" w:space="0" w:color="auto"/>
            </w:tcBorders>
            <w:tcMar>
              <w:top w:w="0" w:type="dxa"/>
              <w:left w:w="108" w:type="dxa"/>
              <w:bottom w:w="0" w:type="dxa"/>
              <w:right w:w="108" w:type="dxa"/>
            </w:tcMar>
            <w:vAlign w:val="center"/>
            <w:hideMark/>
          </w:tcPr>
          <w:p w:rsidR="008F0FDB" w:rsidRDefault="008F0FDB" w:rsidP="008F0FDB">
            <w:pPr>
              <w:pStyle w:val="TableText"/>
              <w:rPr>
                <w:lang w:eastAsia="en-AU"/>
              </w:rPr>
            </w:pPr>
            <w:r>
              <w:rPr>
                <w:lang w:eastAsia="en-AU"/>
              </w:rPr>
              <w:t>Incident management</w:t>
            </w:r>
          </w:p>
        </w:tc>
        <w:tc>
          <w:tcPr>
            <w:tcW w:w="0" w:type="auto"/>
            <w:tcBorders>
              <w:top w:val="single" w:sz="4" w:space="0" w:color="auto"/>
              <w:left w:val="nil"/>
              <w:bottom w:val="single" w:sz="8" w:space="0" w:color="auto"/>
            </w:tcBorders>
            <w:tcMar>
              <w:top w:w="0" w:type="dxa"/>
              <w:left w:w="108" w:type="dxa"/>
              <w:bottom w:w="0" w:type="dxa"/>
              <w:right w:w="108" w:type="dxa"/>
            </w:tcMar>
            <w:vAlign w:val="center"/>
            <w:hideMark/>
          </w:tcPr>
          <w:p w:rsidR="008F0FDB" w:rsidRDefault="008F0FDB" w:rsidP="008F0FDB">
            <w:pPr>
              <w:pStyle w:val="TableText"/>
              <w:rPr>
                <w:lang w:eastAsia="en-AU"/>
              </w:rPr>
            </w:pPr>
            <w:r>
              <w:rPr>
                <w:lang w:eastAsia="en-AU"/>
              </w:rPr>
              <w:t>Incident management</w:t>
            </w:r>
          </w:p>
        </w:tc>
        <w:tc>
          <w:tcPr>
            <w:tcW w:w="0" w:type="auto"/>
            <w:tcBorders>
              <w:top w:val="single" w:sz="4" w:space="0" w:color="auto"/>
              <w:bottom w:val="single" w:sz="8" w:space="0" w:color="auto"/>
            </w:tcBorders>
            <w:tcMar>
              <w:top w:w="0" w:type="dxa"/>
              <w:left w:w="108" w:type="dxa"/>
              <w:bottom w:w="0" w:type="dxa"/>
              <w:right w:w="108" w:type="dxa"/>
            </w:tcMar>
            <w:vAlign w:val="center"/>
            <w:hideMark/>
          </w:tcPr>
          <w:p w:rsidR="008F0FDB" w:rsidRDefault="008F0FDB" w:rsidP="008F0FDB">
            <w:pPr>
              <w:pStyle w:val="TableText"/>
              <w:jc w:val="right"/>
              <w:rPr>
                <w:lang w:eastAsia="en-AU"/>
              </w:rPr>
            </w:pPr>
            <w:r>
              <w:rPr>
                <w:rFonts w:cs="Calibri"/>
                <w:color w:val="000000"/>
                <w:szCs w:val="18"/>
              </w:rPr>
              <w:t>2,177,723</w:t>
            </w:r>
          </w:p>
        </w:tc>
      </w:tr>
      <w:tr w:rsidR="008F0FDB" w:rsidTr="00930B0A">
        <w:trPr>
          <w:trHeight w:val="300"/>
        </w:trPr>
        <w:tc>
          <w:tcPr>
            <w:tcW w:w="0" w:type="auto"/>
            <w:vMerge/>
            <w:vAlign w:val="center"/>
            <w:hideMark/>
          </w:tcPr>
          <w:p w:rsidR="008F0FDB" w:rsidRDefault="008F0FDB" w:rsidP="008F0FDB">
            <w:pPr>
              <w:pStyle w:val="TableText"/>
              <w:rPr>
                <w:rFonts w:ascii="Calibri" w:hAnsi="Calibri"/>
                <w:lang w:eastAsia="en-AU"/>
              </w:rPr>
            </w:pPr>
          </w:p>
        </w:tc>
        <w:tc>
          <w:tcPr>
            <w:tcW w:w="0" w:type="auto"/>
            <w:vMerge/>
            <w:vAlign w:val="center"/>
            <w:hideMark/>
          </w:tcPr>
          <w:p w:rsidR="008F0FDB" w:rsidRDefault="008F0FDB" w:rsidP="008F0FDB">
            <w:pPr>
              <w:pStyle w:val="TableText"/>
              <w:rPr>
                <w:rFonts w:ascii="Calibri" w:hAnsi="Calibri"/>
                <w:lang w:eastAsia="en-AU"/>
              </w:rPr>
            </w:pPr>
          </w:p>
        </w:tc>
        <w:tc>
          <w:tcPr>
            <w:tcW w:w="0" w:type="auto"/>
            <w:tcBorders>
              <w:top w:val="nil"/>
              <w:left w:val="nil"/>
              <w:bottom w:val="single" w:sz="8" w:space="0" w:color="auto"/>
            </w:tcBorders>
            <w:tcMar>
              <w:top w:w="0" w:type="dxa"/>
              <w:left w:w="108" w:type="dxa"/>
              <w:bottom w:w="0" w:type="dxa"/>
              <w:right w:w="108" w:type="dxa"/>
            </w:tcMar>
            <w:vAlign w:val="center"/>
            <w:hideMark/>
          </w:tcPr>
          <w:p w:rsidR="008F0FDB" w:rsidRDefault="008F0FDB" w:rsidP="008F0FDB">
            <w:pPr>
              <w:pStyle w:val="TableText"/>
              <w:rPr>
                <w:lang w:eastAsia="en-AU"/>
              </w:rPr>
            </w:pPr>
            <w:r>
              <w:rPr>
                <w:lang w:eastAsia="en-AU"/>
              </w:rPr>
              <w:t>Investigative support</w:t>
            </w:r>
          </w:p>
        </w:tc>
        <w:tc>
          <w:tcPr>
            <w:tcW w:w="0" w:type="auto"/>
            <w:tcBorders>
              <w:top w:val="nil"/>
              <w:bottom w:val="single" w:sz="8" w:space="0" w:color="auto"/>
            </w:tcBorders>
            <w:tcMar>
              <w:top w:w="0" w:type="dxa"/>
              <w:left w:w="108" w:type="dxa"/>
              <w:bottom w:w="0" w:type="dxa"/>
              <w:right w:w="108" w:type="dxa"/>
            </w:tcMar>
            <w:vAlign w:val="center"/>
            <w:hideMark/>
          </w:tcPr>
          <w:p w:rsidR="008F0FDB" w:rsidRDefault="008F0FDB" w:rsidP="008F0FDB">
            <w:pPr>
              <w:pStyle w:val="TableText"/>
              <w:jc w:val="right"/>
              <w:rPr>
                <w:lang w:eastAsia="en-AU"/>
              </w:rPr>
            </w:pPr>
            <w:r>
              <w:rPr>
                <w:rFonts w:cs="Calibri"/>
                <w:color w:val="000000"/>
                <w:szCs w:val="18"/>
              </w:rPr>
              <w:t>513,814</w:t>
            </w:r>
          </w:p>
        </w:tc>
      </w:tr>
      <w:tr w:rsidR="008F0FDB" w:rsidTr="00930B0A">
        <w:trPr>
          <w:trHeight w:val="300"/>
        </w:trPr>
        <w:tc>
          <w:tcPr>
            <w:tcW w:w="0" w:type="auto"/>
            <w:vMerge/>
            <w:vAlign w:val="center"/>
            <w:hideMark/>
          </w:tcPr>
          <w:p w:rsidR="008F0FDB" w:rsidRDefault="008F0FDB" w:rsidP="008F0FDB">
            <w:pPr>
              <w:pStyle w:val="TableText"/>
              <w:rPr>
                <w:rFonts w:ascii="Calibri" w:hAnsi="Calibri"/>
                <w:lang w:eastAsia="en-AU"/>
              </w:rPr>
            </w:pPr>
          </w:p>
        </w:tc>
        <w:tc>
          <w:tcPr>
            <w:tcW w:w="0" w:type="auto"/>
            <w:vMerge/>
            <w:vAlign w:val="center"/>
            <w:hideMark/>
          </w:tcPr>
          <w:p w:rsidR="008F0FDB" w:rsidRDefault="008F0FDB" w:rsidP="008F0FDB">
            <w:pPr>
              <w:pStyle w:val="TableText"/>
              <w:rPr>
                <w:rFonts w:ascii="Calibri" w:hAnsi="Calibri"/>
                <w:lang w:eastAsia="en-AU"/>
              </w:rPr>
            </w:pPr>
          </w:p>
        </w:tc>
        <w:tc>
          <w:tcPr>
            <w:tcW w:w="0" w:type="auto"/>
            <w:tcBorders>
              <w:top w:val="nil"/>
              <w:left w:val="nil"/>
              <w:bottom w:val="single" w:sz="4" w:space="0" w:color="auto"/>
            </w:tcBorders>
            <w:tcMar>
              <w:top w:w="0" w:type="dxa"/>
              <w:left w:w="108" w:type="dxa"/>
              <w:bottom w:w="0" w:type="dxa"/>
              <w:right w:w="108" w:type="dxa"/>
            </w:tcMar>
            <w:vAlign w:val="center"/>
            <w:hideMark/>
          </w:tcPr>
          <w:p w:rsidR="008F0FDB" w:rsidRDefault="008F0FDB" w:rsidP="008F0FDB">
            <w:pPr>
              <w:pStyle w:val="TableText"/>
              <w:rPr>
                <w:lang w:eastAsia="en-AU"/>
              </w:rPr>
            </w:pPr>
            <w:r>
              <w:rPr>
                <w:lang w:eastAsia="en-AU"/>
              </w:rPr>
              <w:t>Corrective action</w:t>
            </w:r>
          </w:p>
        </w:tc>
        <w:tc>
          <w:tcPr>
            <w:tcW w:w="0" w:type="auto"/>
            <w:tcBorders>
              <w:top w:val="nil"/>
              <w:bottom w:val="single" w:sz="4" w:space="0" w:color="auto"/>
            </w:tcBorders>
            <w:tcMar>
              <w:top w:w="0" w:type="dxa"/>
              <w:left w:w="108" w:type="dxa"/>
              <w:bottom w:w="0" w:type="dxa"/>
              <w:right w:w="108" w:type="dxa"/>
            </w:tcMar>
            <w:vAlign w:val="center"/>
            <w:hideMark/>
          </w:tcPr>
          <w:p w:rsidR="008F0FDB" w:rsidRDefault="008F0FDB" w:rsidP="008F0FDB">
            <w:pPr>
              <w:pStyle w:val="TableText"/>
              <w:jc w:val="right"/>
              <w:rPr>
                <w:lang w:eastAsia="en-AU"/>
              </w:rPr>
            </w:pPr>
            <w:r>
              <w:rPr>
                <w:rFonts w:cs="Calibri"/>
                <w:color w:val="000000"/>
                <w:szCs w:val="18"/>
              </w:rPr>
              <w:t>843,931</w:t>
            </w:r>
          </w:p>
        </w:tc>
      </w:tr>
      <w:tr w:rsidR="008F0FDB" w:rsidTr="00930B0A">
        <w:trPr>
          <w:trHeight w:val="300"/>
        </w:trPr>
        <w:tc>
          <w:tcPr>
            <w:tcW w:w="0" w:type="auto"/>
            <w:vMerge/>
            <w:vAlign w:val="center"/>
          </w:tcPr>
          <w:p w:rsidR="008F0FDB" w:rsidRDefault="008F0FDB" w:rsidP="008F0FDB">
            <w:pPr>
              <w:pStyle w:val="TableText"/>
              <w:rPr>
                <w:rFonts w:ascii="Calibri" w:hAnsi="Calibri"/>
                <w:lang w:eastAsia="en-AU"/>
              </w:rPr>
            </w:pPr>
          </w:p>
        </w:tc>
        <w:tc>
          <w:tcPr>
            <w:tcW w:w="0" w:type="auto"/>
            <w:vMerge/>
            <w:vAlign w:val="center"/>
          </w:tcPr>
          <w:p w:rsidR="008F0FDB" w:rsidRDefault="008F0FDB" w:rsidP="008F0FDB">
            <w:pPr>
              <w:pStyle w:val="TableText"/>
              <w:rPr>
                <w:rFonts w:ascii="Calibri" w:hAnsi="Calibri"/>
                <w:lang w:eastAsia="en-AU"/>
              </w:rPr>
            </w:pPr>
          </w:p>
        </w:tc>
        <w:tc>
          <w:tcPr>
            <w:tcW w:w="0" w:type="auto"/>
            <w:tcBorders>
              <w:top w:val="nil"/>
              <w:left w:val="nil"/>
              <w:bottom w:val="single" w:sz="4" w:space="0" w:color="auto"/>
            </w:tcBorders>
            <w:tcMar>
              <w:top w:w="0" w:type="dxa"/>
              <w:left w:w="108" w:type="dxa"/>
              <w:bottom w:w="0" w:type="dxa"/>
              <w:right w:w="108" w:type="dxa"/>
            </w:tcMar>
            <w:vAlign w:val="center"/>
          </w:tcPr>
          <w:p w:rsidR="008F0FDB" w:rsidRDefault="008F0FDB" w:rsidP="008F0FDB">
            <w:pPr>
              <w:pStyle w:val="TableText"/>
              <w:rPr>
                <w:rStyle w:val="Strong"/>
              </w:rPr>
            </w:pPr>
            <w:r>
              <w:rPr>
                <w:rStyle w:val="Strong"/>
              </w:rPr>
              <w:t>Subtotal</w:t>
            </w:r>
          </w:p>
        </w:tc>
        <w:tc>
          <w:tcPr>
            <w:tcW w:w="0" w:type="auto"/>
            <w:tcBorders>
              <w:top w:val="nil"/>
              <w:bottom w:val="single" w:sz="4" w:space="0" w:color="auto"/>
            </w:tcBorders>
            <w:tcMar>
              <w:top w:w="0" w:type="dxa"/>
              <w:left w:w="108" w:type="dxa"/>
              <w:bottom w:w="0" w:type="dxa"/>
              <w:right w:w="108" w:type="dxa"/>
            </w:tcMar>
            <w:vAlign w:val="center"/>
          </w:tcPr>
          <w:p w:rsidR="008F0FDB" w:rsidRDefault="008F0FDB" w:rsidP="008F0FDB">
            <w:pPr>
              <w:pStyle w:val="TableText"/>
              <w:jc w:val="right"/>
              <w:rPr>
                <w:rStyle w:val="Strong"/>
              </w:rPr>
            </w:pPr>
            <w:r>
              <w:rPr>
                <w:rFonts w:cs="Calibri"/>
                <w:b/>
                <w:bCs/>
                <w:color w:val="000000"/>
                <w:szCs w:val="18"/>
              </w:rPr>
              <w:t>3,535,467</w:t>
            </w:r>
          </w:p>
        </w:tc>
      </w:tr>
      <w:tr w:rsidR="008F0FDB" w:rsidTr="00930B0A">
        <w:trPr>
          <w:trHeight w:val="300"/>
        </w:trPr>
        <w:tc>
          <w:tcPr>
            <w:tcW w:w="0" w:type="auto"/>
            <w:vMerge/>
            <w:tcBorders>
              <w:bottom w:val="single" w:sz="4" w:space="0" w:color="auto"/>
            </w:tcBorders>
            <w:vAlign w:val="center"/>
          </w:tcPr>
          <w:p w:rsidR="008F0FDB" w:rsidRDefault="008F0FDB" w:rsidP="008F0FDB">
            <w:pPr>
              <w:pStyle w:val="TableText"/>
              <w:rPr>
                <w:rFonts w:ascii="Calibri" w:hAnsi="Calibri"/>
                <w:lang w:eastAsia="en-AU"/>
              </w:rPr>
            </w:pPr>
          </w:p>
        </w:tc>
        <w:tc>
          <w:tcPr>
            <w:tcW w:w="0" w:type="auto"/>
            <w:vMerge/>
            <w:tcBorders>
              <w:bottom w:val="single" w:sz="4" w:space="0" w:color="auto"/>
            </w:tcBorders>
            <w:vAlign w:val="center"/>
          </w:tcPr>
          <w:p w:rsidR="008F0FDB" w:rsidRDefault="008F0FDB" w:rsidP="008F0FDB">
            <w:pPr>
              <w:pStyle w:val="TableText"/>
              <w:rPr>
                <w:rFonts w:ascii="Calibri" w:hAnsi="Calibri"/>
                <w:lang w:eastAsia="en-AU"/>
              </w:rPr>
            </w:pPr>
          </w:p>
        </w:tc>
        <w:tc>
          <w:tcPr>
            <w:tcW w:w="0" w:type="auto"/>
            <w:tcBorders>
              <w:top w:val="nil"/>
              <w:left w:val="nil"/>
              <w:bottom w:val="single" w:sz="4" w:space="0" w:color="auto"/>
            </w:tcBorders>
            <w:tcMar>
              <w:top w:w="0" w:type="dxa"/>
              <w:left w:w="108" w:type="dxa"/>
              <w:bottom w:w="0" w:type="dxa"/>
              <w:right w:w="108" w:type="dxa"/>
            </w:tcMar>
            <w:vAlign w:val="center"/>
          </w:tcPr>
          <w:p w:rsidR="008F0FDB" w:rsidRDefault="008F0FDB" w:rsidP="008F0FDB">
            <w:pPr>
              <w:pStyle w:val="TableText"/>
              <w:rPr>
                <w:rStyle w:val="Strong"/>
              </w:rPr>
            </w:pPr>
            <w:r>
              <w:rPr>
                <w:rStyle w:val="Strong"/>
              </w:rPr>
              <w:t>Total charges</w:t>
            </w:r>
          </w:p>
        </w:tc>
        <w:tc>
          <w:tcPr>
            <w:tcW w:w="0" w:type="auto"/>
            <w:tcBorders>
              <w:top w:val="nil"/>
              <w:bottom w:val="single" w:sz="4" w:space="0" w:color="auto"/>
            </w:tcBorders>
            <w:tcMar>
              <w:top w:w="0" w:type="dxa"/>
              <w:left w:w="108" w:type="dxa"/>
              <w:bottom w:w="0" w:type="dxa"/>
              <w:right w:w="108" w:type="dxa"/>
            </w:tcMar>
            <w:vAlign w:val="center"/>
          </w:tcPr>
          <w:p w:rsidR="008F0FDB" w:rsidRDefault="008F0FDB" w:rsidP="008F0FDB">
            <w:pPr>
              <w:pStyle w:val="TableText"/>
              <w:jc w:val="right"/>
              <w:rPr>
                <w:rStyle w:val="Strong"/>
              </w:rPr>
            </w:pPr>
            <w:r>
              <w:rPr>
                <w:rFonts w:cs="Calibri"/>
                <w:b/>
                <w:bCs/>
                <w:color w:val="000000"/>
                <w:szCs w:val="18"/>
              </w:rPr>
              <w:t>200,476,773</w:t>
            </w:r>
          </w:p>
        </w:tc>
      </w:tr>
      <w:tr w:rsidR="008F0FDB" w:rsidTr="00930B0A">
        <w:trPr>
          <w:trHeight w:val="300"/>
        </w:trPr>
        <w:tc>
          <w:tcPr>
            <w:tcW w:w="0" w:type="auto"/>
            <w:vMerge w:val="restart"/>
            <w:tcBorders>
              <w:top w:val="single" w:sz="4" w:space="0" w:color="auto"/>
            </w:tcBorders>
            <w:tcMar>
              <w:top w:w="0" w:type="dxa"/>
              <w:left w:w="108" w:type="dxa"/>
              <w:bottom w:w="0" w:type="dxa"/>
              <w:right w:w="108" w:type="dxa"/>
            </w:tcMar>
            <w:vAlign w:val="center"/>
            <w:hideMark/>
          </w:tcPr>
          <w:p w:rsidR="008F0FDB" w:rsidRDefault="008F0FDB" w:rsidP="008F0FDB">
            <w:pPr>
              <w:pStyle w:val="TableText"/>
              <w:rPr>
                <w:lang w:eastAsia="en-AU"/>
              </w:rPr>
            </w:pPr>
            <w:r>
              <w:rPr>
                <w:lang w:eastAsia="en-AU"/>
              </w:rPr>
              <w:t>Fee for service</w:t>
            </w:r>
          </w:p>
        </w:tc>
        <w:tc>
          <w:tcPr>
            <w:tcW w:w="0" w:type="auto"/>
            <w:vMerge w:val="restart"/>
            <w:tcBorders>
              <w:top w:val="single" w:sz="4" w:space="0" w:color="auto"/>
            </w:tcBorders>
            <w:tcMar>
              <w:top w:w="0" w:type="dxa"/>
              <w:left w:w="108" w:type="dxa"/>
              <w:bottom w:w="0" w:type="dxa"/>
              <w:right w:w="108" w:type="dxa"/>
            </w:tcMar>
            <w:vAlign w:val="center"/>
            <w:hideMark/>
          </w:tcPr>
          <w:p w:rsidR="008F0FDB" w:rsidRDefault="008F0FDB" w:rsidP="008F0FDB">
            <w:pPr>
              <w:pStyle w:val="TableText"/>
              <w:rPr>
                <w:lang w:eastAsia="en-AU"/>
              </w:rPr>
            </w:pPr>
            <w:r>
              <w:rPr>
                <w:lang w:eastAsia="en-AU"/>
              </w:rPr>
              <w:t>Intervention</w:t>
            </w:r>
          </w:p>
        </w:tc>
        <w:tc>
          <w:tcPr>
            <w:tcW w:w="0" w:type="auto"/>
            <w:tcBorders>
              <w:top w:val="single" w:sz="4" w:space="0" w:color="auto"/>
              <w:left w:val="nil"/>
              <w:bottom w:val="single" w:sz="8" w:space="0" w:color="auto"/>
            </w:tcBorders>
            <w:tcMar>
              <w:top w:w="0" w:type="dxa"/>
              <w:left w:w="108" w:type="dxa"/>
              <w:bottom w:w="0" w:type="dxa"/>
              <w:right w:w="108" w:type="dxa"/>
            </w:tcMar>
            <w:vAlign w:val="center"/>
            <w:hideMark/>
          </w:tcPr>
          <w:p w:rsidR="008F0FDB" w:rsidRDefault="008F0FDB" w:rsidP="008F0FDB">
            <w:pPr>
              <w:pStyle w:val="TableText"/>
              <w:rPr>
                <w:lang w:eastAsia="en-AU"/>
              </w:rPr>
            </w:pPr>
            <w:r>
              <w:rPr>
                <w:lang w:eastAsia="en-AU"/>
              </w:rPr>
              <w:t>Assessment</w:t>
            </w:r>
          </w:p>
        </w:tc>
        <w:tc>
          <w:tcPr>
            <w:tcW w:w="0" w:type="auto"/>
            <w:tcBorders>
              <w:top w:val="single" w:sz="4" w:space="0" w:color="auto"/>
              <w:bottom w:val="single" w:sz="8" w:space="0" w:color="auto"/>
            </w:tcBorders>
            <w:tcMar>
              <w:top w:w="0" w:type="dxa"/>
              <w:left w:w="108" w:type="dxa"/>
              <w:bottom w:w="0" w:type="dxa"/>
              <w:right w:w="108" w:type="dxa"/>
            </w:tcMar>
            <w:vAlign w:val="center"/>
            <w:hideMark/>
          </w:tcPr>
          <w:p w:rsidR="008F0FDB" w:rsidRDefault="008F0FDB" w:rsidP="008F0FDB">
            <w:pPr>
              <w:pStyle w:val="TableText"/>
              <w:jc w:val="right"/>
              <w:rPr>
                <w:lang w:eastAsia="en-AU"/>
              </w:rPr>
            </w:pPr>
            <w:r>
              <w:rPr>
                <w:rFonts w:cs="Calibri"/>
                <w:color w:val="000000"/>
                <w:szCs w:val="18"/>
              </w:rPr>
              <w:t>21,321,518</w:t>
            </w:r>
          </w:p>
        </w:tc>
      </w:tr>
      <w:tr w:rsidR="008F0FDB" w:rsidTr="00930B0A">
        <w:trPr>
          <w:trHeight w:val="300"/>
        </w:trPr>
        <w:tc>
          <w:tcPr>
            <w:tcW w:w="0" w:type="auto"/>
            <w:vMerge/>
            <w:vAlign w:val="center"/>
            <w:hideMark/>
          </w:tcPr>
          <w:p w:rsidR="008F0FDB" w:rsidRDefault="008F0FDB" w:rsidP="008F0FDB">
            <w:pPr>
              <w:pStyle w:val="TableText"/>
              <w:rPr>
                <w:rFonts w:ascii="Calibri" w:hAnsi="Calibri"/>
                <w:lang w:eastAsia="en-AU"/>
              </w:rPr>
            </w:pPr>
          </w:p>
        </w:tc>
        <w:tc>
          <w:tcPr>
            <w:tcW w:w="0" w:type="auto"/>
            <w:vMerge/>
            <w:vAlign w:val="center"/>
            <w:hideMark/>
          </w:tcPr>
          <w:p w:rsidR="008F0FDB" w:rsidRDefault="008F0FDB" w:rsidP="008F0FDB">
            <w:pPr>
              <w:pStyle w:val="TableText"/>
              <w:rPr>
                <w:rFonts w:ascii="Calibri" w:hAnsi="Calibri"/>
                <w:lang w:eastAsia="en-AU"/>
              </w:rPr>
            </w:pPr>
          </w:p>
        </w:tc>
        <w:tc>
          <w:tcPr>
            <w:tcW w:w="0" w:type="auto"/>
            <w:tcBorders>
              <w:top w:val="nil"/>
              <w:left w:val="nil"/>
              <w:bottom w:val="single" w:sz="8" w:space="0" w:color="auto"/>
            </w:tcBorders>
            <w:tcMar>
              <w:top w:w="0" w:type="dxa"/>
              <w:left w:w="108" w:type="dxa"/>
              <w:bottom w:w="0" w:type="dxa"/>
              <w:right w:w="108" w:type="dxa"/>
            </w:tcMar>
            <w:vAlign w:val="center"/>
            <w:hideMark/>
          </w:tcPr>
          <w:p w:rsidR="008F0FDB" w:rsidRDefault="008F0FDB" w:rsidP="008F0FDB">
            <w:pPr>
              <w:pStyle w:val="TableText"/>
              <w:rPr>
                <w:lang w:eastAsia="en-AU"/>
              </w:rPr>
            </w:pPr>
            <w:r>
              <w:rPr>
                <w:lang w:eastAsia="en-AU"/>
              </w:rPr>
              <w:t>Issue approvals/certification</w:t>
            </w:r>
          </w:p>
        </w:tc>
        <w:tc>
          <w:tcPr>
            <w:tcW w:w="0" w:type="auto"/>
            <w:tcBorders>
              <w:top w:val="nil"/>
              <w:bottom w:val="single" w:sz="8" w:space="0" w:color="auto"/>
            </w:tcBorders>
            <w:tcMar>
              <w:top w:w="0" w:type="dxa"/>
              <w:left w:w="108" w:type="dxa"/>
              <w:bottom w:w="0" w:type="dxa"/>
              <w:right w:w="108" w:type="dxa"/>
            </w:tcMar>
            <w:vAlign w:val="center"/>
            <w:hideMark/>
          </w:tcPr>
          <w:p w:rsidR="008F0FDB" w:rsidRDefault="008F0FDB" w:rsidP="008F0FDB">
            <w:pPr>
              <w:pStyle w:val="TableText"/>
              <w:jc w:val="right"/>
              <w:rPr>
                <w:lang w:eastAsia="en-AU"/>
              </w:rPr>
            </w:pPr>
            <w:r>
              <w:rPr>
                <w:rFonts w:cs="Calibri"/>
                <w:color w:val="000000"/>
                <w:szCs w:val="18"/>
              </w:rPr>
              <w:t>396,760</w:t>
            </w:r>
          </w:p>
        </w:tc>
      </w:tr>
      <w:tr w:rsidR="008F0FDB" w:rsidTr="00930B0A">
        <w:trPr>
          <w:trHeight w:val="300"/>
        </w:trPr>
        <w:tc>
          <w:tcPr>
            <w:tcW w:w="0" w:type="auto"/>
            <w:vMerge/>
            <w:vAlign w:val="center"/>
            <w:hideMark/>
          </w:tcPr>
          <w:p w:rsidR="008F0FDB" w:rsidRDefault="008F0FDB" w:rsidP="008F0FDB">
            <w:pPr>
              <w:pStyle w:val="TableText"/>
              <w:rPr>
                <w:rFonts w:ascii="Calibri" w:hAnsi="Calibri"/>
                <w:lang w:eastAsia="en-AU"/>
              </w:rPr>
            </w:pPr>
          </w:p>
        </w:tc>
        <w:tc>
          <w:tcPr>
            <w:tcW w:w="0" w:type="auto"/>
            <w:vMerge/>
            <w:vAlign w:val="center"/>
            <w:hideMark/>
          </w:tcPr>
          <w:p w:rsidR="008F0FDB" w:rsidRDefault="008F0FDB" w:rsidP="008F0FDB">
            <w:pPr>
              <w:pStyle w:val="TableText"/>
              <w:rPr>
                <w:rFonts w:ascii="Calibri" w:hAnsi="Calibri"/>
                <w:lang w:eastAsia="en-AU"/>
              </w:rPr>
            </w:pPr>
          </w:p>
        </w:tc>
        <w:tc>
          <w:tcPr>
            <w:tcW w:w="0" w:type="auto"/>
            <w:tcBorders>
              <w:top w:val="nil"/>
              <w:left w:val="nil"/>
              <w:bottom w:val="single" w:sz="8" w:space="0" w:color="auto"/>
            </w:tcBorders>
            <w:tcMar>
              <w:top w:w="0" w:type="dxa"/>
              <w:left w:w="108" w:type="dxa"/>
              <w:bottom w:w="0" w:type="dxa"/>
              <w:right w:w="108" w:type="dxa"/>
            </w:tcMar>
            <w:vAlign w:val="center"/>
            <w:hideMark/>
          </w:tcPr>
          <w:p w:rsidR="008F0FDB" w:rsidRDefault="008F0FDB" w:rsidP="008F0FDB">
            <w:pPr>
              <w:pStyle w:val="TableText"/>
              <w:rPr>
                <w:lang w:eastAsia="en-AU"/>
              </w:rPr>
            </w:pPr>
            <w:r>
              <w:rPr>
                <w:lang w:eastAsia="en-AU"/>
              </w:rPr>
              <w:t>Inspection</w:t>
            </w:r>
          </w:p>
        </w:tc>
        <w:tc>
          <w:tcPr>
            <w:tcW w:w="0" w:type="auto"/>
            <w:tcBorders>
              <w:top w:val="nil"/>
              <w:bottom w:val="single" w:sz="8" w:space="0" w:color="auto"/>
            </w:tcBorders>
            <w:tcMar>
              <w:top w:w="0" w:type="dxa"/>
              <w:left w:w="108" w:type="dxa"/>
              <w:bottom w:w="0" w:type="dxa"/>
              <w:right w:w="108" w:type="dxa"/>
            </w:tcMar>
            <w:vAlign w:val="center"/>
            <w:hideMark/>
          </w:tcPr>
          <w:p w:rsidR="008F0FDB" w:rsidRDefault="008F0FDB" w:rsidP="008F0FDB">
            <w:pPr>
              <w:pStyle w:val="TableText"/>
              <w:jc w:val="right"/>
              <w:rPr>
                <w:lang w:eastAsia="en-AU"/>
              </w:rPr>
            </w:pPr>
            <w:r>
              <w:rPr>
                <w:rFonts w:cs="Calibri"/>
                <w:color w:val="000000"/>
                <w:szCs w:val="18"/>
              </w:rPr>
              <w:t>47,870,403</w:t>
            </w:r>
          </w:p>
        </w:tc>
      </w:tr>
      <w:tr w:rsidR="008F0FDB" w:rsidTr="00930B0A">
        <w:trPr>
          <w:trHeight w:val="300"/>
        </w:trPr>
        <w:tc>
          <w:tcPr>
            <w:tcW w:w="0" w:type="auto"/>
            <w:vMerge/>
            <w:vAlign w:val="center"/>
            <w:hideMark/>
          </w:tcPr>
          <w:p w:rsidR="008F0FDB" w:rsidRDefault="008F0FDB" w:rsidP="008F0FDB">
            <w:pPr>
              <w:pStyle w:val="TableText"/>
              <w:rPr>
                <w:rFonts w:ascii="Calibri" w:hAnsi="Calibri"/>
                <w:lang w:eastAsia="en-AU"/>
              </w:rPr>
            </w:pPr>
          </w:p>
        </w:tc>
        <w:tc>
          <w:tcPr>
            <w:tcW w:w="0" w:type="auto"/>
            <w:vMerge/>
            <w:vAlign w:val="center"/>
            <w:hideMark/>
          </w:tcPr>
          <w:p w:rsidR="008F0FDB" w:rsidRDefault="008F0FDB" w:rsidP="008F0FDB">
            <w:pPr>
              <w:pStyle w:val="TableText"/>
              <w:rPr>
                <w:rFonts w:ascii="Calibri" w:hAnsi="Calibri"/>
                <w:lang w:eastAsia="en-AU"/>
              </w:rPr>
            </w:pPr>
          </w:p>
        </w:tc>
        <w:tc>
          <w:tcPr>
            <w:tcW w:w="0" w:type="auto"/>
            <w:tcBorders>
              <w:top w:val="nil"/>
              <w:left w:val="nil"/>
              <w:bottom w:val="single" w:sz="8" w:space="0" w:color="auto"/>
            </w:tcBorders>
            <w:tcMar>
              <w:top w:w="0" w:type="dxa"/>
              <w:left w:w="108" w:type="dxa"/>
              <w:bottom w:w="0" w:type="dxa"/>
              <w:right w:w="108" w:type="dxa"/>
            </w:tcMar>
            <w:vAlign w:val="center"/>
            <w:hideMark/>
          </w:tcPr>
          <w:p w:rsidR="008F0FDB" w:rsidRDefault="008F0FDB" w:rsidP="008F0FDB">
            <w:pPr>
              <w:pStyle w:val="TableText"/>
              <w:rPr>
                <w:lang w:eastAsia="en-AU"/>
              </w:rPr>
            </w:pPr>
            <w:r>
              <w:rPr>
                <w:lang w:eastAsia="en-AU"/>
              </w:rPr>
              <w:t>Treatment</w:t>
            </w:r>
          </w:p>
        </w:tc>
        <w:tc>
          <w:tcPr>
            <w:tcW w:w="0" w:type="auto"/>
            <w:tcBorders>
              <w:top w:val="nil"/>
              <w:bottom w:val="single" w:sz="8" w:space="0" w:color="auto"/>
            </w:tcBorders>
            <w:tcMar>
              <w:top w:w="0" w:type="dxa"/>
              <w:left w:w="108" w:type="dxa"/>
              <w:bottom w:w="0" w:type="dxa"/>
              <w:right w:w="108" w:type="dxa"/>
            </w:tcMar>
            <w:vAlign w:val="center"/>
            <w:hideMark/>
          </w:tcPr>
          <w:p w:rsidR="008F0FDB" w:rsidRDefault="008F0FDB" w:rsidP="008F0FDB">
            <w:pPr>
              <w:pStyle w:val="TableText"/>
              <w:jc w:val="right"/>
              <w:rPr>
                <w:lang w:eastAsia="en-AU"/>
              </w:rPr>
            </w:pPr>
            <w:r>
              <w:rPr>
                <w:rFonts w:cs="Calibri"/>
                <w:color w:val="000000"/>
                <w:szCs w:val="18"/>
              </w:rPr>
              <w:t>1,635,825</w:t>
            </w:r>
          </w:p>
        </w:tc>
      </w:tr>
      <w:tr w:rsidR="008F0FDB" w:rsidTr="00930B0A">
        <w:trPr>
          <w:trHeight w:val="300"/>
        </w:trPr>
        <w:tc>
          <w:tcPr>
            <w:tcW w:w="0" w:type="auto"/>
            <w:vMerge/>
            <w:vAlign w:val="center"/>
            <w:hideMark/>
          </w:tcPr>
          <w:p w:rsidR="008F0FDB" w:rsidRDefault="008F0FDB" w:rsidP="008F0FDB">
            <w:pPr>
              <w:pStyle w:val="TableText"/>
              <w:rPr>
                <w:rFonts w:ascii="Calibri" w:hAnsi="Calibri"/>
                <w:lang w:eastAsia="en-AU"/>
              </w:rPr>
            </w:pPr>
          </w:p>
        </w:tc>
        <w:tc>
          <w:tcPr>
            <w:tcW w:w="0" w:type="auto"/>
            <w:vMerge/>
            <w:vAlign w:val="center"/>
            <w:hideMark/>
          </w:tcPr>
          <w:p w:rsidR="008F0FDB" w:rsidRDefault="008F0FDB" w:rsidP="008F0FDB">
            <w:pPr>
              <w:pStyle w:val="TableText"/>
              <w:rPr>
                <w:rFonts w:ascii="Calibri" w:hAnsi="Calibri"/>
                <w:lang w:eastAsia="en-AU"/>
              </w:rPr>
            </w:pPr>
          </w:p>
        </w:tc>
        <w:tc>
          <w:tcPr>
            <w:tcW w:w="0" w:type="auto"/>
            <w:tcBorders>
              <w:top w:val="nil"/>
              <w:left w:val="nil"/>
              <w:bottom w:val="single" w:sz="8" w:space="0" w:color="auto"/>
            </w:tcBorders>
            <w:tcMar>
              <w:top w:w="0" w:type="dxa"/>
              <w:left w:w="108" w:type="dxa"/>
              <w:bottom w:w="0" w:type="dxa"/>
              <w:right w:w="108" w:type="dxa"/>
            </w:tcMar>
            <w:vAlign w:val="center"/>
            <w:hideMark/>
          </w:tcPr>
          <w:p w:rsidR="008F0FDB" w:rsidRDefault="008F0FDB" w:rsidP="008F0FDB">
            <w:pPr>
              <w:pStyle w:val="TableText"/>
              <w:rPr>
                <w:lang w:eastAsia="en-AU"/>
              </w:rPr>
            </w:pPr>
            <w:r>
              <w:rPr>
                <w:lang w:eastAsia="en-AU"/>
              </w:rPr>
              <w:t>Husbandry</w:t>
            </w:r>
          </w:p>
        </w:tc>
        <w:tc>
          <w:tcPr>
            <w:tcW w:w="0" w:type="auto"/>
            <w:tcBorders>
              <w:top w:val="nil"/>
              <w:bottom w:val="single" w:sz="8" w:space="0" w:color="auto"/>
            </w:tcBorders>
            <w:tcMar>
              <w:top w:w="0" w:type="dxa"/>
              <w:left w:w="108" w:type="dxa"/>
              <w:bottom w:w="0" w:type="dxa"/>
              <w:right w:w="108" w:type="dxa"/>
            </w:tcMar>
            <w:vAlign w:val="center"/>
            <w:hideMark/>
          </w:tcPr>
          <w:p w:rsidR="008F0FDB" w:rsidRDefault="008F0FDB" w:rsidP="008F0FDB">
            <w:pPr>
              <w:pStyle w:val="TableText"/>
              <w:jc w:val="right"/>
              <w:rPr>
                <w:lang w:eastAsia="en-AU"/>
              </w:rPr>
            </w:pPr>
            <w:r>
              <w:rPr>
                <w:rFonts w:cs="Calibri"/>
                <w:color w:val="000000"/>
                <w:szCs w:val="18"/>
              </w:rPr>
              <w:t>2,935,340</w:t>
            </w:r>
          </w:p>
        </w:tc>
      </w:tr>
      <w:tr w:rsidR="008F0FDB" w:rsidTr="00930B0A">
        <w:trPr>
          <w:trHeight w:val="300"/>
        </w:trPr>
        <w:tc>
          <w:tcPr>
            <w:tcW w:w="0" w:type="auto"/>
            <w:vMerge/>
            <w:vAlign w:val="center"/>
            <w:hideMark/>
          </w:tcPr>
          <w:p w:rsidR="008F0FDB" w:rsidRDefault="008F0FDB" w:rsidP="008F0FDB">
            <w:pPr>
              <w:pStyle w:val="TableText"/>
              <w:rPr>
                <w:rFonts w:ascii="Calibri" w:hAnsi="Calibri"/>
                <w:lang w:eastAsia="en-AU"/>
              </w:rPr>
            </w:pPr>
          </w:p>
        </w:tc>
        <w:tc>
          <w:tcPr>
            <w:tcW w:w="0" w:type="auto"/>
            <w:vMerge/>
            <w:vAlign w:val="center"/>
            <w:hideMark/>
          </w:tcPr>
          <w:p w:rsidR="008F0FDB" w:rsidRDefault="008F0FDB" w:rsidP="008F0FDB">
            <w:pPr>
              <w:pStyle w:val="TableText"/>
              <w:rPr>
                <w:rFonts w:ascii="Calibri" w:hAnsi="Calibri"/>
                <w:lang w:eastAsia="en-AU"/>
              </w:rPr>
            </w:pPr>
          </w:p>
        </w:tc>
        <w:tc>
          <w:tcPr>
            <w:tcW w:w="0" w:type="auto"/>
            <w:tcBorders>
              <w:top w:val="nil"/>
              <w:left w:val="nil"/>
              <w:bottom w:val="single" w:sz="4" w:space="0" w:color="auto"/>
            </w:tcBorders>
            <w:tcMar>
              <w:top w:w="0" w:type="dxa"/>
              <w:left w:w="108" w:type="dxa"/>
              <w:bottom w:w="0" w:type="dxa"/>
              <w:right w:w="108" w:type="dxa"/>
            </w:tcMar>
            <w:vAlign w:val="center"/>
            <w:hideMark/>
          </w:tcPr>
          <w:p w:rsidR="008F0FDB" w:rsidRDefault="008F0FDB" w:rsidP="008F0FDB">
            <w:pPr>
              <w:pStyle w:val="TableText"/>
              <w:rPr>
                <w:lang w:eastAsia="en-AU"/>
              </w:rPr>
            </w:pPr>
            <w:r>
              <w:rPr>
                <w:lang w:eastAsia="en-AU"/>
              </w:rPr>
              <w:t>Audit</w:t>
            </w:r>
          </w:p>
        </w:tc>
        <w:tc>
          <w:tcPr>
            <w:tcW w:w="0" w:type="auto"/>
            <w:tcBorders>
              <w:top w:val="nil"/>
              <w:bottom w:val="single" w:sz="4" w:space="0" w:color="auto"/>
            </w:tcBorders>
            <w:tcMar>
              <w:top w:w="0" w:type="dxa"/>
              <w:left w:w="108" w:type="dxa"/>
              <w:bottom w:w="0" w:type="dxa"/>
              <w:right w:w="108" w:type="dxa"/>
            </w:tcMar>
            <w:vAlign w:val="center"/>
            <w:hideMark/>
          </w:tcPr>
          <w:p w:rsidR="008F0FDB" w:rsidRDefault="008F0FDB" w:rsidP="008F0FDB">
            <w:pPr>
              <w:pStyle w:val="TableText"/>
              <w:jc w:val="right"/>
              <w:rPr>
                <w:lang w:eastAsia="en-AU"/>
              </w:rPr>
            </w:pPr>
            <w:r>
              <w:rPr>
                <w:rFonts w:cs="Calibri"/>
                <w:color w:val="000000"/>
                <w:szCs w:val="18"/>
              </w:rPr>
              <w:t>4,648,060</w:t>
            </w:r>
          </w:p>
        </w:tc>
      </w:tr>
      <w:tr w:rsidR="008F0FDB" w:rsidTr="00930B0A">
        <w:trPr>
          <w:trHeight w:val="300"/>
        </w:trPr>
        <w:tc>
          <w:tcPr>
            <w:tcW w:w="0" w:type="auto"/>
            <w:vMerge/>
            <w:vAlign w:val="center"/>
          </w:tcPr>
          <w:p w:rsidR="008F0FDB" w:rsidRDefault="008F0FDB" w:rsidP="008F0FDB">
            <w:pPr>
              <w:pStyle w:val="TableText"/>
              <w:rPr>
                <w:rFonts w:ascii="Calibri" w:hAnsi="Calibri"/>
                <w:lang w:eastAsia="en-AU"/>
              </w:rPr>
            </w:pPr>
          </w:p>
        </w:tc>
        <w:tc>
          <w:tcPr>
            <w:tcW w:w="0" w:type="auto"/>
            <w:vMerge/>
            <w:vAlign w:val="center"/>
          </w:tcPr>
          <w:p w:rsidR="008F0FDB" w:rsidRDefault="008F0FDB" w:rsidP="008F0FDB">
            <w:pPr>
              <w:pStyle w:val="TableText"/>
              <w:rPr>
                <w:rFonts w:ascii="Calibri" w:hAnsi="Calibri"/>
                <w:lang w:eastAsia="en-AU"/>
              </w:rPr>
            </w:pPr>
          </w:p>
        </w:tc>
        <w:tc>
          <w:tcPr>
            <w:tcW w:w="0" w:type="auto"/>
            <w:tcBorders>
              <w:top w:val="nil"/>
              <w:left w:val="nil"/>
              <w:bottom w:val="single" w:sz="4" w:space="0" w:color="auto"/>
            </w:tcBorders>
            <w:tcMar>
              <w:top w:w="0" w:type="dxa"/>
              <w:left w:w="108" w:type="dxa"/>
              <w:bottom w:w="0" w:type="dxa"/>
              <w:right w:w="108" w:type="dxa"/>
            </w:tcMar>
            <w:vAlign w:val="center"/>
          </w:tcPr>
          <w:p w:rsidR="008F0FDB" w:rsidRDefault="008F0FDB" w:rsidP="008F0FDB">
            <w:pPr>
              <w:pStyle w:val="TableText"/>
              <w:rPr>
                <w:rStyle w:val="Strong"/>
              </w:rPr>
            </w:pPr>
            <w:r>
              <w:rPr>
                <w:rStyle w:val="Strong"/>
              </w:rPr>
              <w:t>Subtotal</w:t>
            </w:r>
          </w:p>
        </w:tc>
        <w:tc>
          <w:tcPr>
            <w:tcW w:w="0" w:type="auto"/>
            <w:tcBorders>
              <w:top w:val="nil"/>
              <w:bottom w:val="single" w:sz="4" w:space="0" w:color="auto"/>
            </w:tcBorders>
            <w:tcMar>
              <w:top w:w="0" w:type="dxa"/>
              <w:left w:w="108" w:type="dxa"/>
              <w:bottom w:w="0" w:type="dxa"/>
              <w:right w:w="108" w:type="dxa"/>
            </w:tcMar>
            <w:vAlign w:val="center"/>
          </w:tcPr>
          <w:p w:rsidR="008F0FDB" w:rsidRDefault="008F0FDB" w:rsidP="008F0FDB">
            <w:pPr>
              <w:pStyle w:val="TableText"/>
              <w:jc w:val="right"/>
              <w:rPr>
                <w:rStyle w:val="Strong"/>
              </w:rPr>
            </w:pPr>
            <w:r>
              <w:rPr>
                <w:rFonts w:cs="Calibri"/>
                <w:b/>
                <w:bCs/>
                <w:color w:val="000000"/>
                <w:szCs w:val="18"/>
              </w:rPr>
              <w:t>78,807,906</w:t>
            </w:r>
          </w:p>
        </w:tc>
      </w:tr>
      <w:tr w:rsidR="008F0FDB" w:rsidTr="00930B0A">
        <w:trPr>
          <w:trHeight w:val="300"/>
        </w:trPr>
        <w:tc>
          <w:tcPr>
            <w:tcW w:w="0" w:type="auto"/>
            <w:vMerge/>
            <w:vAlign w:val="center"/>
          </w:tcPr>
          <w:p w:rsidR="008F0FDB" w:rsidRDefault="008F0FDB" w:rsidP="008F0FDB">
            <w:pPr>
              <w:pStyle w:val="TableText"/>
              <w:rPr>
                <w:rFonts w:ascii="Calibri" w:hAnsi="Calibri"/>
                <w:lang w:eastAsia="en-AU"/>
              </w:rPr>
            </w:pPr>
          </w:p>
        </w:tc>
        <w:tc>
          <w:tcPr>
            <w:tcW w:w="0" w:type="auto"/>
            <w:vMerge/>
            <w:tcBorders>
              <w:bottom w:val="single" w:sz="4" w:space="0" w:color="auto"/>
            </w:tcBorders>
            <w:vAlign w:val="center"/>
          </w:tcPr>
          <w:p w:rsidR="008F0FDB" w:rsidRDefault="008F0FDB" w:rsidP="008F0FDB">
            <w:pPr>
              <w:pStyle w:val="TableText"/>
              <w:rPr>
                <w:rFonts w:ascii="Calibri" w:hAnsi="Calibri"/>
                <w:lang w:eastAsia="en-AU"/>
              </w:rPr>
            </w:pPr>
          </w:p>
        </w:tc>
        <w:tc>
          <w:tcPr>
            <w:tcW w:w="0" w:type="auto"/>
            <w:tcBorders>
              <w:top w:val="nil"/>
              <w:left w:val="nil"/>
              <w:bottom w:val="single" w:sz="4" w:space="0" w:color="auto"/>
            </w:tcBorders>
            <w:tcMar>
              <w:top w:w="0" w:type="dxa"/>
              <w:left w:w="108" w:type="dxa"/>
              <w:bottom w:w="0" w:type="dxa"/>
              <w:right w:w="108" w:type="dxa"/>
            </w:tcMar>
            <w:vAlign w:val="center"/>
          </w:tcPr>
          <w:p w:rsidR="008F0FDB" w:rsidRDefault="008F0FDB" w:rsidP="008F0FDB">
            <w:pPr>
              <w:pStyle w:val="TableText"/>
              <w:rPr>
                <w:rStyle w:val="Strong"/>
              </w:rPr>
            </w:pPr>
            <w:r>
              <w:rPr>
                <w:rStyle w:val="Strong"/>
              </w:rPr>
              <w:t>Total fee for service</w:t>
            </w:r>
          </w:p>
        </w:tc>
        <w:tc>
          <w:tcPr>
            <w:tcW w:w="0" w:type="auto"/>
            <w:tcBorders>
              <w:top w:val="nil"/>
              <w:bottom w:val="single" w:sz="4" w:space="0" w:color="auto"/>
            </w:tcBorders>
            <w:tcMar>
              <w:top w:w="0" w:type="dxa"/>
              <w:left w:w="108" w:type="dxa"/>
              <w:bottom w:w="0" w:type="dxa"/>
              <w:right w:w="108" w:type="dxa"/>
            </w:tcMar>
            <w:vAlign w:val="center"/>
          </w:tcPr>
          <w:p w:rsidR="008F0FDB" w:rsidRDefault="008F0FDB" w:rsidP="008F0FDB">
            <w:pPr>
              <w:pStyle w:val="TableText"/>
              <w:jc w:val="right"/>
              <w:rPr>
                <w:rStyle w:val="Strong"/>
              </w:rPr>
            </w:pPr>
            <w:r>
              <w:rPr>
                <w:rFonts w:cs="Calibri"/>
                <w:b/>
                <w:bCs/>
                <w:color w:val="000000"/>
                <w:szCs w:val="18"/>
              </w:rPr>
              <w:t>78,807,906</w:t>
            </w:r>
          </w:p>
        </w:tc>
      </w:tr>
      <w:tr w:rsidR="008F0FDB" w:rsidTr="00930B0A">
        <w:trPr>
          <w:trHeight w:val="315"/>
        </w:trPr>
        <w:tc>
          <w:tcPr>
            <w:tcW w:w="0" w:type="auto"/>
            <w:gridSpan w:val="3"/>
            <w:tcBorders>
              <w:top w:val="single" w:sz="4" w:space="0" w:color="auto"/>
              <w:bottom w:val="single" w:sz="4" w:space="0" w:color="auto"/>
            </w:tcBorders>
            <w:tcMar>
              <w:top w:w="0" w:type="dxa"/>
              <w:left w:w="108" w:type="dxa"/>
              <w:bottom w:w="0" w:type="dxa"/>
              <w:right w:w="108" w:type="dxa"/>
            </w:tcMar>
            <w:vAlign w:val="center"/>
            <w:hideMark/>
          </w:tcPr>
          <w:p w:rsidR="008F0FDB" w:rsidRDefault="008F0FDB" w:rsidP="008F0FDB">
            <w:pPr>
              <w:pStyle w:val="TableText"/>
              <w:rPr>
                <w:rStyle w:val="Strong"/>
              </w:rPr>
            </w:pPr>
            <w:r>
              <w:rPr>
                <w:rStyle w:val="Strong"/>
              </w:rPr>
              <w:t>Total cost base</w:t>
            </w:r>
          </w:p>
        </w:tc>
        <w:tc>
          <w:tcPr>
            <w:tcW w:w="0" w:type="auto"/>
            <w:tcBorders>
              <w:top w:val="single" w:sz="4" w:space="0" w:color="auto"/>
              <w:bottom w:val="single" w:sz="4" w:space="0" w:color="auto"/>
            </w:tcBorders>
            <w:tcMar>
              <w:top w:w="0" w:type="dxa"/>
              <w:left w:w="108" w:type="dxa"/>
              <w:bottom w:w="0" w:type="dxa"/>
              <w:right w:w="108" w:type="dxa"/>
            </w:tcMar>
            <w:vAlign w:val="center"/>
            <w:hideMark/>
          </w:tcPr>
          <w:p w:rsidR="008F0FDB" w:rsidRDefault="008F0FDB" w:rsidP="008F0FDB">
            <w:pPr>
              <w:pStyle w:val="TableText"/>
              <w:jc w:val="right"/>
              <w:rPr>
                <w:rStyle w:val="Strong"/>
              </w:rPr>
            </w:pPr>
            <w:r>
              <w:rPr>
                <w:rStyle w:val="Strong"/>
              </w:rPr>
              <w:t>279,284,678</w:t>
            </w:r>
          </w:p>
        </w:tc>
      </w:tr>
    </w:tbl>
    <w:p w:rsidR="00423C10" w:rsidRDefault="00423C10">
      <w:pPr>
        <w:spacing w:before="120"/>
      </w:pPr>
    </w:p>
    <w:p w:rsidR="009B4C98" w:rsidRDefault="005F192D" w:rsidP="006027B8">
      <w:pPr>
        <w:tabs>
          <w:tab w:val="left" w:pos="9720"/>
        </w:tabs>
        <w:spacing w:before="120"/>
      </w:pPr>
      <w:r>
        <w:t xml:space="preserve">For more information on how expenses </w:t>
      </w:r>
      <w:proofErr w:type="gramStart"/>
      <w:r>
        <w:t>are allocated</w:t>
      </w:r>
      <w:proofErr w:type="gramEnd"/>
      <w:r>
        <w:t xml:space="preserve"> see </w:t>
      </w:r>
      <w:hyperlink w:anchor="_Cost_recovery_model" w:history="1">
        <w:r>
          <w:rPr>
            <w:rStyle w:val="Hyperlink"/>
          </w:rPr>
          <w:t>section</w:t>
        </w:r>
        <w:r w:rsidR="00087778">
          <w:rPr>
            <w:rStyle w:val="Hyperlink"/>
          </w:rPr>
          <w:t xml:space="preserve"> </w:t>
        </w:r>
        <w:r>
          <w:rPr>
            <w:rStyle w:val="Hyperlink"/>
          </w:rPr>
          <w:t>3</w:t>
        </w:r>
      </w:hyperlink>
      <w:r w:rsidR="00087778">
        <w:rPr>
          <w:rStyle w:val="Hyperlink"/>
        </w:rPr>
        <w:t>.</w:t>
      </w:r>
    </w:p>
    <w:p w:rsidR="009B4C98" w:rsidRPr="00E760AD" w:rsidRDefault="005F192D" w:rsidP="003E41E4">
      <w:r>
        <w:fldChar w:fldCharType="begin"/>
      </w:r>
      <w:r>
        <w:instrText xml:space="preserve"> REF _Ref24628812 \h </w:instrText>
      </w:r>
      <w:r>
        <w:fldChar w:fldCharType="separate"/>
      </w:r>
      <w:r w:rsidR="006962CE">
        <w:t xml:space="preserve">Table </w:t>
      </w:r>
      <w:r w:rsidR="006962CE">
        <w:rPr>
          <w:noProof/>
        </w:rPr>
        <w:t>2</w:t>
      </w:r>
      <w:r>
        <w:fldChar w:fldCharType="end"/>
      </w:r>
      <w:r>
        <w:t xml:space="preserve"> provides a cost breakdown for each output contribution to recover direct and indirect costs for 2020</w:t>
      </w:r>
      <w:r>
        <w:rPr>
          <w:lang w:eastAsia="en-AU"/>
        </w:rPr>
        <w:t>–</w:t>
      </w:r>
      <w:r>
        <w:t xml:space="preserve">21. </w:t>
      </w:r>
      <w:r>
        <w:rPr>
          <w:rFonts w:asciiTheme="majorHAnsi" w:hAnsiTheme="majorHAnsi"/>
          <w:lang w:eastAsia="ja-JP"/>
        </w:rPr>
        <w:t xml:space="preserve">The 2018–19 cost base presented in the Biosecurity CRIS 2015 </w:t>
      </w:r>
      <w:proofErr w:type="gramStart"/>
      <w:r>
        <w:rPr>
          <w:rFonts w:asciiTheme="majorHAnsi" w:hAnsiTheme="majorHAnsi"/>
          <w:lang w:eastAsia="ja-JP"/>
        </w:rPr>
        <w:t>has been used</w:t>
      </w:r>
      <w:proofErr w:type="gramEnd"/>
      <w:r>
        <w:rPr>
          <w:rFonts w:asciiTheme="majorHAnsi" w:hAnsiTheme="majorHAnsi"/>
          <w:lang w:eastAsia="ja-JP"/>
        </w:rPr>
        <w:t xml:space="preserve"> as the starting point for determining the cost base in this CRIS for 2019–20 and beyond. </w:t>
      </w:r>
      <w:r w:rsidRPr="00987947">
        <w:rPr>
          <w:rFonts w:asciiTheme="majorHAnsi" w:hAnsiTheme="majorHAnsi"/>
          <w:lang w:eastAsia="ja-JP"/>
        </w:rPr>
        <w:t>2020–21 is presented here as</w:t>
      </w:r>
      <w:r>
        <w:rPr>
          <w:rFonts w:asciiTheme="majorHAnsi" w:hAnsiTheme="majorHAnsi"/>
          <w:lang w:eastAsia="ja-JP"/>
        </w:rPr>
        <w:t xml:space="preserve"> the first full year of the expanded activity.</w:t>
      </w:r>
    </w:p>
    <w:p w:rsidR="009B4C98" w:rsidRDefault="005F192D">
      <w:pPr>
        <w:pStyle w:val="Caption"/>
        <w:pageBreakBefore/>
      </w:pPr>
      <w:bookmarkStart w:id="52" w:name="_Ref24628812"/>
      <w:bookmarkStart w:id="53" w:name="_Toc26363666"/>
      <w:r>
        <w:lastRenderedPageBreak/>
        <w:t xml:space="preserve">Table </w:t>
      </w:r>
      <w:r>
        <w:rPr>
          <w:noProof/>
        </w:rPr>
        <w:fldChar w:fldCharType="begin"/>
      </w:r>
      <w:r>
        <w:rPr>
          <w:noProof/>
        </w:rPr>
        <w:instrText xml:space="preserve"> SEQ Table \* ARABIC </w:instrText>
      </w:r>
      <w:r>
        <w:rPr>
          <w:noProof/>
        </w:rPr>
        <w:fldChar w:fldCharType="separate"/>
      </w:r>
      <w:r w:rsidR="006962CE">
        <w:rPr>
          <w:noProof/>
        </w:rPr>
        <w:t>2</w:t>
      </w:r>
      <w:r>
        <w:rPr>
          <w:noProof/>
        </w:rPr>
        <w:fldChar w:fldCharType="end"/>
      </w:r>
      <w:bookmarkEnd w:id="52"/>
      <w:r>
        <w:t xml:space="preserve"> Biosecurity cost recovery arrangement cost breakdown 2020</w:t>
      </w:r>
      <w:r>
        <w:rPr>
          <w:rFonts w:asciiTheme="majorHAnsi" w:hAnsiTheme="majorHAnsi"/>
          <w:lang w:eastAsia="ja-JP"/>
        </w:rPr>
        <w:t>–</w:t>
      </w:r>
      <w:r>
        <w:t>21</w:t>
      </w:r>
      <w:bookmarkEnd w:id="53"/>
    </w:p>
    <w:tbl>
      <w:tblPr>
        <w:tblW w:w="8928" w:type="dxa"/>
        <w:tblBorders>
          <w:top w:val="single" w:sz="4" w:space="0" w:color="auto"/>
          <w:bottom w:val="single" w:sz="4" w:space="0" w:color="auto"/>
          <w:insideH w:val="single" w:sz="4" w:space="0" w:color="auto"/>
        </w:tblBorders>
        <w:tblLook w:val="04A0" w:firstRow="1" w:lastRow="0" w:firstColumn="1" w:lastColumn="0" w:noHBand="0" w:noVBand="1"/>
      </w:tblPr>
      <w:tblGrid>
        <w:gridCol w:w="3539"/>
        <w:gridCol w:w="1843"/>
        <w:gridCol w:w="1843"/>
        <w:gridCol w:w="1703"/>
      </w:tblGrid>
      <w:tr w:rsidR="009B4C98">
        <w:trPr>
          <w:cantSplit/>
          <w:tblHeader/>
        </w:trPr>
        <w:tc>
          <w:tcPr>
            <w:tcW w:w="3539" w:type="dxa"/>
            <w:shd w:val="clear" w:color="auto" w:fill="auto"/>
            <w:hideMark/>
          </w:tcPr>
          <w:p w:rsidR="009B4C98" w:rsidRDefault="005F192D">
            <w:pPr>
              <w:pStyle w:val="TableHeading"/>
              <w:rPr>
                <w:lang w:eastAsia="en-AU"/>
              </w:rPr>
            </w:pPr>
            <w:r>
              <w:rPr>
                <w:lang w:eastAsia="en-AU"/>
              </w:rPr>
              <w:t>Cost recovery charges</w:t>
            </w:r>
          </w:p>
        </w:tc>
        <w:tc>
          <w:tcPr>
            <w:tcW w:w="1843" w:type="dxa"/>
            <w:shd w:val="clear" w:color="auto" w:fill="auto"/>
            <w:hideMark/>
          </w:tcPr>
          <w:p w:rsidR="009B4C98" w:rsidRDefault="005F192D">
            <w:pPr>
              <w:pStyle w:val="TableHeading"/>
              <w:jc w:val="right"/>
              <w:rPr>
                <w:lang w:eastAsia="en-AU"/>
              </w:rPr>
            </w:pPr>
            <w:r>
              <w:rPr>
                <w:lang w:eastAsia="en-AU"/>
              </w:rPr>
              <w:t>Direct costs ($)</w:t>
            </w:r>
          </w:p>
        </w:tc>
        <w:tc>
          <w:tcPr>
            <w:tcW w:w="1843" w:type="dxa"/>
            <w:shd w:val="clear" w:color="auto" w:fill="auto"/>
            <w:hideMark/>
          </w:tcPr>
          <w:p w:rsidR="009B4C98" w:rsidRDefault="005F192D">
            <w:pPr>
              <w:pStyle w:val="TableHeading"/>
              <w:jc w:val="right"/>
              <w:rPr>
                <w:lang w:eastAsia="en-AU"/>
              </w:rPr>
            </w:pPr>
            <w:r>
              <w:rPr>
                <w:lang w:eastAsia="en-AU"/>
              </w:rPr>
              <w:t>Indirect costs ($)</w:t>
            </w:r>
          </w:p>
        </w:tc>
        <w:tc>
          <w:tcPr>
            <w:tcW w:w="1703" w:type="dxa"/>
            <w:shd w:val="clear" w:color="auto" w:fill="auto"/>
            <w:hideMark/>
          </w:tcPr>
          <w:p w:rsidR="009B4C98" w:rsidRDefault="005F192D">
            <w:pPr>
              <w:pStyle w:val="TableHeading"/>
              <w:jc w:val="right"/>
              <w:rPr>
                <w:lang w:eastAsia="en-AU"/>
              </w:rPr>
            </w:pPr>
            <w:r>
              <w:rPr>
                <w:lang w:eastAsia="en-AU"/>
              </w:rPr>
              <w:t>Total ($)</w:t>
            </w:r>
          </w:p>
        </w:tc>
      </w:tr>
      <w:tr w:rsidR="008B5163" w:rsidTr="006027B8">
        <w:trPr>
          <w:trHeight w:val="254"/>
        </w:trPr>
        <w:tc>
          <w:tcPr>
            <w:tcW w:w="3539" w:type="dxa"/>
            <w:shd w:val="clear" w:color="auto" w:fill="auto"/>
            <w:noWrap/>
            <w:hideMark/>
          </w:tcPr>
          <w:p w:rsidR="008B5163" w:rsidRPr="00693B70" w:rsidRDefault="008B5163" w:rsidP="008B5163">
            <w:pPr>
              <w:pStyle w:val="TableText"/>
              <w:rPr>
                <w:rStyle w:val="Strong"/>
              </w:rPr>
            </w:pPr>
            <w:r w:rsidRPr="00693B70">
              <w:rPr>
                <w:rStyle w:val="Strong"/>
              </w:rPr>
              <w:t>Levy</w:t>
            </w:r>
          </w:p>
        </w:tc>
        <w:tc>
          <w:tcPr>
            <w:tcW w:w="1843" w:type="dxa"/>
            <w:shd w:val="clear" w:color="auto" w:fill="auto"/>
            <w:noWrap/>
            <w:vAlign w:val="center"/>
            <w:hideMark/>
          </w:tcPr>
          <w:p w:rsidR="008B5163" w:rsidRPr="00693B70" w:rsidRDefault="008B5163" w:rsidP="008B5163">
            <w:pPr>
              <w:pStyle w:val="TableText"/>
              <w:jc w:val="right"/>
              <w:rPr>
                <w:rStyle w:val="Strong"/>
              </w:rPr>
            </w:pPr>
            <w:r>
              <w:rPr>
                <w:b/>
                <w:bCs/>
                <w:color w:val="000000"/>
                <w:szCs w:val="18"/>
              </w:rPr>
              <w:t>129,074,508</w:t>
            </w:r>
          </w:p>
        </w:tc>
        <w:tc>
          <w:tcPr>
            <w:tcW w:w="1843" w:type="dxa"/>
            <w:shd w:val="clear" w:color="auto" w:fill="auto"/>
            <w:noWrap/>
            <w:vAlign w:val="center"/>
            <w:hideMark/>
          </w:tcPr>
          <w:p w:rsidR="008B5163" w:rsidRPr="00693B70" w:rsidRDefault="008B5163" w:rsidP="008B5163">
            <w:pPr>
              <w:pStyle w:val="TableText"/>
              <w:jc w:val="right"/>
              <w:rPr>
                <w:rStyle w:val="Strong"/>
              </w:rPr>
            </w:pPr>
            <w:r>
              <w:rPr>
                <w:b/>
                <w:bCs/>
                <w:color w:val="000000"/>
                <w:szCs w:val="18"/>
              </w:rPr>
              <w:t>71,402,264</w:t>
            </w:r>
          </w:p>
        </w:tc>
        <w:tc>
          <w:tcPr>
            <w:tcW w:w="1703" w:type="dxa"/>
            <w:shd w:val="clear" w:color="auto" w:fill="auto"/>
            <w:noWrap/>
            <w:vAlign w:val="center"/>
            <w:hideMark/>
          </w:tcPr>
          <w:p w:rsidR="008B5163" w:rsidRPr="00693B70" w:rsidRDefault="008B5163" w:rsidP="008B5163">
            <w:pPr>
              <w:pStyle w:val="TableText"/>
              <w:jc w:val="right"/>
              <w:rPr>
                <w:rStyle w:val="Strong"/>
              </w:rPr>
            </w:pPr>
            <w:r>
              <w:rPr>
                <w:b/>
                <w:bCs/>
                <w:color w:val="000000"/>
                <w:szCs w:val="18"/>
              </w:rPr>
              <w:t>200,476,773</w:t>
            </w:r>
          </w:p>
        </w:tc>
      </w:tr>
      <w:tr w:rsidR="008B5163" w:rsidTr="006027B8">
        <w:trPr>
          <w:trHeight w:val="254"/>
        </w:trPr>
        <w:tc>
          <w:tcPr>
            <w:tcW w:w="3539" w:type="dxa"/>
            <w:shd w:val="clear" w:color="auto" w:fill="auto"/>
            <w:noWrap/>
            <w:hideMark/>
          </w:tcPr>
          <w:p w:rsidR="008B5163" w:rsidRDefault="008B5163" w:rsidP="008B5163">
            <w:pPr>
              <w:pStyle w:val="TableText"/>
              <w:rPr>
                <w:lang w:eastAsia="en-AU"/>
              </w:rPr>
            </w:pPr>
            <w:r>
              <w:rPr>
                <w:lang w:eastAsia="en-AU"/>
              </w:rPr>
              <w:t>Full import declaration charges</w:t>
            </w:r>
          </w:p>
        </w:tc>
        <w:tc>
          <w:tcPr>
            <w:tcW w:w="1843" w:type="dxa"/>
            <w:shd w:val="clear" w:color="auto" w:fill="auto"/>
            <w:noWrap/>
            <w:vAlign w:val="center"/>
            <w:hideMark/>
          </w:tcPr>
          <w:p w:rsidR="008B5163" w:rsidRDefault="008B5163" w:rsidP="008B5163">
            <w:pPr>
              <w:pStyle w:val="TableText"/>
              <w:jc w:val="right"/>
              <w:rPr>
                <w:lang w:eastAsia="en-AU"/>
              </w:rPr>
            </w:pPr>
            <w:r>
              <w:rPr>
                <w:color w:val="000000"/>
                <w:szCs w:val="18"/>
              </w:rPr>
              <w:t>105,419,139</w:t>
            </w:r>
          </w:p>
        </w:tc>
        <w:tc>
          <w:tcPr>
            <w:tcW w:w="1843" w:type="dxa"/>
            <w:shd w:val="clear" w:color="auto" w:fill="auto"/>
            <w:noWrap/>
            <w:vAlign w:val="center"/>
            <w:hideMark/>
          </w:tcPr>
          <w:p w:rsidR="008B5163" w:rsidRDefault="008B5163" w:rsidP="008B5163">
            <w:pPr>
              <w:pStyle w:val="TableText"/>
              <w:jc w:val="right"/>
              <w:rPr>
                <w:lang w:eastAsia="en-AU"/>
              </w:rPr>
            </w:pPr>
            <w:r>
              <w:rPr>
                <w:color w:val="000000"/>
                <w:szCs w:val="18"/>
              </w:rPr>
              <w:t>58,941,844</w:t>
            </w:r>
          </w:p>
        </w:tc>
        <w:tc>
          <w:tcPr>
            <w:tcW w:w="1703" w:type="dxa"/>
            <w:shd w:val="clear" w:color="auto" w:fill="auto"/>
            <w:noWrap/>
            <w:vAlign w:val="center"/>
            <w:hideMark/>
          </w:tcPr>
          <w:p w:rsidR="008B5163" w:rsidRDefault="008B5163" w:rsidP="008B5163">
            <w:pPr>
              <w:pStyle w:val="TableText"/>
              <w:jc w:val="right"/>
              <w:rPr>
                <w:lang w:eastAsia="en-AU"/>
              </w:rPr>
            </w:pPr>
            <w:r>
              <w:rPr>
                <w:color w:val="000000"/>
                <w:szCs w:val="18"/>
              </w:rPr>
              <w:t>164,360,983</w:t>
            </w:r>
          </w:p>
        </w:tc>
      </w:tr>
      <w:tr w:rsidR="008B5163" w:rsidTr="006027B8">
        <w:trPr>
          <w:trHeight w:val="254"/>
        </w:trPr>
        <w:tc>
          <w:tcPr>
            <w:tcW w:w="3539" w:type="dxa"/>
            <w:shd w:val="clear" w:color="auto" w:fill="auto"/>
            <w:noWrap/>
            <w:hideMark/>
          </w:tcPr>
          <w:p w:rsidR="008B5163" w:rsidRDefault="008B5163" w:rsidP="008B5163">
            <w:pPr>
              <w:pStyle w:val="TableText"/>
              <w:rPr>
                <w:lang w:eastAsia="en-AU"/>
              </w:rPr>
            </w:pPr>
            <w:r>
              <w:rPr>
                <w:lang w:eastAsia="en-AU"/>
              </w:rPr>
              <w:t>Approved arrangement</w:t>
            </w:r>
          </w:p>
        </w:tc>
        <w:tc>
          <w:tcPr>
            <w:tcW w:w="1843" w:type="dxa"/>
            <w:shd w:val="clear" w:color="auto" w:fill="auto"/>
            <w:noWrap/>
            <w:vAlign w:val="center"/>
            <w:hideMark/>
          </w:tcPr>
          <w:p w:rsidR="008B5163" w:rsidRDefault="008B5163" w:rsidP="008B5163">
            <w:pPr>
              <w:pStyle w:val="TableText"/>
              <w:jc w:val="right"/>
              <w:rPr>
                <w:lang w:eastAsia="en-AU"/>
              </w:rPr>
            </w:pPr>
            <w:r>
              <w:rPr>
                <w:color w:val="000000"/>
                <w:szCs w:val="18"/>
              </w:rPr>
              <w:t>3,861,503</w:t>
            </w:r>
          </w:p>
        </w:tc>
        <w:tc>
          <w:tcPr>
            <w:tcW w:w="1843" w:type="dxa"/>
            <w:shd w:val="clear" w:color="auto" w:fill="auto"/>
            <w:noWrap/>
            <w:vAlign w:val="center"/>
            <w:hideMark/>
          </w:tcPr>
          <w:p w:rsidR="008B5163" w:rsidRDefault="008B5163" w:rsidP="008B5163">
            <w:pPr>
              <w:pStyle w:val="TableText"/>
              <w:jc w:val="right"/>
              <w:rPr>
                <w:lang w:eastAsia="en-AU"/>
              </w:rPr>
            </w:pPr>
            <w:r>
              <w:rPr>
                <w:color w:val="000000"/>
                <w:szCs w:val="18"/>
              </w:rPr>
              <w:t>2,128,115</w:t>
            </w:r>
          </w:p>
        </w:tc>
        <w:tc>
          <w:tcPr>
            <w:tcW w:w="1703" w:type="dxa"/>
            <w:shd w:val="clear" w:color="auto" w:fill="auto"/>
            <w:noWrap/>
            <w:vAlign w:val="center"/>
            <w:hideMark/>
          </w:tcPr>
          <w:p w:rsidR="008B5163" w:rsidRDefault="008B5163" w:rsidP="008B5163">
            <w:pPr>
              <w:pStyle w:val="TableText"/>
              <w:jc w:val="right"/>
              <w:rPr>
                <w:lang w:eastAsia="en-AU"/>
              </w:rPr>
            </w:pPr>
            <w:r>
              <w:rPr>
                <w:color w:val="000000"/>
                <w:szCs w:val="18"/>
              </w:rPr>
              <w:t>5,989,619</w:t>
            </w:r>
          </w:p>
        </w:tc>
      </w:tr>
      <w:tr w:rsidR="008B5163" w:rsidTr="006027B8">
        <w:trPr>
          <w:trHeight w:val="254"/>
        </w:trPr>
        <w:tc>
          <w:tcPr>
            <w:tcW w:w="3539" w:type="dxa"/>
            <w:shd w:val="clear" w:color="auto" w:fill="auto"/>
            <w:noWrap/>
            <w:hideMark/>
          </w:tcPr>
          <w:p w:rsidR="008B5163" w:rsidRDefault="008B5163" w:rsidP="008B5163">
            <w:pPr>
              <w:pStyle w:val="TableText"/>
              <w:rPr>
                <w:lang w:eastAsia="en-AU"/>
              </w:rPr>
            </w:pPr>
            <w:r>
              <w:rPr>
                <w:lang w:eastAsia="en-AU"/>
              </w:rPr>
              <w:t>Vessel arrival charges</w:t>
            </w:r>
          </w:p>
        </w:tc>
        <w:tc>
          <w:tcPr>
            <w:tcW w:w="1843" w:type="dxa"/>
            <w:shd w:val="clear" w:color="auto" w:fill="auto"/>
            <w:noWrap/>
            <w:vAlign w:val="center"/>
            <w:hideMark/>
          </w:tcPr>
          <w:p w:rsidR="008B5163" w:rsidRDefault="008B5163" w:rsidP="008B5163">
            <w:pPr>
              <w:pStyle w:val="TableText"/>
              <w:jc w:val="right"/>
              <w:rPr>
                <w:lang w:eastAsia="en-AU"/>
              </w:rPr>
            </w:pPr>
            <w:r>
              <w:rPr>
                <w:color w:val="000000"/>
                <w:szCs w:val="18"/>
              </w:rPr>
              <w:t>12,328,449</w:t>
            </w:r>
          </w:p>
        </w:tc>
        <w:tc>
          <w:tcPr>
            <w:tcW w:w="1843" w:type="dxa"/>
            <w:shd w:val="clear" w:color="auto" w:fill="auto"/>
            <w:noWrap/>
            <w:vAlign w:val="center"/>
            <w:hideMark/>
          </w:tcPr>
          <w:p w:rsidR="008B5163" w:rsidRDefault="008B5163" w:rsidP="008B5163">
            <w:pPr>
              <w:pStyle w:val="TableText"/>
              <w:jc w:val="right"/>
            </w:pPr>
            <w:r>
              <w:rPr>
                <w:color w:val="000000"/>
                <w:szCs w:val="18"/>
              </w:rPr>
              <w:t>6,330,422</w:t>
            </w:r>
          </w:p>
        </w:tc>
        <w:tc>
          <w:tcPr>
            <w:tcW w:w="1703" w:type="dxa"/>
            <w:shd w:val="clear" w:color="auto" w:fill="auto"/>
            <w:noWrap/>
            <w:vAlign w:val="center"/>
            <w:hideMark/>
          </w:tcPr>
          <w:p w:rsidR="008B5163" w:rsidRDefault="008B5163" w:rsidP="008B5163">
            <w:pPr>
              <w:pStyle w:val="TableText"/>
              <w:jc w:val="right"/>
            </w:pPr>
            <w:r>
              <w:rPr>
                <w:color w:val="000000"/>
                <w:szCs w:val="18"/>
              </w:rPr>
              <w:t>18,658,871</w:t>
            </w:r>
          </w:p>
        </w:tc>
      </w:tr>
      <w:tr w:rsidR="008B5163" w:rsidTr="006027B8">
        <w:trPr>
          <w:trHeight w:val="254"/>
        </w:trPr>
        <w:tc>
          <w:tcPr>
            <w:tcW w:w="3539" w:type="dxa"/>
            <w:shd w:val="clear" w:color="auto" w:fill="auto"/>
            <w:noWrap/>
            <w:hideMark/>
          </w:tcPr>
          <w:p w:rsidR="008B5163" w:rsidRDefault="008B5163" w:rsidP="008B5163">
            <w:pPr>
              <w:pStyle w:val="TableText"/>
              <w:rPr>
                <w:lang w:eastAsia="en-AU"/>
              </w:rPr>
            </w:pPr>
            <w:r>
              <w:rPr>
                <w:lang w:eastAsia="en-AU"/>
              </w:rPr>
              <w:t>Permit Application</w:t>
            </w:r>
          </w:p>
        </w:tc>
        <w:tc>
          <w:tcPr>
            <w:tcW w:w="1843" w:type="dxa"/>
            <w:shd w:val="clear" w:color="auto" w:fill="auto"/>
            <w:noWrap/>
            <w:vAlign w:val="center"/>
            <w:hideMark/>
          </w:tcPr>
          <w:p w:rsidR="008B5163" w:rsidRDefault="008B5163" w:rsidP="008B5163">
            <w:pPr>
              <w:pStyle w:val="TableText"/>
              <w:jc w:val="right"/>
              <w:rPr>
                <w:lang w:eastAsia="en-AU"/>
              </w:rPr>
            </w:pPr>
            <w:r>
              <w:rPr>
                <w:color w:val="000000"/>
                <w:szCs w:val="18"/>
              </w:rPr>
              <w:t>1,096,169</w:t>
            </w:r>
          </w:p>
        </w:tc>
        <w:tc>
          <w:tcPr>
            <w:tcW w:w="1843" w:type="dxa"/>
            <w:shd w:val="clear" w:color="auto" w:fill="auto"/>
            <w:noWrap/>
            <w:vAlign w:val="center"/>
            <w:hideMark/>
          </w:tcPr>
          <w:p w:rsidR="008B5163" w:rsidRDefault="008B5163" w:rsidP="008B5163">
            <w:pPr>
              <w:pStyle w:val="TableText"/>
              <w:jc w:val="right"/>
              <w:rPr>
                <w:lang w:eastAsia="en-AU"/>
              </w:rPr>
            </w:pPr>
            <w:r>
              <w:rPr>
                <w:color w:val="000000"/>
                <w:szCs w:val="18"/>
              </w:rPr>
              <w:t>604,111</w:t>
            </w:r>
          </w:p>
        </w:tc>
        <w:tc>
          <w:tcPr>
            <w:tcW w:w="1703" w:type="dxa"/>
            <w:shd w:val="clear" w:color="auto" w:fill="auto"/>
            <w:noWrap/>
            <w:vAlign w:val="center"/>
            <w:hideMark/>
          </w:tcPr>
          <w:p w:rsidR="008B5163" w:rsidRDefault="008B5163" w:rsidP="008B5163">
            <w:pPr>
              <w:pStyle w:val="TableText"/>
              <w:jc w:val="right"/>
              <w:rPr>
                <w:lang w:eastAsia="en-AU"/>
              </w:rPr>
            </w:pPr>
            <w:r>
              <w:rPr>
                <w:color w:val="000000"/>
                <w:szCs w:val="18"/>
              </w:rPr>
              <w:t>1,700,280</w:t>
            </w:r>
          </w:p>
        </w:tc>
      </w:tr>
      <w:tr w:rsidR="008B5163" w:rsidTr="006027B8">
        <w:trPr>
          <w:trHeight w:val="254"/>
        </w:trPr>
        <w:tc>
          <w:tcPr>
            <w:tcW w:w="3539" w:type="dxa"/>
            <w:shd w:val="clear" w:color="auto" w:fill="auto"/>
            <w:noWrap/>
            <w:hideMark/>
          </w:tcPr>
          <w:p w:rsidR="008B5163" w:rsidRDefault="008B5163" w:rsidP="008B5163">
            <w:pPr>
              <w:pStyle w:val="TableText"/>
              <w:rPr>
                <w:lang w:eastAsia="en-AU"/>
              </w:rPr>
            </w:pPr>
            <w:r>
              <w:rPr>
                <w:lang w:eastAsia="en-AU"/>
              </w:rPr>
              <w:t>PEQ importation charge</w:t>
            </w:r>
          </w:p>
        </w:tc>
        <w:tc>
          <w:tcPr>
            <w:tcW w:w="1843" w:type="dxa"/>
            <w:shd w:val="clear" w:color="auto" w:fill="auto"/>
            <w:noWrap/>
            <w:vAlign w:val="center"/>
            <w:hideMark/>
          </w:tcPr>
          <w:p w:rsidR="008B5163" w:rsidRDefault="008B5163" w:rsidP="008B5163">
            <w:pPr>
              <w:pStyle w:val="TableText"/>
              <w:jc w:val="right"/>
              <w:rPr>
                <w:lang w:eastAsia="en-AU"/>
              </w:rPr>
            </w:pPr>
            <w:r>
              <w:rPr>
                <w:color w:val="000000"/>
                <w:szCs w:val="18"/>
              </w:rPr>
              <w:t>6,369,248</w:t>
            </w:r>
          </w:p>
        </w:tc>
        <w:tc>
          <w:tcPr>
            <w:tcW w:w="1843" w:type="dxa"/>
            <w:shd w:val="clear" w:color="auto" w:fill="auto"/>
            <w:noWrap/>
            <w:vAlign w:val="center"/>
            <w:hideMark/>
          </w:tcPr>
          <w:p w:rsidR="008B5163" w:rsidRDefault="008B5163" w:rsidP="008B5163">
            <w:pPr>
              <w:pStyle w:val="TableText"/>
              <w:jc w:val="right"/>
              <w:rPr>
                <w:lang w:eastAsia="en-AU"/>
              </w:rPr>
            </w:pPr>
            <w:r>
              <w:rPr>
                <w:color w:val="000000"/>
                <w:szCs w:val="18"/>
              </w:rPr>
              <w:t>3,397,772</w:t>
            </w:r>
          </w:p>
        </w:tc>
        <w:tc>
          <w:tcPr>
            <w:tcW w:w="1703" w:type="dxa"/>
            <w:shd w:val="clear" w:color="auto" w:fill="auto"/>
            <w:noWrap/>
            <w:vAlign w:val="center"/>
            <w:hideMark/>
          </w:tcPr>
          <w:p w:rsidR="008B5163" w:rsidRDefault="008B5163" w:rsidP="008B5163">
            <w:pPr>
              <w:pStyle w:val="TableText"/>
              <w:jc w:val="right"/>
              <w:rPr>
                <w:lang w:eastAsia="en-AU"/>
              </w:rPr>
            </w:pPr>
            <w:r>
              <w:rPr>
                <w:color w:val="000000"/>
                <w:szCs w:val="18"/>
              </w:rPr>
              <w:t>9,767,020</w:t>
            </w:r>
          </w:p>
        </w:tc>
      </w:tr>
      <w:tr w:rsidR="008B5163" w:rsidTr="006027B8">
        <w:trPr>
          <w:trHeight w:val="254"/>
        </w:trPr>
        <w:tc>
          <w:tcPr>
            <w:tcW w:w="3539" w:type="dxa"/>
            <w:shd w:val="clear" w:color="auto" w:fill="auto"/>
            <w:noWrap/>
            <w:hideMark/>
          </w:tcPr>
          <w:p w:rsidR="008B5163" w:rsidRPr="00693B70" w:rsidRDefault="008B5163" w:rsidP="008B5163">
            <w:pPr>
              <w:pStyle w:val="TableText"/>
              <w:rPr>
                <w:rStyle w:val="Strong"/>
              </w:rPr>
            </w:pPr>
            <w:r w:rsidRPr="00693B70">
              <w:rPr>
                <w:rStyle w:val="Strong"/>
              </w:rPr>
              <w:t>Fee for service</w:t>
            </w:r>
          </w:p>
        </w:tc>
        <w:tc>
          <w:tcPr>
            <w:tcW w:w="1843" w:type="dxa"/>
            <w:shd w:val="clear" w:color="auto" w:fill="auto"/>
            <w:noWrap/>
            <w:vAlign w:val="center"/>
            <w:hideMark/>
          </w:tcPr>
          <w:p w:rsidR="008B5163" w:rsidRPr="00693B70" w:rsidRDefault="008B5163" w:rsidP="008B5163">
            <w:pPr>
              <w:pStyle w:val="TableText"/>
              <w:jc w:val="right"/>
              <w:rPr>
                <w:rStyle w:val="Strong"/>
              </w:rPr>
            </w:pPr>
            <w:r>
              <w:rPr>
                <w:b/>
                <w:bCs/>
                <w:color w:val="000000"/>
                <w:szCs w:val="18"/>
              </w:rPr>
              <w:t>35,950,457</w:t>
            </w:r>
          </w:p>
        </w:tc>
        <w:tc>
          <w:tcPr>
            <w:tcW w:w="1843" w:type="dxa"/>
            <w:shd w:val="clear" w:color="auto" w:fill="auto"/>
            <w:noWrap/>
            <w:vAlign w:val="center"/>
            <w:hideMark/>
          </w:tcPr>
          <w:p w:rsidR="008B5163" w:rsidRPr="00693B70" w:rsidRDefault="008B5163" w:rsidP="008B5163">
            <w:pPr>
              <w:pStyle w:val="TableText"/>
              <w:jc w:val="right"/>
              <w:rPr>
                <w:rStyle w:val="Strong"/>
              </w:rPr>
            </w:pPr>
            <w:r>
              <w:rPr>
                <w:b/>
                <w:bCs/>
                <w:color w:val="000000"/>
                <w:szCs w:val="18"/>
              </w:rPr>
              <w:t>42,857,449</w:t>
            </w:r>
          </w:p>
        </w:tc>
        <w:tc>
          <w:tcPr>
            <w:tcW w:w="1703" w:type="dxa"/>
            <w:shd w:val="clear" w:color="auto" w:fill="auto"/>
            <w:noWrap/>
            <w:vAlign w:val="center"/>
            <w:hideMark/>
          </w:tcPr>
          <w:p w:rsidR="008B5163" w:rsidRPr="00693B70" w:rsidRDefault="008B5163" w:rsidP="008B5163">
            <w:pPr>
              <w:pStyle w:val="TableText"/>
              <w:jc w:val="right"/>
              <w:rPr>
                <w:rStyle w:val="Strong"/>
              </w:rPr>
            </w:pPr>
            <w:r>
              <w:rPr>
                <w:b/>
                <w:bCs/>
                <w:color w:val="000000"/>
                <w:szCs w:val="18"/>
              </w:rPr>
              <w:t>78,807,906</w:t>
            </w:r>
          </w:p>
        </w:tc>
      </w:tr>
      <w:tr w:rsidR="008B5163" w:rsidTr="006027B8">
        <w:trPr>
          <w:trHeight w:val="254"/>
        </w:trPr>
        <w:tc>
          <w:tcPr>
            <w:tcW w:w="3539" w:type="dxa"/>
            <w:shd w:val="clear" w:color="auto" w:fill="auto"/>
            <w:noWrap/>
            <w:hideMark/>
          </w:tcPr>
          <w:p w:rsidR="008B5163" w:rsidRDefault="008B5163" w:rsidP="008B5163">
            <w:pPr>
              <w:pStyle w:val="TableText"/>
              <w:rPr>
                <w:lang w:eastAsia="en-AU"/>
              </w:rPr>
            </w:pPr>
            <w:r>
              <w:rPr>
                <w:lang w:eastAsia="en-AU"/>
              </w:rPr>
              <w:t>Assessment</w:t>
            </w:r>
          </w:p>
        </w:tc>
        <w:tc>
          <w:tcPr>
            <w:tcW w:w="1843" w:type="dxa"/>
            <w:shd w:val="clear" w:color="auto" w:fill="auto"/>
            <w:noWrap/>
            <w:vAlign w:val="center"/>
            <w:hideMark/>
          </w:tcPr>
          <w:p w:rsidR="008B5163" w:rsidRDefault="008B5163" w:rsidP="008B5163">
            <w:pPr>
              <w:pStyle w:val="TableText"/>
              <w:jc w:val="right"/>
              <w:rPr>
                <w:lang w:eastAsia="en-AU"/>
              </w:rPr>
            </w:pPr>
            <w:r>
              <w:rPr>
                <w:color w:val="000000"/>
                <w:szCs w:val="18"/>
              </w:rPr>
              <w:t>9,670,130</w:t>
            </w:r>
          </w:p>
        </w:tc>
        <w:tc>
          <w:tcPr>
            <w:tcW w:w="1843" w:type="dxa"/>
            <w:shd w:val="clear" w:color="auto" w:fill="auto"/>
            <w:noWrap/>
            <w:vAlign w:val="center"/>
            <w:hideMark/>
          </w:tcPr>
          <w:p w:rsidR="008B5163" w:rsidRDefault="008B5163" w:rsidP="008B5163">
            <w:pPr>
              <w:pStyle w:val="TableText"/>
              <w:jc w:val="right"/>
              <w:rPr>
                <w:lang w:eastAsia="en-AU"/>
              </w:rPr>
            </w:pPr>
            <w:r>
              <w:rPr>
                <w:color w:val="000000"/>
                <w:szCs w:val="18"/>
              </w:rPr>
              <w:t>11,651,387</w:t>
            </w:r>
          </w:p>
        </w:tc>
        <w:tc>
          <w:tcPr>
            <w:tcW w:w="1703" w:type="dxa"/>
            <w:shd w:val="clear" w:color="auto" w:fill="auto"/>
            <w:noWrap/>
            <w:vAlign w:val="center"/>
            <w:hideMark/>
          </w:tcPr>
          <w:p w:rsidR="008B5163" w:rsidRDefault="008B5163" w:rsidP="008B5163">
            <w:pPr>
              <w:pStyle w:val="TableText"/>
              <w:jc w:val="right"/>
              <w:rPr>
                <w:lang w:eastAsia="en-AU"/>
              </w:rPr>
            </w:pPr>
            <w:r>
              <w:rPr>
                <w:color w:val="000000"/>
                <w:szCs w:val="18"/>
              </w:rPr>
              <w:t>21,321,518</w:t>
            </w:r>
          </w:p>
        </w:tc>
      </w:tr>
      <w:tr w:rsidR="008B5163" w:rsidTr="006027B8">
        <w:trPr>
          <w:trHeight w:val="254"/>
        </w:trPr>
        <w:tc>
          <w:tcPr>
            <w:tcW w:w="3539" w:type="dxa"/>
            <w:shd w:val="clear" w:color="auto" w:fill="auto"/>
            <w:noWrap/>
            <w:hideMark/>
          </w:tcPr>
          <w:p w:rsidR="008B5163" w:rsidRDefault="008B5163" w:rsidP="008B5163">
            <w:pPr>
              <w:pStyle w:val="TableText"/>
              <w:rPr>
                <w:lang w:eastAsia="en-AU"/>
              </w:rPr>
            </w:pPr>
            <w:r>
              <w:rPr>
                <w:lang w:eastAsia="en-AU"/>
              </w:rPr>
              <w:t>Issuing approvals or certification</w:t>
            </w:r>
          </w:p>
        </w:tc>
        <w:tc>
          <w:tcPr>
            <w:tcW w:w="1843" w:type="dxa"/>
            <w:shd w:val="clear" w:color="auto" w:fill="auto"/>
            <w:noWrap/>
            <w:vAlign w:val="center"/>
            <w:hideMark/>
          </w:tcPr>
          <w:p w:rsidR="008B5163" w:rsidRDefault="008B5163" w:rsidP="008B5163">
            <w:pPr>
              <w:pStyle w:val="TableText"/>
              <w:jc w:val="right"/>
              <w:rPr>
                <w:lang w:eastAsia="en-AU"/>
              </w:rPr>
            </w:pPr>
            <w:r>
              <w:rPr>
                <w:color w:val="000000"/>
                <w:szCs w:val="18"/>
              </w:rPr>
              <w:t>179,946</w:t>
            </w:r>
          </w:p>
        </w:tc>
        <w:tc>
          <w:tcPr>
            <w:tcW w:w="1843" w:type="dxa"/>
            <w:shd w:val="clear" w:color="auto" w:fill="auto"/>
            <w:noWrap/>
            <w:vAlign w:val="center"/>
            <w:hideMark/>
          </w:tcPr>
          <w:p w:rsidR="008B5163" w:rsidRDefault="008B5163" w:rsidP="008B5163">
            <w:pPr>
              <w:pStyle w:val="TableText"/>
              <w:jc w:val="right"/>
              <w:rPr>
                <w:lang w:eastAsia="en-AU"/>
              </w:rPr>
            </w:pPr>
            <w:r>
              <w:rPr>
                <w:color w:val="000000"/>
                <w:szCs w:val="18"/>
              </w:rPr>
              <w:t>216,814</w:t>
            </w:r>
          </w:p>
        </w:tc>
        <w:tc>
          <w:tcPr>
            <w:tcW w:w="1703" w:type="dxa"/>
            <w:shd w:val="clear" w:color="auto" w:fill="auto"/>
            <w:noWrap/>
            <w:vAlign w:val="center"/>
            <w:hideMark/>
          </w:tcPr>
          <w:p w:rsidR="008B5163" w:rsidRDefault="008B5163" w:rsidP="008B5163">
            <w:pPr>
              <w:pStyle w:val="TableText"/>
              <w:jc w:val="right"/>
              <w:rPr>
                <w:lang w:eastAsia="en-AU"/>
              </w:rPr>
            </w:pPr>
            <w:r>
              <w:rPr>
                <w:color w:val="000000"/>
                <w:szCs w:val="18"/>
              </w:rPr>
              <w:t>396,760</w:t>
            </w:r>
          </w:p>
        </w:tc>
      </w:tr>
      <w:tr w:rsidR="008B5163" w:rsidTr="006027B8">
        <w:trPr>
          <w:trHeight w:val="254"/>
        </w:trPr>
        <w:tc>
          <w:tcPr>
            <w:tcW w:w="3539" w:type="dxa"/>
            <w:shd w:val="clear" w:color="auto" w:fill="auto"/>
            <w:noWrap/>
            <w:hideMark/>
          </w:tcPr>
          <w:p w:rsidR="008B5163" w:rsidRDefault="008B5163" w:rsidP="008B5163">
            <w:pPr>
              <w:pStyle w:val="TableText"/>
              <w:rPr>
                <w:lang w:eastAsia="en-AU"/>
              </w:rPr>
            </w:pPr>
            <w:r>
              <w:rPr>
                <w:lang w:eastAsia="en-AU"/>
              </w:rPr>
              <w:t>Inspection</w:t>
            </w:r>
          </w:p>
        </w:tc>
        <w:tc>
          <w:tcPr>
            <w:tcW w:w="1843" w:type="dxa"/>
            <w:shd w:val="clear" w:color="auto" w:fill="auto"/>
            <w:noWrap/>
            <w:vAlign w:val="center"/>
            <w:hideMark/>
          </w:tcPr>
          <w:p w:rsidR="008B5163" w:rsidRDefault="008B5163" w:rsidP="008B5163">
            <w:pPr>
              <w:pStyle w:val="TableText"/>
              <w:jc w:val="right"/>
              <w:rPr>
                <w:lang w:eastAsia="en-AU"/>
              </w:rPr>
            </w:pPr>
            <w:r>
              <w:rPr>
                <w:color w:val="000000"/>
                <w:szCs w:val="18"/>
              </w:rPr>
              <w:t>21,711,073</w:t>
            </w:r>
          </w:p>
        </w:tc>
        <w:tc>
          <w:tcPr>
            <w:tcW w:w="1843" w:type="dxa"/>
            <w:shd w:val="clear" w:color="auto" w:fill="auto"/>
            <w:noWrap/>
            <w:vAlign w:val="center"/>
            <w:hideMark/>
          </w:tcPr>
          <w:p w:rsidR="008B5163" w:rsidRDefault="008B5163" w:rsidP="008B5163">
            <w:pPr>
              <w:pStyle w:val="TableText"/>
              <w:jc w:val="right"/>
              <w:rPr>
                <w:lang w:eastAsia="en-AU"/>
              </w:rPr>
            </w:pPr>
            <w:r>
              <w:rPr>
                <w:color w:val="000000"/>
                <w:szCs w:val="18"/>
              </w:rPr>
              <w:t>26,159,330</w:t>
            </w:r>
          </w:p>
        </w:tc>
        <w:tc>
          <w:tcPr>
            <w:tcW w:w="1703" w:type="dxa"/>
            <w:shd w:val="clear" w:color="auto" w:fill="auto"/>
            <w:noWrap/>
            <w:vAlign w:val="center"/>
            <w:hideMark/>
          </w:tcPr>
          <w:p w:rsidR="008B5163" w:rsidRDefault="008B5163" w:rsidP="008B5163">
            <w:pPr>
              <w:pStyle w:val="TableText"/>
              <w:jc w:val="right"/>
              <w:rPr>
                <w:lang w:eastAsia="en-AU"/>
              </w:rPr>
            </w:pPr>
            <w:r>
              <w:rPr>
                <w:color w:val="000000"/>
                <w:szCs w:val="18"/>
              </w:rPr>
              <w:t>47,870,403</w:t>
            </w:r>
          </w:p>
        </w:tc>
      </w:tr>
      <w:tr w:rsidR="008B5163" w:rsidTr="006027B8">
        <w:trPr>
          <w:trHeight w:val="254"/>
        </w:trPr>
        <w:tc>
          <w:tcPr>
            <w:tcW w:w="3539" w:type="dxa"/>
            <w:shd w:val="clear" w:color="auto" w:fill="auto"/>
            <w:noWrap/>
            <w:hideMark/>
          </w:tcPr>
          <w:p w:rsidR="008B5163" w:rsidRDefault="008B5163" w:rsidP="008B5163">
            <w:pPr>
              <w:pStyle w:val="TableText"/>
              <w:rPr>
                <w:lang w:eastAsia="en-AU"/>
              </w:rPr>
            </w:pPr>
            <w:r>
              <w:rPr>
                <w:lang w:eastAsia="en-AU"/>
              </w:rPr>
              <w:t>Treatment</w:t>
            </w:r>
          </w:p>
        </w:tc>
        <w:tc>
          <w:tcPr>
            <w:tcW w:w="1843" w:type="dxa"/>
            <w:shd w:val="clear" w:color="auto" w:fill="auto"/>
            <w:noWrap/>
            <w:vAlign w:val="center"/>
            <w:hideMark/>
          </w:tcPr>
          <w:p w:rsidR="008B5163" w:rsidRDefault="008B5163" w:rsidP="008B5163">
            <w:pPr>
              <w:pStyle w:val="TableText"/>
              <w:jc w:val="right"/>
              <w:rPr>
                <w:lang w:eastAsia="en-AU"/>
              </w:rPr>
            </w:pPr>
            <w:r>
              <w:rPr>
                <w:color w:val="000000"/>
                <w:szCs w:val="18"/>
              </w:rPr>
              <w:t>741,910</w:t>
            </w:r>
          </w:p>
        </w:tc>
        <w:tc>
          <w:tcPr>
            <w:tcW w:w="1843" w:type="dxa"/>
            <w:shd w:val="clear" w:color="auto" w:fill="auto"/>
            <w:noWrap/>
            <w:vAlign w:val="center"/>
            <w:hideMark/>
          </w:tcPr>
          <w:p w:rsidR="008B5163" w:rsidRDefault="008B5163" w:rsidP="008B5163">
            <w:pPr>
              <w:pStyle w:val="TableText"/>
              <w:jc w:val="right"/>
              <w:rPr>
                <w:lang w:eastAsia="en-AU"/>
              </w:rPr>
            </w:pPr>
            <w:r>
              <w:rPr>
                <w:color w:val="000000"/>
                <w:szCs w:val="18"/>
              </w:rPr>
              <w:t>893,916</w:t>
            </w:r>
          </w:p>
        </w:tc>
        <w:tc>
          <w:tcPr>
            <w:tcW w:w="1703" w:type="dxa"/>
            <w:shd w:val="clear" w:color="auto" w:fill="auto"/>
            <w:noWrap/>
            <w:vAlign w:val="center"/>
            <w:hideMark/>
          </w:tcPr>
          <w:p w:rsidR="008B5163" w:rsidRDefault="008B5163" w:rsidP="008B5163">
            <w:pPr>
              <w:pStyle w:val="TableText"/>
              <w:jc w:val="right"/>
              <w:rPr>
                <w:lang w:eastAsia="en-AU"/>
              </w:rPr>
            </w:pPr>
            <w:r>
              <w:rPr>
                <w:color w:val="000000"/>
                <w:szCs w:val="18"/>
              </w:rPr>
              <w:t>1,635,825</w:t>
            </w:r>
          </w:p>
        </w:tc>
      </w:tr>
      <w:tr w:rsidR="008B5163" w:rsidTr="006027B8">
        <w:trPr>
          <w:trHeight w:val="254"/>
        </w:trPr>
        <w:tc>
          <w:tcPr>
            <w:tcW w:w="3539" w:type="dxa"/>
            <w:shd w:val="clear" w:color="auto" w:fill="auto"/>
            <w:noWrap/>
            <w:hideMark/>
          </w:tcPr>
          <w:p w:rsidR="008B5163" w:rsidRDefault="008B5163" w:rsidP="008B5163">
            <w:pPr>
              <w:pStyle w:val="TableText"/>
              <w:rPr>
                <w:lang w:eastAsia="en-AU"/>
              </w:rPr>
            </w:pPr>
            <w:r>
              <w:rPr>
                <w:lang w:eastAsia="en-AU"/>
              </w:rPr>
              <w:t>Husbandry</w:t>
            </w:r>
          </w:p>
        </w:tc>
        <w:tc>
          <w:tcPr>
            <w:tcW w:w="1843" w:type="dxa"/>
            <w:shd w:val="clear" w:color="auto" w:fill="auto"/>
            <w:noWrap/>
            <w:vAlign w:val="center"/>
            <w:hideMark/>
          </w:tcPr>
          <w:p w:rsidR="008B5163" w:rsidRDefault="008B5163" w:rsidP="008B5163">
            <w:pPr>
              <w:pStyle w:val="TableText"/>
              <w:jc w:val="right"/>
              <w:rPr>
                <w:lang w:eastAsia="en-AU"/>
              </w:rPr>
            </w:pPr>
            <w:r>
              <w:rPr>
                <w:color w:val="000000"/>
                <w:szCs w:val="18"/>
              </w:rPr>
              <w:t>1,539,323</w:t>
            </w:r>
          </w:p>
        </w:tc>
        <w:tc>
          <w:tcPr>
            <w:tcW w:w="1843" w:type="dxa"/>
            <w:shd w:val="clear" w:color="auto" w:fill="auto"/>
            <w:noWrap/>
            <w:vAlign w:val="center"/>
            <w:hideMark/>
          </w:tcPr>
          <w:p w:rsidR="008B5163" w:rsidRDefault="008B5163" w:rsidP="008B5163">
            <w:pPr>
              <w:pStyle w:val="TableText"/>
              <w:jc w:val="right"/>
              <w:rPr>
                <w:lang w:eastAsia="en-AU"/>
              </w:rPr>
            </w:pPr>
            <w:r>
              <w:rPr>
                <w:color w:val="000000"/>
                <w:szCs w:val="18"/>
              </w:rPr>
              <w:t>1,396,017</w:t>
            </w:r>
          </w:p>
        </w:tc>
        <w:tc>
          <w:tcPr>
            <w:tcW w:w="1703" w:type="dxa"/>
            <w:shd w:val="clear" w:color="auto" w:fill="auto"/>
            <w:noWrap/>
            <w:vAlign w:val="center"/>
            <w:hideMark/>
          </w:tcPr>
          <w:p w:rsidR="008B5163" w:rsidRDefault="008B5163" w:rsidP="008B5163">
            <w:pPr>
              <w:pStyle w:val="TableText"/>
              <w:jc w:val="right"/>
              <w:rPr>
                <w:lang w:eastAsia="en-AU"/>
              </w:rPr>
            </w:pPr>
            <w:r>
              <w:rPr>
                <w:color w:val="000000"/>
                <w:szCs w:val="18"/>
              </w:rPr>
              <w:t>2,935,340</w:t>
            </w:r>
          </w:p>
        </w:tc>
      </w:tr>
      <w:tr w:rsidR="008B5163" w:rsidTr="006027B8">
        <w:trPr>
          <w:trHeight w:val="254"/>
        </w:trPr>
        <w:tc>
          <w:tcPr>
            <w:tcW w:w="3539" w:type="dxa"/>
            <w:shd w:val="clear" w:color="auto" w:fill="auto"/>
            <w:noWrap/>
            <w:hideMark/>
          </w:tcPr>
          <w:p w:rsidR="008B5163" w:rsidRDefault="008B5163" w:rsidP="008B5163">
            <w:pPr>
              <w:pStyle w:val="TableText"/>
              <w:rPr>
                <w:lang w:eastAsia="en-AU"/>
              </w:rPr>
            </w:pPr>
            <w:r>
              <w:rPr>
                <w:lang w:eastAsia="en-AU"/>
              </w:rPr>
              <w:t>Audit</w:t>
            </w:r>
          </w:p>
        </w:tc>
        <w:tc>
          <w:tcPr>
            <w:tcW w:w="1843" w:type="dxa"/>
            <w:shd w:val="clear" w:color="auto" w:fill="auto"/>
            <w:noWrap/>
            <w:vAlign w:val="center"/>
            <w:hideMark/>
          </w:tcPr>
          <w:p w:rsidR="008B5163" w:rsidRDefault="008B5163" w:rsidP="008B5163">
            <w:pPr>
              <w:pStyle w:val="TableText"/>
              <w:jc w:val="right"/>
              <w:rPr>
                <w:lang w:eastAsia="en-AU"/>
              </w:rPr>
            </w:pPr>
            <w:r>
              <w:rPr>
                <w:color w:val="000000"/>
                <w:szCs w:val="18"/>
              </w:rPr>
              <w:t>2,108,074</w:t>
            </w:r>
          </w:p>
        </w:tc>
        <w:tc>
          <w:tcPr>
            <w:tcW w:w="1843" w:type="dxa"/>
            <w:shd w:val="clear" w:color="auto" w:fill="auto"/>
            <w:noWrap/>
            <w:vAlign w:val="center"/>
            <w:hideMark/>
          </w:tcPr>
          <w:p w:rsidR="008B5163" w:rsidRDefault="008B5163" w:rsidP="008B5163">
            <w:pPr>
              <w:pStyle w:val="TableText"/>
              <w:jc w:val="right"/>
              <w:rPr>
                <w:lang w:eastAsia="en-AU"/>
              </w:rPr>
            </w:pPr>
            <w:r>
              <w:rPr>
                <w:color w:val="000000"/>
                <w:szCs w:val="18"/>
              </w:rPr>
              <w:t>2,539,986</w:t>
            </w:r>
          </w:p>
        </w:tc>
        <w:tc>
          <w:tcPr>
            <w:tcW w:w="1703" w:type="dxa"/>
            <w:shd w:val="clear" w:color="auto" w:fill="auto"/>
            <w:noWrap/>
            <w:vAlign w:val="center"/>
            <w:hideMark/>
          </w:tcPr>
          <w:p w:rsidR="008B5163" w:rsidRDefault="008B5163" w:rsidP="008B5163">
            <w:pPr>
              <w:pStyle w:val="TableText"/>
              <w:jc w:val="right"/>
              <w:rPr>
                <w:lang w:eastAsia="en-AU"/>
              </w:rPr>
            </w:pPr>
            <w:r>
              <w:rPr>
                <w:color w:val="000000"/>
                <w:szCs w:val="18"/>
              </w:rPr>
              <w:t>4,648,060</w:t>
            </w:r>
          </w:p>
        </w:tc>
      </w:tr>
      <w:tr w:rsidR="008B5163" w:rsidTr="006027B8">
        <w:trPr>
          <w:trHeight w:val="267"/>
        </w:trPr>
        <w:tc>
          <w:tcPr>
            <w:tcW w:w="3539" w:type="dxa"/>
            <w:shd w:val="clear" w:color="auto" w:fill="auto"/>
            <w:noWrap/>
            <w:hideMark/>
          </w:tcPr>
          <w:p w:rsidR="008B5163" w:rsidRDefault="008B5163" w:rsidP="008B5163">
            <w:pPr>
              <w:pStyle w:val="TableText"/>
              <w:rPr>
                <w:rStyle w:val="Strong"/>
              </w:rPr>
            </w:pPr>
            <w:r>
              <w:rPr>
                <w:rStyle w:val="Strong"/>
              </w:rPr>
              <w:t>Total</w:t>
            </w:r>
          </w:p>
        </w:tc>
        <w:tc>
          <w:tcPr>
            <w:tcW w:w="1843" w:type="dxa"/>
            <w:shd w:val="clear" w:color="auto" w:fill="auto"/>
            <w:noWrap/>
            <w:vAlign w:val="center"/>
            <w:hideMark/>
          </w:tcPr>
          <w:p w:rsidR="008B5163" w:rsidRDefault="008B5163" w:rsidP="008B5163">
            <w:pPr>
              <w:pStyle w:val="TableText"/>
              <w:jc w:val="right"/>
              <w:rPr>
                <w:rStyle w:val="Strong"/>
              </w:rPr>
            </w:pPr>
            <w:r>
              <w:rPr>
                <w:b/>
                <w:bCs/>
                <w:color w:val="000000"/>
                <w:szCs w:val="18"/>
              </w:rPr>
              <w:t>165,024,965</w:t>
            </w:r>
          </w:p>
        </w:tc>
        <w:tc>
          <w:tcPr>
            <w:tcW w:w="1843" w:type="dxa"/>
            <w:shd w:val="clear" w:color="auto" w:fill="auto"/>
            <w:noWrap/>
            <w:vAlign w:val="center"/>
            <w:hideMark/>
          </w:tcPr>
          <w:p w:rsidR="008B5163" w:rsidRDefault="008B5163" w:rsidP="008B5163">
            <w:pPr>
              <w:pStyle w:val="TableText"/>
              <w:jc w:val="right"/>
              <w:rPr>
                <w:rStyle w:val="Strong"/>
              </w:rPr>
            </w:pPr>
            <w:r>
              <w:rPr>
                <w:b/>
                <w:bCs/>
                <w:color w:val="000000"/>
                <w:szCs w:val="18"/>
              </w:rPr>
              <w:t>114,259,713</w:t>
            </w:r>
          </w:p>
        </w:tc>
        <w:tc>
          <w:tcPr>
            <w:tcW w:w="1703" w:type="dxa"/>
            <w:shd w:val="clear" w:color="auto" w:fill="auto"/>
            <w:noWrap/>
            <w:vAlign w:val="center"/>
            <w:hideMark/>
          </w:tcPr>
          <w:p w:rsidR="008B5163" w:rsidRDefault="008B5163" w:rsidP="008B5163">
            <w:pPr>
              <w:pStyle w:val="TableText"/>
              <w:jc w:val="right"/>
              <w:rPr>
                <w:rStyle w:val="Strong"/>
              </w:rPr>
            </w:pPr>
            <w:r>
              <w:rPr>
                <w:b/>
                <w:bCs/>
                <w:color w:val="000000"/>
                <w:szCs w:val="18"/>
              </w:rPr>
              <w:t>279,284,678</w:t>
            </w:r>
          </w:p>
        </w:tc>
      </w:tr>
    </w:tbl>
    <w:p w:rsidR="009B4C98" w:rsidRDefault="005F192D">
      <w:pPr>
        <w:pStyle w:val="Heading4"/>
        <w:spacing w:before="120"/>
      </w:pPr>
      <w:r>
        <w:t>Changes to the cost base</w:t>
      </w:r>
    </w:p>
    <w:p w:rsidR="009B4C98" w:rsidRDefault="0045433A">
      <w:r>
        <w:fldChar w:fldCharType="begin"/>
      </w:r>
      <w:r>
        <w:instrText xml:space="preserve"> REF _Ref24628856 \h </w:instrText>
      </w:r>
      <w:r>
        <w:fldChar w:fldCharType="separate"/>
      </w:r>
      <w:r w:rsidR="006962CE">
        <w:t xml:space="preserve">Table </w:t>
      </w:r>
      <w:r w:rsidR="006962CE">
        <w:rPr>
          <w:noProof/>
        </w:rPr>
        <w:t>3</w:t>
      </w:r>
      <w:r>
        <w:fldChar w:fldCharType="end"/>
      </w:r>
      <w:r>
        <w:t xml:space="preserve"> </w:t>
      </w:r>
      <w:r w:rsidR="005F192D">
        <w:t>provides a list of adjustments to the cost base arising from the November 2019 government decision and their impact on revenue.</w:t>
      </w:r>
    </w:p>
    <w:p w:rsidR="009B4C98" w:rsidRDefault="005F192D">
      <w:pPr>
        <w:pStyle w:val="Caption"/>
      </w:pPr>
      <w:bookmarkStart w:id="54" w:name="_Ref24628856"/>
      <w:bookmarkStart w:id="55" w:name="_Toc26363667"/>
      <w:r>
        <w:t xml:space="preserve">Table </w:t>
      </w:r>
      <w:r>
        <w:rPr>
          <w:noProof/>
        </w:rPr>
        <w:fldChar w:fldCharType="begin"/>
      </w:r>
      <w:r>
        <w:rPr>
          <w:noProof/>
        </w:rPr>
        <w:instrText xml:space="preserve"> SEQ Table \* ARABIC </w:instrText>
      </w:r>
      <w:r>
        <w:rPr>
          <w:noProof/>
        </w:rPr>
        <w:fldChar w:fldCharType="separate"/>
      </w:r>
      <w:r w:rsidR="006962CE">
        <w:rPr>
          <w:noProof/>
        </w:rPr>
        <w:t>3</w:t>
      </w:r>
      <w:r>
        <w:rPr>
          <w:noProof/>
        </w:rPr>
        <w:fldChar w:fldCharType="end"/>
      </w:r>
      <w:bookmarkEnd w:id="54"/>
      <w:r>
        <w:t xml:space="preserve"> Changes to biosecurity arrangement cost base</w:t>
      </w:r>
      <w:bookmarkEnd w:id="55"/>
    </w:p>
    <w:tbl>
      <w:tblPr>
        <w:tblStyle w:val="TableGrid"/>
        <w:tblW w:w="5000" w:type="pct"/>
        <w:tblBorders>
          <w:top w:val="single" w:sz="2"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3401"/>
        <w:gridCol w:w="2647"/>
        <w:gridCol w:w="3022"/>
      </w:tblGrid>
      <w:tr w:rsidR="009B4C98" w:rsidTr="006027B8">
        <w:trPr>
          <w:cantSplit/>
          <w:tblHeader/>
        </w:trPr>
        <w:tc>
          <w:tcPr>
            <w:tcW w:w="1875" w:type="pct"/>
          </w:tcPr>
          <w:p w:rsidR="009B4C98" w:rsidRDefault="005F192D">
            <w:pPr>
              <w:pStyle w:val="TableHeading"/>
            </w:pPr>
            <w:r>
              <w:t>Adjustment to cost base</w:t>
            </w:r>
          </w:p>
        </w:tc>
        <w:tc>
          <w:tcPr>
            <w:tcW w:w="1459" w:type="pct"/>
          </w:tcPr>
          <w:p w:rsidR="009B4C98" w:rsidRDefault="005F192D">
            <w:pPr>
              <w:pStyle w:val="TableHeading"/>
              <w:jc w:val="right"/>
            </w:pPr>
            <w:r>
              <w:t>Impact on cost base</w:t>
            </w:r>
          </w:p>
        </w:tc>
        <w:tc>
          <w:tcPr>
            <w:tcW w:w="1666" w:type="pct"/>
          </w:tcPr>
          <w:p w:rsidR="009B4C98" w:rsidRDefault="005F192D">
            <w:pPr>
              <w:pStyle w:val="TableHeading"/>
              <w:jc w:val="right"/>
            </w:pPr>
            <w:r>
              <w:t>Forecast ($)</w:t>
            </w:r>
          </w:p>
        </w:tc>
      </w:tr>
      <w:tr w:rsidR="009B4C98" w:rsidTr="006027B8">
        <w:tc>
          <w:tcPr>
            <w:tcW w:w="1875" w:type="pct"/>
          </w:tcPr>
          <w:p w:rsidR="009B4C98" w:rsidRDefault="005F192D">
            <w:pPr>
              <w:pStyle w:val="TableText"/>
              <w:rPr>
                <w:rStyle w:val="Strong"/>
              </w:rPr>
            </w:pPr>
            <w:r>
              <w:rPr>
                <w:rStyle w:val="Strong"/>
              </w:rPr>
              <w:t>Total baseline expense</w:t>
            </w:r>
          </w:p>
        </w:tc>
        <w:tc>
          <w:tcPr>
            <w:tcW w:w="1459" w:type="pct"/>
          </w:tcPr>
          <w:p w:rsidR="009B4C98" w:rsidRDefault="005F192D">
            <w:pPr>
              <w:pStyle w:val="TableText"/>
              <w:jc w:val="right"/>
              <w:rPr>
                <w:rStyle w:val="Strong"/>
              </w:rPr>
            </w:pPr>
            <w:r>
              <w:rPr>
                <w:rStyle w:val="Strong"/>
              </w:rPr>
              <w:t>na</w:t>
            </w:r>
          </w:p>
        </w:tc>
        <w:tc>
          <w:tcPr>
            <w:tcW w:w="1666" w:type="pct"/>
          </w:tcPr>
          <w:p w:rsidR="008B5163" w:rsidRDefault="008B5163">
            <w:pPr>
              <w:spacing w:after="0" w:line="240" w:lineRule="auto"/>
              <w:jc w:val="right"/>
              <w:outlineLvl w:val="0"/>
              <w:rPr>
                <w:rFonts w:eastAsia="Times New Roman" w:cs="Times New Roman"/>
                <w:b/>
                <w:bCs/>
                <w:color w:val="000000"/>
                <w:sz w:val="18"/>
                <w:szCs w:val="18"/>
                <w:lang w:eastAsia="en-AU"/>
              </w:rPr>
            </w:pPr>
            <w:r>
              <w:rPr>
                <w:b/>
                <w:bCs/>
                <w:color w:val="000000"/>
                <w:sz w:val="18"/>
                <w:szCs w:val="18"/>
              </w:rPr>
              <w:t>256,396,802</w:t>
            </w:r>
          </w:p>
          <w:p w:rsidR="009B4C98" w:rsidRDefault="009B4C98" w:rsidP="00E760AD">
            <w:pPr>
              <w:pStyle w:val="TableText"/>
              <w:jc w:val="right"/>
              <w:rPr>
                <w:rStyle w:val="Strong"/>
                <w:sz w:val="22"/>
              </w:rPr>
            </w:pPr>
          </w:p>
        </w:tc>
      </w:tr>
      <w:tr w:rsidR="003D1B52" w:rsidTr="006027B8">
        <w:tc>
          <w:tcPr>
            <w:tcW w:w="1875" w:type="pct"/>
          </w:tcPr>
          <w:p w:rsidR="003D1B52" w:rsidRDefault="003D1B52" w:rsidP="003D1B52">
            <w:pPr>
              <w:pStyle w:val="TableText"/>
            </w:pPr>
            <w:r w:rsidRPr="0010406C">
              <w:t>1 Assurance and verification</w:t>
            </w:r>
          </w:p>
        </w:tc>
        <w:tc>
          <w:tcPr>
            <w:tcW w:w="1459" w:type="pct"/>
          </w:tcPr>
          <w:p w:rsidR="003D1B52" w:rsidRDefault="003D1B52" w:rsidP="003D1B52">
            <w:pPr>
              <w:pStyle w:val="TableText"/>
              <w:jc w:val="right"/>
            </w:pPr>
            <w:r>
              <w:t>Increase</w:t>
            </w:r>
          </w:p>
        </w:tc>
        <w:tc>
          <w:tcPr>
            <w:tcW w:w="1666" w:type="pct"/>
            <w:vAlign w:val="center"/>
          </w:tcPr>
          <w:p w:rsidR="003D1B52" w:rsidRDefault="003D1B52" w:rsidP="003D1B52">
            <w:pPr>
              <w:pStyle w:val="TableText"/>
              <w:jc w:val="right"/>
            </w:pPr>
            <w:r>
              <w:rPr>
                <w:color w:val="000000"/>
                <w:szCs w:val="18"/>
              </w:rPr>
              <w:t>11,792,473</w:t>
            </w:r>
          </w:p>
        </w:tc>
      </w:tr>
      <w:tr w:rsidR="003D1B52" w:rsidTr="006027B8">
        <w:trPr>
          <w:trHeight w:val="471"/>
        </w:trPr>
        <w:tc>
          <w:tcPr>
            <w:tcW w:w="1875" w:type="pct"/>
          </w:tcPr>
          <w:p w:rsidR="003D1B52" w:rsidRDefault="003D1B52" w:rsidP="003D1B52">
            <w:pPr>
              <w:pStyle w:val="TableText"/>
            </w:pPr>
            <w:r>
              <w:t>2 Scientific and technical advice</w:t>
            </w:r>
          </w:p>
        </w:tc>
        <w:tc>
          <w:tcPr>
            <w:tcW w:w="1459" w:type="pct"/>
          </w:tcPr>
          <w:p w:rsidR="003D1B52" w:rsidRDefault="003D1B52" w:rsidP="003D1B52">
            <w:pPr>
              <w:pStyle w:val="TableText"/>
              <w:jc w:val="right"/>
            </w:pPr>
            <w:r>
              <w:t>Increase</w:t>
            </w:r>
          </w:p>
        </w:tc>
        <w:tc>
          <w:tcPr>
            <w:tcW w:w="1666" w:type="pct"/>
            <w:vAlign w:val="center"/>
          </w:tcPr>
          <w:p w:rsidR="003D1B52" w:rsidRDefault="003D1B52" w:rsidP="003D1B52">
            <w:pPr>
              <w:pStyle w:val="TableText"/>
              <w:jc w:val="right"/>
            </w:pPr>
            <w:r>
              <w:rPr>
                <w:color w:val="000000"/>
                <w:szCs w:val="18"/>
              </w:rPr>
              <w:t>718,732</w:t>
            </w:r>
          </w:p>
        </w:tc>
      </w:tr>
      <w:tr w:rsidR="003D1B52" w:rsidTr="006027B8">
        <w:tc>
          <w:tcPr>
            <w:tcW w:w="1875" w:type="pct"/>
          </w:tcPr>
          <w:p w:rsidR="003D1B52" w:rsidRDefault="003D1B52" w:rsidP="003D1B52">
            <w:pPr>
              <w:pStyle w:val="TableText"/>
            </w:pPr>
            <w:r>
              <w:t>3 Biosecurity predictive analytics and intelligence</w:t>
            </w:r>
          </w:p>
        </w:tc>
        <w:tc>
          <w:tcPr>
            <w:tcW w:w="1459" w:type="pct"/>
          </w:tcPr>
          <w:p w:rsidR="003D1B52" w:rsidRDefault="003D1B52" w:rsidP="003D1B52">
            <w:pPr>
              <w:pStyle w:val="TableText"/>
              <w:jc w:val="right"/>
            </w:pPr>
            <w:r>
              <w:t>Increase</w:t>
            </w:r>
          </w:p>
        </w:tc>
        <w:tc>
          <w:tcPr>
            <w:tcW w:w="1666" w:type="pct"/>
            <w:vAlign w:val="center"/>
          </w:tcPr>
          <w:p w:rsidR="003D1B52" w:rsidRDefault="003D1B52" w:rsidP="003D1B52">
            <w:pPr>
              <w:pStyle w:val="TableText"/>
              <w:jc w:val="right"/>
            </w:pPr>
            <w:r>
              <w:rPr>
                <w:color w:val="000000"/>
                <w:szCs w:val="18"/>
              </w:rPr>
              <w:t>7,519,045</w:t>
            </w:r>
          </w:p>
        </w:tc>
      </w:tr>
      <w:tr w:rsidR="003D1B52" w:rsidTr="006027B8">
        <w:tc>
          <w:tcPr>
            <w:tcW w:w="1875" w:type="pct"/>
            <w:vAlign w:val="center"/>
          </w:tcPr>
          <w:p w:rsidR="003D1B52" w:rsidRDefault="003D1B52" w:rsidP="005B0B1C">
            <w:pPr>
              <w:pStyle w:val="TableText"/>
            </w:pPr>
            <w:r>
              <w:rPr>
                <w:color w:val="000000"/>
                <w:szCs w:val="18"/>
              </w:rPr>
              <w:t xml:space="preserve">4 Risk Mitigation / </w:t>
            </w:r>
            <w:r w:rsidR="00F82DCA">
              <w:rPr>
                <w:color w:val="000000"/>
                <w:szCs w:val="18"/>
              </w:rPr>
              <w:t>Preparedness</w:t>
            </w:r>
            <w:r>
              <w:rPr>
                <w:color w:val="000000"/>
                <w:szCs w:val="18"/>
              </w:rPr>
              <w:t xml:space="preserve"> Planning</w:t>
            </w:r>
          </w:p>
        </w:tc>
        <w:tc>
          <w:tcPr>
            <w:tcW w:w="1459" w:type="pct"/>
            <w:vAlign w:val="center"/>
          </w:tcPr>
          <w:p w:rsidR="003D1B52" w:rsidRDefault="003D1B52" w:rsidP="003D1B52">
            <w:pPr>
              <w:pStyle w:val="TableText"/>
              <w:jc w:val="right"/>
            </w:pPr>
            <w:r>
              <w:rPr>
                <w:color w:val="000000"/>
                <w:szCs w:val="18"/>
              </w:rPr>
              <w:t>Increase</w:t>
            </w:r>
          </w:p>
        </w:tc>
        <w:tc>
          <w:tcPr>
            <w:tcW w:w="1666" w:type="pct"/>
          </w:tcPr>
          <w:p w:rsidR="003D1B52" w:rsidRPr="006027B8" w:rsidRDefault="003D1B52" w:rsidP="006027B8">
            <w:pPr>
              <w:spacing w:after="0" w:line="240" w:lineRule="auto"/>
              <w:jc w:val="right"/>
              <w:outlineLvl w:val="0"/>
              <w:rPr>
                <w:rFonts w:eastAsia="Times New Roman" w:cs="Times New Roman"/>
                <w:color w:val="000000"/>
                <w:szCs w:val="18"/>
                <w:lang w:eastAsia="en-AU"/>
              </w:rPr>
            </w:pPr>
            <w:r>
              <w:rPr>
                <w:color w:val="000000"/>
                <w:sz w:val="18"/>
                <w:szCs w:val="18"/>
              </w:rPr>
              <w:t>2,857,626</w:t>
            </w:r>
          </w:p>
        </w:tc>
      </w:tr>
      <w:tr w:rsidR="003D1B52" w:rsidTr="006027B8">
        <w:tc>
          <w:tcPr>
            <w:tcW w:w="1875" w:type="pct"/>
          </w:tcPr>
          <w:p w:rsidR="003D1B52" w:rsidRDefault="003D1B52" w:rsidP="003D1B52">
            <w:pPr>
              <w:pStyle w:val="TableText"/>
              <w:rPr>
                <w:rStyle w:val="Strong"/>
              </w:rPr>
            </w:pPr>
            <w:r>
              <w:rPr>
                <w:rStyle w:val="Strong"/>
              </w:rPr>
              <w:t>Total adjustments to cost base</w:t>
            </w:r>
          </w:p>
        </w:tc>
        <w:tc>
          <w:tcPr>
            <w:tcW w:w="1459" w:type="pct"/>
          </w:tcPr>
          <w:p w:rsidR="003D1B52" w:rsidRDefault="003D1B52" w:rsidP="003D1B52">
            <w:pPr>
              <w:pStyle w:val="TableText"/>
              <w:jc w:val="right"/>
              <w:rPr>
                <w:rStyle w:val="Strong"/>
              </w:rPr>
            </w:pPr>
            <w:r>
              <w:rPr>
                <w:rStyle w:val="Strong"/>
              </w:rPr>
              <w:t>Increase</w:t>
            </w:r>
          </w:p>
        </w:tc>
        <w:tc>
          <w:tcPr>
            <w:tcW w:w="1666" w:type="pct"/>
            <w:vAlign w:val="center"/>
          </w:tcPr>
          <w:p w:rsidR="003D1B52" w:rsidRDefault="003D1B52" w:rsidP="003D1B52">
            <w:pPr>
              <w:pStyle w:val="TableText"/>
              <w:jc w:val="right"/>
              <w:rPr>
                <w:rStyle w:val="Strong"/>
              </w:rPr>
            </w:pPr>
            <w:r>
              <w:rPr>
                <w:b/>
                <w:bCs/>
                <w:color w:val="000000"/>
                <w:szCs w:val="18"/>
              </w:rPr>
              <w:t>22,887,876</w:t>
            </w:r>
          </w:p>
        </w:tc>
      </w:tr>
      <w:tr w:rsidR="008B5163" w:rsidTr="006027B8">
        <w:tc>
          <w:tcPr>
            <w:tcW w:w="1875" w:type="pct"/>
          </w:tcPr>
          <w:p w:rsidR="008B5163" w:rsidRDefault="008B5163" w:rsidP="008B5163">
            <w:pPr>
              <w:pStyle w:val="TableText"/>
              <w:rPr>
                <w:rStyle w:val="Strong"/>
              </w:rPr>
            </w:pPr>
            <w:r>
              <w:rPr>
                <w:rStyle w:val="Strong"/>
              </w:rPr>
              <w:t>Adjusted cost base</w:t>
            </w:r>
          </w:p>
        </w:tc>
        <w:tc>
          <w:tcPr>
            <w:tcW w:w="1459" w:type="pct"/>
          </w:tcPr>
          <w:p w:rsidR="008B5163" w:rsidRDefault="008B5163" w:rsidP="008B5163">
            <w:pPr>
              <w:pStyle w:val="TableText"/>
              <w:jc w:val="right"/>
              <w:rPr>
                <w:rStyle w:val="Strong"/>
              </w:rPr>
            </w:pPr>
            <w:r>
              <w:rPr>
                <w:rStyle w:val="Strong"/>
              </w:rPr>
              <w:t>na</w:t>
            </w:r>
          </w:p>
        </w:tc>
        <w:tc>
          <w:tcPr>
            <w:tcW w:w="1666" w:type="pct"/>
            <w:vAlign w:val="center"/>
          </w:tcPr>
          <w:p w:rsidR="008B5163" w:rsidRDefault="008B5163" w:rsidP="008B5163">
            <w:pPr>
              <w:pStyle w:val="TableText"/>
              <w:jc w:val="right"/>
              <w:rPr>
                <w:rStyle w:val="Strong"/>
              </w:rPr>
            </w:pPr>
            <w:r>
              <w:rPr>
                <w:b/>
                <w:bCs/>
                <w:color w:val="000000"/>
                <w:szCs w:val="18"/>
              </w:rPr>
              <w:t>279,284,678</w:t>
            </w:r>
          </w:p>
        </w:tc>
      </w:tr>
      <w:tr w:rsidR="008B5163" w:rsidTr="006027B8">
        <w:tc>
          <w:tcPr>
            <w:tcW w:w="1875" w:type="pct"/>
          </w:tcPr>
          <w:p w:rsidR="008B5163" w:rsidRDefault="008B5163" w:rsidP="008B5163">
            <w:pPr>
              <w:pStyle w:val="TableText"/>
              <w:rPr>
                <w:rStyle w:val="Strong"/>
              </w:rPr>
            </w:pPr>
            <w:r>
              <w:rPr>
                <w:rStyle w:val="Strong"/>
              </w:rPr>
              <w:t>Change in expense</w:t>
            </w:r>
          </w:p>
        </w:tc>
        <w:tc>
          <w:tcPr>
            <w:tcW w:w="1459" w:type="pct"/>
          </w:tcPr>
          <w:p w:rsidR="008B5163" w:rsidRDefault="008B5163" w:rsidP="008B5163">
            <w:pPr>
              <w:pStyle w:val="TableText"/>
              <w:jc w:val="right"/>
              <w:rPr>
                <w:rStyle w:val="Strong"/>
              </w:rPr>
            </w:pPr>
            <w:r>
              <w:rPr>
                <w:rStyle w:val="Strong"/>
              </w:rPr>
              <w:t>Increase</w:t>
            </w:r>
          </w:p>
        </w:tc>
        <w:tc>
          <w:tcPr>
            <w:tcW w:w="1666" w:type="pct"/>
            <w:vAlign w:val="center"/>
          </w:tcPr>
          <w:p w:rsidR="008B5163" w:rsidRDefault="008B5163" w:rsidP="008B5163">
            <w:pPr>
              <w:pStyle w:val="TableText"/>
              <w:jc w:val="right"/>
              <w:rPr>
                <w:rStyle w:val="Strong"/>
              </w:rPr>
            </w:pPr>
            <w:r w:rsidRPr="0010406C">
              <w:rPr>
                <w:b/>
                <w:bCs/>
                <w:color w:val="000000"/>
                <w:szCs w:val="18"/>
              </w:rPr>
              <w:t>8.93%</w:t>
            </w:r>
          </w:p>
        </w:tc>
      </w:tr>
    </w:tbl>
    <w:p w:rsidR="009B4C98" w:rsidRDefault="005F192D">
      <w:pPr>
        <w:pStyle w:val="FigureTableNoteSource"/>
      </w:pPr>
      <w:proofErr w:type="gramStart"/>
      <w:r>
        <w:rPr>
          <w:rStyle w:val="Strong"/>
        </w:rPr>
        <w:t>na</w:t>
      </w:r>
      <w:proofErr w:type="gramEnd"/>
      <w:r>
        <w:t xml:space="preserve"> Not applicable.</w:t>
      </w:r>
    </w:p>
    <w:p w:rsidR="009B4C98" w:rsidRDefault="005F192D">
      <w:r>
        <w:t xml:space="preserve">Additional reforms to charging </w:t>
      </w:r>
      <w:proofErr w:type="gramStart"/>
      <w:r>
        <w:t>may be identified</w:t>
      </w:r>
      <w:proofErr w:type="gramEnd"/>
      <w:r>
        <w:t xml:space="preserve"> through the charging review, which will be conducted in 2020. These have not been included in the expense base because their financial impact </w:t>
      </w:r>
      <w:proofErr w:type="gramStart"/>
      <w:r>
        <w:t>cannot be quantified</w:t>
      </w:r>
      <w:proofErr w:type="gramEnd"/>
      <w:r>
        <w:t xml:space="preserve"> at this point. Specific examples that </w:t>
      </w:r>
      <w:proofErr w:type="gramStart"/>
      <w:r>
        <w:t>will be considered</w:t>
      </w:r>
      <w:proofErr w:type="gramEnd"/>
      <w:r>
        <w:t xml:space="preserve"> as part of the 2020 review include the cost of </w:t>
      </w:r>
      <w:r w:rsidR="00693B70">
        <w:t>PEQ</w:t>
      </w:r>
      <w:r>
        <w:t xml:space="preserve"> activity in the light of the opening of the new Mickleham PEQ facility and needs for increased analytical capability to manage rapidly growing biosecurity risk.</w:t>
      </w:r>
    </w:p>
    <w:p w:rsidR="009B4C98" w:rsidRDefault="005F192D">
      <w:pPr>
        <w:pStyle w:val="Heading3"/>
      </w:pPr>
      <w:bookmarkStart w:id="56" w:name="_Toc26363647"/>
      <w:r>
        <w:lastRenderedPageBreak/>
        <w:t>Industry-specific feedback</w:t>
      </w:r>
      <w:bookmarkEnd w:id="56"/>
    </w:p>
    <w:p w:rsidR="009B4C98" w:rsidRDefault="005F192D">
      <w:pPr>
        <w:pStyle w:val="Heading4"/>
      </w:pPr>
      <w:r>
        <w:t>Import stakeholder engagement</w:t>
      </w:r>
    </w:p>
    <w:p w:rsidR="00695214" w:rsidRDefault="00A627F8">
      <w:r>
        <w:t xml:space="preserve">In November </w:t>
      </w:r>
      <w:proofErr w:type="gramStart"/>
      <w:r>
        <w:t>2019</w:t>
      </w:r>
      <w:proofErr w:type="gramEnd"/>
      <w:r>
        <w:t xml:space="preserve"> t</w:t>
      </w:r>
      <w:r w:rsidR="005F192D" w:rsidRPr="006027B8">
        <w:t xml:space="preserve">he </w:t>
      </w:r>
      <w:r w:rsidR="00373C7F" w:rsidRPr="006027B8">
        <w:t xml:space="preserve">Australian </w:t>
      </w:r>
      <w:r w:rsidR="005F192D" w:rsidRPr="006027B8">
        <w:t xml:space="preserve">Government </w:t>
      </w:r>
      <w:r w:rsidR="00F82DCA">
        <w:t>decided</w:t>
      </w:r>
      <w:r>
        <w:t xml:space="preserve"> </w:t>
      </w:r>
      <w:r w:rsidR="00F82DCA" w:rsidRPr="006027B8">
        <w:t>to</w:t>
      </w:r>
      <w:r w:rsidR="005F192D" w:rsidRPr="006027B8">
        <w:t xml:space="preserve"> expand cost recovery for biosecurity activities</w:t>
      </w:r>
      <w:r w:rsidR="007954E8" w:rsidRPr="006027B8">
        <w:t>, from 1 January 2020</w:t>
      </w:r>
      <w:r w:rsidR="00FC793B" w:rsidRPr="006027B8">
        <w:t xml:space="preserve"> (see </w:t>
      </w:r>
      <w:hyperlink w:anchor="_Government_policy_approval" w:history="1">
        <w:r w:rsidR="00FC793B" w:rsidRPr="006027B8">
          <w:rPr>
            <w:rStyle w:val="Hyperlink"/>
          </w:rPr>
          <w:t>section 2.1</w:t>
        </w:r>
      </w:hyperlink>
      <w:r w:rsidR="00FC793B" w:rsidRPr="006027B8">
        <w:t>)</w:t>
      </w:r>
      <w:r w:rsidR="005F192D" w:rsidRPr="006027B8">
        <w:t>. T</w:t>
      </w:r>
      <w:r w:rsidR="00FC793B" w:rsidRPr="006027B8">
        <w:t>his CRIS i</w:t>
      </w:r>
      <w:r w:rsidR="005F192D" w:rsidRPr="006027B8">
        <w:t>mplement</w:t>
      </w:r>
      <w:r w:rsidR="00FC793B" w:rsidRPr="006027B8">
        <w:t>s</w:t>
      </w:r>
      <w:r w:rsidR="005F192D" w:rsidRPr="006027B8">
        <w:t xml:space="preserve"> this decision</w:t>
      </w:r>
      <w:r w:rsidR="00FC793B" w:rsidRPr="006027B8">
        <w:t xml:space="preserve">. </w:t>
      </w:r>
    </w:p>
    <w:p w:rsidR="00695214" w:rsidRDefault="00695214">
      <w:r>
        <w:t xml:space="preserve">As announcement of the measure is only a few weeks out from </w:t>
      </w:r>
      <w:r w:rsidR="00F82DCA">
        <w:t>implementation</w:t>
      </w:r>
      <w:r>
        <w:t xml:space="preserve"> of the new charges, we have not undertaken our customary industry engagement on a draft CRIS or proposed charging models prior to publishing this document. Industry </w:t>
      </w:r>
      <w:proofErr w:type="gramStart"/>
      <w:r>
        <w:t>have been informed</w:t>
      </w:r>
      <w:proofErr w:type="gramEnd"/>
      <w:r>
        <w:t xml:space="preserve"> of the price increases through public announcement and </w:t>
      </w:r>
      <w:r w:rsidRPr="00347C43">
        <w:t>the issuing of Industry Advice Notices (IANs).</w:t>
      </w:r>
      <w:r>
        <w:t xml:space="preserve"> </w:t>
      </w:r>
    </w:p>
    <w:p w:rsidR="009B4C98" w:rsidRPr="006027B8" w:rsidRDefault="00FC793B">
      <w:r w:rsidRPr="006027B8">
        <w:t xml:space="preserve">The department </w:t>
      </w:r>
      <w:r w:rsidR="00695214">
        <w:t xml:space="preserve">will engage with the relevant industry representatives through established consultative forums, such as </w:t>
      </w:r>
      <w:r w:rsidR="005F192D" w:rsidRPr="006027B8">
        <w:t xml:space="preserve">the </w:t>
      </w:r>
      <w:r w:rsidR="00511130" w:rsidRPr="006027B8">
        <w:t>Department’s Cargo Consultative Committee (</w:t>
      </w:r>
      <w:r w:rsidR="005F192D" w:rsidRPr="006027B8">
        <w:t>DCCC</w:t>
      </w:r>
      <w:r w:rsidR="00511130" w:rsidRPr="006027B8">
        <w:t>)</w:t>
      </w:r>
      <w:r w:rsidR="00695214">
        <w:t>, as soon as possible following publishing of this CRIS</w:t>
      </w:r>
      <w:r w:rsidR="007E46DF">
        <w:t>.</w:t>
      </w:r>
      <w:r w:rsidR="005F192D" w:rsidRPr="006027B8">
        <w:t xml:space="preserve"> </w:t>
      </w:r>
    </w:p>
    <w:p w:rsidR="009B4C98" w:rsidRDefault="00695214">
      <w:r>
        <w:t xml:space="preserve">To provide opportunity </w:t>
      </w:r>
      <w:r w:rsidR="00F82DCA">
        <w:t>for</w:t>
      </w:r>
      <w:r>
        <w:t xml:space="preserve"> </w:t>
      </w:r>
      <w:r w:rsidR="00F82DCA">
        <w:t>stakeholders</w:t>
      </w:r>
      <w:r>
        <w:t xml:space="preserve"> to provide their views on this CRIS and future charges, w</w:t>
      </w:r>
      <w:r w:rsidR="00AD2E45" w:rsidRPr="006027B8">
        <w:t>e</w:t>
      </w:r>
      <w:r w:rsidR="005F192D" w:rsidRPr="006027B8">
        <w:t xml:space="preserve"> </w:t>
      </w:r>
      <w:r>
        <w:t>will</w:t>
      </w:r>
      <w:r w:rsidR="005F192D" w:rsidRPr="006027B8">
        <w:t xml:space="preserve"> conduct a full review of </w:t>
      </w:r>
      <w:r>
        <w:t xml:space="preserve">regulatory charging for biosecurity </w:t>
      </w:r>
      <w:bookmarkStart w:id="57" w:name="_Toc26363648"/>
      <w:bookmarkEnd w:id="57"/>
      <w:r w:rsidR="00087778">
        <w:t>in 2020-21.</w:t>
      </w:r>
    </w:p>
    <w:p w:rsidR="009B4C98" w:rsidRDefault="005F192D">
      <w:pPr>
        <w:pStyle w:val="Heading3"/>
      </w:pPr>
      <w:bookmarkStart w:id="58" w:name="_Biosecurity_fees_and"/>
      <w:bookmarkStart w:id="59" w:name="_Toc26363649"/>
      <w:bookmarkEnd w:id="58"/>
      <w:r>
        <w:t>Biosecurity fees and charges</w:t>
      </w:r>
      <w:bookmarkEnd w:id="59"/>
    </w:p>
    <w:p w:rsidR="009B4C98" w:rsidRDefault="005F192D">
      <w:r>
        <w:t xml:space="preserve">The amounts payable </w:t>
      </w:r>
      <w:proofErr w:type="gramStart"/>
      <w:r>
        <w:t>are shown</w:t>
      </w:r>
      <w:proofErr w:type="gramEnd"/>
      <w:r>
        <w:t xml:space="preserve"> in </w:t>
      </w:r>
      <w:r w:rsidR="0045433A">
        <w:fldChar w:fldCharType="begin"/>
      </w:r>
      <w:r w:rsidR="0045433A">
        <w:instrText xml:space="preserve"> REF _Ref24629032 \h </w:instrText>
      </w:r>
      <w:r w:rsidR="0045433A">
        <w:fldChar w:fldCharType="separate"/>
      </w:r>
      <w:r w:rsidR="006962CE">
        <w:t xml:space="preserve">Table </w:t>
      </w:r>
      <w:r w:rsidR="006962CE">
        <w:rPr>
          <w:noProof/>
        </w:rPr>
        <w:t>4</w:t>
      </w:r>
      <w:r w:rsidR="0045433A">
        <w:fldChar w:fldCharType="end"/>
      </w:r>
      <w:r>
        <w:t xml:space="preserve">. The effect of the government’s decision to expand cost recovery for biosecurity activities is to increase the following </w:t>
      </w:r>
      <w:proofErr w:type="gramStart"/>
      <w:r w:rsidR="00495AE0">
        <w:t>4</w:t>
      </w:r>
      <w:proofErr w:type="gramEnd"/>
      <w:r w:rsidR="00495AE0">
        <w:t xml:space="preserve"> </w:t>
      </w:r>
      <w:r>
        <w:t>charges:</w:t>
      </w:r>
    </w:p>
    <w:p w:rsidR="009B4C98" w:rsidRDefault="005F192D" w:rsidP="00E760AD">
      <w:pPr>
        <w:pStyle w:val="ListParagraph"/>
        <w:numPr>
          <w:ilvl w:val="0"/>
          <w:numId w:val="16"/>
        </w:numPr>
      </w:pPr>
      <w:r>
        <w:t xml:space="preserve">Full Import Declaration charge—air was $33, </w:t>
      </w:r>
      <w:r w:rsidR="008B5163">
        <w:t xml:space="preserve">modelled at 37.34, rounded to </w:t>
      </w:r>
      <w:r>
        <w:t>$</w:t>
      </w:r>
      <w:r w:rsidR="008B5163">
        <w:t>38</w:t>
      </w:r>
      <w:r>
        <w:t>.</w:t>
      </w:r>
    </w:p>
    <w:p w:rsidR="009B4C98" w:rsidRDefault="005F192D" w:rsidP="00E760AD">
      <w:pPr>
        <w:pStyle w:val="ListParagraph"/>
        <w:numPr>
          <w:ilvl w:val="0"/>
          <w:numId w:val="16"/>
        </w:numPr>
      </w:pPr>
      <w:r>
        <w:t xml:space="preserve">Full Import Declaration charge—sea was $42, </w:t>
      </w:r>
      <w:r w:rsidR="008B5163">
        <w:t xml:space="preserve">modelled at 48.45, rounded to </w:t>
      </w:r>
      <w:r>
        <w:t>$</w:t>
      </w:r>
      <w:r w:rsidR="008B5163">
        <w:t>49</w:t>
      </w:r>
      <w:r>
        <w:t>.</w:t>
      </w:r>
    </w:p>
    <w:p w:rsidR="009B4C98" w:rsidRPr="007C4F97" w:rsidRDefault="005F192D" w:rsidP="00E760AD">
      <w:pPr>
        <w:pStyle w:val="ListParagraph"/>
        <w:numPr>
          <w:ilvl w:val="0"/>
          <w:numId w:val="16"/>
        </w:numPr>
      </w:pPr>
      <w:r>
        <w:t xml:space="preserve">Vessels </w:t>
      </w:r>
      <w:r w:rsidRPr="007C4F97">
        <w:t xml:space="preserve">greater than or equal to 25 metres—arrival charge was $920, </w:t>
      </w:r>
      <w:r w:rsidR="00A5263E">
        <w:t>modelled at $1053.09, rounded to $1054.</w:t>
      </w:r>
    </w:p>
    <w:p w:rsidR="009B4C98" w:rsidRDefault="005F192D" w:rsidP="00E760AD">
      <w:pPr>
        <w:pStyle w:val="ListParagraph"/>
        <w:numPr>
          <w:ilvl w:val="0"/>
          <w:numId w:val="16"/>
        </w:numPr>
      </w:pPr>
      <w:r w:rsidRPr="007C4F97">
        <w:t>Vessels less than 25 metres</w:t>
      </w:r>
      <w:r>
        <w:t xml:space="preserve">—arrival charge was $100, </w:t>
      </w:r>
      <w:r w:rsidR="00A5263E">
        <w:t>modelled at $119.79, rounded to $120.</w:t>
      </w:r>
    </w:p>
    <w:p w:rsidR="009B4C98" w:rsidRDefault="005F192D">
      <w:pPr>
        <w:pStyle w:val="Caption"/>
        <w:pageBreakBefore/>
      </w:pPr>
      <w:bookmarkStart w:id="60" w:name="_Ref24629032"/>
      <w:bookmarkStart w:id="61" w:name="_Toc26363668"/>
      <w:r>
        <w:lastRenderedPageBreak/>
        <w:t xml:space="preserve">Table </w:t>
      </w:r>
      <w:r>
        <w:rPr>
          <w:noProof/>
        </w:rPr>
        <w:fldChar w:fldCharType="begin"/>
      </w:r>
      <w:r>
        <w:rPr>
          <w:noProof/>
        </w:rPr>
        <w:instrText xml:space="preserve"> SEQ Table \* ARABIC </w:instrText>
      </w:r>
      <w:r>
        <w:rPr>
          <w:noProof/>
        </w:rPr>
        <w:fldChar w:fldCharType="separate"/>
      </w:r>
      <w:r w:rsidR="006962CE">
        <w:rPr>
          <w:noProof/>
        </w:rPr>
        <w:t>4</w:t>
      </w:r>
      <w:r>
        <w:rPr>
          <w:noProof/>
        </w:rPr>
        <w:fldChar w:fldCharType="end"/>
      </w:r>
      <w:bookmarkEnd w:id="60"/>
      <w:r>
        <w:t xml:space="preserve"> Fees, charges and volumes for biosecurity cost recovery arrangement, 2019–20 to 202</w:t>
      </w:r>
      <w:r w:rsidR="006D27ED">
        <w:t>0-21</w:t>
      </w:r>
      <w:bookmarkEnd w:id="61"/>
    </w:p>
    <w:tbl>
      <w:tblPr>
        <w:tblW w:w="9214"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127"/>
        <w:gridCol w:w="1134"/>
        <w:gridCol w:w="1559"/>
        <w:gridCol w:w="1276"/>
        <w:gridCol w:w="767"/>
        <w:gridCol w:w="1075"/>
        <w:gridCol w:w="1276"/>
      </w:tblGrid>
      <w:tr w:rsidR="009B4C98">
        <w:trPr>
          <w:cantSplit/>
          <w:tblHeader/>
        </w:trPr>
        <w:tc>
          <w:tcPr>
            <w:tcW w:w="2127" w:type="dxa"/>
            <w:shd w:val="clear" w:color="auto" w:fill="auto"/>
            <w:noWrap/>
            <w:hideMark/>
          </w:tcPr>
          <w:p w:rsidR="009B4C98" w:rsidRDefault="005F192D">
            <w:pPr>
              <w:pStyle w:val="TableHeading"/>
            </w:pPr>
            <w:r>
              <w:t>Type of charge</w:t>
            </w:r>
          </w:p>
        </w:tc>
        <w:tc>
          <w:tcPr>
            <w:tcW w:w="1134" w:type="dxa"/>
            <w:shd w:val="clear" w:color="auto" w:fill="auto"/>
            <w:hideMark/>
          </w:tcPr>
          <w:p w:rsidR="009B4C98" w:rsidRDefault="005F192D">
            <w:pPr>
              <w:pStyle w:val="TableHeading"/>
              <w:jc w:val="right"/>
            </w:pPr>
            <w:r>
              <w:t>Estimated total cost ($)</w:t>
            </w:r>
          </w:p>
        </w:tc>
        <w:tc>
          <w:tcPr>
            <w:tcW w:w="1559" w:type="dxa"/>
            <w:shd w:val="clear" w:color="auto" w:fill="auto"/>
            <w:hideMark/>
          </w:tcPr>
          <w:p w:rsidR="009B4C98" w:rsidRDefault="005F192D">
            <w:pPr>
              <w:pStyle w:val="TableHeading"/>
            </w:pPr>
            <w:r>
              <w:t>Charge point</w:t>
            </w:r>
          </w:p>
        </w:tc>
        <w:tc>
          <w:tcPr>
            <w:tcW w:w="1276" w:type="dxa"/>
            <w:shd w:val="clear" w:color="auto" w:fill="auto"/>
            <w:hideMark/>
          </w:tcPr>
          <w:p w:rsidR="009B4C98" w:rsidRDefault="005F192D">
            <w:pPr>
              <w:pStyle w:val="TableHeading"/>
            </w:pPr>
            <w:r>
              <w:t>Unit</w:t>
            </w:r>
          </w:p>
        </w:tc>
        <w:tc>
          <w:tcPr>
            <w:tcW w:w="767" w:type="dxa"/>
            <w:shd w:val="clear" w:color="auto" w:fill="auto"/>
            <w:hideMark/>
          </w:tcPr>
          <w:p w:rsidR="009B4C98" w:rsidRDefault="005F192D">
            <w:pPr>
              <w:pStyle w:val="TableHeading"/>
            </w:pPr>
            <w:r>
              <w:t>Price ($)</w:t>
            </w:r>
          </w:p>
        </w:tc>
        <w:tc>
          <w:tcPr>
            <w:tcW w:w="1075" w:type="dxa"/>
            <w:shd w:val="clear" w:color="auto" w:fill="auto"/>
            <w:hideMark/>
          </w:tcPr>
          <w:p w:rsidR="009B4C98" w:rsidRDefault="005F192D">
            <w:pPr>
              <w:pStyle w:val="TableHeading"/>
            </w:pPr>
            <w:r>
              <w:t>Estimated volume (units)</w:t>
            </w:r>
          </w:p>
        </w:tc>
        <w:tc>
          <w:tcPr>
            <w:tcW w:w="1276" w:type="dxa"/>
            <w:shd w:val="clear" w:color="auto" w:fill="auto"/>
            <w:hideMark/>
          </w:tcPr>
          <w:p w:rsidR="009B4C98" w:rsidRDefault="005F192D">
            <w:pPr>
              <w:pStyle w:val="TableHeading"/>
            </w:pPr>
            <w:r>
              <w:t>Estimated total revenue ($)</w:t>
            </w:r>
          </w:p>
        </w:tc>
      </w:tr>
      <w:tr w:rsidR="008B5163" w:rsidTr="00E760AD">
        <w:tc>
          <w:tcPr>
            <w:tcW w:w="2127" w:type="dxa"/>
            <w:vMerge w:val="restart"/>
            <w:shd w:val="clear" w:color="auto" w:fill="D9D9D9" w:themeFill="background1" w:themeFillShade="D9"/>
          </w:tcPr>
          <w:p w:rsidR="008B5163" w:rsidRPr="00943BB3" w:rsidRDefault="008B5163" w:rsidP="008B5163">
            <w:pPr>
              <w:pStyle w:val="TableText"/>
            </w:pPr>
            <w:r w:rsidRPr="00943BB3">
              <w:t>Charges – increased</w:t>
            </w:r>
          </w:p>
        </w:tc>
        <w:tc>
          <w:tcPr>
            <w:tcW w:w="1134" w:type="dxa"/>
            <w:shd w:val="clear" w:color="auto" w:fill="D9D9D9" w:themeFill="background1" w:themeFillShade="D9"/>
          </w:tcPr>
          <w:p w:rsidR="008B5163" w:rsidRDefault="008B5163" w:rsidP="008B5163">
            <w:pPr>
              <w:pStyle w:val="TableText"/>
              <w:jc w:val="right"/>
            </w:pPr>
            <w:r w:rsidRPr="00282ACE">
              <w:t>80,509,095</w:t>
            </w:r>
          </w:p>
        </w:tc>
        <w:tc>
          <w:tcPr>
            <w:tcW w:w="1559" w:type="dxa"/>
            <w:shd w:val="clear" w:color="auto" w:fill="D9D9D9" w:themeFill="background1" w:themeFillShade="D9"/>
          </w:tcPr>
          <w:p w:rsidR="008B5163" w:rsidRDefault="008B5163" w:rsidP="00F1400E">
            <w:pPr>
              <w:pStyle w:val="TableText"/>
            </w:pPr>
            <w:r>
              <w:t>Full Import Declaration charge – air</w:t>
            </w:r>
          </w:p>
        </w:tc>
        <w:tc>
          <w:tcPr>
            <w:tcW w:w="1276" w:type="dxa"/>
            <w:shd w:val="clear" w:color="auto" w:fill="D9D9D9" w:themeFill="background1" w:themeFillShade="D9"/>
          </w:tcPr>
          <w:p w:rsidR="008B5163" w:rsidRDefault="008B5163" w:rsidP="008B5163">
            <w:pPr>
              <w:pStyle w:val="TableText"/>
            </w:pPr>
            <w:r>
              <w:t>Per import declaration</w:t>
            </w:r>
          </w:p>
        </w:tc>
        <w:tc>
          <w:tcPr>
            <w:tcW w:w="767" w:type="dxa"/>
            <w:shd w:val="clear" w:color="auto" w:fill="D9D9D9" w:themeFill="background1" w:themeFillShade="D9"/>
          </w:tcPr>
          <w:p w:rsidR="008B5163" w:rsidRDefault="008B5163" w:rsidP="008B5163">
            <w:pPr>
              <w:pStyle w:val="TableText"/>
              <w:jc w:val="right"/>
            </w:pPr>
            <w:r w:rsidRPr="00AD686E">
              <w:t>38</w:t>
            </w:r>
          </w:p>
        </w:tc>
        <w:tc>
          <w:tcPr>
            <w:tcW w:w="1075" w:type="dxa"/>
            <w:shd w:val="clear" w:color="auto" w:fill="D9D9D9" w:themeFill="background1" w:themeFillShade="D9"/>
          </w:tcPr>
          <w:p w:rsidR="008B5163" w:rsidRDefault="008B5163" w:rsidP="008B5163">
            <w:pPr>
              <w:pStyle w:val="TableText"/>
              <w:jc w:val="right"/>
            </w:pPr>
            <w:r w:rsidRPr="00AD686E">
              <w:t>2,156,041</w:t>
            </w:r>
          </w:p>
        </w:tc>
        <w:tc>
          <w:tcPr>
            <w:tcW w:w="1276" w:type="dxa"/>
            <w:shd w:val="clear" w:color="auto" w:fill="D9D9D9" w:themeFill="background1" w:themeFillShade="D9"/>
          </w:tcPr>
          <w:p w:rsidR="008B5163" w:rsidRDefault="008B5163" w:rsidP="00991373">
            <w:pPr>
              <w:pStyle w:val="TableText"/>
              <w:jc w:val="right"/>
            </w:pPr>
            <w:r w:rsidRPr="00AD686E">
              <w:t xml:space="preserve">81,929,553 </w:t>
            </w:r>
          </w:p>
        </w:tc>
      </w:tr>
      <w:tr w:rsidR="008B5163" w:rsidTr="00E760AD">
        <w:tc>
          <w:tcPr>
            <w:tcW w:w="2127" w:type="dxa"/>
            <w:vMerge/>
            <w:shd w:val="clear" w:color="auto" w:fill="D9D9D9" w:themeFill="background1" w:themeFillShade="D9"/>
            <w:noWrap/>
            <w:hideMark/>
          </w:tcPr>
          <w:p w:rsidR="008B5163" w:rsidRDefault="008B5163" w:rsidP="008B5163">
            <w:pPr>
              <w:pStyle w:val="TableText"/>
            </w:pPr>
          </w:p>
        </w:tc>
        <w:tc>
          <w:tcPr>
            <w:tcW w:w="1134" w:type="dxa"/>
            <w:shd w:val="clear" w:color="auto" w:fill="D9D9D9" w:themeFill="background1" w:themeFillShade="D9"/>
          </w:tcPr>
          <w:p w:rsidR="008B5163" w:rsidRDefault="008B5163" w:rsidP="008B5163">
            <w:pPr>
              <w:pStyle w:val="TableText"/>
              <w:jc w:val="right"/>
            </w:pPr>
            <w:r w:rsidRPr="00282ACE">
              <w:t>83,851,888</w:t>
            </w:r>
          </w:p>
        </w:tc>
        <w:tc>
          <w:tcPr>
            <w:tcW w:w="1559" w:type="dxa"/>
            <w:shd w:val="clear" w:color="auto" w:fill="D9D9D9" w:themeFill="background1" w:themeFillShade="D9"/>
          </w:tcPr>
          <w:p w:rsidR="008B5163" w:rsidRDefault="008B5163" w:rsidP="00F1400E">
            <w:pPr>
              <w:pStyle w:val="TableText"/>
            </w:pPr>
            <w:r>
              <w:t>Full Import Declaration charge – sea</w:t>
            </w:r>
          </w:p>
        </w:tc>
        <w:tc>
          <w:tcPr>
            <w:tcW w:w="1276" w:type="dxa"/>
            <w:shd w:val="clear" w:color="auto" w:fill="D9D9D9" w:themeFill="background1" w:themeFillShade="D9"/>
          </w:tcPr>
          <w:p w:rsidR="008B5163" w:rsidRDefault="008B5163" w:rsidP="008B5163">
            <w:pPr>
              <w:pStyle w:val="TableText"/>
            </w:pPr>
            <w:r>
              <w:t>Per import declaration</w:t>
            </w:r>
          </w:p>
        </w:tc>
        <w:tc>
          <w:tcPr>
            <w:tcW w:w="767" w:type="dxa"/>
            <w:shd w:val="clear" w:color="auto" w:fill="D9D9D9" w:themeFill="background1" w:themeFillShade="D9"/>
          </w:tcPr>
          <w:p w:rsidR="008B5163" w:rsidRDefault="008B5163" w:rsidP="008B5163">
            <w:pPr>
              <w:pStyle w:val="TableText"/>
              <w:jc w:val="right"/>
            </w:pPr>
            <w:r w:rsidRPr="00AD686E">
              <w:t>49</w:t>
            </w:r>
          </w:p>
        </w:tc>
        <w:tc>
          <w:tcPr>
            <w:tcW w:w="1075" w:type="dxa"/>
            <w:shd w:val="clear" w:color="auto" w:fill="D9D9D9" w:themeFill="background1" w:themeFillShade="D9"/>
          </w:tcPr>
          <w:p w:rsidR="008B5163" w:rsidRDefault="008B5163" w:rsidP="008B5163">
            <w:pPr>
              <w:pStyle w:val="TableText"/>
              <w:jc w:val="right"/>
            </w:pPr>
            <w:r w:rsidRPr="00AD686E">
              <w:t>1,730,586</w:t>
            </w:r>
          </w:p>
        </w:tc>
        <w:tc>
          <w:tcPr>
            <w:tcW w:w="1276" w:type="dxa"/>
            <w:shd w:val="clear" w:color="auto" w:fill="D9D9D9" w:themeFill="background1" w:themeFillShade="D9"/>
          </w:tcPr>
          <w:p w:rsidR="008B5163" w:rsidRDefault="008B5163" w:rsidP="00991373">
            <w:pPr>
              <w:pStyle w:val="TableText"/>
              <w:jc w:val="right"/>
            </w:pPr>
            <w:r w:rsidRPr="00AD686E">
              <w:t xml:space="preserve">84,798,735 </w:t>
            </w:r>
          </w:p>
        </w:tc>
      </w:tr>
      <w:tr w:rsidR="001278C9" w:rsidTr="00E760AD">
        <w:tc>
          <w:tcPr>
            <w:tcW w:w="2127" w:type="dxa"/>
            <w:vMerge/>
            <w:shd w:val="clear" w:color="auto" w:fill="D9D9D9" w:themeFill="background1" w:themeFillShade="D9"/>
            <w:noWrap/>
          </w:tcPr>
          <w:p w:rsidR="001278C9" w:rsidRDefault="001278C9" w:rsidP="001278C9">
            <w:pPr>
              <w:pStyle w:val="TableText"/>
            </w:pPr>
          </w:p>
        </w:tc>
        <w:tc>
          <w:tcPr>
            <w:tcW w:w="1134" w:type="dxa"/>
            <w:shd w:val="clear" w:color="auto" w:fill="D9D9D9" w:themeFill="background1" w:themeFillShade="D9"/>
          </w:tcPr>
          <w:p w:rsidR="001278C9" w:rsidRDefault="001278C9" w:rsidP="001278C9">
            <w:pPr>
              <w:pStyle w:val="TableText"/>
              <w:jc w:val="right"/>
            </w:pPr>
            <w:r>
              <w:t>18,586,999</w:t>
            </w:r>
          </w:p>
        </w:tc>
        <w:tc>
          <w:tcPr>
            <w:tcW w:w="1559" w:type="dxa"/>
            <w:shd w:val="clear" w:color="auto" w:fill="D9D9D9" w:themeFill="background1" w:themeFillShade="D9"/>
          </w:tcPr>
          <w:p w:rsidR="001278C9" w:rsidRDefault="001278C9" w:rsidP="001278C9">
            <w:pPr>
              <w:pStyle w:val="TableText"/>
            </w:pPr>
            <w:r>
              <w:t>Vessel (≥25m) arrival charge</w:t>
            </w:r>
          </w:p>
        </w:tc>
        <w:tc>
          <w:tcPr>
            <w:tcW w:w="1276" w:type="dxa"/>
            <w:shd w:val="clear" w:color="auto" w:fill="D9D9D9" w:themeFill="background1" w:themeFillShade="D9"/>
          </w:tcPr>
          <w:p w:rsidR="001278C9" w:rsidRDefault="001278C9" w:rsidP="001278C9">
            <w:pPr>
              <w:pStyle w:val="TableText"/>
            </w:pPr>
            <w:r>
              <w:t>Per vessel</w:t>
            </w:r>
          </w:p>
        </w:tc>
        <w:tc>
          <w:tcPr>
            <w:tcW w:w="767" w:type="dxa"/>
            <w:shd w:val="clear" w:color="auto" w:fill="D9D9D9" w:themeFill="background1" w:themeFillShade="D9"/>
          </w:tcPr>
          <w:p w:rsidR="001278C9" w:rsidRDefault="001278C9" w:rsidP="001278C9">
            <w:pPr>
              <w:pStyle w:val="TableText"/>
              <w:jc w:val="right"/>
            </w:pPr>
            <w:r w:rsidRPr="00582BA3">
              <w:t>1,054</w:t>
            </w:r>
          </w:p>
        </w:tc>
        <w:tc>
          <w:tcPr>
            <w:tcW w:w="1075" w:type="dxa"/>
            <w:shd w:val="clear" w:color="auto" w:fill="D9D9D9" w:themeFill="background1" w:themeFillShade="D9"/>
          </w:tcPr>
          <w:p w:rsidR="001278C9" w:rsidRDefault="001278C9" w:rsidP="001278C9">
            <w:pPr>
              <w:pStyle w:val="TableText"/>
              <w:jc w:val="right"/>
            </w:pPr>
            <w:r w:rsidRPr="00582BA3">
              <w:t>17,650</w:t>
            </w:r>
          </w:p>
        </w:tc>
        <w:tc>
          <w:tcPr>
            <w:tcW w:w="1276" w:type="dxa"/>
            <w:shd w:val="clear" w:color="auto" w:fill="D9D9D9" w:themeFill="background1" w:themeFillShade="D9"/>
          </w:tcPr>
          <w:p w:rsidR="001278C9" w:rsidRDefault="001278C9" w:rsidP="00991373">
            <w:pPr>
              <w:pStyle w:val="TableText"/>
              <w:jc w:val="right"/>
            </w:pPr>
            <w:r w:rsidRPr="00582BA3">
              <w:t xml:space="preserve">18,603,100 </w:t>
            </w:r>
          </w:p>
        </w:tc>
      </w:tr>
      <w:tr w:rsidR="001278C9" w:rsidTr="00E760AD">
        <w:tc>
          <w:tcPr>
            <w:tcW w:w="2127" w:type="dxa"/>
            <w:vMerge/>
            <w:shd w:val="clear" w:color="auto" w:fill="D9D9D9" w:themeFill="background1" w:themeFillShade="D9"/>
            <w:noWrap/>
            <w:hideMark/>
          </w:tcPr>
          <w:p w:rsidR="001278C9" w:rsidRDefault="001278C9" w:rsidP="001278C9">
            <w:pPr>
              <w:pStyle w:val="TableText"/>
            </w:pPr>
          </w:p>
        </w:tc>
        <w:tc>
          <w:tcPr>
            <w:tcW w:w="1134" w:type="dxa"/>
            <w:shd w:val="clear" w:color="auto" w:fill="D9D9D9" w:themeFill="background1" w:themeFillShade="D9"/>
          </w:tcPr>
          <w:p w:rsidR="001278C9" w:rsidRDefault="001278C9" w:rsidP="001278C9">
            <w:pPr>
              <w:spacing w:after="0" w:line="240" w:lineRule="auto"/>
              <w:jc w:val="right"/>
              <w:outlineLvl w:val="0"/>
              <w:rPr>
                <w:rFonts w:eastAsia="Times New Roman" w:cs="Times New Roman"/>
                <w:color w:val="000000"/>
                <w:sz w:val="18"/>
                <w:szCs w:val="18"/>
                <w:lang w:eastAsia="en-AU"/>
              </w:rPr>
            </w:pPr>
            <w:r>
              <w:rPr>
                <w:color w:val="000000"/>
                <w:sz w:val="18"/>
                <w:szCs w:val="18"/>
              </w:rPr>
              <w:t>71,872</w:t>
            </w:r>
          </w:p>
          <w:p w:rsidR="001278C9" w:rsidRDefault="001278C9" w:rsidP="00E760AD">
            <w:pPr>
              <w:pStyle w:val="TableText"/>
              <w:jc w:val="right"/>
            </w:pPr>
          </w:p>
        </w:tc>
        <w:tc>
          <w:tcPr>
            <w:tcW w:w="1559" w:type="dxa"/>
            <w:shd w:val="clear" w:color="auto" w:fill="D9D9D9" w:themeFill="background1" w:themeFillShade="D9"/>
          </w:tcPr>
          <w:p w:rsidR="001278C9" w:rsidRDefault="001278C9" w:rsidP="001278C9">
            <w:pPr>
              <w:pStyle w:val="TableText"/>
            </w:pPr>
            <w:r>
              <w:t>Vessel (&lt;25m) arrival charge</w:t>
            </w:r>
          </w:p>
        </w:tc>
        <w:tc>
          <w:tcPr>
            <w:tcW w:w="1276" w:type="dxa"/>
            <w:shd w:val="clear" w:color="auto" w:fill="D9D9D9" w:themeFill="background1" w:themeFillShade="D9"/>
          </w:tcPr>
          <w:p w:rsidR="001278C9" w:rsidRDefault="001278C9" w:rsidP="001278C9">
            <w:pPr>
              <w:pStyle w:val="TableText"/>
            </w:pPr>
            <w:r>
              <w:t>Per vessel</w:t>
            </w:r>
          </w:p>
        </w:tc>
        <w:tc>
          <w:tcPr>
            <w:tcW w:w="767" w:type="dxa"/>
            <w:shd w:val="clear" w:color="auto" w:fill="D9D9D9" w:themeFill="background1" w:themeFillShade="D9"/>
          </w:tcPr>
          <w:p w:rsidR="001278C9" w:rsidRDefault="001278C9" w:rsidP="001278C9">
            <w:pPr>
              <w:pStyle w:val="TableText"/>
              <w:jc w:val="right"/>
            </w:pPr>
            <w:r w:rsidRPr="00582BA3">
              <w:t>120</w:t>
            </w:r>
          </w:p>
        </w:tc>
        <w:tc>
          <w:tcPr>
            <w:tcW w:w="1075" w:type="dxa"/>
            <w:shd w:val="clear" w:color="auto" w:fill="D9D9D9" w:themeFill="background1" w:themeFillShade="D9"/>
          </w:tcPr>
          <w:p w:rsidR="001278C9" w:rsidRDefault="001278C9" w:rsidP="001278C9">
            <w:pPr>
              <w:pStyle w:val="TableText"/>
              <w:jc w:val="right"/>
            </w:pPr>
            <w:r w:rsidRPr="00582BA3">
              <w:t>600</w:t>
            </w:r>
          </w:p>
        </w:tc>
        <w:tc>
          <w:tcPr>
            <w:tcW w:w="1276" w:type="dxa"/>
            <w:shd w:val="clear" w:color="auto" w:fill="D9D9D9" w:themeFill="background1" w:themeFillShade="D9"/>
          </w:tcPr>
          <w:p w:rsidR="001278C9" w:rsidRDefault="001278C9" w:rsidP="00991373">
            <w:pPr>
              <w:pStyle w:val="TableText"/>
              <w:jc w:val="right"/>
            </w:pPr>
            <w:r w:rsidRPr="00582BA3">
              <w:t xml:space="preserve">72,000 </w:t>
            </w:r>
          </w:p>
        </w:tc>
      </w:tr>
      <w:tr w:rsidR="001278C9" w:rsidTr="006027B8">
        <w:tc>
          <w:tcPr>
            <w:tcW w:w="2127" w:type="dxa"/>
            <w:vMerge w:val="restart"/>
            <w:shd w:val="clear" w:color="auto" w:fill="auto"/>
            <w:noWrap/>
            <w:hideMark/>
          </w:tcPr>
          <w:p w:rsidR="001278C9" w:rsidRDefault="001278C9" w:rsidP="001278C9">
            <w:pPr>
              <w:pStyle w:val="TableText"/>
            </w:pPr>
            <w:r>
              <w:t>Charges – no change</w:t>
            </w:r>
          </w:p>
        </w:tc>
        <w:tc>
          <w:tcPr>
            <w:tcW w:w="1134" w:type="dxa"/>
            <w:shd w:val="clear" w:color="auto" w:fill="auto"/>
            <w:vAlign w:val="center"/>
            <w:hideMark/>
          </w:tcPr>
          <w:p w:rsidR="001278C9" w:rsidRDefault="001278C9" w:rsidP="001278C9">
            <w:pPr>
              <w:pStyle w:val="TableText"/>
              <w:jc w:val="right"/>
            </w:pPr>
            <w:r>
              <w:rPr>
                <w:color w:val="000000"/>
                <w:szCs w:val="18"/>
              </w:rPr>
              <w:t>1,700,280</w:t>
            </w:r>
          </w:p>
        </w:tc>
        <w:tc>
          <w:tcPr>
            <w:tcW w:w="1559" w:type="dxa"/>
            <w:shd w:val="clear" w:color="auto" w:fill="auto"/>
            <w:hideMark/>
          </w:tcPr>
          <w:p w:rsidR="001278C9" w:rsidRDefault="001278C9" w:rsidP="001278C9">
            <w:pPr>
              <w:pStyle w:val="TableText"/>
            </w:pPr>
            <w:r>
              <w:t>Permit application charge</w:t>
            </w:r>
          </w:p>
        </w:tc>
        <w:tc>
          <w:tcPr>
            <w:tcW w:w="1276" w:type="dxa"/>
            <w:shd w:val="clear" w:color="auto" w:fill="auto"/>
            <w:hideMark/>
          </w:tcPr>
          <w:p w:rsidR="001278C9" w:rsidRDefault="001278C9" w:rsidP="001278C9">
            <w:pPr>
              <w:pStyle w:val="TableText"/>
            </w:pPr>
            <w:r>
              <w:t>Per application</w:t>
            </w:r>
          </w:p>
        </w:tc>
        <w:tc>
          <w:tcPr>
            <w:tcW w:w="767" w:type="dxa"/>
            <w:shd w:val="clear" w:color="auto" w:fill="auto"/>
            <w:hideMark/>
          </w:tcPr>
          <w:p w:rsidR="001278C9" w:rsidRDefault="001278C9" w:rsidP="001278C9">
            <w:pPr>
              <w:pStyle w:val="TableText"/>
              <w:jc w:val="right"/>
            </w:pPr>
            <w:r>
              <w:t>120</w:t>
            </w:r>
          </w:p>
        </w:tc>
        <w:tc>
          <w:tcPr>
            <w:tcW w:w="1075" w:type="dxa"/>
            <w:shd w:val="clear" w:color="auto" w:fill="auto"/>
            <w:vAlign w:val="center"/>
            <w:hideMark/>
          </w:tcPr>
          <w:p w:rsidR="001278C9" w:rsidRDefault="001278C9" w:rsidP="001278C9">
            <w:pPr>
              <w:pStyle w:val="TableText"/>
              <w:jc w:val="right"/>
            </w:pPr>
            <w:r>
              <w:rPr>
                <w:color w:val="000000"/>
                <w:szCs w:val="18"/>
              </w:rPr>
              <w:t>14,169</w:t>
            </w:r>
          </w:p>
        </w:tc>
        <w:tc>
          <w:tcPr>
            <w:tcW w:w="1276" w:type="dxa"/>
            <w:shd w:val="clear" w:color="auto" w:fill="auto"/>
            <w:vAlign w:val="center"/>
            <w:hideMark/>
          </w:tcPr>
          <w:p w:rsidR="001278C9" w:rsidRDefault="001278C9" w:rsidP="00991373">
            <w:pPr>
              <w:pStyle w:val="TableText"/>
              <w:jc w:val="right"/>
            </w:pPr>
            <w:r>
              <w:rPr>
                <w:color w:val="000000"/>
                <w:szCs w:val="18"/>
              </w:rPr>
              <w:t xml:space="preserve">1,700,280 </w:t>
            </w:r>
          </w:p>
        </w:tc>
      </w:tr>
      <w:tr w:rsidR="001278C9" w:rsidTr="006027B8">
        <w:tc>
          <w:tcPr>
            <w:tcW w:w="2127" w:type="dxa"/>
            <w:vMerge/>
            <w:shd w:val="clear" w:color="auto" w:fill="auto"/>
            <w:noWrap/>
            <w:hideMark/>
          </w:tcPr>
          <w:p w:rsidR="001278C9" w:rsidRDefault="001278C9" w:rsidP="001278C9">
            <w:pPr>
              <w:pStyle w:val="TableText"/>
            </w:pPr>
          </w:p>
        </w:tc>
        <w:tc>
          <w:tcPr>
            <w:tcW w:w="1134" w:type="dxa"/>
            <w:shd w:val="clear" w:color="auto" w:fill="auto"/>
            <w:vAlign w:val="center"/>
            <w:hideMark/>
          </w:tcPr>
          <w:p w:rsidR="001278C9" w:rsidRDefault="001278C9" w:rsidP="001278C9">
            <w:pPr>
              <w:pStyle w:val="TableText"/>
              <w:jc w:val="right"/>
            </w:pPr>
            <w:r>
              <w:rPr>
                <w:color w:val="000000"/>
                <w:szCs w:val="18"/>
              </w:rPr>
              <w:t>1,820,052</w:t>
            </w:r>
          </w:p>
        </w:tc>
        <w:tc>
          <w:tcPr>
            <w:tcW w:w="1559" w:type="dxa"/>
            <w:shd w:val="clear" w:color="auto" w:fill="auto"/>
            <w:hideMark/>
          </w:tcPr>
          <w:p w:rsidR="001278C9" w:rsidRDefault="001278C9" w:rsidP="001278C9">
            <w:pPr>
              <w:pStyle w:val="TableText"/>
            </w:pPr>
            <w:r>
              <w:t xml:space="preserve">Approved arrangement </w:t>
            </w:r>
            <w:r>
              <w:rPr>
                <w:rFonts w:asciiTheme="majorHAnsi" w:hAnsiTheme="majorHAnsi"/>
                <w:lang w:eastAsia="ja-JP"/>
              </w:rPr>
              <w:t>–</w:t>
            </w:r>
            <w:r>
              <w:t xml:space="preserve"> AEPCOMM</w:t>
            </w:r>
          </w:p>
        </w:tc>
        <w:tc>
          <w:tcPr>
            <w:tcW w:w="1276" w:type="dxa"/>
            <w:shd w:val="clear" w:color="auto" w:fill="auto"/>
            <w:hideMark/>
          </w:tcPr>
          <w:p w:rsidR="001278C9" w:rsidRDefault="001278C9" w:rsidP="001278C9">
            <w:pPr>
              <w:pStyle w:val="TableText"/>
            </w:pPr>
            <w:r>
              <w:t>Per item</w:t>
            </w:r>
          </w:p>
        </w:tc>
        <w:tc>
          <w:tcPr>
            <w:tcW w:w="767" w:type="dxa"/>
            <w:shd w:val="clear" w:color="auto" w:fill="auto"/>
            <w:hideMark/>
          </w:tcPr>
          <w:p w:rsidR="001278C9" w:rsidRDefault="001278C9" w:rsidP="001278C9">
            <w:pPr>
              <w:pStyle w:val="TableText"/>
              <w:jc w:val="right"/>
            </w:pPr>
            <w:r>
              <w:t>18</w:t>
            </w:r>
          </w:p>
        </w:tc>
        <w:tc>
          <w:tcPr>
            <w:tcW w:w="1075" w:type="dxa"/>
            <w:shd w:val="clear" w:color="auto" w:fill="auto"/>
            <w:vAlign w:val="center"/>
            <w:hideMark/>
          </w:tcPr>
          <w:p w:rsidR="001278C9" w:rsidRDefault="001278C9" w:rsidP="001278C9">
            <w:pPr>
              <w:pStyle w:val="TableText"/>
              <w:jc w:val="right"/>
            </w:pPr>
            <w:r>
              <w:rPr>
                <w:color w:val="000000"/>
                <w:szCs w:val="18"/>
              </w:rPr>
              <w:t>101,114</w:t>
            </w:r>
          </w:p>
        </w:tc>
        <w:tc>
          <w:tcPr>
            <w:tcW w:w="1276" w:type="dxa"/>
            <w:shd w:val="clear" w:color="auto" w:fill="auto"/>
            <w:vAlign w:val="center"/>
            <w:hideMark/>
          </w:tcPr>
          <w:p w:rsidR="001278C9" w:rsidRDefault="001278C9" w:rsidP="00991373">
            <w:pPr>
              <w:pStyle w:val="TableText"/>
              <w:jc w:val="right"/>
            </w:pPr>
            <w:r>
              <w:rPr>
                <w:color w:val="000000"/>
                <w:szCs w:val="18"/>
              </w:rPr>
              <w:t xml:space="preserve">1,820,052 </w:t>
            </w:r>
          </w:p>
        </w:tc>
      </w:tr>
      <w:tr w:rsidR="001278C9" w:rsidTr="006027B8">
        <w:tc>
          <w:tcPr>
            <w:tcW w:w="2127" w:type="dxa"/>
            <w:vMerge/>
            <w:shd w:val="clear" w:color="auto" w:fill="auto"/>
            <w:noWrap/>
            <w:hideMark/>
          </w:tcPr>
          <w:p w:rsidR="001278C9" w:rsidRDefault="001278C9" w:rsidP="001278C9">
            <w:pPr>
              <w:pStyle w:val="TableText"/>
            </w:pPr>
          </w:p>
        </w:tc>
        <w:tc>
          <w:tcPr>
            <w:tcW w:w="1134" w:type="dxa"/>
            <w:shd w:val="clear" w:color="auto" w:fill="auto"/>
            <w:vAlign w:val="center"/>
            <w:hideMark/>
          </w:tcPr>
          <w:p w:rsidR="001278C9" w:rsidRDefault="001278C9" w:rsidP="001278C9">
            <w:pPr>
              <w:pStyle w:val="TableText"/>
              <w:jc w:val="right"/>
            </w:pPr>
            <w:r>
              <w:rPr>
                <w:color w:val="000000"/>
                <w:szCs w:val="18"/>
              </w:rPr>
              <w:t>2,831,667</w:t>
            </w:r>
          </w:p>
        </w:tc>
        <w:tc>
          <w:tcPr>
            <w:tcW w:w="1559" w:type="dxa"/>
            <w:shd w:val="clear" w:color="auto" w:fill="auto"/>
            <w:hideMark/>
          </w:tcPr>
          <w:p w:rsidR="001278C9" w:rsidRDefault="001278C9" w:rsidP="001278C9">
            <w:pPr>
              <w:pStyle w:val="TableText"/>
            </w:pPr>
            <w:r>
              <w:t xml:space="preserve">Approved arrangement </w:t>
            </w:r>
            <w:r>
              <w:rPr>
                <w:rFonts w:asciiTheme="majorHAnsi" w:hAnsiTheme="majorHAnsi"/>
                <w:lang w:eastAsia="ja-JP"/>
              </w:rPr>
              <w:t>–</w:t>
            </w:r>
            <w:r>
              <w:t xml:space="preserve"> single site</w:t>
            </w:r>
          </w:p>
        </w:tc>
        <w:tc>
          <w:tcPr>
            <w:tcW w:w="1276" w:type="dxa"/>
            <w:shd w:val="clear" w:color="auto" w:fill="auto"/>
            <w:hideMark/>
          </w:tcPr>
          <w:p w:rsidR="001278C9" w:rsidRDefault="001278C9" w:rsidP="001278C9">
            <w:pPr>
              <w:pStyle w:val="TableText"/>
            </w:pPr>
            <w:r>
              <w:t>Per item</w:t>
            </w:r>
          </w:p>
        </w:tc>
        <w:tc>
          <w:tcPr>
            <w:tcW w:w="767" w:type="dxa"/>
            <w:shd w:val="clear" w:color="auto" w:fill="auto"/>
            <w:hideMark/>
          </w:tcPr>
          <w:p w:rsidR="001278C9" w:rsidRDefault="001278C9" w:rsidP="001278C9">
            <w:pPr>
              <w:pStyle w:val="TableText"/>
              <w:jc w:val="right"/>
            </w:pPr>
            <w:r>
              <w:t>2,500</w:t>
            </w:r>
          </w:p>
        </w:tc>
        <w:tc>
          <w:tcPr>
            <w:tcW w:w="1075" w:type="dxa"/>
            <w:shd w:val="clear" w:color="auto" w:fill="auto"/>
            <w:vAlign w:val="center"/>
            <w:hideMark/>
          </w:tcPr>
          <w:p w:rsidR="001278C9" w:rsidRDefault="001278C9" w:rsidP="001278C9">
            <w:pPr>
              <w:pStyle w:val="TableText"/>
              <w:jc w:val="right"/>
            </w:pPr>
            <w:r>
              <w:rPr>
                <w:color w:val="000000"/>
                <w:szCs w:val="18"/>
              </w:rPr>
              <w:t>1,133</w:t>
            </w:r>
          </w:p>
        </w:tc>
        <w:tc>
          <w:tcPr>
            <w:tcW w:w="1276" w:type="dxa"/>
            <w:shd w:val="clear" w:color="auto" w:fill="auto"/>
            <w:vAlign w:val="center"/>
            <w:hideMark/>
          </w:tcPr>
          <w:p w:rsidR="001278C9" w:rsidRDefault="001278C9" w:rsidP="00991373">
            <w:pPr>
              <w:pStyle w:val="TableText"/>
              <w:jc w:val="right"/>
            </w:pPr>
            <w:r>
              <w:rPr>
                <w:color w:val="000000"/>
                <w:szCs w:val="18"/>
              </w:rPr>
              <w:t xml:space="preserve">2,831,667 </w:t>
            </w:r>
          </w:p>
        </w:tc>
      </w:tr>
      <w:tr w:rsidR="001278C9" w:rsidTr="006027B8">
        <w:tc>
          <w:tcPr>
            <w:tcW w:w="2127" w:type="dxa"/>
            <w:vMerge/>
            <w:shd w:val="clear" w:color="auto" w:fill="auto"/>
            <w:noWrap/>
            <w:hideMark/>
          </w:tcPr>
          <w:p w:rsidR="001278C9" w:rsidRDefault="001278C9" w:rsidP="001278C9">
            <w:pPr>
              <w:pStyle w:val="TableText"/>
            </w:pPr>
          </w:p>
        </w:tc>
        <w:tc>
          <w:tcPr>
            <w:tcW w:w="1134" w:type="dxa"/>
            <w:shd w:val="clear" w:color="auto" w:fill="auto"/>
            <w:vAlign w:val="center"/>
            <w:hideMark/>
          </w:tcPr>
          <w:p w:rsidR="001278C9" w:rsidRDefault="001278C9" w:rsidP="001278C9">
            <w:pPr>
              <w:pStyle w:val="TableText"/>
              <w:jc w:val="right"/>
            </w:pPr>
            <w:r>
              <w:rPr>
                <w:color w:val="000000"/>
                <w:szCs w:val="18"/>
              </w:rPr>
              <w:t>1,148,400</w:t>
            </w:r>
          </w:p>
        </w:tc>
        <w:tc>
          <w:tcPr>
            <w:tcW w:w="1559" w:type="dxa"/>
            <w:shd w:val="clear" w:color="auto" w:fill="auto"/>
            <w:hideMark/>
          </w:tcPr>
          <w:p w:rsidR="001278C9" w:rsidRDefault="001278C9" w:rsidP="001278C9">
            <w:pPr>
              <w:pStyle w:val="TableText"/>
            </w:pPr>
            <w:r>
              <w:t xml:space="preserve">Approved arrangement </w:t>
            </w:r>
            <w:r>
              <w:rPr>
                <w:rFonts w:asciiTheme="majorHAnsi" w:hAnsiTheme="majorHAnsi"/>
                <w:lang w:eastAsia="ja-JP"/>
              </w:rPr>
              <w:t>–</w:t>
            </w:r>
            <w:r>
              <w:t xml:space="preserve"> multi site</w:t>
            </w:r>
          </w:p>
        </w:tc>
        <w:tc>
          <w:tcPr>
            <w:tcW w:w="1276" w:type="dxa"/>
            <w:shd w:val="clear" w:color="auto" w:fill="auto"/>
            <w:hideMark/>
          </w:tcPr>
          <w:p w:rsidR="001278C9" w:rsidRDefault="001278C9" w:rsidP="001278C9">
            <w:pPr>
              <w:pStyle w:val="TableText"/>
            </w:pPr>
            <w:r>
              <w:t>Per item</w:t>
            </w:r>
          </w:p>
        </w:tc>
        <w:tc>
          <w:tcPr>
            <w:tcW w:w="767" w:type="dxa"/>
            <w:shd w:val="clear" w:color="auto" w:fill="auto"/>
            <w:hideMark/>
          </w:tcPr>
          <w:p w:rsidR="001278C9" w:rsidRDefault="001278C9" w:rsidP="001278C9">
            <w:pPr>
              <w:pStyle w:val="TableText"/>
              <w:jc w:val="right"/>
            </w:pPr>
            <w:r>
              <w:t>2,900</w:t>
            </w:r>
          </w:p>
        </w:tc>
        <w:tc>
          <w:tcPr>
            <w:tcW w:w="1075" w:type="dxa"/>
            <w:shd w:val="clear" w:color="auto" w:fill="auto"/>
            <w:vAlign w:val="center"/>
            <w:hideMark/>
          </w:tcPr>
          <w:p w:rsidR="001278C9" w:rsidRDefault="001278C9" w:rsidP="001278C9">
            <w:pPr>
              <w:pStyle w:val="TableText"/>
              <w:jc w:val="right"/>
            </w:pPr>
            <w:r>
              <w:rPr>
                <w:color w:val="000000"/>
                <w:szCs w:val="18"/>
              </w:rPr>
              <w:t>396</w:t>
            </w:r>
          </w:p>
        </w:tc>
        <w:tc>
          <w:tcPr>
            <w:tcW w:w="1276" w:type="dxa"/>
            <w:shd w:val="clear" w:color="auto" w:fill="auto"/>
            <w:vAlign w:val="center"/>
            <w:hideMark/>
          </w:tcPr>
          <w:p w:rsidR="001278C9" w:rsidRDefault="001278C9" w:rsidP="00991373">
            <w:pPr>
              <w:pStyle w:val="TableText"/>
              <w:jc w:val="right"/>
            </w:pPr>
            <w:r>
              <w:rPr>
                <w:color w:val="000000"/>
                <w:szCs w:val="18"/>
              </w:rPr>
              <w:t xml:space="preserve">1,148,400 </w:t>
            </w:r>
          </w:p>
        </w:tc>
      </w:tr>
      <w:tr w:rsidR="001278C9" w:rsidTr="006027B8">
        <w:tc>
          <w:tcPr>
            <w:tcW w:w="2127" w:type="dxa"/>
            <w:vMerge/>
            <w:shd w:val="clear" w:color="auto" w:fill="auto"/>
            <w:noWrap/>
            <w:hideMark/>
          </w:tcPr>
          <w:p w:rsidR="001278C9" w:rsidRDefault="001278C9" w:rsidP="001278C9">
            <w:pPr>
              <w:pStyle w:val="TableText"/>
            </w:pPr>
          </w:p>
        </w:tc>
        <w:tc>
          <w:tcPr>
            <w:tcW w:w="1134" w:type="dxa"/>
            <w:shd w:val="clear" w:color="auto" w:fill="auto"/>
            <w:vAlign w:val="center"/>
            <w:hideMark/>
          </w:tcPr>
          <w:p w:rsidR="001278C9" w:rsidRDefault="001278C9" w:rsidP="001278C9">
            <w:pPr>
              <w:pStyle w:val="TableText"/>
              <w:jc w:val="right"/>
            </w:pPr>
            <w:r>
              <w:rPr>
                <w:color w:val="000000"/>
                <w:szCs w:val="18"/>
              </w:rPr>
              <w:t>189,500</w:t>
            </w:r>
          </w:p>
        </w:tc>
        <w:tc>
          <w:tcPr>
            <w:tcW w:w="1559" w:type="dxa"/>
            <w:shd w:val="clear" w:color="auto" w:fill="auto"/>
            <w:hideMark/>
          </w:tcPr>
          <w:p w:rsidR="001278C9" w:rsidRDefault="001278C9" w:rsidP="001278C9">
            <w:pPr>
              <w:pStyle w:val="TableText"/>
            </w:pPr>
            <w:r>
              <w:t xml:space="preserve">Approved arrangement </w:t>
            </w:r>
            <w:r>
              <w:rPr>
                <w:rFonts w:asciiTheme="majorHAnsi" w:hAnsiTheme="majorHAnsi"/>
                <w:lang w:eastAsia="ja-JP"/>
              </w:rPr>
              <w:t>–</w:t>
            </w:r>
            <w:r>
              <w:t xml:space="preserve"> broker</w:t>
            </w:r>
          </w:p>
        </w:tc>
        <w:tc>
          <w:tcPr>
            <w:tcW w:w="1276" w:type="dxa"/>
            <w:shd w:val="clear" w:color="auto" w:fill="auto"/>
            <w:hideMark/>
          </w:tcPr>
          <w:p w:rsidR="001278C9" w:rsidRDefault="001278C9" w:rsidP="001278C9">
            <w:pPr>
              <w:pStyle w:val="TableText"/>
            </w:pPr>
            <w:r>
              <w:t>Per item</w:t>
            </w:r>
          </w:p>
        </w:tc>
        <w:tc>
          <w:tcPr>
            <w:tcW w:w="767" w:type="dxa"/>
            <w:shd w:val="clear" w:color="auto" w:fill="auto"/>
            <w:hideMark/>
          </w:tcPr>
          <w:p w:rsidR="001278C9" w:rsidRDefault="001278C9" w:rsidP="001278C9">
            <w:pPr>
              <w:pStyle w:val="TableText"/>
              <w:jc w:val="right"/>
            </w:pPr>
            <w:r>
              <w:t>500</w:t>
            </w:r>
          </w:p>
        </w:tc>
        <w:tc>
          <w:tcPr>
            <w:tcW w:w="1075" w:type="dxa"/>
            <w:shd w:val="clear" w:color="auto" w:fill="auto"/>
            <w:vAlign w:val="center"/>
            <w:hideMark/>
          </w:tcPr>
          <w:p w:rsidR="001278C9" w:rsidRDefault="001278C9" w:rsidP="001278C9">
            <w:pPr>
              <w:pStyle w:val="TableText"/>
              <w:jc w:val="right"/>
            </w:pPr>
            <w:r>
              <w:rPr>
                <w:color w:val="000000"/>
                <w:szCs w:val="18"/>
              </w:rPr>
              <w:t>379</w:t>
            </w:r>
          </w:p>
        </w:tc>
        <w:tc>
          <w:tcPr>
            <w:tcW w:w="1276" w:type="dxa"/>
            <w:shd w:val="clear" w:color="auto" w:fill="auto"/>
            <w:vAlign w:val="center"/>
            <w:hideMark/>
          </w:tcPr>
          <w:p w:rsidR="001278C9" w:rsidRDefault="001278C9" w:rsidP="00991373">
            <w:pPr>
              <w:pStyle w:val="TableText"/>
              <w:jc w:val="right"/>
            </w:pPr>
            <w:r>
              <w:rPr>
                <w:color w:val="000000"/>
                <w:szCs w:val="18"/>
              </w:rPr>
              <w:t xml:space="preserve">189,500 </w:t>
            </w:r>
          </w:p>
        </w:tc>
      </w:tr>
      <w:tr w:rsidR="001278C9" w:rsidTr="006027B8">
        <w:tc>
          <w:tcPr>
            <w:tcW w:w="2127" w:type="dxa"/>
            <w:vMerge/>
            <w:shd w:val="clear" w:color="auto" w:fill="auto"/>
            <w:noWrap/>
            <w:hideMark/>
          </w:tcPr>
          <w:p w:rsidR="001278C9" w:rsidRDefault="001278C9" w:rsidP="001278C9">
            <w:pPr>
              <w:pStyle w:val="TableText"/>
            </w:pPr>
          </w:p>
        </w:tc>
        <w:tc>
          <w:tcPr>
            <w:tcW w:w="1134" w:type="dxa"/>
            <w:shd w:val="clear" w:color="auto" w:fill="auto"/>
            <w:vAlign w:val="center"/>
            <w:hideMark/>
          </w:tcPr>
          <w:p w:rsidR="001278C9" w:rsidRDefault="001278C9" w:rsidP="001278C9">
            <w:pPr>
              <w:pStyle w:val="TableText"/>
              <w:jc w:val="right"/>
            </w:pPr>
            <w:r>
              <w:rPr>
                <w:color w:val="000000"/>
                <w:szCs w:val="18"/>
              </w:rPr>
              <w:t>1,150,200</w:t>
            </w:r>
          </w:p>
        </w:tc>
        <w:tc>
          <w:tcPr>
            <w:tcW w:w="1559" w:type="dxa"/>
            <w:shd w:val="clear" w:color="auto" w:fill="auto"/>
            <w:hideMark/>
          </w:tcPr>
          <w:p w:rsidR="001278C9" w:rsidRPr="007954E8" w:rsidRDefault="001278C9" w:rsidP="00A96C2F">
            <w:pPr>
              <w:pStyle w:val="TableText"/>
            </w:pPr>
            <w:r w:rsidRPr="007954E8">
              <w:t>PEQ importation charge – horses or ruminants or other animal &gt;25 kgs</w:t>
            </w:r>
          </w:p>
        </w:tc>
        <w:tc>
          <w:tcPr>
            <w:tcW w:w="1276" w:type="dxa"/>
            <w:shd w:val="clear" w:color="auto" w:fill="auto"/>
            <w:hideMark/>
          </w:tcPr>
          <w:p w:rsidR="001278C9" w:rsidRDefault="001278C9" w:rsidP="001278C9">
            <w:pPr>
              <w:pStyle w:val="TableText"/>
            </w:pPr>
            <w:r>
              <w:t>Per animal</w:t>
            </w:r>
          </w:p>
        </w:tc>
        <w:tc>
          <w:tcPr>
            <w:tcW w:w="767" w:type="dxa"/>
            <w:shd w:val="clear" w:color="auto" w:fill="auto"/>
            <w:hideMark/>
          </w:tcPr>
          <w:p w:rsidR="001278C9" w:rsidRDefault="001278C9" w:rsidP="001278C9">
            <w:pPr>
              <w:pStyle w:val="TableText"/>
              <w:jc w:val="right"/>
            </w:pPr>
            <w:r>
              <w:t>3,000</w:t>
            </w:r>
          </w:p>
        </w:tc>
        <w:tc>
          <w:tcPr>
            <w:tcW w:w="1075" w:type="dxa"/>
            <w:shd w:val="clear" w:color="auto" w:fill="auto"/>
            <w:vAlign w:val="center"/>
            <w:hideMark/>
          </w:tcPr>
          <w:p w:rsidR="001278C9" w:rsidRDefault="001278C9" w:rsidP="001278C9">
            <w:pPr>
              <w:pStyle w:val="TableText"/>
              <w:jc w:val="right"/>
            </w:pPr>
            <w:r>
              <w:rPr>
                <w:color w:val="000000"/>
                <w:szCs w:val="18"/>
              </w:rPr>
              <w:t>426</w:t>
            </w:r>
          </w:p>
        </w:tc>
        <w:tc>
          <w:tcPr>
            <w:tcW w:w="1276" w:type="dxa"/>
            <w:shd w:val="clear" w:color="auto" w:fill="auto"/>
            <w:vAlign w:val="center"/>
            <w:hideMark/>
          </w:tcPr>
          <w:p w:rsidR="001278C9" w:rsidRDefault="001278C9" w:rsidP="00991373">
            <w:pPr>
              <w:pStyle w:val="TableText"/>
              <w:jc w:val="right"/>
            </w:pPr>
            <w:r>
              <w:rPr>
                <w:color w:val="000000"/>
                <w:szCs w:val="18"/>
              </w:rPr>
              <w:t xml:space="preserve">1,150,200 </w:t>
            </w:r>
          </w:p>
        </w:tc>
      </w:tr>
      <w:tr w:rsidR="001278C9" w:rsidTr="006027B8">
        <w:tc>
          <w:tcPr>
            <w:tcW w:w="2127" w:type="dxa"/>
            <w:vMerge/>
            <w:shd w:val="clear" w:color="auto" w:fill="auto"/>
            <w:noWrap/>
            <w:hideMark/>
          </w:tcPr>
          <w:p w:rsidR="001278C9" w:rsidRDefault="001278C9" w:rsidP="001278C9">
            <w:pPr>
              <w:pStyle w:val="TableText"/>
            </w:pPr>
          </w:p>
        </w:tc>
        <w:tc>
          <w:tcPr>
            <w:tcW w:w="1134" w:type="dxa"/>
            <w:shd w:val="clear" w:color="auto" w:fill="auto"/>
            <w:vAlign w:val="center"/>
            <w:hideMark/>
          </w:tcPr>
          <w:p w:rsidR="001278C9" w:rsidRDefault="001278C9" w:rsidP="001278C9">
            <w:pPr>
              <w:pStyle w:val="TableText"/>
              <w:jc w:val="right"/>
            </w:pPr>
            <w:r>
              <w:rPr>
                <w:color w:val="000000"/>
                <w:szCs w:val="18"/>
              </w:rPr>
              <w:t>8,126,400</w:t>
            </w:r>
          </w:p>
        </w:tc>
        <w:tc>
          <w:tcPr>
            <w:tcW w:w="1559" w:type="dxa"/>
            <w:shd w:val="clear" w:color="auto" w:fill="auto"/>
            <w:hideMark/>
          </w:tcPr>
          <w:p w:rsidR="001278C9" w:rsidRPr="007954E8" w:rsidRDefault="001278C9" w:rsidP="00A96C2F">
            <w:pPr>
              <w:pStyle w:val="TableText"/>
            </w:pPr>
            <w:r w:rsidRPr="007954E8">
              <w:t>PEQ importation charge –cats or dogs or other animal ≤25 kgs</w:t>
            </w:r>
          </w:p>
        </w:tc>
        <w:tc>
          <w:tcPr>
            <w:tcW w:w="1276" w:type="dxa"/>
            <w:shd w:val="clear" w:color="auto" w:fill="auto"/>
            <w:hideMark/>
          </w:tcPr>
          <w:p w:rsidR="001278C9" w:rsidRDefault="001278C9" w:rsidP="001278C9">
            <w:pPr>
              <w:pStyle w:val="TableText"/>
            </w:pPr>
            <w:r>
              <w:t>Per animal</w:t>
            </w:r>
          </w:p>
        </w:tc>
        <w:tc>
          <w:tcPr>
            <w:tcW w:w="767" w:type="dxa"/>
            <w:shd w:val="clear" w:color="auto" w:fill="auto"/>
            <w:hideMark/>
          </w:tcPr>
          <w:p w:rsidR="001278C9" w:rsidRDefault="001278C9" w:rsidP="001278C9">
            <w:pPr>
              <w:pStyle w:val="TableText"/>
              <w:jc w:val="right"/>
            </w:pPr>
            <w:r>
              <w:t>1,200</w:t>
            </w:r>
          </w:p>
        </w:tc>
        <w:tc>
          <w:tcPr>
            <w:tcW w:w="1075" w:type="dxa"/>
            <w:shd w:val="clear" w:color="auto" w:fill="auto"/>
            <w:vAlign w:val="center"/>
            <w:hideMark/>
          </w:tcPr>
          <w:p w:rsidR="001278C9" w:rsidRDefault="001278C9" w:rsidP="001278C9">
            <w:pPr>
              <w:pStyle w:val="TableText"/>
              <w:jc w:val="right"/>
            </w:pPr>
            <w:r>
              <w:rPr>
                <w:color w:val="000000"/>
                <w:szCs w:val="18"/>
              </w:rPr>
              <w:t>6,772</w:t>
            </w:r>
          </w:p>
        </w:tc>
        <w:tc>
          <w:tcPr>
            <w:tcW w:w="1276" w:type="dxa"/>
            <w:shd w:val="clear" w:color="auto" w:fill="auto"/>
            <w:vAlign w:val="center"/>
            <w:hideMark/>
          </w:tcPr>
          <w:p w:rsidR="001278C9" w:rsidRDefault="001278C9" w:rsidP="00991373">
            <w:pPr>
              <w:pStyle w:val="TableText"/>
              <w:jc w:val="right"/>
            </w:pPr>
            <w:r>
              <w:rPr>
                <w:color w:val="000000"/>
                <w:szCs w:val="18"/>
              </w:rPr>
              <w:t xml:space="preserve">8,126,400 </w:t>
            </w:r>
          </w:p>
        </w:tc>
      </w:tr>
      <w:tr w:rsidR="001278C9" w:rsidTr="006027B8">
        <w:tc>
          <w:tcPr>
            <w:tcW w:w="2127" w:type="dxa"/>
            <w:vMerge/>
            <w:shd w:val="clear" w:color="auto" w:fill="auto"/>
            <w:noWrap/>
            <w:hideMark/>
          </w:tcPr>
          <w:p w:rsidR="001278C9" w:rsidRDefault="001278C9" w:rsidP="001278C9">
            <w:pPr>
              <w:pStyle w:val="TableText"/>
            </w:pPr>
          </w:p>
        </w:tc>
        <w:tc>
          <w:tcPr>
            <w:tcW w:w="1134" w:type="dxa"/>
            <w:shd w:val="clear" w:color="auto" w:fill="auto"/>
            <w:vAlign w:val="center"/>
            <w:hideMark/>
          </w:tcPr>
          <w:p w:rsidR="001278C9" w:rsidRDefault="001278C9" w:rsidP="001278C9">
            <w:pPr>
              <w:pStyle w:val="TableText"/>
              <w:jc w:val="right"/>
            </w:pPr>
            <w:r>
              <w:rPr>
                <w:color w:val="000000"/>
                <w:szCs w:val="18"/>
              </w:rPr>
              <w:t>2,460</w:t>
            </w:r>
          </w:p>
        </w:tc>
        <w:tc>
          <w:tcPr>
            <w:tcW w:w="1559" w:type="dxa"/>
            <w:shd w:val="clear" w:color="auto" w:fill="auto"/>
            <w:hideMark/>
          </w:tcPr>
          <w:p w:rsidR="001278C9" w:rsidRDefault="001278C9" w:rsidP="001278C9">
            <w:pPr>
              <w:pStyle w:val="TableText"/>
            </w:pPr>
            <w:r>
              <w:t>PEQ importation charge – bees</w:t>
            </w:r>
          </w:p>
        </w:tc>
        <w:tc>
          <w:tcPr>
            <w:tcW w:w="1276" w:type="dxa"/>
            <w:shd w:val="clear" w:color="auto" w:fill="auto"/>
            <w:hideMark/>
          </w:tcPr>
          <w:p w:rsidR="001278C9" w:rsidRDefault="001278C9" w:rsidP="001278C9">
            <w:pPr>
              <w:pStyle w:val="TableText"/>
            </w:pPr>
            <w:r>
              <w:t>Per bees consignment</w:t>
            </w:r>
          </w:p>
        </w:tc>
        <w:tc>
          <w:tcPr>
            <w:tcW w:w="767" w:type="dxa"/>
            <w:shd w:val="clear" w:color="auto" w:fill="auto"/>
            <w:hideMark/>
          </w:tcPr>
          <w:p w:rsidR="001278C9" w:rsidRDefault="001278C9" w:rsidP="001278C9">
            <w:pPr>
              <w:pStyle w:val="TableText"/>
              <w:jc w:val="right"/>
            </w:pPr>
            <w:r>
              <w:t>2,500</w:t>
            </w:r>
          </w:p>
        </w:tc>
        <w:tc>
          <w:tcPr>
            <w:tcW w:w="1075" w:type="dxa"/>
            <w:shd w:val="clear" w:color="auto" w:fill="auto"/>
            <w:vAlign w:val="center"/>
            <w:hideMark/>
          </w:tcPr>
          <w:p w:rsidR="001278C9" w:rsidRDefault="001278C9" w:rsidP="001278C9">
            <w:pPr>
              <w:pStyle w:val="TableText"/>
              <w:jc w:val="right"/>
            </w:pPr>
            <w:r>
              <w:rPr>
                <w:color w:val="000000"/>
                <w:szCs w:val="18"/>
              </w:rPr>
              <w:t>1</w:t>
            </w:r>
          </w:p>
        </w:tc>
        <w:tc>
          <w:tcPr>
            <w:tcW w:w="1276" w:type="dxa"/>
            <w:shd w:val="clear" w:color="auto" w:fill="auto"/>
            <w:vAlign w:val="center"/>
            <w:hideMark/>
          </w:tcPr>
          <w:p w:rsidR="001278C9" w:rsidRDefault="001278C9" w:rsidP="00991373">
            <w:pPr>
              <w:pStyle w:val="TableText"/>
              <w:jc w:val="right"/>
            </w:pPr>
            <w:r>
              <w:rPr>
                <w:color w:val="000000"/>
                <w:szCs w:val="18"/>
              </w:rPr>
              <w:t xml:space="preserve">2,460 </w:t>
            </w:r>
          </w:p>
        </w:tc>
      </w:tr>
      <w:tr w:rsidR="001278C9" w:rsidTr="006027B8">
        <w:tc>
          <w:tcPr>
            <w:tcW w:w="2127" w:type="dxa"/>
            <w:vMerge/>
            <w:shd w:val="clear" w:color="auto" w:fill="auto"/>
            <w:noWrap/>
            <w:hideMark/>
          </w:tcPr>
          <w:p w:rsidR="001278C9" w:rsidRDefault="001278C9" w:rsidP="001278C9">
            <w:pPr>
              <w:pStyle w:val="TableText"/>
            </w:pPr>
          </w:p>
        </w:tc>
        <w:tc>
          <w:tcPr>
            <w:tcW w:w="1134" w:type="dxa"/>
            <w:shd w:val="clear" w:color="auto" w:fill="auto"/>
            <w:vAlign w:val="center"/>
            <w:hideMark/>
          </w:tcPr>
          <w:p w:rsidR="001278C9" w:rsidRDefault="001278C9" w:rsidP="001278C9">
            <w:pPr>
              <w:pStyle w:val="TableText"/>
              <w:jc w:val="right"/>
            </w:pPr>
            <w:r>
              <w:rPr>
                <w:color w:val="000000"/>
                <w:szCs w:val="18"/>
              </w:rPr>
              <w:t>73,980</w:t>
            </w:r>
          </w:p>
        </w:tc>
        <w:tc>
          <w:tcPr>
            <w:tcW w:w="1559" w:type="dxa"/>
            <w:shd w:val="clear" w:color="auto" w:fill="auto"/>
            <w:hideMark/>
          </w:tcPr>
          <w:p w:rsidR="001278C9" w:rsidRDefault="001278C9" w:rsidP="001278C9">
            <w:pPr>
              <w:pStyle w:val="TableText"/>
            </w:pPr>
            <w:r>
              <w:t>PEQ importation charge – avian (fertile eggs)</w:t>
            </w:r>
          </w:p>
        </w:tc>
        <w:tc>
          <w:tcPr>
            <w:tcW w:w="1276" w:type="dxa"/>
            <w:shd w:val="clear" w:color="auto" w:fill="auto"/>
            <w:hideMark/>
          </w:tcPr>
          <w:p w:rsidR="001278C9" w:rsidRDefault="001278C9" w:rsidP="001278C9">
            <w:pPr>
              <w:pStyle w:val="TableText"/>
            </w:pPr>
            <w:r>
              <w:t>Per hatching egg consignment</w:t>
            </w:r>
          </w:p>
        </w:tc>
        <w:tc>
          <w:tcPr>
            <w:tcW w:w="767" w:type="dxa"/>
            <w:shd w:val="clear" w:color="auto" w:fill="auto"/>
            <w:hideMark/>
          </w:tcPr>
          <w:p w:rsidR="001278C9" w:rsidRDefault="001278C9" w:rsidP="001278C9">
            <w:pPr>
              <w:pStyle w:val="TableText"/>
              <w:jc w:val="right"/>
            </w:pPr>
            <w:r>
              <w:t>31,304</w:t>
            </w:r>
          </w:p>
        </w:tc>
        <w:tc>
          <w:tcPr>
            <w:tcW w:w="1075" w:type="dxa"/>
            <w:shd w:val="clear" w:color="auto" w:fill="auto"/>
            <w:vAlign w:val="center"/>
            <w:hideMark/>
          </w:tcPr>
          <w:p w:rsidR="001278C9" w:rsidRDefault="001278C9" w:rsidP="001278C9">
            <w:pPr>
              <w:pStyle w:val="TableText"/>
              <w:jc w:val="right"/>
            </w:pPr>
            <w:r>
              <w:rPr>
                <w:color w:val="000000"/>
                <w:szCs w:val="18"/>
              </w:rPr>
              <w:t>2</w:t>
            </w:r>
          </w:p>
        </w:tc>
        <w:tc>
          <w:tcPr>
            <w:tcW w:w="1276" w:type="dxa"/>
            <w:shd w:val="clear" w:color="auto" w:fill="auto"/>
            <w:vAlign w:val="center"/>
            <w:hideMark/>
          </w:tcPr>
          <w:p w:rsidR="001278C9" w:rsidRDefault="001278C9" w:rsidP="00991373">
            <w:pPr>
              <w:pStyle w:val="TableText"/>
              <w:jc w:val="right"/>
            </w:pPr>
            <w:r>
              <w:rPr>
                <w:color w:val="000000"/>
                <w:szCs w:val="18"/>
              </w:rPr>
              <w:t xml:space="preserve">73,980 </w:t>
            </w:r>
          </w:p>
        </w:tc>
      </w:tr>
      <w:tr w:rsidR="001278C9" w:rsidTr="006027B8">
        <w:tc>
          <w:tcPr>
            <w:tcW w:w="2127" w:type="dxa"/>
            <w:vMerge/>
            <w:shd w:val="clear" w:color="auto" w:fill="auto"/>
            <w:noWrap/>
            <w:hideMark/>
          </w:tcPr>
          <w:p w:rsidR="001278C9" w:rsidRDefault="001278C9" w:rsidP="001278C9">
            <w:pPr>
              <w:pStyle w:val="TableText"/>
            </w:pPr>
          </w:p>
        </w:tc>
        <w:tc>
          <w:tcPr>
            <w:tcW w:w="1134" w:type="dxa"/>
            <w:shd w:val="clear" w:color="auto" w:fill="auto"/>
            <w:vAlign w:val="center"/>
            <w:hideMark/>
          </w:tcPr>
          <w:p w:rsidR="001278C9" w:rsidRDefault="001278C9" w:rsidP="001278C9">
            <w:pPr>
              <w:pStyle w:val="TableText"/>
              <w:jc w:val="right"/>
            </w:pPr>
            <w:r>
              <w:rPr>
                <w:color w:val="000000"/>
                <w:szCs w:val="18"/>
              </w:rPr>
              <w:t>26,560</w:t>
            </w:r>
          </w:p>
        </w:tc>
        <w:tc>
          <w:tcPr>
            <w:tcW w:w="1559" w:type="dxa"/>
            <w:shd w:val="clear" w:color="auto" w:fill="auto"/>
            <w:hideMark/>
          </w:tcPr>
          <w:p w:rsidR="001278C9" w:rsidRDefault="001278C9" w:rsidP="001278C9">
            <w:pPr>
              <w:pStyle w:val="TableText"/>
            </w:pPr>
            <w:r>
              <w:t>PEQ importation charge – avian (live bird)</w:t>
            </w:r>
          </w:p>
        </w:tc>
        <w:tc>
          <w:tcPr>
            <w:tcW w:w="1276" w:type="dxa"/>
            <w:shd w:val="clear" w:color="auto" w:fill="auto"/>
            <w:hideMark/>
          </w:tcPr>
          <w:p w:rsidR="001278C9" w:rsidRDefault="001278C9" w:rsidP="001278C9">
            <w:pPr>
              <w:pStyle w:val="TableText"/>
            </w:pPr>
            <w:r>
              <w:t>Per live bird consignment</w:t>
            </w:r>
          </w:p>
        </w:tc>
        <w:tc>
          <w:tcPr>
            <w:tcW w:w="767" w:type="dxa"/>
            <w:shd w:val="clear" w:color="auto" w:fill="auto"/>
            <w:hideMark/>
          </w:tcPr>
          <w:p w:rsidR="001278C9" w:rsidRDefault="001278C9" w:rsidP="001278C9">
            <w:pPr>
              <w:pStyle w:val="TableText"/>
              <w:jc w:val="right"/>
            </w:pPr>
            <w:r>
              <w:t>11,240</w:t>
            </w:r>
          </w:p>
        </w:tc>
        <w:tc>
          <w:tcPr>
            <w:tcW w:w="1075" w:type="dxa"/>
            <w:shd w:val="clear" w:color="auto" w:fill="auto"/>
            <w:vAlign w:val="center"/>
            <w:hideMark/>
          </w:tcPr>
          <w:p w:rsidR="001278C9" w:rsidRDefault="001278C9" w:rsidP="001278C9">
            <w:pPr>
              <w:pStyle w:val="TableText"/>
              <w:jc w:val="right"/>
            </w:pPr>
            <w:r>
              <w:rPr>
                <w:color w:val="000000"/>
                <w:szCs w:val="18"/>
              </w:rPr>
              <w:t>2</w:t>
            </w:r>
          </w:p>
        </w:tc>
        <w:tc>
          <w:tcPr>
            <w:tcW w:w="1276" w:type="dxa"/>
            <w:shd w:val="clear" w:color="auto" w:fill="auto"/>
            <w:vAlign w:val="center"/>
            <w:hideMark/>
          </w:tcPr>
          <w:p w:rsidR="001278C9" w:rsidRDefault="001278C9" w:rsidP="00991373">
            <w:pPr>
              <w:pStyle w:val="TableText"/>
              <w:jc w:val="right"/>
            </w:pPr>
            <w:r>
              <w:rPr>
                <w:color w:val="000000"/>
                <w:szCs w:val="18"/>
              </w:rPr>
              <w:t xml:space="preserve">26,560 </w:t>
            </w:r>
          </w:p>
        </w:tc>
      </w:tr>
      <w:tr w:rsidR="001278C9" w:rsidTr="006027B8">
        <w:tc>
          <w:tcPr>
            <w:tcW w:w="2127" w:type="dxa"/>
            <w:vMerge/>
            <w:shd w:val="clear" w:color="auto" w:fill="auto"/>
            <w:hideMark/>
          </w:tcPr>
          <w:p w:rsidR="001278C9" w:rsidRDefault="001278C9" w:rsidP="001278C9">
            <w:pPr>
              <w:pStyle w:val="TableText"/>
            </w:pPr>
          </w:p>
        </w:tc>
        <w:tc>
          <w:tcPr>
            <w:tcW w:w="1134" w:type="dxa"/>
            <w:shd w:val="clear" w:color="auto" w:fill="auto"/>
            <w:vAlign w:val="center"/>
            <w:hideMark/>
          </w:tcPr>
          <w:p w:rsidR="001278C9" w:rsidRDefault="001278C9" w:rsidP="001278C9">
            <w:pPr>
              <w:pStyle w:val="TableText"/>
              <w:jc w:val="right"/>
            </w:pPr>
            <w:r>
              <w:rPr>
                <w:color w:val="000000"/>
                <w:szCs w:val="18"/>
              </w:rPr>
              <w:t>387,420</w:t>
            </w:r>
          </w:p>
        </w:tc>
        <w:tc>
          <w:tcPr>
            <w:tcW w:w="1559" w:type="dxa"/>
            <w:shd w:val="clear" w:color="auto" w:fill="auto"/>
            <w:hideMark/>
          </w:tcPr>
          <w:p w:rsidR="001278C9" w:rsidRDefault="001278C9" w:rsidP="001278C9">
            <w:pPr>
              <w:pStyle w:val="TableText"/>
            </w:pPr>
            <w:r>
              <w:t>PEQ importation charge – plants</w:t>
            </w:r>
          </w:p>
        </w:tc>
        <w:tc>
          <w:tcPr>
            <w:tcW w:w="1276" w:type="dxa"/>
            <w:shd w:val="clear" w:color="auto" w:fill="auto"/>
            <w:hideMark/>
          </w:tcPr>
          <w:p w:rsidR="001278C9" w:rsidRDefault="001278C9" w:rsidP="001278C9">
            <w:pPr>
              <w:pStyle w:val="TableText"/>
            </w:pPr>
            <w:r>
              <w:t>Per m2</w:t>
            </w:r>
          </w:p>
        </w:tc>
        <w:tc>
          <w:tcPr>
            <w:tcW w:w="767" w:type="dxa"/>
            <w:shd w:val="clear" w:color="auto" w:fill="auto"/>
            <w:hideMark/>
          </w:tcPr>
          <w:p w:rsidR="001278C9" w:rsidRDefault="001278C9" w:rsidP="001278C9">
            <w:pPr>
              <w:pStyle w:val="TableText"/>
              <w:jc w:val="right"/>
            </w:pPr>
            <w:r>
              <w:t>110</w:t>
            </w:r>
          </w:p>
        </w:tc>
        <w:tc>
          <w:tcPr>
            <w:tcW w:w="1075" w:type="dxa"/>
            <w:shd w:val="clear" w:color="auto" w:fill="auto"/>
            <w:vAlign w:val="center"/>
            <w:hideMark/>
          </w:tcPr>
          <w:p w:rsidR="001278C9" w:rsidRDefault="001278C9" w:rsidP="001278C9">
            <w:pPr>
              <w:pStyle w:val="TableText"/>
              <w:jc w:val="right"/>
            </w:pPr>
            <w:r>
              <w:rPr>
                <w:color w:val="000000"/>
                <w:szCs w:val="18"/>
              </w:rPr>
              <w:t>3,522</w:t>
            </w:r>
          </w:p>
        </w:tc>
        <w:tc>
          <w:tcPr>
            <w:tcW w:w="1276" w:type="dxa"/>
            <w:shd w:val="clear" w:color="auto" w:fill="auto"/>
            <w:vAlign w:val="center"/>
            <w:hideMark/>
          </w:tcPr>
          <w:p w:rsidR="001278C9" w:rsidRDefault="001278C9" w:rsidP="00991373">
            <w:pPr>
              <w:pStyle w:val="TableText"/>
              <w:jc w:val="right"/>
            </w:pPr>
            <w:r>
              <w:rPr>
                <w:color w:val="000000"/>
                <w:szCs w:val="18"/>
              </w:rPr>
              <w:t xml:space="preserve">387,420 </w:t>
            </w:r>
          </w:p>
        </w:tc>
      </w:tr>
      <w:tr w:rsidR="001278C9" w:rsidTr="006027B8">
        <w:tc>
          <w:tcPr>
            <w:tcW w:w="2127" w:type="dxa"/>
            <w:vMerge w:val="restart"/>
            <w:shd w:val="clear" w:color="auto" w:fill="auto"/>
            <w:noWrap/>
            <w:hideMark/>
          </w:tcPr>
          <w:p w:rsidR="001278C9" w:rsidRDefault="001278C9" w:rsidP="001278C9">
            <w:pPr>
              <w:pStyle w:val="TableText"/>
            </w:pPr>
            <w:r>
              <w:t xml:space="preserve">Fee for service </w:t>
            </w:r>
            <w:r>
              <w:rPr>
                <w:rFonts w:asciiTheme="majorHAnsi" w:hAnsiTheme="majorHAnsi"/>
                <w:lang w:eastAsia="ja-JP"/>
              </w:rPr>
              <w:t>–</w:t>
            </w:r>
            <w:r>
              <w:t xml:space="preserve"> assessment, approval, inspection, treatment and audit</w:t>
            </w:r>
          </w:p>
        </w:tc>
        <w:tc>
          <w:tcPr>
            <w:tcW w:w="1134" w:type="dxa"/>
            <w:shd w:val="clear" w:color="auto" w:fill="auto"/>
            <w:vAlign w:val="center"/>
            <w:hideMark/>
          </w:tcPr>
          <w:p w:rsidR="001278C9" w:rsidRDefault="001278C9" w:rsidP="001278C9">
            <w:pPr>
              <w:pStyle w:val="TableText"/>
              <w:jc w:val="right"/>
            </w:pPr>
            <w:r>
              <w:rPr>
                <w:color w:val="000000"/>
                <w:szCs w:val="18"/>
              </w:rPr>
              <w:t>37,760,994</w:t>
            </w:r>
          </w:p>
        </w:tc>
        <w:tc>
          <w:tcPr>
            <w:tcW w:w="1559" w:type="dxa"/>
            <w:shd w:val="clear" w:color="auto" w:fill="auto"/>
            <w:hideMark/>
          </w:tcPr>
          <w:p w:rsidR="001278C9" w:rsidRDefault="001278C9" w:rsidP="001278C9">
            <w:pPr>
              <w:pStyle w:val="TableText"/>
            </w:pPr>
            <w:r>
              <w:t>In-office fee</w:t>
            </w:r>
          </w:p>
        </w:tc>
        <w:tc>
          <w:tcPr>
            <w:tcW w:w="1276" w:type="dxa"/>
            <w:shd w:val="clear" w:color="auto" w:fill="auto"/>
            <w:hideMark/>
          </w:tcPr>
          <w:p w:rsidR="001278C9" w:rsidRDefault="001278C9" w:rsidP="001278C9">
            <w:pPr>
              <w:pStyle w:val="TableText"/>
            </w:pPr>
            <w:r>
              <w:t>Per 15 minutes</w:t>
            </w:r>
          </w:p>
        </w:tc>
        <w:tc>
          <w:tcPr>
            <w:tcW w:w="767" w:type="dxa"/>
            <w:shd w:val="clear" w:color="auto" w:fill="auto"/>
            <w:hideMark/>
          </w:tcPr>
          <w:p w:rsidR="001278C9" w:rsidRDefault="001278C9" w:rsidP="001278C9">
            <w:pPr>
              <w:pStyle w:val="TableText"/>
              <w:jc w:val="right"/>
            </w:pPr>
            <w:r>
              <w:t>30</w:t>
            </w:r>
          </w:p>
        </w:tc>
        <w:tc>
          <w:tcPr>
            <w:tcW w:w="1075" w:type="dxa"/>
            <w:shd w:val="clear" w:color="auto" w:fill="auto"/>
            <w:vAlign w:val="center"/>
            <w:hideMark/>
          </w:tcPr>
          <w:p w:rsidR="001278C9" w:rsidRDefault="001278C9" w:rsidP="001278C9">
            <w:pPr>
              <w:pStyle w:val="TableText"/>
              <w:jc w:val="right"/>
            </w:pPr>
            <w:r>
              <w:rPr>
                <w:color w:val="000000"/>
                <w:szCs w:val="18"/>
              </w:rPr>
              <w:t>1,258,700</w:t>
            </w:r>
          </w:p>
        </w:tc>
        <w:tc>
          <w:tcPr>
            <w:tcW w:w="1276" w:type="dxa"/>
            <w:shd w:val="clear" w:color="auto" w:fill="auto"/>
            <w:vAlign w:val="center"/>
            <w:hideMark/>
          </w:tcPr>
          <w:p w:rsidR="001278C9" w:rsidRDefault="001278C9" w:rsidP="00991373">
            <w:pPr>
              <w:pStyle w:val="TableText"/>
              <w:jc w:val="right"/>
            </w:pPr>
            <w:r>
              <w:rPr>
                <w:color w:val="000000"/>
                <w:szCs w:val="18"/>
              </w:rPr>
              <w:t xml:space="preserve">37,760,994 </w:t>
            </w:r>
          </w:p>
        </w:tc>
      </w:tr>
      <w:tr w:rsidR="001278C9" w:rsidTr="006027B8">
        <w:tc>
          <w:tcPr>
            <w:tcW w:w="2127" w:type="dxa"/>
            <w:vMerge/>
            <w:shd w:val="clear" w:color="auto" w:fill="auto"/>
            <w:noWrap/>
            <w:hideMark/>
          </w:tcPr>
          <w:p w:rsidR="001278C9" w:rsidRDefault="001278C9" w:rsidP="001278C9">
            <w:pPr>
              <w:pStyle w:val="TableText"/>
            </w:pPr>
          </w:p>
        </w:tc>
        <w:tc>
          <w:tcPr>
            <w:tcW w:w="1134" w:type="dxa"/>
            <w:shd w:val="clear" w:color="auto" w:fill="auto"/>
            <w:vAlign w:val="center"/>
            <w:hideMark/>
          </w:tcPr>
          <w:p w:rsidR="001278C9" w:rsidRDefault="001278C9" w:rsidP="001278C9">
            <w:pPr>
              <w:pStyle w:val="TableText"/>
              <w:jc w:val="right"/>
            </w:pPr>
            <w:r>
              <w:rPr>
                <w:color w:val="000000"/>
                <w:szCs w:val="18"/>
              </w:rPr>
              <w:t>38,111,572</w:t>
            </w:r>
          </w:p>
        </w:tc>
        <w:tc>
          <w:tcPr>
            <w:tcW w:w="1559" w:type="dxa"/>
            <w:shd w:val="clear" w:color="auto" w:fill="auto"/>
            <w:hideMark/>
          </w:tcPr>
          <w:p w:rsidR="001278C9" w:rsidRDefault="001278C9" w:rsidP="001278C9">
            <w:pPr>
              <w:pStyle w:val="TableText"/>
            </w:pPr>
            <w:r>
              <w:t>Out-of-office fee</w:t>
            </w:r>
          </w:p>
        </w:tc>
        <w:tc>
          <w:tcPr>
            <w:tcW w:w="1276" w:type="dxa"/>
            <w:shd w:val="clear" w:color="auto" w:fill="auto"/>
            <w:hideMark/>
          </w:tcPr>
          <w:p w:rsidR="001278C9" w:rsidRDefault="001278C9" w:rsidP="001278C9">
            <w:pPr>
              <w:pStyle w:val="TableText"/>
            </w:pPr>
            <w:r>
              <w:t>Per 15 minutes</w:t>
            </w:r>
          </w:p>
        </w:tc>
        <w:tc>
          <w:tcPr>
            <w:tcW w:w="767" w:type="dxa"/>
            <w:shd w:val="clear" w:color="auto" w:fill="auto"/>
            <w:hideMark/>
          </w:tcPr>
          <w:p w:rsidR="001278C9" w:rsidRDefault="001278C9" w:rsidP="001278C9">
            <w:pPr>
              <w:pStyle w:val="TableText"/>
              <w:jc w:val="right"/>
            </w:pPr>
            <w:r>
              <w:t>50</w:t>
            </w:r>
          </w:p>
        </w:tc>
        <w:tc>
          <w:tcPr>
            <w:tcW w:w="1075" w:type="dxa"/>
            <w:shd w:val="clear" w:color="auto" w:fill="auto"/>
            <w:vAlign w:val="center"/>
            <w:hideMark/>
          </w:tcPr>
          <w:p w:rsidR="001278C9" w:rsidRDefault="001278C9" w:rsidP="001278C9">
            <w:pPr>
              <w:pStyle w:val="TableText"/>
              <w:jc w:val="right"/>
            </w:pPr>
            <w:r>
              <w:rPr>
                <w:color w:val="000000"/>
                <w:szCs w:val="18"/>
              </w:rPr>
              <w:t>762,231</w:t>
            </w:r>
          </w:p>
        </w:tc>
        <w:tc>
          <w:tcPr>
            <w:tcW w:w="1276" w:type="dxa"/>
            <w:shd w:val="clear" w:color="auto" w:fill="auto"/>
            <w:vAlign w:val="center"/>
            <w:hideMark/>
          </w:tcPr>
          <w:p w:rsidR="001278C9" w:rsidRDefault="001278C9" w:rsidP="00991373">
            <w:pPr>
              <w:pStyle w:val="TableText"/>
              <w:jc w:val="right"/>
            </w:pPr>
            <w:r>
              <w:rPr>
                <w:color w:val="000000"/>
                <w:szCs w:val="18"/>
              </w:rPr>
              <w:t xml:space="preserve">38,111,572 </w:t>
            </w:r>
          </w:p>
        </w:tc>
      </w:tr>
      <w:tr w:rsidR="001278C9" w:rsidTr="006027B8">
        <w:tc>
          <w:tcPr>
            <w:tcW w:w="2127" w:type="dxa"/>
            <w:vMerge w:val="restart"/>
            <w:shd w:val="clear" w:color="auto" w:fill="auto"/>
            <w:noWrap/>
            <w:hideMark/>
          </w:tcPr>
          <w:p w:rsidR="001278C9" w:rsidRDefault="001278C9" w:rsidP="001278C9">
            <w:pPr>
              <w:pStyle w:val="TableText"/>
            </w:pPr>
            <w:r>
              <w:lastRenderedPageBreak/>
              <w:t>Fee for service – husbandry</w:t>
            </w:r>
          </w:p>
        </w:tc>
        <w:tc>
          <w:tcPr>
            <w:tcW w:w="1134" w:type="dxa"/>
            <w:shd w:val="clear" w:color="auto" w:fill="auto"/>
            <w:vAlign w:val="center"/>
            <w:hideMark/>
          </w:tcPr>
          <w:p w:rsidR="001278C9" w:rsidRDefault="001278C9" w:rsidP="001278C9">
            <w:pPr>
              <w:pStyle w:val="TableText"/>
              <w:jc w:val="right"/>
            </w:pPr>
            <w:r>
              <w:rPr>
                <w:color w:val="000000"/>
                <w:szCs w:val="18"/>
              </w:rPr>
              <w:t>316,680</w:t>
            </w:r>
          </w:p>
        </w:tc>
        <w:tc>
          <w:tcPr>
            <w:tcW w:w="1559" w:type="dxa"/>
            <w:shd w:val="clear" w:color="auto" w:fill="auto"/>
            <w:hideMark/>
          </w:tcPr>
          <w:p w:rsidR="001278C9" w:rsidRPr="007954E8" w:rsidRDefault="001278C9" w:rsidP="00A96C2F">
            <w:pPr>
              <w:pStyle w:val="TableText"/>
            </w:pPr>
            <w:r w:rsidRPr="007954E8">
              <w:t>PEQ husbandry fee – horses or ruminants or animal &gt;25 kgs</w:t>
            </w:r>
          </w:p>
        </w:tc>
        <w:tc>
          <w:tcPr>
            <w:tcW w:w="1276" w:type="dxa"/>
            <w:shd w:val="clear" w:color="auto" w:fill="auto"/>
            <w:hideMark/>
          </w:tcPr>
          <w:p w:rsidR="001278C9" w:rsidRDefault="001278C9" w:rsidP="001278C9">
            <w:pPr>
              <w:pStyle w:val="TableText"/>
            </w:pPr>
            <w:r>
              <w:t>Per animal per day</w:t>
            </w:r>
          </w:p>
        </w:tc>
        <w:tc>
          <w:tcPr>
            <w:tcW w:w="767" w:type="dxa"/>
            <w:shd w:val="clear" w:color="auto" w:fill="auto"/>
            <w:hideMark/>
          </w:tcPr>
          <w:p w:rsidR="001278C9" w:rsidRDefault="001278C9" w:rsidP="001278C9">
            <w:pPr>
              <w:pStyle w:val="TableText"/>
              <w:jc w:val="right"/>
            </w:pPr>
            <w:r>
              <w:t>60</w:t>
            </w:r>
          </w:p>
        </w:tc>
        <w:tc>
          <w:tcPr>
            <w:tcW w:w="1075" w:type="dxa"/>
            <w:shd w:val="clear" w:color="auto" w:fill="auto"/>
            <w:vAlign w:val="center"/>
            <w:hideMark/>
          </w:tcPr>
          <w:p w:rsidR="001278C9" w:rsidRDefault="001278C9" w:rsidP="001278C9">
            <w:pPr>
              <w:pStyle w:val="TableText"/>
              <w:jc w:val="right"/>
            </w:pPr>
            <w:r>
              <w:rPr>
                <w:color w:val="000000"/>
                <w:szCs w:val="18"/>
              </w:rPr>
              <w:t>5,278</w:t>
            </w:r>
          </w:p>
        </w:tc>
        <w:tc>
          <w:tcPr>
            <w:tcW w:w="1276" w:type="dxa"/>
            <w:shd w:val="clear" w:color="auto" w:fill="auto"/>
            <w:vAlign w:val="center"/>
            <w:hideMark/>
          </w:tcPr>
          <w:p w:rsidR="001278C9" w:rsidRDefault="001278C9" w:rsidP="00991373">
            <w:pPr>
              <w:pStyle w:val="TableText"/>
              <w:jc w:val="right"/>
            </w:pPr>
            <w:r>
              <w:rPr>
                <w:color w:val="000000"/>
                <w:szCs w:val="18"/>
              </w:rPr>
              <w:t xml:space="preserve">316,680 </w:t>
            </w:r>
          </w:p>
        </w:tc>
      </w:tr>
      <w:tr w:rsidR="001278C9" w:rsidTr="006027B8">
        <w:tc>
          <w:tcPr>
            <w:tcW w:w="2127" w:type="dxa"/>
            <w:vMerge/>
            <w:shd w:val="clear" w:color="auto" w:fill="auto"/>
            <w:noWrap/>
            <w:hideMark/>
          </w:tcPr>
          <w:p w:rsidR="001278C9" w:rsidRDefault="001278C9" w:rsidP="001278C9">
            <w:pPr>
              <w:pStyle w:val="TableText"/>
            </w:pPr>
          </w:p>
        </w:tc>
        <w:tc>
          <w:tcPr>
            <w:tcW w:w="1134" w:type="dxa"/>
            <w:shd w:val="clear" w:color="auto" w:fill="auto"/>
            <w:vAlign w:val="center"/>
            <w:hideMark/>
          </w:tcPr>
          <w:p w:rsidR="001278C9" w:rsidRDefault="001278C9" w:rsidP="001278C9">
            <w:pPr>
              <w:pStyle w:val="TableText"/>
              <w:jc w:val="right"/>
            </w:pPr>
            <w:r>
              <w:rPr>
                <w:color w:val="000000"/>
                <w:szCs w:val="18"/>
              </w:rPr>
              <w:t>2,107,865</w:t>
            </w:r>
          </w:p>
        </w:tc>
        <w:tc>
          <w:tcPr>
            <w:tcW w:w="1559" w:type="dxa"/>
            <w:shd w:val="clear" w:color="auto" w:fill="auto"/>
            <w:hideMark/>
          </w:tcPr>
          <w:p w:rsidR="001278C9" w:rsidRPr="007954E8" w:rsidRDefault="001278C9" w:rsidP="00A96C2F">
            <w:pPr>
              <w:pStyle w:val="TableText"/>
            </w:pPr>
            <w:r w:rsidRPr="007954E8">
              <w:t>PEQ husbandry fee – cats or dogs or animal ≤25kgs</w:t>
            </w:r>
          </w:p>
        </w:tc>
        <w:tc>
          <w:tcPr>
            <w:tcW w:w="1276" w:type="dxa"/>
            <w:shd w:val="clear" w:color="auto" w:fill="auto"/>
            <w:hideMark/>
          </w:tcPr>
          <w:p w:rsidR="001278C9" w:rsidRDefault="001278C9" w:rsidP="001278C9">
            <w:pPr>
              <w:pStyle w:val="TableText"/>
            </w:pPr>
            <w:r>
              <w:t>Per animal per day</w:t>
            </w:r>
          </w:p>
        </w:tc>
        <w:tc>
          <w:tcPr>
            <w:tcW w:w="767" w:type="dxa"/>
            <w:shd w:val="clear" w:color="auto" w:fill="auto"/>
            <w:hideMark/>
          </w:tcPr>
          <w:p w:rsidR="001278C9" w:rsidRDefault="001278C9" w:rsidP="001278C9">
            <w:pPr>
              <w:pStyle w:val="TableText"/>
              <w:jc w:val="right"/>
            </w:pPr>
            <w:r>
              <w:t>29</w:t>
            </w:r>
          </w:p>
        </w:tc>
        <w:tc>
          <w:tcPr>
            <w:tcW w:w="1075" w:type="dxa"/>
            <w:shd w:val="clear" w:color="auto" w:fill="auto"/>
            <w:vAlign w:val="center"/>
            <w:hideMark/>
          </w:tcPr>
          <w:p w:rsidR="001278C9" w:rsidRDefault="001278C9" w:rsidP="001278C9">
            <w:pPr>
              <w:pStyle w:val="TableText"/>
              <w:jc w:val="right"/>
            </w:pPr>
            <w:r>
              <w:rPr>
                <w:color w:val="000000"/>
                <w:szCs w:val="18"/>
              </w:rPr>
              <w:t>72,685</w:t>
            </w:r>
          </w:p>
        </w:tc>
        <w:tc>
          <w:tcPr>
            <w:tcW w:w="1276" w:type="dxa"/>
            <w:shd w:val="clear" w:color="auto" w:fill="auto"/>
            <w:vAlign w:val="center"/>
            <w:hideMark/>
          </w:tcPr>
          <w:p w:rsidR="001278C9" w:rsidRDefault="001278C9" w:rsidP="00991373">
            <w:pPr>
              <w:pStyle w:val="TableText"/>
              <w:jc w:val="right"/>
            </w:pPr>
            <w:r>
              <w:rPr>
                <w:color w:val="000000"/>
                <w:szCs w:val="18"/>
              </w:rPr>
              <w:t xml:space="preserve">2,107,865 </w:t>
            </w:r>
          </w:p>
        </w:tc>
      </w:tr>
      <w:tr w:rsidR="001278C9" w:rsidTr="006027B8">
        <w:tc>
          <w:tcPr>
            <w:tcW w:w="2127" w:type="dxa"/>
            <w:vMerge/>
            <w:shd w:val="clear" w:color="auto" w:fill="auto"/>
            <w:noWrap/>
            <w:hideMark/>
          </w:tcPr>
          <w:p w:rsidR="001278C9" w:rsidRDefault="001278C9" w:rsidP="001278C9">
            <w:pPr>
              <w:pStyle w:val="TableText"/>
            </w:pPr>
          </w:p>
        </w:tc>
        <w:tc>
          <w:tcPr>
            <w:tcW w:w="1134" w:type="dxa"/>
            <w:shd w:val="clear" w:color="auto" w:fill="auto"/>
            <w:vAlign w:val="center"/>
            <w:hideMark/>
          </w:tcPr>
          <w:p w:rsidR="001278C9" w:rsidRDefault="001278C9" w:rsidP="001278C9">
            <w:pPr>
              <w:pStyle w:val="TableText"/>
              <w:jc w:val="right"/>
            </w:pPr>
            <w:r>
              <w:rPr>
                <w:color w:val="000000"/>
                <w:szCs w:val="18"/>
              </w:rPr>
              <w:t>33,600</w:t>
            </w:r>
          </w:p>
        </w:tc>
        <w:tc>
          <w:tcPr>
            <w:tcW w:w="1559" w:type="dxa"/>
            <w:shd w:val="clear" w:color="auto" w:fill="auto"/>
            <w:hideMark/>
          </w:tcPr>
          <w:p w:rsidR="001278C9" w:rsidRPr="007954E8" w:rsidRDefault="001278C9" w:rsidP="001278C9">
            <w:pPr>
              <w:pStyle w:val="TableText"/>
            </w:pPr>
            <w:r w:rsidRPr="007954E8">
              <w:t>PEQ husbandry fee – avian (fertile eggs)</w:t>
            </w:r>
          </w:p>
        </w:tc>
        <w:tc>
          <w:tcPr>
            <w:tcW w:w="1276" w:type="dxa"/>
            <w:shd w:val="clear" w:color="auto" w:fill="auto"/>
            <w:hideMark/>
          </w:tcPr>
          <w:p w:rsidR="001278C9" w:rsidRDefault="001278C9" w:rsidP="001278C9">
            <w:pPr>
              <w:pStyle w:val="TableText"/>
            </w:pPr>
            <w:r>
              <w:t>Per egg consignment per day</w:t>
            </w:r>
          </w:p>
        </w:tc>
        <w:tc>
          <w:tcPr>
            <w:tcW w:w="767" w:type="dxa"/>
            <w:shd w:val="clear" w:color="auto" w:fill="auto"/>
            <w:hideMark/>
          </w:tcPr>
          <w:p w:rsidR="001278C9" w:rsidRDefault="001278C9" w:rsidP="001278C9">
            <w:pPr>
              <w:pStyle w:val="TableText"/>
              <w:jc w:val="right"/>
            </w:pPr>
            <w:r>
              <w:t>200</w:t>
            </w:r>
          </w:p>
        </w:tc>
        <w:tc>
          <w:tcPr>
            <w:tcW w:w="1075" w:type="dxa"/>
            <w:shd w:val="clear" w:color="auto" w:fill="auto"/>
            <w:vAlign w:val="center"/>
            <w:hideMark/>
          </w:tcPr>
          <w:p w:rsidR="001278C9" w:rsidRDefault="001278C9" w:rsidP="001278C9">
            <w:pPr>
              <w:pStyle w:val="TableText"/>
              <w:jc w:val="right"/>
            </w:pPr>
            <w:r>
              <w:rPr>
                <w:color w:val="000000"/>
                <w:szCs w:val="18"/>
              </w:rPr>
              <w:t>168</w:t>
            </w:r>
          </w:p>
        </w:tc>
        <w:tc>
          <w:tcPr>
            <w:tcW w:w="1276" w:type="dxa"/>
            <w:shd w:val="clear" w:color="auto" w:fill="auto"/>
            <w:vAlign w:val="center"/>
            <w:hideMark/>
          </w:tcPr>
          <w:p w:rsidR="001278C9" w:rsidRDefault="001278C9" w:rsidP="00991373">
            <w:pPr>
              <w:pStyle w:val="TableText"/>
              <w:jc w:val="right"/>
            </w:pPr>
            <w:r>
              <w:rPr>
                <w:color w:val="000000"/>
                <w:szCs w:val="18"/>
              </w:rPr>
              <w:t xml:space="preserve">33,600 </w:t>
            </w:r>
          </w:p>
        </w:tc>
      </w:tr>
      <w:tr w:rsidR="001278C9" w:rsidTr="006027B8">
        <w:tc>
          <w:tcPr>
            <w:tcW w:w="2127" w:type="dxa"/>
            <w:vMerge/>
            <w:shd w:val="clear" w:color="auto" w:fill="auto"/>
            <w:noWrap/>
            <w:hideMark/>
          </w:tcPr>
          <w:p w:rsidR="001278C9" w:rsidRDefault="001278C9" w:rsidP="001278C9">
            <w:pPr>
              <w:pStyle w:val="TableText"/>
            </w:pPr>
          </w:p>
        </w:tc>
        <w:tc>
          <w:tcPr>
            <w:tcW w:w="1134" w:type="dxa"/>
            <w:shd w:val="clear" w:color="auto" w:fill="auto"/>
            <w:vAlign w:val="center"/>
            <w:hideMark/>
          </w:tcPr>
          <w:p w:rsidR="001278C9" w:rsidRDefault="001278C9" w:rsidP="001278C9">
            <w:pPr>
              <w:pStyle w:val="TableText"/>
              <w:jc w:val="right"/>
            </w:pPr>
            <w:r>
              <w:rPr>
                <w:color w:val="000000"/>
                <w:szCs w:val="18"/>
              </w:rPr>
              <w:t>10,500</w:t>
            </w:r>
          </w:p>
        </w:tc>
        <w:tc>
          <w:tcPr>
            <w:tcW w:w="1559" w:type="dxa"/>
            <w:shd w:val="clear" w:color="auto" w:fill="auto"/>
            <w:hideMark/>
          </w:tcPr>
          <w:p w:rsidR="001278C9" w:rsidRDefault="001278C9" w:rsidP="001278C9">
            <w:pPr>
              <w:pStyle w:val="TableText"/>
            </w:pPr>
            <w:r>
              <w:t>PEQ husbandry fee – avian (live birds)</w:t>
            </w:r>
          </w:p>
        </w:tc>
        <w:tc>
          <w:tcPr>
            <w:tcW w:w="1276" w:type="dxa"/>
            <w:shd w:val="clear" w:color="auto" w:fill="auto"/>
            <w:hideMark/>
          </w:tcPr>
          <w:p w:rsidR="001278C9" w:rsidRDefault="001278C9" w:rsidP="001278C9">
            <w:pPr>
              <w:pStyle w:val="TableText"/>
            </w:pPr>
            <w:r>
              <w:t>Per live bird consignment per day</w:t>
            </w:r>
          </w:p>
        </w:tc>
        <w:tc>
          <w:tcPr>
            <w:tcW w:w="767" w:type="dxa"/>
            <w:shd w:val="clear" w:color="auto" w:fill="auto"/>
            <w:hideMark/>
          </w:tcPr>
          <w:p w:rsidR="001278C9" w:rsidRDefault="001278C9" w:rsidP="001278C9">
            <w:pPr>
              <w:pStyle w:val="TableText"/>
              <w:jc w:val="right"/>
            </w:pPr>
            <w:r>
              <w:t>150</w:t>
            </w:r>
          </w:p>
        </w:tc>
        <w:tc>
          <w:tcPr>
            <w:tcW w:w="1075" w:type="dxa"/>
            <w:shd w:val="clear" w:color="auto" w:fill="auto"/>
            <w:vAlign w:val="center"/>
            <w:hideMark/>
          </w:tcPr>
          <w:p w:rsidR="001278C9" w:rsidRDefault="001278C9" w:rsidP="001278C9">
            <w:pPr>
              <w:pStyle w:val="TableText"/>
              <w:jc w:val="right"/>
            </w:pPr>
            <w:r>
              <w:rPr>
                <w:color w:val="000000"/>
                <w:szCs w:val="18"/>
              </w:rPr>
              <w:t>70</w:t>
            </w:r>
          </w:p>
        </w:tc>
        <w:tc>
          <w:tcPr>
            <w:tcW w:w="1276" w:type="dxa"/>
            <w:shd w:val="clear" w:color="auto" w:fill="auto"/>
            <w:vAlign w:val="center"/>
            <w:hideMark/>
          </w:tcPr>
          <w:p w:rsidR="001278C9" w:rsidRDefault="001278C9" w:rsidP="00991373">
            <w:pPr>
              <w:pStyle w:val="TableText"/>
              <w:jc w:val="right"/>
            </w:pPr>
            <w:r>
              <w:rPr>
                <w:color w:val="000000"/>
                <w:szCs w:val="18"/>
              </w:rPr>
              <w:t xml:space="preserve">10,500 </w:t>
            </w:r>
          </w:p>
        </w:tc>
      </w:tr>
      <w:tr w:rsidR="001278C9" w:rsidTr="006027B8">
        <w:tc>
          <w:tcPr>
            <w:tcW w:w="2127" w:type="dxa"/>
            <w:vMerge/>
            <w:shd w:val="clear" w:color="auto" w:fill="auto"/>
            <w:noWrap/>
            <w:hideMark/>
          </w:tcPr>
          <w:p w:rsidR="001278C9" w:rsidRDefault="001278C9" w:rsidP="001278C9">
            <w:pPr>
              <w:pStyle w:val="TableText"/>
            </w:pPr>
          </w:p>
        </w:tc>
        <w:tc>
          <w:tcPr>
            <w:tcW w:w="1134" w:type="dxa"/>
            <w:shd w:val="clear" w:color="auto" w:fill="auto"/>
            <w:vAlign w:val="center"/>
            <w:hideMark/>
          </w:tcPr>
          <w:p w:rsidR="001278C9" w:rsidRDefault="001278C9" w:rsidP="001278C9">
            <w:pPr>
              <w:pStyle w:val="TableText"/>
              <w:jc w:val="right"/>
            </w:pPr>
            <w:r>
              <w:rPr>
                <w:color w:val="000000"/>
                <w:szCs w:val="18"/>
              </w:rPr>
              <w:t>560</w:t>
            </w:r>
          </w:p>
        </w:tc>
        <w:tc>
          <w:tcPr>
            <w:tcW w:w="1559" w:type="dxa"/>
            <w:shd w:val="clear" w:color="auto" w:fill="auto"/>
            <w:hideMark/>
          </w:tcPr>
          <w:p w:rsidR="001278C9" w:rsidRDefault="001278C9" w:rsidP="001278C9">
            <w:pPr>
              <w:pStyle w:val="TableText"/>
            </w:pPr>
            <w:r>
              <w:t>PEQ husbandry fee – bees</w:t>
            </w:r>
          </w:p>
        </w:tc>
        <w:tc>
          <w:tcPr>
            <w:tcW w:w="1276" w:type="dxa"/>
            <w:shd w:val="clear" w:color="auto" w:fill="auto"/>
            <w:hideMark/>
          </w:tcPr>
          <w:p w:rsidR="001278C9" w:rsidRDefault="001278C9" w:rsidP="001278C9">
            <w:pPr>
              <w:pStyle w:val="TableText"/>
            </w:pPr>
            <w:r>
              <w:t>Per bee consignment monthly</w:t>
            </w:r>
          </w:p>
        </w:tc>
        <w:tc>
          <w:tcPr>
            <w:tcW w:w="767" w:type="dxa"/>
            <w:shd w:val="clear" w:color="auto" w:fill="auto"/>
            <w:hideMark/>
          </w:tcPr>
          <w:p w:rsidR="001278C9" w:rsidRDefault="001278C9" w:rsidP="001278C9">
            <w:pPr>
              <w:pStyle w:val="TableText"/>
              <w:jc w:val="right"/>
            </w:pPr>
            <w:r>
              <w:t>280</w:t>
            </w:r>
          </w:p>
        </w:tc>
        <w:tc>
          <w:tcPr>
            <w:tcW w:w="1075" w:type="dxa"/>
            <w:shd w:val="clear" w:color="auto" w:fill="auto"/>
            <w:vAlign w:val="center"/>
            <w:hideMark/>
          </w:tcPr>
          <w:p w:rsidR="001278C9" w:rsidRDefault="001278C9" w:rsidP="001278C9">
            <w:pPr>
              <w:pStyle w:val="TableText"/>
              <w:jc w:val="right"/>
            </w:pPr>
            <w:r>
              <w:rPr>
                <w:color w:val="000000"/>
                <w:szCs w:val="18"/>
              </w:rPr>
              <w:t>2</w:t>
            </w:r>
          </w:p>
        </w:tc>
        <w:tc>
          <w:tcPr>
            <w:tcW w:w="1276" w:type="dxa"/>
            <w:shd w:val="clear" w:color="auto" w:fill="auto"/>
            <w:vAlign w:val="center"/>
            <w:hideMark/>
          </w:tcPr>
          <w:p w:rsidR="001278C9" w:rsidRDefault="001278C9" w:rsidP="00991373">
            <w:pPr>
              <w:pStyle w:val="TableText"/>
              <w:jc w:val="right"/>
            </w:pPr>
            <w:r>
              <w:rPr>
                <w:color w:val="000000"/>
                <w:szCs w:val="18"/>
              </w:rPr>
              <w:t xml:space="preserve">560 </w:t>
            </w:r>
          </w:p>
        </w:tc>
      </w:tr>
      <w:tr w:rsidR="001278C9" w:rsidTr="006027B8">
        <w:tc>
          <w:tcPr>
            <w:tcW w:w="2127" w:type="dxa"/>
            <w:vMerge/>
            <w:shd w:val="clear" w:color="auto" w:fill="auto"/>
            <w:noWrap/>
            <w:hideMark/>
          </w:tcPr>
          <w:p w:rsidR="001278C9" w:rsidRDefault="001278C9" w:rsidP="001278C9">
            <w:pPr>
              <w:pStyle w:val="TableText"/>
            </w:pPr>
          </w:p>
        </w:tc>
        <w:tc>
          <w:tcPr>
            <w:tcW w:w="1134" w:type="dxa"/>
            <w:shd w:val="clear" w:color="auto" w:fill="auto"/>
            <w:vAlign w:val="center"/>
            <w:hideMark/>
          </w:tcPr>
          <w:p w:rsidR="001278C9" w:rsidRDefault="001278C9" w:rsidP="001278C9">
            <w:pPr>
              <w:pStyle w:val="TableText"/>
              <w:jc w:val="right"/>
            </w:pPr>
            <w:r>
              <w:rPr>
                <w:color w:val="000000"/>
                <w:szCs w:val="18"/>
              </w:rPr>
              <w:t>70,440</w:t>
            </w:r>
          </w:p>
        </w:tc>
        <w:tc>
          <w:tcPr>
            <w:tcW w:w="1559" w:type="dxa"/>
            <w:shd w:val="clear" w:color="auto" w:fill="auto"/>
            <w:hideMark/>
          </w:tcPr>
          <w:p w:rsidR="001278C9" w:rsidRDefault="001278C9" w:rsidP="001278C9">
            <w:pPr>
              <w:pStyle w:val="TableText"/>
            </w:pPr>
            <w:r>
              <w:t>PEQ husbandry fee – plants</w:t>
            </w:r>
          </w:p>
        </w:tc>
        <w:tc>
          <w:tcPr>
            <w:tcW w:w="1276" w:type="dxa"/>
            <w:shd w:val="clear" w:color="auto" w:fill="auto"/>
            <w:hideMark/>
          </w:tcPr>
          <w:p w:rsidR="001278C9" w:rsidRDefault="001278C9" w:rsidP="001278C9">
            <w:pPr>
              <w:pStyle w:val="TableText"/>
            </w:pPr>
            <w:r>
              <w:t>Per m2 monthly</w:t>
            </w:r>
          </w:p>
        </w:tc>
        <w:tc>
          <w:tcPr>
            <w:tcW w:w="767" w:type="dxa"/>
            <w:shd w:val="clear" w:color="auto" w:fill="auto"/>
            <w:hideMark/>
          </w:tcPr>
          <w:p w:rsidR="001278C9" w:rsidRDefault="001278C9" w:rsidP="001278C9">
            <w:pPr>
              <w:pStyle w:val="TableText"/>
              <w:jc w:val="right"/>
            </w:pPr>
            <w:r>
              <w:t>20</w:t>
            </w:r>
          </w:p>
        </w:tc>
        <w:tc>
          <w:tcPr>
            <w:tcW w:w="1075" w:type="dxa"/>
            <w:shd w:val="clear" w:color="auto" w:fill="auto"/>
            <w:vAlign w:val="center"/>
            <w:hideMark/>
          </w:tcPr>
          <w:p w:rsidR="001278C9" w:rsidRDefault="001278C9" w:rsidP="001278C9">
            <w:pPr>
              <w:pStyle w:val="TableText"/>
              <w:jc w:val="right"/>
            </w:pPr>
            <w:r>
              <w:rPr>
                <w:color w:val="000000"/>
                <w:szCs w:val="18"/>
              </w:rPr>
              <w:t>3,522</w:t>
            </w:r>
          </w:p>
        </w:tc>
        <w:tc>
          <w:tcPr>
            <w:tcW w:w="1276" w:type="dxa"/>
            <w:shd w:val="clear" w:color="auto" w:fill="auto"/>
            <w:vAlign w:val="center"/>
            <w:hideMark/>
          </w:tcPr>
          <w:p w:rsidR="001278C9" w:rsidRDefault="001278C9" w:rsidP="00991373">
            <w:pPr>
              <w:pStyle w:val="TableText"/>
              <w:jc w:val="right"/>
            </w:pPr>
            <w:r>
              <w:rPr>
                <w:color w:val="000000"/>
                <w:szCs w:val="18"/>
              </w:rPr>
              <w:t xml:space="preserve">70,440 </w:t>
            </w:r>
          </w:p>
        </w:tc>
      </w:tr>
      <w:tr w:rsidR="001278C9" w:rsidTr="006027B8">
        <w:tc>
          <w:tcPr>
            <w:tcW w:w="2127" w:type="dxa"/>
            <w:vMerge/>
            <w:shd w:val="clear" w:color="auto" w:fill="auto"/>
            <w:noWrap/>
            <w:hideMark/>
          </w:tcPr>
          <w:p w:rsidR="001278C9" w:rsidRDefault="001278C9" w:rsidP="001278C9">
            <w:pPr>
              <w:pStyle w:val="TableText"/>
            </w:pPr>
          </w:p>
        </w:tc>
        <w:tc>
          <w:tcPr>
            <w:tcW w:w="1134" w:type="dxa"/>
            <w:shd w:val="clear" w:color="auto" w:fill="auto"/>
            <w:vAlign w:val="center"/>
            <w:hideMark/>
          </w:tcPr>
          <w:p w:rsidR="001278C9" w:rsidRDefault="001278C9" w:rsidP="001278C9">
            <w:pPr>
              <w:pStyle w:val="TableText"/>
              <w:jc w:val="right"/>
            </w:pPr>
            <w:r>
              <w:rPr>
                <w:color w:val="000000"/>
                <w:szCs w:val="18"/>
              </w:rPr>
              <w:t>395,695</w:t>
            </w:r>
          </w:p>
        </w:tc>
        <w:tc>
          <w:tcPr>
            <w:tcW w:w="1559" w:type="dxa"/>
            <w:shd w:val="clear" w:color="auto" w:fill="auto"/>
            <w:hideMark/>
          </w:tcPr>
          <w:p w:rsidR="001278C9" w:rsidRDefault="001278C9" w:rsidP="001278C9">
            <w:pPr>
              <w:pStyle w:val="TableText"/>
            </w:pPr>
            <w:r>
              <w:t>Diagnostic testing fee</w:t>
            </w:r>
          </w:p>
        </w:tc>
        <w:tc>
          <w:tcPr>
            <w:tcW w:w="1276" w:type="dxa"/>
            <w:shd w:val="clear" w:color="auto" w:fill="auto"/>
            <w:hideMark/>
          </w:tcPr>
          <w:p w:rsidR="001278C9" w:rsidRDefault="001278C9" w:rsidP="001278C9">
            <w:pPr>
              <w:pStyle w:val="TableText"/>
            </w:pPr>
            <w:r>
              <w:t>Per unit</w:t>
            </w:r>
          </w:p>
        </w:tc>
        <w:tc>
          <w:tcPr>
            <w:tcW w:w="767" w:type="dxa"/>
            <w:shd w:val="clear" w:color="auto" w:fill="auto"/>
            <w:hideMark/>
          </w:tcPr>
          <w:p w:rsidR="001278C9" w:rsidRDefault="001278C9" w:rsidP="001278C9">
            <w:pPr>
              <w:pStyle w:val="TableText"/>
              <w:jc w:val="right"/>
            </w:pPr>
            <w:r>
              <w:t>20</w:t>
            </w:r>
          </w:p>
        </w:tc>
        <w:tc>
          <w:tcPr>
            <w:tcW w:w="1075" w:type="dxa"/>
            <w:shd w:val="clear" w:color="auto" w:fill="auto"/>
            <w:vAlign w:val="center"/>
            <w:hideMark/>
          </w:tcPr>
          <w:p w:rsidR="001278C9" w:rsidRDefault="001278C9" w:rsidP="001278C9">
            <w:pPr>
              <w:pStyle w:val="TableText"/>
              <w:jc w:val="right"/>
            </w:pPr>
            <w:r>
              <w:rPr>
                <w:color w:val="000000"/>
                <w:szCs w:val="18"/>
              </w:rPr>
              <w:t>19,785</w:t>
            </w:r>
          </w:p>
        </w:tc>
        <w:tc>
          <w:tcPr>
            <w:tcW w:w="1276" w:type="dxa"/>
            <w:shd w:val="clear" w:color="auto" w:fill="auto"/>
            <w:vAlign w:val="center"/>
            <w:hideMark/>
          </w:tcPr>
          <w:p w:rsidR="001278C9" w:rsidRDefault="001278C9" w:rsidP="00991373">
            <w:pPr>
              <w:pStyle w:val="TableText"/>
              <w:jc w:val="right"/>
            </w:pPr>
            <w:r>
              <w:rPr>
                <w:color w:val="000000"/>
                <w:szCs w:val="18"/>
              </w:rPr>
              <w:t xml:space="preserve">395,695 </w:t>
            </w:r>
          </w:p>
        </w:tc>
      </w:tr>
    </w:tbl>
    <w:p w:rsidR="009B4C98" w:rsidRDefault="005F192D">
      <w:pPr>
        <w:pStyle w:val="Heading2"/>
      </w:pPr>
      <w:bookmarkStart w:id="62" w:name="_Toc26363650"/>
      <w:r>
        <w:lastRenderedPageBreak/>
        <w:t>Risk assessment</w:t>
      </w:r>
      <w:bookmarkEnd w:id="62"/>
    </w:p>
    <w:p w:rsidR="009B4C98" w:rsidRDefault="005F192D">
      <w:pPr>
        <w:rPr>
          <w:rFonts w:asciiTheme="majorHAnsi" w:hAnsiTheme="majorHAnsi"/>
        </w:rPr>
      </w:pPr>
      <w:r>
        <w:rPr>
          <w:rFonts w:asciiTheme="majorHAnsi" w:hAnsiTheme="majorHAnsi"/>
        </w:rPr>
        <w:t>A charging risk assessment (CRA) is required for any regulatory charging policy proposal, such as a CRIS. It helps to identify and analyse regulatory charging risks. The Minister of Finance must agree to a CRIS if the CRA indicates that it is high risk.</w:t>
      </w:r>
    </w:p>
    <w:p w:rsidR="009B4C98" w:rsidRDefault="005F192D">
      <w:pPr>
        <w:rPr>
          <w:rFonts w:asciiTheme="majorHAnsi" w:hAnsiTheme="majorHAnsi"/>
        </w:rPr>
      </w:pPr>
      <w:r>
        <w:rPr>
          <w:rFonts w:asciiTheme="majorHAnsi" w:hAnsiTheme="majorHAnsi"/>
        </w:rPr>
        <w:t xml:space="preserve">The CRA has identified </w:t>
      </w:r>
      <w:proofErr w:type="gramStart"/>
      <w:r w:rsidR="00AE76A7">
        <w:rPr>
          <w:rFonts w:asciiTheme="majorHAnsi" w:hAnsiTheme="majorHAnsi"/>
        </w:rPr>
        <w:t>4</w:t>
      </w:r>
      <w:proofErr w:type="gramEnd"/>
      <w:r>
        <w:rPr>
          <w:rFonts w:asciiTheme="majorHAnsi" w:hAnsiTheme="majorHAnsi"/>
        </w:rPr>
        <w:t> implementation categories that are considered high risk:</w:t>
      </w:r>
    </w:p>
    <w:p w:rsidR="009B4C98" w:rsidRDefault="005F192D" w:rsidP="00E760AD">
      <w:pPr>
        <w:pStyle w:val="ListBullet"/>
      </w:pPr>
      <w:r>
        <w:t>the percentage change in annual cost recovery revenue is greater than 10</w:t>
      </w:r>
      <w:r w:rsidR="00AE76A7">
        <w:t xml:space="preserve"> per cent</w:t>
      </w:r>
    </w:p>
    <w:p w:rsidR="009B4C98" w:rsidRDefault="005F192D" w:rsidP="00E760AD">
      <w:pPr>
        <w:pStyle w:val="ListBullet"/>
      </w:pPr>
      <w:r>
        <w:t>the total annual cost recovery revenue is greater than $20 million</w:t>
      </w:r>
    </w:p>
    <w:p w:rsidR="009B4C98" w:rsidRDefault="005F192D" w:rsidP="00E760AD">
      <w:pPr>
        <w:pStyle w:val="ListBullet"/>
      </w:pPr>
      <w:r>
        <w:t>the introduction of new cost recoverable activities</w:t>
      </w:r>
    </w:p>
    <w:p w:rsidR="009B4C98" w:rsidRDefault="005F192D" w:rsidP="00E760AD">
      <w:pPr>
        <w:pStyle w:val="ListBullet"/>
      </w:pPr>
      <w:proofErr w:type="gramStart"/>
      <w:r>
        <w:t>stakeholder</w:t>
      </w:r>
      <w:proofErr w:type="gramEnd"/>
      <w:r>
        <w:t xml:space="preserve"> sensitivity about the proposed changes.</w:t>
      </w:r>
    </w:p>
    <w:p w:rsidR="009B4C98" w:rsidRDefault="005F192D">
      <w:pPr>
        <w:rPr>
          <w:rFonts w:asciiTheme="majorHAnsi" w:hAnsiTheme="majorHAnsi"/>
        </w:rPr>
      </w:pPr>
      <w:r>
        <w:rPr>
          <w:rFonts w:asciiTheme="majorHAnsi" w:hAnsiTheme="majorHAnsi"/>
        </w:rPr>
        <w:t>The remaining implementation categories are consider low to medium risk:</w:t>
      </w:r>
    </w:p>
    <w:p w:rsidR="009B4C98" w:rsidRDefault="005F192D">
      <w:pPr>
        <w:pStyle w:val="ListBullet"/>
        <w:rPr>
          <w:rFonts w:asciiTheme="majorHAnsi" w:hAnsiTheme="majorHAnsi"/>
        </w:rPr>
      </w:pPr>
      <w:r>
        <w:rPr>
          <w:rFonts w:asciiTheme="majorHAnsi" w:hAnsiTheme="majorHAnsi"/>
        </w:rPr>
        <w:t>the type of cost recovery charges being used</w:t>
      </w:r>
    </w:p>
    <w:p w:rsidR="009B4C98" w:rsidRDefault="005F192D">
      <w:pPr>
        <w:pStyle w:val="ListBullet"/>
        <w:rPr>
          <w:rFonts w:asciiTheme="majorHAnsi" w:hAnsiTheme="majorHAnsi"/>
        </w:rPr>
      </w:pPr>
      <w:r>
        <w:rPr>
          <w:rFonts w:asciiTheme="majorHAnsi" w:hAnsiTheme="majorHAnsi"/>
        </w:rPr>
        <w:t>the legislative requirements for imposition of the cost recovery charges</w:t>
      </w:r>
    </w:p>
    <w:p w:rsidR="009B4C98" w:rsidRDefault="005F192D">
      <w:pPr>
        <w:pStyle w:val="ListBullet"/>
        <w:rPr>
          <w:rFonts w:asciiTheme="majorHAnsi" w:hAnsiTheme="majorHAnsi"/>
        </w:rPr>
      </w:pPr>
      <w:r>
        <w:rPr>
          <w:rFonts w:asciiTheme="majorHAnsi" w:hAnsiTheme="majorHAnsi"/>
        </w:rPr>
        <w:t>the impact of cost recovery on payers</w:t>
      </w:r>
    </w:p>
    <w:p w:rsidR="009B4C98" w:rsidRDefault="005F192D">
      <w:pPr>
        <w:pStyle w:val="ListBullet"/>
        <w:rPr>
          <w:rFonts w:asciiTheme="majorHAnsi" w:hAnsiTheme="majorHAnsi"/>
        </w:rPr>
      </w:pPr>
      <w:r>
        <w:rPr>
          <w:rFonts w:asciiTheme="majorHAnsi" w:hAnsiTheme="majorHAnsi"/>
        </w:rPr>
        <w:t>the required level of involvement with other Commonwealth, State, Territory or local government entities</w:t>
      </w:r>
    </w:p>
    <w:p w:rsidR="009B4C98" w:rsidRDefault="005F192D">
      <w:pPr>
        <w:rPr>
          <w:rFonts w:asciiTheme="majorHAnsi" w:hAnsiTheme="majorHAnsi"/>
        </w:rPr>
      </w:pPr>
      <w:r>
        <w:rPr>
          <w:rFonts w:asciiTheme="majorHAnsi" w:hAnsiTheme="majorHAnsi"/>
        </w:rPr>
        <w:t xml:space="preserve">In addition to the CRA, we have also considered a number of risks associated with cost recovering </w:t>
      </w:r>
      <w:proofErr w:type="gramStart"/>
      <w:r>
        <w:rPr>
          <w:rFonts w:asciiTheme="majorHAnsi" w:hAnsiTheme="majorHAnsi"/>
        </w:rPr>
        <w:t>biosecurity activities and how we will manage these risks (</w:t>
      </w:r>
      <w:r w:rsidR="009941AA">
        <w:rPr>
          <w:rFonts w:asciiTheme="majorHAnsi" w:hAnsiTheme="majorHAnsi"/>
        </w:rPr>
        <w:fldChar w:fldCharType="begin"/>
      </w:r>
      <w:r w:rsidR="009941AA">
        <w:rPr>
          <w:rFonts w:asciiTheme="majorHAnsi" w:hAnsiTheme="majorHAnsi"/>
        </w:rPr>
        <w:instrText xml:space="preserve"> REF _Ref26358003 \h </w:instrText>
      </w:r>
      <w:r w:rsidR="009941AA">
        <w:rPr>
          <w:rFonts w:asciiTheme="majorHAnsi" w:hAnsiTheme="majorHAnsi"/>
        </w:rPr>
      </w:r>
      <w:r w:rsidR="009941AA">
        <w:rPr>
          <w:rFonts w:asciiTheme="majorHAnsi" w:hAnsiTheme="majorHAnsi"/>
        </w:rPr>
        <w:fldChar w:fldCharType="separate"/>
      </w:r>
      <w:r w:rsidR="006962CE">
        <w:t xml:space="preserve">Table </w:t>
      </w:r>
      <w:r w:rsidR="006962CE">
        <w:rPr>
          <w:noProof/>
        </w:rPr>
        <w:t>5</w:t>
      </w:r>
      <w:r w:rsidR="009941AA">
        <w:rPr>
          <w:rFonts w:asciiTheme="majorHAnsi" w:hAnsiTheme="majorHAnsi"/>
        </w:rPr>
        <w:fldChar w:fldCharType="end"/>
      </w:r>
      <w:r>
        <w:rPr>
          <w:rFonts w:asciiTheme="majorHAnsi" w:hAnsiTheme="majorHAnsi"/>
        </w:rPr>
        <w:t>)</w:t>
      </w:r>
      <w:proofErr w:type="gramEnd"/>
      <w:r>
        <w:rPr>
          <w:rFonts w:asciiTheme="majorHAnsi" w:hAnsiTheme="majorHAnsi"/>
        </w:rPr>
        <w:t>.</w:t>
      </w:r>
    </w:p>
    <w:p w:rsidR="009B4C98" w:rsidRDefault="00CE6B96" w:rsidP="00CE6B96">
      <w:pPr>
        <w:pStyle w:val="Caption"/>
      </w:pPr>
      <w:bookmarkStart w:id="63" w:name="_Ref26358003"/>
      <w:bookmarkStart w:id="64" w:name="_Toc26363669"/>
      <w:r>
        <w:t xml:space="preserve">Table </w:t>
      </w:r>
      <w:r w:rsidR="00F82DCA">
        <w:rPr>
          <w:noProof/>
        </w:rPr>
        <w:fldChar w:fldCharType="begin"/>
      </w:r>
      <w:r w:rsidR="00F82DCA">
        <w:rPr>
          <w:noProof/>
        </w:rPr>
        <w:instrText xml:space="preserve"> SEQ Table \* ARABIC </w:instrText>
      </w:r>
      <w:r w:rsidR="00F82DCA">
        <w:rPr>
          <w:noProof/>
        </w:rPr>
        <w:fldChar w:fldCharType="separate"/>
      </w:r>
      <w:r w:rsidR="006962CE">
        <w:rPr>
          <w:noProof/>
        </w:rPr>
        <w:t>5</w:t>
      </w:r>
      <w:r w:rsidR="00F82DCA">
        <w:rPr>
          <w:noProof/>
        </w:rPr>
        <w:fldChar w:fldCharType="end"/>
      </w:r>
      <w:bookmarkEnd w:id="63"/>
      <w:r w:rsidR="005F192D">
        <w:t xml:space="preserve"> Risks for biosecurity cost recovery arrangement</w:t>
      </w:r>
      <w:bookmarkEnd w:id="64"/>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9B4C98">
        <w:trPr>
          <w:cantSplit/>
          <w:tblHeader/>
        </w:trPr>
        <w:tc>
          <w:tcPr>
            <w:tcW w:w="2500" w:type="pct"/>
            <w:tcBorders>
              <w:top w:val="single" w:sz="4" w:space="0" w:color="auto"/>
              <w:bottom w:val="single" w:sz="4" w:space="0" w:color="auto"/>
            </w:tcBorders>
          </w:tcPr>
          <w:p w:rsidR="009B4C98" w:rsidRDefault="005F192D">
            <w:pPr>
              <w:pStyle w:val="TableHeading"/>
            </w:pPr>
            <w:r>
              <w:t>Risk</w:t>
            </w:r>
          </w:p>
        </w:tc>
        <w:tc>
          <w:tcPr>
            <w:tcW w:w="2500" w:type="pct"/>
            <w:tcBorders>
              <w:top w:val="single" w:sz="4" w:space="0" w:color="auto"/>
              <w:bottom w:val="single" w:sz="4" w:space="0" w:color="auto"/>
            </w:tcBorders>
          </w:tcPr>
          <w:p w:rsidR="009B4C98" w:rsidRDefault="005F192D">
            <w:pPr>
              <w:pStyle w:val="TableHeading"/>
            </w:pPr>
            <w:r>
              <w:t>Management</w:t>
            </w:r>
          </w:p>
        </w:tc>
      </w:tr>
      <w:tr w:rsidR="009B4C98">
        <w:tc>
          <w:tcPr>
            <w:tcW w:w="2500" w:type="pct"/>
            <w:tcBorders>
              <w:top w:val="single" w:sz="4" w:space="0" w:color="auto"/>
            </w:tcBorders>
          </w:tcPr>
          <w:p w:rsidR="009B4C98" w:rsidRDefault="005F192D">
            <w:pPr>
              <w:pStyle w:val="TableText"/>
              <w:rPr>
                <w:rFonts w:asciiTheme="majorHAnsi" w:hAnsiTheme="majorHAnsi"/>
                <w:highlight w:val="yellow"/>
              </w:rPr>
            </w:pPr>
            <w:r>
              <w:rPr>
                <w:rFonts w:asciiTheme="majorHAnsi" w:hAnsiTheme="majorHAnsi"/>
              </w:rPr>
              <w:t>The cost of biosecurity affecting industry competitiveness.</w:t>
            </w:r>
          </w:p>
        </w:tc>
        <w:tc>
          <w:tcPr>
            <w:tcW w:w="2500" w:type="pct"/>
            <w:tcBorders>
              <w:top w:val="single" w:sz="4" w:space="0" w:color="auto"/>
            </w:tcBorders>
          </w:tcPr>
          <w:p w:rsidR="009B4C98" w:rsidRDefault="005F192D">
            <w:pPr>
              <w:pStyle w:val="TableText"/>
              <w:rPr>
                <w:rFonts w:asciiTheme="majorHAnsi" w:hAnsiTheme="majorHAnsi"/>
                <w:highlight w:val="yellow"/>
              </w:rPr>
            </w:pPr>
            <w:r>
              <w:rPr>
                <w:rFonts w:asciiTheme="majorHAnsi" w:hAnsiTheme="majorHAnsi"/>
              </w:rPr>
              <w:t>We will continue to deliver efficiencies and productivity improvement in the way we undertake biosecurity activities.</w:t>
            </w:r>
          </w:p>
        </w:tc>
      </w:tr>
      <w:tr w:rsidR="009B4C98">
        <w:tc>
          <w:tcPr>
            <w:tcW w:w="2500" w:type="pct"/>
          </w:tcPr>
          <w:p w:rsidR="009B4C98" w:rsidRDefault="005F192D">
            <w:pPr>
              <w:pStyle w:val="TableText"/>
              <w:rPr>
                <w:rFonts w:asciiTheme="majorHAnsi" w:hAnsiTheme="majorHAnsi"/>
              </w:rPr>
            </w:pPr>
            <w:r>
              <w:rPr>
                <w:rFonts w:asciiTheme="majorHAnsi" w:hAnsiTheme="majorHAnsi"/>
              </w:rPr>
              <w:t>The fee and levy structure does not support future regulatory reforms.</w:t>
            </w:r>
          </w:p>
        </w:tc>
        <w:tc>
          <w:tcPr>
            <w:tcW w:w="2500" w:type="pct"/>
          </w:tcPr>
          <w:p w:rsidR="009B4C98" w:rsidRDefault="005F192D">
            <w:pPr>
              <w:pStyle w:val="TableText"/>
              <w:rPr>
                <w:rFonts w:asciiTheme="majorHAnsi" w:hAnsiTheme="majorHAnsi"/>
              </w:rPr>
            </w:pPr>
            <w:r>
              <w:rPr>
                <w:rFonts w:asciiTheme="majorHAnsi" w:hAnsiTheme="majorHAnsi"/>
              </w:rPr>
              <w:t xml:space="preserve">The fee and levy structure has been designed to take into consideration future reforms, where known. The CRIS </w:t>
            </w:r>
            <w:proofErr w:type="gramStart"/>
            <w:r>
              <w:rPr>
                <w:rFonts w:asciiTheme="majorHAnsi" w:hAnsiTheme="majorHAnsi"/>
              </w:rPr>
              <w:t>will be reviewed</w:t>
            </w:r>
            <w:proofErr w:type="gramEnd"/>
            <w:r>
              <w:rPr>
                <w:rFonts w:asciiTheme="majorHAnsi" w:hAnsiTheme="majorHAnsi"/>
              </w:rPr>
              <w:t xml:space="preserve"> if required.</w:t>
            </w:r>
          </w:p>
        </w:tc>
      </w:tr>
      <w:tr w:rsidR="009B4C98">
        <w:tc>
          <w:tcPr>
            <w:tcW w:w="2500" w:type="pct"/>
          </w:tcPr>
          <w:p w:rsidR="009B4C98" w:rsidRDefault="005F192D">
            <w:pPr>
              <w:pStyle w:val="TableText"/>
              <w:rPr>
                <w:lang w:eastAsia="ja-JP"/>
              </w:rPr>
            </w:pPr>
            <w:r>
              <w:rPr>
                <w:lang w:eastAsia="ja-JP"/>
              </w:rPr>
              <w:t>Changes to Government policy and activities.</w:t>
            </w:r>
          </w:p>
        </w:tc>
        <w:tc>
          <w:tcPr>
            <w:tcW w:w="2500" w:type="pct"/>
          </w:tcPr>
          <w:p w:rsidR="009B4C98" w:rsidRDefault="005F192D">
            <w:pPr>
              <w:pStyle w:val="TableText"/>
              <w:rPr>
                <w:lang w:eastAsia="ja-JP"/>
              </w:rPr>
            </w:pPr>
            <w:r>
              <w:rPr>
                <w:lang w:eastAsia="ja-JP"/>
              </w:rPr>
              <w:t>Regular assessments of the arrangement will inform whether a cost recovery review is required.</w:t>
            </w:r>
          </w:p>
        </w:tc>
      </w:tr>
      <w:tr w:rsidR="009B4C98">
        <w:tc>
          <w:tcPr>
            <w:tcW w:w="2500" w:type="pct"/>
          </w:tcPr>
          <w:p w:rsidR="009B4C98" w:rsidRDefault="005F192D">
            <w:pPr>
              <w:pStyle w:val="TableText"/>
              <w:rPr>
                <w:rFonts w:asciiTheme="majorHAnsi" w:hAnsiTheme="majorHAnsi"/>
              </w:rPr>
            </w:pPr>
            <w:r>
              <w:rPr>
                <w:lang w:eastAsia="ja-JP"/>
              </w:rPr>
              <w:t>Biosecurity risk level changes—the cost of undertaking biosecurity activities no longer reflects forecast effort.</w:t>
            </w:r>
          </w:p>
        </w:tc>
        <w:tc>
          <w:tcPr>
            <w:tcW w:w="2500" w:type="pct"/>
          </w:tcPr>
          <w:p w:rsidR="009B4C98" w:rsidRDefault="005F192D">
            <w:pPr>
              <w:pStyle w:val="TableText"/>
              <w:rPr>
                <w:rFonts w:asciiTheme="majorHAnsi" w:hAnsiTheme="majorHAnsi"/>
              </w:rPr>
            </w:pPr>
            <w:r>
              <w:rPr>
                <w:lang w:eastAsia="ja-JP"/>
              </w:rPr>
              <w:t>Regular assessments of the arrangement will inform whether a cost recovery review is required.</w:t>
            </w:r>
          </w:p>
        </w:tc>
      </w:tr>
      <w:tr w:rsidR="009B4C98">
        <w:tc>
          <w:tcPr>
            <w:tcW w:w="2500" w:type="pct"/>
          </w:tcPr>
          <w:p w:rsidR="009B4C98" w:rsidRDefault="005F192D">
            <w:pPr>
              <w:pStyle w:val="TableText"/>
              <w:rPr>
                <w:rFonts w:asciiTheme="majorHAnsi" w:hAnsiTheme="majorHAnsi"/>
              </w:rPr>
            </w:pPr>
            <w:r>
              <w:rPr>
                <w:lang w:eastAsia="ja-JP"/>
              </w:rPr>
              <w:t xml:space="preserve">Under-recovery occurs (for example, </w:t>
            </w:r>
            <w:proofErr w:type="gramStart"/>
            <w:r>
              <w:rPr>
                <w:lang w:eastAsia="ja-JP"/>
              </w:rPr>
              <w:t>as a result</w:t>
            </w:r>
            <w:proofErr w:type="gramEnd"/>
            <w:r>
              <w:rPr>
                <w:lang w:eastAsia="ja-JP"/>
              </w:rPr>
              <w:t xml:space="preserve"> of a reduction in the level of import activity).</w:t>
            </w:r>
          </w:p>
        </w:tc>
        <w:tc>
          <w:tcPr>
            <w:tcW w:w="2500" w:type="pct"/>
          </w:tcPr>
          <w:p w:rsidR="009B4C98" w:rsidRDefault="005F192D">
            <w:pPr>
              <w:pStyle w:val="TableText"/>
              <w:rPr>
                <w:rFonts w:asciiTheme="majorHAnsi" w:hAnsiTheme="majorHAnsi"/>
              </w:rPr>
            </w:pPr>
            <w:r>
              <w:rPr>
                <w:lang w:eastAsia="ja-JP"/>
              </w:rPr>
              <w:t>We will engage with industry to discuss options to reduce expenses through adjustments to services or service standards.</w:t>
            </w:r>
          </w:p>
        </w:tc>
      </w:tr>
      <w:tr w:rsidR="009B4C98">
        <w:tc>
          <w:tcPr>
            <w:tcW w:w="2500" w:type="pct"/>
          </w:tcPr>
          <w:p w:rsidR="009B4C98" w:rsidRDefault="005F192D">
            <w:pPr>
              <w:pStyle w:val="TableText"/>
              <w:rPr>
                <w:rFonts w:asciiTheme="majorHAnsi" w:hAnsiTheme="majorHAnsi"/>
                <w:highlight w:val="yellow"/>
              </w:rPr>
            </w:pPr>
            <w:r>
              <w:rPr>
                <w:lang w:eastAsia="ja-JP"/>
              </w:rPr>
              <w:t xml:space="preserve">Over-recovery occurs (for example, </w:t>
            </w:r>
            <w:proofErr w:type="gramStart"/>
            <w:r>
              <w:rPr>
                <w:lang w:eastAsia="ja-JP"/>
              </w:rPr>
              <w:t>as a result</w:t>
            </w:r>
            <w:proofErr w:type="gramEnd"/>
            <w:r>
              <w:rPr>
                <w:lang w:eastAsia="ja-JP"/>
              </w:rPr>
              <w:t xml:space="preserve"> of a greater than anticipated level of import activity).</w:t>
            </w:r>
          </w:p>
        </w:tc>
        <w:tc>
          <w:tcPr>
            <w:tcW w:w="2500" w:type="pct"/>
          </w:tcPr>
          <w:p w:rsidR="009B4C98" w:rsidRDefault="005F192D">
            <w:pPr>
              <w:pStyle w:val="TableText"/>
              <w:rPr>
                <w:rFonts w:asciiTheme="majorHAnsi" w:hAnsiTheme="majorHAnsi"/>
              </w:rPr>
            </w:pPr>
            <w:r>
              <w:rPr>
                <w:lang w:eastAsia="ja-JP"/>
              </w:rPr>
              <w:t xml:space="preserve">Subject to approval, over-recoveries </w:t>
            </w:r>
            <w:proofErr w:type="gramStart"/>
            <w:r>
              <w:rPr>
                <w:lang w:eastAsia="ja-JP"/>
              </w:rPr>
              <w:t>may be managed</w:t>
            </w:r>
            <w:proofErr w:type="gramEnd"/>
            <w:r>
              <w:rPr>
                <w:lang w:eastAsia="ja-JP"/>
              </w:rPr>
              <w:t xml:space="preserve"> through remittance, or investment initiatives directly benefiting activities within the arrangement. An alternative approach </w:t>
            </w:r>
            <w:proofErr w:type="gramStart"/>
            <w:r>
              <w:rPr>
                <w:lang w:eastAsia="ja-JP"/>
              </w:rPr>
              <w:t>may be agreed</w:t>
            </w:r>
            <w:proofErr w:type="gramEnd"/>
            <w:r>
              <w:rPr>
                <w:lang w:eastAsia="ja-JP"/>
              </w:rPr>
              <w:t xml:space="preserve"> with industry within policy guidelines.</w:t>
            </w:r>
          </w:p>
        </w:tc>
      </w:tr>
      <w:tr w:rsidR="00842849">
        <w:tc>
          <w:tcPr>
            <w:tcW w:w="2500" w:type="pct"/>
          </w:tcPr>
          <w:p w:rsidR="00842849" w:rsidRDefault="00842849" w:rsidP="00842849">
            <w:pPr>
              <w:pStyle w:val="TableText"/>
              <w:rPr>
                <w:lang w:eastAsia="ja-JP"/>
              </w:rPr>
            </w:pPr>
            <w:r>
              <w:t>Changing events impacts actual revenue verses forecast revenue</w:t>
            </w:r>
            <w:r w:rsidR="00991373">
              <w:t>.</w:t>
            </w:r>
          </w:p>
        </w:tc>
        <w:tc>
          <w:tcPr>
            <w:tcW w:w="2500" w:type="pct"/>
          </w:tcPr>
          <w:p w:rsidR="00842849" w:rsidRDefault="00842849" w:rsidP="00842849">
            <w:pPr>
              <w:pStyle w:val="TableText"/>
              <w:rPr>
                <w:lang w:eastAsia="ja-JP"/>
              </w:rPr>
            </w:pPr>
            <w:r>
              <w:rPr>
                <w:lang w:eastAsia="ja-JP"/>
              </w:rPr>
              <w:t xml:space="preserve">We will update the CRIS annually to reflect changes in activity and effort </w:t>
            </w:r>
            <w:r>
              <w:t>and describe any consequential changes in the cost and price.</w:t>
            </w:r>
          </w:p>
        </w:tc>
      </w:tr>
    </w:tbl>
    <w:p w:rsidR="009B4C98" w:rsidRDefault="005F192D">
      <w:pPr>
        <w:pStyle w:val="Heading2"/>
      </w:pPr>
      <w:bookmarkStart w:id="65" w:name="_Toc26363651"/>
      <w:r>
        <w:lastRenderedPageBreak/>
        <w:t>Stakeholder engagement</w:t>
      </w:r>
      <w:bookmarkEnd w:id="65"/>
    </w:p>
    <w:p w:rsidR="009B4C98" w:rsidRDefault="005F192D">
      <w:r>
        <w:t>Stakeholder engagement plays an important role in the development and management of cost recovery arrangements. Our stakeholders have a unique insight into how our regulatory activities affect their businesses. This means they can help us design efficient cost recovery frameworks for these activities.</w:t>
      </w:r>
    </w:p>
    <w:p w:rsidR="009B4C98" w:rsidRDefault="005F192D">
      <w:pPr>
        <w:pStyle w:val="Heading3"/>
        <w:numPr>
          <w:ilvl w:val="0"/>
          <w:numId w:val="0"/>
        </w:numPr>
      </w:pPr>
      <w:bookmarkStart w:id="66" w:name="_Toc26363652"/>
      <w:r>
        <w:t>6.1</w:t>
      </w:r>
      <w:r>
        <w:tab/>
        <w:t>Industry engagement</w:t>
      </w:r>
      <w:bookmarkEnd w:id="66"/>
    </w:p>
    <w:p w:rsidR="009B4C98" w:rsidRDefault="005F192D">
      <w:r>
        <w:t>We have established industry consultative committees to represent industry views in relation to biosecurity and imported food</w:t>
      </w:r>
      <w:r w:rsidR="00373C7F">
        <w:t>. W</w:t>
      </w:r>
      <w:r>
        <w:t>e consult with these committees on a number of different activities.</w:t>
      </w:r>
      <w:r w:rsidR="000A53B3">
        <w:t xml:space="preserve"> The </w:t>
      </w:r>
      <w:r w:rsidR="00ED3EDF">
        <w:t xml:space="preserve">consultative committees </w:t>
      </w:r>
      <w:r w:rsidR="00F82DCA">
        <w:t>include</w:t>
      </w:r>
      <w:r w:rsidR="00ED3EDF">
        <w:t>:</w:t>
      </w:r>
    </w:p>
    <w:p w:rsidR="000A53B3" w:rsidRDefault="000A53B3" w:rsidP="00E760AD">
      <w:pPr>
        <w:numPr>
          <w:ilvl w:val="0"/>
          <w:numId w:val="14"/>
        </w:numPr>
        <w:spacing w:before="120" w:after="120" w:line="240" w:lineRule="auto"/>
      </w:pPr>
      <w:r>
        <w:t xml:space="preserve">The Department’s </w:t>
      </w:r>
      <w:r w:rsidR="00ED3EDF">
        <w:t xml:space="preserve">Cargo Consultative Committee </w:t>
      </w:r>
    </w:p>
    <w:p w:rsidR="009B4C98" w:rsidRDefault="005F192D" w:rsidP="00E760AD">
      <w:pPr>
        <w:numPr>
          <w:ilvl w:val="0"/>
          <w:numId w:val="14"/>
        </w:numPr>
        <w:spacing w:before="120" w:after="120" w:line="240" w:lineRule="auto"/>
      </w:pPr>
      <w:r>
        <w:t>Biological Consultative Group</w:t>
      </w:r>
    </w:p>
    <w:p w:rsidR="009B4C98" w:rsidRDefault="005F192D" w:rsidP="00E760AD">
      <w:pPr>
        <w:numPr>
          <w:ilvl w:val="0"/>
          <w:numId w:val="14"/>
        </w:numPr>
        <w:spacing w:before="120" w:after="120" w:line="240" w:lineRule="auto"/>
      </w:pPr>
      <w:r>
        <w:t>Imported Food Consultative Committee</w:t>
      </w:r>
    </w:p>
    <w:p w:rsidR="009B4C98" w:rsidRDefault="005F192D" w:rsidP="00E760AD">
      <w:pPr>
        <w:numPr>
          <w:ilvl w:val="0"/>
          <w:numId w:val="14"/>
        </w:numPr>
        <w:spacing w:before="120" w:after="120" w:line="240" w:lineRule="auto"/>
      </w:pPr>
      <w:r>
        <w:t>Horse Industry Consultative Committee</w:t>
      </w:r>
    </w:p>
    <w:p w:rsidR="009B4C98" w:rsidRDefault="005F192D" w:rsidP="00E760AD">
      <w:pPr>
        <w:numPr>
          <w:ilvl w:val="0"/>
          <w:numId w:val="14"/>
        </w:numPr>
        <w:spacing w:before="120" w:after="120" w:line="240" w:lineRule="auto"/>
      </w:pPr>
      <w:r>
        <w:t>Post Entry Plant Consultative Committee</w:t>
      </w:r>
    </w:p>
    <w:p w:rsidR="001718A5" w:rsidRPr="009941AA" w:rsidRDefault="005F192D" w:rsidP="00E760AD">
      <w:pPr>
        <w:numPr>
          <w:ilvl w:val="0"/>
          <w:numId w:val="14"/>
        </w:numPr>
        <w:spacing w:before="120" w:after="120" w:line="240" w:lineRule="auto"/>
      </w:pPr>
      <w:r w:rsidRPr="009941AA">
        <w:t>Avian, Cats and Dogs representative</w:t>
      </w:r>
      <w:r w:rsidR="001718A5" w:rsidRPr="009941AA">
        <w:t>s</w:t>
      </w:r>
    </w:p>
    <w:p w:rsidR="001718A5" w:rsidRDefault="001718A5" w:rsidP="006027B8">
      <w:r w:rsidRPr="001718A5">
        <w:t xml:space="preserve">The requirement to implement the November 2019 government decision concerning </w:t>
      </w:r>
      <w:r w:rsidR="00F82DCA" w:rsidRPr="001718A5">
        <w:t>biosecurity cost</w:t>
      </w:r>
      <w:r w:rsidRPr="001718A5">
        <w:t xml:space="preserve"> recovery from 1 January 2020 necessitated a streamlined industry engagement model</w:t>
      </w:r>
      <w:r w:rsidR="003C4C97">
        <w:t xml:space="preserve"> for the final published CRIS</w:t>
      </w:r>
      <w:r w:rsidRPr="001718A5">
        <w:t>, in this instance.</w:t>
      </w:r>
      <w:r>
        <w:t xml:space="preserve"> </w:t>
      </w:r>
      <w:r w:rsidR="003C4C97">
        <w:t xml:space="preserve">As mentioned in previous sections, no stakeholder consultation has been possible on the draft CRIS. However, once the CRIS is announced and published, </w:t>
      </w:r>
      <w:r>
        <w:t xml:space="preserve">streamlined </w:t>
      </w:r>
      <w:r w:rsidRPr="001718A5">
        <w:t xml:space="preserve">engagement </w:t>
      </w:r>
      <w:proofErr w:type="gramStart"/>
      <w:r w:rsidRPr="001718A5">
        <w:t>is expected</w:t>
      </w:r>
      <w:proofErr w:type="gramEnd"/>
      <w:r w:rsidRPr="001718A5">
        <w:t xml:space="preserve"> to </w:t>
      </w:r>
      <w:r w:rsidR="003C4C97">
        <w:t>be undertaken comprising</w:t>
      </w:r>
      <w:r w:rsidRPr="001718A5">
        <w:t xml:space="preserve"> information sharing and Q&amp;A sessions with affected stakeholders via face-to-face as well as teleconference modes. </w:t>
      </w:r>
      <w:r w:rsidR="006027B8">
        <w:t xml:space="preserve">Engagement will be targeted and </w:t>
      </w:r>
      <w:r w:rsidR="00F82DCA">
        <w:t>intense</w:t>
      </w:r>
      <w:r w:rsidR="006027B8">
        <w:t xml:space="preserve"> to </w:t>
      </w:r>
      <w:r w:rsidRPr="001718A5">
        <w:t>allow affected stakeholders to understand and implement the changes required of them, for example changing their payment systems to cater for the new charge amounts.</w:t>
      </w:r>
    </w:p>
    <w:p w:rsidR="009B4C98" w:rsidRDefault="005F192D">
      <w:pPr>
        <w:pStyle w:val="Heading3"/>
        <w:numPr>
          <w:ilvl w:val="0"/>
          <w:numId w:val="0"/>
        </w:numPr>
      </w:pPr>
      <w:bookmarkStart w:id="67" w:name="_Toc26363653"/>
      <w:r>
        <w:t>6.2</w:t>
      </w:r>
      <w:r>
        <w:tab/>
        <w:t>Ongoing engagement strategy</w:t>
      </w:r>
      <w:bookmarkEnd w:id="67"/>
    </w:p>
    <w:p w:rsidR="009B4C98" w:rsidRDefault="005F192D">
      <w:pPr>
        <w:rPr>
          <w:rFonts w:asciiTheme="majorHAnsi" w:hAnsiTheme="majorHAnsi"/>
        </w:rPr>
      </w:pPr>
      <w:r>
        <w:t xml:space="preserve">Feedback from industry and recommendations of the Australian National Audit Office’s </w:t>
      </w:r>
      <w:hyperlink r:id="rId27" w:history="1">
        <w:r>
          <w:rPr>
            <w:rStyle w:val="Hyperlink"/>
          </w:rPr>
          <w:t>Application of cost recovery principles</w:t>
        </w:r>
      </w:hyperlink>
      <w:r>
        <w:t xml:space="preserve"> (report no. 38 2018–19) suggest we review our engagement approach with industry, </w:t>
      </w:r>
      <w:proofErr w:type="gramStart"/>
      <w:r>
        <w:t>to better communicate</w:t>
      </w:r>
      <w:proofErr w:type="gramEnd"/>
      <w:r>
        <w:t xml:space="preserve"> efficiency and effectiveness of our regulatory activity to industry.</w:t>
      </w:r>
    </w:p>
    <w:p w:rsidR="009B4C98" w:rsidRDefault="005F192D">
      <w:pPr>
        <w:rPr>
          <w:rFonts w:asciiTheme="majorHAnsi" w:hAnsiTheme="majorHAnsi"/>
        </w:rPr>
      </w:pPr>
      <w:r>
        <w:rPr>
          <w:rFonts w:asciiTheme="majorHAnsi" w:hAnsiTheme="majorHAnsi"/>
        </w:rPr>
        <w:t>We currently undertake a number of activities to engage with our stakeholders, including:</w:t>
      </w:r>
    </w:p>
    <w:p w:rsidR="009B4C98" w:rsidRDefault="005F192D">
      <w:pPr>
        <w:pStyle w:val="ListBullet"/>
        <w:rPr>
          <w:rFonts w:asciiTheme="majorHAnsi" w:hAnsiTheme="majorHAnsi"/>
        </w:rPr>
      </w:pPr>
      <w:r>
        <w:rPr>
          <w:rFonts w:asciiTheme="majorHAnsi" w:hAnsiTheme="majorHAnsi"/>
        </w:rPr>
        <w:t>Engaging with industry consultative committees in accordance with agreed terms of reference.</w:t>
      </w:r>
    </w:p>
    <w:p w:rsidR="009B4C98" w:rsidRDefault="005F192D">
      <w:pPr>
        <w:pStyle w:val="ListBullet"/>
        <w:rPr>
          <w:rFonts w:asciiTheme="majorHAnsi" w:hAnsiTheme="majorHAnsi"/>
        </w:rPr>
      </w:pPr>
      <w:r>
        <w:rPr>
          <w:rFonts w:asciiTheme="majorHAnsi" w:hAnsiTheme="majorHAnsi"/>
        </w:rPr>
        <w:t>Reporting quarterly on the cost recovery performance, including explanations for material variances between budgeted and actual positions.</w:t>
      </w:r>
    </w:p>
    <w:p w:rsidR="009B4C98" w:rsidRDefault="005F192D">
      <w:pPr>
        <w:pStyle w:val="ListBullet"/>
        <w:rPr>
          <w:rFonts w:asciiTheme="majorHAnsi" w:hAnsiTheme="majorHAnsi"/>
        </w:rPr>
      </w:pPr>
      <w:r>
        <w:rPr>
          <w:rFonts w:asciiTheme="majorHAnsi" w:hAnsiTheme="majorHAnsi"/>
        </w:rPr>
        <w:t>At the commencement of every budget</w:t>
      </w:r>
      <w:r w:rsidR="00511130">
        <w:rPr>
          <w:rFonts w:asciiTheme="majorHAnsi" w:hAnsiTheme="majorHAnsi"/>
        </w:rPr>
        <w:t xml:space="preserve"> cycle</w:t>
      </w:r>
      <w:r>
        <w:rPr>
          <w:rFonts w:asciiTheme="majorHAnsi" w:hAnsiTheme="majorHAnsi"/>
        </w:rPr>
        <w:t>, reviewing</w:t>
      </w:r>
      <w:r w:rsidR="000A53B3">
        <w:rPr>
          <w:rFonts w:asciiTheme="majorHAnsi" w:hAnsiTheme="majorHAnsi"/>
        </w:rPr>
        <w:t xml:space="preserve"> and updating</w:t>
      </w:r>
      <w:r>
        <w:rPr>
          <w:rFonts w:asciiTheme="majorHAnsi" w:hAnsiTheme="majorHAnsi"/>
        </w:rPr>
        <w:t xml:space="preserve"> the CRIS to report on significant changes to revenue or expenditure or to relevant legislation. This will include any material variances highlighted throughout the year</w:t>
      </w:r>
      <w:r w:rsidR="00087778">
        <w:rPr>
          <w:rFonts w:asciiTheme="majorHAnsi" w:hAnsiTheme="majorHAnsi"/>
        </w:rPr>
        <w:t>.</w:t>
      </w:r>
    </w:p>
    <w:p w:rsidR="009B4C98" w:rsidRDefault="005F192D">
      <w:pPr>
        <w:pStyle w:val="ListBullet"/>
        <w:rPr>
          <w:rFonts w:asciiTheme="majorHAnsi" w:hAnsiTheme="majorHAnsi"/>
        </w:rPr>
      </w:pPr>
      <w:r>
        <w:rPr>
          <w:rFonts w:asciiTheme="majorHAnsi" w:hAnsiTheme="majorHAnsi"/>
        </w:rPr>
        <w:lastRenderedPageBreak/>
        <w:t xml:space="preserve">Communication with industry consultative committees on changes to the CRIS. This will occur before any revisions or updates </w:t>
      </w:r>
      <w:proofErr w:type="gramStart"/>
      <w:r>
        <w:rPr>
          <w:rFonts w:asciiTheme="majorHAnsi" w:hAnsiTheme="majorHAnsi"/>
        </w:rPr>
        <w:t>are made</w:t>
      </w:r>
      <w:proofErr w:type="gramEnd"/>
      <w:r>
        <w:rPr>
          <w:rFonts w:asciiTheme="majorHAnsi" w:hAnsiTheme="majorHAnsi"/>
        </w:rPr>
        <w:t>.</w:t>
      </w:r>
    </w:p>
    <w:p w:rsidR="009B4C98" w:rsidRDefault="005F192D">
      <w:pPr>
        <w:pStyle w:val="ListBullet"/>
        <w:rPr>
          <w:rFonts w:asciiTheme="majorHAnsi" w:hAnsiTheme="majorHAnsi"/>
        </w:rPr>
      </w:pPr>
      <w:r>
        <w:rPr>
          <w:rFonts w:asciiTheme="majorHAnsi" w:hAnsiTheme="majorHAnsi"/>
        </w:rPr>
        <w:t>Opening the CRIS for public consultation if any key changes result in price adjustments</w:t>
      </w:r>
      <w:r w:rsidR="00087778">
        <w:rPr>
          <w:rFonts w:asciiTheme="majorHAnsi" w:hAnsiTheme="majorHAnsi"/>
        </w:rPr>
        <w:t>.</w:t>
      </w:r>
    </w:p>
    <w:p w:rsidR="009B4C98" w:rsidRDefault="005F192D">
      <w:pPr>
        <w:pStyle w:val="ListBullet"/>
        <w:rPr>
          <w:rFonts w:asciiTheme="majorHAnsi" w:hAnsiTheme="majorHAnsi"/>
        </w:rPr>
      </w:pPr>
      <w:r>
        <w:rPr>
          <w:rFonts w:asciiTheme="majorHAnsi" w:hAnsiTheme="majorHAnsi"/>
        </w:rPr>
        <w:t xml:space="preserve">We will undertake a portfolio charging review every 5 years in line with the schedule published by the Department of Finance. The next review </w:t>
      </w:r>
      <w:proofErr w:type="gramStart"/>
      <w:r>
        <w:rPr>
          <w:rFonts w:asciiTheme="majorHAnsi" w:hAnsiTheme="majorHAnsi"/>
        </w:rPr>
        <w:t>is scheduled</w:t>
      </w:r>
      <w:proofErr w:type="gramEnd"/>
      <w:r>
        <w:rPr>
          <w:rFonts w:asciiTheme="majorHAnsi" w:hAnsiTheme="majorHAnsi"/>
        </w:rPr>
        <w:t xml:space="preserve"> for 2023–24.</w:t>
      </w:r>
    </w:p>
    <w:p w:rsidR="009B4C98" w:rsidRDefault="005F192D">
      <w:r>
        <w:t>During the life of this CRIS, we will review these arrangements and where appropriate adjust them to ensure we are efficiently and effectively engaging with affected stakeholders. This will include greater use of this CRIS itself for ongoing engagement through updates to the forecasts and reporting of actual annual results. We will also develop appropriate performance indicators and benchmarks to be included in a future CRIS update.</w:t>
      </w:r>
    </w:p>
    <w:p w:rsidR="009B4C98" w:rsidRDefault="005F192D">
      <w:pPr>
        <w:pStyle w:val="Heading2"/>
      </w:pPr>
      <w:bookmarkStart w:id="68" w:name="_Financial_estimates"/>
      <w:bookmarkStart w:id="69" w:name="_Toc26363654"/>
      <w:bookmarkEnd w:id="68"/>
      <w:r>
        <w:lastRenderedPageBreak/>
        <w:t>Financial estimates</w:t>
      </w:r>
      <w:bookmarkEnd w:id="69"/>
    </w:p>
    <w:p w:rsidR="009B4C98" w:rsidRDefault="005F192D">
      <w:bookmarkStart w:id="70" w:name="_Ref20139234"/>
      <w:r>
        <w:t xml:space="preserve">A summary of the annual forecast operating position for the biosecurity cost recovery arrangement </w:t>
      </w:r>
      <w:proofErr w:type="gramStart"/>
      <w:r>
        <w:t>is provided</w:t>
      </w:r>
      <w:proofErr w:type="gramEnd"/>
      <w:r>
        <w:t xml:space="preserve"> at </w:t>
      </w:r>
      <w:r>
        <w:rPr>
          <w:highlight w:val="yellow"/>
        </w:rPr>
        <w:fldChar w:fldCharType="begin"/>
      </w:r>
      <w:r>
        <w:instrText xml:space="preserve"> REF _Ref24629136 \h </w:instrText>
      </w:r>
      <w:r>
        <w:rPr>
          <w:highlight w:val="yellow"/>
        </w:rPr>
      </w:r>
      <w:r>
        <w:rPr>
          <w:highlight w:val="yellow"/>
        </w:rPr>
        <w:fldChar w:fldCharType="separate"/>
      </w:r>
      <w:r w:rsidR="006962CE">
        <w:t xml:space="preserve">Table </w:t>
      </w:r>
      <w:r w:rsidR="006962CE">
        <w:rPr>
          <w:noProof/>
        </w:rPr>
        <w:t>6</w:t>
      </w:r>
      <w:r>
        <w:rPr>
          <w:highlight w:val="yellow"/>
        </w:rPr>
        <w:fldChar w:fldCharType="end"/>
      </w:r>
      <w:r>
        <w:t>.</w:t>
      </w:r>
    </w:p>
    <w:p w:rsidR="009B4C98" w:rsidRDefault="005F192D">
      <w:r>
        <w:t>The baseline expense used for this forecast is $279.</w:t>
      </w:r>
      <w:r w:rsidR="00417962">
        <w:t>3 </w:t>
      </w:r>
      <w:r>
        <w:t>million</w:t>
      </w:r>
      <w:r w:rsidR="00D64FD3">
        <w:t xml:space="preserve"> for a full year</w:t>
      </w:r>
      <w:r w:rsidR="006D27ED">
        <w:t>, based on</w:t>
      </w:r>
      <w:r>
        <w:t xml:space="preserve"> 2019</w:t>
      </w:r>
      <w:r>
        <w:rPr>
          <w:rFonts w:asciiTheme="majorHAnsi" w:hAnsiTheme="majorHAnsi"/>
        </w:rPr>
        <w:t>–</w:t>
      </w:r>
      <w:r>
        <w:t>20 departmental budget</w:t>
      </w:r>
      <w:r w:rsidR="006D27ED">
        <w:t xml:space="preserve"> </w:t>
      </w:r>
      <w:r w:rsidR="00D64FD3">
        <w:t>plus the additional expense from the expanded measures. With commencement of the measure on 1 January 2020, 2019</w:t>
      </w:r>
      <w:r w:rsidR="00D64FD3">
        <w:noBreakHyphen/>
        <w:t>20 only reflects are half year increase, with 2020</w:t>
      </w:r>
      <w:r w:rsidR="00D64FD3">
        <w:noBreakHyphen/>
        <w:t>21 being the first full year of the increased cost base</w:t>
      </w:r>
      <w:r>
        <w:t xml:space="preserve"> This represent</w:t>
      </w:r>
      <w:r w:rsidR="00923676">
        <w:t>s</w:t>
      </w:r>
      <w:r>
        <w:t xml:space="preserve"> the baseline expense for delivery of biosecurity regulatory activities</w:t>
      </w:r>
      <w:r w:rsidR="00D64FD3">
        <w:t xml:space="preserve">. </w:t>
      </w:r>
    </w:p>
    <w:p w:rsidR="009B4C98" w:rsidRDefault="005F192D">
      <w:r>
        <w:t xml:space="preserve">The impact of inflation, depreciation and reforms </w:t>
      </w:r>
      <w:proofErr w:type="gramStart"/>
      <w:r>
        <w:t>have been excluded</w:t>
      </w:r>
      <w:proofErr w:type="gramEnd"/>
      <w:r>
        <w:t xml:space="preserve"> for 2021</w:t>
      </w:r>
      <w:r>
        <w:rPr>
          <w:rFonts w:asciiTheme="majorHAnsi" w:hAnsiTheme="majorHAnsi"/>
        </w:rPr>
        <w:t>–</w:t>
      </w:r>
      <w:r>
        <w:t xml:space="preserve">22 onwards in the forecast because these are yet to be quantified. A comprehensive review of the CRIS </w:t>
      </w:r>
      <w:proofErr w:type="gramStart"/>
      <w:r>
        <w:t>will be undertaken</w:t>
      </w:r>
      <w:proofErr w:type="gramEnd"/>
      <w:r>
        <w:t xml:space="preserve"> in 2020</w:t>
      </w:r>
      <w:r>
        <w:rPr>
          <w:rFonts w:asciiTheme="majorHAnsi" w:hAnsiTheme="majorHAnsi"/>
        </w:rPr>
        <w:t>–</w:t>
      </w:r>
      <w:r>
        <w:t>21 and will include this analysis.</w:t>
      </w:r>
    </w:p>
    <w:p w:rsidR="007D68FE" w:rsidRDefault="007D68FE">
      <w:r>
        <w:t>The department will closely m</w:t>
      </w:r>
      <w:r w:rsidR="00233C43">
        <w:t>onitor performance of the arran</w:t>
      </w:r>
      <w:r>
        <w:t xml:space="preserve">gement and </w:t>
      </w:r>
      <w:r w:rsidR="00D64FD3">
        <w:t xml:space="preserve">where revenue exceeds expense will consider </w:t>
      </w:r>
      <w:r w:rsidR="00F82DCA">
        <w:t>implementation</w:t>
      </w:r>
      <w:r w:rsidR="00D64FD3">
        <w:t xml:space="preserve"> of</w:t>
      </w:r>
      <w:r>
        <w:t xml:space="preserve"> a remission program </w:t>
      </w:r>
      <w:r w:rsidR="007B3A3E">
        <w:t xml:space="preserve">to </w:t>
      </w:r>
      <w:r w:rsidR="000957CB" w:rsidRPr="000957CB">
        <w:t>adjust</w:t>
      </w:r>
      <w:r w:rsidR="000957CB">
        <w:t xml:space="preserve"> the price </w:t>
      </w:r>
      <w:r w:rsidR="000957CB" w:rsidRPr="000957CB">
        <w:t>in response to expense base or volume changes</w:t>
      </w:r>
      <w:r w:rsidR="00233C43">
        <w:t xml:space="preserve"> (</w:t>
      </w:r>
      <w:r w:rsidR="00233C43">
        <w:fldChar w:fldCharType="begin"/>
      </w:r>
      <w:r w:rsidR="00233C43">
        <w:instrText xml:space="preserve"> REF _Ref26358646 \h </w:instrText>
      </w:r>
      <w:r w:rsidR="00233C43">
        <w:fldChar w:fldCharType="separate"/>
      </w:r>
      <w:r w:rsidR="006962CE">
        <w:t xml:space="preserve">Table </w:t>
      </w:r>
      <w:r w:rsidR="006962CE">
        <w:rPr>
          <w:noProof/>
        </w:rPr>
        <w:t>6</w:t>
      </w:r>
      <w:r w:rsidR="00233C43">
        <w:fldChar w:fldCharType="end"/>
      </w:r>
      <w:r w:rsidR="00233C43">
        <w:t>)</w:t>
      </w:r>
      <w:r w:rsidR="000957CB" w:rsidRPr="000957CB">
        <w:t>.</w:t>
      </w:r>
      <w:r w:rsidR="000957CB">
        <w:t xml:space="preserve"> </w:t>
      </w:r>
      <w:r w:rsidR="00D64FD3">
        <w:t xml:space="preserve">This </w:t>
      </w:r>
      <w:proofErr w:type="gramStart"/>
      <w:r w:rsidR="00D64FD3">
        <w:t>is reflected</w:t>
      </w:r>
      <w:proofErr w:type="gramEnd"/>
      <w:r w:rsidR="00D64FD3">
        <w:t xml:space="preserve"> in Table </w:t>
      </w:r>
      <w:r w:rsidR="00D64FD3">
        <w:rPr>
          <w:noProof/>
        </w:rPr>
        <w:t>6</w:t>
      </w:r>
      <w:r w:rsidR="006027B8">
        <w:rPr>
          <w:noProof/>
        </w:rPr>
        <w:t xml:space="preserve"> </w:t>
      </w:r>
      <w:r w:rsidR="006027B8">
        <w:t>to highlight this intent</w:t>
      </w:r>
      <w:r w:rsidR="00D64FD3">
        <w:rPr>
          <w:noProof/>
        </w:rPr>
        <w:t>.</w:t>
      </w:r>
      <w:r>
        <w:t xml:space="preserve"> Any adjustment </w:t>
      </w:r>
      <w:proofErr w:type="gramStart"/>
      <w:r>
        <w:t>will be made</w:t>
      </w:r>
      <w:proofErr w:type="gramEnd"/>
      <w:r>
        <w:t xml:space="preserve"> in consultation with industry, with time for industry to respond to a change in price. </w:t>
      </w:r>
    </w:p>
    <w:p w:rsidR="009B4C98" w:rsidRDefault="005F192D">
      <w:pPr>
        <w:pStyle w:val="Caption"/>
      </w:pPr>
      <w:bookmarkStart w:id="71" w:name="_Ref24629136"/>
      <w:bookmarkStart w:id="72" w:name="_Ref26358646"/>
      <w:bookmarkStart w:id="73" w:name="_Toc26363670"/>
      <w:bookmarkEnd w:id="70"/>
      <w:r>
        <w:t xml:space="preserve">Table </w:t>
      </w:r>
      <w:r>
        <w:rPr>
          <w:noProof/>
        </w:rPr>
        <w:fldChar w:fldCharType="begin"/>
      </w:r>
      <w:r>
        <w:rPr>
          <w:noProof/>
        </w:rPr>
        <w:instrText xml:space="preserve"> SEQ Table \* ARABIC </w:instrText>
      </w:r>
      <w:r>
        <w:rPr>
          <w:noProof/>
        </w:rPr>
        <w:fldChar w:fldCharType="separate"/>
      </w:r>
      <w:r w:rsidR="006962CE">
        <w:rPr>
          <w:noProof/>
        </w:rPr>
        <w:t>6</w:t>
      </w:r>
      <w:r>
        <w:rPr>
          <w:noProof/>
        </w:rPr>
        <w:fldChar w:fldCharType="end"/>
      </w:r>
      <w:bookmarkEnd w:id="71"/>
      <w:bookmarkEnd w:id="72"/>
      <w:r>
        <w:t xml:space="preserve"> Financial estimates for biosecurity cost recovery arrangement, 2019–20 to 2023–24</w:t>
      </w:r>
      <w:bookmarkEnd w:id="73"/>
    </w:p>
    <w:tbl>
      <w:tblPr>
        <w:tblW w:w="5158" w:type="pct"/>
        <w:tblLayout w:type="fixed"/>
        <w:tblLook w:val="04A0" w:firstRow="1" w:lastRow="0" w:firstColumn="1" w:lastColumn="0" w:noHBand="0" w:noVBand="1"/>
      </w:tblPr>
      <w:tblGrid>
        <w:gridCol w:w="1706"/>
        <w:gridCol w:w="1413"/>
        <w:gridCol w:w="1559"/>
        <w:gridCol w:w="1417"/>
        <w:gridCol w:w="1331"/>
        <w:gridCol w:w="1931"/>
      </w:tblGrid>
      <w:tr w:rsidR="009B4C98" w:rsidTr="006027B8">
        <w:trPr>
          <w:cantSplit/>
          <w:tblHeader/>
        </w:trPr>
        <w:tc>
          <w:tcPr>
            <w:tcW w:w="912" w:type="pct"/>
            <w:tcBorders>
              <w:top w:val="single" w:sz="4" w:space="0" w:color="auto"/>
              <w:left w:val="nil"/>
              <w:bottom w:val="single" w:sz="4" w:space="0" w:color="auto"/>
              <w:right w:val="nil"/>
            </w:tcBorders>
            <w:shd w:val="clear" w:color="auto" w:fill="auto"/>
            <w:hideMark/>
          </w:tcPr>
          <w:p w:rsidR="009B4C98" w:rsidRDefault="005F192D">
            <w:pPr>
              <w:pStyle w:val="TableHeading"/>
              <w:rPr>
                <w:lang w:eastAsia="en-AU"/>
              </w:rPr>
            </w:pPr>
            <w:r>
              <w:rPr>
                <w:lang w:eastAsia="en-AU"/>
              </w:rPr>
              <w:t>Finance element</w:t>
            </w:r>
          </w:p>
        </w:tc>
        <w:tc>
          <w:tcPr>
            <w:tcW w:w="755" w:type="pct"/>
            <w:tcBorders>
              <w:top w:val="single" w:sz="4" w:space="0" w:color="auto"/>
              <w:left w:val="nil"/>
              <w:bottom w:val="single" w:sz="4" w:space="0" w:color="auto"/>
              <w:right w:val="nil"/>
            </w:tcBorders>
            <w:shd w:val="clear" w:color="auto" w:fill="auto"/>
            <w:hideMark/>
          </w:tcPr>
          <w:p w:rsidR="009B4C98" w:rsidRDefault="005F192D">
            <w:pPr>
              <w:pStyle w:val="TableHeading"/>
              <w:jc w:val="right"/>
              <w:rPr>
                <w:lang w:eastAsia="en-AU"/>
              </w:rPr>
            </w:pPr>
            <w:r>
              <w:t>2019</w:t>
            </w:r>
            <w:r>
              <w:rPr>
                <w:rFonts w:asciiTheme="majorHAnsi" w:hAnsiTheme="majorHAnsi"/>
              </w:rPr>
              <w:t>–</w:t>
            </w:r>
            <w:r>
              <w:t>20 ($)</w:t>
            </w:r>
          </w:p>
        </w:tc>
        <w:tc>
          <w:tcPr>
            <w:tcW w:w="833" w:type="pct"/>
            <w:tcBorders>
              <w:top w:val="single" w:sz="4" w:space="0" w:color="auto"/>
              <w:left w:val="nil"/>
              <w:bottom w:val="single" w:sz="4" w:space="0" w:color="auto"/>
              <w:right w:val="nil"/>
            </w:tcBorders>
            <w:shd w:val="clear" w:color="auto" w:fill="auto"/>
          </w:tcPr>
          <w:p w:rsidR="009B4C98" w:rsidRDefault="005F192D">
            <w:pPr>
              <w:pStyle w:val="TableHeading"/>
              <w:jc w:val="right"/>
              <w:rPr>
                <w:lang w:eastAsia="en-AU"/>
              </w:rPr>
            </w:pPr>
            <w:r>
              <w:t>2020</w:t>
            </w:r>
            <w:r>
              <w:rPr>
                <w:rFonts w:asciiTheme="majorHAnsi" w:hAnsiTheme="majorHAnsi"/>
              </w:rPr>
              <w:t>–</w:t>
            </w:r>
            <w:r>
              <w:t>21($)</w:t>
            </w:r>
          </w:p>
        </w:tc>
        <w:tc>
          <w:tcPr>
            <w:tcW w:w="757" w:type="pct"/>
            <w:tcBorders>
              <w:top w:val="single" w:sz="4" w:space="0" w:color="auto"/>
              <w:left w:val="nil"/>
              <w:bottom w:val="single" w:sz="4" w:space="0" w:color="auto"/>
              <w:right w:val="nil"/>
            </w:tcBorders>
            <w:shd w:val="clear" w:color="auto" w:fill="auto"/>
            <w:hideMark/>
          </w:tcPr>
          <w:p w:rsidR="009B4C98" w:rsidRDefault="005F192D">
            <w:pPr>
              <w:pStyle w:val="TableHeading"/>
              <w:jc w:val="right"/>
              <w:rPr>
                <w:lang w:eastAsia="en-AU"/>
              </w:rPr>
            </w:pPr>
            <w:r>
              <w:t>2021</w:t>
            </w:r>
            <w:r>
              <w:rPr>
                <w:rFonts w:asciiTheme="majorHAnsi" w:hAnsiTheme="majorHAnsi"/>
              </w:rPr>
              <w:t>–</w:t>
            </w:r>
            <w:r>
              <w:t>22($)</w:t>
            </w:r>
          </w:p>
        </w:tc>
        <w:tc>
          <w:tcPr>
            <w:tcW w:w="711" w:type="pct"/>
            <w:tcBorders>
              <w:top w:val="single" w:sz="4" w:space="0" w:color="auto"/>
              <w:left w:val="nil"/>
              <w:bottom w:val="single" w:sz="4" w:space="0" w:color="auto"/>
              <w:right w:val="nil"/>
            </w:tcBorders>
            <w:shd w:val="clear" w:color="auto" w:fill="auto"/>
            <w:hideMark/>
          </w:tcPr>
          <w:p w:rsidR="009B4C98" w:rsidRDefault="005F192D">
            <w:pPr>
              <w:pStyle w:val="TableHeading"/>
              <w:jc w:val="right"/>
              <w:rPr>
                <w:lang w:eastAsia="en-AU"/>
              </w:rPr>
            </w:pPr>
            <w:r>
              <w:t>2022</w:t>
            </w:r>
            <w:r>
              <w:rPr>
                <w:rFonts w:asciiTheme="majorHAnsi" w:hAnsiTheme="majorHAnsi"/>
              </w:rPr>
              <w:t>–</w:t>
            </w:r>
            <w:r>
              <w:t>23($)</w:t>
            </w:r>
          </w:p>
        </w:tc>
        <w:tc>
          <w:tcPr>
            <w:tcW w:w="1032" w:type="pct"/>
            <w:tcBorders>
              <w:top w:val="single" w:sz="4" w:space="0" w:color="auto"/>
              <w:left w:val="nil"/>
              <w:bottom w:val="single" w:sz="4" w:space="0" w:color="auto"/>
              <w:right w:val="nil"/>
            </w:tcBorders>
            <w:shd w:val="clear" w:color="auto" w:fill="auto"/>
            <w:hideMark/>
          </w:tcPr>
          <w:p w:rsidR="009B4C98" w:rsidRDefault="005F192D">
            <w:pPr>
              <w:pStyle w:val="TableHeading"/>
              <w:jc w:val="right"/>
              <w:rPr>
                <w:lang w:eastAsia="en-AU"/>
              </w:rPr>
            </w:pPr>
            <w:r>
              <w:t>2023</w:t>
            </w:r>
            <w:r>
              <w:rPr>
                <w:rFonts w:asciiTheme="majorHAnsi" w:hAnsiTheme="majorHAnsi"/>
              </w:rPr>
              <w:t>–</w:t>
            </w:r>
            <w:r>
              <w:t>24($)</w:t>
            </w:r>
          </w:p>
        </w:tc>
      </w:tr>
      <w:tr w:rsidR="006D27ED" w:rsidTr="006027B8">
        <w:tc>
          <w:tcPr>
            <w:tcW w:w="912" w:type="pct"/>
            <w:tcBorders>
              <w:top w:val="nil"/>
              <w:left w:val="nil"/>
              <w:bottom w:val="nil"/>
              <w:right w:val="nil"/>
            </w:tcBorders>
            <w:shd w:val="clear" w:color="auto" w:fill="auto"/>
            <w:hideMark/>
          </w:tcPr>
          <w:p w:rsidR="006D27ED" w:rsidRDefault="006D27ED" w:rsidP="006D27ED">
            <w:pPr>
              <w:pStyle w:val="TableText"/>
              <w:rPr>
                <w:lang w:eastAsia="en-AU"/>
              </w:rPr>
            </w:pPr>
            <w:r>
              <w:rPr>
                <w:lang w:eastAsia="en-AU"/>
              </w:rPr>
              <w:t>Revenue = X</w:t>
            </w:r>
          </w:p>
        </w:tc>
        <w:tc>
          <w:tcPr>
            <w:tcW w:w="755" w:type="pct"/>
            <w:tcBorders>
              <w:top w:val="nil"/>
              <w:left w:val="nil"/>
              <w:bottom w:val="nil"/>
              <w:right w:val="nil"/>
            </w:tcBorders>
            <w:shd w:val="clear" w:color="auto" w:fill="auto"/>
            <w:vAlign w:val="center"/>
          </w:tcPr>
          <w:p w:rsidR="006D27ED" w:rsidRDefault="006D27ED" w:rsidP="006D27ED">
            <w:pPr>
              <w:pStyle w:val="TableText"/>
              <w:jc w:val="right"/>
              <w:rPr>
                <w:lang w:eastAsia="en-AU"/>
              </w:rPr>
            </w:pPr>
            <w:r>
              <w:rPr>
                <w:color w:val="000000"/>
                <w:szCs w:val="18"/>
              </w:rPr>
              <w:t>268,482,847</w:t>
            </w:r>
          </w:p>
        </w:tc>
        <w:tc>
          <w:tcPr>
            <w:tcW w:w="833" w:type="pct"/>
            <w:tcBorders>
              <w:top w:val="nil"/>
              <w:left w:val="nil"/>
              <w:bottom w:val="nil"/>
              <w:right w:val="nil"/>
            </w:tcBorders>
            <w:shd w:val="clear" w:color="auto" w:fill="auto"/>
            <w:vAlign w:val="center"/>
          </w:tcPr>
          <w:p w:rsidR="006D27ED" w:rsidRDefault="006D27ED" w:rsidP="006D27ED">
            <w:pPr>
              <w:pStyle w:val="TableText"/>
              <w:jc w:val="right"/>
              <w:rPr>
                <w:lang w:eastAsia="en-AU"/>
              </w:rPr>
            </w:pPr>
            <w:r>
              <w:rPr>
                <w:color w:val="000000"/>
                <w:szCs w:val="18"/>
              </w:rPr>
              <w:t>281,668,212</w:t>
            </w:r>
          </w:p>
        </w:tc>
        <w:tc>
          <w:tcPr>
            <w:tcW w:w="757" w:type="pct"/>
            <w:tcBorders>
              <w:top w:val="nil"/>
              <w:left w:val="nil"/>
              <w:bottom w:val="nil"/>
              <w:right w:val="nil"/>
            </w:tcBorders>
            <w:shd w:val="clear" w:color="auto" w:fill="auto"/>
            <w:vAlign w:val="center"/>
          </w:tcPr>
          <w:p w:rsidR="006D27ED" w:rsidRDefault="006D27ED" w:rsidP="006D27ED">
            <w:pPr>
              <w:pStyle w:val="TableText"/>
              <w:jc w:val="right"/>
              <w:rPr>
                <w:lang w:eastAsia="en-AU"/>
              </w:rPr>
            </w:pPr>
            <w:r>
              <w:rPr>
                <w:color w:val="000000"/>
                <w:szCs w:val="18"/>
              </w:rPr>
              <w:t>281,668,212</w:t>
            </w:r>
          </w:p>
        </w:tc>
        <w:tc>
          <w:tcPr>
            <w:tcW w:w="711" w:type="pct"/>
            <w:tcBorders>
              <w:top w:val="nil"/>
              <w:left w:val="nil"/>
              <w:bottom w:val="nil"/>
              <w:right w:val="nil"/>
            </w:tcBorders>
            <w:shd w:val="clear" w:color="auto" w:fill="auto"/>
            <w:vAlign w:val="center"/>
          </w:tcPr>
          <w:p w:rsidR="006D27ED" w:rsidRDefault="006D27ED" w:rsidP="006D27ED">
            <w:pPr>
              <w:pStyle w:val="TableText"/>
              <w:jc w:val="right"/>
              <w:rPr>
                <w:lang w:eastAsia="en-AU"/>
              </w:rPr>
            </w:pPr>
            <w:r>
              <w:rPr>
                <w:color w:val="000000"/>
                <w:szCs w:val="18"/>
              </w:rPr>
              <w:t>281,668,212</w:t>
            </w:r>
          </w:p>
        </w:tc>
        <w:tc>
          <w:tcPr>
            <w:tcW w:w="1032" w:type="pct"/>
            <w:tcBorders>
              <w:top w:val="nil"/>
              <w:left w:val="nil"/>
              <w:bottom w:val="nil"/>
              <w:right w:val="nil"/>
            </w:tcBorders>
            <w:shd w:val="clear" w:color="auto" w:fill="auto"/>
            <w:vAlign w:val="center"/>
          </w:tcPr>
          <w:p w:rsidR="006D27ED" w:rsidRDefault="006D27ED" w:rsidP="006D27ED">
            <w:pPr>
              <w:pStyle w:val="TableText"/>
              <w:jc w:val="right"/>
              <w:rPr>
                <w:lang w:eastAsia="en-AU"/>
              </w:rPr>
            </w:pPr>
            <w:r>
              <w:rPr>
                <w:color w:val="000000"/>
                <w:szCs w:val="18"/>
              </w:rPr>
              <w:t>281,668,212</w:t>
            </w:r>
          </w:p>
        </w:tc>
      </w:tr>
      <w:tr w:rsidR="006D27ED" w:rsidTr="006027B8">
        <w:tc>
          <w:tcPr>
            <w:tcW w:w="912" w:type="pct"/>
            <w:tcBorders>
              <w:top w:val="nil"/>
              <w:left w:val="nil"/>
              <w:bottom w:val="nil"/>
              <w:right w:val="nil"/>
            </w:tcBorders>
            <w:shd w:val="clear" w:color="auto" w:fill="auto"/>
            <w:hideMark/>
          </w:tcPr>
          <w:p w:rsidR="006D27ED" w:rsidRDefault="006D27ED" w:rsidP="006D27ED">
            <w:pPr>
              <w:pStyle w:val="TableText"/>
              <w:rPr>
                <w:lang w:eastAsia="en-AU"/>
              </w:rPr>
            </w:pPr>
            <w:r>
              <w:rPr>
                <w:lang w:eastAsia="en-AU"/>
              </w:rPr>
              <w:t>Expenses = Y</w:t>
            </w:r>
          </w:p>
        </w:tc>
        <w:tc>
          <w:tcPr>
            <w:tcW w:w="755" w:type="pct"/>
            <w:tcBorders>
              <w:top w:val="nil"/>
              <w:left w:val="nil"/>
              <w:bottom w:val="nil"/>
              <w:right w:val="nil"/>
            </w:tcBorders>
            <w:shd w:val="clear" w:color="auto" w:fill="auto"/>
            <w:vAlign w:val="center"/>
          </w:tcPr>
          <w:p w:rsidR="006D27ED" w:rsidRDefault="006D27ED" w:rsidP="006D27ED">
            <w:pPr>
              <w:pStyle w:val="TableText"/>
              <w:jc w:val="right"/>
              <w:rPr>
                <w:lang w:eastAsia="en-AU"/>
              </w:rPr>
            </w:pPr>
            <w:r>
              <w:rPr>
                <w:color w:val="000000"/>
                <w:szCs w:val="18"/>
              </w:rPr>
              <w:t>267,840,740</w:t>
            </w:r>
          </w:p>
        </w:tc>
        <w:tc>
          <w:tcPr>
            <w:tcW w:w="833" w:type="pct"/>
            <w:tcBorders>
              <w:top w:val="nil"/>
              <w:left w:val="nil"/>
              <w:bottom w:val="nil"/>
              <w:right w:val="nil"/>
            </w:tcBorders>
            <w:shd w:val="clear" w:color="auto" w:fill="auto"/>
            <w:vAlign w:val="center"/>
          </w:tcPr>
          <w:p w:rsidR="006D27ED" w:rsidRDefault="006D27ED" w:rsidP="006D27ED">
            <w:pPr>
              <w:pStyle w:val="TableText"/>
              <w:jc w:val="right"/>
              <w:rPr>
                <w:lang w:eastAsia="en-AU"/>
              </w:rPr>
            </w:pPr>
            <w:r>
              <w:rPr>
                <w:color w:val="000000"/>
                <w:szCs w:val="18"/>
              </w:rPr>
              <w:t>279,284,678</w:t>
            </w:r>
          </w:p>
        </w:tc>
        <w:tc>
          <w:tcPr>
            <w:tcW w:w="757" w:type="pct"/>
            <w:tcBorders>
              <w:top w:val="nil"/>
              <w:left w:val="nil"/>
              <w:bottom w:val="nil"/>
              <w:right w:val="nil"/>
            </w:tcBorders>
            <w:shd w:val="clear" w:color="auto" w:fill="auto"/>
            <w:vAlign w:val="center"/>
          </w:tcPr>
          <w:p w:rsidR="006D27ED" w:rsidRDefault="006D27ED" w:rsidP="006D27ED">
            <w:pPr>
              <w:pStyle w:val="TableText"/>
              <w:jc w:val="right"/>
              <w:rPr>
                <w:lang w:eastAsia="en-AU"/>
              </w:rPr>
            </w:pPr>
            <w:r>
              <w:rPr>
                <w:color w:val="000000"/>
                <w:szCs w:val="18"/>
              </w:rPr>
              <w:t>279,284,678</w:t>
            </w:r>
          </w:p>
        </w:tc>
        <w:tc>
          <w:tcPr>
            <w:tcW w:w="711" w:type="pct"/>
            <w:tcBorders>
              <w:top w:val="nil"/>
              <w:left w:val="nil"/>
              <w:bottom w:val="nil"/>
              <w:right w:val="nil"/>
            </w:tcBorders>
            <w:shd w:val="clear" w:color="auto" w:fill="auto"/>
            <w:vAlign w:val="center"/>
          </w:tcPr>
          <w:p w:rsidR="006D27ED" w:rsidRDefault="006D27ED" w:rsidP="006D27ED">
            <w:pPr>
              <w:pStyle w:val="TableText"/>
              <w:jc w:val="right"/>
              <w:rPr>
                <w:lang w:eastAsia="en-AU"/>
              </w:rPr>
            </w:pPr>
            <w:r>
              <w:rPr>
                <w:color w:val="000000"/>
                <w:szCs w:val="18"/>
              </w:rPr>
              <w:t>279,284,678</w:t>
            </w:r>
          </w:p>
        </w:tc>
        <w:tc>
          <w:tcPr>
            <w:tcW w:w="1032" w:type="pct"/>
            <w:tcBorders>
              <w:top w:val="nil"/>
              <w:left w:val="nil"/>
              <w:bottom w:val="nil"/>
              <w:right w:val="nil"/>
            </w:tcBorders>
            <w:shd w:val="clear" w:color="auto" w:fill="auto"/>
            <w:vAlign w:val="center"/>
          </w:tcPr>
          <w:p w:rsidR="006D27ED" w:rsidRDefault="006D27ED" w:rsidP="006D27ED">
            <w:pPr>
              <w:pStyle w:val="TableText"/>
              <w:jc w:val="right"/>
              <w:rPr>
                <w:lang w:eastAsia="en-AU"/>
              </w:rPr>
            </w:pPr>
            <w:r>
              <w:rPr>
                <w:color w:val="000000"/>
                <w:szCs w:val="18"/>
              </w:rPr>
              <w:t>279,284,678</w:t>
            </w:r>
          </w:p>
        </w:tc>
      </w:tr>
      <w:tr w:rsidR="006D27ED" w:rsidTr="006027B8">
        <w:tc>
          <w:tcPr>
            <w:tcW w:w="912" w:type="pct"/>
            <w:tcBorders>
              <w:top w:val="single" w:sz="4" w:space="0" w:color="auto"/>
              <w:left w:val="nil"/>
              <w:bottom w:val="nil"/>
              <w:right w:val="nil"/>
            </w:tcBorders>
            <w:shd w:val="clear" w:color="auto" w:fill="auto"/>
            <w:hideMark/>
          </w:tcPr>
          <w:p w:rsidR="006D27ED" w:rsidRDefault="006D27ED" w:rsidP="006D27ED">
            <w:pPr>
              <w:pStyle w:val="TableText"/>
              <w:rPr>
                <w:lang w:eastAsia="en-AU"/>
              </w:rPr>
            </w:pPr>
            <w:r>
              <w:rPr>
                <w:lang w:eastAsia="en-AU"/>
              </w:rPr>
              <w:t>Balance = X – Y</w:t>
            </w:r>
          </w:p>
        </w:tc>
        <w:tc>
          <w:tcPr>
            <w:tcW w:w="755" w:type="pct"/>
            <w:tcBorders>
              <w:top w:val="single" w:sz="4" w:space="0" w:color="auto"/>
              <w:left w:val="nil"/>
              <w:bottom w:val="nil"/>
              <w:right w:val="nil"/>
            </w:tcBorders>
            <w:shd w:val="clear" w:color="auto" w:fill="auto"/>
            <w:vAlign w:val="center"/>
          </w:tcPr>
          <w:p w:rsidR="006D27ED" w:rsidRDefault="006D27ED" w:rsidP="006D27ED">
            <w:pPr>
              <w:pStyle w:val="TableText"/>
              <w:jc w:val="right"/>
              <w:rPr>
                <w:lang w:eastAsia="en-AU"/>
              </w:rPr>
            </w:pPr>
            <w:r>
              <w:rPr>
                <w:b/>
                <w:bCs/>
                <w:color w:val="000000"/>
                <w:szCs w:val="18"/>
              </w:rPr>
              <w:t>642,107</w:t>
            </w:r>
          </w:p>
        </w:tc>
        <w:tc>
          <w:tcPr>
            <w:tcW w:w="833" w:type="pct"/>
            <w:tcBorders>
              <w:top w:val="single" w:sz="4" w:space="0" w:color="auto"/>
              <w:left w:val="nil"/>
              <w:bottom w:val="nil"/>
              <w:right w:val="nil"/>
            </w:tcBorders>
            <w:shd w:val="clear" w:color="auto" w:fill="auto"/>
            <w:vAlign w:val="center"/>
          </w:tcPr>
          <w:p w:rsidR="006D27ED" w:rsidRDefault="006D27ED" w:rsidP="006D27ED">
            <w:pPr>
              <w:pStyle w:val="TableText"/>
              <w:jc w:val="right"/>
              <w:rPr>
                <w:lang w:eastAsia="en-AU"/>
              </w:rPr>
            </w:pPr>
            <w:r>
              <w:rPr>
                <w:b/>
                <w:bCs/>
                <w:color w:val="000000"/>
                <w:szCs w:val="18"/>
              </w:rPr>
              <w:t>2,383,534</w:t>
            </w:r>
          </w:p>
        </w:tc>
        <w:tc>
          <w:tcPr>
            <w:tcW w:w="757" w:type="pct"/>
            <w:tcBorders>
              <w:top w:val="single" w:sz="4" w:space="0" w:color="auto"/>
              <w:left w:val="nil"/>
              <w:bottom w:val="nil"/>
              <w:right w:val="nil"/>
            </w:tcBorders>
            <w:shd w:val="clear" w:color="auto" w:fill="auto"/>
            <w:vAlign w:val="center"/>
          </w:tcPr>
          <w:p w:rsidR="006D27ED" w:rsidRDefault="006D27ED" w:rsidP="006D27ED">
            <w:pPr>
              <w:pStyle w:val="TableText"/>
              <w:jc w:val="right"/>
              <w:rPr>
                <w:lang w:eastAsia="en-AU"/>
              </w:rPr>
            </w:pPr>
            <w:r>
              <w:rPr>
                <w:b/>
                <w:bCs/>
                <w:color w:val="000000"/>
                <w:szCs w:val="18"/>
              </w:rPr>
              <w:t>2,383,534</w:t>
            </w:r>
          </w:p>
        </w:tc>
        <w:tc>
          <w:tcPr>
            <w:tcW w:w="711" w:type="pct"/>
            <w:tcBorders>
              <w:top w:val="single" w:sz="4" w:space="0" w:color="auto"/>
              <w:left w:val="nil"/>
              <w:bottom w:val="nil"/>
              <w:right w:val="nil"/>
            </w:tcBorders>
            <w:shd w:val="clear" w:color="auto" w:fill="auto"/>
            <w:vAlign w:val="center"/>
          </w:tcPr>
          <w:p w:rsidR="006D27ED" w:rsidRDefault="006D27ED" w:rsidP="006D27ED">
            <w:pPr>
              <w:pStyle w:val="TableText"/>
              <w:jc w:val="right"/>
              <w:rPr>
                <w:lang w:eastAsia="en-AU"/>
              </w:rPr>
            </w:pPr>
            <w:r>
              <w:rPr>
                <w:b/>
                <w:bCs/>
                <w:color w:val="000000"/>
                <w:szCs w:val="18"/>
              </w:rPr>
              <w:t>2,383,534</w:t>
            </w:r>
          </w:p>
        </w:tc>
        <w:tc>
          <w:tcPr>
            <w:tcW w:w="1032" w:type="pct"/>
            <w:tcBorders>
              <w:top w:val="single" w:sz="4" w:space="0" w:color="auto"/>
              <w:left w:val="nil"/>
              <w:bottom w:val="nil"/>
              <w:right w:val="nil"/>
            </w:tcBorders>
            <w:shd w:val="clear" w:color="auto" w:fill="auto"/>
            <w:vAlign w:val="center"/>
          </w:tcPr>
          <w:p w:rsidR="006D27ED" w:rsidRDefault="006D27ED" w:rsidP="006D27ED">
            <w:pPr>
              <w:pStyle w:val="TableText"/>
              <w:jc w:val="right"/>
              <w:rPr>
                <w:lang w:eastAsia="en-AU"/>
              </w:rPr>
            </w:pPr>
            <w:r>
              <w:rPr>
                <w:b/>
                <w:bCs/>
                <w:color w:val="000000"/>
                <w:szCs w:val="18"/>
              </w:rPr>
              <w:t>2,383,534</w:t>
            </w:r>
          </w:p>
        </w:tc>
      </w:tr>
      <w:tr w:rsidR="006D27ED" w:rsidTr="006027B8">
        <w:tc>
          <w:tcPr>
            <w:tcW w:w="912" w:type="pct"/>
            <w:tcBorders>
              <w:top w:val="single" w:sz="4" w:space="0" w:color="auto"/>
              <w:left w:val="nil"/>
              <w:bottom w:val="nil"/>
              <w:right w:val="nil"/>
            </w:tcBorders>
            <w:shd w:val="clear" w:color="auto" w:fill="auto"/>
          </w:tcPr>
          <w:p w:rsidR="006D27ED" w:rsidRDefault="006D27ED" w:rsidP="006D27ED">
            <w:pPr>
              <w:pStyle w:val="TableText"/>
              <w:rPr>
                <w:lang w:eastAsia="en-AU"/>
              </w:rPr>
            </w:pPr>
            <w:r>
              <w:rPr>
                <w:lang w:eastAsia="en-AU"/>
              </w:rPr>
              <w:t>Remission</w:t>
            </w:r>
          </w:p>
        </w:tc>
        <w:tc>
          <w:tcPr>
            <w:tcW w:w="755" w:type="pct"/>
            <w:tcBorders>
              <w:top w:val="single" w:sz="4" w:space="0" w:color="auto"/>
              <w:left w:val="nil"/>
              <w:bottom w:val="nil"/>
              <w:right w:val="nil"/>
            </w:tcBorders>
            <w:shd w:val="clear" w:color="auto" w:fill="auto"/>
            <w:vAlign w:val="center"/>
          </w:tcPr>
          <w:p w:rsidR="006D27ED" w:rsidRDefault="006D27ED" w:rsidP="006D27ED">
            <w:pPr>
              <w:pStyle w:val="TableText"/>
              <w:jc w:val="right"/>
            </w:pPr>
            <w:r>
              <w:rPr>
                <w:color w:val="000000"/>
                <w:szCs w:val="18"/>
              </w:rPr>
              <w:t>-642,107</w:t>
            </w:r>
          </w:p>
        </w:tc>
        <w:tc>
          <w:tcPr>
            <w:tcW w:w="833" w:type="pct"/>
            <w:tcBorders>
              <w:top w:val="single" w:sz="4" w:space="0" w:color="auto"/>
              <w:left w:val="nil"/>
              <w:bottom w:val="nil"/>
              <w:right w:val="nil"/>
            </w:tcBorders>
            <w:shd w:val="clear" w:color="auto" w:fill="auto"/>
            <w:vAlign w:val="center"/>
          </w:tcPr>
          <w:p w:rsidR="006D27ED" w:rsidRDefault="006D27ED" w:rsidP="006D27ED">
            <w:pPr>
              <w:pStyle w:val="TableText"/>
              <w:jc w:val="right"/>
            </w:pPr>
            <w:r>
              <w:rPr>
                <w:color w:val="000000"/>
                <w:szCs w:val="18"/>
              </w:rPr>
              <w:t>-2,383,534</w:t>
            </w:r>
          </w:p>
        </w:tc>
        <w:tc>
          <w:tcPr>
            <w:tcW w:w="757" w:type="pct"/>
            <w:tcBorders>
              <w:top w:val="single" w:sz="4" w:space="0" w:color="auto"/>
              <w:left w:val="nil"/>
              <w:bottom w:val="nil"/>
              <w:right w:val="nil"/>
            </w:tcBorders>
            <w:shd w:val="clear" w:color="auto" w:fill="auto"/>
            <w:vAlign w:val="center"/>
          </w:tcPr>
          <w:p w:rsidR="006D27ED" w:rsidRDefault="006D27ED" w:rsidP="006D27ED">
            <w:pPr>
              <w:pStyle w:val="TableText"/>
              <w:jc w:val="right"/>
            </w:pPr>
            <w:r>
              <w:rPr>
                <w:color w:val="000000"/>
                <w:szCs w:val="18"/>
              </w:rPr>
              <w:t>-2,383,534</w:t>
            </w:r>
          </w:p>
        </w:tc>
        <w:tc>
          <w:tcPr>
            <w:tcW w:w="711" w:type="pct"/>
            <w:tcBorders>
              <w:top w:val="single" w:sz="4" w:space="0" w:color="auto"/>
              <w:left w:val="nil"/>
              <w:bottom w:val="nil"/>
              <w:right w:val="nil"/>
            </w:tcBorders>
            <w:shd w:val="clear" w:color="auto" w:fill="auto"/>
            <w:vAlign w:val="center"/>
          </w:tcPr>
          <w:p w:rsidR="006D27ED" w:rsidRDefault="006D27ED" w:rsidP="006D27ED">
            <w:pPr>
              <w:pStyle w:val="TableText"/>
              <w:jc w:val="right"/>
            </w:pPr>
            <w:r>
              <w:rPr>
                <w:color w:val="000000"/>
                <w:szCs w:val="18"/>
              </w:rPr>
              <w:t>-2,383,534</w:t>
            </w:r>
          </w:p>
        </w:tc>
        <w:tc>
          <w:tcPr>
            <w:tcW w:w="1032" w:type="pct"/>
            <w:tcBorders>
              <w:top w:val="single" w:sz="4" w:space="0" w:color="auto"/>
              <w:left w:val="nil"/>
              <w:bottom w:val="nil"/>
              <w:right w:val="nil"/>
            </w:tcBorders>
            <w:shd w:val="clear" w:color="auto" w:fill="auto"/>
            <w:vAlign w:val="center"/>
          </w:tcPr>
          <w:p w:rsidR="006D27ED" w:rsidRDefault="006D27ED" w:rsidP="006D27ED">
            <w:pPr>
              <w:pStyle w:val="TableText"/>
              <w:jc w:val="right"/>
            </w:pPr>
            <w:r>
              <w:rPr>
                <w:color w:val="000000"/>
                <w:szCs w:val="18"/>
              </w:rPr>
              <w:t>-2,383,534</w:t>
            </w:r>
          </w:p>
        </w:tc>
      </w:tr>
      <w:tr w:rsidR="006D27ED" w:rsidTr="006027B8">
        <w:tc>
          <w:tcPr>
            <w:tcW w:w="912" w:type="pct"/>
            <w:tcBorders>
              <w:top w:val="nil"/>
              <w:left w:val="nil"/>
              <w:bottom w:val="nil"/>
              <w:right w:val="nil"/>
            </w:tcBorders>
            <w:shd w:val="clear" w:color="auto" w:fill="auto"/>
            <w:hideMark/>
          </w:tcPr>
          <w:p w:rsidR="006D27ED" w:rsidRDefault="006D27ED" w:rsidP="006D27ED">
            <w:pPr>
              <w:pStyle w:val="TableText"/>
              <w:rPr>
                <w:lang w:eastAsia="en-AU"/>
              </w:rPr>
            </w:pPr>
            <w:r>
              <w:rPr>
                <w:lang w:eastAsia="en-AU"/>
              </w:rPr>
              <w:t>Estimated opening cost recovery reserve balance</w:t>
            </w:r>
          </w:p>
        </w:tc>
        <w:tc>
          <w:tcPr>
            <w:tcW w:w="755" w:type="pct"/>
            <w:tcBorders>
              <w:top w:val="nil"/>
              <w:left w:val="nil"/>
              <w:bottom w:val="nil"/>
              <w:right w:val="nil"/>
            </w:tcBorders>
            <w:shd w:val="clear" w:color="auto" w:fill="auto"/>
            <w:vAlign w:val="center"/>
          </w:tcPr>
          <w:p w:rsidR="006D27ED" w:rsidRDefault="006D27ED" w:rsidP="006D27ED">
            <w:pPr>
              <w:pStyle w:val="TableText"/>
              <w:jc w:val="right"/>
              <w:rPr>
                <w:lang w:eastAsia="en-AU"/>
              </w:rPr>
            </w:pPr>
            <w:r>
              <w:rPr>
                <w:color w:val="000000"/>
                <w:szCs w:val="18"/>
              </w:rPr>
              <w:t>36,318,932</w:t>
            </w:r>
          </w:p>
        </w:tc>
        <w:tc>
          <w:tcPr>
            <w:tcW w:w="833" w:type="pct"/>
            <w:tcBorders>
              <w:top w:val="nil"/>
              <w:left w:val="nil"/>
              <w:bottom w:val="nil"/>
              <w:right w:val="nil"/>
            </w:tcBorders>
            <w:shd w:val="clear" w:color="auto" w:fill="auto"/>
            <w:vAlign w:val="center"/>
          </w:tcPr>
          <w:p w:rsidR="006D27ED" w:rsidRDefault="006D27ED" w:rsidP="006D27ED">
            <w:pPr>
              <w:pStyle w:val="TableText"/>
              <w:jc w:val="right"/>
              <w:rPr>
                <w:lang w:eastAsia="en-AU"/>
              </w:rPr>
            </w:pPr>
            <w:r>
              <w:rPr>
                <w:color w:val="000000"/>
                <w:szCs w:val="18"/>
              </w:rPr>
              <w:t>36,318,932</w:t>
            </w:r>
          </w:p>
        </w:tc>
        <w:tc>
          <w:tcPr>
            <w:tcW w:w="757" w:type="pct"/>
            <w:tcBorders>
              <w:top w:val="nil"/>
              <w:left w:val="nil"/>
              <w:bottom w:val="nil"/>
              <w:right w:val="nil"/>
            </w:tcBorders>
            <w:shd w:val="clear" w:color="auto" w:fill="auto"/>
            <w:vAlign w:val="center"/>
          </w:tcPr>
          <w:p w:rsidR="006D27ED" w:rsidRDefault="006D27ED" w:rsidP="006D27ED">
            <w:pPr>
              <w:pStyle w:val="TableText"/>
              <w:jc w:val="right"/>
              <w:rPr>
                <w:lang w:eastAsia="en-AU"/>
              </w:rPr>
            </w:pPr>
            <w:r>
              <w:rPr>
                <w:color w:val="000000"/>
                <w:szCs w:val="18"/>
              </w:rPr>
              <w:t>36,318,932</w:t>
            </w:r>
          </w:p>
        </w:tc>
        <w:tc>
          <w:tcPr>
            <w:tcW w:w="711" w:type="pct"/>
            <w:tcBorders>
              <w:top w:val="nil"/>
              <w:left w:val="nil"/>
              <w:bottom w:val="nil"/>
              <w:right w:val="nil"/>
            </w:tcBorders>
            <w:shd w:val="clear" w:color="auto" w:fill="auto"/>
            <w:vAlign w:val="center"/>
          </w:tcPr>
          <w:p w:rsidR="006D27ED" w:rsidRDefault="006D27ED" w:rsidP="006D27ED">
            <w:pPr>
              <w:pStyle w:val="TableText"/>
              <w:jc w:val="right"/>
              <w:rPr>
                <w:lang w:eastAsia="en-AU"/>
              </w:rPr>
            </w:pPr>
            <w:r>
              <w:rPr>
                <w:color w:val="000000"/>
                <w:szCs w:val="18"/>
              </w:rPr>
              <w:t>36,318,932</w:t>
            </w:r>
          </w:p>
        </w:tc>
        <w:tc>
          <w:tcPr>
            <w:tcW w:w="1032" w:type="pct"/>
            <w:tcBorders>
              <w:top w:val="nil"/>
              <w:left w:val="nil"/>
              <w:bottom w:val="nil"/>
              <w:right w:val="nil"/>
            </w:tcBorders>
            <w:shd w:val="clear" w:color="auto" w:fill="auto"/>
            <w:vAlign w:val="center"/>
          </w:tcPr>
          <w:p w:rsidR="006D27ED" w:rsidRDefault="006D27ED" w:rsidP="006D27ED">
            <w:pPr>
              <w:pStyle w:val="TableText"/>
              <w:jc w:val="right"/>
              <w:rPr>
                <w:lang w:eastAsia="en-AU"/>
              </w:rPr>
            </w:pPr>
            <w:r>
              <w:rPr>
                <w:color w:val="000000"/>
                <w:szCs w:val="18"/>
              </w:rPr>
              <w:t>36,318,932</w:t>
            </w:r>
          </w:p>
        </w:tc>
      </w:tr>
      <w:tr w:rsidR="006D27ED" w:rsidTr="006027B8">
        <w:tc>
          <w:tcPr>
            <w:tcW w:w="912" w:type="pct"/>
            <w:tcBorders>
              <w:top w:val="nil"/>
              <w:left w:val="nil"/>
              <w:bottom w:val="nil"/>
              <w:right w:val="nil"/>
            </w:tcBorders>
            <w:shd w:val="clear" w:color="auto" w:fill="auto"/>
            <w:hideMark/>
          </w:tcPr>
          <w:p w:rsidR="006D27ED" w:rsidRDefault="006D27ED" w:rsidP="006D27ED">
            <w:pPr>
              <w:pStyle w:val="TableText"/>
              <w:rPr>
                <w:lang w:eastAsia="en-AU"/>
              </w:rPr>
            </w:pPr>
            <w:r>
              <w:rPr>
                <w:lang w:eastAsia="en-AU"/>
              </w:rPr>
              <w:t>Transfer</w:t>
            </w:r>
          </w:p>
        </w:tc>
        <w:tc>
          <w:tcPr>
            <w:tcW w:w="755" w:type="pct"/>
            <w:tcBorders>
              <w:top w:val="nil"/>
              <w:left w:val="nil"/>
              <w:bottom w:val="nil"/>
              <w:right w:val="nil"/>
            </w:tcBorders>
            <w:shd w:val="clear" w:color="auto" w:fill="auto"/>
            <w:vAlign w:val="center"/>
          </w:tcPr>
          <w:p w:rsidR="006D27ED" w:rsidRDefault="006D27ED" w:rsidP="006D27ED">
            <w:pPr>
              <w:pStyle w:val="TableText"/>
              <w:jc w:val="right"/>
              <w:rPr>
                <w:lang w:eastAsia="en-AU"/>
              </w:rPr>
            </w:pPr>
            <w:r>
              <w:rPr>
                <w:color w:val="000000"/>
                <w:szCs w:val="18"/>
              </w:rPr>
              <w:t>0</w:t>
            </w:r>
          </w:p>
        </w:tc>
        <w:tc>
          <w:tcPr>
            <w:tcW w:w="833" w:type="pct"/>
            <w:tcBorders>
              <w:top w:val="nil"/>
              <w:left w:val="nil"/>
              <w:bottom w:val="nil"/>
              <w:right w:val="nil"/>
            </w:tcBorders>
            <w:shd w:val="clear" w:color="auto" w:fill="auto"/>
            <w:vAlign w:val="center"/>
          </w:tcPr>
          <w:p w:rsidR="006D27ED" w:rsidRDefault="006D27ED" w:rsidP="006D27ED">
            <w:pPr>
              <w:pStyle w:val="TableText"/>
              <w:jc w:val="right"/>
              <w:rPr>
                <w:lang w:eastAsia="en-AU"/>
              </w:rPr>
            </w:pPr>
            <w:r>
              <w:rPr>
                <w:color w:val="000000"/>
                <w:szCs w:val="18"/>
              </w:rPr>
              <w:t>0</w:t>
            </w:r>
          </w:p>
        </w:tc>
        <w:tc>
          <w:tcPr>
            <w:tcW w:w="757" w:type="pct"/>
            <w:tcBorders>
              <w:top w:val="nil"/>
              <w:left w:val="nil"/>
              <w:bottom w:val="nil"/>
              <w:right w:val="nil"/>
            </w:tcBorders>
            <w:shd w:val="clear" w:color="auto" w:fill="auto"/>
            <w:vAlign w:val="center"/>
          </w:tcPr>
          <w:p w:rsidR="006D27ED" w:rsidRDefault="006D27ED" w:rsidP="006D27ED">
            <w:pPr>
              <w:pStyle w:val="TableText"/>
              <w:jc w:val="right"/>
              <w:rPr>
                <w:lang w:eastAsia="en-AU"/>
              </w:rPr>
            </w:pPr>
            <w:r>
              <w:rPr>
                <w:color w:val="000000"/>
                <w:szCs w:val="18"/>
              </w:rPr>
              <w:t>0</w:t>
            </w:r>
          </w:p>
        </w:tc>
        <w:tc>
          <w:tcPr>
            <w:tcW w:w="711" w:type="pct"/>
            <w:tcBorders>
              <w:top w:val="nil"/>
              <w:left w:val="nil"/>
              <w:bottom w:val="nil"/>
              <w:right w:val="nil"/>
            </w:tcBorders>
            <w:shd w:val="clear" w:color="auto" w:fill="auto"/>
            <w:vAlign w:val="center"/>
          </w:tcPr>
          <w:p w:rsidR="006D27ED" w:rsidRDefault="006D27ED" w:rsidP="006D27ED">
            <w:pPr>
              <w:pStyle w:val="TableText"/>
              <w:jc w:val="right"/>
              <w:rPr>
                <w:lang w:eastAsia="en-AU"/>
              </w:rPr>
            </w:pPr>
            <w:r>
              <w:rPr>
                <w:color w:val="000000"/>
                <w:szCs w:val="18"/>
              </w:rPr>
              <w:t>0</w:t>
            </w:r>
          </w:p>
        </w:tc>
        <w:tc>
          <w:tcPr>
            <w:tcW w:w="1032" w:type="pct"/>
            <w:tcBorders>
              <w:top w:val="nil"/>
              <w:left w:val="nil"/>
              <w:bottom w:val="nil"/>
              <w:right w:val="nil"/>
            </w:tcBorders>
            <w:shd w:val="clear" w:color="auto" w:fill="auto"/>
            <w:vAlign w:val="center"/>
          </w:tcPr>
          <w:p w:rsidR="006D27ED" w:rsidRDefault="006D27ED" w:rsidP="006D27ED">
            <w:pPr>
              <w:pStyle w:val="TableText"/>
              <w:jc w:val="right"/>
              <w:rPr>
                <w:lang w:eastAsia="en-AU"/>
              </w:rPr>
            </w:pPr>
            <w:r>
              <w:rPr>
                <w:color w:val="000000"/>
                <w:szCs w:val="18"/>
              </w:rPr>
              <w:t>0</w:t>
            </w:r>
          </w:p>
        </w:tc>
      </w:tr>
      <w:tr w:rsidR="006D27ED" w:rsidTr="006027B8">
        <w:tc>
          <w:tcPr>
            <w:tcW w:w="912" w:type="pct"/>
            <w:tcBorders>
              <w:top w:val="single" w:sz="4" w:space="0" w:color="auto"/>
              <w:left w:val="nil"/>
              <w:bottom w:val="single" w:sz="4" w:space="0" w:color="auto"/>
              <w:right w:val="nil"/>
            </w:tcBorders>
            <w:shd w:val="clear" w:color="auto" w:fill="auto"/>
            <w:hideMark/>
          </w:tcPr>
          <w:p w:rsidR="006D27ED" w:rsidRDefault="006D27ED" w:rsidP="006D27ED">
            <w:pPr>
              <w:pStyle w:val="TableText"/>
              <w:rPr>
                <w:lang w:eastAsia="en-AU"/>
              </w:rPr>
            </w:pPr>
            <w:r>
              <w:rPr>
                <w:lang w:eastAsia="en-AU"/>
              </w:rPr>
              <w:t>Estimated closing cost recovery reserve balance</w:t>
            </w:r>
          </w:p>
        </w:tc>
        <w:tc>
          <w:tcPr>
            <w:tcW w:w="755" w:type="pct"/>
            <w:tcBorders>
              <w:top w:val="single" w:sz="4" w:space="0" w:color="auto"/>
              <w:left w:val="nil"/>
              <w:bottom w:val="single" w:sz="4" w:space="0" w:color="auto"/>
              <w:right w:val="nil"/>
            </w:tcBorders>
            <w:shd w:val="clear" w:color="auto" w:fill="auto"/>
            <w:vAlign w:val="center"/>
          </w:tcPr>
          <w:p w:rsidR="006D27ED" w:rsidRDefault="006D27ED" w:rsidP="006D27ED">
            <w:pPr>
              <w:pStyle w:val="TableText"/>
              <w:jc w:val="right"/>
            </w:pPr>
            <w:r>
              <w:rPr>
                <w:b/>
                <w:bCs/>
                <w:color w:val="000000"/>
                <w:szCs w:val="18"/>
              </w:rPr>
              <w:t>36,318,932</w:t>
            </w:r>
          </w:p>
        </w:tc>
        <w:tc>
          <w:tcPr>
            <w:tcW w:w="833" w:type="pct"/>
            <w:tcBorders>
              <w:top w:val="single" w:sz="4" w:space="0" w:color="auto"/>
              <w:left w:val="nil"/>
              <w:bottom w:val="single" w:sz="4" w:space="0" w:color="auto"/>
              <w:right w:val="nil"/>
            </w:tcBorders>
            <w:shd w:val="clear" w:color="auto" w:fill="auto"/>
            <w:vAlign w:val="center"/>
          </w:tcPr>
          <w:p w:rsidR="006D27ED" w:rsidRDefault="006D27ED" w:rsidP="006D27ED">
            <w:pPr>
              <w:pStyle w:val="TableText"/>
              <w:jc w:val="right"/>
            </w:pPr>
            <w:r>
              <w:rPr>
                <w:b/>
                <w:bCs/>
                <w:color w:val="000000"/>
                <w:szCs w:val="18"/>
              </w:rPr>
              <w:t>36,318,932</w:t>
            </w:r>
          </w:p>
        </w:tc>
        <w:tc>
          <w:tcPr>
            <w:tcW w:w="757" w:type="pct"/>
            <w:tcBorders>
              <w:top w:val="single" w:sz="4" w:space="0" w:color="auto"/>
              <w:left w:val="nil"/>
              <w:bottom w:val="single" w:sz="4" w:space="0" w:color="auto"/>
              <w:right w:val="nil"/>
            </w:tcBorders>
            <w:shd w:val="clear" w:color="auto" w:fill="auto"/>
            <w:vAlign w:val="center"/>
          </w:tcPr>
          <w:p w:rsidR="006D27ED" w:rsidRDefault="006D27ED" w:rsidP="006D27ED">
            <w:pPr>
              <w:pStyle w:val="TableText"/>
              <w:jc w:val="right"/>
            </w:pPr>
            <w:r>
              <w:rPr>
                <w:b/>
                <w:bCs/>
                <w:color w:val="000000"/>
                <w:szCs w:val="18"/>
              </w:rPr>
              <w:t>36,318,932</w:t>
            </w:r>
          </w:p>
        </w:tc>
        <w:tc>
          <w:tcPr>
            <w:tcW w:w="711" w:type="pct"/>
            <w:tcBorders>
              <w:top w:val="single" w:sz="4" w:space="0" w:color="auto"/>
              <w:left w:val="nil"/>
              <w:bottom w:val="single" w:sz="4" w:space="0" w:color="auto"/>
              <w:right w:val="nil"/>
            </w:tcBorders>
            <w:shd w:val="clear" w:color="auto" w:fill="auto"/>
            <w:vAlign w:val="center"/>
          </w:tcPr>
          <w:p w:rsidR="006D27ED" w:rsidRDefault="006D27ED" w:rsidP="006D27ED">
            <w:pPr>
              <w:pStyle w:val="TableText"/>
              <w:jc w:val="right"/>
            </w:pPr>
            <w:r>
              <w:rPr>
                <w:b/>
                <w:bCs/>
                <w:color w:val="000000"/>
                <w:szCs w:val="18"/>
              </w:rPr>
              <w:t>36,318,932</w:t>
            </w:r>
          </w:p>
        </w:tc>
        <w:tc>
          <w:tcPr>
            <w:tcW w:w="1032" w:type="pct"/>
            <w:tcBorders>
              <w:top w:val="single" w:sz="4" w:space="0" w:color="auto"/>
              <w:left w:val="nil"/>
              <w:bottom w:val="single" w:sz="4" w:space="0" w:color="auto"/>
              <w:right w:val="nil"/>
            </w:tcBorders>
            <w:shd w:val="clear" w:color="auto" w:fill="auto"/>
            <w:vAlign w:val="center"/>
          </w:tcPr>
          <w:p w:rsidR="006D27ED" w:rsidRDefault="006D27ED" w:rsidP="006D27ED">
            <w:pPr>
              <w:pStyle w:val="TableText"/>
              <w:jc w:val="right"/>
            </w:pPr>
            <w:r>
              <w:rPr>
                <w:b/>
                <w:bCs/>
                <w:color w:val="000000"/>
                <w:szCs w:val="18"/>
              </w:rPr>
              <w:t>36,318,932</w:t>
            </w:r>
          </w:p>
        </w:tc>
      </w:tr>
    </w:tbl>
    <w:p w:rsidR="009B4C98" w:rsidRDefault="009B4C98"/>
    <w:p w:rsidR="009B4C98" w:rsidRDefault="009B4C98"/>
    <w:p w:rsidR="009B4C98" w:rsidRDefault="005F192D">
      <w:pPr>
        <w:pStyle w:val="Heading2"/>
      </w:pPr>
      <w:bookmarkStart w:id="74" w:name="_Financial_and_non-financial"/>
      <w:bookmarkStart w:id="75" w:name="_Toc26363655"/>
      <w:bookmarkEnd w:id="74"/>
      <w:r>
        <w:lastRenderedPageBreak/>
        <w:t>Financial and non-financial performance</w:t>
      </w:r>
      <w:bookmarkEnd w:id="75"/>
    </w:p>
    <w:p w:rsidR="009B4C98" w:rsidRDefault="005F192D">
      <w:pPr>
        <w:pStyle w:val="Heading3"/>
        <w:numPr>
          <w:ilvl w:val="0"/>
          <w:numId w:val="0"/>
        </w:numPr>
      </w:pPr>
      <w:bookmarkStart w:id="76" w:name="_Toc26363656"/>
      <w:r>
        <w:t>8.1</w:t>
      </w:r>
      <w:r>
        <w:tab/>
        <w:t>Financial performance</w:t>
      </w:r>
      <w:bookmarkEnd w:id="76"/>
    </w:p>
    <w:p w:rsidR="009B4C98" w:rsidRDefault="005F192D">
      <w:r>
        <w:t xml:space="preserve">This section presents information on the financial and non-financial performance of the biosecurity cost recovery arrangements. This </w:t>
      </w:r>
      <w:proofErr w:type="gramStart"/>
      <w:r>
        <w:t>is intended</w:t>
      </w:r>
      <w:proofErr w:type="gramEnd"/>
      <w:r>
        <w:t xml:space="preserve"> to provide stakeholders with an overview of our performance in recovering forecasted costs and meeting regulatory objectives.</w:t>
      </w:r>
    </w:p>
    <w:p w:rsidR="009B4C98" w:rsidRDefault="005F192D">
      <w:r>
        <w:t xml:space="preserve">We continue to consult with key industry stakeholders on financial performance indicators to assist in evaluating the performance of our cost recovery arrangements. </w:t>
      </w:r>
      <w:r w:rsidR="007E5038">
        <w:fldChar w:fldCharType="begin"/>
      </w:r>
      <w:r w:rsidR="007E5038">
        <w:instrText xml:space="preserve"> REF _Ref26359397 \h </w:instrText>
      </w:r>
      <w:r w:rsidR="007E5038">
        <w:fldChar w:fldCharType="separate"/>
      </w:r>
      <w:r w:rsidR="006962CE">
        <w:t xml:space="preserve">Table </w:t>
      </w:r>
      <w:r w:rsidR="006962CE">
        <w:rPr>
          <w:noProof/>
        </w:rPr>
        <w:t>7</w:t>
      </w:r>
      <w:r w:rsidR="007E5038">
        <w:fldChar w:fldCharType="end"/>
      </w:r>
      <w:r w:rsidR="00233C43">
        <w:t xml:space="preserve"> </w:t>
      </w:r>
      <w:proofErr w:type="gramStart"/>
      <w:r>
        <w:t>will be updated</w:t>
      </w:r>
      <w:proofErr w:type="gramEnd"/>
      <w:r>
        <w:t xml:space="preserve"> as performance indicators are refined and further developed.</w:t>
      </w:r>
    </w:p>
    <w:p w:rsidR="009B4C98" w:rsidRDefault="005F192D">
      <w:pPr>
        <w:pStyle w:val="Caption"/>
      </w:pPr>
      <w:bookmarkStart w:id="77" w:name="_Ref26359397"/>
      <w:bookmarkStart w:id="78" w:name="_Toc26363671"/>
      <w:r>
        <w:t xml:space="preserve">Table </w:t>
      </w:r>
      <w:r>
        <w:rPr>
          <w:noProof/>
        </w:rPr>
        <w:fldChar w:fldCharType="begin"/>
      </w:r>
      <w:r>
        <w:rPr>
          <w:noProof/>
        </w:rPr>
        <w:instrText xml:space="preserve"> SEQ Table \* ARABIC </w:instrText>
      </w:r>
      <w:r>
        <w:rPr>
          <w:noProof/>
        </w:rPr>
        <w:fldChar w:fldCharType="separate"/>
      </w:r>
      <w:r w:rsidR="006962CE">
        <w:rPr>
          <w:noProof/>
        </w:rPr>
        <w:t>7</w:t>
      </w:r>
      <w:r>
        <w:rPr>
          <w:noProof/>
        </w:rPr>
        <w:fldChar w:fldCharType="end"/>
      </w:r>
      <w:bookmarkEnd w:id="77"/>
      <w:r>
        <w:t xml:space="preserve"> Financial performance for biosecurity cost recovery arrangement, 2015–16 to </w:t>
      </w:r>
      <w:r w:rsidR="009B5008">
        <w:t>20</w:t>
      </w:r>
      <w:r w:rsidR="000A53B3">
        <w:t>18-19</w:t>
      </w:r>
      <w:bookmarkEnd w:id="78"/>
    </w:p>
    <w:tbl>
      <w:tblPr>
        <w:tblW w:w="4413" w:type="pct"/>
        <w:tblLook w:val="04A0" w:firstRow="1" w:lastRow="0" w:firstColumn="1" w:lastColumn="0" w:noHBand="0" w:noVBand="1"/>
      </w:tblPr>
      <w:tblGrid>
        <w:gridCol w:w="1580"/>
        <w:gridCol w:w="1607"/>
        <w:gridCol w:w="1607"/>
        <w:gridCol w:w="1607"/>
        <w:gridCol w:w="1604"/>
      </w:tblGrid>
      <w:tr w:rsidR="009B5008" w:rsidTr="008F0FDB">
        <w:trPr>
          <w:trHeight w:val="273"/>
        </w:trPr>
        <w:tc>
          <w:tcPr>
            <w:tcW w:w="986" w:type="pct"/>
            <w:tcBorders>
              <w:top w:val="single" w:sz="8" w:space="0" w:color="auto"/>
              <w:left w:val="nil"/>
              <w:bottom w:val="single" w:sz="8" w:space="0" w:color="auto"/>
              <w:right w:val="nil"/>
            </w:tcBorders>
            <w:shd w:val="clear" w:color="auto" w:fill="auto"/>
            <w:hideMark/>
          </w:tcPr>
          <w:p w:rsidR="009B5008" w:rsidRDefault="009B5008">
            <w:pPr>
              <w:pStyle w:val="TableHeading"/>
              <w:rPr>
                <w:lang w:eastAsia="en-AU"/>
              </w:rPr>
            </w:pPr>
            <w:r>
              <w:rPr>
                <w:lang w:eastAsia="en-AU"/>
              </w:rPr>
              <w:t>Finance element</w:t>
            </w:r>
          </w:p>
        </w:tc>
        <w:tc>
          <w:tcPr>
            <w:tcW w:w="1004" w:type="pct"/>
            <w:tcBorders>
              <w:top w:val="single" w:sz="8" w:space="0" w:color="auto"/>
              <w:left w:val="nil"/>
              <w:bottom w:val="single" w:sz="8" w:space="0" w:color="auto"/>
              <w:right w:val="nil"/>
            </w:tcBorders>
            <w:shd w:val="clear" w:color="auto" w:fill="auto"/>
            <w:hideMark/>
          </w:tcPr>
          <w:p w:rsidR="009B5008" w:rsidRDefault="009B5008">
            <w:pPr>
              <w:pStyle w:val="TableHeading"/>
              <w:jc w:val="right"/>
              <w:rPr>
                <w:lang w:eastAsia="en-AU"/>
              </w:rPr>
            </w:pPr>
            <w:r>
              <w:rPr>
                <w:lang w:eastAsia="en-AU"/>
              </w:rPr>
              <w:t>2015–16 ($)</w:t>
            </w:r>
          </w:p>
        </w:tc>
        <w:tc>
          <w:tcPr>
            <w:tcW w:w="1004" w:type="pct"/>
            <w:tcBorders>
              <w:top w:val="single" w:sz="8" w:space="0" w:color="auto"/>
              <w:left w:val="nil"/>
              <w:bottom w:val="single" w:sz="8" w:space="0" w:color="auto"/>
              <w:right w:val="nil"/>
            </w:tcBorders>
            <w:shd w:val="clear" w:color="auto" w:fill="auto"/>
            <w:hideMark/>
          </w:tcPr>
          <w:p w:rsidR="009B5008" w:rsidRDefault="009B5008">
            <w:pPr>
              <w:pStyle w:val="TableHeading"/>
              <w:jc w:val="right"/>
              <w:rPr>
                <w:lang w:eastAsia="en-AU"/>
              </w:rPr>
            </w:pPr>
            <w:r>
              <w:rPr>
                <w:lang w:eastAsia="en-AU"/>
              </w:rPr>
              <w:t>2016–17 ($)</w:t>
            </w:r>
          </w:p>
        </w:tc>
        <w:tc>
          <w:tcPr>
            <w:tcW w:w="1004" w:type="pct"/>
            <w:tcBorders>
              <w:top w:val="single" w:sz="8" w:space="0" w:color="auto"/>
              <w:left w:val="nil"/>
              <w:bottom w:val="single" w:sz="8" w:space="0" w:color="auto"/>
              <w:right w:val="nil"/>
            </w:tcBorders>
            <w:shd w:val="clear" w:color="auto" w:fill="auto"/>
            <w:hideMark/>
          </w:tcPr>
          <w:p w:rsidR="009B5008" w:rsidRDefault="009B5008">
            <w:pPr>
              <w:pStyle w:val="TableHeading"/>
              <w:jc w:val="right"/>
              <w:rPr>
                <w:lang w:eastAsia="en-AU"/>
              </w:rPr>
            </w:pPr>
            <w:r>
              <w:rPr>
                <w:lang w:eastAsia="en-AU"/>
              </w:rPr>
              <w:t>2017–18 ($)</w:t>
            </w:r>
          </w:p>
        </w:tc>
        <w:tc>
          <w:tcPr>
            <w:tcW w:w="1004" w:type="pct"/>
            <w:tcBorders>
              <w:top w:val="single" w:sz="8" w:space="0" w:color="auto"/>
              <w:left w:val="nil"/>
              <w:bottom w:val="single" w:sz="8" w:space="0" w:color="auto"/>
              <w:right w:val="nil"/>
            </w:tcBorders>
            <w:shd w:val="clear" w:color="auto" w:fill="auto"/>
            <w:hideMark/>
          </w:tcPr>
          <w:p w:rsidR="009B5008" w:rsidRDefault="009B5008">
            <w:pPr>
              <w:pStyle w:val="TableHeading"/>
              <w:jc w:val="right"/>
              <w:rPr>
                <w:lang w:eastAsia="en-AU"/>
              </w:rPr>
            </w:pPr>
            <w:r>
              <w:rPr>
                <w:lang w:eastAsia="en-AU"/>
              </w:rPr>
              <w:t>2018–19 ($)</w:t>
            </w:r>
          </w:p>
        </w:tc>
      </w:tr>
      <w:tr w:rsidR="009B5008" w:rsidTr="008F0FDB">
        <w:trPr>
          <w:trHeight w:val="167"/>
        </w:trPr>
        <w:tc>
          <w:tcPr>
            <w:tcW w:w="986" w:type="pct"/>
            <w:tcBorders>
              <w:top w:val="nil"/>
              <w:left w:val="nil"/>
              <w:bottom w:val="nil"/>
              <w:right w:val="nil"/>
            </w:tcBorders>
            <w:shd w:val="clear" w:color="auto" w:fill="auto"/>
            <w:hideMark/>
          </w:tcPr>
          <w:p w:rsidR="009B5008" w:rsidRDefault="009B5008">
            <w:pPr>
              <w:pStyle w:val="TableText"/>
              <w:rPr>
                <w:lang w:eastAsia="en-AU"/>
              </w:rPr>
            </w:pPr>
            <w:r>
              <w:rPr>
                <w:lang w:eastAsia="en-AU"/>
              </w:rPr>
              <w:t>Revenue = X</w:t>
            </w:r>
          </w:p>
        </w:tc>
        <w:tc>
          <w:tcPr>
            <w:tcW w:w="1004" w:type="pct"/>
            <w:tcBorders>
              <w:top w:val="nil"/>
              <w:left w:val="nil"/>
              <w:bottom w:val="nil"/>
              <w:right w:val="nil"/>
            </w:tcBorders>
            <w:shd w:val="clear" w:color="auto" w:fill="auto"/>
            <w:hideMark/>
          </w:tcPr>
          <w:p w:rsidR="009B5008" w:rsidRDefault="009B5008">
            <w:pPr>
              <w:pStyle w:val="TableText"/>
              <w:jc w:val="right"/>
              <w:rPr>
                <w:lang w:eastAsia="en-AU"/>
              </w:rPr>
            </w:pPr>
            <w:r>
              <w:rPr>
                <w:lang w:eastAsia="en-AU"/>
              </w:rPr>
              <w:t>227,632,889</w:t>
            </w:r>
          </w:p>
        </w:tc>
        <w:tc>
          <w:tcPr>
            <w:tcW w:w="1004" w:type="pct"/>
            <w:tcBorders>
              <w:top w:val="nil"/>
              <w:left w:val="nil"/>
              <w:bottom w:val="nil"/>
              <w:right w:val="nil"/>
            </w:tcBorders>
            <w:shd w:val="clear" w:color="auto" w:fill="auto"/>
            <w:hideMark/>
          </w:tcPr>
          <w:p w:rsidR="009B5008" w:rsidRDefault="009B5008">
            <w:pPr>
              <w:pStyle w:val="TableText"/>
              <w:jc w:val="right"/>
              <w:rPr>
                <w:lang w:eastAsia="en-AU"/>
              </w:rPr>
            </w:pPr>
            <w:r>
              <w:rPr>
                <w:lang w:eastAsia="en-AU"/>
              </w:rPr>
              <w:t>242,848,584</w:t>
            </w:r>
          </w:p>
        </w:tc>
        <w:tc>
          <w:tcPr>
            <w:tcW w:w="1004" w:type="pct"/>
            <w:tcBorders>
              <w:top w:val="nil"/>
              <w:left w:val="nil"/>
              <w:bottom w:val="nil"/>
              <w:right w:val="nil"/>
            </w:tcBorders>
            <w:shd w:val="clear" w:color="auto" w:fill="auto"/>
            <w:hideMark/>
          </w:tcPr>
          <w:p w:rsidR="009B5008" w:rsidRDefault="009B5008">
            <w:pPr>
              <w:pStyle w:val="TableText"/>
              <w:jc w:val="right"/>
              <w:rPr>
                <w:lang w:eastAsia="en-AU"/>
              </w:rPr>
            </w:pPr>
            <w:r>
              <w:rPr>
                <w:lang w:eastAsia="en-AU"/>
              </w:rPr>
              <w:t>252,808,952</w:t>
            </w:r>
          </w:p>
        </w:tc>
        <w:tc>
          <w:tcPr>
            <w:tcW w:w="1004" w:type="pct"/>
            <w:tcBorders>
              <w:top w:val="nil"/>
              <w:left w:val="nil"/>
              <w:bottom w:val="nil"/>
              <w:right w:val="nil"/>
            </w:tcBorders>
            <w:shd w:val="clear" w:color="auto" w:fill="auto"/>
            <w:hideMark/>
          </w:tcPr>
          <w:p w:rsidR="009B5008" w:rsidRDefault="009B5008">
            <w:pPr>
              <w:pStyle w:val="TableText"/>
              <w:jc w:val="right"/>
              <w:rPr>
                <w:lang w:eastAsia="en-AU"/>
              </w:rPr>
            </w:pPr>
            <w:r>
              <w:rPr>
                <w:lang w:eastAsia="en-AU"/>
              </w:rPr>
              <w:t>267,836,074</w:t>
            </w:r>
          </w:p>
        </w:tc>
      </w:tr>
      <w:tr w:rsidR="009B5008" w:rsidTr="008F0FDB">
        <w:trPr>
          <w:trHeight w:val="273"/>
        </w:trPr>
        <w:tc>
          <w:tcPr>
            <w:tcW w:w="986" w:type="pct"/>
            <w:tcBorders>
              <w:top w:val="nil"/>
              <w:left w:val="nil"/>
              <w:bottom w:val="nil"/>
              <w:right w:val="nil"/>
            </w:tcBorders>
            <w:shd w:val="clear" w:color="auto" w:fill="auto"/>
            <w:hideMark/>
          </w:tcPr>
          <w:p w:rsidR="009B5008" w:rsidRDefault="009B5008">
            <w:pPr>
              <w:pStyle w:val="TableText"/>
              <w:rPr>
                <w:lang w:eastAsia="en-AU"/>
              </w:rPr>
            </w:pPr>
            <w:r>
              <w:rPr>
                <w:lang w:eastAsia="en-AU"/>
              </w:rPr>
              <w:t>Expenses = Y</w:t>
            </w:r>
          </w:p>
        </w:tc>
        <w:tc>
          <w:tcPr>
            <w:tcW w:w="1004" w:type="pct"/>
            <w:tcBorders>
              <w:top w:val="nil"/>
              <w:left w:val="nil"/>
              <w:bottom w:val="nil"/>
              <w:right w:val="nil"/>
            </w:tcBorders>
            <w:shd w:val="clear" w:color="auto" w:fill="auto"/>
            <w:hideMark/>
          </w:tcPr>
          <w:p w:rsidR="009B5008" w:rsidRDefault="009B5008">
            <w:pPr>
              <w:pStyle w:val="TableText"/>
              <w:jc w:val="right"/>
              <w:rPr>
                <w:lang w:eastAsia="en-AU"/>
              </w:rPr>
            </w:pPr>
            <w:r>
              <w:rPr>
                <w:lang w:eastAsia="en-AU"/>
              </w:rPr>
              <w:t>226,650,724</w:t>
            </w:r>
          </w:p>
        </w:tc>
        <w:tc>
          <w:tcPr>
            <w:tcW w:w="1004" w:type="pct"/>
            <w:tcBorders>
              <w:top w:val="nil"/>
              <w:left w:val="nil"/>
              <w:bottom w:val="nil"/>
              <w:right w:val="nil"/>
            </w:tcBorders>
            <w:shd w:val="clear" w:color="auto" w:fill="auto"/>
            <w:hideMark/>
          </w:tcPr>
          <w:p w:rsidR="009B5008" w:rsidRDefault="009B5008">
            <w:pPr>
              <w:pStyle w:val="TableText"/>
              <w:jc w:val="right"/>
              <w:rPr>
                <w:lang w:eastAsia="en-AU"/>
              </w:rPr>
            </w:pPr>
            <w:r>
              <w:rPr>
                <w:lang w:eastAsia="en-AU"/>
              </w:rPr>
              <w:t>237,203,357</w:t>
            </w:r>
          </w:p>
        </w:tc>
        <w:tc>
          <w:tcPr>
            <w:tcW w:w="1004" w:type="pct"/>
            <w:tcBorders>
              <w:top w:val="nil"/>
              <w:left w:val="nil"/>
              <w:bottom w:val="nil"/>
              <w:right w:val="nil"/>
            </w:tcBorders>
            <w:shd w:val="clear" w:color="auto" w:fill="auto"/>
            <w:hideMark/>
          </w:tcPr>
          <w:p w:rsidR="009B5008" w:rsidRDefault="009B5008">
            <w:pPr>
              <w:pStyle w:val="TableText"/>
              <w:jc w:val="right"/>
              <w:rPr>
                <w:lang w:eastAsia="en-AU"/>
              </w:rPr>
            </w:pPr>
            <w:r>
              <w:rPr>
                <w:lang w:eastAsia="en-AU"/>
              </w:rPr>
              <w:t>237,982,050</w:t>
            </w:r>
          </w:p>
        </w:tc>
        <w:tc>
          <w:tcPr>
            <w:tcW w:w="1004" w:type="pct"/>
            <w:tcBorders>
              <w:top w:val="nil"/>
              <w:left w:val="nil"/>
              <w:bottom w:val="nil"/>
              <w:right w:val="nil"/>
            </w:tcBorders>
            <w:shd w:val="clear" w:color="auto" w:fill="auto"/>
            <w:hideMark/>
          </w:tcPr>
          <w:p w:rsidR="009B5008" w:rsidRDefault="009B5008">
            <w:pPr>
              <w:pStyle w:val="TableText"/>
              <w:jc w:val="right"/>
              <w:rPr>
                <w:lang w:eastAsia="en-AU"/>
              </w:rPr>
            </w:pPr>
            <w:r>
              <w:rPr>
                <w:lang w:eastAsia="en-AU"/>
              </w:rPr>
              <w:t>252,843,610</w:t>
            </w:r>
          </w:p>
        </w:tc>
      </w:tr>
      <w:tr w:rsidR="009B5008" w:rsidTr="008F0FDB">
        <w:trPr>
          <w:trHeight w:val="273"/>
        </w:trPr>
        <w:tc>
          <w:tcPr>
            <w:tcW w:w="986" w:type="pct"/>
            <w:tcBorders>
              <w:top w:val="single" w:sz="8" w:space="0" w:color="auto"/>
              <w:left w:val="nil"/>
              <w:bottom w:val="nil"/>
              <w:right w:val="nil"/>
            </w:tcBorders>
            <w:shd w:val="clear" w:color="auto" w:fill="auto"/>
            <w:hideMark/>
          </w:tcPr>
          <w:p w:rsidR="009B5008" w:rsidRDefault="009B5008">
            <w:pPr>
              <w:pStyle w:val="TableText"/>
              <w:rPr>
                <w:lang w:eastAsia="en-AU"/>
              </w:rPr>
            </w:pPr>
            <w:r>
              <w:rPr>
                <w:lang w:eastAsia="en-AU"/>
              </w:rPr>
              <w:t>Balance = X – Y</w:t>
            </w:r>
          </w:p>
        </w:tc>
        <w:tc>
          <w:tcPr>
            <w:tcW w:w="1004" w:type="pct"/>
            <w:tcBorders>
              <w:top w:val="single" w:sz="8" w:space="0" w:color="auto"/>
              <w:left w:val="nil"/>
              <w:bottom w:val="nil"/>
              <w:right w:val="nil"/>
            </w:tcBorders>
            <w:shd w:val="clear" w:color="auto" w:fill="auto"/>
            <w:hideMark/>
          </w:tcPr>
          <w:p w:rsidR="009B5008" w:rsidRDefault="009B5008">
            <w:pPr>
              <w:pStyle w:val="TableText"/>
              <w:jc w:val="right"/>
              <w:rPr>
                <w:lang w:eastAsia="en-AU"/>
              </w:rPr>
            </w:pPr>
            <w:r>
              <w:rPr>
                <w:lang w:eastAsia="en-AU"/>
              </w:rPr>
              <w:t>982,165</w:t>
            </w:r>
          </w:p>
        </w:tc>
        <w:tc>
          <w:tcPr>
            <w:tcW w:w="1004" w:type="pct"/>
            <w:tcBorders>
              <w:top w:val="single" w:sz="8" w:space="0" w:color="auto"/>
              <w:left w:val="nil"/>
              <w:bottom w:val="nil"/>
              <w:right w:val="nil"/>
            </w:tcBorders>
            <w:shd w:val="clear" w:color="auto" w:fill="auto"/>
            <w:hideMark/>
          </w:tcPr>
          <w:p w:rsidR="009B5008" w:rsidRDefault="009B5008">
            <w:pPr>
              <w:pStyle w:val="TableText"/>
              <w:jc w:val="right"/>
              <w:rPr>
                <w:lang w:eastAsia="en-AU"/>
              </w:rPr>
            </w:pPr>
            <w:r>
              <w:rPr>
                <w:lang w:eastAsia="en-AU"/>
              </w:rPr>
              <w:t>5,645,227</w:t>
            </w:r>
          </w:p>
        </w:tc>
        <w:tc>
          <w:tcPr>
            <w:tcW w:w="1004" w:type="pct"/>
            <w:tcBorders>
              <w:top w:val="single" w:sz="8" w:space="0" w:color="auto"/>
              <w:left w:val="nil"/>
              <w:bottom w:val="nil"/>
              <w:right w:val="nil"/>
            </w:tcBorders>
            <w:shd w:val="clear" w:color="auto" w:fill="auto"/>
            <w:hideMark/>
          </w:tcPr>
          <w:p w:rsidR="009B5008" w:rsidRDefault="009B5008">
            <w:pPr>
              <w:pStyle w:val="TableText"/>
              <w:jc w:val="right"/>
              <w:rPr>
                <w:lang w:eastAsia="en-AU"/>
              </w:rPr>
            </w:pPr>
            <w:r>
              <w:rPr>
                <w:lang w:eastAsia="en-AU"/>
              </w:rPr>
              <w:t>14,826,902</w:t>
            </w:r>
          </w:p>
        </w:tc>
        <w:tc>
          <w:tcPr>
            <w:tcW w:w="1004" w:type="pct"/>
            <w:tcBorders>
              <w:top w:val="single" w:sz="8" w:space="0" w:color="auto"/>
              <w:left w:val="nil"/>
              <w:bottom w:val="nil"/>
              <w:right w:val="nil"/>
            </w:tcBorders>
            <w:shd w:val="clear" w:color="auto" w:fill="auto"/>
            <w:hideMark/>
          </w:tcPr>
          <w:p w:rsidR="009B5008" w:rsidRDefault="009B5008">
            <w:pPr>
              <w:pStyle w:val="TableText"/>
              <w:jc w:val="right"/>
              <w:rPr>
                <w:lang w:eastAsia="en-AU"/>
              </w:rPr>
            </w:pPr>
            <w:r>
              <w:rPr>
                <w:lang w:eastAsia="en-AU"/>
              </w:rPr>
              <w:t>14,992,464</w:t>
            </w:r>
          </w:p>
        </w:tc>
      </w:tr>
      <w:tr w:rsidR="009B5008" w:rsidTr="008F0FDB">
        <w:trPr>
          <w:trHeight w:val="482"/>
        </w:trPr>
        <w:tc>
          <w:tcPr>
            <w:tcW w:w="986" w:type="pct"/>
            <w:tcBorders>
              <w:top w:val="nil"/>
              <w:left w:val="nil"/>
              <w:bottom w:val="nil"/>
              <w:right w:val="nil"/>
            </w:tcBorders>
            <w:shd w:val="clear" w:color="auto" w:fill="auto"/>
            <w:hideMark/>
          </w:tcPr>
          <w:p w:rsidR="009B5008" w:rsidRDefault="009B5008">
            <w:pPr>
              <w:pStyle w:val="TableText"/>
              <w:rPr>
                <w:lang w:eastAsia="en-AU"/>
              </w:rPr>
            </w:pPr>
            <w:r>
              <w:rPr>
                <w:lang w:eastAsia="en-AU"/>
              </w:rPr>
              <w:t>Remissions, rebates and adjustments = Z</w:t>
            </w:r>
          </w:p>
        </w:tc>
        <w:tc>
          <w:tcPr>
            <w:tcW w:w="1004" w:type="pct"/>
            <w:tcBorders>
              <w:top w:val="nil"/>
              <w:left w:val="nil"/>
              <w:bottom w:val="nil"/>
              <w:right w:val="nil"/>
            </w:tcBorders>
            <w:shd w:val="clear" w:color="auto" w:fill="auto"/>
            <w:hideMark/>
          </w:tcPr>
          <w:p w:rsidR="009B5008" w:rsidRDefault="009B5008">
            <w:pPr>
              <w:pStyle w:val="TableText"/>
              <w:jc w:val="right"/>
              <w:rPr>
                <w:lang w:eastAsia="en-AU"/>
              </w:rPr>
            </w:pPr>
            <w:r>
              <w:rPr>
                <w:lang w:eastAsia="en-AU"/>
              </w:rPr>
              <w:t>0</w:t>
            </w:r>
          </w:p>
        </w:tc>
        <w:tc>
          <w:tcPr>
            <w:tcW w:w="1004" w:type="pct"/>
            <w:tcBorders>
              <w:top w:val="nil"/>
              <w:left w:val="nil"/>
              <w:bottom w:val="nil"/>
              <w:right w:val="nil"/>
            </w:tcBorders>
            <w:shd w:val="clear" w:color="auto" w:fill="auto"/>
            <w:hideMark/>
          </w:tcPr>
          <w:p w:rsidR="009B5008" w:rsidRDefault="009B5008">
            <w:pPr>
              <w:pStyle w:val="TableText"/>
              <w:jc w:val="right"/>
              <w:rPr>
                <w:lang w:eastAsia="en-AU"/>
              </w:rPr>
            </w:pPr>
            <w:r>
              <w:rPr>
                <w:lang w:eastAsia="en-AU"/>
              </w:rPr>
              <w:t>0</w:t>
            </w:r>
          </w:p>
        </w:tc>
        <w:tc>
          <w:tcPr>
            <w:tcW w:w="1004" w:type="pct"/>
            <w:tcBorders>
              <w:top w:val="nil"/>
              <w:left w:val="nil"/>
              <w:bottom w:val="nil"/>
              <w:right w:val="nil"/>
            </w:tcBorders>
            <w:shd w:val="clear" w:color="auto" w:fill="auto"/>
            <w:hideMark/>
          </w:tcPr>
          <w:p w:rsidR="009B5008" w:rsidRDefault="009B5008">
            <w:pPr>
              <w:pStyle w:val="TableText"/>
              <w:jc w:val="right"/>
              <w:rPr>
                <w:lang w:eastAsia="en-AU"/>
              </w:rPr>
            </w:pPr>
            <w:r>
              <w:rPr>
                <w:lang w:eastAsia="en-AU"/>
              </w:rPr>
              <w:t>285,000</w:t>
            </w:r>
          </w:p>
        </w:tc>
        <w:tc>
          <w:tcPr>
            <w:tcW w:w="1004" w:type="pct"/>
            <w:tcBorders>
              <w:top w:val="nil"/>
              <w:left w:val="nil"/>
              <w:bottom w:val="nil"/>
              <w:right w:val="nil"/>
            </w:tcBorders>
            <w:shd w:val="clear" w:color="auto" w:fill="auto"/>
            <w:hideMark/>
          </w:tcPr>
          <w:p w:rsidR="009B5008" w:rsidRDefault="009B5008">
            <w:pPr>
              <w:pStyle w:val="TableText"/>
              <w:jc w:val="right"/>
              <w:rPr>
                <w:lang w:eastAsia="en-AU"/>
              </w:rPr>
            </w:pPr>
            <w:r>
              <w:rPr>
                <w:lang w:eastAsia="en-AU"/>
              </w:rPr>
              <w:t>1,504,470</w:t>
            </w:r>
          </w:p>
        </w:tc>
      </w:tr>
      <w:tr w:rsidR="009B5008" w:rsidTr="008F0FDB">
        <w:trPr>
          <w:trHeight w:val="380"/>
        </w:trPr>
        <w:tc>
          <w:tcPr>
            <w:tcW w:w="986" w:type="pct"/>
            <w:tcBorders>
              <w:top w:val="nil"/>
              <w:left w:val="nil"/>
              <w:bottom w:val="nil"/>
              <w:right w:val="nil"/>
            </w:tcBorders>
            <w:shd w:val="clear" w:color="auto" w:fill="auto"/>
            <w:hideMark/>
          </w:tcPr>
          <w:p w:rsidR="009B5008" w:rsidRDefault="009B5008">
            <w:pPr>
              <w:pStyle w:val="TableText"/>
              <w:rPr>
                <w:lang w:eastAsia="en-AU"/>
              </w:rPr>
            </w:pPr>
            <w:r>
              <w:rPr>
                <w:lang w:eastAsia="en-AU"/>
              </w:rPr>
              <w:t>Net balance = balance – Z</w:t>
            </w:r>
          </w:p>
        </w:tc>
        <w:tc>
          <w:tcPr>
            <w:tcW w:w="1004" w:type="pct"/>
            <w:tcBorders>
              <w:top w:val="nil"/>
              <w:left w:val="nil"/>
              <w:bottom w:val="nil"/>
              <w:right w:val="nil"/>
            </w:tcBorders>
            <w:shd w:val="clear" w:color="auto" w:fill="auto"/>
            <w:hideMark/>
          </w:tcPr>
          <w:p w:rsidR="009B5008" w:rsidRDefault="009B5008">
            <w:pPr>
              <w:pStyle w:val="TableText"/>
              <w:jc w:val="right"/>
              <w:rPr>
                <w:lang w:eastAsia="en-AU"/>
              </w:rPr>
            </w:pPr>
            <w:r>
              <w:rPr>
                <w:lang w:eastAsia="en-AU"/>
              </w:rPr>
              <w:t>982,165</w:t>
            </w:r>
          </w:p>
        </w:tc>
        <w:tc>
          <w:tcPr>
            <w:tcW w:w="1004" w:type="pct"/>
            <w:tcBorders>
              <w:top w:val="nil"/>
              <w:left w:val="nil"/>
              <w:bottom w:val="nil"/>
              <w:right w:val="nil"/>
            </w:tcBorders>
            <w:shd w:val="clear" w:color="auto" w:fill="auto"/>
            <w:hideMark/>
          </w:tcPr>
          <w:p w:rsidR="009B5008" w:rsidRDefault="009B5008">
            <w:pPr>
              <w:pStyle w:val="TableText"/>
              <w:jc w:val="right"/>
              <w:rPr>
                <w:lang w:eastAsia="en-AU"/>
              </w:rPr>
            </w:pPr>
            <w:r>
              <w:rPr>
                <w:lang w:eastAsia="en-AU"/>
              </w:rPr>
              <w:t>5,645,227</w:t>
            </w:r>
          </w:p>
        </w:tc>
        <w:tc>
          <w:tcPr>
            <w:tcW w:w="1004" w:type="pct"/>
            <w:tcBorders>
              <w:top w:val="nil"/>
              <w:left w:val="nil"/>
              <w:bottom w:val="nil"/>
              <w:right w:val="nil"/>
            </w:tcBorders>
            <w:shd w:val="clear" w:color="auto" w:fill="auto"/>
            <w:hideMark/>
          </w:tcPr>
          <w:p w:rsidR="009B5008" w:rsidRDefault="009B5008">
            <w:pPr>
              <w:pStyle w:val="TableText"/>
              <w:jc w:val="right"/>
              <w:rPr>
                <w:lang w:eastAsia="en-AU"/>
              </w:rPr>
            </w:pPr>
            <w:r>
              <w:rPr>
                <w:lang w:eastAsia="en-AU"/>
              </w:rPr>
              <w:t>14,541,902</w:t>
            </w:r>
          </w:p>
        </w:tc>
        <w:tc>
          <w:tcPr>
            <w:tcW w:w="1004" w:type="pct"/>
            <w:tcBorders>
              <w:top w:val="nil"/>
              <w:left w:val="nil"/>
              <w:bottom w:val="nil"/>
              <w:right w:val="nil"/>
            </w:tcBorders>
            <w:shd w:val="clear" w:color="auto" w:fill="auto"/>
            <w:hideMark/>
          </w:tcPr>
          <w:p w:rsidR="009B5008" w:rsidRDefault="009B5008">
            <w:pPr>
              <w:pStyle w:val="TableText"/>
              <w:jc w:val="right"/>
              <w:rPr>
                <w:lang w:eastAsia="en-AU"/>
              </w:rPr>
            </w:pPr>
            <w:r>
              <w:rPr>
                <w:lang w:eastAsia="en-AU"/>
              </w:rPr>
              <w:t>13,487,994</w:t>
            </w:r>
          </w:p>
        </w:tc>
      </w:tr>
      <w:tr w:rsidR="009B5008" w:rsidTr="008F0FDB">
        <w:trPr>
          <w:trHeight w:val="486"/>
        </w:trPr>
        <w:tc>
          <w:tcPr>
            <w:tcW w:w="986" w:type="pct"/>
            <w:tcBorders>
              <w:top w:val="single" w:sz="8" w:space="0" w:color="auto"/>
              <w:left w:val="nil"/>
              <w:bottom w:val="single" w:sz="8" w:space="0" w:color="auto"/>
              <w:right w:val="nil"/>
            </w:tcBorders>
            <w:shd w:val="clear" w:color="auto" w:fill="auto"/>
            <w:hideMark/>
          </w:tcPr>
          <w:p w:rsidR="009B5008" w:rsidRDefault="009B5008">
            <w:pPr>
              <w:pStyle w:val="TableText"/>
              <w:rPr>
                <w:rStyle w:val="Strong"/>
              </w:rPr>
            </w:pPr>
            <w:r>
              <w:rPr>
                <w:rStyle w:val="Strong"/>
              </w:rPr>
              <w:t>Cost recovery reserve balance</w:t>
            </w:r>
          </w:p>
        </w:tc>
        <w:tc>
          <w:tcPr>
            <w:tcW w:w="1004" w:type="pct"/>
            <w:tcBorders>
              <w:top w:val="single" w:sz="8" w:space="0" w:color="auto"/>
              <w:left w:val="nil"/>
              <w:bottom w:val="single" w:sz="8" w:space="0" w:color="auto"/>
              <w:right w:val="nil"/>
            </w:tcBorders>
            <w:shd w:val="clear" w:color="auto" w:fill="auto"/>
            <w:hideMark/>
          </w:tcPr>
          <w:p w:rsidR="009B5008" w:rsidRDefault="009B5008">
            <w:pPr>
              <w:pStyle w:val="TableText"/>
              <w:jc w:val="right"/>
              <w:rPr>
                <w:rStyle w:val="Strong"/>
              </w:rPr>
            </w:pPr>
            <w:r>
              <w:rPr>
                <w:rStyle w:val="Strong"/>
              </w:rPr>
              <w:t>2,643,810</w:t>
            </w:r>
          </w:p>
        </w:tc>
        <w:tc>
          <w:tcPr>
            <w:tcW w:w="1004" w:type="pct"/>
            <w:tcBorders>
              <w:top w:val="single" w:sz="8" w:space="0" w:color="auto"/>
              <w:left w:val="nil"/>
              <w:bottom w:val="single" w:sz="8" w:space="0" w:color="auto"/>
              <w:right w:val="nil"/>
            </w:tcBorders>
            <w:shd w:val="clear" w:color="auto" w:fill="auto"/>
            <w:hideMark/>
          </w:tcPr>
          <w:p w:rsidR="009B5008" w:rsidRDefault="009B5008">
            <w:pPr>
              <w:pStyle w:val="TableText"/>
              <w:jc w:val="right"/>
              <w:rPr>
                <w:rStyle w:val="Strong"/>
              </w:rPr>
            </w:pPr>
            <w:r>
              <w:rPr>
                <w:rStyle w:val="Strong"/>
              </w:rPr>
              <w:t>8,289,036</w:t>
            </w:r>
          </w:p>
        </w:tc>
        <w:tc>
          <w:tcPr>
            <w:tcW w:w="1004" w:type="pct"/>
            <w:tcBorders>
              <w:top w:val="single" w:sz="8" w:space="0" w:color="auto"/>
              <w:left w:val="nil"/>
              <w:bottom w:val="single" w:sz="8" w:space="0" w:color="auto"/>
              <w:right w:val="nil"/>
            </w:tcBorders>
            <w:shd w:val="clear" w:color="auto" w:fill="auto"/>
            <w:hideMark/>
          </w:tcPr>
          <w:p w:rsidR="009B5008" w:rsidRDefault="009B5008">
            <w:pPr>
              <w:pStyle w:val="TableText"/>
              <w:jc w:val="right"/>
              <w:rPr>
                <w:rStyle w:val="Strong"/>
              </w:rPr>
            </w:pPr>
            <w:r>
              <w:rPr>
                <w:rStyle w:val="Strong"/>
              </w:rPr>
              <w:t>22,830,938</w:t>
            </w:r>
          </w:p>
        </w:tc>
        <w:tc>
          <w:tcPr>
            <w:tcW w:w="1004" w:type="pct"/>
            <w:tcBorders>
              <w:top w:val="single" w:sz="8" w:space="0" w:color="auto"/>
              <w:left w:val="nil"/>
              <w:bottom w:val="single" w:sz="8" w:space="0" w:color="auto"/>
              <w:right w:val="nil"/>
            </w:tcBorders>
            <w:shd w:val="clear" w:color="auto" w:fill="auto"/>
            <w:hideMark/>
          </w:tcPr>
          <w:p w:rsidR="009B5008" w:rsidRDefault="009B5008">
            <w:pPr>
              <w:pStyle w:val="TableText"/>
              <w:jc w:val="right"/>
              <w:rPr>
                <w:rStyle w:val="Strong"/>
              </w:rPr>
            </w:pPr>
            <w:r>
              <w:rPr>
                <w:rStyle w:val="Strong"/>
              </w:rPr>
              <w:t>36,318,932</w:t>
            </w:r>
          </w:p>
        </w:tc>
      </w:tr>
    </w:tbl>
    <w:p w:rsidR="009B4C98" w:rsidRDefault="005F192D" w:rsidP="00E760AD">
      <w:pPr>
        <w:pStyle w:val="FigureTableNoteSource"/>
      </w:pPr>
      <w:r>
        <w:t>Explanation for changes: Increased volume of activity of imported goods and services has resulted in higher revenue and expense. Consistent growth in volume has included FIDs – Air and Sea, vessel arrivals, import permits, assessment, inspections and treatments. We have made changes to the biosecurity activities and this resulted in an impact to the expense base. This includes:</w:t>
      </w:r>
    </w:p>
    <w:p w:rsidR="009B4C98" w:rsidRPr="00362F60" w:rsidRDefault="005F192D" w:rsidP="00E760AD">
      <w:pPr>
        <w:pStyle w:val="FigureTableNoteSource"/>
        <w:spacing w:after="0"/>
      </w:pPr>
      <w:r w:rsidRPr="00362F60">
        <w:t>a) Improved biosecurity business processes and client services. This include better use of modern service delivery arrangements such as giving clients greater access to online services, better client experience for lodging documents, appointment bookings, paying invoices and mobile devices (tablets) for staff. b) Expansion of border surveillance and intelligence activities. This includes additional general surveillance, enhanced trapping and testing, and the implementation of a nationally consistent regime for collecting, analysing and disseminating biosecurity intelligence. c) Expansion of pre-border compliance and verification activities – including increased assessment and audit of the systems that manage biosecurity risk in exporting countries.</w:t>
      </w:r>
    </w:p>
    <w:p w:rsidR="009B4C98" w:rsidRDefault="009B4C98" w:rsidP="00E760AD">
      <w:pPr>
        <w:sectPr w:rsidR="009B4C98" w:rsidSect="006027B8">
          <w:headerReference w:type="even" r:id="rId28"/>
          <w:headerReference w:type="default" r:id="rId29"/>
          <w:footerReference w:type="even" r:id="rId30"/>
          <w:footerReference w:type="default" r:id="rId31"/>
          <w:headerReference w:type="first" r:id="rId32"/>
          <w:footerReference w:type="first" r:id="rId33"/>
          <w:pgSz w:w="11906" w:h="16838"/>
          <w:pgMar w:top="1418" w:right="1418" w:bottom="1418" w:left="1418" w:header="567" w:footer="283" w:gutter="0"/>
          <w:cols w:space="708"/>
          <w:docGrid w:linePitch="360"/>
        </w:sectPr>
      </w:pPr>
    </w:p>
    <w:p w:rsidR="009B4C98" w:rsidRDefault="005F192D">
      <w:pPr>
        <w:pStyle w:val="Heading3"/>
        <w:numPr>
          <w:ilvl w:val="0"/>
          <w:numId w:val="0"/>
        </w:numPr>
      </w:pPr>
      <w:bookmarkStart w:id="79" w:name="_Toc26363657"/>
      <w:r>
        <w:lastRenderedPageBreak/>
        <w:t>8.2</w:t>
      </w:r>
      <w:r>
        <w:tab/>
        <w:t>Non-financial performance</w:t>
      </w:r>
      <w:bookmarkEnd w:id="79"/>
    </w:p>
    <w:p w:rsidR="009B4C98" w:rsidRDefault="005F192D">
      <w:r>
        <w:rPr>
          <w:lang w:eastAsia="ja-JP"/>
        </w:rPr>
        <w:t xml:space="preserve">Over the life of this </w:t>
      </w:r>
      <w:proofErr w:type="gramStart"/>
      <w:r>
        <w:rPr>
          <w:lang w:eastAsia="ja-JP"/>
        </w:rPr>
        <w:t>CRIS</w:t>
      </w:r>
      <w:proofErr w:type="gramEnd"/>
      <w:r>
        <w:rPr>
          <w:lang w:eastAsia="ja-JP"/>
        </w:rPr>
        <w:t xml:space="preserve"> we intend to consult with</w:t>
      </w:r>
      <w:r>
        <w:t xml:space="preserve"> key industry stakeholders on non-financial performance indicators to assist in evaluating performance of the cost recovery arrangements we administer. This CRIS </w:t>
      </w:r>
      <w:proofErr w:type="gramStart"/>
      <w:r>
        <w:t>will be updated</w:t>
      </w:r>
      <w:proofErr w:type="gramEnd"/>
      <w:r>
        <w:t xml:space="preserve"> as performance indicators are refined and further developed.</w:t>
      </w:r>
    </w:p>
    <w:p w:rsidR="009B4C98" w:rsidRDefault="007E5038">
      <w:r>
        <w:fldChar w:fldCharType="begin"/>
      </w:r>
      <w:r>
        <w:instrText xml:space="preserve"> REF _Ref24627530 \h </w:instrText>
      </w:r>
      <w:r>
        <w:fldChar w:fldCharType="separate"/>
      </w:r>
      <w:r w:rsidR="006962CE">
        <w:t xml:space="preserve">Table </w:t>
      </w:r>
      <w:r w:rsidR="006962CE">
        <w:rPr>
          <w:noProof/>
        </w:rPr>
        <w:t>8</w:t>
      </w:r>
      <w:r>
        <w:fldChar w:fldCharType="end"/>
      </w:r>
      <w:r>
        <w:t xml:space="preserve"> </w:t>
      </w:r>
      <w:r w:rsidR="005F192D">
        <w:t xml:space="preserve">provides key non-financial performance indicators for the biosecurity cost recovery arrangement, consistent with the Australian Government Regulator Performance Framework. Additional key non-financial performance measures available in our annual report 2018–19 </w:t>
      </w:r>
      <w:proofErr w:type="gramStart"/>
      <w:r w:rsidR="005F192D">
        <w:t>are also listed</w:t>
      </w:r>
      <w:proofErr w:type="gramEnd"/>
      <w:r w:rsidR="005F192D">
        <w:t xml:space="preserve"> in </w:t>
      </w:r>
      <w:r>
        <w:fldChar w:fldCharType="begin"/>
      </w:r>
      <w:r>
        <w:instrText xml:space="preserve"> REF _Ref24627530 \h </w:instrText>
      </w:r>
      <w:r>
        <w:fldChar w:fldCharType="separate"/>
      </w:r>
      <w:r w:rsidR="006962CE">
        <w:t xml:space="preserve">Table </w:t>
      </w:r>
      <w:r w:rsidR="006962CE">
        <w:rPr>
          <w:noProof/>
        </w:rPr>
        <w:t>8</w:t>
      </w:r>
      <w:r>
        <w:fldChar w:fldCharType="end"/>
      </w:r>
      <w:r w:rsidR="005F192D">
        <w:t>.</w:t>
      </w:r>
    </w:p>
    <w:p w:rsidR="009B4C98" w:rsidRDefault="005F192D">
      <w:pPr>
        <w:pStyle w:val="Caption"/>
      </w:pPr>
      <w:bookmarkStart w:id="80" w:name="_Ref24627530"/>
      <w:bookmarkStart w:id="81" w:name="_Toc26363672"/>
      <w:r>
        <w:t xml:space="preserve">Table </w:t>
      </w:r>
      <w:r>
        <w:rPr>
          <w:noProof/>
        </w:rPr>
        <w:fldChar w:fldCharType="begin"/>
      </w:r>
      <w:r>
        <w:rPr>
          <w:noProof/>
        </w:rPr>
        <w:instrText xml:space="preserve"> SEQ Table \* ARABIC </w:instrText>
      </w:r>
      <w:r>
        <w:rPr>
          <w:noProof/>
        </w:rPr>
        <w:fldChar w:fldCharType="separate"/>
      </w:r>
      <w:r w:rsidR="006962CE">
        <w:rPr>
          <w:noProof/>
        </w:rPr>
        <w:t>8</w:t>
      </w:r>
      <w:r>
        <w:rPr>
          <w:noProof/>
        </w:rPr>
        <w:fldChar w:fldCharType="end"/>
      </w:r>
      <w:bookmarkEnd w:id="80"/>
      <w:r>
        <w:t xml:space="preserve"> Non-financial performance measures for biosecurity cost recovery arrangement, 2018–19 to 2023–24</w:t>
      </w:r>
      <w:bookmarkEnd w:id="81"/>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369"/>
        <w:gridCol w:w="1292"/>
        <w:gridCol w:w="1292"/>
        <w:gridCol w:w="1292"/>
        <w:gridCol w:w="993"/>
        <w:gridCol w:w="991"/>
      </w:tblGrid>
      <w:tr w:rsidR="009B4C98" w:rsidTr="00467F0E">
        <w:trPr>
          <w:cantSplit/>
          <w:tblHeader/>
        </w:trPr>
        <w:tc>
          <w:tcPr>
            <w:tcW w:w="887" w:type="pct"/>
            <w:tcBorders>
              <w:top w:val="single" w:sz="4" w:space="0" w:color="auto"/>
              <w:bottom w:val="single" w:sz="4" w:space="0" w:color="auto"/>
            </w:tcBorders>
          </w:tcPr>
          <w:p w:rsidR="009B4C98" w:rsidRDefault="005F192D">
            <w:pPr>
              <w:pStyle w:val="TableHeading"/>
            </w:pPr>
            <w:r>
              <w:t>Performance indicators</w:t>
            </w:r>
          </w:p>
        </w:tc>
        <w:tc>
          <w:tcPr>
            <w:tcW w:w="779" w:type="pct"/>
            <w:tcBorders>
              <w:top w:val="single" w:sz="4" w:space="0" w:color="auto"/>
              <w:bottom w:val="single" w:sz="4" w:space="0" w:color="auto"/>
            </w:tcBorders>
          </w:tcPr>
          <w:p w:rsidR="009B4C98" w:rsidRDefault="005F192D">
            <w:pPr>
              <w:pStyle w:val="TableHeading"/>
              <w:jc w:val="right"/>
            </w:pPr>
            <w:r>
              <w:t>2018–19 performance</w:t>
            </w:r>
          </w:p>
        </w:tc>
        <w:tc>
          <w:tcPr>
            <w:tcW w:w="735" w:type="pct"/>
            <w:tcBorders>
              <w:top w:val="single" w:sz="4" w:space="0" w:color="auto"/>
              <w:bottom w:val="single" w:sz="4" w:space="0" w:color="auto"/>
            </w:tcBorders>
          </w:tcPr>
          <w:p w:rsidR="009B4C98" w:rsidRDefault="005F192D">
            <w:pPr>
              <w:pStyle w:val="TableHeading"/>
              <w:jc w:val="right"/>
            </w:pPr>
            <w:r>
              <w:t>2019–20 performance</w:t>
            </w:r>
          </w:p>
        </w:tc>
        <w:tc>
          <w:tcPr>
            <w:tcW w:w="735" w:type="pct"/>
            <w:tcBorders>
              <w:top w:val="single" w:sz="4" w:space="0" w:color="auto"/>
              <w:bottom w:val="single" w:sz="4" w:space="0" w:color="auto"/>
            </w:tcBorders>
          </w:tcPr>
          <w:p w:rsidR="009B4C98" w:rsidRDefault="005F192D">
            <w:pPr>
              <w:pStyle w:val="TableHeading"/>
              <w:jc w:val="right"/>
            </w:pPr>
            <w:r>
              <w:t>2020–21 performance</w:t>
            </w:r>
          </w:p>
        </w:tc>
        <w:tc>
          <w:tcPr>
            <w:tcW w:w="735" w:type="pct"/>
            <w:tcBorders>
              <w:top w:val="single" w:sz="4" w:space="0" w:color="auto"/>
              <w:bottom w:val="single" w:sz="4" w:space="0" w:color="auto"/>
            </w:tcBorders>
          </w:tcPr>
          <w:p w:rsidR="009B4C98" w:rsidRDefault="005F192D">
            <w:pPr>
              <w:pStyle w:val="TableHeading"/>
              <w:jc w:val="right"/>
            </w:pPr>
            <w:r>
              <w:t>2021–22 performance</w:t>
            </w:r>
          </w:p>
        </w:tc>
        <w:tc>
          <w:tcPr>
            <w:tcW w:w="565" w:type="pct"/>
            <w:tcBorders>
              <w:top w:val="single" w:sz="4" w:space="0" w:color="auto"/>
              <w:bottom w:val="single" w:sz="4" w:space="0" w:color="auto"/>
            </w:tcBorders>
          </w:tcPr>
          <w:p w:rsidR="009B4C98" w:rsidRDefault="005F192D">
            <w:pPr>
              <w:pStyle w:val="TableHeading"/>
              <w:jc w:val="right"/>
            </w:pPr>
            <w:r>
              <w:t>2022–23 target</w:t>
            </w:r>
          </w:p>
        </w:tc>
        <w:tc>
          <w:tcPr>
            <w:tcW w:w="564" w:type="pct"/>
            <w:tcBorders>
              <w:top w:val="single" w:sz="4" w:space="0" w:color="auto"/>
              <w:bottom w:val="single" w:sz="4" w:space="0" w:color="auto"/>
            </w:tcBorders>
          </w:tcPr>
          <w:p w:rsidR="009B4C98" w:rsidRDefault="005F192D">
            <w:pPr>
              <w:pStyle w:val="TableHeading"/>
              <w:jc w:val="right"/>
            </w:pPr>
            <w:r>
              <w:t>2023–24 target</w:t>
            </w:r>
          </w:p>
        </w:tc>
      </w:tr>
      <w:tr w:rsidR="009B4C98" w:rsidTr="00467F0E">
        <w:tc>
          <w:tcPr>
            <w:tcW w:w="887" w:type="pct"/>
            <w:tcBorders>
              <w:top w:val="single" w:sz="4" w:space="0" w:color="auto"/>
            </w:tcBorders>
          </w:tcPr>
          <w:p w:rsidR="009B4C98" w:rsidRDefault="005F192D" w:rsidP="005A6405">
            <w:pPr>
              <w:pStyle w:val="TableText"/>
            </w:pPr>
            <w:r>
              <w:t>Maintained or improved effectiveness and efficien</w:t>
            </w:r>
            <w:r w:rsidR="009B63F9">
              <w:t>cy in managing biosecurity risk</w:t>
            </w:r>
          </w:p>
        </w:tc>
        <w:tc>
          <w:tcPr>
            <w:tcW w:w="779" w:type="pct"/>
            <w:tcBorders>
              <w:top w:val="single" w:sz="4" w:space="0" w:color="auto"/>
            </w:tcBorders>
          </w:tcPr>
          <w:p w:rsidR="009B4C98" w:rsidRDefault="005F192D">
            <w:pPr>
              <w:pStyle w:val="TableText"/>
              <w:jc w:val="right"/>
            </w:pPr>
            <w:r>
              <w:t>Achieved</w:t>
            </w:r>
          </w:p>
        </w:tc>
        <w:tc>
          <w:tcPr>
            <w:tcW w:w="735" w:type="pct"/>
            <w:tcBorders>
              <w:top w:val="single" w:sz="4" w:space="0" w:color="auto"/>
            </w:tcBorders>
          </w:tcPr>
          <w:p w:rsidR="009B4C98" w:rsidRDefault="005F192D">
            <w:pPr>
              <w:pStyle w:val="TableText"/>
              <w:jc w:val="right"/>
            </w:pPr>
            <w:r>
              <w:t>Update in 2020</w:t>
            </w:r>
          </w:p>
        </w:tc>
        <w:tc>
          <w:tcPr>
            <w:tcW w:w="735" w:type="pct"/>
            <w:tcBorders>
              <w:top w:val="single" w:sz="4" w:space="0" w:color="auto"/>
            </w:tcBorders>
          </w:tcPr>
          <w:p w:rsidR="009B4C98" w:rsidRDefault="005F192D">
            <w:pPr>
              <w:pStyle w:val="TableText"/>
              <w:jc w:val="right"/>
            </w:pPr>
            <w:r>
              <w:t>Update in 2021</w:t>
            </w:r>
          </w:p>
        </w:tc>
        <w:tc>
          <w:tcPr>
            <w:tcW w:w="735" w:type="pct"/>
            <w:tcBorders>
              <w:top w:val="single" w:sz="4" w:space="0" w:color="auto"/>
            </w:tcBorders>
          </w:tcPr>
          <w:p w:rsidR="009B4C98" w:rsidRDefault="005F192D">
            <w:pPr>
              <w:pStyle w:val="TableText"/>
              <w:jc w:val="right"/>
            </w:pPr>
            <w:r>
              <w:t>Update in 2022</w:t>
            </w:r>
          </w:p>
        </w:tc>
        <w:tc>
          <w:tcPr>
            <w:tcW w:w="565" w:type="pct"/>
            <w:tcBorders>
              <w:top w:val="single" w:sz="4" w:space="0" w:color="auto"/>
            </w:tcBorders>
          </w:tcPr>
          <w:p w:rsidR="009B4C98" w:rsidRDefault="005F192D">
            <w:pPr>
              <w:pStyle w:val="TableText"/>
              <w:jc w:val="right"/>
            </w:pPr>
            <w:r>
              <w:t>Update in 2023</w:t>
            </w:r>
          </w:p>
        </w:tc>
        <w:tc>
          <w:tcPr>
            <w:tcW w:w="564" w:type="pct"/>
            <w:tcBorders>
              <w:top w:val="single" w:sz="4" w:space="0" w:color="auto"/>
            </w:tcBorders>
          </w:tcPr>
          <w:p w:rsidR="009B4C98" w:rsidRDefault="005F192D">
            <w:pPr>
              <w:pStyle w:val="TableText"/>
              <w:jc w:val="right"/>
            </w:pPr>
            <w:r>
              <w:t>Update in 2024</w:t>
            </w:r>
          </w:p>
        </w:tc>
      </w:tr>
      <w:tr w:rsidR="009B4C98" w:rsidTr="00467F0E">
        <w:tc>
          <w:tcPr>
            <w:tcW w:w="887" w:type="pct"/>
            <w:tcBorders>
              <w:top w:val="single" w:sz="4" w:space="0" w:color="auto"/>
            </w:tcBorders>
          </w:tcPr>
          <w:p w:rsidR="009B4C98" w:rsidRDefault="005F192D">
            <w:pPr>
              <w:pStyle w:val="TableText"/>
            </w:pPr>
            <w:r>
              <w:t xml:space="preserve">Effective intervention on compliance pathways </w:t>
            </w:r>
          </w:p>
        </w:tc>
        <w:tc>
          <w:tcPr>
            <w:tcW w:w="779" w:type="pct"/>
            <w:tcBorders>
              <w:top w:val="single" w:sz="4" w:space="0" w:color="auto"/>
            </w:tcBorders>
          </w:tcPr>
          <w:p w:rsidR="009B4C98" w:rsidRDefault="005F192D">
            <w:pPr>
              <w:pStyle w:val="TableText"/>
              <w:jc w:val="right"/>
            </w:pPr>
            <w:r>
              <w:t>Achieved</w:t>
            </w:r>
          </w:p>
        </w:tc>
        <w:tc>
          <w:tcPr>
            <w:tcW w:w="735" w:type="pct"/>
            <w:tcBorders>
              <w:top w:val="single" w:sz="4" w:space="0" w:color="auto"/>
            </w:tcBorders>
          </w:tcPr>
          <w:p w:rsidR="009B4C98" w:rsidRDefault="005F192D">
            <w:pPr>
              <w:pStyle w:val="TableText"/>
              <w:jc w:val="right"/>
            </w:pPr>
            <w:r>
              <w:t>Update in 2020</w:t>
            </w:r>
          </w:p>
        </w:tc>
        <w:tc>
          <w:tcPr>
            <w:tcW w:w="735" w:type="pct"/>
            <w:tcBorders>
              <w:top w:val="single" w:sz="4" w:space="0" w:color="auto"/>
            </w:tcBorders>
          </w:tcPr>
          <w:p w:rsidR="009B4C98" w:rsidRDefault="005F192D">
            <w:pPr>
              <w:pStyle w:val="TableText"/>
              <w:jc w:val="right"/>
            </w:pPr>
            <w:r>
              <w:t>Update in 2021</w:t>
            </w:r>
          </w:p>
        </w:tc>
        <w:tc>
          <w:tcPr>
            <w:tcW w:w="735" w:type="pct"/>
            <w:tcBorders>
              <w:top w:val="single" w:sz="4" w:space="0" w:color="auto"/>
            </w:tcBorders>
          </w:tcPr>
          <w:p w:rsidR="009B4C98" w:rsidRDefault="005F192D">
            <w:pPr>
              <w:pStyle w:val="TableText"/>
              <w:jc w:val="right"/>
            </w:pPr>
            <w:r>
              <w:t>Update in 2022</w:t>
            </w:r>
          </w:p>
        </w:tc>
        <w:tc>
          <w:tcPr>
            <w:tcW w:w="565" w:type="pct"/>
            <w:tcBorders>
              <w:top w:val="single" w:sz="4" w:space="0" w:color="auto"/>
            </w:tcBorders>
          </w:tcPr>
          <w:p w:rsidR="009B4C98" w:rsidRDefault="005F192D">
            <w:pPr>
              <w:pStyle w:val="TableText"/>
              <w:jc w:val="right"/>
            </w:pPr>
            <w:r>
              <w:t>Update in 2023</w:t>
            </w:r>
          </w:p>
        </w:tc>
        <w:tc>
          <w:tcPr>
            <w:tcW w:w="564" w:type="pct"/>
            <w:tcBorders>
              <w:top w:val="single" w:sz="4" w:space="0" w:color="auto"/>
            </w:tcBorders>
          </w:tcPr>
          <w:p w:rsidR="009B4C98" w:rsidRDefault="005F192D">
            <w:pPr>
              <w:pStyle w:val="TableText"/>
              <w:jc w:val="right"/>
            </w:pPr>
            <w:r>
              <w:t>Update in 2024</w:t>
            </w:r>
          </w:p>
        </w:tc>
      </w:tr>
      <w:tr w:rsidR="009B4C98" w:rsidTr="00467F0E">
        <w:tc>
          <w:tcPr>
            <w:tcW w:w="887" w:type="pct"/>
            <w:tcBorders>
              <w:top w:val="single" w:sz="4" w:space="0" w:color="auto"/>
            </w:tcBorders>
          </w:tcPr>
          <w:p w:rsidR="009B4C98" w:rsidRDefault="005F192D" w:rsidP="005A6405">
            <w:pPr>
              <w:pStyle w:val="TableText"/>
            </w:pPr>
            <w:r>
              <w:t xml:space="preserve">Regulatory practices seek to minimise the impact of regulation on clients and stakeholders </w:t>
            </w:r>
          </w:p>
        </w:tc>
        <w:tc>
          <w:tcPr>
            <w:tcW w:w="779" w:type="pct"/>
            <w:tcBorders>
              <w:top w:val="single" w:sz="4" w:space="0" w:color="auto"/>
            </w:tcBorders>
          </w:tcPr>
          <w:p w:rsidR="009B4C98" w:rsidRDefault="005F192D">
            <w:pPr>
              <w:pStyle w:val="TableText"/>
              <w:jc w:val="right"/>
            </w:pPr>
            <w:r>
              <w:t>Achieved</w:t>
            </w:r>
          </w:p>
        </w:tc>
        <w:tc>
          <w:tcPr>
            <w:tcW w:w="735" w:type="pct"/>
            <w:tcBorders>
              <w:top w:val="single" w:sz="4" w:space="0" w:color="auto"/>
            </w:tcBorders>
          </w:tcPr>
          <w:p w:rsidR="009B4C98" w:rsidRDefault="005F192D">
            <w:pPr>
              <w:pStyle w:val="TableText"/>
              <w:jc w:val="right"/>
            </w:pPr>
            <w:r>
              <w:t>Update in 2020</w:t>
            </w:r>
          </w:p>
        </w:tc>
        <w:tc>
          <w:tcPr>
            <w:tcW w:w="735" w:type="pct"/>
            <w:tcBorders>
              <w:top w:val="single" w:sz="4" w:space="0" w:color="auto"/>
            </w:tcBorders>
          </w:tcPr>
          <w:p w:rsidR="009B4C98" w:rsidRDefault="005F192D">
            <w:pPr>
              <w:pStyle w:val="TableText"/>
              <w:jc w:val="right"/>
            </w:pPr>
            <w:r>
              <w:t>Update in 2021</w:t>
            </w:r>
          </w:p>
        </w:tc>
        <w:tc>
          <w:tcPr>
            <w:tcW w:w="735" w:type="pct"/>
            <w:tcBorders>
              <w:top w:val="single" w:sz="4" w:space="0" w:color="auto"/>
            </w:tcBorders>
          </w:tcPr>
          <w:p w:rsidR="009B4C98" w:rsidRDefault="005F192D">
            <w:pPr>
              <w:pStyle w:val="TableText"/>
              <w:jc w:val="right"/>
            </w:pPr>
            <w:r>
              <w:t>Update in 2022</w:t>
            </w:r>
          </w:p>
        </w:tc>
        <w:tc>
          <w:tcPr>
            <w:tcW w:w="565" w:type="pct"/>
            <w:tcBorders>
              <w:top w:val="single" w:sz="4" w:space="0" w:color="auto"/>
            </w:tcBorders>
          </w:tcPr>
          <w:p w:rsidR="009B4C98" w:rsidRDefault="005F192D">
            <w:pPr>
              <w:pStyle w:val="TableText"/>
              <w:jc w:val="right"/>
            </w:pPr>
            <w:r>
              <w:t>Update in 2023</w:t>
            </w:r>
          </w:p>
        </w:tc>
        <w:tc>
          <w:tcPr>
            <w:tcW w:w="564" w:type="pct"/>
            <w:tcBorders>
              <w:top w:val="single" w:sz="4" w:space="0" w:color="auto"/>
            </w:tcBorders>
          </w:tcPr>
          <w:p w:rsidR="009B4C98" w:rsidRDefault="005F192D">
            <w:pPr>
              <w:pStyle w:val="TableText"/>
              <w:jc w:val="right"/>
            </w:pPr>
            <w:r>
              <w:t>Update in 2024</w:t>
            </w:r>
          </w:p>
        </w:tc>
      </w:tr>
      <w:tr w:rsidR="009B4C98" w:rsidTr="00467F0E">
        <w:tc>
          <w:tcPr>
            <w:tcW w:w="887" w:type="pct"/>
            <w:tcBorders>
              <w:top w:val="single" w:sz="4" w:space="0" w:color="auto"/>
            </w:tcBorders>
          </w:tcPr>
          <w:p w:rsidR="009B4C98" w:rsidRDefault="005F192D" w:rsidP="009B63F9">
            <w:pPr>
              <w:pStyle w:val="TableText"/>
            </w:pPr>
            <w:r>
              <w:t xml:space="preserve">Business processes and services are improved through the better use of modern technology and improved work practices </w:t>
            </w:r>
          </w:p>
        </w:tc>
        <w:tc>
          <w:tcPr>
            <w:tcW w:w="779" w:type="pct"/>
            <w:tcBorders>
              <w:top w:val="single" w:sz="4" w:space="0" w:color="auto"/>
            </w:tcBorders>
          </w:tcPr>
          <w:p w:rsidR="009B4C98" w:rsidRDefault="005F192D">
            <w:pPr>
              <w:pStyle w:val="TableText"/>
              <w:jc w:val="right"/>
            </w:pPr>
            <w:r>
              <w:t>Achieved</w:t>
            </w:r>
          </w:p>
        </w:tc>
        <w:tc>
          <w:tcPr>
            <w:tcW w:w="735" w:type="pct"/>
            <w:tcBorders>
              <w:top w:val="single" w:sz="4" w:space="0" w:color="auto"/>
            </w:tcBorders>
          </w:tcPr>
          <w:p w:rsidR="009B4C98" w:rsidRDefault="005F192D">
            <w:pPr>
              <w:pStyle w:val="TableText"/>
              <w:jc w:val="right"/>
            </w:pPr>
            <w:r>
              <w:t>Update in 2020</w:t>
            </w:r>
          </w:p>
        </w:tc>
        <w:tc>
          <w:tcPr>
            <w:tcW w:w="735" w:type="pct"/>
            <w:tcBorders>
              <w:top w:val="single" w:sz="4" w:space="0" w:color="auto"/>
            </w:tcBorders>
          </w:tcPr>
          <w:p w:rsidR="009B4C98" w:rsidRDefault="005F192D">
            <w:pPr>
              <w:pStyle w:val="TableText"/>
              <w:jc w:val="right"/>
            </w:pPr>
            <w:r>
              <w:t>Update in 2021</w:t>
            </w:r>
          </w:p>
        </w:tc>
        <w:tc>
          <w:tcPr>
            <w:tcW w:w="735" w:type="pct"/>
            <w:tcBorders>
              <w:top w:val="single" w:sz="4" w:space="0" w:color="auto"/>
            </w:tcBorders>
          </w:tcPr>
          <w:p w:rsidR="009B4C98" w:rsidRDefault="005F192D">
            <w:pPr>
              <w:pStyle w:val="TableText"/>
              <w:jc w:val="right"/>
            </w:pPr>
            <w:r>
              <w:t>Update in 2022</w:t>
            </w:r>
          </w:p>
        </w:tc>
        <w:tc>
          <w:tcPr>
            <w:tcW w:w="565" w:type="pct"/>
            <w:tcBorders>
              <w:top w:val="single" w:sz="4" w:space="0" w:color="auto"/>
            </w:tcBorders>
          </w:tcPr>
          <w:p w:rsidR="009B4C98" w:rsidRDefault="005F192D">
            <w:pPr>
              <w:pStyle w:val="TableText"/>
              <w:jc w:val="right"/>
            </w:pPr>
            <w:r>
              <w:t>Update in 2023</w:t>
            </w:r>
          </w:p>
        </w:tc>
        <w:tc>
          <w:tcPr>
            <w:tcW w:w="564" w:type="pct"/>
            <w:tcBorders>
              <w:top w:val="single" w:sz="4" w:space="0" w:color="auto"/>
            </w:tcBorders>
          </w:tcPr>
          <w:p w:rsidR="009B4C98" w:rsidRDefault="005F192D">
            <w:pPr>
              <w:pStyle w:val="TableText"/>
              <w:jc w:val="right"/>
            </w:pPr>
            <w:r>
              <w:t>Update in 2024</w:t>
            </w:r>
          </w:p>
        </w:tc>
      </w:tr>
    </w:tbl>
    <w:p w:rsidR="009B4C98" w:rsidRDefault="005F192D">
      <w:pPr>
        <w:pStyle w:val="FigureTableNoteSource"/>
        <w:rPr>
          <w:lang w:eastAsia="en-AU"/>
        </w:rPr>
      </w:pPr>
      <w:r>
        <w:rPr>
          <w:lang w:eastAsia="en-AU"/>
        </w:rPr>
        <w:t xml:space="preserve">For </w:t>
      </w:r>
      <w:r w:rsidR="00087778">
        <w:rPr>
          <w:lang w:eastAsia="en-AU"/>
        </w:rPr>
        <w:t xml:space="preserve">performance measures, see </w:t>
      </w:r>
      <w:r>
        <w:rPr>
          <w:lang w:eastAsia="en-AU"/>
        </w:rPr>
        <w:t xml:space="preserve">the </w:t>
      </w:r>
      <w:hyperlink r:id="rId34" w:history="1">
        <w:r w:rsidRPr="00E760AD">
          <w:rPr>
            <w:rStyle w:val="Hyperlink"/>
            <w:lang w:eastAsia="en-AU"/>
          </w:rPr>
          <w:t xml:space="preserve">Department of Agriculture </w:t>
        </w:r>
        <w:r w:rsidR="00940F99" w:rsidRPr="00E760AD">
          <w:rPr>
            <w:rStyle w:val="Hyperlink"/>
            <w:lang w:eastAsia="en-AU"/>
          </w:rPr>
          <w:t>A</w:t>
        </w:r>
        <w:r w:rsidRPr="00E760AD">
          <w:rPr>
            <w:rStyle w:val="Hyperlink"/>
            <w:lang w:eastAsia="en-AU"/>
          </w:rPr>
          <w:t xml:space="preserve">nnual </w:t>
        </w:r>
        <w:r w:rsidR="00940F99" w:rsidRPr="00E760AD">
          <w:rPr>
            <w:rStyle w:val="Hyperlink"/>
            <w:lang w:eastAsia="en-AU"/>
          </w:rPr>
          <w:t>R</w:t>
        </w:r>
        <w:r w:rsidRPr="00E760AD">
          <w:rPr>
            <w:rStyle w:val="Hyperlink"/>
            <w:lang w:eastAsia="en-AU"/>
          </w:rPr>
          <w:t>eport 2018–19</w:t>
        </w:r>
      </w:hyperlink>
      <w:r w:rsidRPr="00E760AD">
        <w:rPr>
          <w:lang w:eastAsia="en-AU"/>
        </w:rPr>
        <w:t>.</w:t>
      </w:r>
    </w:p>
    <w:p w:rsidR="009B4C98" w:rsidRDefault="005F192D">
      <w:pPr>
        <w:pStyle w:val="Heading2"/>
      </w:pPr>
      <w:bookmarkStart w:id="82" w:name="_Toc26363658"/>
      <w:r>
        <w:lastRenderedPageBreak/>
        <w:t>Key dates and events</w:t>
      </w:r>
      <w:bookmarkEnd w:id="82"/>
    </w:p>
    <w:p w:rsidR="009B4C98" w:rsidRDefault="005F192D">
      <w:pPr>
        <w:rPr>
          <w:lang w:eastAsia="ja-JP"/>
        </w:rPr>
      </w:pPr>
      <w:r>
        <w:rPr>
          <w:lang w:eastAsia="ja-JP"/>
        </w:rPr>
        <w:t>We undertake regular reviews of our fi</w:t>
      </w:r>
      <w:r w:rsidR="00087778">
        <w:rPr>
          <w:lang w:eastAsia="ja-JP"/>
        </w:rPr>
        <w:t>nancial performance and conduct</w:t>
      </w:r>
      <w:r>
        <w:rPr>
          <w:lang w:eastAsia="ja-JP"/>
        </w:rPr>
        <w:t xml:space="preserve"> regular stakeholder engagement activities throughout the CRIS cycle. Key activities for the biosecurity arrangement are:</w:t>
      </w:r>
    </w:p>
    <w:p w:rsidR="009B4C98" w:rsidRDefault="005F192D">
      <w:pPr>
        <w:pStyle w:val="ListBullet"/>
      </w:pPr>
      <w:r>
        <w:t xml:space="preserve">Monthly executive reporting of financial results including actual expense and revenue compared with forecast. Where a significant variance </w:t>
      </w:r>
      <w:proofErr w:type="gramStart"/>
      <w:r>
        <w:t>is identified</w:t>
      </w:r>
      <w:proofErr w:type="gramEnd"/>
      <w:r>
        <w:t>, we may engage with industry.</w:t>
      </w:r>
    </w:p>
    <w:p w:rsidR="009B4C98" w:rsidRDefault="005F192D">
      <w:pPr>
        <w:pStyle w:val="ListBullet"/>
      </w:pPr>
      <w:r>
        <w:t>We will make quarterly reporting on financial performance available to industry, including actual results and updated forward estimates if required.</w:t>
      </w:r>
    </w:p>
    <w:p w:rsidR="009B4C98" w:rsidRDefault="005F192D">
      <w:pPr>
        <w:pStyle w:val="ListBullet"/>
      </w:pPr>
      <w:r>
        <w:t>We will undertake stakeholder engagement with relevant consultative committees on a regular basis or as agreed with industry.</w:t>
      </w:r>
    </w:p>
    <w:p w:rsidR="009B4C98" w:rsidRDefault="005F192D">
      <w:pPr>
        <w:pStyle w:val="ListBullet"/>
      </w:pPr>
      <w:r>
        <w:t xml:space="preserve">We will undertake broad public consultation prior to any significant updates of the 2019–20 CRIS, or prior to the development of the 2023–24 CRIS in line with the </w:t>
      </w:r>
      <w:r w:rsidR="008334F7">
        <w:t>charging f</w:t>
      </w:r>
      <w:r w:rsidR="00F02CDB">
        <w:t>ramework</w:t>
      </w:r>
      <w:r w:rsidR="008334F7">
        <w:t>.</w:t>
      </w:r>
    </w:p>
    <w:p w:rsidR="009B4C98" w:rsidRDefault="003E58B6">
      <w:pPr>
        <w:pStyle w:val="ListBullet"/>
      </w:pPr>
      <w:r>
        <w:t>In 2020-21</w:t>
      </w:r>
      <w:r w:rsidR="005F192D">
        <w:t>, we will undertake a full review of this CRIS. This will necessarily include a number of industry and stakeholder consultation and engagement activities.</w:t>
      </w:r>
    </w:p>
    <w:p w:rsidR="009B4C98" w:rsidRDefault="005F192D">
      <w:pPr>
        <w:pStyle w:val="Heading2"/>
      </w:pPr>
      <w:bookmarkStart w:id="83" w:name="_Toc26363659"/>
      <w:r>
        <w:lastRenderedPageBreak/>
        <w:t>CRIS approval and change register</w:t>
      </w:r>
      <w:bookmarkEnd w:id="83"/>
    </w:p>
    <w:p w:rsidR="009B4C98" w:rsidRDefault="005F192D">
      <w:r>
        <w:t xml:space="preserve">The Secretary certified this CRIS before presenting it to the Minister for Agriculture for approval and the Minister for Finance for agreement. It </w:t>
      </w:r>
      <w:proofErr w:type="gramStart"/>
      <w:r>
        <w:t>will be reviewed</w:t>
      </w:r>
      <w:proofErr w:type="gramEnd"/>
      <w:r>
        <w:t xml:space="preserve"> annually as recommended by the Australian Government Charging Framework. The change register will allow us to track changes to the CRIS.</w:t>
      </w:r>
    </w:p>
    <w:p w:rsidR="009B4C98" w:rsidRDefault="00467F0E">
      <w:r>
        <w:rPr>
          <w:lang w:eastAsia="ja-JP"/>
        </w:rPr>
        <w:fldChar w:fldCharType="begin"/>
      </w:r>
      <w:r>
        <w:rPr>
          <w:lang w:eastAsia="ja-JP"/>
        </w:rPr>
        <w:instrText xml:space="preserve"> REF _Ref24629294 \h </w:instrText>
      </w:r>
      <w:r>
        <w:rPr>
          <w:lang w:eastAsia="ja-JP"/>
        </w:rPr>
      </w:r>
      <w:r>
        <w:rPr>
          <w:lang w:eastAsia="ja-JP"/>
        </w:rPr>
        <w:fldChar w:fldCharType="separate"/>
      </w:r>
      <w:r w:rsidR="006962CE">
        <w:t xml:space="preserve">Table </w:t>
      </w:r>
      <w:r w:rsidR="006962CE">
        <w:rPr>
          <w:noProof/>
        </w:rPr>
        <w:t>9</w:t>
      </w:r>
      <w:r>
        <w:rPr>
          <w:lang w:eastAsia="ja-JP"/>
        </w:rPr>
        <w:fldChar w:fldCharType="end"/>
      </w:r>
      <w:r>
        <w:rPr>
          <w:lang w:eastAsia="ja-JP"/>
        </w:rPr>
        <w:t xml:space="preserve"> </w:t>
      </w:r>
      <w:r w:rsidR="005F192D">
        <w:rPr>
          <w:lang w:eastAsia="ja-JP"/>
        </w:rPr>
        <w:t>will provide a record of future changes and updates to this CRIS.</w:t>
      </w:r>
    </w:p>
    <w:p w:rsidR="009B4C98" w:rsidRDefault="005F192D">
      <w:pPr>
        <w:pStyle w:val="Caption"/>
      </w:pPr>
      <w:bookmarkStart w:id="84" w:name="_Ref24629294"/>
      <w:bookmarkStart w:id="85" w:name="_Toc26363673"/>
      <w:r>
        <w:t xml:space="preserve">Table </w:t>
      </w:r>
      <w:r>
        <w:rPr>
          <w:noProof/>
        </w:rPr>
        <w:fldChar w:fldCharType="begin"/>
      </w:r>
      <w:r>
        <w:rPr>
          <w:noProof/>
        </w:rPr>
        <w:instrText xml:space="preserve"> SEQ Table \* ARABIC </w:instrText>
      </w:r>
      <w:r>
        <w:rPr>
          <w:noProof/>
        </w:rPr>
        <w:fldChar w:fldCharType="separate"/>
      </w:r>
      <w:r w:rsidR="006962CE">
        <w:rPr>
          <w:noProof/>
        </w:rPr>
        <w:t>9</w:t>
      </w:r>
      <w:r>
        <w:rPr>
          <w:noProof/>
        </w:rPr>
        <w:fldChar w:fldCharType="end"/>
      </w:r>
      <w:bookmarkEnd w:id="84"/>
      <w:r>
        <w:t xml:space="preserve"> Change register</w:t>
      </w:r>
      <w:bookmarkEnd w:id="85"/>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9B4C98">
        <w:trPr>
          <w:cantSplit/>
          <w:tblHeader/>
        </w:trPr>
        <w:tc>
          <w:tcPr>
            <w:tcW w:w="2265" w:type="dxa"/>
            <w:tcBorders>
              <w:top w:val="single" w:sz="4" w:space="0" w:color="auto"/>
              <w:bottom w:val="single" w:sz="4" w:space="0" w:color="auto"/>
            </w:tcBorders>
          </w:tcPr>
          <w:p w:rsidR="009B4C98" w:rsidRDefault="005F192D">
            <w:pPr>
              <w:pStyle w:val="TableHeading"/>
            </w:pPr>
            <w:r>
              <w:t>Date of CRIS change</w:t>
            </w:r>
          </w:p>
        </w:tc>
        <w:tc>
          <w:tcPr>
            <w:tcW w:w="2265" w:type="dxa"/>
            <w:tcBorders>
              <w:top w:val="single" w:sz="4" w:space="0" w:color="auto"/>
              <w:bottom w:val="single" w:sz="4" w:space="0" w:color="auto"/>
            </w:tcBorders>
          </w:tcPr>
          <w:p w:rsidR="009B4C98" w:rsidRDefault="005F192D">
            <w:pPr>
              <w:pStyle w:val="TableHeading"/>
            </w:pPr>
            <w:r>
              <w:t>CRIS change</w:t>
            </w:r>
          </w:p>
        </w:tc>
        <w:tc>
          <w:tcPr>
            <w:tcW w:w="2265" w:type="dxa"/>
            <w:tcBorders>
              <w:top w:val="single" w:sz="4" w:space="0" w:color="auto"/>
              <w:bottom w:val="single" w:sz="4" w:space="0" w:color="auto"/>
            </w:tcBorders>
          </w:tcPr>
          <w:p w:rsidR="009B4C98" w:rsidRDefault="005F192D">
            <w:pPr>
              <w:pStyle w:val="TableHeading"/>
            </w:pPr>
            <w:r>
              <w:t>Approver</w:t>
            </w:r>
          </w:p>
        </w:tc>
        <w:tc>
          <w:tcPr>
            <w:tcW w:w="2265" w:type="dxa"/>
            <w:tcBorders>
              <w:top w:val="single" w:sz="4" w:space="0" w:color="auto"/>
              <w:bottom w:val="single" w:sz="4" w:space="0" w:color="auto"/>
            </w:tcBorders>
          </w:tcPr>
          <w:p w:rsidR="009B4C98" w:rsidRDefault="005F192D">
            <w:pPr>
              <w:pStyle w:val="TableHeading"/>
            </w:pPr>
            <w:r>
              <w:t>Basis for change</w:t>
            </w:r>
          </w:p>
        </w:tc>
      </w:tr>
      <w:tr w:rsidR="009B4C98">
        <w:tc>
          <w:tcPr>
            <w:tcW w:w="2265" w:type="dxa"/>
            <w:tcBorders>
              <w:top w:val="single" w:sz="4" w:space="0" w:color="auto"/>
              <w:bottom w:val="single" w:sz="4" w:space="0" w:color="auto"/>
            </w:tcBorders>
          </w:tcPr>
          <w:p w:rsidR="009B4C98" w:rsidRDefault="005F192D">
            <w:pPr>
              <w:pStyle w:val="TableText"/>
            </w:pPr>
            <w:r>
              <w:t>To be updated</w:t>
            </w:r>
          </w:p>
        </w:tc>
        <w:tc>
          <w:tcPr>
            <w:tcW w:w="2265" w:type="dxa"/>
            <w:tcBorders>
              <w:top w:val="single" w:sz="4" w:space="0" w:color="auto"/>
              <w:bottom w:val="single" w:sz="4" w:space="0" w:color="auto"/>
            </w:tcBorders>
          </w:tcPr>
          <w:p w:rsidR="009B4C98" w:rsidRDefault="005F192D">
            <w:pPr>
              <w:pStyle w:val="TableText"/>
            </w:pPr>
            <w:r>
              <w:t>Certification of the CRIS</w:t>
            </w:r>
          </w:p>
        </w:tc>
        <w:tc>
          <w:tcPr>
            <w:tcW w:w="2265" w:type="dxa"/>
            <w:tcBorders>
              <w:top w:val="single" w:sz="4" w:space="0" w:color="auto"/>
              <w:bottom w:val="single" w:sz="4" w:space="0" w:color="auto"/>
            </w:tcBorders>
          </w:tcPr>
          <w:p w:rsidR="009B4C98" w:rsidRDefault="005F192D">
            <w:pPr>
              <w:pStyle w:val="TableText"/>
            </w:pPr>
            <w:r>
              <w:t>To be updated</w:t>
            </w:r>
          </w:p>
        </w:tc>
        <w:tc>
          <w:tcPr>
            <w:tcW w:w="2265" w:type="dxa"/>
            <w:tcBorders>
              <w:top w:val="single" w:sz="4" w:space="0" w:color="auto"/>
              <w:bottom w:val="single" w:sz="4" w:space="0" w:color="auto"/>
            </w:tcBorders>
          </w:tcPr>
          <w:p w:rsidR="009B4C98" w:rsidRDefault="005F192D">
            <w:pPr>
              <w:pStyle w:val="TableText"/>
            </w:pPr>
            <w:r>
              <w:t>To be updated</w:t>
            </w:r>
          </w:p>
        </w:tc>
      </w:tr>
      <w:tr w:rsidR="009B4C98">
        <w:tc>
          <w:tcPr>
            <w:tcW w:w="2265" w:type="dxa"/>
            <w:tcBorders>
              <w:top w:val="single" w:sz="4" w:space="0" w:color="auto"/>
              <w:bottom w:val="single" w:sz="4" w:space="0" w:color="auto"/>
            </w:tcBorders>
          </w:tcPr>
          <w:p w:rsidR="009B4C98" w:rsidRDefault="005F192D">
            <w:pPr>
              <w:pStyle w:val="TableText"/>
            </w:pPr>
            <w:r>
              <w:t>To be updated</w:t>
            </w:r>
          </w:p>
        </w:tc>
        <w:tc>
          <w:tcPr>
            <w:tcW w:w="2265" w:type="dxa"/>
            <w:tcBorders>
              <w:top w:val="single" w:sz="4" w:space="0" w:color="auto"/>
              <w:bottom w:val="single" w:sz="4" w:space="0" w:color="auto"/>
            </w:tcBorders>
          </w:tcPr>
          <w:p w:rsidR="009B4C98" w:rsidRDefault="005F192D">
            <w:pPr>
              <w:pStyle w:val="TableText"/>
            </w:pPr>
            <w:r>
              <w:t>Agreement to the CRIS</w:t>
            </w:r>
          </w:p>
        </w:tc>
        <w:tc>
          <w:tcPr>
            <w:tcW w:w="2265" w:type="dxa"/>
            <w:tcBorders>
              <w:top w:val="single" w:sz="4" w:space="0" w:color="auto"/>
              <w:bottom w:val="single" w:sz="4" w:space="0" w:color="auto"/>
            </w:tcBorders>
          </w:tcPr>
          <w:p w:rsidR="009B4C98" w:rsidRDefault="005F192D">
            <w:pPr>
              <w:pStyle w:val="TableText"/>
            </w:pPr>
            <w:r>
              <w:t>To be updated</w:t>
            </w:r>
          </w:p>
        </w:tc>
        <w:tc>
          <w:tcPr>
            <w:tcW w:w="2265" w:type="dxa"/>
            <w:tcBorders>
              <w:top w:val="single" w:sz="4" w:space="0" w:color="auto"/>
              <w:bottom w:val="single" w:sz="4" w:space="0" w:color="auto"/>
            </w:tcBorders>
          </w:tcPr>
          <w:p w:rsidR="009B4C98" w:rsidRDefault="005F192D">
            <w:pPr>
              <w:pStyle w:val="TableText"/>
            </w:pPr>
            <w:r>
              <w:t>To be updated</w:t>
            </w:r>
          </w:p>
        </w:tc>
      </w:tr>
      <w:tr w:rsidR="009B4C98">
        <w:tc>
          <w:tcPr>
            <w:tcW w:w="2265" w:type="dxa"/>
            <w:tcBorders>
              <w:top w:val="single" w:sz="4" w:space="0" w:color="auto"/>
              <w:bottom w:val="single" w:sz="4" w:space="0" w:color="auto"/>
            </w:tcBorders>
          </w:tcPr>
          <w:p w:rsidR="009B4C98" w:rsidRDefault="005F192D">
            <w:pPr>
              <w:pStyle w:val="TableText"/>
            </w:pPr>
            <w:r>
              <w:t>To be updated</w:t>
            </w:r>
          </w:p>
        </w:tc>
        <w:tc>
          <w:tcPr>
            <w:tcW w:w="2265" w:type="dxa"/>
            <w:tcBorders>
              <w:top w:val="single" w:sz="4" w:space="0" w:color="auto"/>
              <w:bottom w:val="single" w:sz="4" w:space="0" w:color="auto"/>
            </w:tcBorders>
          </w:tcPr>
          <w:p w:rsidR="009B4C98" w:rsidRDefault="005F192D">
            <w:pPr>
              <w:pStyle w:val="TableText"/>
            </w:pPr>
            <w:r>
              <w:t>Approval for the CRIS release</w:t>
            </w:r>
          </w:p>
        </w:tc>
        <w:tc>
          <w:tcPr>
            <w:tcW w:w="2265" w:type="dxa"/>
            <w:tcBorders>
              <w:top w:val="single" w:sz="4" w:space="0" w:color="auto"/>
              <w:bottom w:val="single" w:sz="4" w:space="0" w:color="auto"/>
            </w:tcBorders>
          </w:tcPr>
          <w:p w:rsidR="009B4C98" w:rsidRDefault="005F192D">
            <w:pPr>
              <w:pStyle w:val="TableText"/>
            </w:pPr>
            <w:r>
              <w:t>To be updated</w:t>
            </w:r>
          </w:p>
        </w:tc>
        <w:tc>
          <w:tcPr>
            <w:tcW w:w="2265" w:type="dxa"/>
            <w:tcBorders>
              <w:top w:val="single" w:sz="4" w:space="0" w:color="auto"/>
              <w:bottom w:val="single" w:sz="4" w:space="0" w:color="auto"/>
            </w:tcBorders>
          </w:tcPr>
          <w:p w:rsidR="009B4C98" w:rsidRDefault="005F192D">
            <w:pPr>
              <w:pStyle w:val="TableText"/>
            </w:pPr>
            <w:r>
              <w:t>To be updated</w:t>
            </w:r>
          </w:p>
        </w:tc>
      </w:tr>
      <w:tr w:rsidR="009B4C98">
        <w:tc>
          <w:tcPr>
            <w:tcW w:w="2265" w:type="dxa"/>
            <w:tcBorders>
              <w:top w:val="single" w:sz="4" w:space="0" w:color="auto"/>
              <w:bottom w:val="single" w:sz="4" w:space="0" w:color="auto"/>
            </w:tcBorders>
          </w:tcPr>
          <w:p w:rsidR="009B4C98" w:rsidRDefault="005F192D">
            <w:pPr>
              <w:pStyle w:val="TableText"/>
            </w:pPr>
            <w:r>
              <w:t>To be updated</w:t>
            </w:r>
          </w:p>
        </w:tc>
        <w:tc>
          <w:tcPr>
            <w:tcW w:w="2265" w:type="dxa"/>
            <w:tcBorders>
              <w:top w:val="single" w:sz="4" w:space="0" w:color="auto"/>
              <w:bottom w:val="single" w:sz="4" w:space="0" w:color="auto"/>
            </w:tcBorders>
          </w:tcPr>
          <w:p w:rsidR="009B4C98" w:rsidRDefault="005F192D">
            <w:pPr>
              <w:pStyle w:val="TableText"/>
            </w:pPr>
            <w:r>
              <w:t>Update of financial estimates</w:t>
            </w:r>
          </w:p>
        </w:tc>
        <w:tc>
          <w:tcPr>
            <w:tcW w:w="2265" w:type="dxa"/>
            <w:tcBorders>
              <w:top w:val="single" w:sz="4" w:space="0" w:color="auto"/>
              <w:bottom w:val="single" w:sz="4" w:space="0" w:color="auto"/>
            </w:tcBorders>
          </w:tcPr>
          <w:p w:rsidR="009B4C98" w:rsidRDefault="005F192D">
            <w:pPr>
              <w:pStyle w:val="TableText"/>
            </w:pPr>
            <w:r>
              <w:t>To be updated</w:t>
            </w:r>
          </w:p>
        </w:tc>
        <w:tc>
          <w:tcPr>
            <w:tcW w:w="2265" w:type="dxa"/>
            <w:tcBorders>
              <w:top w:val="single" w:sz="4" w:space="0" w:color="auto"/>
              <w:bottom w:val="single" w:sz="4" w:space="0" w:color="auto"/>
            </w:tcBorders>
          </w:tcPr>
          <w:p w:rsidR="009B4C98" w:rsidRDefault="005F192D">
            <w:pPr>
              <w:pStyle w:val="TableText"/>
            </w:pPr>
            <w:r>
              <w:t>To be updated</w:t>
            </w:r>
          </w:p>
        </w:tc>
      </w:tr>
    </w:tbl>
    <w:p w:rsidR="009B4C98" w:rsidRDefault="009B4C98"/>
    <w:p w:rsidR="009B4C98" w:rsidRDefault="005F192D">
      <w:pPr>
        <w:pStyle w:val="Heading2"/>
        <w:numPr>
          <w:ilvl w:val="0"/>
          <w:numId w:val="0"/>
        </w:numPr>
      </w:pPr>
      <w:bookmarkStart w:id="86" w:name="_Appendix_A:_Grain"/>
      <w:bookmarkStart w:id="87" w:name="_Financial_estimates_1"/>
      <w:bookmarkStart w:id="88" w:name="_Industry-specific_feedback"/>
      <w:bookmarkStart w:id="89" w:name="_Toc24029295"/>
      <w:bookmarkStart w:id="90" w:name="_Toc24029296"/>
      <w:bookmarkStart w:id="91" w:name="_Appendix_B:_Horticulture"/>
      <w:bookmarkStart w:id="92" w:name="_Appendix_C_—"/>
      <w:bookmarkStart w:id="93" w:name="_Appendix_C:_Description"/>
      <w:bookmarkStart w:id="94" w:name="_Appendix_A:_Description"/>
      <w:bookmarkStart w:id="95" w:name="_Toc26363660"/>
      <w:bookmarkEnd w:id="86"/>
      <w:bookmarkEnd w:id="87"/>
      <w:bookmarkEnd w:id="88"/>
      <w:bookmarkEnd w:id="89"/>
      <w:bookmarkEnd w:id="90"/>
      <w:bookmarkEnd w:id="91"/>
      <w:bookmarkEnd w:id="92"/>
      <w:bookmarkEnd w:id="93"/>
      <w:bookmarkEnd w:id="94"/>
      <w:r>
        <w:lastRenderedPageBreak/>
        <w:t>Appendix A: Description of cost model activities</w:t>
      </w:r>
      <w:bookmarkEnd w:id="95"/>
    </w:p>
    <w:p w:rsidR="009B4C98" w:rsidRDefault="005F192D">
      <w:pPr>
        <w:rPr>
          <w:lang w:eastAsia="ja-JP"/>
        </w:rPr>
      </w:pPr>
      <w:r>
        <w:rPr>
          <w:lang w:eastAsia="ja-JP"/>
        </w:rPr>
        <w:t xml:space="preserve">This section provides details of the cost model activities undertaken in </w:t>
      </w:r>
      <w:r w:rsidR="001105F0">
        <w:rPr>
          <w:lang w:eastAsia="ja-JP"/>
        </w:rPr>
        <w:t xml:space="preserve">our </w:t>
      </w:r>
      <w:r>
        <w:rPr>
          <w:lang w:eastAsia="ja-JP"/>
        </w:rPr>
        <w:t>cost recovery arrangements.</w:t>
      </w:r>
    </w:p>
    <w:p w:rsidR="009B4C98" w:rsidRDefault="005F192D">
      <w:pPr>
        <w:pStyle w:val="Heading3"/>
        <w:numPr>
          <w:ilvl w:val="0"/>
          <w:numId w:val="0"/>
        </w:numPr>
        <w:ind w:left="964" w:hanging="964"/>
        <w:rPr>
          <w:lang w:eastAsia="ja-JP"/>
        </w:rPr>
      </w:pPr>
      <w:bookmarkStart w:id="96" w:name="_Toc26363661"/>
      <w:r>
        <w:rPr>
          <w:lang w:eastAsia="ja-JP"/>
        </w:rPr>
        <w:t>Program management and administration activities</w:t>
      </w:r>
      <w:bookmarkEnd w:id="96"/>
    </w:p>
    <w:p w:rsidR="009B4C98" w:rsidRDefault="005F192D">
      <w:pPr>
        <w:pStyle w:val="Heading4"/>
        <w:numPr>
          <w:ilvl w:val="0"/>
          <w:numId w:val="0"/>
        </w:numPr>
        <w:ind w:left="964" w:hanging="964"/>
      </w:pPr>
      <w:r>
        <w:t>Workforce and business management</w:t>
      </w:r>
    </w:p>
    <w:p w:rsidR="009B4C98" w:rsidRDefault="005F192D">
      <w:pPr>
        <w:rPr>
          <w:lang w:eastAsia="ja-JP"/>
        </w:rPr>
      </w:pPr>
      <w:r>
        <w:t xml:space="preserve">This activity comprises </w:t>
      </w:r>
      <w:proofErr w:type="gramStart"/>
      <w:r>
        <w:t>4</w:t>
      </w:r>
      <w:proofErr w:type="gramEnd"/>
      <w:r>
        <w:t> categories:</w:t>
      </w:r>
    </w:p>
    <w:p w:rsidR="009B4C98" w:rsidRDefault="005F192D" w:rsidP="00E760AD">
      <w:pPr>
        <w:pStyle w:val="ListBullet"/>
        <w:rPr>
          <w:lang w:eastAsia="ja-JP"/>
        </w:rPr>
      </w:pPr>
      <w:r>
        <w:rPr>
          <w:lang w:eastAsia="ja-JP"/>
        </w:rPr>
        <w:t>Workforce management activities include staff supervision, allocating workforce resources, managing employee performance, leave, training and other conditions, managing Work, Health and Safety requirements, recruitment and termination.</w:t>
      </w:r>
    </w:p>
    <w:p w:rsidR="009B4C98" w:rsidRDefault="005F192D" w:rsidP="00E760AD">
      <w:pPr>
        <w:pStyle w:val="ListBullet"/>
        <w:rPr>
          <w:lang w:eastAsia="ja-JP"/>
        </w:rPr>
      </w:pPr>
      <w:r>
        <w:rPr>
          <w:lang w:eastAsia="ja-JP"/>
        </w:rPr>
        <w:t>Business management activities include business planning and continuity; requesting legal advice; procurement and contracts; program and project administration, assurance, design and management; management of fixtures, facilities, equipment, supplies and logistics.</w:t>
      </w:r>
    </w:p>
    <w:p w:rsidR="009B4C98" w:rsidRDefault="005F192D" w:rsidP="00E760AD">
      <w:pPr>
        <w:pStyle w:val="ListBullet"/>
        <w:rPr>
          <w:lang w:eastAsia="ja-JP"/>
        </w:rPr>
      </w:pPr>
      <w:r>
        <w:rPr>
          <w:lang w:eastAsia="ja-JP"/>
        </w:rPr>
        <w:t>Financial management activities include billing and accounting, budgeting, charges and payments, collections and receivables, debt management, financial accounts, reporting and policy development.</w:t>
      </w:r>
    </w:p>
    <w:p w:rsidR="009B4C98" w:rsidRDefault="005F192D" w:rsidP="00E760AD">
      <w:pPr>
        <w:pStyle w:val="ListBullet"/>
        <w:rPr>
          <w:lang w:eastAsia="ja-JP"/>
        </w:rPr>
      </w:pPr>
      <w:r>
        <w:rPr>
          <w:lang w:eastAsia="ja-JP"/>
        </w:rPr>
        <w:t>Information management activities include data management, information and records management, and information sharing and collaboration.</w:t>
      </w:r>
    </w:p>
    <w:p w:rsidR="009B4C98" w:rsidRDefault="005F192D">
      <w:pPr>
        <w:pStyle w:val="Heading5"/>
        <w:rPr>
          <w:lang w:eastAsia="ja-JP"/>
        </w:rPr>
      </w:pPr>
      <w:r>
        <w:rPr>
          <w:lang w:eastAsia="ja-JP"/>
        </w:rPr>
        <w:t>Business systems administration</w:t>
      </w:r>
    </w:p>
    <w:p w:rsidR="009B4C98" w:rsidRDefault="005F192D">
      <w:pPr>
        <w:rPr>
          <w:lang w:eastAsia="ja-JP"/>
        </w:rPr>
      </w:pPr>
      <w:r>
        <w:rPr>
          <w:lang w:eastAsia="ja-JP"/>
        </w:rPr>
        <w:t>Includes developing, acquiring, testing, implementing and supporting applications and business systems. It encompasses technical support and maintenance of all business systems including information and communications technology.</w:t>
      </w:r>
    </w:p>
    <w:p w:rsidR="009B4C98" w:rsidRDefault="005F192D">
      <w:pPr>
        <w:pStyle w:val="Heading5"/>
        <w:rPr>
          <w:lang w:eastAsia="ja-JP"/>
        </w:rPr>
      </w:pPr>
      <w:r>
        <w:rPr>
          <w:lang w:eastAsia="ja-JP"/>
        </w:rPr>
        <w:t>Stakeholder engagement</w:t>
      </w:r>
    </w:p>
    <w:p w:rsidR="009B4C98" w:rsidRDefault="005F192D">
      <w:pPr>
        <w:rPr>
          <w:lang w:eastAsia="ja-JP"/>
        </w:rPr>
      </w:pPr>
      <w:r>
        <w:rPr>
          <w:lang w:eastAsia="ja-JP"/>
        </w:rPr>
        <w:t>Involves proactive engagement with any person, business, or organisation including any associated travel. This includes, engaging with peak industry bodies, secretariat support and attendance at industry consultative committee meetings, consultation on new standards and requirements, publishing website content and other information.</w:t>
      </w:r>
    </w:p>
    <w:p w:rsidR="009B4C98" w:rsidRDefault="005F192D">
      <w:pPr>
        <w:pStyle w:val="Heading5"/>
        <w:rPr>
          <w:lang w:eastAsia="ja-JP"/>
        </w:rPr>
      </w:pPr>
      <w:r>
        <w:rPr>
          <w:lang w:eastAsia="ja-JP"/>
        </w:rPr>
        <w:t>Policy and instructional material</w:t>
      </w:r>
    </w:p>
    <w:p w:rsidR="009B4C98" w:rsidRDefault="005F192D">
      <w:pPr>
        <w:rPr>
          <w:lang w:eastAsia="ja-JP"/>
        </w:rPr>
      </w:pPr>
      <w:r>
        <w:rPr>
          <w:lang w:eastAsia="ja-JP"/>
        </w:rPr>
        <w:t xml:space="preserve">Includes developing, maintaining and communicating </w:t>
      </w:r>
      <w:r w:rsidR="001105F0">
        <w:rPr>
          <w:lang w:eastAsia="ja-JP"/>
        </w:rPr>
        <w:t xml:space="preserve">our </w:t>
      </w:r>
      <w:r>
        <w:rPr>
          <w:lang w:eastAsia="ja-JP"/>
        </w:rPr>
        <w:t>policy and instructional material, such as operational and corporate policies, scientific advice, guidelines and work instructions, and associated training development and delivery. Examples include responding to changes in importing country requirements developing or revising policy processes and instructional material.</w:t>
      </w:r>
    </w:p>
    <w:p w:rsidR="009B4C98" w:rsidRDefault="005F192D">
      <w:pPr>
        <w:pStyle w:val="Heading5"/>
        <w:rPr>
          <w:lang w:eastAsia="ja-JP"/>
        </w:rPr>
      </w:pPr>
      <w:r>
        <w:rPr>
          <w:lang w:eastAsia="ja-JP"/>
        </w:rPr>
        <w:t>Business improvement</w:t>
      </w:r>
    </w:p>
    <w:p w:rsidR="009B4C98" w:rsidRDefault="005F192D">
      <w:pPr>
        <w:rPr>
          <w:lang w:eastAsia="ja-JP"/>
        </w:rPr>
      </w:pPr>
      <w:r>
        <w:rPr>
          <w:lang w:eastAsia="ja-JP"/>
        </w:rPr>
        <w:t xml:space="preserve">Includes assessment, monitoring and development of initiatives to improve performance. Examples include adjustments to improve program and service delivery, business performance reports against </w:t>
      </w:r>
      <w:r w:rsidR="001105F0">
        <w:rPr>
          <w:lang w:eastAsia="ja-JP"/>
        </w:rPr>
        <w:t xml:space="preserve">key performance indicators </w:t>
      </w:r>
      <w:r>
        <w:rPr>
          <w:lang w:eastAsia="ja-JP"/>
        </w:rPr>
        <w:t>and similar activities.</w:t>
      </w:r>
    </w:p>
    <w:p w:rsidR="009B4C98" w:rsidRDefault="005F192D">
      <w:pPr>
        <w:pStyle w:val="Heading3"/>
        <w:numPr>
          <w:ilvl w:val="0"/>
          <w:numId w:val="0"/>
        </w:numPr>
        <w:ind w:left="964" w:hanging="964"/>
        <w:rPr>
          <w:lang w:eastAsia="ja-JP"/>
        </w:rPr>
      </w:pPr>
      <w:bookmarkStart w:id="97" w:name="_Toc26363662"/>
      <w:r>
        <w:rPr>
          <w:lang w:eastAsia="ja-JP"/>
        </w:rPr>
        <w:lastRenderedPageBreak/>
        <w:t>Assurance activities</w:t>
      </w:r>
      <w:bookmarkEnd w:id="97"/>
    </w:p>
    <w:p w:rsidR="009B4C98" w:rsidRDefault="005F192D">
      <w:pPr>
        <w:pStyle w:val="Heading4"/>
        <w:numPr>
          <w:ilvl w:val="0"/>
          <w:numId w:val="0"/>
        </w:numPr>
        <w:ind w:left="964" w:hanging="964"/>
        <w:rPr>
          <w:lang w:eastAsia="ja-JP"/>
        </w:rPr>
      </w:pPr>
      <w:r>
        <w:rPr>
          <w:lang w:eastAsia="ja-JP"/>
        </w:rPr>
        <w:t>Risk management</w:t>
      </w:r>
    </w:p>
    <w:p w:rsidR="009B4C98" w:rsidRDefault="00D96784">
      <w:pPr>
        <w:rPr>
          <w:lang w:eastAsia="ja-JP"/>
        </w:rPr>
      </w:pPr>
      <w:r>
        <w:t xml:space="preserve">Involves assessing and managing the risks posed to Australia’s biosecurity and imported food systems. This includes communicating results of risk analysis, modelling and forecasting to operational areas and the collection, receipt and use of data, information and intelligence to meet </w:t>
      </w:r>
      <w:r w:rsidR="00AD2E45">
        <w:t>our</w:t>
      </w:r>
      <w:r>
        <w:t xml:space="preserve"> compliance objectives. This work also includes any associated travel and client assistance work. This includes assessment of risks associated with cargo, vessels, plants, animals, food, biological and genetic material.</w:t>
      </w:r>
    </w:p>
    <w:p w:rsidR="009B4C98" w:rsidRDefault="005F192D">
      <w:pPr>
        <w:pStyle w:val="Heading4"/>
        <w:numPr>
          <w:ilvl w:val="0"/>
          <w:numId w:val="0"/>
        </w:numPr>
        <w:ind w:left="964" w:hanging="964"/>
        <w:rPr>
          <w:lang w:eastAsia="ja-JP"/>
        </w:rPr>
      </w:pPr>
      <w:r>
        <w:rPr>
          <w:lang w:eastAsia="ja-JP"/>
        </w:rPr>
        <w:t>Verification</w:t>
      </w:r>
    </w:p>
    <w:p w:rsidR="009B4C98" w:rsidRDefault="00D96784">
      <w:pPr>
        <w:rPr>
          <w:lang w:eastAsia="ja-JP"/>
        </w:rPr>
      </w:pPr>
      <w:r>
        <w:t>Includes activities that provide our executive and stakeholders with confidence that our systems and processes are operating in accordance with their intended design and associated documentation. For example, internal quality assurance systems and verification activities to ensure officers are following procedures, processes or instructional material and are making appropriate decisions.</w:t>
      </w:r>
    </w:p>
    <w:p w:rsidR="009B4C98" w:rsidRDefault="005F192D">
      <w:pPr>
        <w:pStyle w:val="Heading4"/>
        <w:numPr>
          <w:ilvl w:val="0"/>
          <w:numId w:val="0"/>
        </w:numPr>
        <w:ind w:left="964" w:hanging="964"/>
        <w:rPr>
          <w:lang w:eastAsia="ja-JP"/>
        </w:rPr>
      </w:pPr>
      <w:r>
        <w:rPr>
          <w:lang w:eastAsia="ja-JP"/>
        </w:rPr>
        <w:t>Surveillance</w:t>
      </w:r>
    </w:p>
    <w:p w:rsidR="00D96784" w:rsidRDefault="00D96784">
      <w:r>
        <w:t xml:space="preserve">Includes formal and informal monitoring to detect changes in Australia’s pest or disease status, or the presence of food safety </w:t>
      </w:r>
      <w:proofErr w:type="gramStart"/>
      <w:r>
        <w:t>concerns which</w:t>
      </w:r>
      <w:proofErr w:type="gramEnd"/>
      <w:r>
        <w:t xml:space="preserve"> may affect imports and onshore production. Surveillance differs from an </w:t>
      </w:r>
      <w:proofErr w:type="gramStart"/>
      <w:r>
        <w:t>inspection</w:t>
      </w:r>
      <w:proofErr w:type="gramEnd"/>
      <w:r>
        <w:t xml:space="preserve"> as it is not done for a specific client.</w:t>
      </w:r>
    </w:p>
    <w:p w:rsidR="009B4C98" w:rsidRDefault="00D96784">
      <w:pPr>
        <w:rPr>
          <w:lang w:eastAsia="ja-JP"/>
        </w:rPr>
      </w:pPr>
      <w:r>
        <w:t>It includes all pre and post work, travel and client assistance in relation to surveillance. Examples include deploying detector dogs, wharf surveillance, vector monitoring at proclaimed ports, new car surveillance, break bulk surveillance, monitoring the entry of exotic pests, weeds and disease across passenger and cargo pathways, monitoring of animal welfare issues and monitoring for microbiological or chemical hazards in food.</w:t>
      </w:r>
    </w:p>
    <w:p w:rsidR="009B4C98" w:rsidRDefault="005F192D">
      <w:pPr>
        <w:pStyle w:val="Heading3"/>
        <w:numPr>
          <w:ilvl w:val="0"/>
          <w:numId w:val="0"/>
        </w:numPr>
        <w:ind w:left="964" w:hanging="964"/>
        <w:rPr>
          <w:lang w:eastAsia="ja-JP"/>
        </w:rPr>
      </w:pPr>
      <w:bookmarkStart w:id="98" w:name="_Toc26363663"/>
      <w:r>
        <w:rPr>
          <w:lang w:eastAsia="ja-JP"/>
        </w:rPr>
        <w:t>Incident management activities</w:t>
      </w:r>
      <w:bookmarkEnd w:id="98"/>
    </w:p>
    <w:p w:rsidR="009B4C98" w:rsidRDefault="005F192D">
      <w:pPr>
        <w:pStyle w:val="Heading4"/>
        <w:numPr>
          <w:ilvl w:val="0"/>
          <w:numId w:val="0"/>
        </w:numPr>
        <w:ind w:left="964" w:hanging="964"/>
        <w:rPr>
          <w:lang w:eastAsia="ja-JP"/>
        </w:rPr>
      </w:pPr>
      <w:r>
        <w:rPr>
          <w:lang w:eastAsia="ja-JP"/>
        </w:rPr>
        <w:t>Incident management</w:t>
      </w:r>
    </w:p>
    <w:p w:rsidR="009B4C98" w:rsidRDefault="00D96784">
      <w:pPr>
        <w:rPr>
          <w:lang w:eastAsia="ja-JP"/>
        </w:rPr>
      </w:pPr>
      <w:r>
        <w:t xml:space="preserve">Includes the coordination and management of any incident including post border detections and biosecurity and imported food incidents. This includes all associated pre and post work, travel and client assistance in relation to an incident. It excludes cost sharing for emergency responses under the formal national disease and pest response arrangements. </w:t>
      </w:r>
    </w:p>
    <w:p w:rsidR="009B4C98" w:rsidRDefault="005F192D">
      <w:pPr>
        <w:pStyle w:val="Heading4"/>
        <w:numPr>
          <w:ilvl w:val="0"/>
          <w:numId w:val="0"/>
        </w:numPr>
        <w:ind w:left="964" w:hanging="964"/>
        <w:rPr>
          <w:lang w:eastAsia="ja-JP"/>
        </w:rPr>
      </w:pPr>
      <w:r>
        <w:rPr>
          <w:lang w:eastAsia="ja-JP"/>
        </w:rPr>
        <w:t>Investigation Support</w:t>
      </w:r>
    </w:p>
    <w:p w:rsidR="009B4C98" w:rsidRDefault="00D96784">
      <w:pPr>
        <w:rPr>
          <w:lang w:eastAsia="ja-JP"/>
        </w:rPr>
      </w:pPr>
      <w:r>
        <w:t>Involves providing support for enforcement activities relating to an alleged breach of portfolio legislation, including any related client assistance and travel. It does not include the work of the enforcement officers. Examples of investigation support include data extraction and analysis to support an investigation.</w:t>
      </w:r>
    </w:p>
    <w:p w:rsidR="009B4C98" w:rsidRDefault="005F192D">
      <w:pPr>
        <w:pStyle w:val="Heading4"/>
        <w:numPr>
          <w:ilvl w:val="0"/>
          <w:numId w:val="0"/>
        </w:numPr>
        <w:ind w:left="964" w:hanging="964"/>
        <w:rPr>
          <w:lang w:eastAsia="ja-JP"/>
        </w:rPr>
      </w:pPr>
      <w:r>
        <w:rPr>
          <w:lang w:eastAsia="ja-JP"/>
        </w:rPr>
        <w:t>Corrective action</w:t>
      </w:r>
    </w:p>
    <w:p w:rsidR="009B4C98" w:rsidRDefault="00D96784">
      <w:pPr>
        <w:rPr>
          <w:lang w:eastAsia="ja-JP"/>
        </w:rPr>
      </w:pPr>
      <w:r>
        <w:t xml:space="preserve">Includes actions taken in response to non-compliance or contravention of legislation or procedures that </w:t>
      </w:r>
      <w:proofErr w:type="gramStart"/>
      <w:r>
        <w:t>are managed</w:t>
      </w:r>
      <w:proofErr w:type="gramEnd"/>
      <w:r>
        <w:t xml:space="preserve"> without a formal investigation by an Enforcement officer. Corrective action activities includes advice and support to operational staff and clients on the management of non-compliance and the development of options </w:t>
      </w:r>
      <w:proofErr w:type="gramStart"/>
      <w:r>
        <w:t>to effectively manage</w:t>
      </w:r>
      <w:proofErr w:type="gramEnd"/>
      <w:r>
        <w:t xml:space="preserve"> the risk.</w:t>
      </w:r>
    </w:p>
    <w:p w:rsidR="009B4C98" w:rsidRDefault="005F192D">
      <w:pPr>
        <w:pStyle w:val="Heading3"/>
        <w:numPr>
          <w:ilvl w:val="0"/>
          <w:numId w:val="0"/>
        </w:numPr>
        <w:ind w:left="964" w:hanging="964"/>
        <w:rPr>
          <w:lang w:eastAsia="ja-JP"/>
        </w:rPr>
      </w:pPr>
      <w:bookmarkStart w:id="99" w:name="_Toc26363664"/>
      <w:r>
        <w:rPr>
          <w:lang w:eastAsia="ja-JP"/>
        </w:rPr>
        <w:lastRenderedPageBreak/>
        <w:t>Intervention activities</w:t>
      </w:r>
      <w:bookmarkEnd w:id="99"/>
    </w:p>
    <w:p w:rsidR="009B4C98" w:rsidRDefault="005F192D">
      <w:pPr>
        <w:pStyle w:val="Heading4"/>
        <w:numPr>
          <w:ilvl w:val="0"/>
          <w:numId w:val="0"/>
        </w:numPr>
        <w:ind w:left="964" w:hanging="964"/>
        <w:rPr>
          <w:lang w:eastAsia="ja-JP"/>
        </w:rPr>
      </w:pPr>
      <w:r>
        <w:rPr>
          <w:lang w:eastAsia="ja-JP"/>
        </w:rPr>
        <w:t>Assessment</w:t>
      </w:r>
    </w:p>
    <w:p w:rsidR="009B4C98" w:rsidRDefault="00D96784">
      <w:pPr>
        <w:rPr>
          <w:lang w:eastAsia="ja-JP"/>
        </w:rPr>
      </w:pPr>
      <w:r>
        <w:t>Involves assessing information to determine if it meets the department’s requirements. This includes the assessment of import related documentation for cargo, vessels, plants, animals, food, biological and genetic material, including administration of applications.</w:t>
      </w:r>
    </w:p>
    <w:p w:rsidR="009B4C98" w:rsidRDefault="005F192D">
      <w:pPr>
        <w:pStyle w:val="Heading4"/>
        <w:numPr>
          <w:ilvl w:val="0"/>
          <w:numId w:val="0"/>
        </w:numPr>
        <w:ind w:left="964" w:hanging="964"/>
        <w:rPr>
          <w:lang w:eastAsia="ja-JP"/>
        </w:rPr>
      </w:pPr>
      <w:r>
        <w:rPr>
          <w:lang w:eastAsia="ja-JP"/>
        </w:rPr>
        <w:t>Issue approvals and certification</w:t>
      </w:r>
    </w:p>
    <w:p w:rsidR="009B4C98" w:rsidRDefault="00D96784">
      <w:pPr>
        <w:rPr>
          <w:lang w:eastAsia="ja-JP"/>
        </w:rPr>
      </w:pPr>
      <w:r>
        <w:t>Includes issuing of a decision in relation to an assessment for cargo, vessels, plants, animals, food, biological and genetic material. This includes the work from the end of the assessment period to the completion of the decision notification process.</w:t>
      </w:r>
    </w:p>
    <w:p w:rsidR="009B4C98" w:rsidRDefault="005F192D">
      <w:pPr>
        <w:pStyle w:val="Heading4"/>
        <w:numPr>
          <w:ilvl w:val="0"/>
          <w:numId w:val="0"/>
        </w:numPr>
        <w:ind w:left="964" w:hanging="964"/>
        <w:rPr>
          <w:lang w:eastAsia="ja-JP"/>
        </w:rPr>
      </w:pPr>
      <w:r>
        <w:rPr>
          <w:lang w:eastAsia="ja-JP"/>
        </w:rPr>
        <w:t>Inspection</w:t>
      </w:r>
    </w:p>
    <w:p w:rsidR="009B4C98" w:rsidRDefault="00D96784">
      <w:pPr>
        <w:rPr>
          <w:lang w:eastAsia="ja-JP"/>
        </w:rPr>
      </w:pPr>
      <w:r>
        <w:t xml:space="preserve">Includes the physical examination (and supervision of a physical examination) of cargo, vessels, plants, animals, food, biological and genetic material to determine compliance with biosecurity and food safety requirements. Inspections also include activities related to </w:t>
      </w:r>
      <w:r w:rsidR="00F82DCA">
        <w:t>post quarantine</w:t>
      </w:r>
      <w:r>
        <w:t xml:space="preserve"> detections of biosecurity risk goods.</w:t>
      </w:r>
    </w:p>
    <w:p w:rsidR="009B4C98" w:rsidRDefault="005F192D">
      <w:pPr>
        <w:pStyle w:val="Heading4"/>
        <w:numPr>
          <w:ilvl w:val="0"/>
          <w:numId w:val="0"/>
        </w:numPr>
        <w:ind w:left="964" w:hanging="964"/>
        <w:rPr>
          <w:lang w:eastAsia="ja-JP"/>
        </w:rPr>
      </w:pPr>
      <w:r>
        <w:rPr>
          <w:lang w:eastAsia="ja-JP"/>
        </w:rPr>
        <w:t>Treatments</w:t>
      </w:r>
    </w:p>
    <w:p w:rsidR="009B4C98" w:rsidRDefault="00D96784">
      <w:pPr>
        <w:rPr>
          <w:lang w:eastAsia="ja-JP"/>
        </w:rPr>
      </w:pPr>
      <w:r>
        <w:t>Includes the physical treatment of cargo, vessels, plants, animals, food, biological and genetic material, other conveyances or premises to prevent an adverse biosecurity outcome from occurring.</w:t>
      </w:r>
    </w:p>
    <w:p w:rsidR="009B4C98" w:rsidRDefault="005F192D">
      <w:pPr>
        <w:pStyle w:val="Heading4"/>
        <w:numPr>
          <w:ilvl w:val="0"/>
          <w:numId w:val="0"/>
        </w:numPr>
        <w:ind w:left="964" w:hanging="964"/>
        <w:rPr>
          <w:lang w:eastAsia="ja-JP"/>
        </w:rPr>
      </w:pPr>
      <w:r>
        <w:rPr>
          <w:lang w:eastAsia="ja-JP"/>
        </w:rPr>
        <w:t>Husband</w:t>
      </w:r>
      <w:bookmarkStart w:id="100" w:name="_GoBack"/>
      <w:bookmarkEnd w:id="100"/>
      <w:r>
        <w:rPr>
          <w:lang w:eastAsia="ja-JP"/>
        </w:rPr>
        <w:t>ry</w:t>
      </w:r>
    </w:p>
    <w:p w:rsidR="009B4C98" w:rsidRDefault="005F192D">
      <w:pPr>
        <w:rPr>
          <w:lang w:eastAsia="ja-JP"/>
        </w:rPr>
      </w:pPr>
      <w:r>
        <w:rPr>
          <w:lang w:eastAsia="ja-JP"/>
        </w:rPr>
        <w:t xml:space="preserve">Includes activities relating to the care of plants and animals that </w:t>
      </w:r>
      <w:r w:rsidR="00AD2E45">
        <w:rPr>
          <w:lang w:eastAsia="ja-JP"/>
        </w:rPr>
        <w:t>we are</w:t>
      </w:r>
      <w:r>
        <w:rPr>
          <w:lang w:eastAsia="ja-JP"/>
        </w:rPr>
        <w:t xml:space="preserve"> responsible for, including transport of plants and animals, housing, daily monitoring, feeding, cleaning of facilities, administering of medication, bookings and client assistance.</w:t>
      </w:r>
    </w:p>
    <w:p w:rsidR="009B4C98" w:rsidRDefault="005F192D">
      <w:pPr>
        <w:pStyle w:val="Heading4"/>
        <w:numPr>
          <w:ilvl w:val="0"/>
          <w:numId w:val="0"/>
        </w:numPr>
        <w:ind w:left="964" w:hanging="964"/>
        <w:rPr>
          <w:lang w:eastAsia="ja-JP"/>
        </w:rPr>
      </w:pPr>
      <w:r>
        <w:rPr>
          <w:lang w:eastAsia="ja-JP"/>
        </w:rPr>
        <w:t>Audit</w:t>
      </w:r>
    </w:p>
    <w:p w:rsidR="009B4C98" w:rsidRDefault="00D96784">
      <w:pPr>
        <w:rPr>
          <w:lang w:eastAsia="ja-JP"/>
        </w:rPr>
      </w:pPr>
      <w:r>
        <w:t xml:space="preserve">Includes the systematic and functionally independent examination of industry systems and processes to determine whether activities and related results comply with legislative or documented requirements. This includes desktop audits, site audits (including travel), </w:t>
      </w:r>
      <w:proofErr w:type="gramStart"/>
      <w:r>
        <w:t>reviews</w:t>
      </w:r>
      <w:proofErr w:type="gramEnd"/>
      <w:r>
        <w:t xml:space="preserve"> of standard operating procedures for new and existing quarantine approved premises, overseas manufacturing facilities and pre-export quarantine facilities and their procedures.</w:t>
      </w:r>
    </w:p>
    <w:sectPr w:rsidR="009B4C98">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CD7" w:rsidRDefault="00A45CD7">
      <w:r>
        <w:separator/>
      </w:r>
    </w:p>
    <w:p w:rsidR="00A45CD7" w:rsidRDefault="00A45CD7"/>
    <w:p w:rsidR="00A45CD7" w:rsidRDefault="00A45CD7"/>
  </w:endnote>
  <w:endnote w:type="continuationSeparator" w:id="0">
    <w:p w:rsidR="00A45CD7" w:rsidRDefault="00A45CD7">
      <w:r>
        <w:continuationSeparator/>
      </w:r>
    </w:p>
    <w:p w:rsidR="00A45CD7" w:rsidRDefault="00A45CD7"/>
    <w:p w:rsidR="00A45CD7" w:rsidRDefault="00A45CD7"/>
  </w:endnote>
  <w:endnote w:type="continuationNotice" w:id="1">
    <w:p w:rsidR="00A45CD7" w:rsidRDefault="00A45CD7">
      <w:pPr>
        <w:pStyle w:val="Footer"/>
      </w:pPr>
    </w:p>
    <w:p w:rsidR="00A45CD7" w:rsidRDefault="00A45CD7"/>
    <w:p w:rsidR="00A45CD7" w:rsidRDefault="00A45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DCA" w:rsidRDefault="00F82DCA">
    <w:pPr>
      <w:pStyle w:val="Footer"/>
    </w:pPr>
    <w:r>
      <w:t>Department of Agriculture</w:t>
    </w:r>
  </w:p>
  <w:p w:rsidR="00F82DCA" w:rsidRDefault="00F82DCA">
    <w:pPr>
      <w:pStyle w:val="Footer"/>
    </w:pPr>
    <w:r>
      <w:fldChar w:fldCharType="begin"/>
    </w:r>
    <w:r>
      <w:instrText xml:space="preserve"> PAGE   \* MERGEFORMAT </w:instrText>
    </w:r>
    <w:r>
      <w:fldChar w:fldCharType="separate"/>
    </w:r>
    <w:r w:rsidR="006962CE">
      <w:rPr>
        <w:noProof/>
      </w:rPr>
      <w:t>iv</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DCA" w:rsidRDefault="00F82D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884512"/>
      <w:docPartObj>
        <w:docPartGallery w:val="Page Numbers (Bottom of Page)"/>
        <w:docPartUnique/>
      </w:docPartObj>
    </w:sdtPr>
    <w:sdtEndPr>
      <w:rPr>
        <w:noProof/>
      </w:rPr>
    </w:sdtEndPr>
    <w:sdtContent>
      <w:p w:rsidR="00F82DCA" w:rsidRDefault="00F82DCA">
        <w:pPr>
          <w:pStyle w:val="Footer"/>
        </w:pPr>
        <w:r>
          <w:t>Department of Agriculture</w:t>
        </w:r>
      </w:p>
      <w:p w:rsidR="00F82DCA" w:rsidRDefault="00F82DCA">
        <w:pPr>
          <w:pStyle w:val="Footer"/>
        </w:pPr>
        <w:r>
          <w:fldChar w:fldCharType="begin"/>
        </w:r>
        <w:r>
          <w:instrText xml:space="preserve"> PAGE   \* MERGEFORMAT </w:instrText>
        </w:r>
        <w:r>
          <w:fldChar w:fldCharType="separate"/>
        </w:r>
        <w:r w:rsidR="006962CE">
          <w:rPr>
            <w:noProof/>
          </w:rPr>
          <w:t>20</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DCA" w:rsidRDefault="00F82D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CD7" w:rsidRDefault="00A45CD7">
      <w:r>
        <w:separator/>
      </w:r>
    </w:p>
    <w:p w:rsidR="00A45CD7" w:rsidRDefault="00A45CD7"/>
    <w:p w:rsidR="00A45CD7" w:rsidRDefault="00A45CD7"/>
  </w:footnote>
  <w:footnote w:type="continuationSeparator" w:id="0">
    <w:p w:rsidR="00A45CD7" w:rsidRDefault="00A45CD7">
      <w:r>
        <w:continuationSeparator/>
      </w:r>
    </w:p>
    <w:p w:rsidR="00A45CD7" w:rsidRDefault="00A45CD7"/>
    <w:p w:rsidR="00A45CD7" w:rsidRDefault="00A45CD7"/>
  </w:footnote>
  <w:footnote w:type="continuationNotice" w:id="1">
    <w:p w:rsidR="00A45CD7" w:rsidRDefault="00A45CD7">
      <w:pPr>
        <w:pStyle w:val="Footer"/>
      </w:pPr>
    </w:p>
    <w:p w:rsidR="00A45CD7" w:rsidRDefault="00A45CD7"/>
    <w:p w:rsidR="00A45CD7" w:rsidRDefault="00A45C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DCA" w:rsidRDefault="00F82DCA">
    <w:pPr>
      <w:pStyle w:val="Header"/>
    </w:pPr>
    <w:r>
      <w:rPr>
        <w:noProof/>
        <w:lang w:val="en-US"/>
      </w:rPr>
      <w:t>Cost recovery implementation statement: biosecurity 2019–20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DCA" w:rsidRDefault="00F82DCA">
    <w:pPr>
      <w:pStyle w:val="Header"/>
      <w:jc w:val="left"/>
    </w:pPr>
    <w:r>
      <w:rPr>
        <w:noProof/>
        <w:lang w:eastAsia="en-AU"/>
      </w:rPr>
      <w:drawing>
        <wp:inline distT="0" distB="0" distL="0" distR="0" wp14:anchorId="66ADFB19" wp14:editId="3B86D9FB">
          <wp:extent cx="2316480" cy="637247"/>
          <wp:effectExtent l="0" t="0" r="7620" b="0"/>
          <wp:docPr id="8" name="Picture 8" descr="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63724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DCA" w:rsidRDefault="00F82D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DCA" w:rsidRDefault="00F82DCA">
    <w:pPr>
      <w:pStyle w:val="Header"/>
    </w:pPr>
    <w:r>
      <w:rPr>
        <w:noProof/>
        <w:lang w:val="en-US"/>
      </w:rPr>
      <w:t>Cost recovery implementation statement: biosecurity 2019–20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DCA" w:rsidRDefault="00F82D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7273B"/>
    <w:multiLevelType w:val="hybridMultilevel"/>
    <w:tmpl w:val="86F4C6E4"/>
    <w:lvl w:ilvl="0" w:tplc="926600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8B214EE"/>
    <w:multiLevelType w:val="multilevel"/>
    <w:tmpl w:val="0EECD10A"/>
    <w:styleLink w:val="Bulletlist"/>
    <w:lvl w:ilvl="0">
      <w:start w:val="1"/>
      <w:numFmt w:val="bullet"/>
      <w:lvlText w:val=""/>
      <w:lvlJc w:val="left"/>
      <w:pPr>
        <w:ind w:left="567" w:hanging="567"/>
      </w:pPr>
      <w:rPr>
        <w:rFonts w:ascii="Symbol" w:hAnsi="Symbol" w:hint="default"/>
      </w:rPr>
    </w:lvl>
    <w:lvl w:ilvl="1">
      <w:start w:val="1"/>
      <w:numFmt w:val="bullet"/>
      <w:lvlText w:val="–"/>
      <w:lvlJc w:val="left"/>
      <w:pPr>
        <w:tabs>
          <w:tab w:val="num" w:pos="851"/>
        </w:tabs>
        <w:ind w:left="567" w:firstLine="0"/>
      </w:pPr>
      <w:rPr>
        <w:rFonts w:ascii="Calibri" w:hAnsi="Calibri" w:hint="default"/>
      </w:rPr>
    </w:lvl>
    <w:lvl w:ilvl="2">
      <w:start w:val="1"/>
      <w:numFmt w:val="bullet"/>
      <w:lvlRestart w:val="0"/>
      <w:lvlText w:val=":"/>
      <w:lvlJc w:val="left"/>
      <w:pPr>
        <w:tabs>
          <w:tab w:val="num" w:pos="340"/>
        </w:tabs>
        <w:ind w:left="851" w:hanging="851"/>
      </w:pPr>
      <w:rPr>
        <w:rFonts w:ascii="Calibri" w:hAnsi="Calibri" w:hint="default"/>
      </w:rPr>
    </w:lvl>
    <w:lvl w:ilvl="3">
      <w:start w:val="1"/>
      <w:numFmt w:val="none"/>
      <w:lvlText w:val="%4"/>
      <w:lvlJc w:val="left"/>
      <w:pPr>
        <w:tabs>
          <w:tab w:val="num" w:pos="340"/>
        </w:tabs>
        <w:ind w:left="851" w:hanging="851"/>
      </w:pPr>
      <w:rPr>
        <w:rFonts w:ascii="Times New Roman" w:hAnsi="Times New Roman" w:hint="default"/>
      </w:rPr>
    </w:lvl>
    <w:lvl w:ilvl="4">
      <w:start w:val="1"/>
      <w:numFmt w:val="none"/>
      <w:lvlText w:val=""/>
      <w:lvlJc w:val="left"/>
      <w:pPr>
        <w:tabs>
          <w:tab w:val="num" w:pos="340"/>
        </w:tabs>
        <w:ind w:left="851" w:hanging="851"/>
      </w:pPr>
      <w:rPr>
        <w:rFonts w:hint="default"/>
      </w:rPr>
    </w:lvl>
    <w:lvl w:ilvl="5">
      <w:start w:val="1"/>
      <w:numFmt w:val="none"/>
      <w:lvlText w:val=""/>
      <w:lvlJc w:val="left"/>
      <w:pPr>
        <w:tabs>
          <w:tab w:val="num" w:pos="340"/>
        </w:tabs>
        <w:ind w:left="851" w:hanging="851"/>
      </w:pPr>
      <w:rPr>
        <w:rFonts w:hint="default"/>
      </w:rPr>
    </w:lvl>
    <w:lvl w:ilvl="6">
      <w:start w:val="1"/>
      <w:numFmt w:val="none"/>
      <w:lvlText w:val=""/>
      <w:lvlJc w:val="left"/>
      <w:pPr>
        <w:tabs>
          <w:tab w:val="num" w:pos="340"/>
        </w:tabs>
        <w:ind w:left="851" w:hanging="851"/>
      </w:pPr>
      <w:rPr>
        <w:rFonts w:hint="default"/>
      </w:rPr>
    </w:lvl>
    <w:lvl w:ilvl="7">
      <w:start w:val="1"/>
      <w:numFmt w:val="none"/>
      <w:lvlText w:val=""/>
      <w:lvlJc w:val="left"/>
      <w:pPr>
        <w:tabs>
          <w:tab w:val="num" w:pos="340"/>
        </w:tabs>
        <w:ind w:left="851" w:hanging="851"/>
      </w:pPr>
      <w:rPr>
        <w:rFonts w:hint="default"/>
      </w:rPr>
    </w:lvl>
    <w:lvl w:ilvl="8">
      <w:start w:val="1"/>
      <w:numFmt w:val="none"/>
      <w:lvlRestart w:val="0"/>
      <w:lvlText w:val=""/>
      <w:lvlJc w:val="left"/>
      <w:pPr>
        <w:tabs>
          <w:tab w:val="num" w:pos="340"/>
        </w:tabs>
        <w:ind w:left="851" w:hanging="851"/>
      </w:pPr>
      <w:rPr>
        <w:rFonts w:hint="default"/>
      </w:rPr>
    </w:lvl>
  </w:abstractNum>
  <w:abstractNum w:abstractNumId="3"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4" w15:restartNumberingAfterBreak="0">
    <w:nsid w:val="21A328D5"/>
    <w:multiLevelType w:val="multilevel"/>
    <w:tmpl w:val="BE78A4F8"/>
    <w:numStyleLink w:val="Numberlist"/>
  </w:abstractNum>
  <w:abstractNum w:abstractNumId="5" w15:restartNumberingAfterBreak="0">
    <w:nsid w:val="21E20078"/>
    <w:multiLevelType w:val="multilevel"/>
    <w:tmpl w:val="F36C17E8"/>
    <w:styleLink w:val="Headinglist"/>
    <w:lvl w:ilvl="0">
      <w:start w:val="1"/>
      <w:numFmt w:val="decimal"/>
      <w:pStyle w:val="Heading2"/>
      <w:lvlText w:val="%1"/>
      <w:lvlJc w:val="left"/>
      <w:pPr>
        <w:ind w:left="1003"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94A15FE"/>
    <w:multiLevelType w:val="multilevel"/>
    <w:tmpl w:val="F36C17E8"/>
    <w:numStyleLink w:val="Headinglist"/>
  </w:abstractNum>
  <w:abstractNum w:abstractNumId="7"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5770616"/>
    <w:multiLevelType w:val="hybridMultilevel"/>
    <w:tmpl w:val="54A47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1" w15:restartNumberingAfterBreak="0">
    <w:nsid w:val="5AA12966"/>
    <w:multiLevelType w:val="multilevel"/>
    <w:tmpl w:val="A0241B28"/>
    <w:styleLink w:val="List1"/>
    <w:lvl w:ilvl="0">
      <w:start w:val="1"/>
      <w:numFmt w:val="bullet"/>
      <w:pStyle w:val="ListBullet"/>
      <w:lvlText w:val=""/>
      <w:lvlJc w:val="left"/>
      <w:pPr>
        <w:ind w:left="5671"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3" w15:restartNumberingAfterBreak="0">
    <w:nsid w:val="67A566AD"/>
    <w:multiLevelType w:val="hybridMultilevel"/>
    <w:tmpl w:val="A356A7F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F4A406C"/>
    <w:multiLevelType w:val="multilevel"/>
    <w:tmpl w:val="3FB4528A"/>
    <w:lvl w:ilvl="0">
      <w:start w:val="3"/>
      <w:numFmt w:val="decimal"/>
      <w:lvlText w:val="%1"/>
      <w:lvlJc w:val="left"/>
      <w:pPr>
        <w:ind w:left="410" w:hanging="4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7484E47"/>
    <w:multiLevelType w:val="hybridMultilevel"/>
    <w:tmpl w:val="59FEC2A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DE938BD"/>
    <w:multiLevelType w:val="hybridMultilevel"/>
    <w:tmpl w:val="B762D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100451"/>
    <w:multiLevelType w:val="hybridMultilevel"/>
    <w:tmpl w:val="B3DC8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1"/>
  </w:num>
  <w:num w:numId="4">
    <w:abstractNumId w:val="12"/>
  </w:num>
  <w:num w:numId="5">
    <w:abstractNumId w:val="5"/>
  </w:num>
  <w:num w:numId="6">
    <w:abstractNumId w:val="6"/>
    <w:lvlOverride w:ilvl="0">
      <w:lvl w:ilvl="0">
        <w:start w:val="1"/>
        <w:numFmt w:val="decimal"/>
        <w:pStyle w:val="Heading2"/>
        <w:lvlText w:val="%1"/>
        <w:lvlJc w:val="left"/>
        <w:pPr>
          <w:ind w:left="2847"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7">
    <w:abstractNumId w:val="10"/>
  </w:num>
  <w:num w:numId="8">
    <w:abstractNumId w:val="4"/>
  </w:num>
  <w:num w:numId="9">
    <w:abstractNumId w:val="8"/>
  </w:num>
  <w:num w:numId="10">
    <w:abstractNumId w:val="1"/>
  </w:num>
  <w:num w:numId="11">
    <w:abstractNumId w:val="1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7"/>
  </w:num>
  <w:num w:numId="16">
    <w:abstractNumId w:val="16"/>
  </w:num>
  <w:num w:numId="17">
    <w:abstractNumId w:val="0"/>
  </w:num>
  <w:num w:numId="18">
    <w:abstractNumId w:val="15"/>
  </w:num>
  <w:num w:numId="19">
    <w:abstractNumId w:val="13"/>
  </w:num>
  <w:num w:numId="20">
    <w:abstractNumId w:val="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ctiveWritingStyle w:appName="MSWord" w:lang="en-AU" w:vendorID="64" w:dllVersion="131078" w:nlCheck="1" w:checkStyle="0"/>
  <w:activeWritingStyle w:appName="MSWord" w:lang="en-US" w:vendorID="64" w:dllVersion="131078" w:nlCheck="1" w:checkStyle="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trackedChanges"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a1786b2e-501b-4458-9a99-fd89730aa861"/>
  </w:docVars>
  <w:rsids>
    <w:rsidRoot w:val="009B4C98"/>
    <w:rsid w:val="00005D17"/>
    <w:rsid w:val="000128C2"/>
    <w:rsid w:val="00015DD5"/>
    <w:rsid w:val="000175F3"/>
    <w:rsid w:val="00022B78"/>
    <w:rsid w:val="000236FA"/>
    <w:rsid w:val="00037F97"/>
    <w:rsid w:val="000534CC"/>
    <w:rsid w:val="00060CF4"/>
    <w:rsid w:val="0006685D"/>
    <w:rsid w:val="000672E6"/>
    <w:rsid w:val="0008478A"/>
    <w:rsid w:val="00087778"/>
    <w:rsid w:val="000911E2"/>
    <w:rsid w:val="000957CB"/>
    <w:rsid w:val="000A53B3"/>
    <w:rsid w:val="000B0CCC"/>
    <w:rsid w:val="000B19D4"/>
    <w:rsid w:val="000B2835"/>
    <w:rsid w:val="000D0148"/>
    <w:rsid w:val="000F3053"/>
    <w:rsid w:val="0010406C"/>
    <w:rsid w:val="001053BC"/>
    <w:rsid w:val="001105F0"/>
    <w:rsid w:val="001139A4"/>
    <w:rsid w:val="001223CE"/>
    <w:rsid w:val="001278C9"/>
    <w:rsid w:val="00144988"/>
    <w:rsid w:val="00151C73"/>
    <w:rsid w:val="00165498"/>
    <w:rsid w:val="001718A5"/>
    <w:rsid w:val="00175C27"/>
    <w:rsid w:val="001B4821"/>
    <w:rsid w:val="001D4C67"/>
    <w:rsid w:val="001D6AA3"/>
    <w:rsid w:val="00231A5B"/>
    <w:rsid w:val="00233C43"/>
    <w:rsid w:val="00235B3C"/>
    <w:rsid w:val="00235C3F"/>
    <w:rsid w:val="00242522"/>
    <w:rsid w:val="00242A04"/>
    <w:rsid w:val="002549B5"/>
    <w:rsid w:val="00254BB1"/>
    <w:rsid w:val="00292539"/>
    <w:rsid w:val="002932E9"/>
    <w:rsid w:val="002A55B6"/>
    <w:rsid w:val="002A5FBC"/>
    <w:rsid w:val="002A6F1A"/>
    <w:rsid w:val="002B39A2"/>
    <w:rsid w:val="002B5F42"/>
    <w:rsid w:val="002C11DE"/>
    <w:rsid w:val="00314206"/>
    <w:rsid w:val="003148AE"/>
    <w:rsid w:val="00321DA5"/>
    <w:rsid w:val="0032620A"/>
    <w:rsid w:val="00340CB6"/>
    <w:rsid w:val="00347AA4"/>
    <w:rsid w:val="00356D27"/>
    <w:rsid w:val="00362F60"/>
    <w:rsid w:val="003677A2"/>
    <w:rsid w:val="00373C7F"/>
    <w:rsid w:val="00374141"/>
    <w:rsid w:val="00382606"/>
    <w:rsid w:val="0038286B"/>
    <w:rsid w:val="00383644"/>
    <w:rsid w:val="0039487B"/>
    <w:rsid w:val="003C1025"/>
    <w:rsid w:val="003C4C97"/>
    <w:rsid w:val="003D1B52"/>
    <w:rsid w:val="003D5B3C"/>
    <w:rsid w:val="003E1662"/>
    <w:rsid w:val="003E41E4"/>
    <w:rsid w:val="003E58B6"/>
    <w:rsid w:val="003F2C94"/>
    <w:rsid w:val="003F7C51"/>
    <w:rsid w:val="0041324A"/>
    <w:rsid w:val="004161F9"/>
    <w:rsid w:val="00416D8F"/>
    <w:rsid w:val="00417962"/>
    <w:rsid w:val="00423C10"/>
    <w:rsid w:val="00427AED"/>
    <w:rsid w:val="0043255D"/>
    <w:rsid w:val="00442234"/>
    <w:rsid w:val="004423D1"/>
    <w:rsid w:val="0045433A"/>
    <w:rsid w:val="00465617"/>
    <w:rsid w:val="00465D9C"/>
    <w:rsid w:val="00467EA7"/>
    <w:rsid w:val="00467F0E"/>
    <w:rsid w:val="00472EB7"/>
    <w:rsid w:val="00482D97"/>
    <w:rsid w:val="00495AE0"/>
    <w:rsid w:val="004A6463"/>
    <w:rsid w:val="004B60AA"/>
    <w:rsid w:val="004D408E"/>
    <w:rsid w:val="004D4B54"/>
    <w:rsid w:val="004D5B87"/>
    <w:rsid w:val="004F1829"/>
    <w:rsid w:val="004F5651"/>
    <w:rsid w:val="00511130"/>
    <w:rsid w:val="00515CD5"/>
    <w:rsid w:val="00553533"/>
    <w:rsid w:val="005A6405"/>
    <w:rsid w:val="005B0B1C"/>
    <w:rsid w:val="005B74E2"/>
    <w:rsid w:val="005E7E49"/>
    <w:rsid w:val="005F0DC4"/>
    <w:rsid w:val="005F192D"/>
    <w:rsid w:val="006027B8"/>
    <w:rsid w:val="0064452F"/>
    <w:rsid w:val="00644BBE"/>
    <w:rsid w:val="00676B81"/>
    <w:rsid w:val="00677326"/>
    <w:rsid w:val="00692657"/>
    <w:rsid w:val="00693B70"/>
    <w:rsid w:val="00695214"/>
    <w:rsid w:val="00695595"/>
    <w:rsid w:val="006962CE"/>
    <w:rsid w:val="006B19D1"/>
    <w:rsid w:val="006D27ED"/>
    <w:rsid w:val="006F4BFC"/>
    <w:rsid w:val="00702D22"/>
    <w:rsid w:val="00732CE8"/>
    <w:rsid w:val="0073587F"/>
    <w:rsid w:val="00742AFA"/>
    <w:rsid w:val="0074732C"/>
    <w:rsid w:val="007555C4"/>
    <w:rsid w:val="00757E8D"/>
    <w:rsid w:val="007954E8"/>
    <w:rsid w:val="007B3A3E"/>
    <w:rsid w:val="007B6ECB"/>
    <w:rsid w:val="007C4F97"/>
    <w:rsid w:val="007C593B"/>
    <w:rsid w:val="007D0F88"/>
    <w:rsid w:val="007D68FE"/>
    <w:rsid w:val="007E46DF"/>
    <w:rsid w:val="007E5038"/>
    <w:rsid w:val="007F5AB8"/>
    <w:rsid w:val="007F5EF9"/>
    <w:rsid w:val="008110C5"/>
    <w:rsid w:val="008334F7"/>
    <w:rsid w:val="00841EDB"/>
    <w:rsid w:val="00842849"/>
    <w:rsid w:val="00865B44"/>
    <w:rsid w:val="00870981"/>
    <w:rsid w:val="008A3FA3"/>
    <w:rsid w:val="008B5163"/>
    <w:rsid w:val="008B6B0E"/>
    <w:rsid w:val="008D093A"/>
    <w:rsid w:val="008E398C"/>
    <w:rsid w:val="008F0FDB"/>
    <w:rsid w:val="0090058F"/>
    <w:rsid w:val="0090214B"/>
    <w:rsid w:val="009049A2"/>
    <w:rsid w:val="00911D4C"/>
    <w:rsid w:val="00923676"/>
    <w:rsid w:val="00930B0A"/>
    <w:rsid w:val="00940F99"/>
    <w:rsid w:val="00943BB3"/>
    <w:rsid w:val="00983BE2"/>
    <w:rsid w:val="00987947"/>
    <w:rsid w:val="00991373"/>
    <w:rsid w:val="009941AA"/>
    <w:rsid w:val="009B4C98"/>
    <w:rsid w:val="009B5008"/>
    <w:rsid w:val="009B63F9"/>
    <w:rsid w:val="009C5420"/>
    <w:rsid w:val="009E07F2"/>
    <w:rsid w:val="009F24C3"/>
    <w:rsid w:val="009F7F22"/>
    <w:rsid w:val="00A0174F"/>
    <w:rsid w:val="00A01D7A"/>
    <w:rsid w:val="00A23F6D"/>
    <w:rsid w:val="00A37077"/>
    <w:rsid w:val="00A45CD7"/>
    <w:rsid w:val="00A5263E"/>
    <w:rsid w:val="00A53662"/>
    <w:rsid w:val="00A547A0"/>
    <w:rsid w:val="00A627F8"/>
    <w:rsid w:val="00A91238"/>
    <w:rsid w:val="00A93C10"/>
    <w:rsid w:val="00A96C2F"/>
    <w:rsid w:val="00AD2E45"/>
    <w:rsid w:val="00AE76A7"/>
    <w:rsid w:val="00B01B2C"/>
    <w:rsid w:val="00B2516D"/>
    <w:rsid w:val="00B33139"/>
    <w:rsid w:val="00B9130F"/>
    <w:rsid w:val="00B916FD"/>
    <w:rsid w:val="00BA467C"/>
    <w:rsid w:val="00BA5FC5"/>
    <w:rsid w:val="00BB7C05"/>
    <w:rsid w:val="00BC3F1A"/>
    <w:rsid w:val="00C061DD"/>
    <w:rsid w:val="00C13031"/>
    <w:rsid w:val="00C238A0"/>
    <w:rsid w:val="00C42353"/>
    <w:rsid w:val="00C601E8"/>
    <w:rsid w:val="00C9545B"/>
    <w:rsid w:val="00CB23EF"/>
    <w:rsid w:val="00CB7AF6"/>
    <w:rsid w:val="00CD1DBE"/>
    <w:rsid w:val="00CE34DF"/>
    <w:rsid w:val="00CE6B96"/>
    <w:rsid w:val="00CF7292"/>
    <w:rsid w:val="00D12D29"/>
    <w:rsid w:val="00D23AF6"/>
    <w:rsid w:val="00D431E2"/>
    <w:rsid w:val="00D52078"/>
    <w:rsid w:val="00D543F1"/>
    <w:rsid w:val="00D64FD3"/>
    <w:rsid w:val="00D93FE9"/>
    <w:rsid w:val="00D96784"/>
    <w:rsid w:val="00DA0E5E"/>
    <w:rsid w:val="00DB0930"/>
    <w:rsid w:val="00DB7E2F"/>
    <w:rsid w:val="00DC2AA1"/>
    <w:rsid w:val="00DC6C2D"/>
    <w:rsid w:val="00DD160D"/>
    <w:rsid w:val="00E0522E"/>
    <w:rsid w:val="00E27568"/>
    <w:rsid w:val="00E4787E"/>
    <w:rsid w:val="00E56552"/>
    <w:rsid w:val="00E57B85"/>
    <w:rsid w:val="00E70624"/>
    <w:rsid w:val="00E760AD"/>
    <w:rsid w:val="00EC35A0"/>
    <w:rsid w:val="00EC5224"/>
    <w:rsid w:val="00ED3EDF"/>
    <w:rsid w:val="00ED436D"/>
    <w:rsid w:val="00ED5839"/>
    <w:rsid w:val="00ED6D42"/>
    <w:rsid w:val="00ED7ECD"/>
    <w:rsid w:val="00EE7D63"/>
    <w:rsid w:val="00EF0888"/>
    <w:rsid w:val="00F02CDB"/>
    <w:rsid w:val="00F04853"/>
    <w:rsid w:val="00F13789"/>
    <w:rsid w:val="00F1400E"/>
    <w:rsid w:val="00F21B57"/>
    <w:rsid w:val="00F5124E"/>
    <w:rsid w:val="00F70C3F"/>
    <w:rsid w:val="00F74FBE"/>
    <w:rsid w:val="00F82DCA"/>
    <w:rsid w:val="00F9364B"/>
    <w:rsid w:val="00FA7BEF"/>
    <w:rsid w:val="00FB6D98"/>
    <w:rsid w:val="00FC793B"/>
    <w:rsid w:val="00FE337D"/>
    <w:rsid w:val="00FE5AFC"/>
    <w:rsid w:val="00FF77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60AFC63-FFE8-40B6-8863-369CC1C8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68"/>
      <w:szCs w:val="28"/>
      <w:lang w:eastAsia="en-US"/>
    </w:rPr>
  </w:style>
  <w:style w:type="paragraph" w:styleId="Heading2">
    <w:name w:val="heading 2"/>
    <w:basedOn w:val="Normal"/>
    <w:next w:val="Normal"/>
    <w:link w:val="Heading2Char"/>
    <w:uiPriority w:val="3"/>
    <w:qFormat/>
    <w:pPr>
      <w:pageBreakBefore/>
      <w:numPr>
        <w:numId w:val="6"/>
      </w:numPr>
      <w:spacing w:after="240" w:line="240" w:lineRule="auto"/>
      <w:ind w:left="709"/>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6"/>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6"/>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68"/>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keepNext/>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keepNext/>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ind w:left="425"/>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8"/>
      </w:numPr>
      <w:tabs>
        <w:tab w:val="left" w:pos="142"/>
      </w:tabs>
      <w:spacing w:before="120" w:after="120"/>
    </w:pPr>
  </w:style>
  <w:style w:type="paragraph" w:styleId="ListNumber2">
    <w:name w:val="List Number 2"/>
    <w:uiPriority w:val="10"/>
    <w:qFormat/>
    <w:pPr>
      <w:numPr>
        <w:ilvl w:val="1"/>
        <w:numId w:val="8"/>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7"/>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sz w:val="22"/>
      <w:szCs w:val="22"/>
      <w:lang w:eastAsia="en-US"/>
    </w:rPr>
  </w:style>
  <w:style w:type="paragraph" w:styleId="Revision">
    <w:name w:val="Revision"/>
    <w:hidden/>
    <w:uiPriority w:val="99"/>
    <w:semiHidden/>
    <w:rPr>
      <w:rFonts w:eastAsiaTheme="minorHAnsi" w:cstheme="minorBidi"/>
      <w:sz w:val="22"/>
      <w:szCs w:val="22"/>
      <w:lang w:eastAsia="en-US"/>
    </w:rPr>
  </w:style>
  <w:style w:type="paragraph" w:styleId="ListParagraph">
    <w:name w:val="List Paragraph"/>
    <w:aliases w:val="Table Dots"/>
    <w:basedOn w:val="Normal"/>
    <w:link w:val="ListParagraphChar"/>
    <w:uiPriority w:val="99"/>
    <w:qFormat/>
    <w:pPr>
      <w:ind w:left="720"/>
      <w:contextualSpacing/>
    </w:pPr>
  </w:style>
  <w:style w:type="character" w:customStyle="1" w:styleId="ListParagraphChar">
    <w:name w:val="List Paragraph Char"/>
    <w:aliases w:val="Table Dots Char"/>
    <w:basedOn w:val="DefaultParagraphFont"/>
    <w:link w:val="ListParagraph"/>
    <w:uiPriority w:val="99"/>
    <w:locked/>
    <w:rPr>
      <w:rFonts w:eastAsiaTheme="minorHAnsi" w:cstheme="minorBidi"/>
      <w:sz w:val="22"/>
      <w:szCs w:val="22"/>
      <w:lang w:eastAsia="en-US"/>
    </w:rPr>
  </w:style>
  <w:style w:type="numbering" w:customStyle="1" w:styleId="Bulletlist">
    <w:name w:val="Bullet list"/>
    <w:uiPriority w:val="99"/>
    <w:pPr>
      <w:numPr>
        <w:numId w:val="14"/>
      </w:numPr>
    </w:pPr>
  </w:style>
  <w:style w:type="paragraph" w:customStyle="1" w:styleId="Default">
    <w:name w:val="Default"/>
    <w:rsid w:val="008110C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430">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34980">
      <w:bodyDiv w:val="1"/>
      <w:marLeft w:val="0"/>
      <w:marRight w:val="0"/>
      <w:marTop w:val="0"/>
      <w:marBottom w:val="0"/>
      <w:divBdr>
        <w:top w:val="none" w:sz="0" w:space="0" w:color="auto"/>
        <w:left w:val="none" w:sz="0" w:space="0" w:color="auto"/>
        <w:bottom w:val="none" w:sz="0" w:space="0" w:color="auto"/>
        <w:right w:val="none" w:sz="0" w:space="0" w:color="auto"/>
      </w:divBdr>
    </w:div>
    <w:div w:id="81071193">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26861">
      <w:bodyDiv w:val="1"/>
      <w:marLeft w:val="0"/>
      <w:marRight w:val="0"/>
      <w:marTop w:val="0"/>
      <w:marBottom w:val="0"/>
      <w:divBdr>
        <w:top w:val="none" w:sz="0" w:space="0" w:color="auto"/>
        <w:left w:val="none" w:sz="0" w:space="0" w:color="auto"/>
        <w:bottom w:val="none" w:sz="0" w:space="0" w:color="auto"/>
        <w:right w:val="none" w:sz="0" w:space="0" w:color="auto"/>
      </w:divBdr>
    </w:div>
    <w:div w:id="234556184">
      <w:bodyDiv w:val="1"/>
      <w:marLeft w:val="0"/>
      <w:marRight w:val="0"/>
      <w:marTop w:val="0"/>
      <w:marBottom w:val="0"/>
      <w:divBdr>
        <w:top w:val="none" w:sz="0" w:space="0" w:color="auto"/>
        <w:left w:val="none" w:sz="0" w:space="0" w:color="auto"/>
        <w:bottom w:val="none" w:sz="0" w:space="0" w:color="auto"/>
        <w:right w:val="none" w:sz="0" w:space="0" w:color="auto"/>
      </w:divBdr>
    </w:div>
    <w:div w:id="315040034">
      <w:bodyDiv w:val="1"/>
      <w:marLeft w:val="0"/>
      <w:marRight w:val="0"/>
      <w:marTop w:val="0"/>
      <w:marBottom w:val="0"/>
      <w:divBdr>
        <w:top w:val="none" w:sz="0" w:space="0" w:color="auto"/>
        <w:left w:val="none" w:sz="0" w:space="0" w:color="auto"/>
        <w:bottom w:val="none" w:sz="0" w:space="0" w:color="auto"/>
        <w:right w:val="none" w:sz="0" w:space="0" w:color="auto"/>
      </w:divBdr>
    </w:div>
    <w:div w:id="344553385">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231816">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227535">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4714529">
      <w:bodyDiv w:val="1"/>
      <w:marLeft w:val="0"/>
      <w:marRight w:val="0"/>
      <w:marTop w:val="0"/>
      <w:marBottom w:val="0"/>
      <w:divBdr>
        <w:top w:val="none" w:sz="0" w:space="0" w:color="auto"/>
        <w:left w:val="none" w:sz="0" w:space="0" w:color="auto"/>
        <w:bottom w:val="none" w:sz="0" w:space="0" w:color="auto"/>
        <w:right w:val="none" w:sz="0" w:space="0" w:color="auto"/>
      </w:divBdr>
    </w:div>
    <w:div w:id="505292922">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863191">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356620">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7361773">
      <w:bodyDiv w:val="1"/>
      <w:marLeft w:val="0"/>
      <w:marRight w:val="0"/>
      <w:marTop w:val="0"/>
      <w:marBottom w:val="0"/>
      <w:divBdr>
        <w:top w:val="none" w:sz="0" w:space="0" w:color="auto"/>
        <w:left w:val="none" w:sz="0" w:space="0" w:color="auto"/>
        <w:bottom w:val="none" w:sz="0" w:space="0" w:color="auto"/>
        <w:right w:val="none" w:sz="0" w:space="0" w:color="auto"/>
      </w:divBdr>
    </w:div>
    <w:div w:id="789204480">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609657">
      <w:bodyDiv w:val="1"/>
      <w:marLeft w:val="0"/>
      <w:marRight w:val="0"/>
      <w:marTop w:val="0"/>
      <w:marBottom w:val="0"/>
      <w:divBdr>
        <w:top w:val="none" w:sz="0" w:space="0" w:color="auto"/>
        <w:left w:val="none" w:sz="0" w:space="0" w:color="auto"/>
        <w:bottom w:val="none" w:sz="0" w:space="0" w:color="auto"/>
        <w:right w:val="none" w:sz="0" w:space="0" w:color="auto"/>
      </w:divBdr>
    </w:div>
    <w:div w:id="870919691">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09700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1199652">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292188">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654664">
      <w:bodyDiv w:val="1"/>
      <w:marLeft w:val="0"/>
      <w:marRight w:val="0"/>
      <w:marTop w:val="0"/>
      <w:marBottom w:val="0"/>
      <w:divBdr>
        <w:top w:val="none" w:sz="0" w:space="0" w:color="auto"/>
        <w:left w:val="none" w:sz="0" w:space="0" w:color="auto"/>
        <w:bottom w:val="none" w:sz="0" w:space="0" w:color="auto"/>
        <w:right w:val="none" w:sz="0" w:space="0" w:color="auto"/>
      </w:divBdr>
    </w:div>
    <w:div w:id="105639349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527725">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451602">
      <w:bodyDiv w:val="1"/>
      <w:marLeft w:val="0"/>
      <w:marRight w:val="0"/>
      <w:marTop w:val="0"/>
      <w:marBottom w:val="0"/>
      <w:divBdr>
        <w:top w:val="none" w:sz="0" w:space="0" w:color="auto"/>
        <w:left w:val="none" w:sz="0" w:space="0" w:color="auto"/>
        <w:bottom w:val="none" w:sz="0" w:space="0" w:color="auto"/>
        <w:right w:val="none" w:sz="0" w:space="0" w:color="auto"/>
      </w:divBdr>
    </w:div>
    <w:div w:id="1474641613">
      <w:bodyDiv w:val="1"/>
      <w:marLeft w:val="0"/>
      <w:marRight w:val="0"/>
      <w:marTop w:val="0"/>
      <w:marBottom w:val="0"/>
      <w:divBdr>
        <w:top w:val="none" w:sz="0" w:space="0" w:color="auto"/>
        <w:left w:val="none" w:sz="0" w:space="0" w:color="auto"/>
        <w:bottom w:val="none" w:sz="0" w:space="0" w:color="auto"/>
        <w:right w:val="none" w:sz="0" w:space="0" w:color="auto"/>
      </w:divBdr>
    </w:div>
    <w:div w:id="1483765364">
      <w:bodyDiv w:val="1"/>
      <w:marLeft w:val="0"/>
      <w:marRight w:val="0"/>
      <w:marTop w:val="0"/>
      <w:marBottom w:val="0"/>
      <w:divBdr>
        <w:top w:val="none" w:sz="0" w:space="0" w:color="auto"/>
        <w:left w:val="none" w:sz="0" w:space="0" w:color="auto"/>
        <w:bottom w:val="none" w:sz="0" w:space="0" w:color="auto"/>
        <w:right w:val="none" w:sz="0" w:space="0" w:color="auto"/>
      </w:divBdr>
    </w:div>
    <w:div w:id="1499228388">
      <w:bodyDiv w:val="1"/>
      <w:marLeft w:val="0"/>
      <w:marRight w:val="0"/>
      <w:marTop w:val="0"/>
      <w:marBottom w:val="0"/>
      <w:divBdr>
        <w:top w:val="none" w:sz="0" w:space="0" w:color="auto"/>
        <w:left w:val="none" w:sz="0" w:space="0" w:color="auto"/>
        <w:bottom w:val="none" w:sz="0" w:space="0" w:color="auto"/>
        <w:right w:val="none" w:sz="0" w:space="0" w:color="auto"/>
      </w:divBdr>
    </w:div>
    <w:div w:id="1519851292">
      <w:bodyDiv w:val="1"/>
      <w:marLeft w:val="0"/>
      <w:marRight w:val="0"/>
      <w:marTop w:val="0"/>
      <w:marBottom w:val="0"/>
      <w:divBdr>
        <w:top w:val="none" w:sz="0" w:space="0" w:color="auto"/>
        <w:left w:val="none" w:sz="0" w:space="0" w:color="auto"/>
        <w:bottom w:val="none" w:sz="0" w:space="0" w:color="auto"/>
        <w:right w:val="none" w:sz="0" w:space="0" w:color="auto"/>
      </w:divBdr>
    </w:div>
    <w:div w:id="1535733208">
      <w:bodyDiv w:val="1"/>
      <w:marLeft w:val="0"/>
      <w:marRight w:val="0"/>
      <w:marTop w:val="0"/>
      <w:marBottom w:val="0"/>
      <w:divBdr>
        <w:top w:val="none" w:sz="0" w:space="0" w:color="auto"/>
        <w:left w:val="none" w:sz="0" w:space="0" w:color="auto"/>
        <w:bottom w:val="none" w:sz="0" w:space="0" w:color="auto"/>
        <w:right w:val="none" w:sz="0" w:space="0" w:color="auto"/>
      </w:divBdr>
    </w:div>
    <w:div w:id="1543201995">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11283432">
      <w:bodyDiv w:val="1"/>
      <w:marLeft w:val="0"/>
      <w:marRight w:val="0"/>
      <w:marTop w:val="0"/>
      <w:marBottom w:val="0"/>
      <w:divBdr>
        <w:top w:val="none" w:sz="0" w:space="0" w:color="auto"/>
        <w:left w:val="none" w:sz="0" w:space="0" w:color="auto"/>
        <w:bottom w:val="none" w:sz="0" w:space="0" w:color="auto"/>
        <w:right w:val="none" w:sz="0" w:space="0" w:color="auto"/>
      </w:divBdr>
    </w:div>
    <w:div w:id="163220126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446723">
      <w:bodyDiv w:val="1"/>
      <w:marLeft w:val="0"/>
      <w:marRight w:val="0"/>
      <w:marTop w:val="0"/>
      <w:marBottom w:val="0"/>
      <w:divBdr>
        <w:top w:val="none" w:sz="0" w:space="0" w:color="auto"/>
        <w:left w:val="none" w:sz="0" w:space="0" w:color="auto"/>
        <w:bottom w:val="none" w:sz="0" w:space="0" w:color="auto"/>
        <w:right w:val="none" w:sz="0" w:space="0" w:color="auto"/>
      </w:divBdr>
    </w:div>
    <w:div w:id="1712263910">
      <w:bodyDiv w:val="1"/>
      <w:marLeft w:val="0"/>
      <w:marRight w:val="0"/>
      <w:marTop w:val="0"/>
      <w:marBottom w:val="0"/>
      <w:divBdr>
        <w:top w:val="none" w:sz="0" w:space="0" w:color="auto"/>
        <w:left w:val="none" w:sz="0" w:space="0" w:color="auto"/>
        <w:bottom w:val="none" w:sz="0" w:space="0" w:color="auto"/>
        <w:right w:val="none" w:sz="0" w:space="0" w:color="auto"/>
      </w:divBdr>
    </w:div>
    <w:div w:id="1730154138">
      <w:bodyDiv w:val="1"/>
      <w:marLeft w:val="0"/>
      <w:marRight w:val="0"/>
      <w:marTop w:val="0"/>
      <w:marBottom w:val="0"/>
      <w:divBdr>
        <w:top w:val="none" w:sz="0" w:space="0" w:color="auto"/>
        <w:left w:val="none" w:sz="0" w:space="0" w:color="auto"/>
        <w:bottom w:val="none" w:sz="0" w:space="0" w:color="auto"/>
        <w:right w:val="none" w:sz="0" w:space="0" w:color="auto"/>
      </w:divBdr>
    </w:div>
    <w:div w:id="1761872222">
      <w:bodyDiv w:val="1"/>
      <w:marLeft w:val="0"/>
      <w:marRight w:val="0"/>
      <w:marTop w:val="0"/>
      <w:marBottom w:val="0"/>
      <w:divBdr>
        <w:top w:val="none" w:sz="0" w:space="0" w:color="auto"/>
        <w:left w:val="none" w:sz="0" w:space="0" w:color="auto"/>
        <w:bottom w:val="none" w:sz="0" w:space="0" w:color="auto"/>
        <w:right w:val="none" w:sz="0" w:space="0" w:color="auto"/>
      </w:divBdr>
    </w:div>
    <w:div w:id="1767770894">
      <w:bodyDiv w:val="1"/>
      <w:marLeft w:val="0"/>
      <w:marRight w:val="0"/>
      <w:marTop w:val="0"/>
      <w:marBottom w:val="0"/>
      <w:divBdr>
        <w:top w:val="none" w:sz="0" w:space="0" w:color="auto"/>
        <w:left w:val="none" w:sz="0" w:space="0" w:color="auto"/>
        <w:bottom w:val="none" w:sz="0" w:space="0" w:color="auto"/>
        <w:right w:val="none" w:sz="0" w:space="0" w:color="auto"/>
      </w:divBdr>
    </w:div>
    <w:div w:id="1798062851">
      <w:bodyDiv w:val="1"/>
      <w:marLeft w:val="0"/>
      <w:marRight w:val="0"/>
      <w:marTop w:val="0"/>
      <w:marBottom w:val="0"/>
      <w:divBdr>
        <w:top w:val="none" w:sz="0" w:space="0" w:color="auto"/>
        <w:left w:val="none" w:sz="0" w:space="0" w:color="auto"/>
        <w:bottom w:val="none" w:sz="0" w:space="0" w:color="auto"/>
        <w:right w:val="none" w:sz="0" w:space="0" w:color="auto"/>
      </w:divBdr>
    </w:div>
    <w:div w:id="1828201091">
      <w:bodyDiv w:val="1"/>
      <w:marLeft w:val="0"/>
      <w:marRight w:val="0"/>
      <w:marTop w:val="0"/>
      <w:marBottom w:val="0"/>
      <w:divBdr>
        <w:top w:val="none" w:sz="0" w:space="0" w:color="auto"/>
        <w:left w:val="none" w:sz="0" w:space="0" w:color="auto"/>
        <w:bottom w:val="none" w:sz="0" w:space="0" w:color="auto"/>
        <w:right w:val="none" w:sz="0" w:space="0" w:color="auto"/>
      </w:divBdr>
    </w:div>
    <w:div w:id="1829324551">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58898">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004059">
      <w:bodyDiv w:val="1"/>
      <w:marLeft w:val="0"/>
      <w:marRight w:val="0"/>
      <w:marTop w:val="0"/>
      <w:marBottom w:val="0"/>
      <w:divBdr>
        <w:top w:val="none" w:sz="0" w:space="0" w:color="auto"/>
        <w:left w:val="none" w:sz="0" w:space="0" w:color="auto"/>
        <w:bottom w:val="none" w:sz="0" w:space="0" w:color="auto"/>
        <w:right w:val="none" w:sz="0" w:space="0" w:color="auto"/>
      </w:divBdr>
    </w:div>
    <w:div w:id="2021618907">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footer" Target="footer1.xml"/><Relationship Id="rId26" Type="http://schemas.openxmlformats.org/officeDocument/2006/relationships/hyperlink" Target="https://www.agriculture.gov.au/fees/cost-recovery/biosecurity-cris" TargetMode="External"/><Relationship Id="rId3" Type="http://schemas.openxmlformats.org/officeDocument/2006/relationships/customXml" Target="../customXml/item3.xml"/><Relationship Id="rId21" Type="http://schemas.openxmlformats.org/officeDocument/2006/relationships/hyperlink" Target="https://www.legislation.gov.au/Details/C2017C00303" TargetMode="External"/><Relationship Id="rId34" Type="http://schemas.openxmlformats.org/officeDocument/2006/relationships/hyperlink" Target="https://www.transparency.gov.au/annual-reports/department-agriculture/reporting-year/2018-2019" TargetMode="Externa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eader" Target="header1.xml"/><Relationship Id="rId25" Type="http://schemas.openxmlformats.org/officeDocument/2006/relationships/image" Target="cid:image002.png@01D5A4BB.9ADCD120"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agriculture.gov.au/" TargetMode="External"/><Relationship Id="rId20" Type="http://schemas.openxmlformats.org/officeDocument/2006/relationships/hyperlink" Target="https://www.agriculture.gov.au/fees/cost-recovery/biosecurity-cris"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5.png"/><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agriculture.gov.au/fees/cost-recovery/biosecurity-cris" TargetMode="External"/><Relationship Id="rId23" Type="http://schemas.openxmlformats.org/officeDocument/2006/relationships/image" Target="media/image4.jpeg"/><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legislation.gov.au/Details/F2016L00756" TargetMode="External"/><Relationship Id="rId27" Type="http://schemas.openxmlformats.org/officeDocument/2006/relationships/hyperlink" Target="https://www.anao.gov.au/work/performance-audit/application-cost-recovery-principles" TargetMode="External"/><Relationship Id="rId30" Type="http://schemas.openxmlformats.org/officeDocument/2006/relationships/footer" Target="footer2.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purl.org/dc/terms/"/>
    <ds:schemaRef ds:uri="http://schemas.microsoft.com/office/2006/documentManagement/types"/>
    <ds:schemaRef ds:uri="7cf0e0db-f490-4122-abae-21917392c748"/>
    <ds:schemaRef ds:uri="http://purl.org/dc/elements/1.1/"/>
    <ds:schemaRef ds:uri="http://schemas.microsoft.com/office/infopath/2007/PartnerControls"/>
    <ds:schemaRef ds:uri="http://purl.org/dc/dcmitype/"/>
    <ds:schemaRef ds:uri="http://schemas.microsoft.com/sharepoint/v3"/>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D2B5296-E154-4903-B42C-96466D76D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Template>
  <TotalTime>1</TotalTime>
  <Pages>31</Pages>
  <Words>8038</Words>
  <Characters>47936</Characters>
  <Application>Microsoft Office Word</Application>
  <DocSecurity>0</DocSecurity>
  <Lines>1378</Lines>
  <Paragraphs>762</Paragraphs>
  <ScaleCrop>false</ScaleCrop>
  <HeadingPairs>
    <vt:vector size="2" baseType="variant">
      <vt:variant>
        <vt:lpstr>Title</vt:lpstr>
      </vt:variant>
      <vt:variant>
        <vt:i4>1</vt:i4>
      </vt:variant>
    </vt:vector>
  </HeadingPairs>
  <TitlesOfParts>
    <vt:vector size="1" baseType="lpstr">
      <vt:lpstr>Biosecurity cost recovery implementation statement 2019–20</vt:lpstr>
    </vt:vector>
  </TitlesOfParts>
  <Company>Department of Agriculture Fisheries &amp; Forestry</Company>
  <LinksUpToDate>false</LinksUpToDate>
  <CharactersWithSpaces>55259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cost recovery implementation statement 2019–20</dc:title>
  <dc:subject/>
  <dc:creator>Department of Agriculture</dc:creator>
  <cp:keywords/>
  <dc:description/>
  <cp:lastModifiedBy>Dang, Van</cp:lastModifiedBy>
  <cp:revision>3</cp:revision>
  <cp:lastPrinted>2019-12-08T23:42:00Z</cp:lastPrinted>
  <dcterms:created xsi:type="dcterms:W3CDTF">2019-12-08T23:41:00Z</dcterms:created>
  <dcterms:modified xsi:type="dcterms:W3CDTF">2019-12-08T23:42:00Z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