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14576" w14:textId="5CC32F47" w:rsidR="00331180" w:rsidRPr="001D3FAB" w:rsidRDefault="00556365" w:rsidP="00331180">
      <w:pPr>
        <w:pStyle w:val="Heading1"/>
      </w:pPr>
      <w:r w:rsidRPr="001D3FAB">
        <w:t xml:space="preserve">Biosecurity </w:t>
      </w:r>
      <w:r w:rsidR="00B262C0" w:rsidRPr="003B2D42">
        <w:t>cost recovery implementation statement</w:t>
      </w:r>
      <w:r w:rsidR="00B262C0" w:rsidRPr="009D5301">
        <w:t xml:space="preserve"> </w:t>
      </w:r>
      <w:bookmarkStart w:id="0" w:name="_Hlk183592697"/>
      <w:r w:rsidR="002D6968">
        <w:t>2026</w:t>
      </w:r>
      <w:r w:rsidR="007F234A">
        <w:t>–</w:t>
      </w:r>
      <w:r w:rsidR="002D6968">
        <w:t>27</w:t>
      </w:r>
    </w:p>
    <w:p w14:paraId="31D07CF5" w14:textId="7CBFFA8D" w:rsidR="00764D6A" w:rsidRDefault="00331180" w:rsidP="006769C4">
      <w:pPr>
        <w:pStyle w:val="Normalsmall"/>
      </w:pPr>
      <w:r>
        <w:rPr>
          <w:highlight w:val="green"/>
        </w:rPr>
        <w:br w:type="page"/>
      </w:r>
      <w:bookmarkEnd w:id="0"/>
      <w:r w:rsidR="00E91D72">
        <w:lastRenderedPageBreak/>
        <w:t xml:space="preserve">© Commonwealth of Australia </w:t>
      </w:r>
      <w:r w:rsidR="00511E60">
        <w:t>2026</w:t>
      </w:r>
    </w:p>
    <w:p w14:paraId="2656992D" w14:textId="77777777" w:rsidR="00764D6A" w:rsidRDefault="00E91D72">
      <w:pPr>
        <w:pStyle w:val="Normalsmall"/>
        <w:contextualSpacing/>
        <w:rPr>
          <w:rStyle w:val="Strong"/>
        </w:rPr>
      </w:pPr>
      <w:r>
        <w:rPr>
          <w:rStyle w:val="Strong"/>
        </w:rPr>
        <w:t>Ownership of intellectual property rights</w:t>
      </w:r>
    </w:p>
    <w:p w14:paraId="633F197B"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06C15E20" w14:textId="77777777" w:rsidR="00764D6A" w:rsidRDefault="00E91D72">
      <w:pPr>
        <w:pStyle w:val="Normalsmall"/>
        <w:contextualSpacing/>
        <w:rPr>
          <w:rStyle w:val="Strong"/>
        </w:rPr>
      </w:pPr>
      <w:r>
        <w:rPr>
          <w:rStyle w:val="Strong"/>
        </w:rPr>
        <w:t>Creative Commons licence</w:t>
      </w:r>
    </w:p>
    <w:p w14:paraId="4344AE51"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3CE03836" w14:textId="77777777" w:rsidR="00764D6A" w:rsidRPr="00364A4A" w:rsidRDefault="00E91D72">
      <w:pPr>
        <w:pStyle w:val="Normalsmall"/>
      </w:pPr>
      <w:r w:rsidRPr="00364A4A">
        <w:rPr>
          <w:noProof/>
          <w:lang w:eastAsia="en-AU"/>
        </w:rPr>
        <w:drawing>
          <wp:inline distT="0" distB="0" distL="0" distR="0" wp14:anchorId="06F7879C" wp14:editId="611A152E">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0D940D8" w14:textId="77777777" w:rsidR="00764D6A" w:rsidRPr="00364A4A" w:rsidRDefault="00E91D72">
      <w:pPr>
        <w:pStyle w:val="Normalsmall"/>
        <w:contextualSpacing/>
        <w:rPr>
          <w:rStyle w:val="Strong"/>
        </w:rPr>
      </w:pPr>
      <w:r w:rsidRPr="00364A4A">
        <w:rPr>
          <w:rStyle w:val="Strong"/>
        </w:rPr>
        <w:t>Cataloguing data</w:t>
      </w:r>
    </w:p>
    <w:p w14:paraId="29994E0D" w14:textId="6BC55619" w:rsidR="00764D6A" w:rsidRDefault="00E91D72">
      <w:pPr>
        <w:pStyle w:val="Normalsmall"/>
      </w:pPr>
      <w:r w:rsidRPr="00364A4A">
        <w:t xml:space="preserve">This publication (and any material sourced from it) should be attributed as: </w:t>
      </w:r>
      <w:r w:rsidR="009D5007" w:rsidRPr="008103A5">
        <w:t>DA</w:t>
      </w:r>
      <w:r w:rsidR="00DE0AAE" w:rsidRPr="008103A5">
        <w:t>FF</w:t>
      </w:r>
      <w:r w:rsidR="00B97E61" w:rsidRPr="008103A5">
        <w:t xml:space="preserve"> 2</w:t>
      </w:r>
      <w:r w:rsidR="0026723C">
        <w:t>0</w:t>
      </w:r>
      <w:r w:rsidR="0026723C" w:rsidRPr="008103A5">
        <w:t>2</w:t>
      </w:r>
      <w:r w:rsidR="0026723C">
        <w:t>6</w:t>
      </w:r>
      <w:r w:rsidRPr="008103A5">
        <w:t xml:space="preserve">, </w:t>
      </w:r>
      <w:r w:rsidR="00B262C0" w:rsidRPr="001D3FAB">
        <w:rPr>
          <w:rStyle w:val="Emphasis"/>
        </w:rPr>
        <w:t xml:space="preserve">Biosecurity cost recovery implementation statement </w:t>
      </w:r>
      <w:r w:rsidR="004322DD" w:rsidRPr="001D3FAB">
        <w:rPr>
          <w:rStyle w:val="Emphasis"/>
        </w:rPr>
        <w:t>202</w:t>
      </w:r>
      <w:r w:rsidR="004322DD">
        <w:rPr>
          <w:rStyle w:val="Emphasis"/>
        </w:rPr>
        <w:t>6</w:t>
      </w:r>
      <w:r w:rsidR="00B262C0" w:rsidRPr="001D3FAB">
        <w:rPr>
          <w:rStyle w:val="Emphasis"/>
        </w:rPr>
        <w:t>–</w:t>
      </w:r>
      <w:r w:rsidR="00130CA9">
        <w:rPr>
          <w:rStyle w:val="Emphasis"/>
        </w:rPr>
        <w:t>27</w:t>
      </w:r>
      <w:r w:rsidRPr="008103A5">
        <w:t xml:space="preserve">, </w:t>
      </w:r>
      <w:r w:rsidR="00DE0AAE" w:rsidRPr="008103A5">
        <w:t>Department of Agriculture, Fisheries and Forestry</w:t>
      </w:r>
      <w:r>
        <w:t xml:space="preserve">, Canberra, </w:t>
      </w:r>
      <w:r w:rsidR="00162673">
        <w:t>June</w:t>
      </w:r>
      <w:r>
        <w:t>. CC BY 4.0.</w:t>
      </w:r>
    </w:p>
    <w:p w14:paraId="14059659" w14:textId="5C5F3A71" w:rsidR="00253987" w:rsidRDefault="00E91D72">
      <w:pPr>
        <w:pStyle w:val="Normalsmall"/>
      </w:pPr>
      <w:r>
        <w:t xml:space="preserve">This </w:t>
      </w:r>
      <w:r w:rsidRPr="00364A4A">
        <w:t xml:space="preserve">publication is available at </w:t>
      </w:r>
      <w:hyperlink r:id="rId13" w:history="1">
        <w:r w:rsidR="00B262C0">
          <w:rPr>
            <w:rStyle w:val="Hyperlink"/>
          </w:rPr>
          <w:t>agriculture.gov.au/about/fees/biosecurity-cris</w:t>
        </w:r>
      </w:hyperlink>
      <w:r w:rsidR="00B262C0">
        <w:t>.</w:t>
      </w:r>
    </w:p>
    <w:p w14:paraId="27F61712" w14:textId="77777777" w:rsidR="00DE0AAE" w:rsidRDefault="00DE0AAE">
      <w:pPr>
        <w:pStyle w:val="Normalsmall"/>
        <w:spacing w:after="0"/>
      </w:pPr>
      <w:r w:rsidRPr="00DE0AAE">
        <w:t>Department of Agriculture, Fisheries and Forestry</w:t>
      </w:r>
    </w:p>
    <w:p w14:paraId="26DFD70C" w14:textId="77777777" w:rsidR="00764D6A" w:rsidRPr="00364A4A" w:rsidRDefault="00E91D72">
      <w:pPr>
        <w:pStyle w:val="Normalsmall"/>
        <w:spacing w:after="0"/>
      </w:pPr>
      <w:r w:rsidRPr="00364A4A">
        <w:t>GPO Box 858 Canberra ACT 2601</w:t>
      </w:r>
    </w:p>
    <w:p w14:paraId="7449A21A" w14:textId="77777777" w:rsidR="00764D6A" w:rsidRPr="00364A4A" w:rsidRDefault="00E91D72">
      <w:pPr>
        <w:pStyle w:val="Normalsmall"/>
        <w:spacing w:after="0"/>
      </w:pPr>
      <w:r w:rsidRPr="00364A4A">
        <w:t>Telephone 1800 900 090</w:t>
      </w:r>
    </w:p>
    <w:p w14:paraId="47DCA8DF"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77473C5D" w14:textId="77777777" w:rsidR="007C358A" w:rsidRDefault="007C358A">
      <w:pPr>
        <w:pStyle w:val="Normalsmall"/>
        <w:contextualSpacing/>
      </w:pPr>
      <w:r w:rsidRPr="00364A4A">
        <w:rPr>
          <w:rStyle w:val="Strong"/>
        </w:rPr>
        <w:t>Disclaimer</w:t>
      </w:r>
    </w:p>
    <w:p w14:paraId="02E3B553"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409985B" w14:textId="77777777" w:rsidR="00B02B9B" w:rsidRDefault="00B02B9B" w:rsidP="00B02B9B">
      <w:pPr>
        <w:pStyle w:val="Normalsmall"/>
        <w:contextualSpacing/>
      </w:pPr>
      <w:r>
        <w:rPr>
          <w:rStyle w:val="Strong"/>
        </w:rPr>
        <w:t>Acknowledgement of Country</w:t>
      </w:r>
    </w:p>
    <w:p w14:paraId="0F26ABFC" w14:textId="77777777" w:rsidR="00517A68" w:rsidRDefault="00DE21ED" w:rsidP="00432172">
      <w:pPr>
        <w:pStyle w:val="Normalsmall"/>
      </w:pPr>
      <w:r w:rsidRPr="00DE21ED">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49A5D4A0" w14:textId="4D3D6FFA" w:rsidR="00347D5F" w:rsidRPr="008336F3" w:rsidRDefault="00347D5F" w:rsidP="008336F3">
      <w:r>
        <w:rPr>
          <w:rStyle w:val="Hyperlink"/>
        </w:rPr>
        <w:br w:type="page"/>
      </w:r>
    </w:p>
    <w:bookmarkStart w:id="1" w:name="_Toc183501103" w:displacedByCustomXml="next"/>
    <w:bookmarkStart w:id="2" w:name="_Toc430782149" w:displacedByCustomXml="next"/>
    <w:sdt>
      <w:sdtPr>
        <w:rPr>
          <w:rFonts w:asciiTheme="minorHAnsi" w:eastAsiaTheme="minorHAnsi" w:hAnsiTheme="minorHAnsi"/>
          <w:b/>
          <w:bCs w:val="0"/>
          <w:noProof/>
          <w:sz w:val="22"/>
          <w:szCs w:val="22"/>
          <w:lang w:eastAsia="en-US"/>
        </w:rPr>
        <w:id w:val="-1099400785"/>
        <w:docPartObj>
          <w:docPartGallery w:val="Table of Contents"/>
          <w:docPartUnique/>
        </w:docPartObj>
      </w:sdtPr>
      <w:sdtEndPr/>
      <w:sdtContent>
        <w:p w14:paraId="05D3CB2E" w14:textId="345941C4" w:rsidR="00B005E0" w:rsidRDefault="00B005E0">
          <w:pPr>
            <w:pStyle w:val="TOCHeading"/>
          </w:pPr>
          <w:r>
            <w:t>Contents</w:t>
          </w:r>
        </w:p>
        <w:p w14:paraId="69BA39B6" w14:textId="211EF878" w:rsidR="003709C9" w:rsidRDefault="00DB1BA9">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3,2,Subtitle,1,TOA Heading,1" </w:instrText>
          </w:r>
          <w:r>
            <w:rPr>
              <w:b w:val="0"/>
            </w:rPr>
            <w:fldChar w:fldCharType="separate"/>
          </w:r>
          <w:hyperlink w:anchor="_Toc233378679" w:history="1">
            <w:r w:rsidR="003709C9" w:rsidRPr="00630BB7">
              <w:rPr>
                <w:rStyle w:val="Hyperlink"/>
              </w:rPr>
              <w:t>Introduction</w:t>
            </w:r>
            <w:r w:rsidR="003709C9">
              <w:rPr>
                <w:webHidden/>
              </w:rPr>
              <w:tab/>
            </w:r>
            <w:r w:rsidR="003709C9">
              <w:rPr>
                <w:webHidden/>
              </w:rPr>
              <w:fldChar w:fldCharType="begin"/>
            </w:r>
            <w:r w:rsidR="003709C9">
              <w:rPr>
                <w:webHidden/>
              </w:rPr>
              <w:instrText xml:space="preserve"> PAGEREF _Toc233378679 \h </w:instrText>
            </w:r>
            <w:r w:rsidR="003709C9">
              <w:rPr>
                <w:webHidden/>
              </w:rPr>
            </w:r>
            <w:r w:rsidR="003709C9">
              <w:rPr>
                <w:webHidden/>
              </w:rPr>
              <w:fldChar w:fldCharType="separate"/>
            </w:r>
            <w:r w:rsidR="003709C9">
              <w:rPr>
                <w:webHidden/>
              </w:rPr>
              <w:t>1</w:t>
            </w:r>
            <w:r w:rsidR="003709C9">
              <w:rPr>
                <w:webHidden/>
              </w:rPr>
              <w:fldChar w:fldCharType="end"/>
            </w:r>
          </w:hyperlink>
        </w:p>
        <w:p w14:paraId="2844F973" w14:textId="6EA834E2" w:rsidR="003709C9" w:rsidRDefault="003709C9">
          <w:pPr>
            <w:pStyle w:val="TOC2"/>
            <w:rPr>
              <w:rFonts w:eastAsiaTheme="minorEastAsia"/>
              <w:kern w:val="2"/>
              <w:sz w:val="24"/>
              <w:szCs w:val="24"/>
              <w:lang w:eastAsia="en-AU"/>
              <w14:ligatures w14:val="standardContextual"/>
            </w:rPr>
          </w:pPr>
          <w:hyperlink w:anchor="_Toc233378680" w:history="1">
            <w:r w:rsidRPr="00630BB7">
              <w:rPr>
                <w:rStyle w:val="Hyperlink"/>
                <w:lang w:eastAsia="ja-JP"/>
              </w:rPr>
              <w:t>Purpose</w:t>
            </w:r>
            <w:r>
              <w:rPr>
                <w:webHidden/>
              </w:rPr>
              <w:tab/>
            </w:r>
            <w:r>
              <w:rPr>
                <w:webHidden/>
              </w:rPr>
              <w:fldChar w:fldCharType="begin"/>
            </w:r>
            <w:r>
              <w:rPr>
                <w:webHidden/>
              </w:rPr>
              <w:instrText xml:space="preserve"> PAGEREF _Toc233378680 \h </w:instrText>
            </w:r>
            <w:r>
              <w:rPr>
                <w:webHidden/>
              </w:rPr>
            </w:r>
            <w:r>
              <w:rPr>
                <w:webHidden/>
              </w:rPr>
              <w:fldChar w:fldCharType="separate"/>
            </w:r>
            <w:r>
              <w:rPr>
                <w:webHidden/>
              </w:rPr>
              <w:t>1</w:t>
            </w:r>
            <w:r>
              <w:rPr>
                <w:webHidden/>
              </w:rPr>
              <w:fldChar w:fldCharType="end"/>
            </w:r>
          </w:hyperlink>
        </w:p>
        <w:p w14:paraId="79226DB1" w14:textId="49E47A66" w:rsidR="003709C9" w:rsidRDefault="003709C9">
          <w:pPr>
            <w:pStyle w:val="TOC1"/>
            <w:rPr>
              <w:rFonts w:eastAsiaTheme="minorEastAsia"/>
              <w:b w:val="0"/>
              <w:kern w:val="2"/>
              <w:sz w:val="24"/>
              <w:szCs w:val="24"/>
              <w:lang w:eastAsia="en-AU"/>
              <w14:ligatures w14:val="standardContextual"/>
            </w:rPr>
          </w:pPr>
          <w:hyperlink w:anchor="_Toc233378681" w:history="1">
            <w:r w:rsidRPr="00630BB7">
              <w:rPr>
                <w:rStyle w:val="Hyperlink"/>
              </w:rPr>
              <w:t>1</w:t>
            </w:r>
            <w:r>
              <w:rPr>
                <w:rFonts w:eastAsiaTheme="minorEastAsia"/>
                <w:b w:val="0"/>
                <w:kern w:val="2"/>
                <w:sz w:val="24"/>
                <w:szCs w:val="24"/>
                <w:lang w:eastAsia="en-AU"/>
                <w14:ligatures w14:val="standardContextual"/>
              </w:rPr>
              <w:tab/>
            </w:r>
            <w:r w:rsidRPr="00630BB7">
              <w:rPr>
                <w:rStyle w:val="Hyperlink"/>
              </w:rPr>
              <w:t>Regulatory environment</w:t>
            </w:r>
            <w:r>
              <w:rPr>
                <w:webHidden/>
              </w:rPr>
              <w:tab/>
            </w:r>
            <w:r>
              <w:rPr>
                <w:webHidden/>
              </w:rPr>
              <w:fldChar w:fldCharType="begin"/>
            </w:r>
            <w:r>
              <w:rPr>
                <w:webHidden/>
              </w:rPr>
              <w:instrText xml:space="preserve"> PAGEREF _Toc233378681 \h </w:instrText>
            </w:r>
            <w:r>
              <w:rPr>
                <w:webHidden/>
              </w:rPr>
            </w:r>
            <w:r>
              <w:rPr>
                <w:webHidden/>
              </w:rPr>
              <w:fldChar w:fldCharType="separate"/>
            </w:r>
            <w:r>
              <w:rPr>
                <w:webHidden/>
              </w:rPr>
              <w:t>2</w:t>
            </w:r>
            <w:r>
              <w:rPr>
                <w:webHidden/>
              </w:rPr>
              <w:fldChar w:fldCharType="end"/>
            </w:r>
          </w:hyperlink>
        </w:p>
        <w:p w14:paraId="38D712FE" w14:textId="5B3F5779" w:rsidR="003709C9" w:rsidRDefault="003709C9">
          <w:pPr>
            <w:pStyle w:val="TOC2"/>
            <w:tabs>
              <w:tab w:val="left" w:pos="1200"/>
            </w:tabs>
            <w:rPr>
              <w:rFonts w:eastAsiaTheme="minorEastAsia"/>
              <w:kern w:val="2"/>
              <w:sz w:val="24"/>
              <w:szCs w:val="24"/>
              <w:lang w:eastAsia="en-AU"/>
              <w14:ligatures w14:val="standardContextual"/>
            </w:rPr>
          </w:pPr>
          <w:hyperlink w:anchor="_Toc233378682" w:history="1">
            <w:r w:rsidRPr="00630BB7">
              <w:rPr>
                <w:rStyle w:val="Hyperlink"/>
              </w:rPr>
              <w:t>1.1</w:t>
            </w:r>
            <w:r>
              <w:rPr>
                <w:rFonts w:eastAsiaTheme="minorEastAsia"/>
                <w:kern w:val="2"/>
                <w:sz w:val="24"/>
                <w:szCs w:val="24"/>
                <w:lang w:eastAsia="en-AU"/>
                <w14:ligatures w14:val="standardContextual"/>
              </w:rPr>
              <w:tab/>
            </w:r>
            <w:r w:rsidRPr="00630BB7">
              <w:rPr>
                <w:rStyle w:val="Hyperlink"/>
              </w:rPr>
              <w:t>Description of regulatory activity</w:t>
            </w:r>
            <w:r>
              <w:rPr>
                <w:webHidden/>
              </w:rPr>
              <w:tab/>
            </w:r>
            <w:r>
              <w:rPr>
                <w:webHidden/>
              </w:rPr>
              <w:fldChar w:fldCharType="begin"/>
            </w:r>
            <w:r>
              <w:rPr>
                <w:webHidden/>
              </w:rPr>
              <w:instrText xml:space="preserve"> PAGEREF _Toc233378682 \h </w:instrText>
            </w:r>
            <w:r>
              <w:rPr>
                <w:webHidden/>
              </w:rPr>
            </w:r>
            <w:r>
              <w:rPr>
                <w:webHidden/>
              </w:rPr>
              <w:fldChar w:fldCharType="separate"/>
            </w:r>
            <w:r>
              <w:rPr>
                <w:webHidden/>
              </w:rPr>
              <w:t>2</w:t>
            </w:r>
            <w:r>
              <w:rPr>
                <w:webHidden/>
              </w:rPr>
              <w:fldChar w:fldCharType="end"/>
            </w:r>
          </w:hyperlink>
        </w:p>
        <w:p w14:paraId="2E005F22" w14:textId="60D2B433" w:rsidR="003709C9" w:rsidRDefault="003709C9">
          <w:pPr>
            <w:pStyle w:val="TOC2"/>
            <w:tabs>
              <w:tab w:val="left" w:pos="1200"/>
            </w:tabs>
            <w:rPr>
              <w:rFonts w:eastAsiaTheme="minorEastAsia"/>
              <w:kern w:val="2"/>
              <w:sz w:val="24"/>
              <w:szCs w:val="24"/>
              <w:lang w:eastAsia="en-AU"/>
              <w14:ligatures w14:val="standardContextual"/>
            </w:rPr>
          </w:pPr>
          <w:hyperlink w:anchor="_Toc233378683" w:history="1">
            <w:r w:rsidRPr="00630BB7">
              <w:rPr>
                <w:rStyle w:val="Hyperlink"/>
              </w:rPr>
              <w:t>1.2</w:t>
            </w:r>
            <w:r>
              <w:rPr>
                <w:rFonts w:eastAsiaTheme="minorEastAsia"/>
                <w:kern w:val="2"/>
                <w:sz w:val="24"/>
                <w:szCs w:val="24"/>
                <w:lang w:eastAsia="en-AU"/>
                <w14:ligatures w14:val="standardContextual"/>
              </w:rPr>
              <w:tab/>
            </w:r>
            <w:r w:rsidRPr="00630BB7">
              <w:rPr>
                <w:rStyle w:val="Hyperlink"/>
              </w:rPr>
              <w:t>Industry and regulatory groups</w:t>
            </w:r>
            <w:r>
              <w:rPr>
                <w:webHidden/>
              </w:rPr>
              <w:tab/>
            </w:r>
            <w:r>
              <w:rPr>
                <w:webHidden/>
              </w:rPr>
              <w:fldChar w:fldCharType="begin"/>
            </w:r>
            <w:r>
              <w:rPr>
                <w:webHidden/>
              </w:rPr>
              <w:instrText xml:space="preserve"> PAGEREF _Toc233378683 \h </w:instrText>
            </w:r>
            <w:r>
              <w:rPr>
                <w:webHidden/>
              </w:rPr>
            </w:r>
            <w:r>
              <w:rPr>
                <w:webHidden/>
              </w:rPr>
              <w:fldChar w:fldCharType="separate"/>
            </w:r>
            <w:r>
              <w:rPr>
                <w:webHidden/>
              </w:rPr>
              <w:t>2</w:t>
            </w:r>
            <w:r>
              <w:rPr>
                <w:webHidden/>
              </w:rPr>
              <w:fldChar w:fldCharType="end"/>
            </w:r>
          </w:hyperlink>
        </w:p>
        <w:p w14:paraId="5F4E726B" w14:textId="60A772E0" w:rsidR="003709C9" w:rsidRDefault="003709C9">
          <w:pPr>
            <w:pStyle w:val="TOC2"/>
            <w:tabs>
              <w:tab w:val="left" w:pos="1200"/>
            </w:tabs>
            <w:rPr>
              <w:rFonts w:eastAsiaTheme="minorEastAsia"/>
              <w:kern w:val="2"/>
              <w:sz w:val="24"/>
              <w:szCs w:val="24"/>
              <w:lang w:eastAsia="en-AU"/>
              <w14:ligatures w14:val="standardContextual"/>
            </w:rPr>
          </w:pPr>
          <w:hyperlink w:anchor="_Toc233378684" w:history="1">
            <w:r w:rsidRPr="00630BB7">
              <w:rPr>
                <w:rStyle w:val="Hyperlink"/>
              </w:rPr>
              <w:t>1.3</w:t>
            </w:r>
            <w:r>
              <w:rPr>
                <w:rFonts w:eastAsiaTheme="minorEastAsia"/>
                <w:kern w:val="2"/>
                <w:sz w:val="24"/>
                <w:szCs w:val="24"/>
                <w:lang w:eastAsia="en-AU"/>
                <w14:ligatures w14:val="standardContextual"/>
              </w:rPr>
              <w:tab/>
            </w:r>
            <w:r w:rsidRPr="00630BB7">
              <w:rPr>
                <w:rStyle w:val="Hyperlink"/>
              </w:rPr>
              <w:t>Biosecurity system</w:t>
            </w:r>
            <w:r>
              <w:rPr>
                <w:webHidden/>
              </w:rPr>
              <w:tab/>
            </w:r>
            <w:r>
              <w:rPr>
                <w:webHidden/>
              </w:rPr>
              <w:fldChar w:fldCharType="begin"/>
            </w:r>
            <w:r>
              <w:rPr>
                <w:webHidden/>
              </w:rPr>
              <w:instrText xml:space="preserve"> PAGEREF _Toc233378684 \h </w:instrText>
            </w:r>
            <w:r>
              <w:rPr>
                <w:webHidden/>
              </w:rPr>
            </w:r>
            <w:r>
              <w:rPr>
                <w:webHidden/>
              </w:rPr>
              <w:fldChar w:fldCharType="separate"/>
            </w:r>
            <w:r>
              <w:rPr>
                <w:webHidden/>
              </w:rPr>
              <w:t>3</w:t>
            </w:r>
            <w:r>
              <w:rPr>
                <w:webHidden/>
              </w:rPr>
              <w:fldChar w:fldCharType="end"/>
            </w:r>
          </w:hyperlink>
        </w:p>
        <w:p w14:paraId="5F884F42" w14:textId="6F6DD10A" w:rsidR="003709C9" w:rsidRDefault="003709C9">
          <w:pPr>
            <w:pStyle w:val="TOC1"/>
            <w:rPr>
              <w:rFonts w:eastAsiaTheme="minorEastAsia"/>
              <w:b w:val="0"/>
              <w:kern w:val="2"/>
              <w:sz w:val="24"/>
              <w:szCs w:val="24"/>
              <w:lang w:eastAsia="en-AU"/>
              <w14:ligatures w14:val="standardContextual"/>
            </w:rPr>
          </w:pPr>
          <w:hyperlink w:anchor="_Toc233378685" w:history="1">
            <w:r w:rsidRPr="00630BB7">
              <w:rPr>
                <w:rStyle w:val="Hyperlink"/>
              </w:rPr>
              <w:t>2</w:t>
            </w:r>
            <w:r>
              <w:rPr>
                <w:rFonts w:eastAsiaTheme="minorEastAsia"/>
                <w:b w:val="0"/>
                <w:kern w:val="2"/>
                <w:sz w:val="24"/>
                <w:szCs w:val="24"/>
                <w:lang w:eastAsia="en-AU"/>
                <w14:ligatures w14:val="standardContextual"/>
              </w:rPr>
              <w:tab/>
            </w:r>
            <w:r w:rsidRPr="00630BB7">
              <w:rPr>
                <w:rStyle w:val="Hyperlink"/>
              </w:rPr>
              <w:t>Policy and statutory authority to cost recover</w:t>
            </w:r>
            <w:r>
              <w:rPr>
                <w:webHidden/>
              </w:rPr>
              <w:tab/>
            </w:r>
            <w:r>
              <w:rPr>
                <w:webHidden/>
              </w:rPr>
              <w:fldChar w:fldCharType="begin"/>
            </w:r>
            <w:r>
              <w:rPr>
                <w:webHidden/>
              </w:rPr>
              <w:instrText xml:space="preserve"> PAGEREF _Toc233378685 \h </w:instrText>
            </w:r>
            <w:r>
              <w:rPr>
                <w:webHidden/>
              </w:rPr>
            </w:r>
            <w:r>
              <w:rPr>
                <w:webHidden/>
              </w:rPr>
              <w:fldChar w:fldCharType="separate"/>
            </w:r>
            <w:r>
              <w:rPr>
                <w:webHidden/>
              </w:rPr>
              <w:t>4</w:t>
            </w:r>
            <w:r>
              <w:rPr>
                <w:webHidden/>
              </w:rPr>
              <w:fldChar w:fldCharType="end"/>
            </w:r>
          </w:hyperlink>
        </w:p>
        <w:p w14:paraId="0B556F65" w14:textId="11DA6D38" w:rsidR="003709C9" w:rsidRDefault="003709C9">
          <w:pPr>
            <w:pStyle w:val="TOC2"/>
            <w:tabs>
              <w:tab w:val="left" w:pos="1200"/>
            </w:tabs>
            <w:rPr>
              <w:rFonts w:eastAsiaTheme="minorEastAsia"/>
              <w:kern w:val="2"/>
              <w:sz w:val="24"/>
              <w:szCs w:val="24"/>
              <w:lang w:eastAsia="en-AU"/>
              <w14:ligatures w14:val="standardContextual"/>
            </w:rPr>
          </w:pPr>
          <w:hyperlink w:anchor="_Toc233378686" w:history="1">
            <w:r w:rsidRPr="00630BB7">
              <w:rPr>
                <w:rStyle w:val="Hyperlink"/>
                <w:lang w:eastAsia="ja-JP"/>
              </w:rPr>
              <w:t>2.1</w:t>
            </w:r>
            <w:r>
              <w:rPr>
                <w:rFonts w:eastAsiaTheme="minorEastAsia"/>
                <w:kern w:val="2"/>
                <w:sz w:val="24"/>
                <w:szCs w:val="24"/>
                <w:lang w:eastAsia="en-AU"/>
                <w14:ligatures w14:val="standardContextual"/>
              </w:rPr>
              <w:tab/>
            </w:r>
            <w:r w:rsidRPr="00630BB7">
              <w:rPr>
                <w:rStyle w:val="Hyperlink"/>
                <w:lang w:eastAsia="ja-JP"/>
              </w:rPr>
              <w:t>Government policy approval for regulatory activity</w:t>
            </w:r>
            <w:r>
              <w:rPr>
                <w:webHidden/>
              </w:rPr>
              <w:tab/>
            </w:r>
            <w:r>
              <w:rPr>
                <w:webHidden/>
              </w:rPr>
              <w:fldChar w:fldCharType="begin"/>
            </w:r>
            <w:r>
              <w:rPr>
                <w:webHidden/>
              </w:rPr>
              <w:instrText xml:space="preserve"> PAGEREF _Toc233378686 \h </w:instrText>
            </w:r>
            <w:r>
              <w:rPr>
                <w:webHidden/>
              </w:rPr>
            </w:r>
            <w:r>
              <w:rPr>
                <w:webHidden/>
              </w:rPr>
              <w:fldChar w:fldCharType="separate"/>
            </w:r>
            <w:r>
              <w:rPr>
                <w:webHidden/>
              </w:rPr>
              <w:t>4</w:t>
            </w:r>
            <w:r>
              <w:rPr>
                <w:webHidden/>
              </w:rPr>
              <w:fldChar w:fldCharType="end"/>
            </w:r>
          </w:hyperlink>
        </w:p>
        <w:p w14:paraId="679F360D" w14:textId="2EC7C7FC" w:rsidR="003709C9" w:rsidRDefault="003709C9">
          <w:pPr>
            <w:pStyle w:val="TOC2"/>
            <w:tabs>
              <w:tab w:val="left" w:pos="1200"/>
            </w:tabs>
            <w:rPr>
              <w:rFonts w:eastAsiaTheme="minorEastAsia"/>
              <w:kern w:val="2"/>
              <w:sz w:val="24"/>
              <w:szCs w:val="24"/>
              <w:lang w:eastAsia="en-AU"/>
              <w14:ligatures w14:val="standardContextual"/>
            </w:rPr>
          </w:pPr>
          <w:hyperlink w:anchor="_Toc233378687" w:history="1">
            <w:r w:rsidRPr="00630BB7">
              <w:rPr>
                <w:rStyle w:val="Hyperlink"/>
                <w:lang w:eastAsia="ja-JP"/>
              </w:rPr>
              <w:t>2.2</w:t>
            </w:r>
            <w:r>
              <w:rPr>
                <w:rFonts w:eastAsiaTheme="minorEastAsia"/>
                <w:kern w:val="2"/>
                <w:sz w:val="24"/>
                <w:szCs w:val="24"/>
                <w:lang w:eastAsia="en-AU"/>
                <w14:ligatures w14:val="standardContextual"/>
              </w:rPr>
              <w:tab/>
            </w:r>
            <w:r w:rsidRPr="00630BB7">
              <w:rPr>
                <w:rStyle w:val="Hyperlink"/>
                <w:lang w:eastAsia="ja-JP"/>
              </w:rPr>
              <w:t>Statutory authority to charge</w:t>
            </w:r>
            <w:r>
              <w:rPr>
                <w:webHidden/>
              </w:rPr>
              <w:tab/>
            </w:r>
            <w:r>
              <w:rPr>
                <w:webHidden/>
              </w:rPr>
              <w:fldChar w:fldCharType="begin"/>
            </w:r>
            <w:r>
              <w:rPr>
                <w:webHidden/>
              </w:rPr>
              <w:instrText xml:space="preserve"> PAGEREF _Toc233378687 \h </w:instrText>
            </w:r>
            <w:r>
              <w:rPr>
                <w:webHidden/>
              </w:rPr>
            </w:r>
            <w:r>
              <w:rPr>
                <w:webHidden/>
              </w:rPr>
              <w:fldChar w:fldCharType="separate"/>
            </w:r>
            <w:r>
              <w:rPr>
                <w:webHidden/>
              </w:rPr>
              <w:t>6</w:t>
            </w:r>
            <w:r>
              <w:rPr>
                <w:webHidden/>
              </w:rPr>
              <w:fldChar w:fldCharType="end"/>
            </w:r>
          </w:hyperlink>
        </w:p>
        <w:p w14:paraId="61E9920C" w14:textId="31E64BE3" w:rsidR="003709C9" w:rsidRDefault="003709C9">
          <w:pPr>
            <w:pStyle w:val="TOC1"/>
            <w:rPr>
              <w:rFonts w:eastAsiaTheme="minorEastAsia"/>
              <w:b w:val="0"/>
              <w:kern w:val="2"/>
              <w:sz w:val="24"/>
              <w:szCs w:val="24"/>
              <w:lang w:eastAsia="en-AU"/>
              <w14:ligatures w14:val="standardContextual"/>
            </w:rPr>
          </w:pPr>
          <w:hyperlink w:anchor="_Toc233378688" w:history="1">
            <w:r w:rsidRPr="00630BB7">
              <w:rPr>
                <w:rStyle w:val="Hyperlink"/>
              </w:rPr>
              <w:t>3</w:t>
            </w:r>
            <w:r>
              <w:rPr>
                <w:rFonts w:eastAsiaTheme="minorEastAsia"/>
                <w:b w:val="0"/>
                <w:kern w:val="2"/>
                <w:sz w:val="24"/>
                <w:szCs w:val="24"/>
                <w:lang w:eastAsia="en-AU"/>
                <w14:ligatures w14:val="standardContextual"/>
              </w:rPr>
              <w:tab/>
            </w:r>
            <w:r w:rsidRPr="00630BB7">
              <w:rPr>
                <w:rStyle w:val="Hyperlink"/>
              </w:rPr>
              <w:t>Regulatory (cost recovery) charging model</w:t>
            </w:r>
            <w:r>
              <w:rPr>
                <w:webHidden/>
              </w:rPr>
              <w:tab/>
            </w:r>
            <w:r>
              <w:rPr>
                <w:webHidden/>
              </w:rPr>
              <w:fldChar w:fldCharType="begin"/>
            </w:r>
            <w:r>
              <w:rPr>
                <w:webHidden/>
              </w:rPr>
              <w:instrText xml:space="preserve"> PAGEREF _Toc233378688 \h </w:instrText>
            </w:r>
            <w:r>
              <w:rPr>
                <w:webHidden/>
              </w:rPr>
            </w:r>
            <w:r>
              <w:rPr>
                <w:webHidden/>
              </w:rPr>
              <w:fldChar w:fldCharType="separate"/>
            </w:r>
            <w:r>
              <w:rPr>
                <w:webHidden/>
              </w:rPr>
              <w:t>8</w:t>
            </w:r>
            <w:r>
              <w:rPr>
                <w:webHidden/>
              </w:rPr>
              <w:fldChar w:fldCharType="end"/>
            </w:r>
          </w:hyperlink>
        </w:p>
        <w:p w14:paraId="5894C3D4" w14:textId="1788336B" w:rsidR="003709C9" w:rsidRDefault="003709C9">
          <w:pPr>
            <w:pStyle w:val="TOC2"/>
            <w:tabs>
              <w:tab w:val="left" w:pos="1200"/>
            </w:tabs>
            <w:rPr>
              <w:rFonts w:eastAsiaTheme="minorEastAsia"/>
              <w:kern w:val="2"/>
              <w:sz w:val="24"/>
              <w:szCs w:val="24"/>
              <w:lang w:eastAsia="en-AU"/>
              <w14:ligatures w14:val="standardContextual"/>
            </w:rPr>
          </w:pPr>
          <w:hyperlink w:anchor="_Toc233378689" w:history="1">
            <w:r w:rsidRPr="00630BB7">
              <w:rPr>
                <w:rStyle w:val="Hyperlink"/>
                <w:lang w:eastAsia="ja-JP"/>
              </w:rPr>
              <w:t>3.1</w:t>
            </w:r>
            <w:r>
              <w:rPr>
                <w:rFonts w:eastAsiaTheme="minorEastAsia"/>
                <w:kern w:val="2"/>
                <w:sz w:val="24"/>
                <w:szCs w:val="24"/>
                <w:lang w:eastAsia="en-AU"/>
                <w14:ligatures w14:val="standardContextual"/>
              </w:rPr>
              <w:tab/>
            </w:r>
            <w:r w:rsidRPr="00630BB7">
              <w:rPr>
                <w:rStyle w:val="Hyperlink"/>
                <w:lang w:eastAsia="ja-JP"/>
              </w:rPr>
              <w:t>Outputs and business processes of cost recovery</w:t>
            </w:r>
            <w:r>
              <w:rPr>
                <w:webHidden/>
              </w:rPr>
              <w:tab/>
            </w:r>
            <w:r>
              <w:rPr>
                <w:webHidden/>
              </w:rPr>
              <w:fldChar w:fldCharType="begin"/>
            </w:r>
            <w:r>
              <w:rPr>
                <w:webHidden/>
              </w:rPr>
              <w:instrText xml:space="preserve"> PAGEREF _Toc233378689 \h </w:instrText>
            </w:r>
            <w:r>
              <w:rPr>
                <w:webHidden/>
              </w:rPr>
            </w:r>
            <w:r>
              <w:rPr>
                <w:webHidden/>
              </w:rPr>
              <w:fldChar w:fldCharType="separate"/>
            </w:r>
            <w:r>
              <w:rPr>
                <w:webHidden/>
              </w:rPr>
              <w:t>8</w:t>
            </w:r>
            <w:r>
              <w:rPr>
                <w:webHidden/>
              </w:rPr>
              <w:fldChar w:fldCharType="end"/>
            </w:r>
          </w:hyperlink>
        </w:p>
        <w:p w14:paraId="5E298450" w14:textId="4CE140D0" w:rsidR="003709C9" w:rsidRDefault="003709C9">
          <w:pPr>
            <w:pStyle w:val="TOC2"/>
            <w:tabs>
              <w:tab w:val="left" w:pos="1200"/>
            </w:tabs>
            <w:rPr>
              <w:rFonts w:eastAsiaTheme="minorEastAsia"/>
              <w:kern w:val="2"/>
              <w:sz w:val="24"/>
              <w:szCs w:val="24"/>
              <w:lang w:eastAsia="en-AU"/>
              <w14:ligatures w14:val="standardContextual"/>
            </w:rPr>
          </w:pPr>
          <w:hyperlink w:anchor="_Toc233378690" w:history="1">
            <w:r w:rsidRPr="00630BB7">
              <w:rPr>
                <w:rStyle w:val="Hyperlink"/>
                <w:lang w:eastAsia="ja-JP"/>
              </w:rPr>
              <w:t>3.2</w:t>
            </w:r>
            <w:r>
              <w:rPr>
                <w:rFonts w:eastAsiaTheme="minorEastAsia"/>
                <w:kern w:val="2"/>
                <w:sz w:val="24"/>
                <w:szCs w:val="24"/>
                <w:lang w:eastAsia="en-AU"/>
                <w14:ligatures w14:val="standardContextual"/>
              </w:rPr>
              <w:tab/>
            </w:r>
            <w:r w:rsidRPr="00630BB7">
              <w:rPr>
                <w:rStyle w:val="Hyperlink"/>
                <w:lang w:eastAsia="ja-JP"/>
              </w:rPr>
              <w:t>Cost of the regulatory activity</w:t>
            </w:r>
            <w:r>
              <w:rPr>
                <w:webHidden/>
              </w:rPr>
              <w:tab/>
            </w:r>
            <w:r>
              <w:rPr>
                <w:webHidden/>
              </w:rPr>
              <w:fldChar w:fldCharType="begin"/>
            </w:r>
            <w:r>
              <w:rPr>
                <w:webHidden/>
              </w:rPr>
              <w:instrText xml:space="preserve"> PAGEREF _Toc233378690 \h </w:instrText>
            </w:r>
            <w:r>
              <w:rPr>
                <w:webHidden/>
              </w:rPr>
            </w:r>
            <w:r>
              <w:rPr>
                <w:webHidden/>
              </w:rPr>
              <w:fldChar w:fldCharType="separate"/>
            </w:r>
            <w:r>
              <w:rPr>
                <w:webHidden/>
              </w:rPr>
              <w:t>10</w:t>
            </w:r>
            <w:r>
              <w:rPr>
                <w:webHidden/>
              </w:rPr>
              <w:fldChar w:fldCharType="end"/>
            </w:r>
          </w:hyperlink>
        </w:p>
        <w:p w14:paraId="79C5EB44" w14:textId="6EC7B17F" w:rsidR="003709C9" w:rsidRDefault="003709C9">
          <w:pPr>
            <w:pStyle w:val="TOC2"/>
            <w:tabs>
              <w:tab w:val="left" w:pos="1200"/>
            </w:tabs>
            <w:rPr>
              <w:rFonts w:eastAsiaTheme="minorEastAsia"/>
              <w:kern w:val="2"/>
              <w:sz w:val="24"/>
              <w:szCs w:val="24"/>
              <w:lang w:eastAsia="en-AU"/>
              <w14:ligatures w14:val="standardContextual"/>
            </w:rPr>
          </w:pPr>
          <w:hyperlink w:anchor="_Toc233378691" w:history="1">
            <w:r w:rsidRPr="00630BB7">
              <w:rPr>
                <w:rStyle w:val="Hyperlink"/>
                <w:lang w:eastAsia="ja-JP"/>
              </w:rPr>
              <w:t>3.3</w:t>
            </w:r>
            <w:r>
              <w:rPr>
                <w:rFonts w:eastAsiaTheme="minorEastAsia"/>
                <w:kern w:val="2"/>
                <w:sz w:val="24"/>
                <w:szCs w:val="24"/>
                <w:lang w:eastAsia="en-AU"/>
                <w14:ligatures w14:val="standardContextual"/>
              </w:rPr>
              <w:tab/>
            </w:r>
            <w:r w:rsidRPr="00630BB7">
              <w:rPr>
                <w:rStyle w:val="Hyperlink"/>
                <w:lang w:eastAsia="ja-JP"/>
              </w:rPr>
              <w:t>Cost drivers</w:t>
            </w:r>
            <w:r>
              <w:rPr>
                <w:webHidden/>
              </w:rPr>
              <w:tab/>
            </w:r>
            <w:r>
              <w:rPr>
                <w:webHidden/>
              </w:rPr>
              <w:fldChar w:fldCharType="begin"/>
            </w:r>
            <w:r>
              <w:rPr>
                <w:webHidden/>
              </w:rPr>
              <w:instrText xml:space="preserve"> PAGEREF _Toc233378691 \h </w:instrText>
            </w:r>
            <w:r>
              <w:rPr>
                <w:webHidden/>
              </w:rPr>
            </w:r>
            <w:r>
              <w:rPr>
                <w:webHidden/>
              </w:rPr>
              <w:fldChar w:fldCharType="separate"/>
            </w:r>
            <w:r>
              <w:rPr>
                <w:webHidden/>
              </w:rPr>
              <w:t>11</w:t>
            </w:r>
            <w:r>
              <w:rPr>
                <w:webHidden/>
              </w:rPr>
              <w:fldChar w:fldCharType="end"/>
            </w:r>
          </w:hyperlink>
        </w:p>
        <w:p w14:paraId="38DF99B9" w14:textId="2DF0C187" w:rsidR="003709C9" w:rsidRDefault="003709C9">
          <w:pPr>
            <w:pStyle w:val="TOC2"/>
            <w:tabs>
              <w:tab w:val="left" w:pos="1200"/>
            </w:tabs>
            <w:rPr>
              <w:rFonts w:eastAsiaTheme="minorEastAsia"/>
              <w:kern w:val="2"/>
              <w:sz w:val="24"/>
              <w:szCs w:val="24"/>
              <w:lang w:eastAsia="en-AU"/>
              <w14:ligatures w14:val="standardContextual"/>
            </w:rPr>
          </w:pPr>
          <w:hyperlink w:anchor="_Toc233378692" w:history="1">
            <w:r w:rsidRPr="00630BB7">
              <w:rPr>
                <w:rStyle w:val="Hyperlink"/>
                <w:lang w:eastAsia="ja-JP"/>
              </w:rPr>
              <w:t>3.4</w:t>
            </w:r>
            <w:r>
              <w:rPr>
                <w:rFonts w:eastAsiaTheme="minorEastAsia"/>
                <w:kern w:val="2"/>
                <w:sz w:val="24"/>
                <w:szCs w:val="24"/>
                <w:lang w:eastAsia="en-AU"/>
                <w14:ligatures w14:val="standardContextual"/>
              </w:rPr>
              <w:tab/>
            </w:r>
            <w:r w:rsidRPr="00630BB7">
              <w:rPr>
                <w:rStyle w:val="Hyperlink"/>
                <w:lang w:eastAsia="ja-JP"/>
              </w:rPr>
              <w:t>Output volume assumptions</w:t>
            </w:r>
            <w:r>
              <w:rPr>
                <w:webHidden/>
              </w:rPr>
              <w:tab/>
            </w:r>
            <w:r>
              <w:rPr>
                <w:webHidden/>
              </w:rPr>
              <w:fldChar w:fldCharType="begin"/>
            </w:r>
            <w:r>
              <w:rPr>
                <w:webHidden/>
              </w:rPr>
              <w:instrText xml:space="preserve"> PAGEREF _Toc233378692 \h </w:instrText>
            </w:r>
            <w:r>
              <w:rPr>
                <w:webHidden/>
              </w:rPr>
            </w:r>
            <w:r>
              <w:rPr>
                <w:webHidden/>
              </w:rPr>
              <w:fldChar w:fldCharType="separate"/>
            </w:r>
            <w:r>
              <w:rPr>
                <w:webHidden/>
              </w:rPr>
              <w:t>12</w:t>
            </w:r>
            <w:r>
              <w:rPr>
                <w:webHidden/>
              </w:rPr>
              <w:fldChar w:fldCharType="end"/>
            </w:r>
          </w:hyperlink>
        </w:p>
        <w:p w14:paraId="75191829" w14:textId="2BA19FF4" w:rsidR="003709C9" w:rsidRDefault="003709C9">
          <w:pPr>
            <w:pStyle w:val="TOC2"/>
            <w:tabs>
              <w:tab w:val="left" w:pos="1200"/>
            </w:tabs>
            <w:rPr>
              <w:rFonts w:eastAsiaTheme="minorEastAsia"/>
              <w:kern w:val="2"/>
              <w:sz w:val="24"/>
              <w:szCs w:val="24"/>
              <w:lang w:eastAsia="en-AU"/>
              <w14:ligatures w14:val="standardContextual"/>
            </w:rPr>
          </w:pPr>
          <w:hyperlink w:anchor="_Toc233378693" w:history="1">
            <w:r w:rsidRPr="00630BB7">
              <w:rPr>
                <w:rStyle w:val="Hyperlink"/>
                <w:lang w:eastAsia="ja-JP"/>
              </w:rPr>
              <w:t>3.5</w:t>
            </w:r>
            <w:r>
              <w:rPr>
                <w:rFonts w:eastAsiaTheme="minorEastAsia"/>
                <w:kern w:val="2"/>
                <w:sz w:val="24"/>
                <w:szCs w:val="24"/>
                <w:lang w:eastAsia="en-AU"/>
                <w14:ligatures w14:val="standardContextual"/>
              </w:rPr>
              <w:tab/>
            </w:r>
            <w:r w:rsidRPr="00630BB7">
              <w:rPr>
                <w:rStyle w:val="Hyperlink"/>
                <w:lang w:eastAsia="ja-JP"/>
              </w:rPr>
              <w:t>Design of regulatory charges</w:t>
            </w:r>
            <w:r>
              <w:rPr>
                <w:webHidden/>
              </w:rPr>
              <w:tab/>
            </w:r>
            <w:r>
              <w:rPr>
                <w:webHidden/>
              </w:rPr>
              <w:fldChar w:fldCharType="begin"/>
            </w:r>
            <w:r>
              <w:rPr>
                <w:webHidden/>
              </w:rPr>
              <w:instrText xml:space="preserve"> PAGEREF _Toc233378693 \h </w:instrText>
            </w:r>
            <w:r>
              <w:rPr>
                <w:webHidden/>
              </w:rPr>
            </w:r>
            <w:r>
              <w:rPr>
                <w:webHidden/>
              </w:rPr>
              <w:fldChar w:fldCharType="separate"/>
            </w:r>
            <w:r>
              <w:rPr>
                <w:webHidden/>
              </w:rPr>
              <w:t>12</w:t>
            </w:r>
            <w:r>
              <w:rPr>
                <w:webHidden/>
              </w:rPr>
              <w:fldChar w:fldCharType="end"/>
            </w:r>
          </w:hyperlink>
        </w:p>
        <w:p w14:paraId="5EC0C172" w14:textId="02888DDE" w:rsidR="003709C9" w:rsidRDefault="003709C9">
          <w:pPr>
            <w:pStyle w:val="TOC1"/>
            <w:rPr>
              <w:rFonts w:eastAsiaTheme="minorEastAsia"/>
              <w:b w:val="0"/>
              <w:kern w:val="2"/>
              <w:sz w:val="24"/>
              <w:szCs w:val="24"/>
              <w:lang w:eastAsia="en-AU"/>
              <w14:ligatures w14:val="standardContextual"/>
            </w:rPr>
          </w:pPr>
          <w:hyperlink w:anchor="_Toc233378694" w:history="1">
            <w:r w:rsidRPr="00630BB7">
              <w:rPr>
                <w:rStyle w:val="Hyperlink"/>
              </w:rPr>
              <w:t>4</w:t>
            </w:r>
            <w:r>
              <w:rPr>
                <w:rFonts w:eastAsiaTheme="minorEastAsia"/>
                <w:b w:val="0"/>
                <w:kern w:val="2"/>
                <w:sz w:val="24"/>
                <w:szCs w:val="24"/>
                <w:lang w:eastAsia="en-AU"/>
                <w14:ligatures w14:val="standardContextual"/>
              </w:rPr>
              <w:tab/>
            </w:r>
            <w:r w:rsidRPr="00630BB7">
              <w:rPr>
                <w:rStyle w:val="Hyperlink"/>
              </w:rPr>
              <w:t>Changes to regulatory charging in 2026–27</w:t>
            </w:r>
            <w:r>
              <w:rPr>
                <w:webHidden/>
              </w:rPr>
              <w:tab/>
            </w:r>
            <w:r>
              <w:rPr>
                <w:webHidden/>
              </w:rPr>
              <w:fldChar w:fldCharType="begin"/>
            </w:r>
            <w:r>
              <w:rPr>
                <w:webHidden/>
              </w:rPr>
              <w:instrText xml:space="preserve"> PAGEREF _Toc233378694 \h </w:instrText>
            </w:r>
            <w:r>
              <w:rPr>
                <w:webHidden/>
              </w:rPr>
            </w:r>
            <w:r>
              <w:rPr>
                <w:webHidden/>
              </w:rPr>
              <w:fldChar w:fldCharType="separate"/>
            </w:r>
            <w:r>
              <w:rPr>
                <w:webHidden/>
              </w:rPr>
              <w:t>20</w:t>
            </w:r>
            <w:r>
              <w:rPr>
                <w:webHidden/>
              </w:rPr>
              <w:fldChar w:fldCharType="end"/>
            </w:r>
          </w:hyperlink>
        </w:p>
        <w:p w14:paraId="23CA29A1" w14:textId="4B9A04AE" w:rsidR="003709C9" w:rsidRDefault="003709C9">
          <w:pPr>
            <w:pStyle w:val="TOC2"/>
            <w:tabs>
              <w:tab w:val="left" w:pos="1200"/>
            </w:tabs>
            <w:rPr>
              <w:rFonts w:eastAsiaTheme="minorEastAsia"/>
              <w:kern w:val="2"/>
              <w:sz w:val="24"/>
              <w:szCs w:val="24"/>
              <w:lang w:eastAsia="en-AU"/>
              <w14:ligatures w14:val="standardContextual"/>
            </w:rPr>
          </w:pPr>
          <w:hyperlink w:anchor="_Toc233378695" w:history="1">
            <w:r w:rsidRPr="00630BB7">
              <w:rPr>
                <w:rStyle w:val="Hyperlink"/>
                <w:lang w:eastAsia="ja-JP"/>
              </w:rPr>
              <w:t>4.1</w:t>
            </w:r>
            <w:r>
              <w:rPr>
                <w:rFonts w:eastAsiaTheme="minorEastAsia"/>
                <w:kern w:val="2"/>
                <w:sz w:val="24"/>
                <w:szCs w:val="24"/>
                <w:lang w:eastAsia="en-AU"/>
                <w14:ligatures w14:val="standardContextual"/>
              </w:rPr>
              <w:tab/>
            </w:r>
            <w:r w:rsidRPr="00630BB7">
              <w:rPr>
                <w:rStyle w:val="Hyperlink"/>
                <w:lang w:eastAsia="ja-JP"/>
              </w:rPr>
              <w:t>New charges for live snails housed at PEQ</w:t>
            </w:r>
            <w:r>
              <w:rPr>
                <w:webHidden/>
              </w:rPr>
              <w:tab/>
            </w:r>
            <w:r>
              <w:rPr>
                <w:webHidden/>
              </w:rPr>
              <w:fldChar w:fldCharType="begin"/>
            </w:r>
            <w:r>
              <w:rPr>
                <w:webHidden/>
              </w:rPr>
              <w:instrText xml:space="preserve"> PAGEREF _Toc233378695 \h </w:instrText>
            </w:r>
            <w:r>
              <w:rPr>
                <w:webHidden/>
              </w:rPr>
            </w:r>
            <w:r>
              <w:rPr>
                <w:webHidden/>
              </w:rPr>
              <w:fldChar w:fldCharType="separate"/>
            </w:r>
            <w:r>
              <w:rPr>
                <w:webHidden/>
              </w:rPr>
              <w:t>20</w:t>
            </w:r>
            <w:r>
              <w:rPr>
                <w:webHidden/>
              </w:rPr>
              <w:fldChar w:fldCharType="end"/>
            </w:r>
          </w:hyperlink>
        </w:p>
        <w:p w14:paraId="1DABB898" w14:textId="4F24C028" w:rsidR="003709C9" w:rsidRDefault="003709C9">
          <w:pPr>
            <w:pStyle w:val="TOC2"/>
            <w:tabs>
              <w:tab w:val="left" w:pos="1200"/>
            </w:tabs>
            <w:rPr>
              <w:rFonts w:eastAsiaTheme="minorEastAsia"/>
              <w:kern w:val="2"/>
              <w:sz w:val="24"/>
              <w:szCs w:val="24"/>
              <w:lang w:eastAsia="en-AU"/>
              <w14:ligatures w14:val="standardContextual"/>
            </w:rPr>
          </w:pPr>
          <w:hyperlink w:anchor="_Toc233378696" w:history="1">
            <w:r w:rsidRPr="00630BB7">
              <w:rPr>
                <w:rStyle w:val="Hyperlink"/>
              </w:rPr>
              <w:t>4.2</w:t>
            </w:r>
            <w:r>
              <w:rPr>
                <w:rFonts w:eastAsiaTheme="minorEastAsia"/>
                <w:kern w:val="2"/>
                <w:sz w:val="24"/>
                <w:szCs w:val="24"/>
                <w:lang w:eastAsia="en-AU"/>
                <w14:ligatures w14:val="standardContextual"/>
              </w:rPr>
              <w:tab/>
            </w:r>
            <w:r w:rsidRPr="00630BB7">
              <w:rPr>
                <w:rStyle w:val="Hyperlink"/>
              </w:rPr>
              <w:t>Clarity on cost recovery for avians</w:t>
            </w:r>
            <w:r>
              <w:rPr>
                <w:webHidden/>
              </w:rPr>
              <w:tab/>
            </w:r>
            <w:r>
              <w:rPr>
                <w:webHidden/>
              </w:rPr>
              <w:fldChar w:fldCharType="begin"/>
            </w:r>
            <w:r>
              <w:rPr>
                <w:webHidden/>
              </w:rPr>
              <w:instrText xml:space="preserve"> PAGEREF _Toc233378696 \h </w:instrText>
            </w:r>
            <w:r>
              <w:rPr>
                <w:webHidden/>
              </w:rPr>
            </w:r>
            <w:r>
              <w:rPr>
                <w:webHidden/>
              </w:rPr>
              <w:fldChar w:fldCharType="separate"/>
            </w:r>
            <w:r>
              <w:rPr>
                <w:webHidden/>
              </w:rPr>
              <w:t>21</w:t>
            </w:r>
            <w:r>
              <w:rPr>
                <w:webHidden/>
              </w:rPr>
              <w:fldChar w:fldCharType="end"/>
            </w:r>
          </w:hyperlink>
        </w:p>
        <w:p w14:paraId="5FD54E0C" w14:textId="44D1ACD6" w:rsidR="003709C9" w:rsidRDefault="003709C9">
          <w:pPr>
            <w:pStyle w:val="TOC2"/>
            <w:tabs>
              <w:tab w:val="left" w:pos="1200"/>
            </w:tabs>
            <w:rPr>
              <w:rFonts w:eastAsiaTheme="minorEastAsia"/>
              <w:kern w:val="2"/>
              <w:sz w:val="24"/>
              <w:szCs w:val="24"/>
              <w:lang w:eastAsia="en-AU"/>
              <w14:ligatures w14:val="standardContextual"/>
            </w:rPr>
          </w:pPr>
          <w:hyperlink w:anchor="_Toc233378697" w:history="1">
            <w:r w:rsidRPr="00630BB7">
              <w:rPr>
                <w:rStyle w:val="Hyperlink"/>
                <w:rFonts w:eastAsia="Calibri"/>
              </w:rPr>
              <w:t>4.3</w:t>
            </w:r>
            <w:r>
              <w:rPr>
                <w:rFonts w:eastAsiaTheme="minorEastAsia"/>
                <w:kern w:val="2"/>
                <w:sz w:val="24"/>
                <w:szCs w:val="24"/>
                <w:lang w:eastAsia="en-AU"/>
                <w14:ligatures w14:val="standardContextual"/>
              </w:rPr>
              <w:tab/>
            </w:r>
            <w:r w:rsidRPr="00630BB7">
              <w:rPr>
                <w:rStyle w:val="Hyperlink"/>
                <w:rFonts w:eastAsia="Calibri"/>
              </w:rPr>
              <w:t>Removing redundant provisions in legislation</w:t>
            </w:r>
            <w:r>
              <w:rPr>
                <w:webHidden/>
              </w:rPr>
              <w:tab/>
            </w:r>
            <w:r>
              <w:rPr>
                <w:webHidden/>
              </w:rPr>
              <w:fldChar w:fldCharType="begin"/>
            </w:r>
            <w:r>
              <w:rPr>
                <w:webHidden/>
              </w:rPr>
              <w:instrText xml:space="preserve"> PAGEREF _Toc233378697 \h </w:instrText>
            </w:r>
            <w:r>
              <w:rPr>
                <w:webHidden/>
              </w:rPr>
            </w:r>
            <w:r>
              <w:rPr>
                <w:webHidden/>
              </w:rPr>
              <w:fldChar w:fldCharType="separate"/>
            </w:r>
            <w:r>
              <w:rPr>
                <w:webHidden/>
              </w:rPr>
              <w:t>21</w:t>
            </w:r>
            <w:r>
              <w:rPr>
                <w:webHidden/>
              </w:rPr>
              <w:fldChar w:fldCharType="end"/>
            </w:r>
          </w:hyperlink>
        </w:p>
        <w:p w14:paraId="1520105B" w14:textId="4D90D533" w:rsidR="003709C9" w:rsidRDefault="003709C9">
          <w:pPr>
            <w:pStyle w:val="TOC1"/>
            <w:rPr>
              <w:rFonts w:eastAsiaTheme="minorEastAsia"/>
              <w:b w:val="0"/>
              <w:kern w:val="2"/>
              <w:sz w:val="24"/>
              <w:szCs w:val="24"/>
              <w:lang w:eastAsia="en-AU"/>
              <w14:ligatures w14:val="standardContextual"/>
            </w:rPr>
          </w:pPr>
          <w:hyperlink w:anchor="_Toc233378698" w:history="1">
            <w:r w:rsidRPr="00630BB7">
              <w:rPr>
                <w:rStyle w:val="Hyperlink"/>
              </w:rPr>
              <w:t>5</w:t>
            </w:r>
            <w:r>
              <w:rPr>
                <w:rFonts w:eastAsiaTheme="minorEastAsia"/>
                <w:b w:val="0"/>
                <w:kern w:val="2"/>
                <w:sz w:val="24"/>
                <w:szCs w:val="24"/>
                <w:lang w:eastAsia="en-AU"/>
                <w14:ligatures w14:val="standardContextual"/>
              </w:rPr>
              <w:tab/>
            </w:r>
            <w:r w:rsidRPr="00630BB7">
              <w:rPr>
                <w:rStyle w:val="Hyperlink"/>
              </w:rPr>
              <w:t>Risk assessment</w:t>
            </w:r>
            <w:r>
              <w:rPr>
                <w:webHidden/>
              </w:rPr>
              <w:tab/>
            </w:r>
            <w:r>
              <w:rPr>
                <w:webHidden/>
              </w:rPr>
              <w:fldChar w:fldCharType="begin"/>
            </w:r>
            <w:r>
              <w:rPr>
                <w:webHidden/>
              </w:rPr>
              <w:instrText xml:space="preserve"> PAGEREF _Toc233378698 \h </w:instrText>
            </w:r>
            <w:r>
              <w:rPr>
                <w:webHidden/>
              </w:rPr>
            </w:r>
            <w:r>
              <w:rPr>
                <w:webHidden/>
              </w:rPr>
              <w:fldChar w:fldCharType="separate"/>
            </w:r>
            <w:r>
              <w:rPr>
                <w:webHidden/>
              </w:rPr>
              <w:t>28</w:t>
            </w:r>
            <w:r>
              <w:rPr>
                <w:webHidden/>
              </w:rPr>
              <w:fldChar w:fldCharType="end"/>
            </w:r>
          </w:hyperlink>
        </w:p>
        <w:p w14:paraId="0A203F6A" w14:textId="3928029E" w:rsidR="003709C9" w:rsidRDefault="003709C9">
          <w:pPr>
            <w:pStyle w:val="TOC2"/>
            <w:tabs>
              <w:tab w:val="left" w:pos="1200"/>
            </w:tabs>
            <w:rPr>
              <w:rFonts w:eastAsiaTheme="minorEastAsia"/>
              <w:kern w:val="2"/>
              <w:sz w:val="24"/>
              <w:szCs w:val="24"/>
              <w:lang w:eastAsia="en-AU"/>
              <w14:ligatures w14:val="standardContextual"/>
            </w:rPr>
          </w:pPr>
          <w:hyperlink w:anchor="_Toc233378699" w:history="1">
            <w:r w:rsidRPr="00630BB7">
              <w:rPr>
                <w:rStyle w:val="Hyperlink"/>
              </w:rPr>
              <w:t>5.1</w:t>
            </w:r>
            <w:r>
              <w:rPr>
                <w:rFonts w:eastAsiaTheme="minorEastAsia"/>
                <w:kern w:val="2"/>
                <w:sz w:val="24"/>
                <w:szCs w:val="24"/>
                <w:lang w:eastAsia="en-AU"/>
                <w14:ligatures w14:val="standardContextual"/>
              </w:rPr>
              <w:tab/>
            </w:r>
            <w:r w:rsidRPr="00630BB7">
              <w:rPr>
                <w:rStyle w:val="Hyperlink"/>
              </w:rPr>
              <w:t>Charging risk assessment and mitigation</w:t>
            </w:r>
            <w:r>
              <w:rPr>
                <w:webHidden/>
              </w:rPr>
              <w:tab/>
            </w:r>
            <w:r>
              <w:rPr>
                <w:webHidden/>
              </w:rPr>
              <w:fldChar w:fldCharType="begin"/>
            </w:r>
            <w:r>
              <w:rPr>
                <w:webHidden/>
              </w:rPr>
              <w:instrText xml:space="preserve"> PAGEREF _Toc233378699 \h </w:instrText>
            </w:r>
            <w:r>
              <w:rPr>
                <w:webHidden/>
              </w:rPr>
            </w:r>
            <w:r>
              <w:rPr>
                <w:webHidden/>
              </w:rPr>
              <w:fldChar w:fldCharType="separate"/>
            </w:r>
            <w:r>
              <w:rPr>
                <w:webHidden/>
              </w:rPr>
              <w:t>28</w:t>
            </w:r>
            <w:r>
              <w:rPr>
                <w:webHidden/>
              </w:rPr>
              <w:fldChar w:fldCharType="end"/>
            </w:r>
          </w:hyperlink>
        </w:p>
        <w:p w14:paraId="122D7C82" w14:textId="49DE6320" w:rsidR="003709C9" w:rsidRDefault="003709C9">
          <w:pPr>
            <w:pStyle w:val="TOC2"/>
            <w:tabs>
              <w:tab w:val="left" w:pos="1200"/>
            </w:tabs>
            <w:rPr>
              <w:rFonts w:eastAsiaTheme="minorEastAsia"/>
              <w:kern w:val="2"/>
              <w:sz w:val="24"/>
              <w:szCs w:val="24"/>
              <w:lang w:eastAsia="en-AU"/>
              <w14:ligatures w14:val="standardContextual"/>
            </w:rPr>
          </w:pPr>
          <w:hyperlink w:anchor="_Toc233378700" w:history="1">
            <w:r w:rsidRPr="00630BB7">
              <w:rPr>
                <w:rStyle w:val="Hyperlink"/>
              </w:rPr>
              <w:t>5.2</w:t>
            </w:r>
            <w:r>
              <w:rPr>
                <w:rFonts w:eastAsiaTheme="minorEastAsia"/>
                <w:kern w:val="2"/>
                <w:sz w:val="24"/>
                <w:szCs w:val="24"/>
                <w:lang w:eastAsia="en-AU"/>
                <w14:ligatures w14:val="standardContextual"/>
              </w:rPr>
              <w:tab/>
            </w:r>
            <w:r w:rsidRPr="00630BB7">
              <w:rPr>
                <w:rStyle w:val="Hyperlink"/>
              </w:rPr>
              <w:t>Management of accumulated balances and under- or over-recovery</w:t>
            </w:r>
            <w:r>
              <w:rPr>
                <w:webHidden/>
              </w:rPr>
              <w:tab/>
            </w:r>
            <w:r>
              <w:rPr>
                <w:webHidden/>
              </w:rPr>
              <w:fldChar w:fldCharType="begin"/>
            </w:r>
            <w:r>
              <w:rPr>
                <w:webHidden/>
              </w:rPr>
              <w:instrText xml:space="preserve"> PAGEREF _Toc233378700 \h </w:instrText>
            </w:r>
            <w:r>
              <w:rPr>
                <w:webHidden/>
              </w:rPr>
            </w:r>
            <w:r>
              <w:rPr>
                <w:webHidden/>
              </w:rPr>
              <w:fldChar w:fldCharType="separate"/>
            </w:r>
            <w:r>
              <w:rPr>
                <w:webHidden/>
              </w:rPr>
              <w:t>28</w:t>
            </w:r>
            <w:r>
              <w:rPr>
                <w:webHidden/>
              </w:rPr>
              <w:fldChar w:fldCharType="end"/>
            </w:r>
          </w:hyperlink>
        </w:p>
        <w:p w14:paraId="760E4723" w14:textId="1DBAB03F" w:rsidR="003709C9" w:rsidRDefault="003709C9">
          <w:pPr>
            <w:pStyle w:val="TOC1"/>
            <w:rPr>
              <w:rFonts w:eastAsiaTheme="minorEastAsia"/>
              <w:b w:val="0"/>
              <w:kern w:val="2"/>
              <w:sz w:val="24"/>
              <w:szCs w:val="24"/>
              <w:lang w:eastAsia="en-AU"/>
              <w14:ligatures w14:val="standardContextual"/>
            </w:rPr>
          </w:pPr>
          <w:hyperlink w:anchor="_Toc233378701" w:history="1">
            <w:r w:rsidRPr="00630BB7">
              <w:rPr>
                <w:rStyle w:val="Hyperlink"/>
              </w:rPr>
              <w:t>6</w:t>
            </w:r>
            <w:r>
              <w:rPr>
                <w:rFonts w:eastAsiaTheme="minorEastAsia"/>
                <w:b w:val="0"/>
                <w:kern w:val="2"/>
                <w:sz w:val="24"/>
                <w:szCs w:val="24"/>
                <w:lang w:eastAsia="en-AU"/>
                <w14:ligatures w14:val="standardContextual"/>
              </w:rPr>
              <w:tab/>
            </w:r>
            <w:r w:rsidRPr="00630BB7">
              <w:rPr>
                <w:rStyle w:val="Hyperlink"/>
              </w:rPr>
              <w:t>Stakeholder engagement</w:t>
            </w:r>
            <w:r>
              <w:rPr>
                <w:webHidden/>
              </w:rPr>
              <w:tab/>
            </w:r>
            <w:r>
              <w:rPr>
                <w:webHidden/>
              </w:rPr>
              <w:fldChar w:fldCharType="begin"/>
            </w:r>
            <w:r>
              <w:rPr>
                <w:webHidden/>
              </w:rPr>
              <w:instrText xml:space="preserve"> PAGEREF _Toc233378701 \h </w:instrText>
            </w:r>
            <w:r>
              <w:rPr>
                <w:webHidden/>
              </w:rPr>
            </w:r>
            <w:r>
              <w:rPr>
                <w:webHidden/>
              </w:rPr>
              <w:fldChar w:fldCharType="separate"/>
            </w:r>
            <w:r>
              <w:rPr>
                <w:webHidden/>
              </w:rPr>
              <w:t>30</w:t>
            </w:r>
            <w:r>
              <w:rPr>
                <w:webHidden/>
              </w:rPr>
              <w:fldChar w:fldCharType="end"/>
            </w:r>
          </w:hyperlink>
        </w:p>
        <w:p w14:paraId="1CCC0799" w14:textId="382CF802" w:rsidR="003709C9" w:rsidRDefault="003709C9">
          <w:pPr>
            <w:pStyle w:val="TOC2"/>
            <w:tabs>
              <w:tab w:val="left" w:pos="1200"/>
            </w:tabs>
            <w:rPr>
              <w:rFonts w:eastAsiaTheme="minorEastAsia"/>
              <w:kern w:val="2"/>
              <w:sz w:val="24"/>
              <w:szCs w:val="24"/>
              <w:lang w:eastAsia="en-AU"/>
              <w14:ligatures w14:val="standardContextual"/>
            </w:rPr>
          </w:pPr>
          <w:hyperlink w:anchor="_Toc233378702" w:history="1">
            <w:r w:rsidRPr="00630BB7">
              <w:rPr>
                <w:rStyle w:val="Hyperlink"/>
                <w:rFonts w:cstheme="minorHAnsi"/>
                <w:lang w:eastAsia="ja-JP"/>
              </w:rPr>
              <w:t>6.1</w:t>
            </w:r>
            <w:r>
              <w:rPr>
                <w:rFonts w:eastAsiaTheme="minorEastAsia"/>
                <w:kern w:val="2"/>
                <w:sz w:val="24"/>
                <w:szCs w:val="24"/>
                <w:lang w:eastAsia="en-AU"/>
                <w14:ligatures w14:val="standardContextual"/>
              </w:rPr>
              <w:tab/>
            </w:r>
            <w:r w:rsidRPr="00630BB7">
              <w:rPr>
                <w:rStyle w:val="Hyperlink"/>
                <w:lang w:eastAsia="ja-JP"/>
              </w:rPr>
              <w:t>Engagement summary 2026–27</w:t>
            </w:r>
            <w:r>
              <w:rPr>
                <w:webHidden/>
              </w:rPr>
              <w:tab/>
            </w:r>
            <w:r>
              <w:rPr>
                <w:webHidden/>
              </w:rPr>
              <w:fldChar w:fldCharType="begin"/>
            </w:r>
            <w:r>
              <w:rPr>
                <w:webHidden/>
              </w:rPr>
              <w:instrText xml:space="preserve"> PAGEREF _Toc233378702 \h </w:instrText>
            </w:r>
            <w:r>
              <w:rPr>
                <w:webHidden/>
              </w:rPr>
            </w:r>
            <w:r>
              <w:rPr>
                <w:webHidden/>
              </w:rPr>
              <w:fldChar w:fldCharType="separate"/>
            </w:r>
            <w:r>
              <w:rPr>
                <w:webHidden/>
              </w:rPr>
              <w:t>30</w:t>
            </w:r>
            <w:r>
              <w:rPr>
                <w:webHidden/>
              </w:rPr>
              <w:fldChar w:fldCharType="end"/>
            </w:r>
          </w:hyperlink>
        </w:p>
        <w:p w14:paraId="5A4C320D" w14:textId="37E5DE81" w:rsidR="003709C9" w:rsidRDefault="003709C9">
          <w:pPr>
            <w:pStyle w:val="TOC2"/>
            <w:tabs>
              <w:tab w:val="left" w:pos="1200"/>
            </w:tabs>
            <w:rPr>
              <w:rFonts w:eastAsiaTheme="minorEastAsia"/>
              <w:kern w:val="2"/>
              <w:sz w:val="24"/>
              <w:szCs w:val="24"/>
              <w:lang w:eastAsia="en-AU"/>
              <w14:ligatures w14:val="standardContextual"/>
            </w:rPr>
          </w:pPr>
          <w:hyperlink w:anchor="_Toc233378703" w:history="1">
            <w:r w:rsidRPr="00630BB7">
              <w:rPr>
                <w:rStyle w:val="Hyperlink"/>
                <w:lang w:eastAsia="ja-JP"/>
              </w:rPr>
              <w:t>6.2</w:t>
            </w:r>
            <w:r>
              <w:rPr>
                <w:rFonts w:eastAsiaTheme="minorEastAsia"/>
                <w:kern w:val="2"/>
                <w:sz w:val="24"/>
                <w:szCs w:val="24"/>
                <w:lang w:eastAsia="en-AU"/>
                <w14:ligatures w14:val="standardContextual"/>
              </w:rPr>
              <w:tab/>
            </w:r>
            <w:r w:rsidRPr="00630BB7">
              <w:rPr>
                <w:rStyle w:val="Hyperlink"/>
                <w:lang w:eastAsia="ja-JP"/>
              </w:rPr>
              <w:t>Industry engagement</w:t>
            </w:r>
            <w:r>
              <w:rPr>
                <w:webHidden/>
              </w:rPr>
              <w:tab/>
            </w:r>
            <w:r>
              <w:rPr>
                <w:webHidden/>
              </w:rPr>
              <w:fldChar w:fldCharType="begin"/>
            </w:r>
            <w:r>
              <w:rPr>
                <w:webHidden/>
              </w:rPr>
              <w:instrText xml:space="preserve"> PAGEREF _Toc233378703 \h </w:instrText>
            </w:r>
            <w:r>
              <w:rPr>
                <w:webHidden/>
              </w:rPr>
            </w:r>
            <w:r>
              <w:rPr>
                <w:webHidden/>
              </w:rPr>
              <w:fldChar w:fldCharType="separate"/>
            </w:r>
            <w:r>
              <w:rPr>
                <w:webHidden/>
              </w:rPr>
              <w:t>30</w:t>
            </w:r>
            <w:r>
              <w:rPr>
                <w:webHidden/>
              </w:rPr>
              <w:fldChar w:fldCharType="end"/>
            </w:r>
          </w:hyperlink>
        </w:p>
        <w:p w14:paraId="382902C7" w14:textId="778C495E" w:rsidR="003709C9" w:rsidRDefault="003709C9">
          <w:pPr>
            <w:pStyle w:val="TOC2"/>
            <w:tabs>
              <w:tab w:val="left" w:pos="1200"/>
            </w:tabs>
            <w:rPr>
              <w:rFonts w:eastAsiaTheme="minorEastAsia"/>
              <w:kern w:val="2"/>
              <w:sz w:val="24"/>
              <w:szCs w:val="24"/>
              <w:lang w:eastAsia="en-AU"/>
              <w14:ligatures w14:val="standardContextual"/>
            </w:rPr>
          </w:pPr>
          <w:hyperlink w:anchor="_Toc233378704" w:history="1">
            <w:r w:rsidRPr="00630BB7">
              <w:rPr>
                <w:rStyle w:val="Hyperlink"/>
                <w:lang w:eastAsia="ja-JP"/>
              </w:rPr>
              <w:t>6.3</w:t>
            </w:r>
            <w:r>
              <w:rPr>
                <w:rFonts w:eastAsiaTheme="minorEastAsia"/>
                <w:kern w:val="2"/>
                <w:sz w:val="24"/>
                <w:szCs w:val="24"/>
                <w:lang w:eastAsia="en-AU"/>
                <w14:ligatures w14:val="standardContextual"/>
              </w:rPr>
              <w:tab/>
            </w:r>
            <w:r w:rsidRPr="00630BB7">
              <w:rPr>
                <w:rStyle w:val="Hyperlink"/>
                <w:lang w:eastAsia="ja-JP"/>
              </w:rPr>
              <w:t>Ongoing engagement strategy</w:t>
            </w:r>
            <w:r>
              <w:rPr>
                <w:webHidden/>
              </w:rPr>
              <w:tab/>
            </w:r>
            <w:r>
              <w:rPr>
                <w:webHidden/>
              </w:rPr>
              <w:fldChar w:fldCharType="begin"/>
            </w:r>
            <w:r>
              <w:rPr>
                <w:webHidden/>
              </w:rPr>
              <w:instrText xml:space="preserve"> PAGEREF _Toc233378704 \h </w:instrText>
            </w:r>
            <w:r>
              <w:rPr>
                <w:webHidden/>
              </w:rPr>
            </w:r>
            <w:r>
              <w:rPr>
                <w:webHidden/>
              </w:rPr>
              <w:fldChar w:fldCharType="separate"/>
            </w:r>
            <w:r>
              <w:rPr>
                <w:webHidden/>
              </w:rPr>
              <w:t>31</w:t>
            </w:r>
            <w:r>
              <w:rPr>
                <w:webHidden/>
              </w:rPr>
              <w:fldChar w:fldCharType="end"/>
            </w:r>
          </w:hyperlink>
        </w:p>
        <w:p w14:paraId="185C4EE8" w14:textId="60C0CC1C" w:rsidR="003709C9" w:rsidRDefault="003709C9">
          <w:pPr>
            <w:pStyle w:val="TOC1"/>
            <w:rPr>
              <w:rFonts w:eastAsiaTheme="minorEastAsia"/>
              <w:b w:val="0"/>
              <w:kern w:val="2"/>
              <w:sz w:val="24"/>
              <w:szCs w:val="24"/>
              <w:lang w:eastAsia="en-AU"/>
              <w14:ligatures w14:val="standardContextual"/>
            </w:rPr>
          </w:pPr>
          <w:hyperlink w:anchor="_Toc233378705" w:history="1">
            <w:r w:rsidRPr="00630BB7">
              <w:rPr>
                <w:rStyle w:val="Hyperlink"/>
              </w:rPr>
              <w:t>7</w:t>
            </w:r>
            <w:r>
              <w:rPr>
                <w:rFonts w:eastAsiaTheme="minorEastAsia"/>
                <w:b w:val="0"/>
                <w:kern w:val="2"/>
                <w:sz w:val="24"/>
                <w:szCs w:val="24"/>
                <w:lang w:eastAsia="en-AU"/>
                <w14:ligatures w14:val="standardContextual"/>
              </w:rPr>
              <w:tab/>
            </w:r>
            <w:r w:rsidRPr="00630BB7">
              <w:rPr>
                <w:rStyle w:val="Hyperlink"/>
              </w:rPr>
              <w:t>Financial estimates</w:t>
            </w:r>
            <w:r>
              <w:rPr>
                <w:webHidden/>
              </w:rPr>
              <w:tab/>
            </w:r>
            <w:r>
              <w:rPr>
                <w:webHidden/>
              </w:rPr>
              <w:fldChar w:fldCharType="begin"/>
            </w:r>
            <w:r>
              <w:rPr>
                <w:webHidden/>
              </w:rPr>
              <w:instrText xml:space="preserve"> PAGEREF _Toc233378705 \h </w:instrText>
            </w:r>
            <w:r>
              <w:rPr>
                <w:webHidden/>
              </w:rPr>
            </w:r>
            <w:r>
              <w:rPr>
                <w:webHidden/>
              </w:rPr>
              <w:fldChar w:fldCharType="separate"/>
            </w:r>
            <w:r>
              <w:rPr>
                <w:webHidden/>
              </w:rPr>
              <w:t>32</w:t>
            </w:r>
            <w:r>
              <w:rPr>
                <w:webHidden/>
              </w:rPr>
              <w:fldChar w:fldCharType="end"/>
            </w:r>
          </w:hyperlink>
        </w:p>
        <w:p w14:paraId="284BE01E" w14:textId="7E77F96A" w:rsidR="003709C9" w:rsidRDefault="003709C9">
          <w:pPr>
            <w:pStyle w:val="TOC2"/>
            <w:tabs>
              <w:tab w:val="left" w:pos="1200"/>
            </w:tabs>
            <w:rPr>
              <w:rFonts w:eastAsiaTheme="minorEastAsia"/>
              <w:kern w:val="2"/>
              <w:sz w:val="24"/>
              <w:szCs w:val="24"/>
              <w:lang w:eastAsia="en-AU"/>
              <w14:ligatures w14:val="standardContextual"/>
            </w:rPr>
          </w:pPr>
          <w:hyperlink w:anchor="_Toc233378706" w:history="1">
            <w:r w:rsidRPr="00630BB7">
              <w:rPr>
                <w:rStyle w:val="Hyperlink"/>
                <w:lang w:eastAsia="ja-JP"/>
              </w:rPr>
              <w:t>7.1</w:t>
            </w:r>
            <w:r>
              <w:rPr>
                <w:rFonts w:eastAsiaTheme="minorEastAsia"/>
                <w:kern w:val="2"/>
                <w:sz w:val="24"/>
                <w:szCs w:val="24"/>
                <w:lang w:eastAsia="en-AU"/>
                <w14:ligatures w14:val="standardContextual"/>
              </w:rPr>
              <w:tab/>
            </w:r>
            <w:r w:rsidRPr="00630BB7">
              <w:rPr>
                <w:rStyle w:val="Hyperlink"/>
                <w:lang w:eastAsia="ja-JP"/>
              </w:rPr>
              <w:t>Annual estimates</w:t>
            </w:r>
            <w:r>
              <w:rPr>
                <w:webHidden/>
              </w:rPr>
              <w:tab/>
            </w:r>
            <w:r>
              <w:rPr>
                <w:webHidden/>
              </w:rPr>
              <w:fldChar w:fldCharType="begin"/>
            </w:r>
            <w:r>
              <w:rPr>
                <w:webHidden/>
              </w:rPr>
              <w:instrText xml:space="preserve"> PAGEREF _Toc233378706 \h </w:instrText>
            </w:r>
            <w:r>
              <w:rPr>
                <w:webHidden/>
              </w:rPr>
            </w:r>
            <w:r>
              <w:rPr>
                <w:webHidden/>
              </w:rPr>
              <w:fldChar w:fldCharType="separate"/>
            </w:r>
            <w:r>
              <w:rPr>
                <w:webHidden/>
              </w:rPr>
              <w:t>32</w:t>
            </w:r>
            <w:r>
              <w:rPr>
                <w:webHidden/>
              </w:rPr>
              <w:fldChar w:fldCharType="end"/>
            </w:r>
          </w:hyperlink>
        </w:p>
        <w:p w14:paraId="01E19D78" w14:textId="6630BC4E" w:rsidR="003709C9" w:rsidRDefault="003709C9">
          <w:pPr>
            <w:pStyle w:val="TOC2"/>
            <w:tabs>
              <w:tab w:val="left" w:pos="1200"/>
            </w:tabs>
            <w:rPr>
              <w:rFonts w:eastAsiaTheme="minorEastAsia"/>
              <w:kern w:val="2"/>
              <w:sz w:val="24"/>
              <w:szCs w:val="24"/>
              <w:lang w:eastAsia="en-AU"/>
              <w14:ligatures w14:val="standardContextual"/>
            </w:rPr>
          </w:pPr>
          <w:hyperlink w:anchor="_Toc233378707" w:history="1">
            <w:r w:rsidRPr="00630BB7">
              <w:rPr>
                <w:rStyle w:val="Hyperlink"/>
                <w:lang w:eastAsia="ja-JP"/>
              </w:rPr>
              <w:t>7.2</w:t>
            </w:r>
            <w:r>
              <w:rPr>
                <w:rFonts w:eastAsiaTheme="minorEastAsia"/>
                <w:kern w:val="2"/>
                <w:sz w:val="24"/>
                <w:szCs w:val="24"/>
                <w:lang w:eastAsia="en-AU"/>
                <w14:ligatures w14:val="standardContextual"/>
              </w:rPr>
              <w:tab/>
            </w:r>
            <w:r w:rsidRPr="00630BB7">
              <w:rPr>
                <w:rStyle w:val="Hyperlink"/>
                <w:lang w:eastAsia="ja-JP"/>
              </w:rPr>
              <w:t>Financial performance</w:t>
            </w:r>
            <w:r>
              <w:rPr>
                <w:webHidden/>
              </w:rPr>
              <w:tab/>
            </w:r>
            <w:r>
              <w:rPr>
                <w:webHidden/>
              </w:rPr>
              <w:fldChar w:fldCharType="begin"/>
            </w:r>
            <w:r>
              <w:rPr>
                <w:webHidden/>
              </w:rPr>
              <w:instrText xml:space="preserve"> PAGEREF _Toc233378707 \h </w:instrText>
            </w:r>
            <w:r>
              <w:rPr>
                <w:webHidden/>
              </w:rPr>
            </w:r>
            <w:r>
              <w:rPr>
                <w:webHidden/>
              </w:rPr>
              <w:fldChar w:fldCharType="separate"/>
            </w:r>
            <w:r>
              <w:rPr>
                <w:webHidden/>
              </w:rPr>
              <w:t>33</w:t>
            </w:r>
            <w:r>
              <w:rPr>
                <w:webHidden/>
              </w:rPr>
              <w:fldChar w:fldCharType="end"/>
            </w:r>
          </w:hyperlink>
        </w:p>
        <w:p w14:paraId="4762AB68" w14:textId="15B6C96C" w:rsidR="003709C9" w:rsidRDefault="003709C9">
          <w:pPr>
            <w:pStyle w:val="TOC1"/>
            <w:rPr>
              <w:rFonts w:eastAsiaTheme="minorEastAsia"/>
              <w:b w:val="0"/>
              <w:kern w:val="2"/>
              <w:sz w:val="24"/>
              <w:szCs w:val="24"/>
              <w:lang w:eastAsia="en-AU"/>
              <w14:ligatures w14:val="standardContextual"/>
            </w:rPr>
          </w:pPr>
          <w:hyperlink w:anchor="_Toc233378708" w:history="1">
            <w:r w:rsidRPr="00630BB7">
              <w:rPr>
                <w:rStyle w:val="Hyperlink"/>
              </w:rPr>
              <w:t>8</w:t>
            </w:r>
            <w:r>
              <w:rPr>
                <w:rFonts w:eastAsiaTheme="minorEastAsia"/>
                <w:b w:val="0"/>
                <w:kern w:val="2"/>
                <w:sz w:val="24"/>
                <w:szCs w:val="24"/>
                <w:lang w:eastAsia="en-AU"/>
                <w14:ligatures w14:val="standardContextual"/>
              </w:rPr>
              <w:tab/>
            </w:r>
            <w:r w:rsidRPr="00630BB7">
              <w:rPr>
                <w:rStyle w:val="Hyperlink"/>
              </w:rPr>
              <w:t>Non-financial performance</w:t>
            </w:r>
            <w:r>
              <w:rPr>
                <w:webHidden/>
              </w:rPr>
              <w:tab/>
            </w:r>
            <w:r>
              <w:rPr>
                <w:webHidden/>
              </w:rPr>
              <w:fldChar w:fldCharType="begin"/>
            </w:r>
            <w:r>
              <w:rPr>
                <w:webHidden/>
              </w:rPr>
              <w:instrText xml:space="preserve"> PAGEREF _Toc233378708 \h </w:instrText>
            </w:r>
            <w:r>
              <w:rPr>
                <w:webHidden/>
              </w:rPr>
            </w:r>
            <w:r>
              <w:rPr>
                <w:webHidden/>
              </w:rPr>
              <w:fldChar w:fldCharType="separate"/>
            </w:r>
            <w:r>
              <w:rPr>
                <w:webHidden/>
              </w:rPr>
              <w:t>34</w:t>
            </w:r>
            <w:r>
              <w:rPr>
                <w:webHidden/>
              </w:rPr>
              <w:fldChar w:fldCharType="end"/>
            </w:r>
          </w:hyperlink>
        </w:p>
        <w:p w14:paraId="2F569212" w14:textId="377F1BBC" w:rsidR="003709C9" w:rsidRDefault="003709C9">
          <w:pPr>
            <w:pStyle w:val="TOC1"/>
            <w:rPr>
              <w:rFonts w:eastAsiaTheme="minorEastAsia"/>
              <w:b w:val="0"/>
              <w:kern w:val="2"/>
              <w:sz w:val="24"/>
              <w:szCs w:val="24"/>
              <w:lang w:eastAsia="en-AU"/>
              <w14:ligatures w14:val="standardContextual"/>
            </w:rPr>
          </w:pPr>
          <w:hyperlink w:anchor="_Toc233378709" w:history="1">
            <w:r w:rsidRPr="00630BB7">
              <w:rPr>
                <w:rStyle w:val="Hyperlink"/>
              </w:rPr>
              <w:t>9</w:t>
            </w:r>
            <w:r>
              <w:rPr>
                <w:rFonts w:eastAsiaTheme="minorEastAsia"/>
                <w:b w:val="0"/>
                <w:kern w:val="2"/>
                <w:sz w:val="24"/>
                <w:szCs w:val="24"/>
                <w:lang w:eastAsia="en-AU"/>
                <w14:ligatures w14:val="standardContextual"/>
              </w:rPr>
              <w:tab/>
            </w:r>
            <w:r w:rsidRPr="00630BB7">
              <w:rPr>
                <w:rStyle w:val="Hyperlink"/>
              </w:rPr>
              <w:t>Key dates and events</w:t>
            </w:r>
            <w:r>
              <w:rPr>
                <w:webHidden/>
              </w:rPr>
              <w:tab/>
            </w:r>
            <w:r>
              <w:rPr>
                <w:webHidden/>
              </w:rPr>
              <w:fldChar w:fldCharType="begin"/>
            </w:r>
            <w:r>
              <w:rPr>
                <w:webHidden/>
              </w:rPr>
              <w:instrText xml:space="preserve"> PAGEREF _Toc233378709 \h </w:instrText>
            </w:r>
            <w:r>
              <w:rPr>
                <w:webHidden/>
              </w:rPr>
            </w:r>
            <w:r>
              <w:rPr>
                <w:webHidden/>
              </w:rPr>
              <w:fldChar w:fldCharType="separate"/>
            </w:r>
            <w:r>
              <w:rPr>
                <w:webHidden/>
              </w:rPr>
              <w:t>35</w:t>
            </w:r>
            <w:r>
              <w:rPr>
                <w:webHidden/>
              </w:rPr>
              <w:fldChar w:fldCharType="end"/>
            </w:r>
          </w:hyperlink>
        </w:p>
        <w:p w14:paraId="272E8C7D" w14:textId="1BFD8F65" w:rsidR="003709C9" w:rsidRDefault="003709C9">
          <w:pPr>
            <w:pStyle w:val="TOC1"/>
            <w:rPr>
              <w:rFonts w:eastAsiaTheme="minorEastAsia"/>
              <w:b w:val="0"/>
              <w:kern w:val="2"/>
              <w:sz w:val="24"/>
              <w:szCs w:val="24"/>
              <w:lang w:eastAsia="en-AU"/>
              <w14:ligatures w14:val="standardContextual"/>
            </w:rPr>
          </w:pPr>
          <w:hyperlink w:anchor="_Toc233378710" w:history="1">
            <w:r w:rsidRPr="00630BB7">
              <w:rPr>
                <w:rStyle w:val="Hyperlink"/>
              </w:rPr>
              <w:t>10</w:t>
            </w:r>
            <w:r>
              <w:rPr>
                <w:rFonts w:eastAsiaTheme="minorEastAsia"/>
                <w:b w:val="0"/>
                <w:kern w:val="2"/>
                <w:sz w:val="24"/>
                <w:szCs w:val="24"/>
                <w:lang w:eastAsia="en-AU"/>
                <w14:ligatures w14:val="standardContextual"/>
              </w:rPr>
              <w:tab/>
            </w:r>
            <w:r w:rsidRPr="00630BB7">
              <w:rPr>
                <w:rStyle w:val="Hyperlink"/>
              </w:rPr>
              <w:t>CRIS approval and change register</w:t>
            </w:r>
            <w:r>
              <w:rPr>
                <w:webHidden/>
              </w:rPr>
              <w:tab/>
            </w:r>
            <w:r>
              <w:rPr>
                <w:webHidden/>
              </w:rPr>
              <w:fldChar w:fldCharType="begin"/>
            </w:r>
            <w:r>
              <w:rPr>
                <w:webHidden/>
              </w:rPr>
              <w:instrText xml:space="preserve"> PAGEREF _Toc233378710 \h </w:instrText>
            </w:r>
            <w:r>
              <w:rPr>
                <w:webHidden/>
              </w:rPr>
            </w:r>
            <w:r>
              <w:rPr>
                <w:webHidden/>
              </w:rPr>
              <w:fldChar w:fldCharType="separate"/>
            </w:r>
            <w:r>
              <w:rPr>
                <w:webHidden/>
              </w:rPr>
              <w:t>36</w:t>
            </w:r>
            <w:r>
              <w:rPr>
                <w:webHidden/>
              </w:rPr>
              <w:fldChar w:fldCharType="end"/>
            </w:r>
          </w:hyperlink>
        </w:p>
        <w:p w14:paraId="3FD069FB" w14:textId="73180E3D" w:rsidR="003709C9" w:rsidRDefault="003709C9">
          <w:pPr>
            <w:pStyle w:val="TOC1"/>
            <w:rPr>
              <w:rFonts w:eastAsiaTheme="minorEastAsia"/>
              <w:b w:val="0"/>
              <w:kern w:val="2"/>
              <w:sz w:val="24"/>
              <w:szCs w:val="24"/>
              <w:lang w:eastAsia="en-AU"/>
              <w14:ligatures w14:val="standardContextual"/>
            </w:rPr>
          </w:pPr>
          <w:hyperlink w:anchor="_Toc233378711" w:history="1">
            <w:r w:rsidRPr="00630BB7">
              <w:rPr>
                <w:rStyle w:val="Hyperlink"/>
              </w:rPr>
              <w:t>Appendix A: Summary of key regulatory activity volumes</w:t>
            </w:r>
            <w:r>
              <w:rPr>
                <w:webHidden/>
              </w:rPr>
              <w:tab/>
            </w:r>
            <w:r>
              <w:rPr>
                <w:webHidden/>
              </w:rPr>
              <w:fldChar w:fldCharType="begin"/>
            </w:r>
            <w:r>
              <w:rPr>
                <w:webHidden/>
              </w:rPr>
              <w:instrText xml:space="preserve"> PAGEREF _Toc233378711 \h </w:instrText>
            </w:r>
            <w:r>
              <w:rPr>
                <w:webHidden/>
              </w:rPr>
            </w:r>
            <w:r>
              <w:rPr>
                <w:webHidden/>
              </w:rPr>
              <w:fldChar w:fldCharType="separate"/>
            </w:r>
            <w:r>
              <w:rPr>
                <w:webHidden/>
              </w:rPr>
              <w:t>37</w:t>
            </w:r>
            <w:r>
              <w:rPr>
                <w:webHidden/>
              </w:rPr>
              <w:fldChar w:fldCharType="end"/>
            </w:r>
          </w:hyperlink>
        </w:p>
        <w:p w14:paraId="397EA278" w14:textId="4D4F5830" w:rsidR="003709C9" w:rsidRDefault="003709C9">
          <w:pPr>
            <w:pStyle w:val="TOC1"/>
            <w:rPr>
              <w:rFonts w:eastAsiaTheme="minorEastAsia"/>
              <w:b w:val="0"/>
              <w:kern w:val="2"/>
              <w:sz w:val="24"/>
              <w:szCs w:val="24"/>
              <w:lang w:eastAsia="en-AU"/>
              <w14:ligatures w14:val="standardContextual"/>
            </w:rPr>
          </w:pPr>
          <w:hyperlink w:anchor="_Toc233378712" w:history="1">
            <w:r w:rsidRPr="00630BB7">
              <w:rPr>
                <w:rStyle w:val="Hyperlink"/>
              </w:rPr>
              <w:t>Appendix B: Cost-model activities</w:t>
            </w:r>
            <w:r>
              <w:rPr>
                <w:webHidden/>
              </w:rPr>
              <w:tab/>
            </w:r>
            <w:r>
              <w:rPr>
                <w:webHidden/>
              </w:rPr>
              <w:fldChar w:fldCharType="begin"/>
            </w:r>
            <w:r>
              <w:rPr>
                <w:webHidden/>
              </w:rPr>
              <w:instrText xml:space="preserve"> PAGEREF _Toc233378712 \h </w:instrText>
            </w:r>
            <w:r>
              <w:rPr>
                <w:webHidden/>
              </w:rPr>
            </w:r>
            <w:r>
              <w:rPr>
                <w:webHidden/>
              </w:rPr>
              <w:fldChar w:fldCharType="separate"/>
            </w:r>
            <w:r>
              <w:rPr>
                <w:webHidden/>
              </w:rPr>
              <w:t>38</w:t>
            </w:r>
            <w:r>
              <w:rPr>
                <w:webHidden/>
              </w:rPr>
              <w:fldChar w:fldCharType="end"/>
            </w:r>
          </w:hyperlink>
        </w:p>
        <w:p w14:paraId="4A2B98BB" w14:textId="5A7F09E1" w:rsidR="003709C9" w:rsidRDefault="003709C9">
          <w:pPr>
            <w:pStyle w:val="TOC2"/>
            <w:rPr>
              <w:rFonts w:eastAsiaTheme="minorEastAsia"/>
              <w:kern w:val="2"/>
              <w:sz w:val="24"/>
              <w:szCs w:val="24"/>
              <w:lang w:eastAsia="en-AU"/>
              <w14:ligatures w14:val="standardContextual"/>
            </w:rPr>
          </w:pPr>
          <w:hyperlink w:anchor="_Toc233378713" w:history="1">
            <w:r w:rsidRPr="00630BB7">
              <w:rPr>
                <w:rStyle w:val="Hyperlink"/>
                <w:lang w:eastAsia="ja-JP"/>
              </w:rPr>
              <w:t>Program management and administration activities (charge)</w:t>
            </w:r>
            <w:r>
              <w:rPr>
                <w:webHidden/>
              </w:rPr>
              <w:tab/>
            </w:r>
            <w:r>
              <w:rPr>
                <w:webHidden/>
              </w:rPr>
              <w:fldChar w:fldCharType="begin"/>
            </w:r>
            <w:r>
              <w:rPr>
                <w:webHidden/>
              </w:rPr>
              <w:instrText xml:space="preserve"> PAGEREF _Toc233378713 \h </w:instrText>
            </w:r>
            <w:r>
              <w:rPr>
                <w:webHidden/>
              </w:rPr>
            </w:r>
            <w:r>
              <w:rPr>
                <w:webHidden/>
              </w:rPr>
              <w:fldChar w:fldCharType="separate"/>
            </w:r>
            <w:r>
              <w:rPr>
                <w:webHidden/>
              </w:rPr>
              <w:t>38</w:t>
            </w:r>
            <w:r>
              <w:rPr>
                <w:webHidden/>
              </w:rPr>
              <w:fldChar w:fldCharType="end"/>
            </w:r>
          </w:hyperlink>
        </w:p>
        <w:p w14:paraId="058F0E30" w14:textId="7210C7C8" w:rsidR="003709C9" w:rsidRDefault="003709C9">
          <w:pPr>
            <w:pStyle w:val="TOC2"/>
            <w:rPr>
              <w:rFonts w:eastAsiaTheme="minorEastAsia"/>
              <w:kern w:val="2"/>
              <w:sz w:val="24"/>
              <w:szCs w:val="24"/>
              <w:lang w:eastAsia="en-AU"/>
              <w14:ligatures w14:val="standardContextual"/>
            </w:rPr>
          </w:pPr>
          <w:hyperlink w:anchor="_Toc233378714" w:history="1">
            <w:r w:rsidRPr="00630BB7">
              <w:rPr>
                <w:rStyle w:val="Hyperlink"/>
                <w:lang w:eastAsia="ja-JP"/>
              </w:rPr>
              <w:t>Assurance activities (charge)</w:t>
            </w:r>
            <w:r>
              <w:rPr>
                <w:webHidden/>
              </w:rPr>
              <w:tab/>
            </w:r>
            <w:r>
              <w:rPr>
                <w:webHidden/>
              </w:rPr>
              <w:fldChar w:fldCharType="begin"/>
            </w:r>
            <w:r>
              <w:rPr>
                <w:webHidden/>
              </w:rPr>
              <w:instrText xml:space="preserve"> PAGEREF _Toc233378714 \h </w:instrText>
            </w:r>
            <w:r>
              <w:rPr>
                <w:webHidden/>
              </w:rPr>
            </w:r>
            <w:r>
              <w:rPr>
                <w:webHidden/>
              </w:rPr>
              <w:fldChar w:fldCharType="separate"/>
            </w:r>
            <w:r>
              <w:rPr>
                <w:webHidden/>
              </w:rPr>
              <w:t>39</w:t>
            </w:r>
            <w:r>
              <w:rPr>
                <w:webHidden/>
              </w:rPr>
              <w:fldChar w:fldCharType="end"/>
            </w:r>
          </w:hyperlink>
        </w:p>
        <w:p w14:paraId="5C1FE927" w14:textId="4349FC58" w:rsidR="003709C9" w:rsidRDefault="003709C9">
          <w:pPr>
            <w:pStyle w:val="TOC2"/>
            <w:rPr>
              <w:rFonts w:eastAsiaTheme="minorEastAsia"/>
              <w:kern w:val="2"/>
              <w:sz w:val="24"/>
              <w:szCs w:val="24"/>
              <w:lang w:eastAsia="en-AU"/>
              <w14:ligatures w14:val="standardContextual"/>
            </w:rPr>
          </w:pPr>
          <w:hyperlink w:anchor="_Toc233378715" w:history="1">
            <w:r w:rsidRPr="00630BB7">
              <w:rPr>
                <w:rStyle w:val="Hyperlink"/>
              </w:rPr>
              <w:t>Incident management activities (charge)</w:t>
            </w:r>
            <w:r>
              <w:rPr>
                <w:webHidden/>
              </w:rPr>
              <w:tab/>
            </w:r>
            <w:r>
              <w:rPr>
                <w:webHidden/>
              </w:rPr>
              <w:fldChar w:fldCharType="begin"/>
            </w:r>
            <w:r>
              <w:rPr>
                <w:webHidden/>
              </w:rPr>
              <w:instrText xml:space="preserve"> PAGEREF _Toc233378715 \h </w:instrText>
            </w:r>
            <w:r>
              <w:rPr>
                <w:webHidden/>
              </w:rPr>
            </w:r>
            <w:r>
              <w:rPr>
                <w:webHidden/>
              </w:rPr>
              <w:fldChar w:fldCharType="separate"/>
            </w:r>
            <w:r>
              <w:rPr>
                <w:webHidden/>
              </w:rPr>
              <w:t>39</w:t>
            </w:r>
            <w:r>
              <w:rPr>
                <w:webHidden/>
              </w:rPr>
              <w:fldChar w:fldCharType="end"/>
            </w:r>
          </w:hyperlink>
        </w:p>
        <w:p w14:paraId="4F407354" w14:textId="4A02CD65" w:rsidR="003709C9" w:rsidRDefault="003709C9">
          <w:pPr>
            <w:pStyle w:val="TOC2"/>
            <w:rPr>
              <w:rFonts w:eastAsiaTheme="minorEastAsia"/>
              <w:kern w:val="2"/>
              <w:sz w:val="24"/>
              <w:szCs w:val="24"/>
              <w:lang w:eastAsia="en-AU"/>
              <w14:ligatures w14:val="standardContextual"/>
            </w:rPr>
          </w:pPr>
          <w:hyperlink w:anchor="_Toc233378716" w:history="1">
            <w:r w:rsidRPr="00630BB7">
              <w:rPr>
                <w:rStyle w:val="Hyperlink"/>
                <w:lang w:eastAsia="ja-JP"/>
              </w:rPr>
              <w:t>Intervention activities (fee)</w:t>
            </w:r>
            <w:r>
              <w:rPr>
                <w:webHidden/>
              </w:rPr>
              <w:tab/>
            </w:r>
            <w:r>
              <w:rPr>
                <w:webHidden/>
              </w:rPr>
              <w:fldChar w:fldCharType="begin"/>
            </w:r>
            <w:r>
              <w:rPr>
                <w:webHidden/>
              </w:rPr>
              <w:instrText xml:space="preserve"> PAGEREF _Toc233378716 \h </w:instrText>
            </w:r>
            <w:r>
              <w:rPr>
                <w:webHidden/>
              </w:rPr>
            </w:r>
            <w:r>
              <w:rPr>
                <w:webHidden/>
              </w:rPr>
              <w:fldChar w:fldCharType="separate"/>
            </w:r>
            <w:r>
              <w:rPr>
                <w:webHidden/>
              </w:rPr>
              <w:t>40</w:t>
            </w:r>
            <w:r>
              <w:rPr>
                <w:webHidden/>
              </w:rPr>
              <w:fldChar w:fldCharType="end"/>
            </w:r>
          </w:hyperlink>
        </w:p>
        <w:p w14:paraId="76954883" w14:textId="3DE64111" w:rsidR="003709C9" w:rsidRDefault="003709C9">
          <w:pPr>
            <w:pStyle w:val="TOC1"/>
            <w:rPr>
              <w:rFonts w:eastAsiaTheme="minorEastAsia"/>
              <w:b w:val="0"/>
              <w:kern w:val="2"/>
              <w:sz w:val="24"/>
              <w:szCs w:val="24"/>
              <w:lang w:eastAsia="en-AU"/>
              <w14:ligatures w14:val="standardContextual"/>
            </w:rPr>
          </w:pPr>
          <w:hyperlink w:anchor="_Toc233378717" w:history="1">
            <w:r w:rsidRPr="00630BB7">
              <w:rPr>
                <w:rStyle w:val="Hyperlink"/>
              </w:rPr>
              <w:t>Appendix C: Indexation</w:t>
            </w:r>
            <w:r>
              <w:rPr>
                <w:webHidden/>
              </w:rPr>
              <w:tab/>
            </w:r>
            <w:r>
              <w:rPr>
                <w:webHidden/>
              </w:rPr>
              <w:fldChar w:fldCharType="begin"/>
            </w:r>
            <w:r>
              <w:rPr>
                <w:webHidden/>
              </w:rPr>
              <w:instrText xml:space="preserve"> PAGEREF _Toc233378717 \h </w:instrText>
            </w:r>
            <w:r>
              <w:rPr>
                <w:webHidden/>
              </w:rPr>
            </w:r>
            <w:r>
              <w:rPr>
                <w:webHidden/>
              </w:rPr>
              <w:fldChar w:fldCharType="separate"/>
            </w:r>
            <w:r>
              <w:rPr>
                <w:webHidden/>
              </w:rPr>
              <w:t>41</w:t>
            </w:r>
            <w:r>
              <w:rPr>
                <w:webHidden/>
              </w:rPr>
              <w:fldChar w:fldCharType="end"/>
            </w:r>
          </w:hyperlink>
        </w:p>
        <w:p w14:paraId="580BB21D" w14:textId="50B1D510" w:rsidR="003709C9" w:rsidRDefault="003709C9">
          <w:pPr>
            <w:pStyle w:val="TOC2"/>
            <w:rPr>
              <w:rFonts w:eastAsiaTheme="minorEastAsia"/>
              <w:kern w:val="2"/>
              <w:sz w:val="24"/>
              <w:szCs w:val="24"/>
              <w:lang w:eastAsia="en-AU"/>
              <w14:ligatures w14:val="standardContextual"/>
            </w:rPr>
          </w:pPr>
          <w:hyperlink w:anchor="_Toc233378718" w:history="1">
            <w:r w:rsidRPr="00630BB7">
              <w:rPr>
                <w:rStyle w:val="Hyperlink"/>
              </w:rPr>
              <w:t>Legislation</w:t>
            </w:r>
            <w:r>
              <w:rPr>
                <w:webHidden/>
              </w:rPr>
              <w:tab/>
            </w:r>
            <w:r>
              <w:rPr>
                <w:webHidden/>
              </w:rPr>
              <w:fldChar w:fldCharType="begin"/>
            </w:r>
            <w:r>
              <w:rPr>
                <w:webHidden/>
              </w:rPr>
              <w:instrText xml:space="preserve"> PAGEREF _Toc233378718 \h </w:instrText>
            </w:r>
            <w:r>
              <w:rPr>
                <w:webHidden/>
              </w:rPr>
            </w:r>
            <w:r>
              <w:rPr>
                <w:webHidden/>
              </w:rPr>
              <w:fldChar w:fldCharType="separate"/>
            </w:r>
            <w:r>
              <w:rPr>
                <w:webHidden/>
              </w:rPr>
              <w:t>41</w:t>
            </w:r>
            <w:r>
              <w:rPr>
                <w:webHidden/>
              </w:rPr>
              <w:fldChar w:fldCharType="end"/>
            </w:r>
          </w:hyperlink>
        </w:p>
        <w:p w14:paraId="53BCEB5C" w14:textId="44B70F28" w:rsidR="003709C9" w:rsidRDefault="003709C9">
          <w:pPr>
            <w:pStyle w:val="TOC2"/>
            <w:rPr>
              <w:rFonts w:eastAsiaTheme="minorEastAsia"/>
              <w:kern w:val="2"/>
              <w:sz w:val="24"/>
              <w:szCs w:val="24"/>
              <w:lang w:eastAsia="en-AU"/>
              <w14:ligatures w14:val="standardContextual"/>
            </w:rPr>
          </w:pPr>
          <w:hyperlink w:anchor="_Toc233378719" w:history="1">
            <w:r w:rsidRPr="00630BB7">
              <w:rPr>
                <w:rStyle w:val="Hyperlink"/>
              </w:rPr>
              <w:t>Price calculation methodology</w:t>
            </w:r>
            <w:r>
              <w:rPr>
                <w:webHidden/>
              </w:rPr>
              <w:tab/>
            </w:r>
            <w:r>
              <w:rPr>
                <w:webHidden/>
              </w:rPr>
              <w:fldChar w:fldCharType="begin"/>
            </w:r>
            <w:r>
              <w:rPr>
                <w:webHidden/>
              </w:rPr>
              <w:instrText xml:space="preserve"> PAGEREF _Toc233378719 \h </w:instrText>
            </w:r>
            <w:r>
              <w:rPr>
                <w:webHidden/>
              </w:rPr>
            </w:r>
            <w:r>
              <w:rPr>
                <w:webHidden/>
              </w:rPr>
              <w:fldChar w:fldCharType="separate"/>
            </w:r>
            <w:r>
              <w:rPr>
                <w:webHidden/>
              </w:rPr>
              <w:t>41</w:t>
            </w:r>
            <w:r>
              <w:rPr>
                <w:webHidden/>
              </w:rPr>
              <w:fldChar w:fldCharType="end"/>
            </w:r>
          </w:hyperlink>
        </w:p>
        <w:p w14:paraId="29265085" w14:textId="2EDB91DF" w:rsidR="00B005E0" w:rsidRDefault="003709C9" w:rsidP="005B4D28">
          <w:pPr>
            <w:pStyle w:val="TOC1"/>
          </w:pPr>
          <w:hyperlink w:anchor="_Toc233378720" w:history="1">
            <w:r w:rsidRPr="00630BB7">
              <w:rPr>
                <w:rStyle w:val="Hyperlink"/>
              </w:rPr>
              <w:t>References</w:t>
            </w:r>
            <w:r>
              <w:rPr>
                <w:webHidden/>
              </w:rPr>
              <w:tab/>
            </w:r>
            <w:r>
              <w:rPr>
                <w:webHidden/>
              </w:rPr>
              <w:fldChar w:fldCharType="begin"/>
            </w:r>
            <w:r>
              <w:rPr>
                <w:webHidden/>
              </w:rPr>
              <w:instrText xml:space="preserve"> PAGEREF _Toc233378720 \h </w:instrText>
            </w:r>
            <w:r>
              <w:rPr>
                <w:webHidden/>
              </w:rPr>
            </w:r>
            <w:r>
              <w:rPr>
                <w:webHidden/>
              </w:rPr>
              <w:fldChar w:fldCharType="separate"/>
            </w:r>
            <w:r>
              <w:rPr>
                <w:webHidden/>
              </w:rPr>
              <w:t>42</w:t>
            </w:r>
            <w:r>
              <w:rPr>
                <w:webHidden/>
              </w:rPr>
              <w:fldChar w:fldCharType="end"/>
            </w:r>
          </w:hyperlink>
          <w:r w:rsidR="00DB1BA9">
            <w:rPr>
              <w:b w:val="0"/>
            </w:rPr>
            <w:fldChar w:fldCharType="end"/>
          </w:r>
        </w:p>
      </w:sdtContent>
    </w:sdt>
    <w:p w14:paraId="2933E35B" w14:textId="77777777" w:rsidR="00E83CB8" w:rsidRPr="00E83CB8" w:rsidRDefault="00E83CB8" w:rsidP="00D4152B">
      <w:pPr>
        <w:pStyle w:val="TOCHeading2"/>
      </w:pPr>
      <w:r w:rsidRPr="00A92F7D">
        <w:t>Tables</w:t>
      </w:r>
    </w:p>
    <w:p w14:paraId="07B41C87" w14:textId="48951830" w:rsidR="003709C9" w:rsidRDefault="00E83CB8">
      <w:pPr>
        <w:pStyle w:val="TableofFigures"/>
        <w:tabs>
          <w:tab w:val="right" w:leader="dot" w:pos="9174"/>
        </w:tabs>
        <w:rPr>
          <w:rFonts w:eastAsiaTheme="minorEastAsia"/>
          <w:noProof/>
          <w:kern w:val="2"/>
          <w:sz w:val="24"/>
          <w:szCs w:val="24"/>
          <w:lang w:eastAsia="en-AU"/>
          <w14:ligatures w14:val="standardContextual"/>
        </w:rPr>
      </w:pPr>
      <w:r w:rsidRPr="00E83CB8">
        <w:rPr>
          <w:rFonts w:cstheme="minorHAnsi"/>
        </w:rPr>
        <w:fldChar w:fldCharType="begin"/>
      </w:r>
      <w:r w:rsidRPr="00E83CB8">
        <w:rPr>
          <w:rFonts w:cstheme="minorHAnsi"/>
        </w:rPr>
        <w:instrText xml:space="preserve"> TOC \h \z \c "Table" </w:instrText>
      </w:r>
      <w:r w:rsidRPr="00E83CB8">
        <w:rPr>
          <w:rFonts w:cstheme="minorHAnsi"/>
        </w:rPr>
        <w:fldChar w:fldCharType="separate"/>
      </w:r>
      <w:hyperlink w:anchor="_Toc233378721" w:history="1">
        <w:r w:rsidR="003709C9" w:rsidRPr="003D258A">
          <w:rPr>
            <w:rStyle w:val="Hyperlink"/>
            <w:noProof/>
          </w:rPr>
          <w:t>Table 1 Summary of government approvals for cost recovery of biosecurity and imported food activities</w:t>
        </w:r>
        <w:r w:rsidR="003709C9">
          <w:rPr>
            <w:noProof/>
            <w:webHidden/>
          </w:rPr>
          <w:tab/>
        </w:r>
        <w:r w:rsidR="003709C9">
          <w:rPr>
            <w:noProof/>
            <w:webHidden/>
          </w:rPr>
          <w:fldChar w:fldCharType="begin"/>
        </w:r>
        <w:r w:rsidR="003709C9">
          <w:rPr>
            <w:noProof/>
            <w:webHidden/>
          </w:rPr>
          <w:instrText xml:space="preserve"> PAGEREF _Toc233378721 \h </w:instrText>
        </w:r>
        <w:r w:rsidR="003709C9">
          <w:rPr>
            <w:noProof/>
            <w:webHidden/>
          </w:rPr>
        </w:r>
        <w:r w:rsidR="003709C9">
          <w:rPr>
            <w:noProof/>
            <w:webHidden/>
          </w:rPr>
          <w:fldChar w:fldCharType="separate"/>
        </w:r>
        <w:r w:rsidR="003709C9">
          <w:rPr>
            <w:noProof/>
            <w:webHidden/>
          </w:rPr>
          <w:t>4</w:t>
        </w:r>
        <w:r w:rsidR="003709C9">
          <w:rPr>
            <w:noProof/>
            <w:webHidden/>
          </w:rPr>
          <w:fldChar w:fldCharType="end"/>
        </w:r>
      </w:hyperlink>
    </w:p>
    <w:p w14:paraId="23B72490" w14:textId="653BF045"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2" w:history="1">
        <w:r w:rsidRPr="003D258A">
          <w:rPr>
            <w:rStyle w:val="Hyperlink"/>
            <w:noProof/>
          </w:rPr>
          <w:t>Table 2 Biosecurity cost recovery arrangement cost breakdown, 2026–27</w:t>
        </w:r>
        <w:r>
          <w:rPr>
            <w:noProof/>
            <w:webHidden/>
          </w:rPr>
          <w:tab/>
        </w:r>
        <w:r>
          <w:rPr>
            <w:noProof/>
            <w:webHidden/>
          </w:rPr>
          <w:fldChar w:fldCharType="begin"/>
        </w:r>
        <w:r>
          <w:rPr>
            <w:noProof/>
            <w:webHidden/>
          </w:rPr>
          <w:instrText xml:space="preserve"> PAGEREF _Toc233378722 \h </w:instrText>
        </w:r>
        <w:r>
          <w:rPr>
            <w:noProof/>
            <w:webHidden/>
          </w:rPr>
        </w:r>
        <w:r>
          <w:rPr>
            <w:noProof/>
            <w:webHidden/>
          </w:rPr>
          <w:fldChar w:fldCharType="separate"/>
        </w:r>
        <w:r>
          <w:rPr>
            <w:noProof/>
            <w:webHidden/>
          </w:rPr>
          <w:t>10</w:t>
        </w:r>
        <w:r>
          <w:rPr>
            <w:noProof/>
            <w:webHidden/>
          </w:rPr>
          <w:fldChar w:fldCharType="end"/>
        </w:r>
      </w:hyperlink>
    </w:p>
    <w:p w14:paraId="440260A9" w14:textId="3342D031"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3" w:history="1">
        <w:r w:rsidRPr="003D258A">
          <w:rPr>
            <w:rStyle w:val="Hyperlink"/>
            <w:noProof/>
          </w:rPr>
          <w:t>Table 3 Fees and charges – estimated costs, volumes and revenue for biosecurity cost recovery arrangement, 2026–27</w:t>
        </w:r>
        <w:r>
          <w:rPr>
            <w:noProof/>
            <w:webHidden/>
          </w:rPr>
          <w:tab/>
        </w:r>
        <w:r>
          <w:rPr>
            <w:noProof/>
            <w:webHidden/>
          </w:rPr>
          <w:fldChar w:fldCharType="begin"/>
        </w:r>
        <w:r>
          <w:rPr>
            <w:noProof/>
            <w:webHidden/>
          </w:rPr>
          <w:instrText xml:space="preserve"> PAGEREF _Toc233378723 \h </w:instrText>
        </w:r>
        <w:r>
          <w:rPr>
            <w:noProof/>
            <w:webHidden/>
          </w:rPr>
        </w:r>
        <w:r>
          <w:rPr>
            <w:noProof/>
            <w:webHidden/>
          </w:rPr>
          <w:fldChar w:fldCharType="separate"/>
        </w:r>
        <w:r>
          <w:rPr>
            <w:noProof/>
            <w:webHidden/>
          </w:rPr>
          <w:t>14</w:t>
        </w:r>
        <w:r>
          <w:rPr>
            <w:noProof/>
            <w:webHidden/>
          </w:rPr>
          <w:fldChar w:fldCharType="end"/>
        </w:r>
      </w:hyperlink>
    </w:p>
    <w:p w14:paraId="2A42FDA6" w14:textId="3198DB57"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4" w:history="1">
        <w:r w:rsidRPr="003D258A">
          <w:rPr>
            <w:rStyle w:val="Hyperlink"/>
            <w:noProof/>
          </w:rPr>
          <w:t>Table 4 Fee for service on demand prices, 2026–27</w:t>
        </w:r>
        <w:r>
          <w:rPr>
            <w:noProof/>
            <w:webHidden/>
          </w:rPr>
          <w:tab/>
        </w:r>
        <w:r>
          <w:rPr>
            <w:noProof/>
            <w:webHidden/>
          </w:rPr>
          <w:fldChar w:fldCharType="begin"/>
        </w:r>
        <w:r>
          <w:rPr>
            <w:noProof/>
            <w:webHidden/>
          </w:rPr>
          <w:instrText xml:space="preserve"> PAGEREF _Toc233378724 \h </w:instrText>
        </w:r>
        <w:r>
          <w:rPr>
            <w:noProof/>
            <w:webHidden/>
          </w:rPr>
        </w:r>
        <w:r>
          <w:rPr>
            <w:noProof/>
            <w:webHidden/>
          </w:rPr>
          <w:fldChar w:fldCharType="separate"/>
        </w:r>
        <w:r>
          <w:rPr>
            <w:noProof/>
            <w:webHidden/>
          </w:rPr>
          <w:t>18</w:t>
        </w:r>
        <w:r>
          <w:rPr>
            <w:noProof/>
            <w:webHidden/>
          </w:rPr>
          <w:fldChar w:fldCharType="end"/>
        </w:r>
      </w:hyperlink>
    </w:p>
    <w:p w14:paraId="6709A35E" w14:textId="79ED5C77"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5" w:history="1">
        <w:r w:rsidRPr="003D258A">
          <w:rPr>
            <w:rStyle w:val="Hyperlink"/>
            <w:noProof/>
          </w:rPr>
          <w:t>Table 5 Cost type breakdown by activity and output</w:t>
        </w:r>
        <w:r>
          <w:rPr>
            <w:noProof/>
            <w:webHidden/>
          </w:rPr>
          <w:tab/>
        </w:r>
        <w:r>
          <w:rPr>
            <w:noProof/>
            <w:webHidden/>
          </w:rPr>
          <w:fldChar w:fldCharType="begin"/>
        </w:r>
        <w:r>
          <w:rPr>
            <w:noProof/>
            <w:webHidden/>
          </w:rPr>
          <w:instrText xml:space="preserve"> PAGEREF _Toc233378725 \h </w:instrText>
        </w:r>
        <w:r>
          <w:rPr>
            <w:noProof/>
            <w:webHidden/>
          </w:rPr>
        </w:r>
        <w:r>
          <w:rPr>
            <w:noProof/>
            <w:webHidden/>
          </w:rPr>
          <w:fldChar w:fldCharType="separate"/>
        </w:r>
        <w:r>
          <w:rPr>
            <w:noProof/>
            <w:webHidden/>
          </w:rPr>
          <w:t>18</w:t>
        </w:r>
        <w:r>
          <w:rPr>
            <w:noProof/>
            <w:webHidden/>
          </w:rPr>
          <w:fldChar w:fldCharType="end"/>
        </w:r>
      </w:hyperlink>
    </w:p>
    <w:p w14:paraId="77CD33B9" w14:textId="2201F60F"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6" w:history="1">
        <w:r w:rsidRPr="003D258A">
          <w:rPr>
            <w:rStyle w:val="Hyperlink"/>
            <w:noProof/>
          </w:rPr>
          <w:t>Table 6 Fees and charges for live snails</w:t>
        </w:r>
        <w:r>
          <w:rPr>
            <w:noProof/>
            <w:webHidden/>
          </w:rPr>
          <w:tab/>
        </w:r>
        <w:r>
          <w:rPr>
            <w:noProof/>
            <w:webHidden/>
          </w:rPr>
          <w:fldChar w:fldCharType="begin"/>
        </w:r>
        <w:r>
          <w:rPr>
            <w:noProof/>
            <w:webHidden/>
          </w:rPr>
          <w:instrText xml:space="preserve"> PAGEREF _Toc233378726 \h </w:instrText>
        </w:r>
        <w:r>
          <w:rPr>
            <w:noProof/>
            <w:webHidden/>
          </w:rPr>
        </w:r>
        <w:r>
          <w:rPr>
            <w:noProof/>
            <w:webHidden/>
          </w:rPr>
          <w:fldChar w:fldCharType="separate"/>
        </w:r>
        <w:r>
          <w:rPr>
            <w:noProof/>
            <w:webHidden/>
          </w:rPr>
          <w:t>20</w:t>
        </w:r>
        <w:r>
          <w:rPr>
            <w:noProof/>
            <w:webHidden/>
          </w:rPr>
          <w:fldChar w:fldCharType="end"/>
        </w:r>
      </w:hyperlink>
    </w:p>
    <w:p w14:paraId="16463399" w14:textId="5CD40AAB"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7" w:history="1">
        <w:r w:rsidRPr="003D258A">
          <w:rPr>
            <w:rStyle w:val="Hyperlink"/>
            <w:noProof/>
          </w:rPr>
          <w:t>Table 7 Redundant provisions in legislation</w:t>
        </w:r>
        <w:r>
          <w:rPr>
            <w:noProof/>
            <w:webHidden/>
          </w:rPr>
          <w:tab/>
        </w:r>
        <w:r>
          <w:rPr>
            <w:noProof/>
            <w:webHidden/>
          </w:rPr>
          <w:fldChar w:fldCharType="begin"/>
        </w:r>
        <w:r>
          <w:rPr>
            <w:noProof/>
            <w:webHidden/>
          </w:rPr>
          <w:instrText xml:space="preserve"> PAGEREF _Toc233378727 \h </w:instrText>
        </w:r>
        <w:r>
          <w:rPr>
            <w:noProof/>
            <w:webHidden/>
          </w:rPr>
        </w:r>
        <w:r>
          <w:rPr>
            <w:noProof/>
            <w:webHidden/>
          </w:rPr>
          <w:fldChar w:fldCharType="separate"/>
        </w:r>
        <w:r>
          <w:rPr>
            <w:noProof/>
            <w:webHidden/>
          </w:rPr>
          <w:t>21</w:t>
        </w:r>
        <w:r>
          <w:rPr>
            <w:noProof/>
            <w:webHidden/>
          </w:rPr>
          <w:fldChar w:fldCharType="end"/>
        </w:r>
      </w:hyperlink>
    </w:p>
    <w:p w14:paraId="1E3643EF" w14:textId="116724E5"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8" w:history="1">
        <w:r w:rsidRPr="003D258A">
          <w:rPr>
            <w:rStyle w:val="Hyperlink"/>
            <w:noProof/>
          </w:rPr>
          <w:t>Table 8 Charges for diagnostic activity in relation to vessels</w:t>
        </w:r>
        <w:r>
          <w:rPr>
            <w:noProof/>
            <w:webHidden/>
          </w:rPr>
          <w:tab/>
        </w:r>
        <w:r>
          <w:rPr>
            <w:noProof/>
            <w:webHidden/>
          </w:rPr>
          <w:fldChar w:fldCharType="begin"/>
        </w:r>
        <w:r>
          <w:rPr>
            <w:noProof/>
            <w:webHidden/>
          </w:rPr>
          <w:instrText xml:space="preserve"> PAGEREF _Toc233378728 \h </w:instrText>
        </w:r>
        <w:r>
          <w:rPr>
            <w:noProof/>
            <w:webHidden/>
          </w:rPr>
        </w:r>
        <w:r>
          <w:rPr>
            <w:noProof/>
            <w:webHidden/>
          </w:rPr>
          <w:fldChar w:fldCharType="separate"/>
        </w:r>
        <w:r>
          <w:rPr>
            <w:noProof/>
            <w:webHidden/>
          </w:rPr>
          <w:t>23</w:t>
        </w:r>
        <w:r>
          <w:rPr>
            <w:noProof/>
            <w:webHidden/>
          </w:rPr>
          <w:fldChar w:fldCharType="end"/>
        </w:r>
      </w:hyperlink>
    </w:p>
    <w:p w14:paraId="22D8E904" w14:textId="254D5CA9"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29" w:history="1">
        <w:r w:rsidRPr="003D258A">
          <w:rPr>
            <w:rStyle w:val="Hyperlink"/>
            <w:noProof/>
          </w:rPr>
          <w:t>Table 9 Proposed charge points and prices for specified diagnostic activities</w:t>
        </w:r>
        <w:r>
          <w:rPr>
            <w:noProof/>
            <w:webHidden/>
          </w:rPr>
          <w:tab/>
        </w:r>
        <w:r>
          <w:rPr>
            <w:noProof/>
            <w:webHidden/>
          </w:rPr>
          <w:fldChar w:fldCharType="begin"/>
        </w:r>
        <w:r>
          <w:rPr>
            <w:noProof/>
            <w:webHidden/>
          </w:rPr>
          <w:instrText xml:space="preserve"> PAGEREF _Toc233378729 \h </w:instrText>
        </w:r>
        <w:r>
          <w:rPr>
            <w:noProof/>
            <w:webHidden/>
          </w:rPr>
        </w:r>
        <w:r>
          <w:rPr>
            <w:noProof/>
            <w:webHidden/>
          </w:rPr>
          <w:fldChar w:fldCharType="separate"/>
        </w:r>
        <w:r>
          <w:rPr>
            <w:noProof/>
            <w:webHidden/>
          </w:rPr>
          <w:t>24</w:t>
        </w:r>
        <w:r>
          <w:rPr>
            <w:noProof/>
            <w:webHidden/>
          </w:rPr>
          <w:fldChar w:fldCharType="end"/>
        </w:r>
      </w:hyperlink>
    </w:p>
    <w:p w14:paraId="766FF2FA" w14:textId="2A68A5B5"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30" w:history="1">
        <w:r w:rsidRPr="003D258A">
          <w:rPr>
            <w:rStyle w:val="Hyperlink"/>
            <w:noProof/>
          </w:rPr>
          <w:t>Table 10 Financial estimates for biosecurity cost recovery arrangement, 2025–26 to 2028‍‍‍‍–‍29</w:t>
        </w:r>
        <w:r>
          <w:rPr>
            <w:noProof/>
            <w:webHidden/>
          </w:rPr>
          <w:tab/>
        </w:r>
        <w:r>
          <w:rPr>
            <w:noProof/>
            <w:webHidden/>
          </w:rPr>
          <w:fldChar w:fldCharType="begin"/>
        </w:r>
        <w:r>
          <w:rPr>
            <w:noProof/>
            <w:webHidden/>
          </w:rPr>
          <w:instrText xml:space="preserve"> PAGEREF _Toc233378730 \h </w:instrText>
        </w:r>
        <w:r>
          <w:rPr>
            <w:noProof/>
            <w:webHidden/>
          </w:rPr>
        </w:r>
        <w:r>
          <w:rPr>
            <w:noProof/>
            <w:webHidden/>
          </w:rPr>
          <w:fldChar w:fldCharType="separate"/>
        </w:r>
        <w:r>
          <w:rPr>
            <w:noProof/>
            <w:webHidden/>
          </w:rPr>
          <w:t>32</w:t>
        </w:r>
        <w:r>
          <w:rPr>
            <w:noProof/>
            <w:webHidden/>
          </w:rPr>
          <w:fldChar w:fldCharType="end"/>
        </w:r>
      </w:hyperlink>
    </w:p>
    <w:p w14:paraId="3FC94753" w14:textId="0E4695AA"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31" w:history="1">
        <w:r w:rsidRPr="003D258A">
          <w:rPr>
            <w:rStyle w:val="Hyperlink"/>
            <w:noProof/>
          </w:rPr>
          <w:t>Table 11 Financial performance of the biosecurity cost recovery arrangement, 2021–22 to 2024–25</w:t>
        </w:r>
        <w:r>
          <w:rPr>
            <w:noProof/>
            <w:webHidden/>
          </w:rPr>
          <w:tab/>
        </w:r>
        <w:r>
          <w:rPr>
            <w:noProof/>
            <w:webHidden/>
          </w:rPr>
          <w:fldChar w:fldCharType="begin"/>
        </w:r>
        <w:r>
          <w:rPr>
            <w:noProof/>
            <w:webHidden/>
          </w:rPr>
          <w:instrText xml:space="preserve"> PAGEREF _Toc233378731 \h </w:instrText>
        </w:r>
        <w:r>
          <w:rPr>
            <w:noProof/>
            <w:webHidden/>
          </w:rPr>
        </w:r>
        <w:r>
          <w:rPr>
            <w:noProof/>
            <w:webHidden/>
          </w:rPr>
          <w:fldChar w:fldCharType="separate"/>
        </w:r>
        <w:r>
          <w:rPr>
            <w:noProof/>
            <w:webHidden/>
          </w:rPr>
          <w:t>33</w:t>
        </w:r>
        <w:r>
          <w:rPr>
            <w:noProof/>
            <w:webHidden/>
          </w:rPr>
          <w:fldChar w:fldCharType="end"/>
        </w:r>
      </w:hyperlink>
    </w:p>
    <w:p w14:paraId="27C20136" w14:textId="2058B699"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32" w:history="1">
        <w:r w:rsidRPr="003D258A">
          <w:rPr>
            <w:rStyle w:val="Hyperlink"/>
            <w:noProof/>
          </w:rPr>
          <w:t>Table 9 Non-financial performance measures for biosecurity arrangement, 2024–25</w:t>
        </w:r>
        <w:r>
          <w:rPr>
            <w:noProof/>
            <w:webHidden/>
          </w:rPr>
          <w:tab/>
        </w:r>
        <w:r>
          <w:rPr>
            <w:noProof/>
            <w:webHidden/>
          </w:rPr>
          <w:fldChar w:fldCharType="begin"/>
        </w:r>
        <w:r>
          <w:rPr>
            <w:noProof/>
            <w:webHidden/>
          </w:rPr>
          <w:instrText xml:space="preserve"> PAGEREF _Toc233378732 \h </w:instrText>
        </w:r>
        <w:r>
          <w:rPr>
            <w:noProof/>
            <w:webHidden/>
          </w:rPr>
        </w:r>
        <w:r>
          <w:rPr>
            <w:noProof/>
            <w:webHidden/>
          </w:rPr>
          <w:fldChar w:fldCharType="separate"/>
        </w:r>
        <w:r>
          <w:rPr>
            <w:noProof/>
            <w:webHidden/>
          </w:rPr>
          <w:t>34</w:t>
        </w:r>
        <w:r>
          <w:rPr>
            <w:noProof/>
            <w:webHidden/>
          </w:rPr>
          <w:fldChar w:fldCharType="end"/>
        </w:r>
      </w:hyperlink>
    </w:p>
    <w:p w14:paraId="58B54816" w14:textId="7291AA16"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33" w:history="1">
        <w:r w:rsidRPr="003D258A">
          <w:rPr>
            <w:rStyle w:val="Hyperlink"/>
            <w:noProof/>
          </w:rPr>
          <w:t>Table 13 Key forward dates and events</w:t>
        </w:r>
        <w:r>
          <w:rPr>
            <w:noProof/>
            <w:webHidden/>
          </w:rPr>
          <w:tab/>
        </w:r>
        <w:r>
          <w:rPr>
            <w:noProof/>
            <w:webHidden/>
          </w:rPr>
          <w:fldChar w:fldCharType="begin"/>
        </w:r>
        <w:r>
          <w:rPr>
            <w:noProof/>
            <w:webHidden/>
          </w:rPr>
          <w:instrText xml:space="preserve"> PAGEREF _Toc233378733 \h </w:instrText>
        </w:r>
        <w:r>
          <w:rPr>
            <w:noProof/>
            <w:webHidden/>
          </w:rPr>
        </w:r>
        <w:r>
          <w:rPr>
            <w:noProof/>
            <w:webHidden/>
          </w:rPr>
          <w:fldChar w:fldCharType="separate"/>
        </w:r>
        <w:r>
          <w:rPr>
            <w:noProof/>
            <w:webHidden/>
          </w:rPr>
          <w:t>35</w:t>
        </w:r>
        <w:r>
          <w:rPr>
            <w:noProof/>
            <w:webHidden/>
          </w:rPr>
          <w:fldChar w:fldCharType="end"/>
        </w:r>
      </w:hyperlink>
    </w:p>
    <w:p w14:paraId="630760A2" w14:textId="70D4CD79" w:rsidR="00772A50" w:rsidRDefault="003709C9" w:rsidP="00772A50">
      <w:pPr>
        <w:pStyle w:val="TableofFigures"/>
        <w:tabs>
          <w:tab w:val="right" w:leader="dot" w:pos="9174"/>
        </w:tabs>
      </w:pPr>
      <w:hyperlink w:anchor="_Toc233378734" w:history="1">
        <w:r w:rsidRPr="003D258A">
          <w:rPr>
            <w:rStyle w:val="Hyperlink"/>
            <w:noProof/>
          </w:rPr>
          <w:t>Table 14 Change register</w:t>
        </w:r>
        <w:r>
          <w:rPr>
            <w:noProof/>
            <w:webHidden/>
          </w:rPr>
          <w:tab/>
        </w:r>
        <w:r>
          <w:rPr>
            <w:noProof/>
            <w:webHidden/>
          </w:rPr>
          <w:fldChar w:fldCharType="begin"/>
        </w:r>
        <w:r>
          <w:rPr>
            <w:noProof/>
            <w:webHidden/>
          </w:rPr>
          <w:instrText xml:space="preserve"> PAGEREF _Toc233378734 \h </w:instrText>
        </w:r>
        <w:r>
          <w:rPr>
            <w:noProof/>
            <w:webHidden/>
          </w:rPr>
        </w:r>
        <w:r>
          <w:rPr>
            <w:noProof/>
            <w:webHidden/>
          </w:rPr>
          <w:fldChar w:fldCharType="separate"/>
        </w:r>
        <w:r>
          <w:rPr>
            <w:noProof/>
            <w:webHidden/>
          </w:rPr>
          <w:t>36</w:t>
        </w:r>
        <w:r>
          <w:rPr>
            <w:noProof/>
            <w:webHidden/>
          </w:rPr>
          <w:fldChar w:fldCharType="end"/>
        </w:r>
      </w:hyperlink>
      <w:r w:rsidR="00E83CB8" w:rsidRPr="00E83CB8">
        <w:rPr>
          <w:rFonts w:cstheme="minorHAnsi"/>
        </w:rPr>
        <w:fldChar w:fldCharType="end"/>
      </w:r>
    </w:p>
    <w:p w14:paraId="76FE5CFD" w14:textId="5092B162" w:rsidR="007547BD" w:rsidRDefault="00772A50">
      <w:pPr>
        <w:pStyle w:val="TableofFigures"/>
        <w:tabs>
          <w:tab w:val="right" w:leader="dot" w:pos="9174"/>
        </w:tabs>
        <w:rPr>
          <w:rFonts w:eastAsiaTheme="minorEastAsia"/>
          <w:noProof/>
          <w:kern w:val="2"/>
          <w:sz w:val="24"/>
          <w:szCs w:val="24"/>
          <w:lang w:eastAsia="en-AU"/>
          <w14:ligatures w14:val="standardContextual"/>
        </w:rPr>
      </w:pPr>
      <w:r>
        <w:fldChar w:fldCharType="begin"/>
      </w:r>
      <w:r>
        <w:instrText xml:space="preserve"> TOC \h \z \c "Table A" </w:instrText>
      </w:r>
      <w:r>
        <w:fldChar w:fldCharType="separate"/>
      </w:r>
      <w:hyperlink w:anchor="_Toc232769881" w:history="1">
        <w:r w:rsidR="007547BD" w:rsidRPr="004B6685">
          <w:rPr>
            <w:rStyle w:val="Hyperlink"/>
            <w:noProof/>
          </w:rPr>
          <w:t>Table A1 Vessel and aircraft volumes, 2021–22 to 2024–25</w:t>
        </w:r>
        <w:r w:rsidR="007547BD">
          <w:rPr>
            <w:noProof/>
            <w:webHidden/>
          </w:rPr>
          <w:tab/>
        </w:r>
        <w:r w:rsidR="007547BD">
          <w:rPr>
            <w:noProof/>
            <w:webHidden/>
          </w:rPr>
          <w:fldChar w:fldCharType="begin"/>
        </w:r>
        <w:r w:rsidR="007547BD">
          <w:rPr>
            <w:noProof/>
            <w:webHidden/>
          </w:rPr>
          <w:instrText xml:space="preserve"> PAGEREF _Toc232769881 \h </w:instrText>
        </w:r>
        <w:r w:rsidR="007547BD">
          <w:rPr>
            <w:noProof/>
            <w:webHidden/>
          </w:rPr>
        </w:r>
        <w:r w:rsidR="007547BD">
          <w:rPr>
            <w:noProof/>
            <w:webHidden/>
          </w:rPr>
          <w:fldChar w:fldCharType="separate"/>
        </w:r>
        <w:r w:rsidR="003709C9">
          <w:rPr>
            <w:noProof/>
            <w:webHidden/>
          </w:rPr>
          <w:t>37</w:t>
        </w:r>
        <w:r w:rsidR="007547BD">
          <w:rPr>
            <w:noProof/>
            <w:webHidden/>
          </w:rPr>
          <w:fldChar w:fldCharType="end"/>
        </w:r>
      </w:hyperlink>
    </w:p>
    <w:p w14:paraId="17425DD5" w14:textId="7949E539" w:rsidR="007547BD" w:rsidRDefault="007547BD">
      <w:pPr>
        <w:pStyle w:val="TableofFigures"/>
        <w:tabs>
          <w:tab w:val="right" w:leader="dot" w:pos="9174"/>
        </w:tabs>
        <w:rPr>
          <w:rFonts w:eastAsiaTheme="minorEastAsia"/>
          <w:noProof/>
          <w:kern w:val="2"/>
          <w:sz w:val="24"/>
          <w:szCs w:val="24"/>
          <w:lang w:eastAsia="en-AU"/>
          <w14:ligatures w14:val="standardContextual"/>
        </w:rPr>
      </w:pPr>
      <w:hyperlink w:anchor="_Toc232769882" w:history="1">
        <w:r w:rsidRPr="004B6685">
          <w:rPr>
            <w:rStyle w:val="Hyperlink"/>
            <w:noProof/>
          </w:rPr>
          <w:t>Table A2 Cargo volumes, 2021–22 to 2024–25</w:t>
        </w:r>
        <w:r>
          <w:rPr>
            <w:noProof/>
            <w:webHidden/>
          </w:rPr>
          <w:tab/>
        </w:r>
        <w:r>
          <w:rPr>
            <w:noProof/>
            <w:webHidden/>
          </w:rPr>
          <w:fldChar w:fldCharType="begin"/>
        </w:r>
        <w:r>
          <w:rPr>
            <w:noProof/>
            <w:webHidden/>
          </w:rPr>
          <w:instrText xml:space="preserve"> PAGEREF _Toc232769882 \h </w:instrText>
        </w:r>
        <w:r>
          <w:rPr>
            <w:noProof/>
            <w:webHidden/>
          </w:rPr>
        </w:r>
        <w:r>
          <w:rPr>
            <w:noProof/>
            <w:webHidden/>
          </w:rPr>
          <w:fldChar w:fldCharType="separate"/>
        </w:r>
        <w:r w:rsidR="003709C9">
          <w:rPr>
            <w:noProof/>
            <w:webHidden/>
          </w:rPr>
          <w:t>37</w:t>
        </w:r>
        <w:r>
          <w:rPr>
            <w:noProof/>
            <w:webHidden/>
          </w:rPr>
          <w:fldChar w:fldCharType="end"/>
        </w:r>
      </w:hyperlink>
    </w:p>
    <w:p w14:paraId="114A3E49" w14:textId="48B031EB" w:rsidR="0071457B" w:rsidRDefault="007547BD" w:rsidP="0071457B">
      <w:pPr>
        <w:pStyle w:val="TableofFigures"/>
        <w:tabs>
          <w:tab w:val="right" w:leader="dot" w:pos="9174"/>
        </w:tabs>
      </w:pPr>
      <w:hyperlink w:anchor="_Toc232769883" w:history="1">
        <w:r w:rsidRPr="004B6685">
          <w:rPr>
            <w:rStyle w:val="Hyperlink"/>
            <w:noProof/>
          </w:rPr>
          <w:t>Table A3 Import permit applications and animals processed at PEQ, 2021–22 to 2024–25</w:t>
        </w:r>
        <w:r>
          <w:rPr>
            <w:noProof/>
            <w:webHidden/>
          </w:rPr>
          <w:tab/>
        </w:r>
        <w:r>
          <w:rPr>
            <w:noProof/>
            <w:webHidden/>
          </w:rPr>
          <w:fldChar w:fldCharType="begin"/>
        </w:r>
        <w:r>
          <w:rPr>
            <w:noProof/>
            <w:webHidden/>
          </w:rPr>
          <w:instrText xml:space="preserve"> PAGEREF _Toc232769883 \h </w:instrText>
        </w:r>
        <w:r>
          <w:rPr>
            <w:noProof/>
            <w:webHidden/>
          </w:rPr>
        </w:r>
        <w:r>
          <w:rPr>
            <w:noProof/>
            <w:webHidden/>
          </w:rPr>
          <w:fldChar w:fldCharType="separate"/>
        </w:r>
        <w:r w:rsidR="003709C9">
          <w:rPr>
            <w:noProof/>
            <w:webHidden/>
          </w:rPr>
          <w:t>37</w:t>
        </w:r>
        <w:r>
          <w:rPr>
            <w:noProof/>
            <w:webHidden/>
          </w:rPr>
          <w:fldChar w:fldCharType="end"/>
        </w:r>
      </w:hyperlink>
      <w:r w:rsidR="00772A50">
        <w:fldChar w:fldCharType="end"/>
      </w:r>
    </w:p>
    <w:p w14:paraId="62C76E8C" w14:textId="2EE48EE2" w:rsidR="00E83CB8" w:rsidRPr="0071457B" w:rsidRDefault="00E83CB8" w:rsidP="0071457B">
      <w:pPr>
        <w:pStyle w:val="TOCHeading2"/>
      </w:pPr>
      <w:r w:rsidRPr="0071457B">
        <w:t>Figures</w:t>
      </w:r>
    </w:p>
    <w:p w14:paraId="324A36F0" w14:textId="7F117792" w:rsidR="003709C9" w:rsidRDefault="00E83CB8">
      <w:pPr>
        <w:pStyle w:val="TableofFigures"/>
        <w:tabs>
          <w:tab w:val="right" w:leader="dot" w:pos="9174"/>
        </w:tabs>
        <w:rPr>
          <w:rFonts w:eastAsiaTheme="minorEastAsia"/>
          <w:noProof/>
          <w:kern w:val="2"/>
          <w:sz w:val="24"/>
          <w:szCs w:val="24"/>
          <w:lang w:eastAsia="en-AU"/>
          <w14:ligatures w14:val="standardContextual"/>
        </w:rPr>
      </w:pPr>
      <w:r w:rsidRPr="00E83CB8">
        <w:rPr>
          <w:rFonts w:cstheme="minorHAnsi"/>
        </w:rPr>
        <w:fldChar w:fldCharType="begin"/>
      </w:r>
      <w:r w:rsidRPr="00E83CB8">
        <w:rPr>
          <w:rFonts w:cstheme="minorHAnsi"/>
        </w:rPr>
        <w:instrText xml:space="preserve"> TOC \h \z \c "Figure" </w:instrText>
      </w:r>
      <w:r w:rsidRPr="00E83CB8">
        <w:rPr>
          <w:rFonts w:cstheme="minorHAnsi"/>
        </w:rPr>
        <w:fldChar w:fldCharType="separate"/>
      </w:r>
      <w:hyperlink w:anchor="_Toc233378735" w:history="1">
        <w:r w:rsidR="003709C9" w:rsidRPr="00A550A4">
          <w:rPr>
            <w:rStyle w:val="Hyperlink"/>
            <w:noProof/>
          </w:rPr>
          <w:t>Figure 1 Example of how a regulated entity would be charged for an intervention activity</w:t>
        </w:r>
        <w:r w:rsidR="003709C9">
          <w:rPr>
            <w:noProof/>
            <w:webHidden/>
          </w:rPr>
          <w:tab/>
        </w:r>
        <w:r w:rsidR="003709C9">
          <w:rPr>
            <w:noProof/>
            <w:webHidden/>
          </w:rPr>
          <w:fldChar w:fldCharType="begin"/>
        </w:r>
        <w:r w:rsidR="003709C9">
          <w:rPr>
            <w:noProof/>
            <w:webHidden/>
          </w:rPr>
          <w:instrText xml:space="preserve"> PAGEREF _Toc233378735 \h </w:instrText>
        </w:r>
        <w:r w:rsidR="003709C9">
          <w:rPr>
            <w:noProof/>
            <w:webHidden/>
          </w:rPr>
        </w:r>
        <w:r w:rsidR="003709C9">
          <w:rPr>
            <w:noProof/>
            <w:webHidden/>
          </w:rPr>
          <w:fldChar w:fldCharType="separate"/>
        </w:r>
        <w:r w:rsidR="003709C9">
          <w:rPr>
            <w:noProof/>
            <w:webHidden/>
          </w:rPr>
          <w:t>9</w:t>
        </w:r>
        <w:r w:rsidR="003709C9">
          <w:rPr>
            <w:noProof/>
            <w:webHidden/>
          </w:rPr>
          <w:fldChar w:fldCharType="end"/>
        </w:r>
      </w:hyperlink>
    </w:p>
    <w:p w14:paraId="642A51E1" w14:textId="16EA2600" w:rsidR="003709C9" w:rsidRDefault="003709C9">
      <w:pPr>
        <w:pStyle w:val="TableofFigures"/>
        <w:tabs>
          <w:tab w:val="right" w:leader="dot" w:pos="9174"/>
        </w:tabs>
        <w:rPr>
          <w:rFonts w:eastAsiaTheme="minorEastAsia"/>
          <w:noProof/>
          <w:kern w:val="2"/>
          <w:sz w:val="24"/>
          <w:szCs w:val="24"/>
          <w:lang w:eastAsia="en-AU"/>
          <w14:ligatures w14:val="standardContextual"/>
        </w:rPr>
      </w:pPr>
      <w:hyperlink w:anchor="_Toc233378736" w:history="1">
        <w:r w:rsidRPr="00A550A4">
          <w:rPr>
            <w:rStyle w:val="Hyperlink"/>
            <w:noProof/>
          </w:rPr>
          <w:t>Figure 2 Charge and fee-related activities and associated outputs</w:t>
        </w:r>
        <w:r>
          <w:rPr>
            <w:noProof/>
            <w:webHidden/>
          </w:rPr>
          <w:tab/>
        </w:r>
        <w:r>
          <w:rPr>
            <w:noProof/>
            <w:webHidden/>
          </w:rPr>
          <w:fldChar w:fldCharType="begin"/>
        </w:r>
        <w:r>
          <w:rPr>
            <w:noProof/>
            <w:webHidden/>
          </w:rPr>
          <w:instrText xml:space="preserve"> PAGEREF _Toc233378736 \h </w:instrText>
        </w:r>
        <w:r>
          <w:rPr>
            <w:noProof/>
            <w:webHidden/>
          </w:rPr>
        </w:r>
        <w:r>
          <w:rPr>
            <w:noProof/>
            <w:webHidden/>
          </w:rPr>
          <w:fldChar w:fldCharType="separate"/>
        </w:r>
        <w:r>
          <w:rPr>
            <w:noProof/>
            <w:webHidden/>
          </w:rPr>
          <w:t>10</w:t>
        </w:r>
        <w:r>
          <w:rPr>
            <w:noProof/>
            <w:webHidden/>
          </w:rPr>
          <w:fldChar w:fldCharType="end"/>
        </w:r>
      </w:hyperlink>
    </w:p>
    <w:p w14:paraId="1FE68940" w14:textId="46940386" w:rsidR="00E83CB8" w:rsidRPr="00E83CB8" w:rsidRDefault="00E83CB8" w:rsidP="00D71345">
      <w:pPr>
        <w:spacing w:after="0" w:line="240" w:lineRule="auto"/>
        <w:sectPr w:rsidR="00E83CB8" w:rsidRPr="00E83CB8" w:rsidSect="00331180">
          <w:headerReference w:type="default" r:id="rId15"/>
          <w:footerReference w:type="default" r:id="rId16"/>
          <w:headerReference w:type="first" r:id="rId17"/>
          <w:pgSz w:w="11906" w:h="16838"/>
          <w:pgMar w:top="1361" w:right="1361" w:bottom="1361" w:left="1361" w:header="567" w:footer="284" w:gutter="0"/>
          <w:pgNumType w:fmt="lowerRoman"/>
          <w:cols w:space="708"/>
          <w:titlePg/>
          <w:docGrid w:linePitch="360"/>
        </w:sectPr>
      </w:pPr>
      <w:r w:rsidRPr="00E83CB8">
        <w:rPr>
          <w:rFonts w:ascii="Calibri Light" w:hAnsi="Calibri Light" w:cstheme="minorHAnsi"/>
          <w:sz w:val="36"/>
        </w:rPr>
        <w:fldChar w:fldCharType="end"/>
      </w:r>
      <w:bookmarkStart w:id="3" w:name="_Ref135815660"/>
      <w:bookmarkStart w:id="4" w:name="_Toc168489241"/>
      <w:bookmarkStart w:id="5" w:name="_Toc168489538"/>
      <w:bookmarkStart w:id="6" w:name="_Toc168645236"/>
    </w:p>
    <w:p w14:paraId="6A2C19EA" w14:textId="2F67B85E" w:rsidR="00E83CB8" w:rsidRPr="00E459E0" w:rsidRDefault="00811A82" w:rsidP="00E85F56">
      <w:pPr>
        <w:pStyle w:val="Heading2"/>
        <w:numPr>
          <w:ilvl w:val="0"/>
          <w:numId w:val="0"/>
        </w:numPr>
        <w:ind w:left="720" w:hanging="720"/>
      </w:pPr>
      <w:bookmarkStart w:id="7" w:name="_Toc233378679"/>
      <w:r w:rsidRPr="00E459E0">
        <w:lastRenderedPageBreak/>
        <w:t>I</w:t>
      </w:r>
      <w:r w:rsidR="00E83CB8" w:rsidRPr="00E459E0">
        <w:t>ntroduction</w:t>
      </w:r>
      <w:bookmarkEnd w:id="3"/>
      <w:bookmarkEnd w:id="4"/>
      <w:bookmarkEnd w:id="5"/>
      <w:bookmarkEnd w:id="6"/>
      <w:bookmarkEnd w:id="7"/>
    </w:p>
    <w:p w14:paraId="23AB7762" w14:textId="28D60B55" w:rsidR="000A7A40" w:rsidRPr="00472697" w:rsidRDefault="000A7A40" w:rsidP="000A7A40">
      <w:pPr>
        <w:rPr>
          <w:lang w:eastAsia="ja-JP"/>
        </w:rPr>
      </w:pPr>
      <w:r w:rsidRPr="00472697">
        <w:rPr>
          <w:lang w:eastAsia="ja-JP"/>
        </w:rPr>
        <w:t xml:space="preserve">Charging for regulatory activity involves government entities charging individuals or organisations in </w:t>
      </w:r>
      <w:r w:rsidRPr="00B262C0">
        <w:rPr>
          <w:lang w:eastAsia="ja-JP"/>
        </w:rPr>
        <w:t>the non-government sector some</w:t>
      </w:r>
      <w:r w:rsidRPr="00472697">
        <w:rPr>
          <w:lang w:eastAsia="ja-JP"/>
        </w:rPr>
        <w:t xml:space="preserve"> or </w:t>
      </w:r>
      <w:proofErr w:type="gramStart"/>
      <w:r w:rsidRPr="00472697">
        <w:rPr>
          <w:lang w:eastAsia="ja-JP"/>
        </w:rPr>
        <w:t>all of</w:t>
      </w:r>
      <w:proofErr w:type="gramEnd"/>
      <w:r w:rsidRPr="00472697">
        <w:rPr>
          <w:lang w:eastAsia="ja-JP"/>
        </w:rPr>
        <w:t xml:space="preserve"> the minimum efficient costs of a specific government activity. The</w:t>
      </w:r>
      <w:r w:rsidR="004B36FD" w:rsidRPr="004B36FD">
        <w:t xml:space="preserve"> </w:t>
      </w:r>
      <w:r w:rsidR="00E765B8" w:rsidRPr="00B262C0">
        <w:rPr>
          <w:lang w:eastAsia="ja-JP"/>
        </w:rPr>
        <w:t xml:space="preserve">Australian Government Charging Framework </w:t>
      </w:r>
      <w:r w:rsidR="00E765B8">
        <w:rPr>
          <w:lang w:eastAsia="ja-JP"/>
        </w:rPr>
        <w:t xml:space="preserve">along with the </w:t>
      </w:r>
      <w:r w:rsidR="004B36FD" w:rsidRPr="004B36FD">
        <w:rPr>
          <w:lang w:eastAsia="ja-JP"/>
        </w:rPr>
        <w:t>Australian Government Cost Recovery Policy</w:t>
      </w:r>
      <w:r w:rsidRPr="00472697">
        <w:rPr>
          <w:lang w:eastAsia="ja-JP"/>
        </w:rPr>
        <w:t xml:space="preserve"> sets out the policy under which government entities design, implement and review charging for regulatory </w:t>
      </w:r>
      <w:r w:rsidRPr="00B262C0">
        <w:rPr>
          <w:lang w:eastAsia="ja-JP"/>
        </w:rPr>
        <w:t xml:space="preserve">activities. The </w:t>
      </w:r>
      <w:r w:rsidR="00B262C0" w:rsidRPr="00B262C0">
        <w:rPr>
          <w:lang w:eastAsia="ja-JP"/>
        </w:rPr>
        <w:t>cost recovery implementation statement</w:t>
      </w:r>
      <w:r w:rsidR="00B262C0" w:rsidRPr="00472697">
        <w:rPr>
          <w:lang w:eastAsia="ja-JP"/>
        </w:rPr>
        <w:t xml:space="preserve"> </w:t>
      </w:r>
      <w:r w:rsidRPr="00472697">
        <w:rPr>
          <w:lang w:eastAsia="ja-JP"/>
        </w:rPr>
        <w:t>ensure</w:t>
      </w:r>
      <w:r w:rsidR="004B36FD">
        <w:rPr>
          <w:lang w:eastAsia="ja-JP"/>
        </w:rPr>
        <w:t>s</w:t>
      </w:r>
      <w:r w:rsidRPr="00472697">
        <w:rPr>
          <w:lang w:eastAsia="ja-JP"/>
        </w:rPr>
        <w:t xml:space="preserve"> transparency and accountability for the level of charging </w:t>
      </w:r>
      <w:r w:rsidR="00E459E0" w:rsidRPr="00472697">
        <w:rPr>
          <w:lang w:eastAsia="ja-JP"/>
        </w:rPr>
        <w:t xml:space="preserve">by the </w:t>
      </w:r>
      <w:r w:rsidR="00733737" w:rsidRPr="00472697">
        <w:t xml:space="preserve">Department of Agriculture, Fisheries and Forestry </w:t>
      </w:r>
      <w:r w:rsidRPr="00472697">
        <w:rPr>
          <w:lang w:eastAsia="ja-JP"/>
        </w:rPr>
        <w:t>and demonstrate</w:t>
      </w:r>
      <w:r w:rsidR="004B36FD">
        <w:rPr>
          <w:lang w:eastAsia="ja-JP"/>
        </w:rPr>
        <w:t>s</w:t>
      </w:r>
      <w:r w:rsidRPr="00472697">
        <w:rPr>
          <w:lang w:eastAsia="ja-JP"/>
        </w:rPr>
        <w:t xml:space="preserve"> </w:t>
      </w:r>
      <w:r w:rsidR="007D2283">
        <w:rPr>
          <w:lang w:eastAsia="ja-JP"/>
        </w:rPr>
        <w:t xml:space="preserve">that </w:t>
      </w:r>
      <w:r w:rsidRPr="00472697">
        <w:rPr>
          <w:lang w:eastAsia="ja-JP"/>
        </w:rPr>
        <w:t xml:space="preserve">the purpose for charging, as decided by </w:t>
      </w:r>
      <w:r w:rsidR="00D4152B">
        <w:rPr>
          <w:lang w:eastAsia="ja-JP"/>
        </w:rPr>
        <w:t>g</w:t>
      </w:r>
      <w:r w:rsidRPr="00472697">
        <w:rPr>
          <w:lang w:eastAsia="ja-JP"/>
        </w:rPr>
        <w:t>overnment</w:t>
      </w:r>
      <w:r w:rsidR="007D2283">
        <w:rPr>
          <w:lang w:eastAsia="ja-JP"/>
        </w:rPr>
        <w:t>,</w:t>
      </w:r>
      <w:r w:rsidRPr="00472697">
        <w:rPr>
          <w:lang w:eastAsia="ja-JP"/>
        </w:rPr>
        <w:t xml:space="preserve"> is being achieved.</w:t>
      </w:r>
    </w:p>
    <w:p w14:paraId="38EB12A8" w14:textId="77777777" w:rsidR="00E83CB8" w:rsidRPr="007A47DF" w:rsidRDefault="00E83CB8" w:rsidP="00072A4B">
      <w:pPr>
        <w:pStyle w:val="Heading3"/>
        <w:numPr>
          <w:ilvl w:val="0"/>
          <w:numId w:val="0"/>
        </w:numPr>
        <w:ind w:left="964" w:hanging="964"/>
        <w:rPr>
          <w:lang w:eastAsia="ja-JP"/>
        </w:rPr>
      </w:pPr>
      <w:bookmarkStart w:id="8" w:name="_Toc168489242"/>
      <w:bookmarkStart w:id="9" w:name="_Toc168489539"/>
      <w:bookmarkStart w:id="10" w:name="_Toc168645237"/>
      <w:bookmarkStart w:id="11" w:name="_Toc233378680"/>
      <w:r w:rsidRPr="007A47DF">
        <w:rPr>
          <w:lang w:eastAsia="ja-JP"/>
        </w:rPr>
        <w:t>Purpose</w:t>
      </w:r>
      <w:bookmarkEnd w:id="8"/>
      <w:bookmarkEnd w:id="9"/>
      <w:bookmarkEnd w:id="10"/>
      <w:bookmarkEnd w:id="11"/>
    </w:p>
    <w:p w14:paraId="0F3D0070" w14:textId="2BA35614" w:rsidR="000A7A40" w:rsidRPr="00472697" w:rsidRDefault="000A7A40" w:rsidP="00E83CB8">
      <w:r w:rsidRPr="00472697">
        <w:t xml:space="preserve">This </w:t>
      </w:r>
      <w:r w:rsidR="00E5351A">
        <w:t>c</w:t>
      </w:r>
      <w:r w:rsidRPr="004B36FD">
        <w:t xml:space="preserve">ost </w:t>
      </w:r>
      <w:r w:rsidR="00E5351A">
        <w:t>r</w:t>
      </w:r>
      <w:r w:rsidRPr="004B36FD">
        <w:t xml:space="preserve">ecovery </w:t>
      </w:r>
      <w:r w:rsidR="00E5351A">
        <w:t>i</w:t>
      </w:r>
      <w:r w:rsidRPr="004B36FD">
        <w:t xml:space="preserve">mplementation </w:t>
      </w:r>
      <w:r w:rsidR="00E5351A">
        <w:t>s</w:t>
      </w:r>
      <w:r w:rsidRPr="004B36FD">
        <w:t>tatement</w:t>
      </w:r>
      <w:r w:rsidRPr="00472697">
        <w:t xml:space="preserve"> (CRIS) provides information on how </w:t>
      </w:r>
      <w:r w:rsidR="00F56984">
        <w:t>we</w:t>
      </w:r>
      <w:r w:rsidRPr="00472697">
        <w:t xml:space="preserve"> implement cost recovery </w:t>
      </w:r>
      <w:r w:rsidR="00F56984">
        <w:t>for</w:t>
      </w:r>
      <w:r w:rsidRPr="00472697">
        <w:t xml:space="preserve"> biosecurity and imported food regulatory activities. It reports actual financial and non-financial performance information for </w:t>
      </w:r>
      <w:r w:rsidR="00EB4650" w:rsidRPr="00472697">
        <w:t>these regulatory activities</w:t>
      </w:r>
      <w:r w:rsidRPr="00472697">
        <w:t xml:space="preserve"> and contains financial </w:t>
      </w:r>
      <w:r w:rsidR="00D35CE1" w:rsidRPr="00472697">
        <w:t xml:space="preserve">and demand </w:t>
      </w:r>
      <w:r w:rsidRPr="00472697">
        <w:t xml:space="preserve">forecasts for </w:t>
      </w:r>
      <w:r w:rsidR="002D6968">
        <w:t>2026</w:t>
      </w:r>
      <w:r w:rsidR="00AD547D">
        <w:t>–</w:t>
      </w:r>
      <w:r w:rsidR="002D6968">
        <w:t>27</w:t>
      </w:r>
      <w:r w:rsidRPr="00472697">
        <w:t xml:space="preserve"> and </w:t>
      </w:r>
      <w:r w:rsidR="00D35CE1" w:rsidRPr="00472697">
        <w:t xml:space="preserve">financial forecasts for </w:t>
      </w:r>
      <w:r w:rsidR="00EB4650" w:rsidRPr="00472697">
        <w:t>3</w:t>
      </w:r>
      <w:r w:rsidRPr="00472697">
        <w:t xml:space="preserve"> forward years.</w:t>
      </w:r>
    </w:p>
    <w:p w14:paraId="78B29C2D" w14:textId="3275B8C2" w:rsidR="00BE53DD" w:rsidRDefault="00551407" w:rsidP="00012DBA">
      <w:pPr>
        <w:pStyle w:val="Heading2"/>
      </w:pPr>
      <w:bookmarkStart w:id="12" w:name="_Toc233378681"/>
      <w:bookmarkStart w:id="13" w:name="_Toc168489243"/>
      <w:bookmarkStart w:id="14" w:name="_Toc168489540"/>
      <w:bookmarkStart w:id="15" w:name="_Toc168645238"/>
      <w:r>
        <w:lastRenderedPageBreak/>
        <w:t>R</w:t>
      </w:r>
      <w:r w:rsidR="00BE53DD">
        <w:t>egulatory environment</w:t>
      </w:r>
      <w:bookmarkEnd w:id="12"/>
    </w:p>
    <w:p w14:paraId="442B75CF" w14:textId="4F58A3A2" w:rsidR="00E83CB8" w:rsidRPr="00E459E0" w:rsidRDefault="00E83CB8" w:rsidP="00857DB4">
      <w:pPr>
        <w:pStyle w:val="Heading3"/>
      </w:pPr>
      <w:bookmarkStart w:id="16" w:name="_Toc233378682"/>
      <w:r w:rsidRPr="00E459E0">
        <w:t>Description of regulatory activity</w:t>
      </w:r>
      <w:bookmarkEnd w:id="13"/>
      <w:bookmarkEnd w:id="14"/>
      <w:bookmarkEnd w:id="15"/>
      <w:bookmarkEnd w:id="16"/>
    </w:p>
    <w:p w14:paraId="3A0F0E02" w14:textId="77777777" w:rsidR="00D35CE1" w:rsidRPr="00472697" w:rsidRDefault="00D35CE1" w:rsidP="00D35CE1">
      <w:pPr>
        <w:rPr>
          <w:rFonts w:cstheme="minorHAnsi"/>
          <w:lang w:eastAsia="ja-JP"/>
        </w:rPr>
      </w:pPr>
      <w:bookmarkStart w:id="17" w:name="_Hlk197617772"/>
      <w:r w:rsidRPr="00472697">
        <w:rPr>
          <w:rFonts w:cstheme="minorHAnsi"/>
          <w:lang w:eastAsia="ja-JP"/>
        </w:rPr>
        <w:t>The key policy objective for our cost-recovered regulatory activity is to:</w:t>
      </w:r>
    </w:p>
    <w:p w14:paraId="6E992A6E" w14:textId="4044ECFF" w:rsidR="00D35CE1" w:rsidRPr="00472697" w:rsidRDefault="00D35CE1" w:rsidP="001D3FAB">
      <w:pPr>
        <w:pStyle w:val="Quote"/>
      </w:pPr>
      <w:r w:rsidRPr="00472697">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r w:rsidR="00F56984">
        <w:t xml:space="preserve"> </w:t>
      </w:r>
      <w:r w:rsidRPr="00472697">
        <w:t>(DAFF 202</w:t>
      </w:r>
      <w:r w:rsidR="00F56984">
        <w:t>6</w:t>
      </w:r>
      <w:r w:rsidRPr="00472697">
        <w:t>).</w:t>
      </w:r>
    </w:p>
    <w:bookmarkEnd w:id="17"/>
    <w:p w14:paraId="67209EC4" w14:textId="0D1D45B8" w:rsidR="00D32286" w:rsidRPr="00472697" w:rsidRDefault="00E765B8" w:rsidP="003347FA">
      <w:r>
        <w:rPr>
          <w:rFonts w:cstheme="minorHAnsi"/>
          <w:lang w:eastAsia="ja-JP"/>
        </w:rPr>
        <w:t>We cost recover</w:t>
      </w:r>
      <w:r w:rsidR="003347FA" w:rsidRPr="00472697">
        <w:rPr>
          <w:rFonts w:cstheme="minorHAnsi"/>
          <w:lang w:eastAsia="ja-JP"/>
        </w:rPr>
        <w:t xml:space="preserve"> for </w:t>
      </w:r>
      <w:r w:rsidR="003347FA" w:rsidRPr="00472697">
        <w:t xml:space="preserve">biosecurity and imported food regulatory </w:t>
      </w:r>
      <w:r w:rsidR="00AD5224" w:rsidRPr="00472697">
        <w:t>activities to</w:t>
      </w:r>
      <w:r w:rsidR="00E459E0" w:rsidRPr="00472697">
        <w:t xml:space="preserve"> support key government objective</w:t>
      </w:r>
      <w:r w:rsidR="00176A9B">
        <w:t>s</w:t>
      </w:r>
      <w:r w:rsidR="00FC1214">
        <w:t xml:space="preserve">. </w:t>
      </w:r>
      <w:r w:rsidR="00176A9B">
        <w:t>These activities include</w:t>
      </w:r>
      <w:r w:rsidR="00FB3B1C">
        <w:t>:</w:t>
      </w:r>
    </w:p>
    <w:p w14:paraId="619543FE" w14:textId="363E5C93" w:rsidR="00D32286" w:rsidRPr="00472697" w:rsidRDefault="00FC1214" w:rsidP="00D32286">
      <w:pPr>
        <w:pStyle w:val="ListBullet"/>
        <w:rPr>
          <w:lang w:eastAsia="ja-JP"/>
        </w:rPr>
      </w:pPr>
      <w:r w:rsidRPr="00472697">
        <w:rPr>
          <w:lang w:eastAsia="ja-JP"/>
        </w:rPr>
        <w:t>manag</w:t>
      </w:r>
      <w:r>
        <w:rPr>
          <w:lang w:eastAsia="ja-JP"/>
        </w:rPr>
        <w:t>ing</w:t>
      </w:r>
      <w:r w:rsidRPr="00472697">
        <w:rPr>
          <w:lang w:eastAsia="ja-JP"/>
        </w:rPr>
        <w:t xml:space="preserve"> </w:t>
      </w:r>
      <w:r w:rsidR="003347FA" w:rsidRPr="00472697">
        <w:rPr>
          <w:lang w:eastAsia="ja-JP"/>
        </w:rPr>
        <w:t>biosecurity risks arising from people, goods and conveyances (vessels and aircraft) entering Australia</w:t>
      </w:r>
    </w:p>
    <w:p w14:paraId="6F972915" w14:textId="6AC628F7" w:rsidR="003347FA" w:rsidRPr="00472697" w:rsidRDefault="003347FA" w:rsidP="00D32286">
      <w:pPr>
        <w:pStyle w:val="ListBullet"/>
      </w:pPr>
      <w:r w:rsidRPr="00472697">
        <w:rPr>
          <w:lang w:eastAsia="ja-JP"/>
        </w:rPr>
        <w:t>assess</w:t>
      </w:r>
      <w:r w:rsidR="00FC1214">
        <w:rPr>
          <w:lang w:eastAsia="ja-JP"/>
        </w:rPr>
        <w:t>ing</w:t>
      </w:r>
      <w:r w:rsidRPr="00472697">
        <w:rPr>
          <w:lang w:eastAsia="ja-JP"/>
        </w:rPr>
        <w:t xml:space="preserve"> compliance of imported food with relevant food standards and public health and safety requirements.</w:t>
      </w:r>
    </w:p>
    <w:p w14:paraId="30AD1F9F" w14:textId="4D5AC33F" w:rsidR="00271472" w:rsidRPr="00472697" w:rsidRDefault="00AD547D" w:rsidP="00271472">
      <w:bookmarkStart w:id="18" w:name="_Hlk199955092"/>
      <w:r>
        <w:t>Our</w:t>
      </w:r>
      <w:r w:rsidR="00271472">
        <w:t xml:space="preserve"> regulatory</w:t>
      </w:r>
      <w:r w:rsidR="00271472" w:rsidRPr="00472697">
        <w:t xml:space="preserve"> activities</w:t>
      </w:r>
      <w:r w:rsidR="00271472" w:rsidRPr="00472697">
        <w:rPr>
          <w:rFonts w:cstheme="minorHAnsi"/>
          <w:lang w:eastAsia="ja-JP"/>
        </w:rPr>
        <w:t xml:space="preserve"> occur onshore, offshore and at the border</w:t>
      </w:r>
      <w:r w:rsidR="00271472">
        <w:rPr>
          <w:rFonts w:cstheme="minorHAnsi"/>
          <w:lang w:eastAsia="ja-JP"/>
        </w:rPr>
        <w:t xml:space="preserve">. These activities </w:t>
      </w:r>
      <w:r w:rsidR="00271472" w:rsidRPr="00472697">
        <w:t xml:space="preserve">are associated with </w:t>
      </w:r>
      <w:r w:rsidR="00271472">
        <w:t xml:space="preserve">measures and </w:t>
      </w:r>
      <w:r w:rsidR="00271472" w:rsidRPr="00472697">
        <w:t>controls to manage and minimise the risk of pests, weeds and diseases entering, emerging, establishing or spreading within Australia</w:t>
      </w:r>
      <w:r w:rsidR="00271472">
        <w:t xml:space="preserve">. This in turn facilitates </w:t>
      </w:r>
      <w:r w:rsidR="00271472" w:rsidRPr="00472697">
        <w:t>trade and the movement of plants, animals, people and products.</w:t>
      </w:r>
      <w:r w:rsidR="00271472">
        <w:t xml:space="preserve"> </w:t>
      </w:r>
      <w:r w:rsidR="00271472" w:rsidRPr="00664207">
        <w:t>Imported food regulatory activities are associated with protecting public health and safety</w:t>
      </w:r>
      <w:r w:rsidR="00271472">
        <w:t>.</w:t>
      </w:r>
    </w:p>
    <w:bookmarkEnd w:id="18"/>
    <w:p w14:paraId="5DAC31A5" w14:textId="3183E64F" w:rsidR="00E47514" w:rsidRPr="001D1A2A" w:rsidRDefault="00E47514" w:rsidP="001D1A2A">
      <w:r w:rsidRPr="001D1A2A">
        <w:t>The Australian Government continues to affirm full cost recovery as the appropriate level of cost recovery through the portfolio budget statements and budget processes each year.</w:t>
      </w:r>
    </w:p>
    <w:p w14:paraId="6472A779" w14:textId="6533E253" w:rsidR="00E83CB8" w:rsidRPr="00857DB4" w:rsidRDefault="00E83CB8" w:rsidP="00857DB4">
      <w:pPr>
        <w:pStyle w:val="Heading3"/>
      </w:pPr>
      <w:bookmarkStart w:id="19" w:name="_Toc168489244"/>
      <w:bookmarkStart w:id="20" w:name="_Toc168489541"/>
      <w:bookmarkStart w:id="21" w:name="_Toc168645239"/>
      <w:bookmarkStart w:id="22" w:name="_Toc233378683"/>
      <w:r w:rsidRPr="00857DB4">
        <w:t>Industry and regulatory groups</w:t>
      </w:r>
      <w:bookmarkEnd w:id="19"/>
      <w:bookmarkEnd w:id="20"/>
      <w:bookmarkEnd w:id="21"/>
      <w:bookmarkEnd w:id="22"/>
    </w:p>
    <w:p w14:paraId="3ACD706B" w14:textId="3ECB5C64" w:rsidR="00A4727E" w:rsidRPr="00A4727E" w:rsidRDefault="00A4727E" w:rsidP="00A4727E">
      <w:pPr>
        <w:rPr>
          <w:rFonts w:cstheme="minorHAnsi"/>
          <w:lang w:eastAsia="ja-JP"/>
        </w:rPr>
      </w:pPr>
      <w:r>
        <w:rPr>
          <w:rFonts w:cstheme="minorHAnsi"/>
          <w:lang w:eastAsia="ja-JP"/>
        </w:rPr>
        <w:t>We impose c</w:t>
      </w:r>
      <w:r w:rsidRPr="00A4727E">
        <w:rPr>
          <w:rFonts w:cstheme="minorHAnsi"/>
          <w:lang w:eastAsia="ja-JP"/>
        </w:rPr>
        <w:t xml:space="preserve">ost recovery charges </w:t>
      </w:r>
      <w:r>
        <w:rPr>
          <w:rFonts w:cstheme="minorHAnsi"/>
          <w:lang w:eastAsia="ja-JP"/>
        </w:rPr>
        <w:t>on 4</w:t>
      </w:r>
      <w:r w:rsidRPr="00A4727E">
        <w:rPr>
          <w:rFonts w:cstheme="minorHAnsi"/>
          <w:lang w:eastAsia="ja-JP"/>
        </w:rPr>
        <w:t xml:space="preserve"> key groups that </w:t>
      </w:r>
      <w:r w:rsidR="00FE4DDE">
        <w:rPr>
          <w:rFonts w:cstheme="minorHAnsi"/>
          <w:lang w:eastAsia="ja-JP"/>
        </w:rPr>
        <w:t>create</w:t>
      </w:r>
      <w:r>
        <w:rPr>
          <w:rFonts w:cstheme="minorHAnsi"/>
          <w:lang w:eastAsia="ja-JP"/>
        </w:rPr>
        <w:t xml:space="preserve"> </w:t>
      </w:r>
      <w:r w:rsidR="00FE4DDE">
        <w:rPr>
          <w:rFonts w:cstheme="minorHAnsi"/>
          <w:lang w:eastAsia="ja-JP"/>
        </w:rPr>
        <w:t xml:space="preserve">the </w:t>
      </w:r>
      <w:r w:rsidR="00FE4DDE" w:rsidRPr="00A4727E">
        <w:rPr>
          <w:rFonts w:cstheme="minorHAnsi"/>
          <w:lang w:eastAsia="ja-JP"/>
        </w:rPr>
        <w:t>biosecurity</w:t>
      </w:r>
      <w:r w:rsidRPr="00A4727E">
        <w:rPr>
          <w:rFonts w:cstheme="minorHAnsi"/>
          <w:lang w:eastAsia="ja-JP"/>
        </w:rPr>
        <w:t xml:space="preserve"> risks </w:t>
      </w:r>
      <w:r>
        <w:rPr>
          <w:rFonts w:cstheme="minorHAnsi"/>
          <w:lang w:eastAsia="ja-JP"/>
        </w:rPr>
        <w:t>we manage</w:t>
      </w:r>
      <w:r w:rsidRPr="00A4727E">
        <w:rPr>
          <w:rFonts w:cstheme="minorHAnsi"/>
          <w:lang w:eastAsia="ja-JP"/>
        </w:rPr>
        <w:t>: importers, conveyance operators, biosecurity industry participants, and, to a limited extent, international travellers in relation to their baggage</w:t>
      </w:r>
      <w:r w:rsidR="00FE4DDE">
        <w:rPr>
          <w:rFonts w:cstheme="minorHAnsi"/>
          <w:lang w:eastAsia="ja-JP"/>
        </w:rPr>
        <w:t>.</w:t>
      </w:r>
    </w:p>
    <w:p w14:paraId="62ECEC52" w14:textId="15DD041E" w:rsidR="003F5006" w:rsidRPr="00472697" w:rsidRDefault="00F00DB0" w:rsidP="00E83CB8">
      <w:pPr>
        <w:rPr>
          <w:rFonts w:cstheme="minorHAnsi"/>
          <w:lang w:eastAsia="ja-JP"/>
        </w:rPr>
      </w:pPr>
      <w:r w:rsidRPr="00472697">
        <w:rPr>
          <w:rFonts w:cstheme="minorHAnsi"/>
          <w:lang w:eastAsia="ja-JP"/>
        </w:rPr>
        <w:t xml:space="preserve">We charge </w:t>
      </w:r>
      <w:r w:rsidR="001F4822">
        <w:rPr>
          <w:rFonts w:cstheme="minorHAnsi"/>
          <w:lang w:eastAsia="ja-JP"/>
        </w:rPr>
        <w:t xml:space="preserve">these </w:t>
      </w:r>
      <w:r w:rsidR="00664207">
        <w:rPr>
          <w:rFonts w:cstheme="minorHAnsi"/>
          <w:lang w:eastAsia="ja-JP"/>
        </w:rPr>
        <w:t xml:space="preserve">regulated </w:t>
      </w:r>
      <w:r w:rsidR="003F5006" w:rsidRPr="00472697">
        <w:rPr>
          <w:rFonts w:cstheme="minorHAnsi"/>
          <w:lang w:eastAsia="ja-JP"/>
        </w:rPr>
        <w:t xml:space="preserve">entities </w:t>
      </w:r>
      <w:r w:rsidRPr="00472697">
        <w:rPr>
          <w:rFonts w:cstheme="minorHAnsi"/>
          <w:lang w:eastAsia="ja-JP"/>
        </w:rPr>
        <w:t>to provide key activities:</w:t>
      </w:r>
    </w:p>
    <w:p w14:paraId="5009ACE8" w14:textId="1E20CB2E" w:rsidR="00E83CB8" w:rsidRPr="00472697" w:rsidRDefault="00E83CB8" w:rsidP="007C4794">
      <w:pPr>
        <w:pStyle w:val="ListBullet"/>
      </w:pPr>
      <w:r w:rsidRPr="00472697">
        <w:rPr>
          <w:b/>
          <w:bCs/>
        </w:rPr>
        <w:t>Importers</w:t>
      </w:r>
      <w:r w:rsidRPr="00472697">
        <w:t xml:space="preserve"> – inspection, assessment and management of the risks </w:t>
      </w:r>
      <w:r w:rsidR="00664207">
        <w:t xml:space="preserve">associated </w:t>
      </w:r>
      <w:r w:rsidRPr="00472697">
        <w:t>with imported goods and packaging, including air and sea cargo, containers, food, live animals and plants. This includes husbandry activities</w:t>
      </w:r>
      <w:r w:rsidR="00E765B8">
        <w:t xml:space="preserve"> we </w:t>
      </w:r>
      <w:r w:rsidRPr="00472697">
        <w:t>undertake, associated with the quarantine of live animals and plants prior to release into Australia, such as dogs, cats, hatching eggs, birds, ruminants, horses, bees, nursery stock and viable seeds.</w:t>
      </w:r>
    </w:p>
    <w:p w14:paraId="1E3B1328" w14:textId="77777777" w:rsidR="00E83CB8" w:rsidRPr="00472697" w:rsidRDefault="00E83CB8" w:rsidP="007C4794">
      <w:pPr>
        <w:pStyle w:val="ListBullet"/>
      </w:pPr>
      <w:r w:rsidRPr="00472697">
        <w:rPr>
          <w:b/>
          <w:bCs/>
        </w:rPr>
        <w:t>Conveyance operators</w:t>
      </w:r>
      <w:r w:rsidRPr="00472697">
        <w:t xml:space="preserve"> – vessels and aircraft entering Australia. This includes assessments and inspections to manage the risks posed by the vessel itself, contaminants on the vessel, human biosecurity risks, ballast water and biofouling on vessels, and aircraft disinsection (where non-compliant on arrival) and assessment of conveyances for release from biosecurity control.</w:t>
      </w:r>
    </w:p>
    <w:p w14:paraId="5B5A94F6" w14:textId="1CED4D96" w:rsidR="00E83CB8" w:rsidRPr="00472697" w:rsidRDefault="00E83CB8" w:rsidP="007C4794">
      <w:pPr>
        <w:pStyle w:val="ListBullet"/>
      </w:pPr>
      <w:r w:rsidRPr="00472697">
        <w:rPr>
          <w:b/>
          <w:bCs/>
        </w:rPr>
        <w:lastRenderedPageBreak/>
        <w:t>Biosecurity industry participants</w:t>
      </w:r>
      <w:r w:rsidRPr="00472697">
        <w:t xml:space="preserve"> – managing the administration as well as policy processes and condition setting for regulatory arrangements </w:t>
      </w:r>
      <w:r w:rsidR="00E765B8">
        <w:t xml:space="preserve">we </w:t>
      </w:r>
      <w:r w:rsidRPr="00472697">
        <w:t>approve, including biosecurity approved arrangements and imported food compliance agreements.</w:t>
      </w:r>
    </w:p>
    <w:p w14:paraId="3D117A62" w14:textId="23CC3B5C" w:rsidR="00E83CB8" w:rsidRPr="00472697" w:rsidRDefault="00E83CB8" w:rsidP="007C4794">
      <w:pPr>
        <w:pStyle w:val="ListBullet"/>
      </w:pPr>
      <w:r w:rsidRPr="00472697">
        <w:rPr>
          <w:b/>
          <w:bCs/>
        </w:rPr>
        <w:t xml:space="preserve">International </w:t>
      </w:r>
      <w:r w:rsidR="00671FA9" w:rsidRPr="00472697">
        <w:rPr>
          <w:b/>
          <w:bCs/>
        </w:rPr>
        <w:t>travellers</w:t>
      </w:r>
      <w:r w:rsidRPr="00472697">
        <w:t xml:space="preserve"> – management of biosecurity risks </w:t>
      </w:r>
      <w:r w:rsidR="00041A02">
        <w:t>associated with</w:t>
      </w:r>
      <w:r w:rsidRPr="00472697">
        <w:t xml:space="preserve"> </w:t>
      </w:r>
      <w:r w:rsidR="00041A02">
        <w:t xml:space="preserve">traveller </w:t>
      </w:r>
      <w:r w:rsidRPr="00472697">
        <w:t>baggage arriving from overseas</w:t>
      </w:r>
      <w:r w:rsidR="00041A02" w:rsidRPr="00041A02">
        <w:t>, including storage of the goods under biosecurity control prior to a risk management action being taken</w:t>
      </w:r>
      <w:r w:rsidRPr="00472697">
        <w:t>.</w:t>
      </w:r>
    </w:p>
    <w:p w14:paraId="7687D9FE" w14:textId="17BD43AB" w:rsidR="001F65FC" w:rsidRPr="00072A4B" w:rsidRDefault="00D35CE1" w:rsidP="00072A4B">
      <w:r w:rsidRPr="00472697">
        <w:t xml:space="preserve">Regulated entities may pay a combination of charges depending on how they participate in the biosecurity system and </w:t>
      </w:r>
      <w:r w:rsidR="00E765B8">
        <w:t xml:space="preserve">the </w:t>
      </w:r>
      <w:r w:rsidR="00F00DB0" w:rsidRPr="00472697">
        <w:t xml:space="preserve">level of </w:t>
      </w:r>
      <w:r w:rsidR="00E765B8" w:rsidRPr="00072A4B">
        <w:t>inte</w:t>
      </w:r>
      <w:r w:rsidR="00E765B8">
        <w:t>rvention that is required.</w:t>
      </w:r>
      <w:bookmarkStart w:id="23" w:name="_Toc168489245"/>
      <w:bookmarkStart w:id="24" w:name="_Toc168489542"/>
      <w:bookmarkStart w:id="25" w:name="_Toc168645240"/>
    </w:p>
    <w:p w14:paraId="06625649" w14:textId="2108D6B0" w:rsidR="003955E1" w:rsidRPr="00857DB4" w:rsidRDefault="00072A4B" w:rsidP="00857DB4">
      <w:pPr>
        <w:pStyle w:val="Heading3"/>
      </w:pPr>
      <w:bookmarkStart w:id="26" w:name="_Toc129926494"/>
      <w:bookmarkStart w:id="27" w:name="_Toc168489246"/>
      <w:bookmarkStart w:id="28" w:name="_Toc168489543"/>
      <w:bookmarkStart w:id="29" w:name="_Toc168645241"/>
      <w:bookmarkStart w:id="30" w:name="_Toc233378684"/>
      <w:bookmarkStart w:id="31" w:name="_Toc430782150"/>
      <w:bookmarkStart w:id="32" w:name="_Toc183501104"/>
      <w:bookmarkEnd w:id="2"/>
      <w:bookmarkEnd w:id="1"/>
      <w:bookmarkEnd w:id="23"/>
      <w:bookmarkEnd w:id="24"/>
      <w:bookmarkEnd w:id="25"/>
      <w:r w:rsidRPr="00857DB4">
        <w:rPr>
          <w:rFonts w:eastAsiaTheme="minorEastAsia"/>
        </w:rPr>
        <w:t>B</w:t>
      </w:r>
      <w:r w:rsidR="003955E1" w:rsidRPr="00857DB4">
        <w:rPr>
          <w:rFonts w:eastAsiaTheme="minorEastAsia"/>
        </w:rPr>
        <w:t>iosecurity</w:t>
      </w:r>
      <w:r w:rsidR="003955E1" w:rsidRPr="00857DB4">
        <w:t xml:space="preserve"> system</w:t>
      </w:r>
      <w:bookmarkEnd w:id="26"/>
      <w:bookmarkEnd w:id="27"/>
      <w:bookmarkEnd w:id="28"/>
      <w:bookmarkEnd w:id="29"/>
      <w:bookmarkEnd w:id="30"/>
    </w:p>
    <w:p w14:paraId="0594E6B8" w14:textId="45EAC048" w:rsidR="003955E1" w:rsidRPr="003955E1" w:rsidRDefault="003955E1" w:rsidP="003955E1">
      <w:pPr>
        <w:rPr>
          <w:rFonts w:cstheme="minorHAnsi"/>
          <w:strike/>
          <w:lang w:eastAsia="ja-JP"/>
        </w:rPr>
      </w:pPr>
      <w:bookmarkStart w:id="33" w:name="_Hlk126739367"/>
      <w:r w:rsidRPr="001F65FC">
        <w:rPr>
          <w:rFonts w:cstheme="minorHAnsi"/>
          <w:lang w:eastAsia="ja-JP"/>
        </w:rPr>
        <w:t xml:space="preserve">Our biosecurity system </w:t>
      </w:r>
      <w:bookmarkEnd w:id="33"/>
      <w:r w:rsidR="00121C20" w:rsidRPr="001F65FC">
        <w:rPr>
          <w:rFonts w:cstheme="minorHAnsi"/>
          <w:lang w:eastAsia="ja-JP"/>
        </w:rPr>
        <w:t xml:space="preserve">is critical in protecting Australia’s economy, environment and way of life. </w:t>
      </w:r>
      <w:r w:rsidR="00955554" w:rsidRPr="001F65FC">
        <w:rPr>
          <w:rFonts w:cstheme="minorHAnsi"/>
          <w:lang w:eastAsia="ja-JP"/>
        </w:rPr>
        <w:t>An</w:t>
      </w:r>
      <w:r w:rsidR="00121C20" w:rsidRPr="001F65FC">
        <w:rPr>
          <w:rFonts w:cstheme="minorHAnsi"/>
          <w:lang w:eastAsia="ja-JP"/>
        </w:rPr>
        <w:t xml:space="preserve"> effective biosecurity system </w:t>
      </w:r>
      <w:r w:rsidR="00955554" w:rsidRPr="001F65FC">
        <w:rPr>
          <w:rFonts w:cstheme="minorHAnsi"/>
          <w:lang w:eastAsia="ja-JP"/>
        </w:rPr>
        <w:t xml:space="preserve">reduces the impact of pests and diseases </w:t>
      </w:r>
      <w:r w:rsidR="00F44199" w:rsidRPr="001F65FC">
        <w:rPr>
          <w:rFonts w:cstheme="minorHAnsi"/>
          <w:lang w:eastAsia="ja-JP"/>
        </w:rPr>
        <w:t>on Australia’s agricultur</w:t>
      </w:r>
      <w:r w:rsidR="00976F22">
        <w:rPr>
          <w:rFonts w:cstheme="minorHAnsi"/>
          <w:lang w:eastAsia="ja-JP"/>
        </w:rPr>
        <w:t>al</w:t>
      </w:r>
      <w:r w:rsidR="00F44199" w:rsidRPr="001F65FC">
        <w:rPr>
          <w:rFonts w:cstheme="minorHAnsi"/>
          <w:lang w:eastAsia="ja-JP"/>
        </w:rPr>
        <w:t xml:space="preserve">, fisheries and forestry industries supporting </w:t>
      </w:r>
      <w:r w:rsidR="00121C20" w:rsidRPr="001F65FC">
        <w:rPr>
          <w:rFonts w:cstheme="minorHAnsi"/>
          <w:lang w:eastAsia="ja-JP"/>
        </w:rPr>
        <w:t xml:space="preserve">sustainability, profitability and competitiveness, </w:t>
      </w:r>
      <w:r w:rsidR="00F44199" w:rsidRPr="001F65FC">
        <w:rPr>
          <w:rFonts w:cstheme="minorHAnsi"/>
          <w:lang w:eastAsia="ja-JP"/>
        </w:rPr>
        <w:t xml:space="preserve">which </w:t>
      </w:r>
      <w:r w:rsidR="00121C20" w:rsidRPr="001F65FC">
        <w:rPr>
          <w:rFonts w:cstheme="minorHAnsi"/>
          <w:lang w:eastAsia="ja-JP"/>
        </w:rPr>
        <w:t>helps drive a stronger Australian economy</w:t>
      </w:r>
      <w:r w:rsidRPr="001F65FC">
        <w:rPr>
          <w:rFonts w:cstheme="minorHAnsi"/>
          <w:lang w:eastAsia="ja-JP"/>
        </w:rPr>
        <w:t>.</w:t>
      </w:r>
    </w:p>
    <w:p w14:paraId="3C63DD29" w14:textId="68E4819C" w:rsidR="003955E1" w:rsidRPr="00F02D17" w:rsidRDefault="003955E1" w:rsidP="00857DB4">
      <w:pPr>
        <w:pStyle w:val="Heading4"/>
      </w:pPr>
      <w:bookmarkStart w:id="34" w:name="_Toc129926495"/>
      <w:bookmarkStart w:id="35" w:name="_Toc168489247"/>
      <w:bookmarkStart w:id="36" w:name="_Toc168489544"/>
      <w:bookmarkStart w:id="37" w:name="_Toc168645242"/>
      <w:r w:rsidRPr="00F02D17">
        <w:t>A changing biosecurity system</w:t>
      </w:r>
      <w:bookmarkEnd w:id="34"/>
      <w:bookmarkEnd w:id="35"/>
      <w:bookmarkEnd w:id="36"/>
      <w:bookmarkEnd w:id="37"/>
    </w:p>
    <w:p w14:paraId="7A58DF8D" w14:textId="06BEB033" w:rsidR="00121C20" w:rsidRDefault="00121C20" w:rsidP="00BB6209">
      <w:r w:rsidRPr="001F65FC">
        <w:t xml:space="preserve">Our biosecurity environment is impacted by </w:t>
      </w:r>
      <w:r w:rsidR="00496D14" w:rsidRPr="001F65FC">
        <w:t>c</w:t>
      </w:r>
      <w:r w:rsidRPr="001F65FC">
        <w:t>hanges in the Australian and global economies, changing risk profiles, biosecurity threats (e.g. high pathogenicity avian influenza, foot</w:t>
      </w:r>
      <w:r w:rsidR="000F0162">
        <w:t>-</w:t>
      </w:r>
      <w:r w:rsidRPr="001F65FC">
        <w:t>and</w:t>
      </w:r>
      <w:r w:rsidR="000F0162">
        <w:t>-</w:t>
      </w:r>
      <w:r w:rsidRPr="001F65FC">
        <w:t>mouth disease), increased complexity of imports, changing industry practices and growing cargo volumes</w:t>
      </w:r>
      <w:r w:rsidR="00496D14" w:rsidRPr="001F65FC">
        <w:t>. T</w:t>
      </w:r>
      <w:r w:rsidR="00E96693" w:rsidRPr="001F65FC">
        <w:t>hese events present ongoing challenges</w:t>
      </w:r>
      <w:r w:rsidR="00444ED6" w:rsidRPr="001F65FC">
        <w:t xml:space="preserve">, </w:t>
      </w:r>
      <w:r w:rsidRPr="001F65FC">
        <w:t xml:space="preserve">impact </w:t>
      </w:r>
      <w:r w:rsidR="00E765B8">
        <w:t>our</w:t>
      </w:r>
      <w:r w:rsidRPr="001F65FC">
        <w:t xml:space="preserve"> </w:t>
      </w:r>
      <w:r w:rsidR="00496D14" w:rsidRPr="001F65FC">
        <w:t>operations and</w:t>
      </w:r>
      <w:r w:rsidRPr="001F65FC">
        <w:t xml:space="preserve"> increase the cost of maintaining and continually improving </w:t>
      </w:r>
      <w:r w:rsidR="008C38E0" w:rsidRPr="001F65FC">
        <w:t>our</w:t>
      </w:r>
      <w:r w:rsidRPr="001F65FC">
        <w:t xml:space="preserve"> biosecurity system.</w:t>
      </w:r>
    </w:p>
    <w:p w14:paraId="417A26A2" w14:textId="1E1C03E1" w:rsidR="00BB6209" w:rsidRPr="0047497D" w:rsidRDefault="000F0162" w:rsidP="00BB6209">
      <w:pPr>
        <w:rPr>
          <w:rFonts w:cstheme="minorHAnsi"/>
        </w:rPr>
      </w:pPr>
      <w:r>
        <w:rPr>
          <w:rFonts w:cstheme="minorHAnsi"/>
          <w:lang w:eastAsia="ja-JP"/>
        </w:rPr>
        <w:t>Learn more about o</w:t>
      </w:r>
      <w:r w:rsidR="00E765B8">
        <w:rPr>
          <w:rFonts w:cstheme="minorHAnsi"/>
          <w:lang w:eastAsia="ja-JP"/>
        </w:rPr>
        <w:t>ur</w:t>
      </w:r>
      <w:r w:rsidR="00041A02" w:rsidRPr="0047497D">
        <w:rPr>
          <w:rFonts w:cstheme="minorHAnsi"/>
          <w:lang w:eastAsia="ja-JP"/>
        </w:rPr>
        <w:t xml:space="preserve"> strategic </w:t>
      </w:r>
      <w:r w:rsidR="00041A02">
        <w:rPr>
          <w:rFonts w:cstheme="minorHAnsi"/>
          <w:lang w:eastAsia="ja-JP"/>
        </w:rPr>
        <w:t xml:space="preserve">vision </w:t>
      </w:r>
      <w:r>
        <w:rPr>
          <w:rFonts w:cstheme="minorHAnsi"/>
          <w:lang w:eastAsia="ja-JP"/>
        </w:rPr>
        <w:t xml:space="preserve">for </w:t>
      </w:r>
      <w:r w:rsidR="00041A02">
        <w:rPr>
          <w:rFonts w:cstheme="minorHAnsi"/>
          <w:lang w:eastAsia="ja-JP"/>
        </w:rPr>
        <w:t>manag</w:t>
      </w:r>
      <w:r>
        <w:rPr>
          <w:rFonts w:cstheme="minorHAnsi"/>
          <w:lang w:eastAsia="ja-JP"/>
        </w:rPr>
        <w:t>ing</w:t>
      </w:r>
      <w:r w:rsidR="00041A02">
        <w:rPr>
          <w:rFonts w:cstheme="minorHAnsi"/>
          <w:lang w:eastAsia="ja-JP"/>
        </w:rPr>
        <w:t xml:space="preserve"> </w:t>
      </w:r>
      <w:r>
        <w:rPr>
          <w:rFonts w:cstheme="minorHAnsi"/>
          <w:lang w:eastAsia="ja-JP"/>
        </w:rPr>
        <w:t xml:space="preserve">evolving </w:t>
      </w:r>
      <w:r w:rsidR="00041A02" w:rsidRPr="0047497D">
        <w:rPr>
          <w:rFonts w:cstheme="minorHAnsi"/>
          <w:lang w:eastAsia="ja-JP"/>
        </w:rPr>
        <w:t>biosecurity risk</w:t>
      </w:r>
      <w:r w:rsidR="00041A02">
        <w:rPr>
          <w:rFonts w:cstheme="minorHAnsi"/>
          <w:lang w:eastAsia="ja-JP"/>
        </w:rPr>
        <w:t>s</w:t>
      </w:r>
      <w:r w:rsidR="00041A02" w:rsidRPr="0047497D">
        <w:rPr>
          <w:rFonts w:cstheme="minorHAnsi"/>
          <w:lang w:eastAsia="ja-JP"/>
        </w:rPr>
        <w:t xml:space="preserve"> in the </w:t>
      </w:r>
      <w:hyperlink r:id="rId18" w:history="1">
        <w:r w:rsidR="00041A02" w:rsidRPr="001F65FC">
          <w:rPr>
            <w:rStyle w:val="Hyperlink"/>
            <w:rFonts w:cstheme="minorHAnsi"/>
            <w:lang w:eastAsia="ja-JP"/>
          </w:rPr>
          <w:t>DAFF Biosecurity 2030</w:t>
        </w:r>
        <w:r w:rsidR="00041A02" w:rsidRPr="001F65FC">
          <w:rPr>
            <w:rStyle w:val="Hyperlink"/>
          </w:rPr>
          <w:t xml:space="preserve"> Roadmap</w:t>
        </w:r>
      </w:hyperlink>
      <w:r w:rsidR="00041A02" w:rsidRPr="0047497D">
        <w:rPr>
          <w:rFonts w:cstheme="minorHAnsi"/>
          <w:lang w:eastAsia="ja-JP"/>
        </w:rPr>
        <w:t xml:space="preserve"> and </w:t>
      </w:r>
      <w:r w:rsidR="00072A4B">
        <w:rPr>
          <w:rFonts w:cstheme="minorHAnsi"/>
          <w:lang w:eastAsia="ja-JP"/>
        </w:rPr>
        <w:t xml:space="preserve">the </w:t>
      </w:r>
      <w:hyperlink r:id="rId19" w:history="1">
        <w:r w:rsidR="00072A4B">
          <w:rPr>
            <w:rStyle w:val="Hyperlink"/>
            <w:rFonts w:cstheme="minorHAnsi"/>
            <w:lang w:eastAsia="ja-JP"/>
          </w:rPr>
          <w:t>National Biosecurity Strategy</w:t>
        </w:r>
      </w:hyperlink>
      <w:r w:rsidR="00BB6209" w:rsidRPr="0047497D">
        <w:rPr>
          <w:rFonts w:cstheme="minorHAnsi"/>
          <w:lang w:eastAsia="ja-JP"/>
        </w:rPr>
        <w:t>.</w:t>
      </w:r>
    </w:p>
    <w:p w14:paraId="52AE86C2" w14:textId="4C5C0D0F" w:rsidR="0053608D" w:rsidRPr="004A5566" w:rsidRDefault="0053608D" w:rsidP="00F02D17">
      <w:pPr>
        <w:pStyle w:val="Heading2"/>
      </w:pPr>
      <w:bookmarkStart w:id="38" w:name="_Toc168489248"/>
      <w:bookmarkStart w:id="39" w:name="_Toc168489545"/>
      <w:bookmarkStart w:id="40" w:name="_Toc168645243"/>
      <w:bookmarkStart w:id="41" w:name="_Toc233378685"/>
      <w:r w:rsidRPr="004A5566">
        <w:lastRenderedPageBreak/>
        <w:t>Policy and statutory authority to cost recover</w:t>
      </w:r>
      <w:bookmarkEnd w:id="38"/>
      <w:bookmarkEnd w:id="39"/>
      <w:bookmarkEnd w:id="40"/>
      <w:bookmarkEnd w:id="41"/>
    </w:p>
    <w:p w14:paraId="71875921" w14:textId="51F0544B" w:rsidR="0053608D" w:rsidRPr="005B02B3" w:rsidRDefault="0053608D" w:rsidP="00F02D17">
      <w:pPr>
        <w:pStyle w:val="Heading3"/>
        <w:rPr>
          <w:sz w:val="36"/>
          <w:szCs w:val="36"/>
          <w:lang w:eastAsia="ja-JP"/>
        </w:rPr>
      </w:pPr>
      <w:bookmarkStart w:id="42" w:name="_Toc168489249"/>
      <w:bookmarkStart w:id="43" w:name="_Toc168489546"/>
      <w:bookmarkStart w:id="44" w:name="_Toc168645244"/>
      <w:bookmarkStart w:id="45" w:name="_Toc233378686"/>
      <w:r w:rsidRPr="005B02B3">
        <w:rPr>
          <w:sz w:val="36"/>
          <w:szCs w:val="36"/>
          <w:lang w:eastAsia="ja-JP"/>
        </w:rPr>
        <w:t xml:space="preserve">Government policy </w:t>
      </w:r>
      <w:r w:rsidR="0069502D">
        <w:rPr>
          <w:sz w:val="36"/>
          <w:szCs w:val="36"/>
          <w:lang w:eastAsia="ja-JP"/>
        </w:rPr>
        <w:t xml:space="preserve">approval for </w:t>
      </w:r>
      <w:r w:rsidRPr="005B02B3">
        <w:rPr>
          <w:sz w:val="36"/>
          <w:szCs w:val="36"/>
          <w:lang w:eastAsia="ja-JP"/>
        </w:rPr>
        <w:t>regulat</w:t>
      </w:r>
      <w:bookmarkEnd w:id="42"/>
      <w:bookmarkEnd w:id="43"/>
      <w:bookmarkEnd w:id="44"/>
      <w:r w:rsidR="0069502D">
        <w:rPr>
          <w:sz w:val="36"/>
          <w:szCs w:val="36"/>
          <w:lang w:eastAsia="ja-JP"/>
        </w:rPr>
        <w:t>ory activity</w:t>
      </w:r>
      <w:bookmarkEnd w:id="45"/>
    </w:p>
    <w:p w14:paraId="6E873248" w14:textId="01A2386F" w:rsidR="00492607" w:rsidRPr="001D3FAB" w:rsidRDefault="00DC53C2" w:rsidP="006E1CC4">
      <w:pPr>
        <w:rPr>
          <w:lang w:eastAsia="ja-JP"/>
        </w:rPr>
      </w:pPr>
      <w:bookmarkStart w:id="46" w:name="_Hlk97630093"/>
      <w:r>
        <w:rPr>
          <w:lang w:eastAsia="ja-JP"/>
        </w:rPr>
        <w:t xml:space="preserve">Consistent with </w:t>
      </w:r>
      <w:r w:rsidR="00492607" w:rsidRPr="003A5290">
        <w:rPr>
          <w:lang w:eastAsia="ja-JP"/>
        </w:rPr>
        <w:t xml:space="preserve">government decisions, </w:t>
      </w:r>
      <w:r w:rsidR="00E765B8">
        <w:rPr>
          <w:lang w:eastAsia="ja-JP"/>
        </w:rPr>
        <w:t>we</w:t>
      </w:r>
      <w:r w:rsidR="00492607" w:rsidRPr="003A5290">
        <w:rPr>
          <w:lang w:eastAsia="ja-JP"/>
        </w:rPr>
        <w:t xml:space="preserve"> </w:t>
      </w:r>
      <w:r w:rsidR="00E765B8" w:rsidRPr="003A5290">
        <w:rPr>
          <w:lang w:eastAsia="ja-JP"/>
        </w:rPr>
        <w:t>ha</w:t>
      </w:r>
      <w:r w:rsidR="00E765B8">
        <w:rPr>
          <w:lang w:eastAsia="ja-JP"/>
        </w:rPr>
        <w:t>ve</w:t>
      </w:r>
      <w:r w:rsidR="00E765B8" w:rsidRPr="003A5290">
        <w:rPr>
          <w:lang w:eastAsia="ja-JP"/>
        </w:rPr>
        <w:t xml:space="preserve"> </w:t>
      </w:r>
      <w:r w:rsidR="00492607" w:rsidRPr="003A5290">
        <w:rPr>
          <w:lang w:eastAsia="ja-JP"/>
        </w:rPr>
        <w:t xml:space="preserve">been required to recover the costs for most </w:t>
      </w:r>
      <w:r w:rsidR="00E765B8">
        <w:rPr>
          <w:lang w:eastAsia="ja-JP"/>
        </w:rPr>
        <w:t xml:space="preserve">of our </w:t>
      </w:r>
      <w:r w:rsidR="00492607" w:rsidRPr="003A5290">
        <w:rPr>
          <w:lang w:eastAsia="ja-JP"/>
        </w:rPr>
        <w:t>activities from users, beginning with 50</w:t>
      </w:r>
      <w:r w:rsidR="00072A4B">
        <w:rPr>
          <w:lang w:eastAsia="ja-JP"/>
        </w:rPr>
        <w:t>%</w:t>
      </w:r>
      <w:r w:rsidR="00492607" w:rsidRPr="003A5290">
        <w:rPr>
          <w:lang w:eastAsia="ja-JP"/>
        </w:rPr>
        <w:t xml:space="preserve"> cost</w:t>
      </w:r>
      <w:r w:rsidR="00645BDC" w:rsidRPr="003A5290">
        <w:rPr>
          <w:lang w:eastAsia="ja-JP"/>
        </w:rPr>
        <w:t xml:space="preserve"> </w:t>
      </w:r>
      <w:r w:rsidR="00492607" w:rsidRPr="003A5290">
        <w:rPr>
          <w:lang w:eastAsia="ja-JP"/>
        </w:rPr>
        <w:t>recovery from 1979, 60</w:t>
      </w:r>
      <w:r w:rsidR="00072A4B">
        <w:rPr>
          <w:lang w:eastAsia="ja-JP"/>
        </w:rPr>
        <w:t>%</w:t>
      </w:r>
      <w:r w:rsidR="00492607" w:rsidRPr="003A5290">
        <w:rPr>
          <w:lang w:eastAsia="ja-JP"/>
        </w:rPr>
        <w:t xml:space="preserve"> from 1</w:t>
      </w:r>
      <w:r w:rsidR="00072A4B">
        <w:t> </w:t>
      </w:r>
      <w:r w:rsidR="00492607" w:rsidRPr="003A5290">
        <w:rPr>
          <w:lang w:eastAsia="ja-JP"/>
        </w:rPr>
        <w:t>July</w:t>
      </w:r>
      <w:r w:rsidR="00072A4B">
        <w:rPr>
          <w:lang w:eastAsia="ja-JP"/>
        </w:rPr>
        <w:t> </w:t>
      </w:r>
      <w:r w:rsidR="00492607" w:rsidRPr="003A5290">
        <w:rPr>
          <w:lang w:eastAsia="ja-JP"/>
        </w:rPr>
        <w:t xml:space="preserve">1988 </w:t>
      </w:r>
      <w:r w:rsidR="006E1CC4" w:rsidRPr="003A5290">
        <w:rPr>
          <w:lang w:eastAsia="ja-JP"/>
        </w:rPr>
        <w:t xml:space="preserve">moving to </w:t>
      </w:r>
      <w:r w:rsidR="00492607" w:rsidRPr="003A5290">
        <w:rPr>
          <w:lang w:eastAsia="ja-JP"/>
        </w:rPr>
        <w:t>100</w:t>
      </w:r>
      <w:r w:rsidR="00072A4B">
        <w:rPr>
          <w:lang w:eastAsia="ja-JP"/>
        </w:rPr>
        <w:t>%</w:t>
      </w:r>
      <w:r w:rsidR="00492607" w:rsidRPr="003A5290">
        <w:rPr>
          <w:lang w:eastAsia="ja-JP"/>
        </w:rPr>
        <w:t xml:space="preserve"> cost</w:t>
      </w:r>
      <w:r w:rsidR="00645BDC" w:rsidRPr="003A5290">
        <w:rPr>
          <w:lang w:eastAsia="ja-JP"/>
        </w:rPr>
        <w:t xml:space="preserve"> </w:t>
      </w:r>
      <w:r w:rsidR="00492607" w:rsidRPr="003A5290">
        <w:rPr>
          <w:lang w:eastAsia="ja-JP"/>
        </w:rPr>
        <w:t>recovery for recoverable programs from 1</w:t>
      </w:r>
      <w:r w:rsidR="00072A4B">
        <w:rPr>
          <w:lang w:eastAsia="ja-JP"/>
        </w:rPr>
        <w:t> </w:t>
      </w:r>
      <w:r w:rsidR="00492607" w:rsidRPr="003A5290">
        <w:rPr>
          <w:lang w:eastAsia="ja-JP"/>
        </w:rPr>
        <w:t>January</w:t>
      </w:r>
      <w:r w:rsidR="00072A4B">
        <w:rPr>
          <w:lang w:eastAsia="ja-JP"/>
        </w:rPr>
        <w:t> </w:t>
      </w:r>
      <w:r w:rsidR="00492607" w:rsidRPr="003A5290">
        <w:rPr>
          <w:lang w:eastAsia="ja-JP"/>
        </w:rPr>
        <w:t>1991.</w:t>
      </w:r>
      <w:r w:rsidR="00D41432" w:rsidRPr="003A5290">
        <w:rPr>
          <w:lang w:eastAsia="ja-JP"/>
        </w:rPr>
        <w:t xml:space="preserve"> </w:t>
      </w:r>
      <w:r w:rsidR="00492607" w:rsidRPr="003A5290">
        <w:rPr>
          <w:lang w:eastAsia="ja-JP"/>
        </w:rPr>
        <w:t>The government requirement for full cost</w:t>
      </w:r>
      <w:r w:rsidR="00645BDC" w:rsidRPr="003A5290">
        <w:rPr>
          <w:lang w:eastAsia="ja-JP"/>
        </w:rPr>
        <w:t xml:space="preserve"> </w:t>
      </w:r>
      <w:r w:rsidR="00492607" w:rsidRPr="003A5290">
        <w:rPr>
          <w:lang w:eastAsia="ja-JP"/>
        </w:rPr>
        <w:t xml:space="preserve">recovery was underpinned by a </w:t>
      </w:r>
      <w:r w:rsidR="00492607" w:rsidRPr="001D3FAB">
        <w:rPr>
          <w:lang w:eastAsia="ja-JP"/>
        </w:rPr>
        <w:t xml:space="preserve">1994 </w:t>
      </w:r>
      <w:r w:rsidR="00E96102" w:rsidRPr="001D3FAB">
        <w:rPr>
          <w:lang w:eastAsia="ja-JP"/>
        </w:rPr>
        <w:t>m</w:t>
      </w:r>
      <w:r w:rsidR="00492607" w:rsidRPr="001D3FAB">
        <w:rPr>
          <w:lang w:eastAsia="ja-JP"/>
        </w:rPr>
        <w:t xml:space="preserve">emorandum of </w:t>
      </w:r>
      <w:r w:rsidR="00E96102" w:rsidRPr="001D3FAB">
        <w:rPr>
          <w:lang w:eastAsia="ja-JP"/>
        </w:rPr>
        <w:t>u</w:t>
      </w:r>
      <w:r w:rsidR="00492607" w:rsidRPr="001D3FAB">
        <w:rPr>
          <w:lang w:eastAsia="ja-JP"/>
        </w:rPr>
        <w:t>nderstanding with the Department of Finance</w:t>
      </w:r>
      <w:r w:rsidR="006E1CC4" w:rsidRPr="001D3FAB">
        <w:rPr>
          <w:lang w:eastAsia="ja-JP"/>
        </w:rPr>
        <w:t xml:space="preserve"> and a</w:t>
      </w:r>
      <w:r w:rsidR="00D41432" w:rsidRPr="001D3FAB">
        <w:rPr>
          <w:lang w:eastAsia="ja-JP"/>
        </w:rPr>
        <w:t xml:space="preserve"> cost recovery policy framework.</w:t>
      </w:r>
    </w:p>
    <w:p w14:paraId="2DC21179" w14:textId="256371FF" w:rsidR="00D41432" w:rsidRPr="003A5150" w:rsidRDefault="00E765B8" w:rsidP="00D41432">
      <w:bookmarkStart w:id="47" w:name="_Hlk199952484"/>
      <w:r>
        <w:t>We</w:t>
      </w:r>
      <w:r w:rsidR="00FE2B2A" w:rsidRPr="00FE2B2A">
        <w:t xml:space="preserve"> actively monitor the performance of the Biosecurity Cost Recovery Arrangement by reviewing revenue and expenditure against the budget each month and conducting a formal annual review of all regulatory charges. Through this ongoing monitoring and evaluation, </w:t>
      </w:r>
      <w:r>
        <w:t>we identify</w:t>
      </w:r>
      <w:r w:rsidR="00FE2B2A" w:rsidRPr="00FE2B2A">
        <w:t xml:space="preserve"> necessary adjustments in resourcing and charges, ensuring that charges reflect the efficient costs of delivering the activity and meet the government’s cost recovery targets.</w:t>
      </w:r>
    </w:p>
    <w:bookmarkEnd w:id="47"/>
    <w:p w14:paraId="41F0AB28" w14:textId="71887818" w:rsidR="004A5566" w:rsidRDefault="004A5566" w:rsidP="004A5566">
      <w:pPr>
        <w:rPr>
          <w:rFonts w:cstheme="minorHAnsi"/>
          <w:lang w:eastAsia="ja-JP"/>
        </w:rPr>
      </w:pPr>
      <w:r w:rsidRPr="003A5150">
        <w:rPr>
          <w:rFonts w:cstheme="minorHAnsi"/>
          <w:lang w:eastAsia="ja-JP"/>
        </w:rPr>
        <w:t xml:space="preserve">Each Commonwealth budget cycle has </w:t>
      </w:r>
      <w:r w:rsidR="007F2991">
        <w:rPr>
          <w:rFonts w:cstheme="minorHAnsi"/>
          <w:lang w:eastAsia="ja-JP"/>
        </w:rPr>
        <w:t>reaffirmed</w:t>
      </w:r>
      <w:r w:rsidR="00D726F2">
        <w:rPr>
          <w:rFonts w:cstheme="minorHAnsi"/>
          <w:lang w:eastAsia="ja-JP"/>
        </w:rPr>
        <w:t xml:space="preserve"> </w:t>
      </w:r>
      <w:r w:rsidR="0026723C">
        <w:rPr>
          <w:rFonts w:cstheme="minorHAnsi"/>
          <w:lang w:eastAsia="ja-JP"/>
        </w:rPr>
        <w:t>and, in some cases,</w:t>
      </w:r>
      <w:r w:rsidR="00D726F2">
        <w:rPr>
          <w:rFonts w:cstheme="minorHAnsi"/>
          <w:lang w:eastAsia="ja-JP"/>
        </w:rPr>
        <w:t xml:space="preserve"> broaden</w:t>
      </w:r>
      <w:r w:rsidR="004C7943">
        <w:rPr>
          <w:rFonts w:cstheme="minorHAnsi"/>
          <w:lang w:eastAsia="ja-JP"/>
        </w:rPr>
        <w:t>,</w:t>
      </w:r>
      <w:r w:rsidR="00E47514" w:rsidRPr="003A5150">
        <w:rPr>
          <w:rFonts w:cstheme="minorHAnsi"/>
          <w:lang w:eastAsia="ja-JP"/>
        </w:rPr>
        <w:t xml:space="preserve"> </w:t>
      </w:r>
      <w:r w:rsidR="00E765B8">
        <w:rPr>
          <w:rFonts w:cstheme="minorHAnsi"/>
          <w:lang w:eastAsia="ja-JP"/>
        </w:rPr>
        <w:t xml:space="preserve">our </w:t>
      </w:r>
      <w:r w:rsidRPr="003A5150">
        <w:rPr>
          <w:rFonts w:cstheme="minorHAnsi"/>
          <w:lang w:eastAsia="ja-JP"/>
        </w:rPr>
        <w:t xml:space="preserve">continuing authority for cost recovery from industry participants who create biosecurity risk. This </w:t>
      </w:r>
      <w:r w:rsidR="004D2F80" w:rsidRPr="003A5150">
        <w:rPr>
          <w:rFonts w:cstheme="minorHAnsi"/>
          <w:lang w:eastAsia="ja-JP"/>
        </w:rPr>
        <w:t>is further recognised</w:t>
      </w:r>
      <w:r w:rsidRPr="003A5150">
        <w:rPr>
          <w:rFonts w:cstheme="minorHAnsi"/>
          <w:lang w:eastAsia="ja-JP"/>
        </w:rPr>
        <w:t xml:space="preserve"> through the inclusion of cost</w:t>
      </w:r>
      <w:r w:rsidR="00EB4AAF">
        <w:rPr>
          <w:rFonts w:cstheme="minorHAnsi"/>
          <w:lang w:eastAsia="ja-JP"/>
        </w:rPr>
        <w:t>-</w:t>
      </w:r>
      <w:r w:rsidRPr="003A5150">
        <w:rPr>
          <w:rFonts w:cstheme="minorHAnsi"/>
          <w:lang w:eastAsia="ja-JP"/>
        </w:rPr>
        <w:t xml:space="preserve">recovered revenue in </w:t>
      </w:r>
      <w:r w:rsidR="006F3929" w:rsidRPr="003A5150">
        <w:rPr>
          <w:rFonts w:cstheme="minorHAnsi"/>
          <w:lang w:eastAsia="ja-JP"/>
        </w:rPr>
        <w:t>the</w:t>
      </w:r>
      <w:r w:rsidRPr="003A5150">
        <w:rPr>
          <w:rFonts w:cstheme="minorHAnsi"/>
          <w:lang w:eastAsia="ja-JP"/>
        </w:rPr>
        <w:t xml:space="preserve"> </w:t>
      </w:r>
      <w:r w:rsidR="006F3929" w:rsidRPr="003A5150">
        <w:rPr>
          <w:rFonts w:cstheme="minorHAnsi"/>
          <w:lang w:eastAsia="ja-JP"/>
        </w:rPr>
        <w:t>Commonwealth b</w:t>
      </w:r>
      <w:r w:rsidRPr="003A5150">
        <w:rPr>
          <w:rFonts w:cstheme="minorHAnsi"/>
          <w:lang w:eastAsia="ja-JP"/>
        </w:rPr>
        <w:t>udget process.</w:t>
      </w:r>
    </w:p>
    <w:p w14:paraId="0BF5BFA6" w14:textId="14A4DD20" w:rsidR="00012DBA" w:rsidRPr="00012DBA" w:rsidRDefault="00012DBA" w:rsidP="00012DBA">
      <w:pPr>
        <w:pStyle w:val="Heading4"/>
        <w:rPr>
          <w:rFonts w:cstheme="minorHAnsi"/>
          <w:lang w:eastAsia="ja-JP"/>
        </w:rPr>
      </w:pPr>
      <w:r>
        <w:t>G</w:t>
      </w:r>
      <w:r w:rsidRPr="00271472">
        <w:t>overnment approvals for cost recovery of biosecurity and imported food activities</w:t>
      </w:r>
    </w:p>
    <w:p w14:paraId="59868761" w14:textId="67242A34" w:rsidR="00F2666F" w:rsidRPr="005B6516" w:rsidRDefault="007F1EAF" w:rsidP="00F2666F">
      <w:pPr>
        <w:keepNext/>
        <w:rPr>
          <w:rFonts w:cstheme="minorHAnsi"/>
        </w:rPr>
      </w:pPr>
      <w:r>
        <w:rPr>
          <w:rFonts w:cstheme="minorHAnsi"/>
          <w:lang w:eastAsia="ja-JP"/>
        </w:rPr>
        <w:fldChar w:fldCharType="begin"/>
      </w:r>
      <w:r>
        <w:rPr>
          <w:rFonts w:cstheme="minorHAnsi"/>
          <w:lang w:eastAsia="ja-JP"/>
        </w:rPr>
        <w:instrText xml:space="preserve"> REF Title_1 \h </w:instrText>
      </w:r>
      <w:r>
        <w:rPr>
          <w:rFonts w:cstheme="minorHAnsi"/>
          <w:lang w:eastAsia="ja-JP"/>
        </w:rPr>
      </w:r>
      <w:r>
        <w:rPr>
          <w:rFonts w:cstheme="minorHAnsi"/>
          <w:lang w:eastAsia="ja-JP"/>
        </w:rPr>
        <w:fldChar w:fldCharType="end"/>
      </w:r>
      <w:r w:rsidR="004A4EBF">
        <w:rPr>
          <w:rFonts w:cstheme="minorHAnsi"/>
          <w:lang w:eastAsia="ja-JP"/>
        </w:rPr>
        <w:fldChar w:fldCharType="begin"/>
      </w:r>
      <w:r w:rsidR="004A4EBF">
        <w:rPr>
          <w:rFonts w:cstheme="minorHAnsi"/>
          <w:lang w:eastAsia="ja-JP"/>
        </w:rPr>
        <w:instrText xml:space="preserve"> REF _Ref197924246 \h </w:instrText>
      </w:r>
      <w:r w:rsidR="004A4EBF">
        <w:rPr>
          <w:rFonts w:cstheme="minorHAnsi"/>
          <w:lang w:eastAsia="ja-JP"/>
        </w:rPr>
      </w:r>
      <w:r w:rsidR="004A4EBF">
        <w:rPr>
          <w:rFonts w:cstheme="minorHAnsi"/>
          <w:lang w:eastAsia="ja-JP"/>
        </w:rPr>
        <w:fldChar w:fldCharType="separate"/>
      </w:r>
      <w:r w:rsidR="00505B0B" w:rsidRPr="00B4642C">
        <w:t xml:space="preserve">Table </w:t>
      </w:r>
      <w:r w:rsidR="00505B0B">
        <w:rPr>
          <w:noProof/>
        </w:rPr>
        <w:t>1</w:t>
      </w:r>
      <w:r w:rsidR="004A4EBF">
        <w:rPr>
          <w:rFonts w:cstheme="minorHAnsi"/>
          <w:lang w:eastAsia="ja-JP"/>
        </w:rPr>
        <w:fldChar w:fldCharType="end"/>
      </w:r>
      <w:r w:rsidR="004A4EBF">
        <w:rPr>
          <w:rFonts w:cstheme="minorHAnsi"/>
          <w:lang w:eastAsia="ja-JP"/>
        </w:rPr>
        <w:t xml:space="preserve"> </w:t>
      </w:r>
      <w:r w:rsidR="00B4642C">
        <w:rPr>
          <w:rFonts w:cstheme="minorHAnsi"/>
          <w:lang w:eastAsia="ja-JP"/>
        </w:rPr>
        <w:fldChar w:fldCharType="begin"/>
      </w:r>
      <w:r w:rsidR="00B4642C">
        <w:rPr>
          <w:rFonts w:cstheme="minorHAnsi"/>
          <w:lang w:eastAsia="ja-JP"/>
        </w:rPr>
        <w:instrText xml:space="preserve"> REF Title_1 \h </w:instrText>
      </w:r>
      <w:r w:rsidR="00B4642C">
        <w:rPr>
          <w:rFonts w:cstheme="minorHAnsi"/>
          <w:lang w:eastAsia="ja-JP"/>
        </w:rPr>
      </w:r>
      <w:r w:rsidR="00B4642C">
        <w:rPr>
          <w:rFonts w:cstheme="minorHAnsi"/>
          <w:lang w:eastAsia="ja-JP"/>
        </w:rPr>
        <w:fldChar w:fldCharType="end"/>
      </w:r>
      <w:r w:rsidR="00F2666F" w:rsidRPr="005B6516">
        <w:rPr>
          <w:rFonts w:cstheme="minorHAnsi"/>
          <w:lang w:eastAsia="ja-JP"/>
        </w:rPr>
        <w:t xml:space="preserve">describes key </w:t>
      </w:r>
      <w:r w:rsidR="00F2666F" w:rsidRPr="005B6516">
        <w:rPr>
          <w:rFonts w:cstheme="minorHAnsi"/>
        </w:rPr>
        <w:t>government approval</w:t>
      </w:r>
      <w:r w:rsidR="003C1849">
        <w:rPr>
          <w:rFonts w:cstheme="minorHAnsi"/>
        </w:rPr>
        <w:t>s</w:t>
      </w:r>
      <w:r w:rsidR="00F2666F" w:rsidRPr="005B6516">
        <w:rPr>
          <w:rFonts w:cstheme="minorHAnsi"/>
        </w:rPr>
        <w:t xml:space="preserve"> for </w:t>
      </w:r>
      <w:r w:rsidR="00E765B8">
        <w:rPr>
          <w:rFonts w:cstheme="minorHAnsi"/>
        </w:rPr>
        <w:t xml:space="preserve">our </w:t>
      </w:r>
      <w:r w:rsidR="00F2666F" w:rsidRPr="005B6516">
        <w:rPr>
          <w:rFonts w:cstheme="minorHAnsi"/>
        </w:rPr>
        <w:t xml:space="preserve">continued and expanded </w:t>
      </w:r>
      <w:r w:rsidR="00F2666F">
        <w:rPr>
          <w:rFonts w:cstheme="minorHAnsi"/>
        </w:rPr>
        <w:t xml:space="preserve">cost recovery </w:t>
      </w:r>
      <w:r w:rsidR="00F2666F" w:rsidRPr="005B6516">
        <w:rPr>
          <w:rFonts w:cstheme="minorHAnsi"/>
        </w:rPr>
        <w:t>since 2017.</w:t>
      </w:r>
    </w:p>
    <w:p w14:paraId="5B715E8A" w14:textId="1B532A96" w:rsidR="00733737" w:rsidRDefault="00733737" w:rsidP="00B4642C">
      <w:pPr>
        <w:pStyle w:val="Caption"/>
      </w:pPr>
      <w:bookmarkStart w:id="48" w:name="_Ref197924246"/>
      <w:bookmarkStart w:id="49" w:name="_Toc233378721"/>
      <w:r w:rsidRPr="00B4642C">
        <w:t xml:space="preserve">Table </w:t>
      </w:r>
      <w:fldSimple w:instr=" SEQ Table \* ARABIC ">
        <w:r w:rsidR="00505B0B">
          <w:rPr>
            <w:noProof/>
          </w:rPr>
          <w:t>1</w:t>
        </w:r>
      </w:fldSimple>
      <w:bookmarkEnd w:id="48"/>
      <w:r w:rsidRPr="00B4642C">
        <w:t xml:space="preserve"> </w:t>
      </w:r>
      <w:bookmarkStart w:id="50" w:name="_Hlk199317420"/>
      <w:r w:rsidR="00271472" w:rsidRPr="00271472">
        <w:t>Summary of government approvals for cost recovery of biosecurity and imported food activities</w:t>
      </w:r>
      <w:bookmarkEnd w:id="49"/>
      <w:bookmarkEnd w:id="50"/>
    </w:p>
    <w:tbl>
      <w:tblPr>
        <w:tblW w:w="5000" w:type="pct"/>
        <w:tblBorders>
          <w:top w:val="single" w:sz="4"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1985"/>
        <w:gridCol w:w="7085"/>
      </w:tblGrid>
      <w:tr w:rsidR="00271472" w:rsidRPr="00340820" w14:paraId="7B058375" w14:textId="77777777" w:rsidTr="000F3AB5">
        <w:trPr>
          <w:cantSplit/>
          <w:tblHeader/>
        </w:trPr>
        <w:tc>
          <w:tcPr>
            <w:tcW w:w="1094" w:type="pct"/>
            <w:tcMar>
              <w:left w:w="108" w:type="dxa"/>
              <w:right w:w="108" w:type="dxa"/>
            </w:tcMar>
          </w:tcPr>
          <w:p w14:paraId="31A4C145" w14:textId="77777777" w:rsidR="00271472" w:rsidRDefault="00271472" w:rsidP="000F3AB5">
            <w:pPr>
              <w:pStyle w:val="TableHeading"/>
            </w:pPr>
            <w:bookmarkStart w:id="51" w:name="Title_1"/>
            <w:bookmarkEnd w:id="51"/>
            <w:r>
              <w:t>Approval date</w:t>
            </w:r>
          </w:p>
        </w:tc>
        <w:tc>
          <w:tcPr>
            <w:tcW w:w="3906" w:type="pct"/>
            <w:tcMar>
              <w:left w:w="108" w:type="dxa"/>
              <w:right w:w="108" w:type="dxa"/>
            </w:tcMar>
          </w:tcPr>
          <w:p w14:paraId="18972F7D" w14:textId="77777777" w:rsidR="00271472" w:rsidRPr="00340820" w:rsidRDefault="00271472" w:rsidP="000F3AB5">
            <w:pPr>
              <w:pStyle w:val="TableHeading"/>
              <w:rPr>
                <w:highlight w:val="yellow"/>
              </w:rPr>
            </w:pPr>
            <w:r w:rsidRPr="00E84CC9">
              <w:t>Cost recovery activities</w:t>
            </w:r>
          </w:p>
        </w:tc>
      </w:tr>
      <w:tr w:rsidR="00271472" w14:paraId="0220912B" w14:textId="77777777" w:rsidTr="00E5351A">
        <w:tc>
          <w:tcPr>
            <w:tcW w:w="1094" w:type="pct"/>
            <w:tcMar>
              <w:left w:w="108" w:type="dxa"/>
              <w:right w:w="108" w:type="dxa"/>
            </w:tcMar>
          </w:tcPr>
          <w:p w14:paraId="1D91106C" w14:textId="77777777" w:rsidR="00271472" w:rsidRDefault="00271472" w:rsidP="000F3AB5">
            <w:pPr>
              <w:pStyle w:val="TableText"/>
            </w:pPr>
            <w:r>
              <w:t>May 2023</w:t>
            </w:r>
          </w:p>
        </w:tc>
        <w:tc>
          <w:tcPr>
            <w:tcW w:w="3906" w:type="pct"/>
            <w:tcMar>
              <w:left w:w="108" w:type="dxa"/>
              <w:right w:w="108" w:type="dxa"/>
            </w:tcMar>
          </w:tcPr>
          <w:p w14:paraId="612FCEE2" w14:textId="77777777" w:rsidR="00271472" w:rsidRDefault="00271472" w:rsidP="000F3AB5">
            <w:pPr>
              <w:pStyle w:val="TableText"/>
            </w:pPr>
            <w:r w:rsidRPr="0069231B">
              <w:t>Cost recovery for low</w:t>
            </w:r>
            <w:r>
              <w:t>-</w:t>
            </w:r>
            <w:r w:rsidRPr="0069231B">
              <w:t>value goods</w:t>
            </w:r>
          </w:p>
        </w:tc>
      </w:tr>
      <w:tr w:rsidR="00271472" w14:paraId="2728D908" w14:textId="77777777" w:rsidTr="00E5351A">
        <w:tc>
          <w:tcPr>
            <w:tcW w:w="1094" w:type="pct"/>
            <w:tcMar>
              <w:left w:w="108" w:type="dxa"/>
              <w:right w:w="108" w:type="dxa"/>
            </w:tcMar>
          </w:tcPr>
          <w:p w14:paraId="366DC2AA" w14:textId="77777777" w:rsidR="00271472" w:rsidRDefault="00271472" w:rsidP="000F3AB5">
            <w:pPr>
              <w:pStyle w:val="TableText"/>
            </w:pPr>
            <w:r w:rsidRPr="0069231B">
              <w:t>May 2021</w:t>
            </w:r>
          </w:p>
        </w:tc>
        <w:tc>
          <w:tcPr>
            <w:tcW w:w="3906" w:type="pct"/>
            <w:tcMar>
              <w:left w:w="108" w:type="dxa"/>
              <w:right w:w="108" w:type="dxa"/>
            </w:tcMar>
          </w:tcPr>
          <w:p w14:paraId="2BD1B566" w14:textId="77777777" w:rsidR="00271472" w:rsidRDefault="00271472" w:rsidP="000F3AB5">
            <w:pPr>
              <w:pStyle w:val="TableText"/>
            </w:pPr>
            <w:r w:rsidRPr="0069231B">
              <w:t>Better manage the risk of hitchhiker pests and diseases</w:t>
            </w:r>
          </w:p>
        </w:tc>
      </w:tr>
      <w:tr w:rsidR="00271472" w14:paraId="3F8A29AC" w14:textId="77777777" w:rsidTr="00E5351A">
        <w:tc>
          <w:tcPr>
            <w:tcW w:w="1094" w:type="pct"/>
            <w:tcMar>
              <w:left w:w="108" w:type="dxa"/>
              <w:right w:w="108" w:type="dxa"/>
            </w:tcMar>
          </w:tcPr>
          <w:p w14:paraId="651ACC9D" w14:textId="77777777" w:rsidR="00271472" w:rsidRDefault="00271472" w:rsidP="000F3AB5">
            <w:pPr>
              <w:pStyle w:val="TableText"/>
            </w:pPr>
            <w:r w:rsidRPr="0069231B">
              <w:t>November 2019</w:t>
            </w:r>
          </w:p>
        </w:tc>
        <w:tc>
          <w:tcPr>
            <w:tcW w:w="3906" w:type="pct"/>
            <w:tcMar>
              <w:left w:w="108" w:type="dxa"/>
              <w:right w:w="108" w:type="dxa"/>
            </w:tcMar>
          </w:tcPr>
          <w:p w14:paraId="50289287" w14:textId="520190DD" w:rsidR="00271472" w:rsidRDefault="00271472" w:rsidP="000F3AB5">
            <w:pPr>
              <w:pStyle w:val="TableText"/>
            </w:pPr>
            <w:r w:rsidRPr="0069231B">
              <w:t>Expansion of cost</w:t>
            </w:r>
            <w:r w:rsidR="00EB4AAF">
              <w:t>-</w:t>
            </w:r>
            <w:r w:rsidRPr="0069231B">
              <w:t>recovered regulatory activities</w:t>
            </w:r>
          </w:p>
        </w:tc>
      </w:tr>
      <w:tr w:rsidR="00271472" w14:paraId="63338336" w14:textId="77777777" w:rsidTr="00E5351A">
        <w:tc>
          <w:tcPr>
            <w:tcW w:w="1094" w:type="pct"/>
            <w:tcMar>
              <w:left w:w="108" w:type="dxa"/>
              <w:right w:w="108" w:type="dxa"/>
            </w:tcMar>
          </w:tcPr>
          <w:p w14:paraId="326D8327" w14:textId="77777777" w:rsidR="00271472" w:rsidRDefault="00271472" w:rsidP="000F3AB5">
            <w:pPr>
              <w:pStyle w:val="TableText"/>
            </w:pPr>
            <w:r w:rsidRPr="0069231B">
              <w:t>October 2018</w:t>
            </w:r>
          </w:p>
        </w:tc>
        <w:tc>
          <w:tcPr>
            <w:tcW w:w="3906" w:type="pct"/>
            <w:tcMar>
              <w:left w:w="108" w:type="dxa"/>
              <w:right w:w="108" w:type="dxa"/>
            </w:tcMar>
          </w:tcPr>
          <w:p w14:paraId="2E4D3693" w14:textId="77777777" w:rsidR="00271472" w:rsidRDefault="00271472" w:rsidP="000F3AB5">
            <w:pPr>
              <w:pStyle w:val="TableText"/>
            </w:pPr>
            <w:r w:rsidRPr="0069231B">
              <w:t>Charging for approved arrangements</w:t>
            </w:r>
          </w:p>
        </w:tc>
      </w:tr>
      <w:tr w:rsidR="00271472" w:rsidRPr="0069231B" w14:paraId="787DC28E" w14:textId="77777777" w:rsidTr="00E5351A">
        <w:tc>
          <w:tcPr>
            <w:tcW w:w="1094" w:type="pct"/>
            <w:tcMar>
              <w:left w:w="108" w:type="dxa"/>
              <w:right w:w="108" w:type="dxa"/>
            </w:tcMar>
          </w:tcPr>
          <w:p w14:paraId="4A3D9857" w14:textId="77777777" w:rsidR="00271472" w:rsidRPr="0069231B" w:rsidRDefault="00271472" w:rsidP="000F3AB5">
            <w:pPr>
              <w:pStyle w:val="TableText"/>
            </w:pPr>
            <w:r w:rsidRPr="0069231B">
              <w:t>May 2017</w:t>
            </w:r>
          </w:p>
        </w:tc>
        <w:tc>
          <w:tcPr>
            <w:tcW w:w="3906" w:type="pct"/>
            <w:tcMar>
              <w:left w:w="108" w:type="dxa"/>
              <w:right w:w="108" w:type="dxa"/>
            </w:tcMar>
          </w:tcPr>
          <w:p w14:paraId="380A26C2" w14:textId="77777777" w:rsidR="00271472" w:rsidRPr="0069231B" w:rsidRDefault="00271472" w:rsidP="000F3AB5">
            <w:pPr>
              <w:pStyle w:val="TableText"/>
            </w:pPr>
            <w:r w:rsidRPr="0069231B">
              <w:t>Vessel arrival charge</w:t>
            </w:r>
          </w:p>
        </w:tc>
      </w:tr>
    </w:tbl>
    <w:p w14:paraId="7242CCEC" w14:textId="2F4011FD" w:rsidR="00271472" w:rsidRPr="00012DBA" w:rsidRDefault="00271472" w:rsidP="008336F3">
      <w:pPr>
        <w:pStyle w:val="Heading5"/>
        <w:spacing w:before="120"/>
      </w:pPr>
      <w:r w:rsidRPr="00012DBA">
        <w:t>May 2023 – Cost recovery for low-value goods</w:t>
      </w:r>
    </w:p>
    <w:p w14:paraId="07BC5E24" w14:textId="234FD525" w:rsidR="00271472" w:rsidRDefault="00271472" w:rsidP="00E5351A">
      <w:pPr>
        <w:keepNext/>
      </w:pPr>
      <w:r>
        <w:t>As part of its election commitment to sustainably fund the Commonwealth biosecurity system, the government announced in the 2023–24 Budget that it will extend the biosecurity industry cost recovery arrangement to include low</w:t>
      </w:r>
      <w:r w:rsidR="00551407">
        <w:t>-</w:t>
      </w:r>
      <w:r>
        <w:t>value goods imported into Australian territory.</w:t>
      </w:r>
    </w:p>
    <w:p w14:paraId="60744DD6" w14:textId="08B630E2" w:rsidR="00271472" w:rsidRDefault="00271472" w:rsidP="00271472">
      <w:r>
        <w:t xml:space="preserve">On 1 October 2024, the </w:t>
      </w:r>
      <w:r w:rsidR="0062170B">
        <w:t>s</w:t>
      </w:r>
      <w:r>
        <w:t>elf-</w:t>
      </w:r>
      <w:r w:rsidR="0062170B">
        <w:t>a</w:t>
      </w:r>
      <w:r>
        <w:t xml:space="preserve">ssessed </w:t>
      </w:r>
      <w:r w:rsidR="0062170B">
        <w:t>c</w:t>
      </w:r>
      <w:r>
        <w:t>learance declaration charge of 36</w:t>
      </w:r>
      <w:r w:rsidR="0062170B">
        <w:t> </w:t>
      </w:r>
      <w:r>
        <w:t>cents for each declaration commenced.</w:t>
      </w:r>
    </w:p>
    <w:p w14:paraId="68DB04E0" w14:textId="77777777" w:rsidR="00271472" w:rsidRDefault="00271472" w:rsidP="00012DBA">
      <w:pPr>
        <w:pStyle w:val="Heading5"/>
      </w:pPr>
      <w:r>
        <w:lastRenderedPageBreak/>
        <w:t xml:space="preserve">May 2021 – </w:t>
      </w:r>
      <w:r w:rsidRPr="0069231B">
        <w:t>Better manage the risk of hitchhiker pests and diseases</w:t>
      </w:r>
    </w:p>
    <w:p w14:paraId="3556E210" w14:textId="369FA825" w:rsidR="00271472" w:rsidRDefault="00FE4DDE" w:rsidP="00271472">
      <w:r>
        <w:t xml:space="preserve">The Australian </w:t>
      </w:r>
      <w:r w:rsidR="00271472">
        <w:t>Government committed $96.9 million over 4 years to better manage the risk of hitchhiker pests and diseases that can cause considerable cost and disruption to agricultural production, the environment and the way of life of all Australians.</w:t>
      </w:r>
    </w:p>
    <w:p w14:paraId="612B4DBC" w14:textId="6C998EE6" w:rsidR="00271472" w:rsidRDefault="00271472" w:rsidP="00271472">
      <w:r>
        <w:t xml:space="preserve">The program addresses the risk of major hitchhiker </w:t>
      </w:r>
      <w:r w:rsidRPr="00A00A02">
        <w:t>pests – for example, khapra</w:t>
      </w:r>
      <w:r>
        <w:t xml:space="preserve"> beetle and brown marmorated stink bug, which can be carried in and on containers and their contents (around 2.5 million containers arrive each year).</w:t>
      </w:r>
    </w:p>
    <w:p w14:paraId="555221E7" w14:textId="4511030A" w:rsidR="00271472" w:rsidRDefault="00271472" w:rsidP="00271472">
      <w:r>
        <w:t xml:space="preserve">Commencing 16 January 2023, the </w:t>
      </w:r>
      <w:r w:rsidR="0019667C">
        <w:t>f</w:t>
      </w:r>
      <w:r>
        <w:t xml:space="preserve">ull </w:t>
      </w:r>
      <w:r w:rsidR="0019667C">
        <w:t>i</w:t>
      </w:r>
      <w:r>
        <w:t xml:space="preserve">mport </w:t>
      </w:r>
      <w:r w:rsidR="0019667C">
        <w:t>d</w:t>
      </w:r>
      <w:r>
        <w:t>eclaration charge for sea cargo increased from $49</w:t>
      </w:r>
      <w:r w:rsidR="0062170B">
        <w:t> </w:t>
      </w:r>
      <w:r>
        <w:t>to</w:t>
      </w:r>
      <w:r w:rsidR="0062170B">
        <w:t> </w:t>
      </w:r>
      <w:r>
        <w:t>$58.</w:t>
      </w:r>
    </w:p>
    <w:p w14:paraId="4AEB7761" w14:textId="1051B249" w:rsidR="00271472" w:rsidRDefault="00271472" w:rsidP="00012DBA">
      <w:pPr>
        <w:pStyle w:val="Heading5"/>
      </w:pPr>
      <w:r>
        <w:t xml:space="preserve">November 2019 – </w:t>
      </w:r>
      <w:r w:rsidRPr="0069231B">
        <w:t xml:space="preserve">Expansion of </w:t>
      </w:r>
      <w:r w:rsidRPr="0062170B">
        <w:t>cost</w:t>
      </w:r>
      <w:r w:rsidR="00EB4AAF">
        <w:t>-</w:t>
      </w:r>
      <w:r w:rsidRPr="0062170B">
        <w:t>recovered</w:t>
      </w:r>
      <w:r w:rsidRPr="0069231B">
        <w:t xml:space="preserve"> regulatory activities</w:t>
      </w:r>
    </w:p>
    <w:p w14:paraId="464FA39F" w14:textId="4AF044D6" w:rsidR="00271472" w:rsidRDefault="00FE4DDE" w:rsidP="00271472">
      <w:r>
        <w:t xml:space="preserve">The Australian Government </w:t>
      </w:r>
      <w:r w:rsidR="00271472">
        <w:t>decided to expand cost</w:t>
      </w:r>
      <w:r w:rsidR="00EB4AAF">
        <w:t>-</w:t>
      </w:r>
      <w:r w:rsidR="00271472">
        <w:t>recovered regulatory activities to include $23 million per year of biosecurity activities. These directly relate to our regulatory framework.</w:t>
      </w:r>
    </w:p>
    <w:p w14:paraId="7844ED5D" w14:textId="52F94113" w:rsidR="00271472" w:rsidRDefault="00271472" w:rsidP="00271472">
      <w:r>
        <w:t>From 1 January 2020</w:t>
      </w:r>
      <w:r w:rsidR="0019667C">
        <w:t>,</w:t>
      </w:r>
      <w:r>
        <w:t xml:space="preserve"> regulatory activities included in regulatory charges were expanded to include:</w:t>
      </w:r>
    </w:p>
    <w:p w14:paraId="07530A7D" w14:textId="5EFC3F37" w:rsidR="00271472" w:rsidRPr="00FB3B1C" w:rsidRDefault="00271472" w:rsidP="00271472">
      <w:pPr>
        <w:pStyle w:val="ListBullet"/>
      </w:pPr>
      <w:r w:rsidRPr="00FE4DDE">
        <w:rPr>
          <w:rStyle w:val="Strong"/>
        </w:rPr>
        <w:t>Assurance and verification activities</w:t>
      </w:r>
      <w:r w:rsidRPr="0069231B">
        <w:t xml:space="preserve"> </w:t>
      </w:r>
      <w:r w:rsidR="00026E13">
        <w:t xml:space="preserve">– </w:t>
      </w:r>
      <w:r w:rsidRPr="0069231B">
        <w:t xml:space="preserve">to provide confidence in compliance controls and support enforcement of regulation, contributing to the efficiency and effectiveness of the biosecurity system that facilitates importers to bring goods safely into Australia. </w:t>
      </w:r>
      <w:r w:rsidRPr="00FB3B1C">
        <w:t>Th</w:t>
      </w:r>
      <w:r w:rsidR="00026E13" w:rsidRPr="00FB3B1C">
        <w:t>ese</w:t>
      </w:r>
      <w:r w:rsidRPr="00FB3B1C">
        <w:t xml:space="preserve"> activit</w:t>
      </w:r>
      <w:r w:rsidR="00026E13" w:rsidRPr="00FB3B1C">
        <w:t>ies</w:t>
      </w:r>
      <w:r w:rsidRPr="00FB3B1C">
        <w:t xml:space="preserve"> included</w:t>
      </w:r>
      <w:r w:rsidR="00FB3B1C">
        <w:t>:</w:t>
      </w:r>
    </w:p>
    <w:p w14:paraId="17C62113" w14:textId="77777777" w:rsidR="00271472" w:rsidRDefault="00271472" w:rsidP="00271472">
      <w:pPr>
        <w:pStyle w:val="ListBullet2"/>
      </w:pPr>
      <w:r>
        <w:t>applying best practice regulatory procedures and monitoring their implementation to verify ongoing effectiveness of regulatory activity</w:t>
      </w:r>
    </w:p>
    <w:p w14:paraId="26EF8A34" w14:textId="77777777" w:rsidR="00271472" w:rsidRDefault="00271472" w:rsidP="00271472">
      <w:pPr>
        <w:pStyle w:val="ListBullet2"/>
      </w:pPr>
      <w:r>
        <w:t>implementing and maintaining a decision-making tool that allows us to calculate benefits and risks of change in regulatory activity</w:t>
      </w:r>
    </w:p>
    <w:p w14:paraId="4E95BE7D" w14:textId="77777777" w:rsidR="00271472" w:rsidRDefault="00271472" w:rsidP="00271472">
      <w:pPr>
        <w:pStyle w:val="ListBullet2"/>
      </w:pPr>
      <w:r>
        <w:t>investigations of importer compliance with biosecurity regulation to maintain the integrity of the system, including provision and monitoring of corrective actions.</w:t>
      </w:r>
    </w:p>
    <w:p w14:paraId="195EC834" w14:textId="02D24F11" w:rsidR="00026E13" w:rsidRDefault="00271472" w:rsidP="00271472">
      <w:pPr>
        <w:pStyle w:val="ListBullet"/>
      </w:pPr>
      <w:r w:rsidRPr="00FE4DDE">
        <w:rPr>
          <w:rStyle w:val="Strong"/>
        </w:rPr>
        <w:t>Increased analytics and intelligence activities</w:t>
      </w:r>
      <w:r w:rsidR="00026E13">
        <w:t xml:space="preserve"> –</w:t>
      </w:r>
      <w:r>
        <w:t xml:space="preserve"> including the use of data to identify trends to inform intervention and compliance activities. This was intended to minimise the risk of incursions and prevent harm to Australia’s agricultural production and environment.</w:t>
      </w:r>
    </w:p>
    <w:p w14:paraId="61B993D4" w14:textId="547CD659" w:rsidR="00271472" w:rsidRDefault="00271472" w:rsidP="00FE4DDE">
      <w:pPr>
        <w:pStyle w:val="ListBullet2"/>
      </w:pPr>
      <w:r w:rsidRPr="00FE4DDE">
        <w:t>These activities included</w:t>
      </w:r>
      <w:r>
        <w:t xml:space="preserve"> the application, maintenance and refinement of algorithms and work processes that analyse biosecurity data and inform coordination of biosecurity risk management measures and compliance controls.</w:t>
      </w:r>
    </w:p>
    <w:p w14:paraId="276924BA" w14:textId="54BCA541" w:rsidR="00271472" w:rsidRDefault="00271472" w:rsidP="00FE4DDE">
      <w:pPr>
        <w:pStyle w:val="ListBullet2"/>
      </w:pPr>
      <w:r w:rsidRPr="00026E13">
        <w:t>The intelligence</w:t>
      </w:r>
      <w:r>
        <w:t xml:space="preserve"> helps us identify which imports are most likely to expose Australia to exotic pests and/or diseases. </w:t>
      </w:r>
      <w:r w:rsidR="00AD547D">
        <w:t>T</w:t>
      </w:r>
      <w:r>
        <w:t>his allows for more targeted risk management activities that streamline the border experience for importers and reduces intervention with importers with minimal risk.</w:t>
      </w:r>
    </w:p>
    <w:p w14:paraId="07B2BEF4" w14:textId="278A2F0A" w:rsidR="00271472" w:rsidRDefault="00026E13" w:rsidP="00271472">
      <w:pPr>
        <w:pStyle w:val="ListBullet"/>
      </w:pPr>
      <w:r w:rsidRPr="00FE4DDE">
        <w:rPr>
          <w:rStyle w:val="Strong"/>
        </w:rPr>
        <w:t>P</w:t>
      </w:r>
      <w:r w:rsidR="00271472" w:rsidRPr="00FE4DDE">
        <w:rPr>
          <w:rStyle w:val="Strong"/>
        </w:rPr>
        <w:t>rovision of technical and scientific advice</w:t>
      </w:r>
      <w:r w:rsidR="00271472">
        <w:t xml:space="preserve"> </w:t>
      </w:r>
      <w:r>
        <w:t xml:space="preserve">– </w:t>
      </w:r>
      <w:r w:rsidR="00271472">
        <w:t>to maintain up</w:t>
      </w:r>
      <w:r>
        <w:t>-</w:t>
      </w:r>
      <w:r w:rsidR="00271472">
        <w:t>to</w:t>
      </w:r>
      <w:r>
        <w:t>-</w:t>
      </w:r>
      <w:r w:rsidR="00271472">
        <w:t>date biosecurity risk management information within our Biosecurity Import Condition (BICON) system. Through BICON, we provide a single source of truth for biosecurity officers and importers to identify goods quickly and easily, relevant import conditions and further biosecurity risk management options for the safe import of goods.</w:t>
      </w:r>
    </w:p>
    <w:p w14:paraId="6F543FC6" w14:textId="3A5D9AB3" w:rsidR="00271472" w:rsidRDefault="00271472" w:rsidP="00271472">
      <w:pPr>
        <w:pStyle w:val="ListBullet"/>
      </w:pPr>
      <w:r w:rsidRPr="00FE4DDE">
        <w:rPr>
          <w:rStyle w:val="Strong"/>
        </w:rPr>
        <w:lastRenderedPageBreak/>
        <w:t>Import pest and disease risk mitigation planning</w:t>
      </w:r>
      <w:r>
        <w:t xml:space="preserve"> </w:t>
      </w:r>
      <w:r w:rsidR="00026E13">
        <w:t xml:space="preserve">– to </w:t>
      </w:r>
      <w:r>
        <w:t xml:space="preserve">ensure we have the capability to mitigate the impact of pest and disease incursions that result from the import of goods. The activities </w:t>
      </w:r>
      <w:r w:rsidRPr="00FB3B1C">
        <w:t>include</w:t>
      </w:r>
      <w:r w:rsidR="00026E13" w:rsidRPr="00FB3B1C">
        <w:t>d</w:t>
      </w:r>
      <w:r>
        <w:t xml:space="preserve"> the development and maintenance of risk mitigation processes and plans, the maintenance of the capability required to implement actions in those plans, which facilitates the import of goods. Importers will be able to either choose to rely on publicly available plans or choose to develop their own plans subject to the granting </w:t>
      </w:r>
      <w:r w:rsidR="00493146">
        <w:t xml:space="preserve">of </w:t>
      </w:r>
      <w:r w:rsidR="008C39D9">
        <w:t>a</w:t>
      </w:r>
      <w:r>
        <w:t xml:space="preserve"> permit</w:t>
      </w:r>
      <w:r w:rsidR="00493146">
        <w:t>.</w:t>
      </w:r>
    </w:p>
    <w:p w14:paraId="0E1F846C" w14:textId="539A0FD9" w:rsidR="00271472" w:rsidRDefault="00271472" w:rsidP="00271472">
      <w:r>
        <w:t>The effect of this decision to expand cost recovery for biosecurity activities was an increase in 4</w:t>
      </w:r>
      <w:r w:rsidR="00D16926">
        <w:t> </w:t>
      </w:r>
      <w:r>
        <w:t>charges:</w:t>
      </w:r>
    </w:p>
    <w:p w14:paraId="6A27CF84" w14:textId="0350C8F8" w:rsidR="00271472" w:rsidRDefault="00271472" w:rsidP="00FE4DDE">
      <w:pPr>
        <w:pStyle w:val="ListNumber"/>
      </w:pPr>
      <w:r>
        <w:t xml:space="preserve">Full </w:t>
      </w:r>
      <w:r w:rsidR="000E3DA3">
        <w:t>i</w:t>
      </w:r>
      <w:r>
        <w:t xml:space="preserve">mport </w:t>
      </w:r>
      <w:r w:rsidR="000E3DA3">
        <w:t>d</w:t>
      </w:r>
      <w:r>
        <w:t xml:space="preserve">eclaration </w:t>
      </w:r>
      <w:r w:rsidRPr="000E557A">
        <w:t>charge</w:t>
      </w:r>
      <w:r w:rsidR="00D16926" w:rsidRPr="000E557A">
        <w:t xml:space="preserve"> (</w:t>
      </w:r>
      <w:r w:rsidRPr="000E557A">
        <w:t>air</w:t>
      </w:r>
      <w:r w:rsidR="00D16926" w:rsidRPr="000E557A">
        <w:t>)</w:t>
      </w:r>
      <w:r w:rsidRPr="000E557A">
        <w:t xml:space="preserve"> </w:t>
      </w:r>
      <w:r w:rsidR="00D16926" w:rsidRPr="000E557A">
        <w:t>– from</w:t>
      </w:r>
      <w:r w:rsidRPr="000E557A">
        <w:t xml:space="preserve"> $33 to $38.</w:t>
      </w:r>
    </w:p>
    <w:p w14:paraId="1450E235" w14:textId="16060860" w:rsidR="00271472" w:rsidRDefault="00271472" w:rsidP="00FE4DDE">
      <w:pPr>
        <w:pStyle w:val="ListNumber"/>
      </w:pPr>
      <w:r>
        <w:t xml:space="preserve">Full </w:t>
      </w:r>
      <w:r w:rsidR="00D16926">
        <w:t>i</w:t>
      </w:r>
      <w:r>
        <w:t xml:space="preserve">mport </w:t>
      </w:r>
      <w:r w:rsidR="00D16926">
        <w:t>d</w:t>
      </w:r>
      <w:r>
        <w:t xml:space="preserve">eclaration </w:t>
      </w:r>
      <w:r w:rsidR="00D16926">
        <w:t>c</w:t>
      </w:r>
      <w:r>
        <w:t>harge</w:t>
      </w:r>
      <w:r w:rsidR="00D16926">
        <w:t xml:space="preserve"> (</w:t>
      </w:r>
      <w:r>
        <w:t>sea</w:t>
      </w:r>
      <w:r w:rsidR="00D16926">
        <w:t>) –</w:t>
      </w:r>
      <w:r>
        <w:t xml:space="preserve"> </w:t>
      </w:r>
      <w:r w:rsidR="00D16926">
        <w:t>from</w:t>
      </w:r>
      <w:r>
        <w:t xml:space="preserve"> $42 to $49.</w:t>
      </w:r>
    </w:p>
    <w:p w14:paraId="7E02CA44" w14:textId="11CDE3DC" w:rsidR="00271472" w:rsidRDefault="00D16926" w:rsidP="00FE4DDE">
      <w:pPr>
        <w:pStyle w:val="ListNumber"/>
      </w:pPr>
      <w:r>
        <w:t>Arrival charge for v</w:t>
      </w:r>
      <w:r w:rsidR="00271472">
        <w:t>essels greater than or equal to 25 metres</w:t>
      </w:r>
      <w:r>
        <w:t xml:space="preserve"> – from</w:t>
      </w:r>
      <w:r w:rsidR="00271472">
        <w:t xml:space="preserve"> $920 to $1</w:t>
      </w:r>
      <w:r>
        <w:t>,</w:t>
      </w:r>
      <w:r w:rsidR="00271472">
        <w:t>054.</w:t>
      </w:r>
    </w:p>
    <w:p w14:paraId="4C1689B0" w14:textId="5908A634" w:rsidR="00271472" w:rsidRDefault="00D16926" w:rsidP="00FE4DDE">
      <w:pPr>
        <w:pStyle w:val="ListNumber"/>
      </w:pPr>
      <w:r>
        <w:t>Arrival charge for v</w:t>
      </w:r>
      <w:r w:rsidR="00271472">
        <w:t>essels less than 25 metres</w:t>
      </w:r>
      <w:r>
        <w:t xml:space="preserve"> – from</w:t>
      </w:r>
      <w:r w:rsidR="00271472">
        <w:t xml:space="preserve"> $100 to $120.</w:t>
      </w:r>
    </w:p>
    <w:p w14:paraId="17AD0FDD" w14:textId="71A56DA2" w:rsidR="00271472" w:rsidRDefault="00271472" w:rsidP="00012DBA">
      <w:pPr>
        <w:pStyle w:val="Heading5"/>
      </w:pPr>
      <w:r>
        <w:t xml:space="preserve">October 2018 – </w:t>
      </w:r>
      <w:r w:rsidRPr="0069231B">
        <w:t>Charging for approved arrangements</w:t>
      </w:r>
    </w:p>
    <w:p w14:paraId="65464C7A" w14:textId="2920350A" w:rsidR="00271472" w:rsidRDefault="00175B50" w:rsidP="00271472">
      <w:r>
        <w:t xml:space="preserve">The Australian </w:t>
      </w:r>
      <w:r w:rsidR="00271472">
        <w:t>Government approved a change to regulatory charging for biosecurity</w:t>
      </w:r>
      <w:r w:rsidR="00E765B8">
        <w:t xml:space="preserve"> </w:t>
      </w:r>
      <w:r w:rsidR="00271472">
        <w:t>approved arrangements. As part of this change, a new throughput charge was introduced, together with remissions for the annual charges payable by some industry participants.</w:t>
      </w:r>
    </w:p>
    <w:p w14:paraId="54F0D131" w14:textId="77777777" w:rsidR="00271472" w:rsidRDefault="00271472" w:rsidP="00271472">
      <w:r>
        <w:t>The new throughput charge applies to each entry made under the Automatic Entry Processing (AEP) for Commodities (AEPCOMM). A rate of $18 is charged for each entry by a person covered by an approved arrangement, for goods to be brought or imported into Australian territory.</w:t>
      </w:r>
    </w:p>
    <w:p w14:paraId="35961BB8" w14:textId="0AEB2CCE" w:rsidR="00271472" w:rsidRDefault="00271472" w:rsidP="00271472">
      <w:r>
        <w:t>The annual charge for biosecurity</w:t>
      </w:r>
      <w:r w:rsidR="00A24217">
        <w:t xml:space="preserve"> </w:t>
      </w:r>
      <w:r>
        <w:t>approved arrangements was set at $2,900 per year. As part of the introduction of the throughput charge, the annual charges payable for some industry participants were able to be reduced by remission</w:t>
      </w:r>
      <w:r w:rsidR="0019667C">
        <w:t>:</w:t>
      </w:r>
    </w:p>
    <w:p w14:paraId="49AA99E8" w14:textId="49BD581F" w:rsidR="00AD547D" w:rsidRDefault="00A24217" w:rsidP="00AD547D">
      <w:pPr>
        <w:pStyle w:val="ListBullet"/>
      </w:pPr>
      <w:r>
        <w:t>a</w:t>
      </w:r>
      <w:r w:rsidR="00271472">
        <w:t>pproved arrangements operated at a single site</w:t>
      </w:r>
      <w:r>
        <w:t xml:space="preserve"> – </w:t>
      </w:r>
      <w:r w:rsidR="00271472" w:rsidRPr="00A24217">
        <w:t>$2,500</w:t>
      </w:r>
    </w:p>
    <w:p w14:paraId="0A8368DF" w14:textId="39905BE7" w:rsidR="003B324E" w:rsidRDefault="00A24217" w:rsidP="00AD547D">
      <w:pPr>
        <w:pStyle w:val="ListBullet"/>
      </w:pPr>
      <w:r>
        <w:t>a</w:t>
      </w:r>
      <w:r w:rsidR="00271472">
        <w:t xml:space="preserve">pproved arrangements operated as an </w:t>
      </w:r>
      <w:r w:rsidR="00271472" w:rsidRPr="00A24217">
        <w:t>AEP</w:t>
      </w:r>
      <w:r w:rsidR="00271472">
        <w:t xml:space="preserve"> </w:t>
      </w:r>
      <w:r>
        <w:t>b</w:t>
      </w:r>
      <w:r w:rsidR="00271472">
        <w:t xml:space="preserve">roker only </w:t>
      </w:r>
      <w:r>
        <w:t xml:space="preserve">– </w:t>
      </w:r>
      <w:r w:rsidR="00271472">
        <w:t>$500</w:t>
      </w:r>
    </w:p>
    <w:p w14:paraId="5AB2304B" w14:textId="08825FB9" w:rsidR="00271472" w:rsidRDefault="003B324E" w:rsidP="00AD547D">
      <w:pPr>
        <w:pStyle w:val="ListBullet"/>
      </w:pPr>
      <w:r>
        <w:t xml:space="preserve">AEP </w:t>
      </w:r>
      <w:r w:rsidR="00A24217">
        <w:t>b</w:t>
      </w:r>
      <w:r>
        <w:t>roker</w:t>
      </w:r>
      <w:r w:rsidR="00A24217">
        <w:t>-</w:t>
      </w:r>
      <w:r>
        <w:t xml:space="preserve">only arrangement </w:t>
      </w:r>
      <w:r w:rsidR="00271472">
        <w:t xml:space="preserve">operators </w:t>
      </w:r>
      <w:r w:rsidR="00A24217">
        <w:t>–</w:t>
      </w:r>
      <w:r w:rsidR="00271472">
        <w:t xml:space="preserve"> throughput charge of $18 for each AEP entry they process.</w:t>
      </w:r>
    </w:p>
    <w:p w14:paraId="00F38DE8" w14:textId="77777777" w:rsidR="00271472" w:rsidRDefault="00271472" w:rsidP="00012DBA">
      <w:pPr>
        <w:pStyle w:val="Heading5"/>
      </w:pPr>
      <w:r>
        <w:t xml:space="preserve">May 2017 – </w:t>
      </w:r>
      <w:r w:rsidRPr="0069231B">
        <w:t>Vessel arrival charge</w:t>
      </w:r>
    </w:p>
    <w:p w14:paraId="1A97BCE6" w14:textId="77777777" w:rsidR="00271472" w:rsidRDefault="00271472" w:rsidP="00271472">
      <w:r>
        <w:t>As part of the 2017–18 Budget measures the government directed us to increase the international vessel arrival charge to address the volume forecast and cost recover the expenses of the expanded ballast water biosecurity activities.</w:t>
      </w:r>
    </w:p>
    <w:p w14:paraId="5A8A4E04" w14:textId="00D8F47E" w:rsidR="00271472" w:rsidRDefault="009F3268" w:rsidP="00271472">
      <w:r>
        <w:t>From April 2018 t</w:t>
      </w:r>
      <w:r w:rsidR="00271472">
        <w:t>he international vessel arrival charge for vessels over 25 metres in length increased from $720 to $920.</w:t>
      </w:r>
    </w:p>
    <w:p w14:paraId="3129F065" w14:textId="0AA0B603" w:rsidR="0053608D" w:rsidRPr="007A27E5" w:rsidRDefault="0053608D" w:rsidP="00AD2B08">
      <w:pPr>
        <w:pStyle w:val="Heading3"/>
        <w:spacing w:before="240"/>
        <w:rPr>
          <w:sz w:val="36"/>
          <w:szCs w:val="36"/>
          <w:lang w:eastAsia="ja-JP"/>
        </w:rPr>
      </w:pPr>
      <w:bookmarkStart w:id="52" w:name="_Toc134948269"/>
      <w:bookmarkStart w:id="53" w:name="_Toc135050229"/>
      <w:bookmarkStart w:id="54" w:name="_Toc135304882"/>
      <w:bookmarkStart w:id="55" w:name="_Toc135331055"/>
      <w:bookmarkStart w:id="56" w:name="_Toc135331307"/>
      <w:bookmarkStart w:id="57" w:name="_Toc135332500"/>
      <w:bookmarkStart w:id="58" w:name="_Toc134948270"/>
      <w:bookmarkStart w:id="59" w:name="_Toc135050230"/>
      <w:bookmarkStart w:id="60" w:name="_Toc135304883"/>
      <w:bookmarkStart w:id="61" w:name="_Toc135331056"/>
      <w:bookmarkStart w:id="62" w:name="_Toc135331308"/>
      <w:bookmarkStart w:id="63" w:name="_Toc135332501"/>
      <w:bookmarkStart w:id="64" w:name="_Toc134948271"/>
      <w:bookmarkStart w:id="65" w:name="_Toc135050231"/>
      <w:bookmarkStart w:id="66" w:name="_Toc135304884"/>
      <w:bookmarkStart w:id="67" w:name="_Toc135331057"/>
      <w:bookmarkStart w:id="68" w:name="_Toc135331309"/>
      <w:bookmarkStart w:id="69" w:name="_Toc135332502"/>
      <w:bookmarkStart w:id="70" w:name="_Statutory_authority_to"/>
      <w:bookmarkStart w:id="71" w:name="section_3_2"/>
      <w:bookmarkStart w:id="72" w:name="_Toc168489250"/>
      <w:bookmarkStart w:id="73" w:name="_Toc168489547"/>
      <w:bookmarkStart w:id="74" w:name="_Toc168645245"/>
      <w:bookmarkStart w:id="75" w:name="_Toc233378687"/>
      <w:bookmarkStart w:id="76" w:name="_Hlk86138239"/>
      <w:bookmarkEnd w:id="4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A27E5">
        <w:rPr>
          <w:sz w:val="36"/>
          <w:szCs w:val="36"/>
          <w:lang w:eastAsia="ja-JP"/>
        </w:rPr>
        <w:t xml:space="preserve">Statutory authority to </w:t>
      </w:r>
      <w:bookmarkEnd w:id="72"/>
      <w:bookmarkEnd w:id="73"/>
      <w:bookmarkEnd w:id="74"/>
      <w:r w:rsidR="0069502D">
        <w:rPr>
          <w:sz w:val="36"/>
          <w:szCs w:val="36"/>
          <w:lang w:eastAsia="ja-JP"/>
        </w:rPr>
        <w:t>charge</w:t>
      </w:r>
      <w:bookmarkEnd w:id="75"/>
    </w:p>
    <w:p w14:paraId="5AD324C3" w14:textId="5E3D0A5E" w:rsidR="003C1849" w:rsidRDefault="003C1849" w:rsidP="003C1849">
      <w:pPr>
        <w:rPr>
          <w:rFonts w:cstheme="minorHAnsi"/>
          <w:lang w:eastAsia="ja-JP"/>
        </w:rPr>
      </w:pPr>
      <w:r w:rsidRPr="003A15DF">
        <w:rPr>
          <w:iCs/>
        </w:rPr>
        <w:t xml:space="preserve">The </w:t>
      </w:r>
      <w:hyperlink r:id="rId20" w:history="1">
        <w:r w:rsidR="0069502D" w:rsidRPr="00132718">
          <w:rPr>
            <w:rStyle w:val="Hyperlink"/>
          </w:rPr>
          <w:t>Biosecurity Act 2015</w:t>
        </w:r>
      </w:hyperlink>
      <w:r w:rsidRPr="003A15DF">
        <w:rPr>
          <w:iCs/>
        </w:rPr>
        <w:t xml:space="preserve"> </w:t>
      </w:r>
      <w:r w:rsidRPr="003C1849">
        <w:rPr>
          <w:iCs/>
        </w:rPr>
        <w:t xml:space="preserve">is the primary biosecurity legislation in Australia. The </w:t>
      </w:r>
      <w:hyperlink r:id="rId21" w:history="1">
        <w:r w:rsidR="0069502D" w:rsidRPr="00132718">
          <w:rPr>
            <w:rStyle w:val="Hyperlink"/>
          </w:rPr>
          <w:t>Imported Food Control Act 1992</w:t>
        </w:r>
      </w:hyperlink>
      <w:r w:rsidRPr="003C1849">
        <w:rPr>
          <w:iCs/>
        </w:rPr>
        <w:t xml:space="preserve"> is the primary food importation legislation</w:t>
      </w:r>
      <w:r w:rsidR="00F033DA">
        <w:rPr>
          <w:iCs/>
        </w:rPr>
        <w:t xml:space="preserve"> in Australia</w:t>
      </w:r>
      <w:r w:rsidRPr="003C1849">
        <w:rPr>
          <w:iCs/>
        </w:rPr>
        <w:t xml:space="preserve">. Fees and charges for biosecurity and imported food regulatory activities are recovered under separate charging </w:t>
      </w:r>
      <w:r w:rsidRPr="00FF7F58">
        <w:rPr>
          <w:iCs/>
        </w:rPr>
        <w:t>legislation</w:t>
      </w:r>
      <w:r>
        <w:rPr>
          <w:iCs/>
        </w:rPr>
        <w:t xml:space="preserve"> and provide the authority to cost recover for regulatory activities</w:t>
      </w:r>
      <w:r w:rsidRPr="0053608D">
        <w:rPr>
          <w:rFonts w:cstheme="minorHAnsi"/>
          <w:lang w:eastAsia="ja-JP"/>
        </w:rPr>
        <w:t>.</w:t>
      </w:r>
    </w:p>
    <w:p w14:paraId="2B180EB8" w14:textId="749BA98A" w:rsidR="003C1849" w:rsidRDefault="003C1849" w:rsidP="009F3268">
      <w:pPr>
        <w:keepNext/>
        <w:rPr>
          <w:rFonts w:cstheme="minorHAnsi"/>
          <w:lang w:eastAsia="ja-JP"/>
        </w:rPr>
      </w:pPr>
      <w:r>
        <w:rPr>
          <w:rFonts w:cstheme="minorHAnsi"/>
          <w:lang w:eastAsia="ja-JP"/>
        </w:rPr>
        <w:lastRenderedPageBreak/>
        <w:t>Authority to charge regulated entities comes from:</w:t>
      </w:r>
    </w:p>
    <w:p w14:paraId="586EE3DA" w14:textId="54963AD1" w:rsidR="003C1849" w:rsidRPr="003C1849" w:rsidRDefault="00F9088A" w:rsidP="009C0C8A">
      <w:pPr>
        <w:pStyle w:val="ListBullet"/>
        <w:rPr>
          <w:lang w:eastAsia="ja-JP"/>
        </w:rPr>
      </w:pPr>
      <w:bookmarkStart w:id="77" w:name="_Hlk194297471"/>
      <w:r>
        <w:rPr>
          <w:lang w:eastAsia="ja-JP"/>
        </w:rPr>
        <w:t>S</w:t>
      </w:r>
      <w:r w:rsidR="00C42046" w:rsidRPr="003C1849">
        <w:rPr>
          <w:lang w:eastAsia="ja-JP"/>
        </w:rPr>
        <w:t xml:space="preserve">ection 592 of the </w:t>
      </w:r>
      <w:hyperlink r:id="rId22" w:history="1">
        <w:r w:rsidR="00C42046" w:rsidRPr="00132718">
          <w:rPr>
            <w:rStyle w:val="Hyperlink"/>
          </w:rPr>
          <w:t>Biosecurity Act 2015</w:t>
        </w:r>
      </w:hyperlink>
      <w:r w:rsidR="00E96102">
        <w:t>,</w:t>
      </w:r>
      <w:r w:rsidR="00C42046" w:rsidRPr="003C1849">
        <w:rPr>
          <w:lang w:eastAsia="ja-JP"/>
        </w:rPr>
        <w:t xml:space="preserve"> </w:t>
      </w:r>
      <w:r w:rsidR="0052220B" w:rsidRPr="00E96102">
        <w:rPr>
          <w:lang w:eastAsia="ja-JP"/>
        </w:rPr>
        <w:t xml:space="preserve">which </w:t>
      </w:r>
      <w:r w:rsidR="00C42046" w:rsidRPr="00E96102">
        <w:rPr>
          <w:lang w:eastAsia="ja-JP"/>
        </w:rPr>
        <w:t>provides</w:t>
      </w:r>
      <w:r w:rsidR="00C42046" w:rsidRPr="003C1849">
        <w:rPr>
          <w:lang w:eastAsia="ja-JP"/>
        </w:rPr>
        <w:t xml:space="preserve"> that regulations may prescribe fees that may be charged in relation to activities carried out by or on behalf of the Commonwealth in performing functions and exercising powers under the Biosecurity Act</w:t>
      </w:r>
      <w:r w:rsidR="00AD547D">
        <w:rPr>
          <w:lang w:eastAsia="ja-JP"/>
        </w:rPr>
        <w:t>.</w:t>
      </w:r>
    </w:p>
    <w:p w14:paraId="6A3E25ED" w14:textId="33B9FD90" w:rsidR="003C1849" w:rsidRDefault="00F9088A" w:rsidP="00360C03">
      <w:pPr>
        <w:pStyle w:val="ListBullet"/>
        <w:rPr>
          <w:lang w:eastAsia="ja-JP"/>
        </w:rPr>
      </w:pPr>
      <w:r>
        <w:rPr>
          <w:lang w:eastAsia="ja-JP"/>
        </w:rPr>
        <w:t>S</w:t>
      </w:r>
      <w:r w:rsidR="003C1849" w:rsidRPr="003C1849">
        <w:rPr>
          <w:lang w:eastAsia="ja-JP"/>
        </w:rPr>
        <w:t xml:space="preserve">ection 36 of the </w:t>
      </w:r>
      <w:hyperlink r:id="rId23" w:history="1">
        <w:r w:rsidR="003C1849" w:rsidRPr="00132718">
          <w:rPr>
            <w:rStyle w:val="Hyperlink"/>
          </w:rPr>
          <w:t>Imported Food Control Act 1992</w:t>
        </w:r>
      </w:hyperlink>
      <w:r w:rsidR="00E96102">
        <w:t>,</w:t>
      </w:r>
      <w:r w:rsidR="003C1849" w:rsidRPr="003C1849">
        <w:rPr>
          <w:lang w:eastAsia="ja-JP"/>
        </w:rPr>
        <w:t xml:space="preserve"> </w:t>
      </w:r>
      <w:r w:rsidR="0052220B" w:rsidRPr="00FE2B2A">
        <w:rPr>
          <w:lang w:eastAsia="ja-JP"/>
        </w:rPr>
        <w:t xml:space="preserve">which </w:t>
      </w:r>
      <w:r w:rsidR="003C1849" w:rsidRPr="00FE2B2A">
        <w:rPr>
          <w:lang w:eastAsia="ja-JP"/>
        </w:rPr>
        <w:t>provides</w:t>
      </w:r>
      <w:r w:rsidR="003C1849" w:rsidRPr="003C1849">
        <w:rPr>
          <w:lang w:eastAsia="ja-JP"/>
        </w:rPr>
        <w:t xml:space="preserve"> that a person for whom a ‘chargeable service’ is provided is liable to pay to the Commonwealth the amount for the provision of that service as is prescribed.</w:t>
      </w:r>
    </w:p>
    <w:p w14:paraId="66FA2D42" w14:textId="379CA764" w:rsidR="001579A2" w:rsidRPr="003C1849" w:rsidRDefault="001579A2" w:rsidP="009C0C8A">
      <w:pPr>
        <w:pStyle w:val="Heading4"/>
        <w:rPr>
          <w:lang w:eastAsia="ja-JP"/>
        </w:rPr>
      </w:pPr>
      <w:r>
        <w:rPr>
          <w:lang w:eastAsia="ja-JP"/>
        </w:rPr>
        <w:t>Fees</w:t>
      </w:r>
    </w:p>
    <w:p w14:paraId="1241ECA1" w14:textId="3CBAC435" w:rsidR="003C1849" w:rsidRPr="003C1849" w:rsidRDefault="003C1849" w:rsidP="003C1849">
      <w:pPr>
        <w:rPr>
          <w:rFonts w:cstheme="minorHAnsi"/>
          <w:lang w:eastAsia="ja-JP"/>
        </w:rPr>
      </w:pPr>
      <w:r w:rsidRPr="009C0C8A">
        <w:t>Fees</w:t>
      </w:r>
      <w:r>
        <w:rPr>
          <w:rFonts w:cstheme="minorHAnsi"/>
          <w:lang w:eastAsia="ja-JP"/>
        </w:rPr>
        <w:t xml:space="preserve"> </w:t>
      </w:r>
      <w:r w:rsidR="00885EA4">
        <w:rPr>
          <w:rFonts w:cstheme="minorHAnsi"/>
          <w:lang w:eastAsia="ja-JP"/>
        </w:rPr>
        <w:t xml:space="preserve">are </w:t>
      </w:r>
      <w:r w:rsidR="00647B21">
        <w:rPr>
          <w:rFonts w:cstheme="minorHAnsi"/>
          <w:lang w:eastAsia="ja-JP"/>
        </w:rPr>
        <w:t>prescribed in</w:t>
      </w:r>
      <w:r w:rsidR="007E758D">
        <w:rPr>
          <w:rFonts w:cstheme="minorHAnsi"/>
          <w:lang w:eastAsia="ja-JP"/>
        </w:rPr>
        <w:t xml:space="preserve"> specific </w:t>
      </w:r>
      <w:r w:rsidR="00647B21" w:rsidRPr="0053608D">
        <w:rPr>
          <w:rFonts w:cstheme="minorHAnsi"/>
          <w:lang w:eastAsia="ja-JP"/>
        </w:rPr>
        <w:t xml:space="preserve">biosecurity and imported food </w:t>
      </w:r>
      <w:r w:rsidR="00647B21">
        <w:rPr>
          <w:rFonts w:cstheme="minorHAnsi"/>
          <w:lang w:eastAsia="ja-JP"/>
        </w:rPr>
        <w:t>regulations</w:t>
      </w:r>
      <w:r w:rsidR="001B597D">
        <w:rPr>
          <w:rFonts w:cstheme="minorHAnsi"/>
          <w:lang w:eastAsia="ja-JP"/>
        </w:rPr>
        <w:t>:</w:t>
      </w:r>
    </w:p>
    <w:p w14:paraId="411DD4A9" w14:textId="66694B4C" w:rsidR="00C42046" w:rsidRDefault="00D97C23" w:rsidP="00B87F60">
      <w:pPr>
        <w:pStyle w:val="ListBullet"/>
        <w:rPr>
          <w:lang w:eastAsia="ja-JP"/>
        </w:rPr>
      </w:pPr>
      <w:r>
        <w:rPr>
          <w:lang w:eastAsia="ja-JP"/>
        </w:rPr>
        <w:t>S</w:t>
      </w:r>
      <w:r w:rsidR="00C42046" w:rsidRPr="003C1849">
        <w:rPr>
          <w:lang w:eastAsia="ja-JP"/>
        </w:rPr>
        <w:t xml:space="preserve">ection 106 of the </w:t>
      </w:r>
      <w:hyperlink r:id="rId24" w:history="1">
        <w:r w:rsidR="00C42046" w:rsidRPr="003C1849">
          <w:rPr>
            <w:rStyle w:val="Hyperlink"/>
            <w:rFonts w:cstheme="minorHAnsi"/>
            <w:lang w:eastAsia="ja-JP"/>
          </w:rPr>
          <w:t>Biosecurity Regulation 2016</w:t>
        </w:r>
      </w:hyperlink>
      <w:r w:rsidR="00C42046" w:rsidRPr="003C1849">
        <w:rPr>
          <w:lang w:eastAsia="ja-JP"/>
        </w:rPr>
        <w:t xml:space="preserve"> prescribes fees that may be charged in relation to specified fee-bearing activities</w:t>
      </w:r>
      <w:r w:rsidR="00AD547D">
        <w:rPr>
          <w:lang w:eastAsia="ja-JP"/>
        </w:rPr>
        <w:t>.</w:t>
      </w:r>
    </w:p>
    <w:bookmarkEnd w:id="77"/>
    <w:p w14:paraId="39A046DC" w14:textId="707AA19C" w:rsidR="00E723CE" w:rsidRDefault="00D97C23" w:rsidP="00E723CE">
      <w:pPr>
        <w:pStyle w:val="ListBullet"/>
        <w:rPr>
          <w:lang w:eastAsia="ja-JP"/>
        </w:rPr>
      </w:pPr>
      <w:r>
        <w:rPr>
          <w:lang w:eastAsia="ja-JP"/>
        </w:rPr>
        <w:t>P</w:t>
      </w:r>
      <w:r w:rsidR="00C42046" w:rsidRPr="003C1849">
        <w:rPr>
          <w:lang w:eastAsia="ja-JP"/>
        </w:rPr>
        <w:t xml:space="preserve">art 4 of the </w:t>
      </w:r>
      <w:hyperlink r:id="rId25" w:history="1">
        <w:r w:rsidR="00C42046" w:rsidRPr="003C1849">
          <w:rPr>
            <w:rStyle w:val="Hyperlink"/>
            <w:rFonts w:cstheme="minorHAnsi"/>
            <w:lang w:eastAsia="ja-JP"/>
          </w:rPr>
          <w:t xml:space="preserve">Imported Food </w:t>
        </w:r>
        <w:r w:rsidR="008330DB" w:rsidRPr="003C1849">
          <w:rPr>
            <w:rStyle w:val="Hyperlink"/>
            <w:rFonts w:cstheme="minorHAnsi"/>
            <w:lang w:eastAsia="ja-JP"/>
          </w:rPr>
          <w:t xml:space="preserve">Control </w:t>
        </w:r>
        <w:r w:rsidR="00C42046" w:rsidRPr="003C1849">
          <w:rPr>
            <w:rStyle w:val="Hyperlink"/>
            <w:rFonts w:cstheme="minorHAnsi"/>
            <w:lang w:eastAsia="ja-JP"/>
          </w:rPr>
          <w:t>Regulations 2019</w:t>
        </w:r>
      </w:hyperlink>
      <w:r w:rsidR="00C42046" w:rsidRPr="003C1849">
        <w:rPr>
          <w:lang w:eastAsia="ja-JP"/>
        </w:rPr>
        <w:t xml:space="preserve"> prescribe the payable amount for the provision of specified chargeable services</w:t>
      </w:r>
      <w:r w:rsidR="0053608D" w:rsidRPr="003C1849">
        <w:rPr>
          <w:lang w:eastAsia="ja-JP"/>
        </w:rPr>
        <w:t>.</w:t>
      </w:r>
    </w:p>
    <w:p w14:paraId="449119FC" w14:textId="05DD839F" w:rsidR="00E723CE" w:rsidRPr="009C0C8A" w:rsidRDefault="00E723CE" w:rsidP="009C0C8A">
      <w:pPr>
        <w:pStyle w:val="Heading4"/>
      </w:pPr>
      <w:r>
        <w:t>Charges</w:t>
      </w:r>
      <w:r w:rsidR="00BC6780">
        <w:t xml:space="preserve"> (levies)</w:t>
      </w:r>
    </w:p>
    <w:p w14:paraId="331A2D6F" w14:textId="7B854F19" w:rsidR="00BC6780" w:rsidRDefault="0053608D" w:rsidP="0053608D">
      <w:pPr>
        <w:rPr>
          <w:rFonts w:cstheme="minorHAnsi"/>
          <w:lang w:eastAsia="ja-JP"/>
        </w:rPr>
      </w:pPr>
      <w:r w:rsidRPr="009C0C8A">
        <w:t>Charges</w:t>
      </w:r>
      <w:r w:rsidR="003C1849">
        <w:rPr>
          <w:rFonts w:cstheme="minorHAnsi"/>
          <w:lang w:eastAsia="ja-JP"/>
        </w:rPr>
        <w:t xml:space="preserve"> or levies</w:t>
      </w:r>
      <w:r w:rsidRPr="0053608D">
        <w:rPr>
          <w:rFonts w:cstheme="minorHAnsi"/>
          <w:lang w:eastAsia="ja-JP"/>
        </w:rPr>
        <w:t xml:space="preserve"> are imposed through specific biosecurity and imported food charging </w:t>
      </w:r>
      <w:r w:rsidR="001B597D">
        <w:rPr>
          <w:rFonts w:cstheme="minorHAnsi"/>
          <w:lang w:eastAsia="ja-JP"/>
        </w:rPr>
        <w:t>A</w:t>
      </w:r>
      <w:r w:rsidRPr="0053608D">
        <w:rPr>
          <w:rFonts w:cstheme="minorHAnsi"/>
          <w:lang w:eastAsia="ja-JP"/>
        </w:rPr>
        <w:t>cts</w:t>
      </w:r>
      <w:r w:rsidR="0069502D">
        <w:rPr>
          <w:rFonts w:cstheme="minorHAnsi"/>
          <w:lang w:eastAsia="ja-JP"/>
        </w:rPr>
        <w:t xml:space="preserve"> and </w:t>
      </w:r>
      <w:r w:rsidR="003F1096">
        <w:rPr>
          <w:rFonts w:cstheme="minorHAnsi"/>
          <w:lang w:eastAsia="ja-JP"/>
        </w:rPr>
        <w:t xml:space="preserve">delegated </w:t>
      </w:r>
      <w:r w:rsidR="00E67096">
        <w:rPr>
          <w:rFonts w:cstheme="minorHAnsi"/>
          <w:lang w:eastAsia="ja-JP"/>
        </w:rPr>
        <w:t>legislation</w:t>
      </w:r>
      <w:r w:rsidR="0069502D">
        <w:rPr>
          <w:rFonts w:cstheme="minorHAnsi"/>
          <w:lang w:eastAsia="ja-JP"/>
        </w:rPr>
        <w:t>,</w:t>
      </w:r>
      <w:r w:rsidRPr="0053608D">
        <w:rPr>
          <w:rFonts w:cstheme="minorHAnsi"/>
          <w:lang w:eastAsia="ja-JP"/>
        </w:rPr>
        <w:t xml:space="preserve"> which provide powers to impose and collect charges for biosecurity and imported food regulatory matters</w:t>
      </w:r>
      <w:r w:rsidR="003C1849">
        <w:rPr>
          <w:rFonts w:cstheme="minorHAnsi"/>
          <w:lang w:eastAsia="ja-JP"/>
        </w:rPr>
        <w:t>.</w:t>
      </w:r>
    </w:p>
    <w:p w14:paraId="6FB714E0" w14:textId="220F8FD3" w:rsidR="009C0C8A" w:rsidRPr="00FE2B2A" w:rsidRDefault="004847A3" w:rsidP="00FE2B2A">
      <w:pPr>
        <w:pStyle w:val="Heading5"/>
      </w:pPr>
      <w:r w:rsidRPr="00132718">
        <w:t xml:space="preserve">Charging </w:t>
      </w:r>
      <w:r w:rsidR="000306B1" w:rsidRPr="00132718">
        <w:t>A</w:t>
      </w:r>
      <w:r w:rsidR="00EB4DA2" w:rsidRPr="00132718">
        <w:t>cts</w:t>
      </w:r>
    </w:p>
    <w:p w14:paraId="2FF93265" w14:textId="32BBF51C" w:rsidR="0053608D" w:rsidRPr="00132718" w:rsidRDefault="0053608D" w:rsidP="009C0C8A">
      <w:pPr>
        <w:pStyle w:val="ListBullet"/>
        <w:rPr>
          <w:rStyle w:val="Hyperlink"/>
        </w:rPr>
      </w:pPr>
      <w:hyperlink r:id="rId26" w:history="1">
        <w:r w:rsidRPr="00132718">
          <w:rPr>
            <w:rStyle w:val="Hyperlink"/>
          </w:rPr>
          <w:t>Biosecurity Charges Imposition (Customs) Act 2015</w:t>
        </w:r>
      </w:hyperlink>
    </w:p>
    <w:p w14:paraId="060F2257" w14:textId="77777777" w:rsidR="0053608D" w:rsidRPr="00132718" w:rsidRDefault="0053608D" w:rsidP="009C0C8A">
      <w:pPr>
        <w:pStyle w:val="ListBullet"/>
        <w:rPr>
          <w:rStyle w:val="Hyperlink"/>
        </w:rPr>
      </w:pPr>
      <w:hyperlink r:id="rId27" w:history="1">
        <w:r w:rsidRPr="00132718">
          <w:rPr>
            <w:rStyle w:val="Hyperlink"/>
          </w:rPr>
          <w:t>Biosecurity Charges Imposition (Excise) Act 2015</w:t>
        </w:r>
      </w:hyperlink>
    </w:p>
    <w:p w14:paraId="0DA50853" w14:textId="77777777" w:rsidR="0053608D" w:rsidRPr="00132718" w:rsidRDefault="0053608D" w:rsidP="009C0C8A">
      <w:pPr>
        <w:pStyle w:val="ListBullet"/>
        <w:rPr>
          <w:rStyle w:val="Hyperlink"/>
        </w:rPr>
      </w:pPr>
      <w:hyperlink r:id="rId28" w:history="1">
        <w:r w:rsidRPr="00132718">
          <w:rPr>
            <w:rStyle w:val="Hyperlink"/>
          </w:rPr>
          <w:t>Biosecurity Charges Imposition (General) Act 2015</w:t>
        </w:r>
      </w:hyperlink>
    </w:p>
    <w:p w14:paraId="0F3D0BC8" w14:textId="77777777" w:rsidR="0053608D" w:rsidRPr="00132718" w:rsidRDefault="0053608D" w:rsidP="009C0C8A">
      <w:pPr>
        <w:pStyle w:val="ListBullet"/>
        <w:rPr>
          <w:rStyle w:val="Hyperlink"/>
        </w:rPr>
      </w:pPr>
      <w:hyperlink r:id="rId29" w:history="1">
        <w:r w:rsidRPr="00132718">
          <w:rPr>
            <w:rStyle w:val="Hyperlink"/>
          </w:rPr>
          <w:t>Imported Food Charges (Imposition—Customs) Act 2015</w:t>
        </w:r>
      </w:hyperlink>
    </w:p>
    <w:p w14:paraId="33F9B0E7" w14:textId="77777777" w:rsidR="0053608D" w:rsidRPr="00132718" w:rsidRDefault="0053608D" w:rsidP="009C0C8A">
      <w:pPr>
        <w:pStyle w:val="ListBullet"/>
        <w:rPr>
          <w:rStyle w:val="Hyperlink"/>
        </w:rPr>
      </w:pPr>
      <w:hyperlink r:id="rId30" w:history="1">
        <w:r w:rsidRPr="00132718">
          <w:rPr>
            <w:rStyle w:val="Hyperlink"/>
          </w:rPr>
          <w:t>Imported Food Charges (Imposition—Excise) Act 2015</w:t>
        </w:r>
      </w:hyperlink>
    </w:p>
    <w:p w14:paraId="0D045F12" w14:textId="77777777" w:rsidR="0053608D" w:rsidRPr="00132718" w:rsidRDefault="0053608D" w:rsidP="009C0C8A">
      <w:pPr>
        <w:pStyle w:val="ListBullet"/>
        <w:rPr>
          <w:rStyle w:val="Hyperlink"/>
        </w:rPr>
      </w:pPr>
      <w:hyperlink r:id="rId31" w:history="1">
        <w:r w:rsidRPr="00132718">
          <w:rPr>
            <w:rStyle w:val="Hyperlink"/>
          </w:rPr>
          <w:t>Imported Food Charges (Imposition—General) Act 2015</w:t>
        </w:r>
      </w:hyperlink>
    </w:p>
    <w:p w14:paraId="7BBFDE26" w14:textId="05529FC5" w:rsidR="0053608D" w:rsidRPr="00132718" w:rsidRDefault="0053608D" w:rsidP="009C0C8A">
      <w:pPr>
        <w:pStyle w:val="ListBullet"/>
        <w:rPr>
          <w:rStyle w:val="Hyperlink"/>
        </w:rPr>
      </w:pPr>
      <w:hyperlink r:id="rId32" w:history="1">
        <w:r w:rsidRPr="00132718">
          <w:rPr>
            <w:rStyle w:val="Hyperlink"/>
          </w:rPr>
          <w:t>Imported Food Charges (Collection) Act 2015</w:t>
        </w:r>
      </w:hyperlink>
    </w:p>
    <w:p w14:paraId="12A002E4" w14:textId="7097E15D" w:rsidR="004031B6" w:rsidRPr="0069502D" w:rsidRDefault="004031B6" w:rsidP="00FE2B2A">
      <w:pPr>
        <w:pStyle w:val="Heading5"/>
        <w:rPr>
          <w:rFonts w:cstheme="minorHAnsi"/>
          <w:lang w:eastAsia="ja-JP"/>
        </w:rPr>
      </w:pPr>
      <w:r>
        <w:t>Regulations</w:t>
      </w:r>
    </w:p>
    <w:p w14:paraId="395B2686" w14:textId="77777777" w:rsidR="00132718" w:rsidRPr="001D3FAB" w:rsidRDefault="0053608D" w:rsidP="001D3FAB">
      <w:pPr>
        <w:keepNext/>
      </w:pPr>
      <w:r w:rsidRPr="0053608D">
        <w:rPr>
          <w:rFonts w:cstheme="minorHAnsi"/>
          <w:lang w:eastAsia="ja-JP"/>
        </w:rPr>
        <w:t xml:space="preserve">Specific </w:t>
      </w:r>
      <w:r w:rsidR="00F25D42">
        <w:rPr>
          <w:rFonts w:cstheme="minorHAnsi"/>
          <w:lang w:eastAsia="ja-JP"/>
        </w:rPr>
        <w:t xml:space="preserve">biosecurity </w:t>
      </w:r>
      <w:r w:rsidRPr="0053608D">
        <w:rPr>
          <w:rFonts w:cstheme="minorHAnsi"/>
          <w:lang w:eastAsia="ja-JP"/>
        </w:rPr>
        <w:t>charges are prescribed in the</w:t>
      </w:r>
      <w:r w:rsidR="00132718">
        <w:rPr>
          <w:rFonts w:cstheme="minorHAnsi"/>
          <w:lang w:eastAsia="ja-JP"/>
        </w:rPr>
        <w:t>:</w:t>
      </w:r>
    </w:p>
    <w:p w14:paraId="35A27348" w14:textId="65D48F7C" w:rsidR="00132718" w:rsidRPr="00FE2B2A" w:rsidRDefault="0053608D" w:rsidP="009C0C8A">
      <w:pPr>
        <w:pStyle w:val="ListBullet"/>
        <w:rPr>
          <w:rFonts w:cstheme="minorHAnsi"/>
          <w:lang w:eastAsia="ja-JP"/>
        </w:rPr>
      </w:pPr>
      <w:hyperlink r:id="rId33" w:history="1">
        <w:r w:rsidRPr="0053608D">
          <w:rPr>
            <w:rFonts w:cstheme="minorHAnsi"/>
            <w:color w:val="165788"/>
            <w:u w:val="single"/>
            <w:lang w:eastAsia="ja-JP"/>
          </w:rPr>
          <w:t>Biosecurity Charges Imposition (Customs) Regulation 2016</w:t>
        </w:r>
      </w:hyperlink>
    </w:p>
    <w:p w14:paraId="0ABA42E1" w14:textId="07407115" w:rsidR="0053608D" w:rsidRPr="0053608D" w:rsidRDefault="0053608D" w:rsidP="009C0C8A">
      <w:pPr>
        <w:pStyle w:val="ListBullet"/>
        <w:rPr>
          <w:rFonts w:cstheme="minorHAnsi"/>
          <w:lang w:eastAsia="ja-JP"/>
        </w:rPr>
      </w:pPr>
      <w:hyperlink r:id="rId34" w:history="1">
        <w:r w:rsidRPr="0053608D">
          <w:rPr>
            <w:rFonts w:cstheme="minorHAnsi"/>
            <w:color w:val="165788"/>
            <w:u w:val="single"/>
            <w:lang w:eastAsia="ja-JP"/>
          </w:rPr>
          <w:t>Biosecurity Charges Imposition (General) Regulation 2016</w:t>
        </w:r>
      </w:hyperlink>
      <w:r w:rsidRPr="0053608D">
        <w:rPr>
          <w:rFonts w:cstheme="minorHAnsi"/>
          <w:lang w:eastAsia="ja-JP"/>
        </w:rPr>
        <w:t>.</w:t>
      </w:r>
    </w:p>
    <w:p w14:paraId="28BCC24C" w14:textId="77777777" w:rsidR="00132718" w:rsidRDefault="0053608D" w:rsidP="001D3FAB">
      <w:pPr>
        <w:keepNext/>
        <w:rPr>
          <w:rFonts w:cstheme="minorHAnsi"/>
          <w:lang w:eastAsia="ja-JP"/>
        </w:rPr>
      </w:pPr>
      <w:r w:rsidRPr="0053608D">
        <w:rPr>
          <w:rFonts w:cstheme="minorHAnsi"/>
          <w:lang w:eastAsia="ja-JP"/>
        </w:rPr>
        <w:t xml:space="preserve">Specific </w:t>
      </w:r>
      <w:r w:rsidR="00F25D42">
        <w:rPr>
          <w:rFonts w:cstheme="minorHAnsi"/>
          <w:lang w:eastAsia="ja-JP"/>
        </w:rPr>
        <w:t xml:space="preserve">imported food </w:t>
      </w:r>
      <w:r w:rsidRPr="0053608D">
        <w:rPr>
          <w:rFonts w:cstheme="minorHAnsi"/>
          <w:lang w:eastAsia="ja-JP"/>
        </w:rPr>
        <w:t>charges are prescribed in the</w:t>
      </w:r>
      <w:r w:rsidR="00132718">
        <w:rPr>
          <w:rFonts w:cstheme="minorHAnsi"/>
          <w:lang w:eastAsia="ja-JP"/>
        </w:rPr>
        <w:t>:</w:t>
      </w:r>
    </w:p>
    <w:p w14:paraId="25654292" w14:textId="79AACEE4" w:rsidR="00132718" w:rsidRPr="003A5150" w:rsidRDefault="0053608D" w:rsidP="00132718">
      <w:pPr>
        <w:pStyle w:val="ListBullet"/>
        <w:rPr>
          <w:rFonts w:cstheme="minorHAnsi"/>
          <w:lang w:eastAsia="ja-JP"/>
        </w:rPr>
      </w:pPr>
      <w:hyperlink r:id="rId35" w:history="1">
        <w:r w:rsidRPr="0053608D">
          <w:rPr>
            <w:rFonts w:cstheme="minorHAnsi"/>
            <w:color w:val="165788"/>
            <w:u w:val="single"/>
            <w:lang w:eastAsia="ja-JP"/>
          </w:rPr>
          <w:t>Imported Food Charges (Imposition—Customs) Regulation 2015</w:t>
        </w:r>
      </w:hyperlink>
    </w:p>
    <w:p w14:paraId="26A47AF2" w14:textId="4E3EE79B" w:rsidR="0053608D" w:rsidRPr="0053608D" w:rsidRDefault="0053608D" w:rsidP="00132718">
      <w:pPr>
        <w:pStyle w:val="ListBullet"/>
        <w:rPr>
          <w:rFonts w:cstheme="minorHAnsi"/>
          <w:lang w:eastAsia="ja-JP"/>
        </w:rPr>
      </w:pPr>
      <w:hyperlink r:id="rId36" w:history="1">
        <w:r w:rsidRPr="0053608D">
          <w:rPr>
            <w:rFonts w:cstheme="minorHAnsi"/>
            <w:color w:val="165788"/>
            <w:u w:val="single"/>
            <w:lang w:eastAsia="ja-JP"/>
          </w:rPr>
          <w:t>Imported Food Charges (Imposition—General) Regulation 2015</w:t>
        </w:r>
      </w:hyperlink>
      <w:r w:rsidRPr="0053608D">
        <w:rPr>
          <w:rFonts w:cstheme="minorHAnsi"/>
          <w:lang w:eastAsia="ja-JP"/>
        </w:rPr>
        <w:t>.</w:t>
      </w:r>
      <w:bookmarkEnd w:id="76"/>
    </w:p>
    <w:p w14:paraId="2DD7512A" w14:textId="20C80693" w:rsidR="009920DB" w:rsidRPr="00C42046" w:rsidRDefault="009920DB" w:rsidP="00986C44">
      <w:pPr>
        <w:pStyle w:val="Heading2"/>
      </w:pPr>
      <w:bookmarkStart w:id="78" w:name="_Regulatory_charging_model"/>
      <w:bookmarkStart w:id="79" w:name="_Toc168489251"/>
      <w:bookmarkStart w:id="80" w:name="_Toc168489548"/>
      <w:bookmarkStart w:id="81" w:name="_Toc168645246"/>
      <w:bookmarkStart w:id="82" w:name="_Toc233378688"/>
      <w:bookmarkEnd w:id="78"/>
      <w:r w:rsidRPr="00C42046">
        <w:lastRenderedPageBreak/>
        <w:t xml:space="preserve">Regulatory </w:t>
      </w:r>
      <w:r w:rsidR="0069502D">
        <w:t xml:space="preserve">(cost recovery) </w:t>
      </w:r>
      <w:r w:rsidRPr="00C42046">
        <w:t>charging model</w:t>
      </w:r>
      <w:bookmarkEnd w:id="79"/>
      <w:bookmarkEnd w:id="80"/>
      <w:bookmarkEnd w:id="81"/>
      <w:bookmarkEnd w:id="82"/>
    </w:p>
    <w:p w14:paraId="385190C0" w14:textId="2FD97FE5" w:rsidR="009920DB" w:rsidRPr="00986C44" w:rsidRDefault="009920DB" w:rsidP="00986C44">
      <w:pPr>
        <w:pStyle w:val="Heading3"/>
        <w:rPr>
          <w:sz w:val="36"/>
          <w:szCs w:val="36"/>
          <w:lang w:eastAsia="ja-JP"/>
        </w:rPr>
      </w:pPr>
      <w:bookmarkStart w:id="83" w:name="_Toc168489252"/>
      <w:bookmarkStart w:id="84" w:name="_Toc168489549"/>
      <w:bookmarkStart w:id="85" w:name="_Toc168645247"/>
      <w:bookmarkStart w:id="86" w:name="_Toc233378689"/>
      <w:r w:rsidRPr="00986C44">
        <w:rPr>
          <w:sz w:val="36"/>
          <w:szCs w:val="36"/>
          <w:lang w:eastAsia="ja-JP"/>
        </w:rPr>
        <w:t>O</w:t>
      </w:r>
      <w:r w:rsidR="006F6390" w:rsidRPr="00986C44">
        <w:rPr>
          <w:sz w:val="36"/>
          <w:szCs w:val="36"/>
          <w:lang w:eastAsia="ja-JP"/>
        </w:rPr>
        <w:t xml:space="preserve">utputs and </w:t>
      </w:r>
      <w:r w:rsidRPr="00986C44">
        <w:rPr>
          <w:sz w:val="36"/>
          <w:szCs w:val="36"/>
          <w:lang w:eastAsia="ja-JP"/>
        </w:rPr>
        <w:t xml:space="preserve">business processes of </w:t>
      </w:r>
      <w:bookmarkEnd w:id="83"/>
      <w:bookmarkEnd w:id="84"/>
      <w:bookmarkEnd w:id="85"/>
      <w:r w:rsidR="009D29DF" w:rsidRPr="00986C44">
        <w:rPr>
          <w:sz w:val="36"/>
          <w:szCs w:val="36"/>
          <w:lang w:eastAsia="ja-JP"/>
        </w:rPr>
        <w:t>cost recovery</w:t>
      </w:r>
      <w:bookmarkEnd w:id="86"/>
    </w:p>
    <w:p w14:paraId="1A03963B" w14:textId="35E93BE3" w:rsidR="00283B02" w:rsidRDefault="00E765B8" w:rsidP="009920DB">
      <w:pPr>
        <w:rPr>
          <w:rFonts w:cstheme="minorHAnsi"/>
          <w:lang w:eastAsia="ja-JP"/>
        </w:rPr>
      </w:pPr>
      <w:r>
        <w:rPr>
          <w:rFonts w:cstheme="minorHAnsi"/>
          <w:lang w:eastAsia="ja-JP"/>
        </w:rPr>
        <w:t>Our</w:t>
      </w:r>
      <w:r w:rsidR="00283B02">
        <w:rPr>
          <w:rFonts w:cstheme="minorHAnsi"/>
          <w:lang w:eastAsia="ja-JP"/>
        </w:rPr>
        <w:t xml:space="preserve"> cost recovery modelling and processes are complex and varied due to the breadth of regulated entities and risk</w:t>
      </w:r>
      <w:r w:rsidR="006F3929">
        <w:rPr>
          <w:rFonts w:cstheme="minorHAnsi"/>
          <w:lang w:eastAsia="ja-JP"/>
        </w:rPr>
        <w:t>s</w:t>
      </w:r>
      <w:r w:rsidR="00283B02">
        <w:rPr>
          <w:rFonts w:cstheme="minorHAnsi"/>
          <w:lang w:eastAsia="ja-JP"/>
        </w:rPr>
        <w:t xml:space="preserve"> that we manage. Accordingly, our cost recovery model is determined </w:t>
      </w:r>
      <w:r w:rsidR="00C10B18">
        <w:rPr>
          <w:rFonts w:cstheme="minorHAnsi"/>
          <w:lang w:eastAsia="ja-JP"/>
        </w:rPr>
        <w:t>considering</w:t>
      </w:r>
      <w:r w:rsidR="00283B02">
        <w:rPr>
          <w:rFonts w:cstheme="minorHAnsi"/>
          <w:lang w:eastAsia="ja-JP"/>
        </w:rPr>
        <w:t xml:space="preserve"> the complexity, materiality and sensitivity of the environment in which we operate and the regulation we provide.</w:t>
      </w:r>
    </w:p>
    <w:p w14:paraId="137C8E6B" w14:textId="4FAB4882" w:rsidR="0069502D" w:rsidRPr="00401C08" w:rsidRDefault="00E765B8" w:rsidP="009920DB">
      <w:pPr>
        <w:rPr>
          <w:rFonts w:cstheme="minorHAnsi"/>
          <w:lang w:eastAsia="ja-JP"/>
        </w:rPr>
      </w:pPr>
      <w:r>
        <w:rPr>
          <w:rFonts w:cstheme="minorHAnsi"/>
          <w:lang w:eastAsia="ja-JP"/>
        </w:rPr>
        <w:t>Our</w:t>
      </w:r>
      <w:r w:rsidR="00283B02">
        <w:rPr>
          <w:rFonts w:cstheme="minorHAnsi"/>
          <w:lang w:eastAsia="ja-JP"/>
        </w:rPr>
        <w:t xml:space="preserve"> </w:t>
      </w:r>
      <w:r w:rsidR="00283B02" w:rsidRPr="0007617D">
        <w:t>r</w:t>
      </w:r>
      <w:r w:rsidR="009920DB" w:rsidRPr="0007617D">
        <w:t>egulatory activit</w:t>
      </w:r>
      <w:r w:rsidR="00283B02" w:rsidRPr="0007617D">
        <w:t xml:space="preserve">ies and </w:t>
      </w:r>
      <w:r w:rsidR="005B0C22" w:rsidRPr="0007617D">
        <w:t xml:space="preserve">outputs </w:t>
      </w:r>
      <w:r w:rsidR="009D29DF" w:rsidRPr="0007617D">
        <w:t xml:space="preserve">are </w:t>
      </w:r>
      <w:r w:rsidR="00283B02" w:rsidRPr="0007617D">
        <w:t>grouped into 4 categories</w:t>
      </w:r>
      <w:r w:rsidR="009920DB" w:rsidRPr="0007617D">
        <w:t>:</w:t>
      </w:r>
    </w:p>
    <w:p w14:paraId="76F7DDD5" w14:textId="77777777" w:rsidR="009920DB" w:rsidRPr="00401C08" w:rsidRDefault="009920DB" w:rsidP="0012193F">
      <w:pPr>
        <w:pStyle w:val="ListNumber"/>
        <w:numPr>
          <w:ilvl w:val="0"/>
          <w:numId w:val="15"/>
        </w:numPr>
      </w:pPr>
      <w:r w:rsidRPr="0019667C">
        <w:rPr>
          <w:b/>
          <w:bCs/>
        </w:rPr>
        <w:t>Program management and administration</w:t>
      </w:r>
      <w:r w:rsidRPr="00401C08">
        <w:t xml:space="preserve"> – administrative activities that support us to deliver our biosecurity and imported foods regulatory activities.</w:t>
      </w:r>
    </w:p>
    <w:p w14:paraId="1E0619E9" w14:textId="77777777" w:rsidR="009920DB" w:rsidRPr="00401C08" w:rsidRDefault="009920DB" w:rsidP="009B2AC9">
      <w:pPr>
        <w:pStyle w:val="ListNumber"/>
      </w:pPr>
      <w:r w:rsidRPr="00401C08">
        <w:rPr>
          <w:b/>
          <w:bCs/>
        </w:rPr>
        <w:t>Assurance</w:t>
      </w:r>
      <w:r w:rsidRPr="00401C08">
        <w:t xml:space="preserve"> – activities that mitigate risks to collective user groups by assessing departmental controls of systems and processes to ensure they operate in accordance with their intended design.</w:t>
      </w:r>
    </w:p>
    <w:p w14:paraId="6B1CB7EA" w14:textId="77777777" w:rsidR="009920DB" w:rsidRPr="00401C08" w:rsidRDefault="009920DB" w:rsidP="009B2AC9">
      <w:pPr>
        <w:pStyle w:val="ListNumber"/>
      </w:pPr>
      <w:r w:rsidRPr="00401C08">
        <w:rPr>
          <w:b/>
          <w:bCs/>
        </w:rPr>
        <w:t>Incident management</w:t>
      </w:r>
      <w:r w:rsidRPr="00401C08">
        <w:t xml:space="preserve"> – activities that respond to incidents concerning alleged breaches of Australian regulation or import conditions.</w:t>
      </w:r>
    </w:p>
    <w:p w14:paraId="47C875A8" w14:textId="1FD28912" w:rsidR="009920DB" w:rsidRDefault="009920DB" w:rsidP="009B2AC9">
      <w:pPr>
        <w:pStyle w:val="ListNumber"/>
      </w:pPr>
      <w:r w:rsidRPr="00401C08">
        <w:rPr>
          <w:b/>
          <w:bCs/>
        </w:rPr>
        <w:t>Intervention</w:t>
      </w:r>
      <w:r w:rsidRPr="00401C08">
        <w:t xml:space="preserve"> – inspection and assessment activities provided directly to </w:t>
      </w:r>
      <w:r w:rsidR="002C6E38" w:rsidRPr="009920DB">
        <w:t>a</w:t>
      </w:r>
      <w:r w:rsidR="002C6E38">
        <w:t xml:space="preserve"> regulated entity,</w:t>
      </w:r>
      <w:r w:rsidR="002C6E38" w:rsidRPr="009920DB">
        <w:t xml:space="preserve"> to meet import requirements</w:t>
      </w:r>
      <w:r w:rsidRPr="00401C08">
        <w:t>.</w:t>
      </w:r>
    </w:p>
    <w:p w14:paraId="3E13B37E" w14:textId="6600C41B" w:rsidR="00283B02" w:rsidRPr="00132718" w:rsidRDefault="00283B02" w:rsidP="00D97C23">
      <w:r>
        <w:rPr>
          <w:lang w:eastAsia="ja-JP"/>
        </w:rPr>
        <w:t>Detail</w:t>
      </w:r>
      <w:r w:rsidR="002D7345">
        <w:rPr>
          <w:lang w:eastAsia="ja-JP"/>
        </w:rPr>
        <w:t>s</w:t>
      </w:r>
      <w:r>
        <w:rPr>
          <w:lang w:eastAsia="ja-JP"/>
        </w:rPr>
        <w:t xml:space="preserve"> of the activities and outputs used in our cost recovery model are </w:t>
      </w:r>
      <w:r w:rsidRPr="00401C08">
        <w:rPr>
          <w:lang w:eastAsia="ja-JP"/>
        </w:rPr>
        <w:t>described in</w:t>
      </w:r>
      <w:r w:rsidR="00B44102">
        <w:rPr>
          <w:lang w:eastAsia="ja-JP"/>
        </w:rPr>
        <w:t xml:space="preserve"> </w:t>
      </w:r>
      <w:hyperlink w:anchor="_Appendix_B:_Cost-model" w:history="1">
        <w:r w:rsidR="00B44102" w:rsidRPr="004F5EC6">
          <w:rPr>
            <w:rStyle w:val="Hyperlink"/>
            <w:rFonts w:cstheme="minorHAnsi"/>
          </w:rPr>
          <w:t>Appendix B</w:t>
        </w:r>
      </w:hyperlink>
      <w:r w:rsidR="001B597D">
        <w:t>.</w:t>
      </w:r>
    </w:p>
    <w:p w14:paraId="20C040E0" w14:textId="1B674D7B" w:rsidR="00283B02" w:rsidRPr="00472697" w:rsidRDefault="00283B02" w:rsidP="00D97C23">
      <w:pPr>
        <w:rPr>
          <w:lang w:eastAsia="ja-JP"/>
        </w:rPr>
      </w:pPr>
      <w:r w:rsidRPr="00472697">
        <w:rPr>
          <w:lang w:eastAsia="ja-JP"/>
        </w:rPr>
        <w:t xml:space="preserve">Our activities and outputs are also grouped based on whether they relate </w:t>
      </w:r>
      <w:r w:rsidR="002D7345" w:rsidRPr="00472697">
        <w:rPr>
          <w:lang w:eastAsia="ja-JP"/>
        </w:rPr>
        <w:t xml:space="preserve">to a fee-for-service activity or </w:t>
      </w:r>
      <w:r w:rsidRPr="00472697">
        <w:rPr>
          <w:lang w:eastAsia="ja-JP"/>
        </w:rPr>
        <w:t xml:space="preserve">to a </w:t>
      </w:r>
      <w:r w:rsidR="002D7345" w:rsidRPr="00472697">
        <w:rPr>
          <w:lang w:eastAsia="ja-JP"/>
        </w:rPr>
        <w:t>general charge for a biosecurity or imported food matter</w:t>
      </w:r>
      <w:r w:rsidR="00780BEB">
        <w:rPr>
          <w:lang w:eastAsia="ja-JP"/>
        </w:rPr>
        <w:t>:</w:t>
      </w:r>
    </w:p>
    <w:p w14:paraId="0248C07A" w14:textId="088221E3" w:rsidR="00702ACF" w:rsidRPr="00CE3101" w:rsidRDefault="001B5879" w:rsidP="00CE3101">
      <w:pPr>
        <w:pStyle w:val="ListBullet"/>
      </w:pPr>
      <w:r w:rsidRPr="00CE3101">
        <w:rPr>
          <w:rStyle w:val="Strong"/>
          <w:b w:val="0"/>
          <w:bCs w:val="0"/>
        </w:rPr>
        <w:t>Fees</w:t>
      </w:r>
      <w:r w:rsidRPr="00CE3101">
        <w:t xml:space="preserve"> are used to recover the costs of direct intervention and certification activities undertaken for regulated entities.</w:t>
      </w:r>
    </w:p>
    <w:p w14:paraId="669E2ACE" w14:textId="30E31758" w:rsidR="001B5879" w:rsidRPr="00CE3101" w:rsidRDefault="001B5879" w:rsidP="00CE3101">
      <w:pPr>
        <w:pStyle w:val="ListBullet"/>
      </w:pPr>
      <w:r w:rsidRPr="00CE3101">
        <w:rPr>
          <w:rStyle w:val="Strong"/>
          <w:b w:val="0"/>
          <w:bCs w:val="0"/>
        </w:rPr>
        <w:t>Charges</w:t>
      </w:r>
      <w:r w:rsidRPr="00CE3101">
        <w:t xml:space="preserve"> are imposed when activities are provided to a group of </w:t>
      </w:r>
      <w:r w:rsidR="002C6E38" w:rsidRPr="00CE3101">
        <w:t xml:space="preserve">regulated </w:t>
      </w:r>
      <w:r w:rsidR="00CE3101" w:rsidRPr="00CE3101">
        <w:t>entities</w:t>
      </w:r>
      <w:r w:rsidR="00CE3101">
        <w:t xml:space="preserve"> and</w:t>
      </w:r>
      <w:r w:rsidR="00256115">
        <w:t xml:space="preserve"> used </w:t>
      </w:r>
      <w:r w:rsidR="00CE3101">
        <w:t xml:space="preserve">to </w:t>
      </w:r>
      <w:r w:rsidR="00CE3101" w:rsidRPr="00CE3101">
        <w:t>recover</w:t>
      </w:r>
      <w:r w:rsidRPr="00CE3101">
        <w:t xml:space="preserve"> costs </w:t>
      </w:r>
      <w:r w:rsidR="008A75F4">
        <w:t>assoc</w:t>
      </w:r>
      <w:r w:rsidR="00CC266B">
        <w:t xml:space="preserve">iated with funding the </w:t>
      </w:r>
      <w:r w:rsidRPr="00CE3101">
        <w:t xml:space="preserve">overall biosecurity </w:t>
      </w:r>
      <w:r w:rsidR="001C12FB">
        <w:t xml:space="preserve">cost </w:t>
      </w:r>
      <w:r w:rsidR="00F3714D">
        <w:t>recovery arrangement</w:t>
      </w:r>
      <w:r w:rsidR="00C91FB4">
        <w:t>.</w:t>
      </w:r>
    </w:p>
    <w:p w14:paraId="62DB3E51" w14:textId="77777777" w:rsidR="001B5879" w:rsidRPr="001B5879" w:rsidRDefault="001B5879" w:rsidP="00041A02">
      <w:pPr>
        <w:pStyle w:val="Heading4"/>
      </w:pPr>
      <w:r w:rsidRPr="001B5879">
        <w:t>Fees</w:t>
      </w:r>
    </w:p>
    <w:p w14:paraId="5CDD0F0E" w14:textId="1E33AD5E" w:rsidR="001B5879" w:rsidRPr="00472697" w:rsidRDefault="001B5879" w:rsidP="001B5879">
      <w:r w:rsidRPr="00472697">
        <w:t>A fee is a charge for good</w:t>
      </w:r>
      <w:r w:rsidR="00780BEB">
        <w:t>s</w:t>
      </w:r>
      <w:r w:rsidRPr="00472697">
        <w:t>, service</w:t>
      </w:r>
      <w:r w:rsidR="00780BEB">
        <w:t>s</w:t>
      </w:r>
      <w:r w:rsidRPr="00472697">
        <w:t xml:space="preserve"> or regulation </w:t>
      </w:r>
      <w:r w:rsidR="00C64680">
        <w:t xml:space="preserve">we </w:t>
      </w:r>
      <w:r w:rsidRPr="00472697">
        <w:t>provide to a specific person or organisation. The price of a fee reflects the efficient unit cost of a specific good or service where the revenue collected equals the expense incurred by the department.</w:t>
      </w:r>
    </w:p>
    <w:p w14:paraId="27976D58" w14:textId="4CBFE460" w:rsidR="001B5879" w:rsidRPr="00472697" w:rsidRDefault="00B23108" w:rsidP="001B5879">
      <w:r>
        <w:t xml:space="preserve">Examples include </w:t>
      </w:r>
      <w:r w:rsidR="001B5879" w:rsidRPr="00472697">
        <w:t xml:space="preserve">fee-for-service cargo clearance activities provided directly to a specific </w:t>
      </w:r>
      <w:r w:rsidR="002C6E38">
        <w:t>regulated entity</w:t>
      </w:r>
      <w:r w:rsidR="001B5879" w:rsidRPr="00472697">
        <w:t xml:space="preserve"> or husbandry services for specific plants or animals housed at the post</w:t>
      </w:r>
      <w:r w:rsidR="001B597D">
        <w:t>-</w:t>
      </w:r>
      <w:r w:rsidR="001B5879" w:rsidRPr="00472697">
        <w:t>entry quarantine (PEQ) facility.</w:t>
      </w:r>
    </w:p>
    <w:p w14:paraId="7A598625" w14:textId="24E960A8" w:rsidR="0019667C" w:rsidRDefault="001B5879" w:rsidP="00505B0B">
      <w:r w:rsidRPr="00472697">
        <w:t>Fee-for-service activities are charged in 15</w:t>
      </w:r>
      <w:r w:rsidR="00780BEB">
        <w:t>-</w:t>
      </w:r>
      <w:r w:rsidRPr="00472697">
        <w:t xml:space="preserve">minute units (or part thereof) in most instances, which represents the most efficient </w:t>
      </w:r>
      <w:r w:rsidR="00C06EA3">
        <w:t xml:space="preserve">way to </w:t>
      </w:r>
      <w:r w:rsidR="00B80DA6">
        <w:t>record</w:t>
      </w:r>
      <w:r w:rsidRPr="00472697">
        <w:t xml:space="preserve"> the time taken to perform regulatory activities. Some out-of-hours activities may attract an initial 30</w:t>
      </w:r>
      <w:r w:rsidR="00780BEB">
        <w:t>-</w:t>
      </w:r>
      <w:r w:rsidRPr="00472697">
        <w:t>minute charge in line with pay conditions set for departmental sta</w:t>
      </w:r>
      <w:r w:rsidR="00505B0B">
        <w:t>ff.</w:t>
      </w:r>
    </w:p>
    <w:p w14:paraId="2D467E57" w14:textId="60DC0FE2" w:rsidR="00E966A7" w:rsidRDefault="0071457B" w:rsidP="00505B0B">
      <w:r>
        <w:lastRenderedPageBreak/>
        <w:fldChar w:fldCharType="begin"/>
      </w:r>
      <w:r>
        <w:instrText xml:space="preserve"> REF _Ref200534505 \h </w:instrText>
      </w:r>
      <w:r>
        <w:fldChar w:fldCharType="separate"/>
      </w:r>
      <w:r w:rsidR="00505B0B">
        <w:t xml:space="preserve">Figure </w:t>
      </w:r>
      <w:r w:rsidR="00505B0B">
        <w:rPr>
          <w:noProof/>
        </w:rPr>
        <w:t>1</w:t>
      </w:r>
      <w:r>
        <w:fldChar w:fldCharType="end"/>
      </w:r>
      <w:r w:rsidR="00526664">
        <w:t xml:space="preserve"> </w:t>
      </w:r>
      <w:r w:rsidR="00BA6ADD">
        <w:t>shows</w:t>
      </w:r>
      <w:r w:rsidR="00E966A7" w:rsidRPr="00D97FC3">
        <w:t xml:space="preserve"> </w:t>
      </w:r>
      <w:r w:rsidR="00E966A7">
        <w:t xml:space="preserve">the connection between the activity of intervention and output </w:t>
      </w:r>
      <w:r w:rsidR="00E966A7" w:rsidRPr="00D97FC3">
        <w:t>of</w:t>
      </w:r>
      <w:r w:rsidR="00E966A7">
        <w:t xml:space="preserve"> inspection for an imported good and the fees that would apply through this process.</w:t>
      </w:r>
    </w:p>
    <w:p w14:paraId="507504E6" w14:textId="714763BC" w:rsidR="007110AA" w:rsidRDefault="00FD6B77" w:rsidP="00FD6B77">
      <w:pPr>
        <w:pStyle w:val="Caption"/>
      </w:pPr>
      <w:bookmarkStart w:id="87" w:name="_Toc233378735"/>
      <w:r>
        <w:t xml:space="preserve">Figure </w:t>
      </w:r>
      <w:fldSimple w:instr=" SEQ Figure \* ARABIC ">
        <w:r>
          <w:rPr>
            <w:noProof/>
          </w:rPr>
          <w:t>1</w:t>
        </w:r>
      </w:fldSimple>
      <w:r>
        <w:t xml:space="preserve"> </w:t>
      </w:r>
      <w:r w:rsidRPr="00161555">
        <w:t>Example of how a regulated entity would be charged for an intervention activity</w:t>
      </w:r>
      <w:bookmarkEnd w:id="87"/>
    </w:p>
    <w:p w14:paraId="19BAFC68" w14:textId="40644315" w:rsidR="007547BD" w:rsidRPr="007547BD" w:rsidRDefault="007547BD" w:rsidP="007547BD">
      <w:bookmarkStart w:id="88" w:name="_Ref200534505"/>
      <w:r>
        <w:rPr>
          <w:noProof/>
        </w:rPr>
        <w:drawing>
          <wp:inline distT="0" distB="0" distL="0" distR="0" wp14:anchorId="616E40A9" wp14:editId="1775C1EA">
            <wp:extent cx="5759450" cy="2218901"/>
            <wp:effectExtent l="0" t="0" r="0" b="6985"/>
            <wp:docPr id="1296758603" name="Picture 9" descr="Figure 1 shows an example of costs associated with an activity subject to inspection fees.  The activity is intervention and the output is inspection. There are 3 processes - &#10;1. When the consignment arrives and the pre-inspection activity occurs in office and an in office fee of $42 for one quarter hour unit applies. &#10;2. The biosecurity officer undertakes a field inspection which is done out of office and is charged at the rate of $70 for each quarter hour this takes 30 minutes = 2 units of $70 for the inspection.&#10;3. To release the goods from biosecurity control post inspection activity occurs. This is out of office activity and is charged at a rate of $70 per quarter hour = 1 unit x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58603" name="Picture 9" descr="Figure 1 shows an example of costs associated with an activity subject to inspection fees.  The activity is intervention and the output is inspection. There are 3 processes - &#10;1. When the consignment arrives and the pre-inspection activity occurs in office and an in office fee of $42 for one quarter hour unit applies. &#10;2. The biosecurity officer undertakes a field inspection which is done out of office and is charged at the rate of $70 for each quarter hour this takes 30 minutes = 2 units of $70 for the inspection.&#10;3. To release the goods from biosecurity control post inspection activity occurs. This is out of office activity and is charged at a rate of $70 per quarter hour = 1 unit x $70."/>
                    <pic:cNvPicPr/>
                  </pic:nvPicPr>
                  <pic:blipFill>
                    <a:blip r:embed="rId37">
                      <a:extLst>
                        <a:ext uri="{28A0092B-C50C-407E-A947-70E740481C1C}">
                          <a14:useLocalDpi xmlns:a14="http://schemas.microsoft.com/office/drawing/2010/main" val="0"/>
                        </a:ext>
                      </a:extLst>
                    </a:blip>
                    <a:stretch>
                      <a:fillRect/>
                    </a:stretch>
                  </pic:blipFill>
                  <pic:spPr>
                    <a:xfrm>
                      <a:off x="0" y="0"/>
                      <a:ext cx="5759450" cy="2218901"/>
                    </a:xfrm>
                    <a:prstGeom prst="rect">
                      <a:avLst/>
                    </a:prstGeom>
                  </pic:spPr>
                </pic:pic>
              </a:graphicData>
            </a:graphic>
          </wp:inline>
        </w:drawing>
      </w:r>
      <w:bookmarkEnd w:id="88"/>
    </w:p>
    <w:p w14:paraId="3A044DD5" w14:textId="1117AC05" w:rsidR="001B5879" w:rsidRPr="00E966A7" w:rsidRDefault="00526664" w:rsidP="00526664">
      <w:pPr>
        <w:pStyle w:val="Heading4"/>
      </w:pPr>
      <w:r>
        <w:t>C</w:t>
      </w:r>
      <w:r w:rsidR="001B5879" w:rsidRPr="00E966A7">
        <w:t>harges</w:t>
      </w:r>
    </w:p>
    <w:p w14:paraId="04018023" w14:textId="043DB557" w:rsidR="001B5879" w:rsidRPr="00472697" w:rsidRDefault="001B5879" w:rsidP="001B5879">
      <w:r w:rsidRPr="00472697">
        <w:t xml:space="preserve">A cost recovery </w:t>
      </w:r>
      <w:r w:rsidR="002D7345" w:rsidRPr="00472697">
        <w:t xml:space="preserve">charge </w:t>
      </w:r>
      <w:r w:rsidRPr="00472697">
        <w:t>is a charge imposed when good</w:t>
      </w:r>
      <w:r w:rsidR="00BA6ADD">
        <w:t>s</w:t>
      </w:r>
      <w:r w:rsidRPr="00472697">
        <w:t>, service</w:t>
      </w:r>
      <w:r w:rsidR="00BA6ADD">
        <w:t>s</w:t>
      </w:r>
      <w:r w:rsidRPr="00472697">
        <w:t xml:space="preserve"> or regulation</w:t>
      </w:r>
      <w:r w:rsidR="00BA6ADD">
        <w:t>s</w:t>
      </w:r>
      <w:r w:rsidRPr="00472697">
        <w:t xml:space="preserve"> </w:t>
      </w:r>
      <w:r w:rsidR="00BA6ADD">
        <w:t>are</w:t>
      </w:r>
      <w:r w:rsidRPr="00472697">
        <w:t xml:space="preserve"> provided</w:t>
      </w:r>
      <w:r w:rsidR="000E6E1B">
        <w:t xml:space="preserve"> </w:t>
      </w:r>
      <w:r w:rsidRPr="00472697">
        <w:t xml:space="preserve">to a group of </w:t>
      </w:r>
      <w:r w:rsidR="002C6E38">
        <w:t>regulated entities</w:t>
      </w:r>
      <w:r w:rsidRPr="00472697">
        <w:t xml:space="preserve"> rather than to a specific </w:t>
      </w:r>
      <w:r w:rsidR="002C6E38">
        <w:t>regulated entity</w:t>
      </w:r>
      <w:r w:rsidRPr="00472697">
        <w:t xml:space="preserve">. A cost recovery </w:t>
      </w:r>
      <w:r w:rsidR="00E765B8">
        <w:t>charge</w:t>
      </w:r>
      <w:r w:rsidR="00E765B8" w:rsidRPr="00472697">
        <w:t xml:space="preserve"> </w:t>
      </w:r>
      <w:r w:rsidRPr="00472697">
        <w:t xml:space="preserve">is a tax imposed via a separate taxation Act. It differs from general taxation </w:t>
      </w:r>
      <w:r w:rsidR="003C5B03">
        <w:t xml:space="preserve">because </w:t>
      </w:r>
      <w:r w:rsidRPr="00472697">
        <w:t xml:space="preserve">it is earmarked to fund activities provided to the group that pays the </w:t>
      </w:r>
      <w:r w:rsidR="00701729">
        <w:t>charge</w:t>
      </w:r>
      <w:r w:rsidRPr="00472697">
        <w:t>.</w:t>
      </w:r>
    </w:p>
    <w:p w14:paraId="489D654D" w14:textId="3C15E6DA" w:rsidR="001B5879" w:rsidRPr="00472697" w:rsidRDefault="001B5879" w:rsidP="001B5879">
      <w:r w:rsidRPr="00472697">
        <w:t>The on-arrival vessel charge is an example of a charge set to fund regulatory activity</w:t>
      </w:r>
      <w:r w:rsidR="00BA6ADD">
        <w:t>,</w:t>
      </w:r>
      <w:r w:rsidRPr="00472697">
        <w:t xml:space="preserve"> including risk profiling, surveillance and monitoring compliance associated with all vessels entering Australian territory. This charge does not fund direct intervention such as </w:t>
      </w:r>
      <w:r w:rsidR="009B2AC9" w:rsidRPr="000E6E1B">
        <w:t>inspection,</w:t>
      </w:r>
      <w:r w:rsidRPr="000E6E1B">
        <w:t xml:space="preserve"> but </w:t>
      </w:r>
      <w:r w:rsidR="000E6E1B" w:rsidRPr="009B2AC9">
        <w:t>it</w:t>
      </w:r>
      <w:r w:rsidRPr="00472697">
        <w:t xml:space="preserve"> funds the costs of the overall regulation specific to vessels, such as policy development, risk assessments and costs to maintain the Maritime and Aircraft Reporting System.</w:t>
      </w:r>
    </w:p>
    <w:bookmarkStart w:id="89" w:name="_Toc168489253"/>
    <w:bookmarkStart w:id="90" w:name="_Toc168489550"/>
    <w:bookmarkStart w:id="91" w:name="_Toc168645248"/>
    <w:p w14:paraId="087EBB7F" w14:textId="1A55471F" w:rsidR="00764252" w:rsidRDefault="00DA5F2E" w:rsidP="00764252">
      <w:r>
        <w:fldChar w:fldCharType="begin"/>
      </w:r>
      <w:r>
        <w:instrText xml:space="preserve"> REF _Ref200534514 \h </w:instrText>
      </w:r>
      <w:r>
        <w:fldChar w:fldCharType="separate"/>
      </w:r>
      <w:r>
        <w:t xml:space="preserve">Figure </w:t>
      </w:r>
      <w:r>
        <w:rPr>
          <w:noProof/>
        </w:rPr>
        <w:t>2</w:t>
      </w:r>
      <w:r>
        <w:fldChar w:fldCharType="end"/>
      </w:r>
      <w:r>
        <w:t xml:space="preserve"> </w:t>
      </w:r>
      <w:r w:rsidR="00764252" w:rsidRPr="00D97FC3">
        <w:t>shows how we attribute cost</w:t>
      </w:r>
      <w:r w:rsidR="00EB4AAF">
        <w:t>-</w:t>
      </w:r>
      <w:r w:rsidR="00764252" w:rsidRPr="00D97FC3">
        <w:t>recovered activities to either charges</w:t>
      </w:r>
      <w:r w:rsidR="00764252">
        <w:t xml:space="preserve"> or fees</w:t>
      </w:r>
      <w:r w:rsidR="00764252" w:rsidRPr="00D97FC3">
        <w:t>.</w:t>
      </w:r>
    </w:p>
    <w:p w14:paraId="0CA2C8EA" w14:textId="21FC8D33" w:rsidR="008E0D4E" w:rsidRDefault="008365BD" w:rsidP="00BB032D">
      <w:pPr>
        <w:pStyle w:val="Caption"/>
      </w:pPr>
      <w:bookmarkStart w:id="92" w:name="_Ref200534514"/>
      <w:bookmarkStart w:id="93" w:name="_Toc233378736"/>
      <w:r>
        <w:lastRenderedPageBreak/>
        <w:t xml:space="preserve">Figure </w:t>
      </w:r>
      <w:fldSimple w:instr=" SEQ Figure \* ARABIC ">
        <w:r w:rsidR="00DE386D">
          <w:rPr>
            <w:noProof/>
          </w:rPr>
          <w:t>2</w:t>
        </w:r>
      </w:fldSimple>
      <w:bookmarkEnd w:id="92"/>
      <w:r>
        <w:t xml:space="preserve"> </w:t>
      </w:r>
      <w:r w:rsidRPr="003279CA">
        <w:t>Charge and fee</w:t>
      </w:r>
      <w:r w:rsidR="0002712A">
        <w:t>-</w:t>
      </w:r>
      <w:r w:rsidRPr="003279CA">
        <w:t>related activities and associated outputs</w:t>
      </w:r>
      <w:bookmarkEnd w:id="93"/>
    </w:p>
    <w:p w14:paraId="43B9C36E" w14:textId="2AF5D752" w:rsidR="00BB032D" w:rsidRPr="00BB032D" w:rsidRDefault="00414FFF" w:rsidP="00414FFF">
      <w:pPr>
        <w:spacing w:after="0"/>
        <w:rPr>
          <w:lang w:eastAsia="en-AU"/>
        </w:rPr>
      </w:pPr>
      <w:r>
        <w:rPr>
          <w:noProof/>
          <w:lang w:eastAsia="en-AU"/>
        </w:rPr>
        <w:drawing>
          <wp:inline distT="0" distB="0" distL="0" distR="0" wp14:anchorId="345230D8" wp14:editId="28469C1E">
            <wp:extent cx="5921829" cy="3329213"/>
            <wp:effectExtent l="0" t="0" r="3175" b="5080"/>
            <wp:docPr id="2068852511" name="Picture 12" descr="Charges apply to 3 categories of activities:&#10;1) Program and administration activities such as business systems administration, stakeholder engagement, developing, maintaining, and communicating our policy and instructional material and business improvements.&#10;2) Assurance activities such as risk management, verification and surveillance.&#10;3) Incident management activities, including investigative support and corrective actions.&#10;Fees apply to intervention activities, including assessment, issuing approvals, treatments, diagnostics, husbandry and au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52511" name="Picture 12" descr="Charges apply to 3 categories of activities:&#10;1) Program and administration activities such as business systems administration, stakeholder engagement, developing, maintaining, and communicating our policy and instructional material and business improvements.&#10;2) Assurance activities such as risk management, verification and surveillance.&#10;3) Incident management activities, including investigative support and corrective actions.&#10;Fees apply to intervention activities, including assessment, issuing approvals, treatments, diagnostics, husbandry and audit."/>
                    <pic:cNvPicPr/>
                  </pic:nvPicPr>
                  <pic:blipFill rotWithShape="1">
                    <a:blip r:embed="rId38">
                      <a:extLst>
                        <a:ext uri="{28A0092B-C50C-407E-A947-70E740481C1C}">
                          <a14:useLocalDpi xmlns:a14="http://schemas.microsoft.com/office/drawing/2010/main" val="0"/>
                        </a:ext>
                      </a:extLst>
                    </a:blip>
                    <a:srcRect l="8200" t="15922" r="3342" b="9695"/>
                    <a:stretch>
                      <a:fillRect/>
                    </a:stretch>
                  </pic:blipFill>
                  <pic:spPr bwMode="auto">
                    <a:xfrm>
                      <a:off x="0" y="0"/>
                      <a:ext cx="5956319" cy="3348603"/>
                    </a:xfrm>
                    <a:prstGeom prst="rect">
                      <a:avLst/>
                    </a:prstGeom>
                    <a:ln>
                      <a:noFill/>
                    </a:ln>
                    <a:extLst>
                      <a:ext uri="{53640926-AAD7-44D8-BBD7-CCE9431645EC}">
                        <a14:shadowObscured xmlns:a14="http://schemas.microsoft.com/office/drawing/2010/main"/>
                      </a:ext>
                    </a:extLst>
                  </pic:spPr>
                </pic:pic>
              </a:graphicData>
            </a:graphic>
          </wp:inline>
        </w:drawing>
      </w:r>
    </w:p>
    <w:p w14:paraId="70568C5D" w14:textId="607FC032" w:rsidR="009920DB" w:rsidRDefault="005F277E" w:rsidP="00414FFF">
      <w:pPr>
        <w:pStyle w:val="Heading3"/>
        <w:spacing w:before="120"/>
        <w:rPr>
          <w:sz w:val="36"/>
          <w:szCs w:val="36"/>
          <w:lang w:eastAsia="ja-JP"/>
        </w:rPr>
      </w:pPr>
      <w:bookmarkStart w:id="94" w:name="_Toc233378690"/>
      <w:r>
        <w:rPr>
          <w:sz w:val="36"/>
          <w:szCs w:val="36"/>
          <w:lang w:eastAsia="ja-JP"/>
        </w:rPr>
        <w:t>Cost of the regulatory activity</w:t>
      </w:r>
      <w:bookmarkEnd w:id="89"/>
      <w:bookmarkEnd w:id="90"/>
      <w:bookmarkEnd w:id="91"/>
      <w:bookmarkEnd w:id="94"/>
    </w:p>
    <w:p w14:paraId="08D3AD86" w14:textId="74338F10" w:rsidR="002E6FA0" w:rsidRDefault="002E6FA0" w:rsidP="007604BB">
      <w:pPr>
        <w:rPr>
          <w:rFonts w:cstheme="minorHAnsi"/>
          <w:strike/>
          <w:lang w:eastAsia="ja-JP"/>
        </w:rPr>
      </w:pPr>
      <w:r w:rsidRPr="001B5879">
        <w:rPr>
          <w:rFonts w:cstheme="minorHAnsi"/>
          <w:lang w:eastAsia="ja-JP"/>
        </w:rPr>
        <w:t xml:space="preserve">The </w:t>
      </w:r>
      <w:hyperlink r:id="rId39" w:anchor="australian-government-charging-framework" w:history="1">
        <w:r w:rsidRPr="001B5879">
          <w:rPr>
            <w:rFonts w:cstheme="minorHAnsi"/>
            <w:color w:val="165788"/>
            <w:u w:val="single"/>
            <w:lang w:eastAsia="ja-JP"/>
          </w:rPr>
          <w:t>Australian Government Charging Framework</w:t>
        </w:r>
      </w:hyperlink>
      <w:r w:rsidRPr="001B5879">
        <w:rPr>
          <w:rFonts w:cstheme="minorHAnsi"/>
          <w:lang w:eastAsia="ja-JP"/>
        </w:rPr>
        <w:t xml:space="preserve"> sets the rules and requirements </w:t>
      </w:r>
      <w:r w:rsidR="006D25CF">
        <w:rPr>
          <w:rFonts w:cstheme="minorHAnsi"/>
          <w:lang w:eastAsia="ja-JP"/>
        </w:rPr>
        <w:t>governing</w:t>
      </w:r>
      <w:r w:rsidR="006D25CF" w:rsidRPr="001B5879">
        <w:rPr>
          <w:rFonts w:cstheme="minorHAnsi"/>
          <w:lang w:eastAsia="ja-JP"/>
        </w:rPr>
        <w:t xml:space="preserve"> </w:t>
      </w:r>
      <w:r w:rsidRPr="001B5879">
        <w:rPr>
          <w:rFonts w:cstheme="minorHAnsi"/>
          <w:lang w:eastAsia="ja-JP"/>
        </w:rPr>
        <w:t xml:space="preserve">how a regulator determines </w:t>
      </w:r>
      <w:r w:rsidR="007604BB" w:rsidRPr="001B5879">
        <w:rPr>
          <w:rFonts w:cstheme="minorHAnsi"/>
          <w:lang w:eastAsia="ja-JP"/>
        </w:rPr>
        <w:t>costs</w:t>
      </w:r>
      <w:r w:rsidR="00AC153F">
        <w:rPr>
          <w:rFonts w:cstheme="minorHAnsi"/>
          <w:lang w:eastAsia="ja-JP"/>
        </w:rPr>
        <w:t>,</w:t>
      </w:r>
      <w:r w:rsidR="007604BB">
        <w:rPr>
          <w:rFonts w:cstheme="minorHAnsi"/>
          <w:lang w:eastAsia="ja-JP"/>
        </w:rPr>
        <w:t xml:space="preserve"> </w:t>
      </w:r>
      <w:r w:rsidRPr="001B5879">
        <w:rPr>
          <w:rFonts w:cstheme="minorHAnsi"/>
          <w:lang w:eastAsia="ja-JP"/>
        </w:rPr>
        <w:t xml:space="preserve">sets and </w:t>
      </w:r>
      <w:r w:rsidR="00D97C23">
        <w:rPr>
          <w:rFonts w:cstheme="minorHAnsi"/>
          <w:lang w:eastAsia="ja-JP"/>
        </w:rPr>
        <w:t xml:space="preserve">implements charges </w:t>
      </w:r>
      <w:r w:rsidRPr="001B5879">
        <w:rPr>
          <w:rFonts w:cstheme="minorHAnsi"/>
          <w:lang w:eastAsia="ja-JP"/>
        </w:rPr>
        <w:t>for regulatory activities.</w:t>
      </w:r>
      <w:r w:rsidR="00955B35">
        <w:rPr>
          <w:rFonts w:cstheme="minorHAnsi"/>
          <w:lang w:eastAsia="ja-JP"/>
        </w:rPr>
        <w:t xml:space="preserve"> </w:t>
      </w:r>
      <w:r w:rsidR="00E765B8">
        <w:rPr>
          <w:rFonts w:cstheme="minorHAnsi"/>
          <w:lang w:eastAsia="ja-JP"/>
        </w:rPr>
        <w:t>We</w:t>
      </w:r>
      <w:r w:rsidR="00955B35">
        <w:rPr>
          <w:rFonts w:cstheme="minorHAnsi"/>
          <w:lang w:eastAsia="ja-JP"/>
        </w:rPr>
        <w:t xml:space="preserve"> </w:t>
      </w:r>
      <w:r w:rsidR="00E765B8">
        <w:rPr>
          <w:rFonts w:cstheme="minorHAnsi"/>
          <w:lang w:eastAsia="ja-JP"/>
        </w:rPr>
        <w:t xml:space="preserve">apply </w:t>
      </w:r>
      <w:r w:rsidR="00955B35">
        <w:rPr>
          <w:rFonts w:cstheme="minorHAnsi"/>
          <w:lang w:eastAsia="ja-JP"/>
        </w:rPr>
        <w:t xml:space="preserve">these rules and requirements </w:t>
      </w:r>
      <w:r w:rsidR="00674BC2">
        <w:rPr>
          <w:rFonts w:cstheme="minorHAnsi"/>
          <w:lang w:eastAsia="ja-JP"/>
        </w:rPr>
        <w:t xml:space="preserve">within the </w:t>
      </w:r>
      <w:r w:rsidR="000B70D7">
        <w:rPr>
          <w:rFonts w:cstheme="minorHAnsi"/>
          <w:lang w:eastAsia="ja-JP"/>
        </w:rPr>
        <w:t xml:space="preserve">context of the </w:t>
      </w:r>
      <w:r w:rsidR="00D807E9">
        <w:rPr>
          <w:rFonts w:cstheme="minorHAnsi"/>
          <w:lang w:eastAsia="ja-JP"/>
        </w:rPr>
        <w:t xml:space="preserve">arrangement </w:t>
      </w:r>
      <w:r w:rsidR="00955B35">
        <w:rPr>
          <w:rFonts w:cstheme="minorHAnsi"/>
          <w:lang w:eastAsia="ja-JP"/>
        </w:rPr>
        <w:t xml:space="preserve">to determine the costs of </w:t>
      </w:r>
      <w:r w:rsidR="009F3420">
        <w:rPr>
          <w:rFonts w:cstheme="minorHAnsi"/>
          <w:lang w:eastAsia="ja-JP"/>
        </w:rPr>
        <w:t xml:space="preserve">the </w:t>
      </w:r>
      <w:r w:rsidR="00955B35">
        <w:rPr>
          <w:rFonts w:cstheme="minorHAnsi"/>
          <w:lang w:eastAsia="ja-JP"/>
        </w:rPr>
        <w:t>regulatory activities.</w:t>
      </w:r>
    </w:p>
    <w:p w14:paraId="06C6D77E" w14:textId="07A6DBC0" w:rsidR="003F0B72" w:rsidRDefault="003F0B72" w:rsidP="003F0B72">
      <w:pPr>
        <w:pStyle w:val="Heading4"/>
        <w:rPr>
          <w:lang w:eastAsia="ja-JP"/>
        </w:rPr>
      </w:pPr>
      <w:r>
        <w:rPr>
          <w:lang w:eastAsia="ja-JP"/>
        </w:rPr>
        <w:t>Direct and indirect costs</w:t>
      </w:r>
    </w:p>
    <w:p w14:paraId="6FB287D3" w14:textId="7699DD11" w:rsidR="005F277E" w:rsidRPr="002D7345" w:rsidRDefault="002466F4" w:rsidP="005F277E">
      <w:pPr>
        <w:rPr>
          <w:rFonts w:cstheme="minorHAnsi"/>
          <w:lang w:eastAsia="ja-JP"/>
        </w:rPr>
      </w:pPr>
      <w:r>
        <w:rPr>
          <w:rFonts w:cstheme="minorHAnsi"/>
          <w:lang w:eastAsia="ja-JP"/>
        </w:rPr>
        <w:t>Our</w:t>
      </w:r>
      <w:r w:rsidR="002D7345" w:rsidRPr="002D7345">
        <w:rPr>
          <w:rFonts w:cstheme="minorHAnsi"/>
          <w:lang w:eastAsia="ja-JP"/>
        </w:rPr>
        <w:t xml:space="preserve"> e</w:t>
      </w:r>
      <w:r w:rsidR="005F277E" w:rsidRPr="002D7345">
        <w:rPr>
          <w:rFonts w:cstheme="minorHAnsi"/>
          <w:lang w:eastAsia="ja-JP"/>
        </w:rPr>
        <w:t>xpenses are categorised as either direct or indirect costs:</w:t>
      </w:r>
    </w:p>
    <w:p w14:paraId="2F119387" w14:textId="3411BF78" w:rsidR="005F277E" w:rsidRPr="002D7345" w:rsidRDefault="005F277E" w:rsidP="005F277E">
      <w:pPr>
        <w:pStyle w:val="ListBullet"/>
        <w:spacing w:before="0" w:after="200"/>
        <w:rPr>
          <w:lang w:eastAsia="ja-JP"/>
        </w:rPr>
      </w:pPr>
      <w:r w:rsidRPr="007604BB">
        <w:rPr>
          <w:rStyle w:val="Strong"/>
        </w:rPr>
        <w:t>Indirect costs</w:t>
      </w:r>
      <w:r w:rsidRPr="00BA6ADD">
        <w:t xml:space="preserve"> </w:t>
      </w:r>
      <w:r w:rsidR="006D25CF">
        <w:t xml:space="preserve">– </w:t>
      </w:r>
      <w:r w:rsidRPr="00BA6ADD">
        <w:t>support</w:t>
      </w:r>
      <w:r w:rsidRPr="002D7345">
        <w:rPr>
          <w:lang w:eastAsia="ja-JP"/>
        </w:rPr>
        <w:t xml:space="preserve"> the effective and necessary provision of our direct expense activity. They include corporate employee salaries, overheads such as information technology, finance, human resources, legal services, property and maintenance and depreciation expenses.</w:t>
      </w:r>
    </w:p>
    <w:p w14:paraId="788A3546" w14:textId="4689EF6B" w:rsidR="005F277E" w:rsidRPr="00E966A7" w:rsidRDefault="005F277E" w:rsidP="00BA6ADD">
      <w:pPr>
        <w:pStyle w:val="ListBullet"/>
        <w:rPr>
          <w:rFonts w:cstheme="minorHAnsi"/>
          <w:lang w:eastAsia="ja-JP"/>
        </w:rPr>
      </w:pPr>
      <w:r w:rsidRPr="007604BB">
        <w:rPr>
          <w:rStyle w:val="Strong"/>
        </w:rPr>
        <w:t>Direct</w:t>
      </w:r>
      <w:r w:rsidRPr="006D25CF">
        <w:rPr>
          <w:rStyle w:val="Strong"/>
        </w:rPr>
        <w:t xml:space="preserve"> </w:t>
      </w:r>
      <w:r w:rsidRPr="007604BB">
        <w:rPr>
          <w:rStyle w:val="Strong"/>
        </w:rPr>
        <w:t>costs</w:t>
      </w:r>
      <w:r w:rsidRPr="002D7345">
        <w:rPr>
          <w:lang w:eastAsia="ja-JP"/>
        </w:rPr>
        <w:t xml:space="preserve"> </w:t>
      </w:r>
      <w:r w:rsidR="006D25CF">
        <w:rPr>
          <w:lang w:eastAsia="ja-JP"/>
        </w:rPr>
        <w:t xml:space="preserve">– </w:t>
      </w:r>
      <w:r w:rsidRPr="002D7345">
        <w:rPr>
          <w:lang w:eastAsia="ja-JP"/>
        </w:rPr>
        <w:t>can be directly attributed to the provision of an activity, for example, inspections and assessments. They comprise staff salaries, training, leave and superannuation and supplier costs such as office supplies, couriers, printing and small items of equipment.</w:t>
      </w:r>
    </w:p>
    <w:p w14:paraId="3CB9AB72" w14:textId="1680EF73" w:rsidR="003F0B72" w:rsidRPr="002170F1" w:rsidRDefault="002170F1" w:rsidP="003F5054">
      <w:r w:rsidRPr="00DF2CC7">
        <w:rPr>
          <w:rStyle w:val="Hyperlink"/>
        </w:rPr>
        <w:fldChar w:fldCharType="begin"/>
      </w:r>
      <w:r w:rsidRPr="00625260">
        <w:rPr>
          <w:rStyle w:val="Hyperlink"/>
        </w:rPr>
        <w:instrText xml:space="preserve"> REF _Ref197929128 \h  \* MERGEFORMAT </w:instrText>
      </w:r>
      <w:r w:rsidRPr="00DF2CC7">
        <w:rPr>
          <w:rStyle w:val="Hyperlink"/>
        </w:rPr>
      </w:r>
      <w:r w:rsidRPr="00DF2CC7">
        <w:rPr>
          <w:rStyle w:val="Hyperlink"/>
        </w:rPr>
        <w:fldChar w:fldCharType="separate"/>
      </w:r>
      <w:r w:rsidR="00E765B8" w:rsidRPr="00625260">
        <w:rPr>
          <w:rStyle w:val="Hyperlink"/>
        </w:rPr>
        <w:t>Table 2</w:t>
      </w:r>
      <w:r w:rsidR="00E765B8" w:rsidRPr="0033709B">
        <w:rPr>
          <w:rStyle w:val="Strong"/>
        </w:rPr>
        <w:t xml:space="preserve"> </w:t>
      </w:r>
      <w:r w:rsidRPr="00DF2CC7">
        <w:fldChar w:fldCharType="end"/>
      </w:r>
      <w:r w:rsidR="003F0B72" w:rsidRPr="002170F1">
        <w:rPr>
          <w:lang w:eastAsia="ja-JP"/>
        </w:rPr>
        <w:t xml:space="preserve">provides a cost breakdown for each output contribution to recover direct and indirect costs for </w:t>
      </w:r>
      <w:r w:rsidR="00474F28">
        <w:rPr>
          <w:lang w:eastAsia="ja-JP"/>
        </w:rPr>
        <w:t>2026</w:t>
      </w:r>
      <w:r w:rsidR="00E765B8">
        <w:rPr>
          <w:lang w:eastAsia="ja-JP"/>
        </w:rPr>
        <w:t>–</w:t>
      </w:r>
      <w:r w:rsidR="00474F28">
        <w:rPr>
          <w:lang w:eastAsia="ja-JP"/>
        </w:rPr>
        <w:t>27.</w:t>
      </w:r>
    </w:p>
    <w:p w14:paraId="39F30DCE" w14:textId="1A6B3ECB" w:rsidR="003F0B72" w:rsidRPr="0033709B" w:rsidRDefault="00891BF7" w:rsidP="001578C9">
      <w:pPr>
        <w:pStyle w:val="Caption"/>
      </w:pPr>
      <w:bookmarkStart w:id="95" w:name="_Ref197929128"/>
      <w:bookmarkStart w:id="96" w:name="_Toc233378722"/>
      <w:r w:rsidRPr="0033709B">
        <w:t xml:space="preserve">Table </w:t>
      </w:r>
      <w:fldSimple w:instr=" SEQ Table \* ARABIC ">
        <w:r w:rsidR="00505B0B">
          <w:rPr>
            <w:noProof/>
          </w:rPr>
          <w:t>2</w:t>
        </w:r>
      </w:fldSimple>
      <w:r w:rsidRPr="0033709B">
        <w:rPr>
          <w:rStyle w:val="Strong"/>
          <w:b/>
          <w:bCs/>
        </w:rPr>
        <w:t xml:space="preserve"> </w:t>
      </w:r>
      <w:r w:rsidRPr="00625260">
        <w:t xml:space="preserve">Biosecurity cost recovery arrangement cost breakdown, </w:t>
      </w:r>
      <w:bookmarkEnd w:id="95"/>
      <w:r w:rsidR="00474F28" w:rsidRPr="00625260">
        <w:t>2026</w:t>
      </w:r>
      <w:r w:rsidR="00E765B8" w:rsidRPr="00625260">
        <w:t>–</w:t>
      </w:r>
      <w:r w:rsidR="00474F28" w:rsidRPr="00625260">
        <w:t>27</w:t>
      </w:r>
      <w:bookmarkEnd w:id="96"/>
    </w:p>
    <w:tbl>
      <w:tblPr>
        <w:tblpPr w:leftFromText="180" w:rightFromText="180" w:vertAnchor="text" w:horzAnchor="margin" w:tblpY="151"/>
        <w:tblW w:w="5000" w:type="pct"/>
        <w:tblBorders>
          <w:top w:val="single" w:sz="4" w:space="0" w:color="auto"/>
        </w:tblBorders>
        <w:tblLayout w:type="fixed"/>
        <w:tblCellMar>
          <w:left w:w="40" w:type="dxa"/>
          <w:right w:w="40" w:type="dxa"/>
        </w:tblCellMar>
        <w:tblLook w:val="04A0" w:firstRow="1" w:lastRow="0" w:firstColumn="1" w:lastColumn="0" w:noHBand="0" w:noVBand="1"/>
      </w:tblPr>
      <w:tblGrid>
        <w:gridCol w:w="4255"/>
        <w:gridCol w:w="1605"/>
        <w:gridCol w:w="1605"/>
        <w:gridCol w:w="1605"/>
      </w:tblGrid>
      <w:tr w:rsidR="003F0B72" w:rsidRPr="009F1EFF" w14:paraId="00A051BF" w14:textId="77777777" w:rsidTr="009B2AC9">
        <w:trPr>
          <w:cantSplit/>
          <w:tblHeader/>
        </w:trPr>
        <w:tc>
          <w:tcPr>
            <w:tcW w:w="2345" w:type="pct"/>
            <w:tcBorders>
              <w:top w:val="single" w:sz="4" w:space="0" w:color="auto"/>
              <w:bottom w:val="single" w:sz="4" w:space="0" w:color="auto"/>
            </w:tcBorders>
            <w:noWrap/>
            <w:tcMar>
              <w:left w:w="108" w:type="dxa"/>
              <w:right w:w="108" w:type="dxa"/>
            </w:tcMar>
            <w:hideMark/>
          </w:tcPr>
          <w:p w14:paraId="3C656610" w14:textId="452D4DA5" w:rsidR="003F0B72" w:rsidRPr="00B84A73" w:rsidRDefault="003F0B72" w:rsidP="00733737">
            <w:pPr>
              <w:pStyle w:val="TableHeading"/>
              <w:rPr>
                <w:lang w:eastAsia="ja-JP"/>
              </w:rPr>
            </w:pPr>
            <w:bookmarkStart w:id="97" w:name="Title_2"/>
            <w:bookmarkEnd w:id="97"/>
            <w:r w:rsidRPr="00B84A73">
              <w:rPr>
                <w:lang w:eastAsia="ja-JP"/>
              </w:rPr>
              <w:t>Cost recovery activities</w:t>
            </w:r>
          </w:p>
        </w:tc>
        <w:tc>
          <w:tcPr>
            <w:tcW w:w="885" w:type="pct"/>
            <w:tcBorders>
              <w:top w:val="single" w:sz="4" w:space="0" w:color="auto"/>
              <w:bottom w:val="single" w:sz="4" w:space="0" w:color="auto"/>
            </w:tcBorders>
            <w:noWrap/>
            <w:tcMar>
              <w:left w:w="108" w:type="dxa"/>
              <w:right w:w="108" w:type="dxa"/>
            </w:tcMar>
            <w:hideMark/>
          </w:tcPr>
          <w:p w14:paraId="19093F91" w14:textId="77777777" w:rsidR="003F0B72" w:rsidRPr="00B84A73" w:rsidRDefault="003F0B72" w:rsidP="00733737">
            <w:pPr>
              <w:pStyle w:val="TableHeading"/>
              <w:jc w:val="right"/>
              <w:rPr>
                <w:lang w:eastAsia="ja-JP"/>
              </w:rPr>
            </w:pPr>
            <w:r w:rsidRPr="00B84A73">
              <w:rPr>
                <w:lang w:eastAsia="ja-JP"/>
              </w:rPr>
              <w:t>Direct ($)</w:t>
            </w:r>
          </w:p>
        </w:tc>
        <w:tc>
          <w:tcPr>
            <w:tcW w:w="885" w:type="pct"/>
            <w:tcBorders>
              <w:top w:val="single" w:sz="4" w:space="0" w:color="auto"/>
              <w:bottom w:val="single" w:sz="4" w:space="0" w:color="auto"/>
            </w:tcBorders>
            <w:noWrap/>
            <w:tcMar>
              <w:left w:w="108" w:type="dxa"/>
              <w:right w:w="108" w:type="dxa"/>
            </w:tcMar>
            <w:hideMark/>
          </w:tcPr>
          <w:p w14:paraId="12D869A8" w14:textId="77777777" w:rsidR="003F0B72" w:rsidRPr="00B84A73" w:rsidRDefault="003F0B72" w:rsidP="00733737">
            <w:pPr>
              <w:pStyle w:val="TableHeading"/>
              <w:jc w:val="right"/>
              <w:rPr>
                <w:lang w:eastAsia="ja-JP"/>
              </w:rPr>
            </w:pPr>
            <w:r w:rsidRPr="00B84A73">
              <w:rPr>
                <w:lang w:eastAsia="ja-JP"/>
              </w:rPr>
              <w:t>Indirect ($)</w:t>
            </w:r>
          </w:p>
        </w:tc>
        <w:tc>
          <w:tcPr>
            <w:tcW w:w="885" w:type="pct"/>
            <w:tcBorders>
              <w:top w:val="single" w:sz="4" w:space="0" w:color="auto"/>
              <w:bottom w:val="single" w:sz="4" w:space="0" w:color="auto"/>
            </w:tcBorders>
            <w:noWrap/>
            <w:tcMar>
              <w:left w:w="108" w:type="dxa"/>
              <w:right w:w="108" w:type="dxa"/>
            </w:tcMar>
            <w:hideMark/>
          </w:tcPr>
          <w:p w14:paraId="135A0C8E" w14:textId="77777777" w:rsidR="003F0B72" w:rsidRPr="00B84A73" w:rsidRDefault="003F0B72" w:rsidP="00733737">
            <w:pPr>
              <w:pStyle w:val="TableHeading"/>
              <w:jc w:val="right"/>
              <w:rPr>
                <w:lang w:eastAsia="ja-JP"/>
              </w:rPr>
            </w:pPr>
            <w:r w:rsidRPr="00B84A73">
              <w:rPr>
                <w:lang w:eastAsia="ja-JP"/>
              </w:rPr>
              <w:t>Total ($)</w:t>
            </w:r>
          </w:p>
        </w:tc>
      </w:tr>
      <w:tr w:rsidR="003F0B72" w:rsidRPr="00E65DFD" w14:paraId="7979AE9C" w14:textId="77777777" w:rsidTr="009B2AC9">
        <w:tc>
          <w:tcPr>
            <w:tcW w:w="2345" w:type="pct"/>
            <w:tcBorders>
              <w:top w:val="single" w:sz="4" w:space="0" w:color="auto"/>
              <w:bottom w:val="single" w:sz="4" w:space="0" w:color="auto"/>
            </w:tcBorders>
            <w:noWrap/>
            <w:tcMar>
              <w:left w:w="108" w:type="dxa"/>
              <w:right w:w="108" w:type="dxa"/>
            </w:tcMar>
          </w:tcPr>
          <w:p w14:paraId="216CBBAB" w14:textId="580CEE2F" w:rsidR="003F0B72" w:rsidRPr="00A968F0" w:rsidRDefault="003F0B72" w:rsidP="00733737">
            <w:pPr>
              <w:pStyle w:val="TableText"/>
              <w:rPr>
                <w:rStyle w:val="Strong"/>
              </w:rPr>
            </w:pPr>
            <w:r w:rsidRPr="000E6E1B">
              <w:rPr>
                <w:rStyle w:val="Strong"/>
              </w:rPr>
              <w:t>Charges</w:t>
            </w:r>
          </w:p>
        </w:tc>
        <w:tc>
          <w:tcPr>
            <w:tcW w:w="885" w:type="pct"/>
            <w:tcBorders>
              <w:top w:val="single" w:sz="4" w:space="0" w:color="auto"/>
              <w:bottom w:val="single" w:sz="4" w:space="0" w:color="auto"/>
            </w:tcBorders>
            <w:noWrap/>
            <w:tcMar>
              <w:left w:w="108" w:type="dxa"/>
              <w:right w:w="108" w:type="dxa"/>
            </w:tcMar>
          </w:tcPr>
          <w:p w14:paraId="63685A33" w14:textId="6572D4BC" w:rsidR="003F0B72" w:rsidRPr="00E65DFD" w:rsidRDefault="001308CB" w:rsidP="00733737">
            <w:pPr>
              <w:pStyle w:val="TableText"/>
              <w:jc w:val="right"/>
              <w:rPr>
                <w:b/>
                <w:bCs/>
                <w:strike/>
                <w:highlight w:val="yellow"/>
                <w:lang w:eastAsia="ja-JP"/>
              </w:rPr>
            </w:pPr>
            <w:r>
              <w:rPr>
                <w:b/>
                <w:bCs/>
              </w:rPr>
              <w:t>260,272,757</w:t>
            </w:r>
          </w:p>
        </w:tc>
        <w:tc>
          <w:tcPr>
            <w:tcW w:w="885" w:type="pct"/>
            <w:tcBorders>
              <w:top w:val="single" w:sz="4" w:space="0" w:color="auto"/>
              <w:bottom w:val="single" w:sz="4" w:space="0" w:color="auto"/>
            </w:tcBorders>
            <w:noWrap/>
            <w:tcMar>
              <w:left w:w="108" w:type="dxa"/>
              <w:right w:w="108" w:type="dxa"/>
            </w:tcMar>
          </w:tcPr>
          <w:p w14:paraId="35593C05" w14:textId="220A9635" w:rsidR="003F0B72" w:rsidRPr="00E65DFD" w:rsidRDefault="001308CB" w:rsidP="00733737">
            <w:pPr>
              <w:pStyle w:val="TableText"/>
              <w:jc w:val="right"/>
              <w:rPr>
                <w:b/>
                <w:bCs/>
                <w:strike/>
                <w:highlight w:val="yellow"/>
                <w:lang w:eastAsia="ja-JP"/>
              </w:rPr>
            </w:pPr>
            <w:r>
              <w:rPr>
                <w:b/>
                <w:bCs/>
              </w:rPr>
              <w:t>125,681,417</w:t>
            </w:r>
          </w:p>
        </w:tc>
        <w:tc>
          <w:tcPr>
            <w:tcW w:w="885" w:type="pct"/>
            <w:tcBorders>
              <w:top w:val="single" w:sz="4" w:space="0" w:color="auto"/>
              <w:bottom w:val="single" w:sz="4" w:space="0" w:color="auto"/>
            </w:tcBorders>
            <w:noWrap/>
            <w:tcMar>
              <w:left w:w="108" w:type="dxa"/>
              <w:right w:w="108" w:type="dxa"/>
            </w:tcMar>
          </w:tcPr>
          <w:p w14:paraId="3B6053C0" w14:textId="07A7F5B5" w:rsidR="003F0B72" w:rsidRPr="00E65DFD" w:rsidRDefault="001308CB" w:rsidP="00733737">
            <w:pPr>
              <w:pStyle w:val="TableText"/>
              <w:jc w:val="right"/>
              <w:rPr>
                <w:rStyle w:val="Strong"/>
              </w:rPr>
            </w:pPr>
            <w:r>
              <w:rPr>
                <w:rStyle w:val="Strong"/>
              </w:rPr>
              <w:t>385,954,174</w:t>
            </w:r>
          </w:p>
        </w:tc>
      </w:tr>
      <w:tr w:rsidR="003F0B72" w:rsidRPr="009F1EFF" w14:paraId="1956B138" w14:textId="77777777" w:rsidTr="009B2AC9">
        <w:tc>
          <w:tcPr>
            <w:tcW w:w="2345" w:type="pct"/>
            <w:tcBorders>
              <w:top w:val="single" w:sz="4" w:space="0" w:color="auto"/>
              <w:bottom w:val="single" w:sz="4" w:space="0" w:color="auto"/>
            </w:tcBorders>
            <w:noWrap/>
            <w:tcMar>
              <w:left w:w="108" w:type="dxa"/>
              <w:right w:w="108" w:type="dxa"/>
            </w:tcMar>
          </w:tcPr>
          <w:p w14:paraId="4C2C89E9" w14:textId="61329775" w:rsidR="003F0B72" w:rsidRPr="00735097" w:rsidRDefault="003F0B72" w:rsidP="00733737">
            <w:pPr>
              <w:pStyle w:val="TableText"/>
              <w:rPr>
                <w:b/>
                <w:bCs/>
                <w:lang w:eastAsia="ja-JP"/>
              </w:rPr>
            </w:pPr>
            <w:r w:rsidRPr="00735097">
              <w:rPr>
                <w:bCs/>
                <w:lang w:eastAsia="ja-JP"/>
              </w:rPr>
              <w:t>Full import declaration charges</w:t>
            </w:r>
          </w:p>
        </w:tc>
        <w:tc>
          <w:tcPr>
            <w:tcW w:w="885" w:type="pct"/>
            <w:tcBorders>
              <w:top w:val="single" w:sz="4" w:space="0" w:color="auto"/>
              <w:bottom w:val="single" w:sz="4" w:space="0" w:color="auto"/>
            </w:tcBorders>
            <w:noWrap/>
            <w:tcMar>
              <w:left w:w="108" w:type="dxa"/>
              <w:right w:w="108" w:type="dxa"/>
            </w:tcMar>
          </w:tcPr>
          <w:p w14:paraId="63B39791" w14:textId="1050574E" w:rsidR="003F0B72" w:rsidRPr="004375CA" w:rsidRDefault="001308CB" w:rsidP="00733737">
            <w:pPr>
              <w:pStyle w:val="TableText"/>
              <w:jc w:val="right"/>
              <w:rPr>
                <w:b/>
                <w:bCs/>
                <w:strike/>
                <w:highlight w:val="yellow"/>
                <w:lang w:eastAsia="ja-JP"/>
              </w:rPr>
            </w:pPr>
            <w:r>
              <w:t>179,520,643</w:t>
            </w:r>
          </w:p>
        </w:tc>
        <w:tc>
          <w:tcPr>
            <w:tcW w:w="885" w:type="pct"/>
            <w:tcBorders>
              <w:top w:val="single" w:sz="4" w:space="0" w:color="auto"/>
              <w:bottom w:val="single" w:sz="4" w:space="0" w:color="auto"/>
            </w:tcBorders>
            <w:noWrap/>
            <w:tcMar>
              <w:left w:w="108" w:type="dxa"/>
              <w:right w:w="108" w:type="dxa"/>
            </w:tcMar>
          </w:tcPr>
          <w:p w14:paraId="7BCA9367" w14:textId="13F7C1FB" w:rsidR="003F0B72" w:rsidRPr="004375CA" w:rsidRDefault="001308CB" w:rsidP="00733737">
            <w:pPr>
              <w:pStyle w:val="TableText"/>
              <w:jc w:val="right"/>
              <w:rPr>
                <w:b/>
                <w:bCs/>
                <w:strike/>
                <w:highlight w:val="yellow"/>
                <w:lang w:eastAsia="ja-JP"/>
              </w:rPr>
            </w:pPr>
            <w:r>
              <w:t>82,581,283</w:t>
            </w:r>
          </w:p>
        </w:tc>
        <w:tc>
          <w:tcPr>
            <w:tcW w:w="885" w:type="pct"/>
            <w:tcBorders>
              <w:top w:val="single" w:sz="4" w:space="0" w:color="auto"/>
              <w:bottom w:val="single" w:sz="4" w:space="0" w:color="auto"/>
            </w:tcBorders>
            <w:noWrap/>
            <w:tcMar>
              <w:left w:w="108" w:type="dxa"/>
              <w:right w:w="108" w:type="dxa"/>
            </w:tcMar>
          </w:tcPr>
          <w:p w14:paraId="2585CEAE" w14:textId="67045E75" w:rsidR="003F0B72" w:rsidRPr="004375CA" w:rsidRDefault="001308CB" w:rsidP="00733737">
            <w:pPr>
              <w:pStyle w:val="TableText"/>
              <w:jc w:val="right"/>
              <w:rPr>
                <w:b/>
                <w:bCs/>
                <w:strike/>
                <w:highlight w:val="yellow"/>
                <w:lang w:eastAsia="ja-JP"/>
              </w:rPr>
            </w:pPr>
            <w:r>
              <w:t>262,101</w:t>
            </w:r>
            <w:r w:rsidR="00312BD0" w:rsidRPr="007604BB">
              <w:t>,</w:t>
            </w:r>
            <w:r>
              <w:t>926</w:t>
            </w:r>
          </w:p>
        </w:tc>
      </w:tr>
      <w:tr w:rsidR="003F0B72" w:rsidRPr="009F1EFF" w14:paraId="1AAFE062" w14:textId="77777777" w:rsidTr="009B2AC9">
        <w:tc>
          <w:tcPr>
            <w:tcW w:w="2345" w:type="pct"/>
            <w:tcBorders>
              <w:top w:val="single" w:sz="4" w:space="0" w:color="auto"/>
              <w:bottom w:val="single" w:sz="4" w:space="0" w:color="auto"/>
            </w:tcBorders>
            <w:noWrap/>
            <w:tcMar>
              <w:left w:w="108" w:type="dxa"/>
              <w:right w:w="108" w:type="dxa"/>
            </w:tcMar>
          </w:tcPr>
          <w:p w14:paraId="2DD97A2D" w14:textId="77777777" w:rsidR="003F0B72" w:rsidRPr="00735097" w:rsidRDefault="003F0B72" w:rsidP="00733737">
            <w:pPr>
              <w:pStyle w:val="TableText"/>
              <w:rPr>
                <w:bCs/>
                <w:lang w:eastAsia="ja-JP"/>
              </w:rPr>
            </w:pPr>
            <w:r w:rsidRPr="002652ED">
              <w:rPr>
                <w:bCs/>
                <w:lang w:eastAsia="ja-JP"/>
              </w:rPr>
              <w:t>Self-assessed clearance charges</w:t>
            </w:r>
          </w:p>
        </w:tc>
        <w:tc>
          <w:tcPr>
            <w:tcW w:w="885" w:type="pct"/>
            <w:tcBorders>
              <w:top w:val="single" w:sz="4" w:space="0" w:color="auto"/>
              <w:bottom w:val="single" w:sz="4" w:space="0" w:color="auto"/>
            </w:tcBorders>
            <w:noWrap/>
            <w:tcMar>
              <w:left w:w="108" w:type="dxa"/>
              <w:right w:w="108" w:type="dxa"/>
            </w:tcMar>
          </w:tcPr>
          <w:p w14:paraId="0B30D91B" w14:textId="4256245A" w:rsidR="003F0B72" w:rsidRDefault="001308CB" w:rsidP="00733737">
            <w:pPr>
              <w:pStyle w:val="TableText"/>
              <w:jc w:val="right"/>
            </w:pPr>
            <w:r w:rsidRPr="001308CB">
              <w:t>42,874,206</w:t>
            </w:r>
          </w:p>
        </w:tc>
        <w:tc>
          <w:tcPr>
            <w:tcW w:w="885" w:type="pct"/>
            <w:tcBorders>
              <w:top w:val="single" w:sz="4" w:space="0" w:color="auto"/>
              <w:bottom w:val="single" w:sz="4" w:space="0" w:color="auto"/>
            </w:tcBorders>
            <w:noWrap/>
            <w:tcMar>
              <w:left w:w="108" w:type="dxa"/>
              <w:right w:w="108" w:type="dxa"/>
            </w:tcMar>
          </w:tcPr>
          <w:p w14:paraId="6C05A298" w14:textId="454A1F10" w:rsidR="003F0B72" w:rsidRDefault="001308CB" w:rsidP="00733737">
            <w:pPr>
              <w:pStyle w:val="TableText"/>
              <w:jc w:val="right"/>
            </w:pPr>
            <w:r>
              <w:t>24,368,123</w:t>
            </w:r>
          </w:p>
        </w:tc>
        <w:tc>
          <w:tcPr>
            <w:tcW w:w="885" w:type="pct"/>
            <w:tcBorders>
              <w:top w:val="single" w:sz="4" w:space="0" w:color="auto"/>
              <w:bottom w:val="single" w:sz="4" w:space="0" w:color="auto"/>
            </w:tcBorders>
            <w:noWrap/>
            <w:tcMar>
              <w:left w:w="108" w:type="dxa"/>
              <w:right w:w="108" w:type="dxa"/>
            </w:tcMar>
          </w:tcPr>
          <w:p w14:paraId="2F3B8D7E" w14:textId="6E4BE9C4" w:rsidR="003F0B72" w:rsidRDefault="001308CB" w:rsidP="00733737">
            <w:pPr>
              <w:pStyle w:val="TableText"/>
              <w:jc w:val="right"/>
            </w:pPr>
            <w:r>
              <w:t>67,242,329</w:t>
            </w:r>
          </w:p>
        </w:tc>
      </w:tr>
      <w:tr w:rsidR="003F0B72" w:rsidRPr="009F1EFF" w14:paraId="0DC5E55C" w14:textId="77777777" w:rsidTr="009B2AC9">
        <w:tc>
          <w:tcPr>
            <w:tcW w:w="2345" w:type="pct"/>
            <w:tcBorders>
              <w:top w:val="single" w:sz="4" w:space="0" w:color="auto"/>
              <w:bottom w:val="single" w:sz="4" w:space="0" w:color="auto"/>
            </w:tcBorders>
            <w:noWrap/>
            <w:tcMar>
              <w:left w:w="108" w:type="dxa"/>
              <w:right w:w="108" w:type="dxa"/>
            </w:tcMar>
          </w:tcPr>
          <w:p w14:paraId="683FDF9F" w14:textId="349C2740" w:rsidR="003F0B72" w:rsidRPr="00735097" w:rsidRDefault="003F0B72" w:rsidP="00733737">
            <w:pPr>
              <w:pStyle w:val="TableText"/>
              <w:rPr>
                <w:b/>
                <w:bCs/>
                <w:lang w:eastAsia="ja-JP"/>
              </w:rPr>
            </w:pPr>
            <w:r w:rsidRPr="00735097">
              <w:rPr>
                <w:bCs/>
                <w:lang w:eastAsia="ja-JP"/>
              </w:rPr>
              <w:t>Approved arrangements</w:t>
            </w:r>
          </w:p>
        </w:tc>
        <w:tc>
          <w:tcPr>
            <w:tcW w:w="885" w:type="pct"/>
            <w:tcBorders>
              <w:top w:val="single" w:sz="4" w:space="0" w:color="auto"/>
              <w:bottom w:val="single" w:sz="4" w:space="0" w:color="auto"/>
            </w:tcBorders>
            <w:noWrap/>
            <w:tcMar>
              <w:left w:w="108" w:type="dxa"/>
              <w:right w:w="108" w:type="dxa"/>
            </w:tcMar>
          </w:tcPr>
          <w:p w14:paraId="7572D6A9" w14:textId="4B5235CD" w:rsidR="003F0B72" w:rsidRPr="004375CA" w:rsidRDefault="001308CB" w:rsidP="00733737">
            <w:pPr>
              <w:pStyle w:val="TableText"/>
              <w:jc w:val="right"/>
              <w:rPr>
                <w:b/>
                <w:bCs/>
                <w:strike/>
                <w:highlight w:val="yellow"/>
                <w:lang w:eastAsia="ja-JP"/>
              </w:rPr>
            </w:pPr>
            <w:r>
              <w:t>6,190,227</w:t>
            </w:r>
          </w:p>
        </w:tc>
        <w:tc>
          <w:tcPr>
            <w:tcW w:w="885" w:type="pct"/>
            <w:tcBorders>
              <w:top w:val="single" w:sz="4" w:space="0" w:color="auto"/>
              <w:bottom w:val="single" w:sz="4" w:space="0" w:color="auto"/>
            </w:tcBorders>
            <w:noWrap/>
            <w:tcMar>
              <w:left w:w="108" w:type="dxa"/>
              <w:right w:w="108" w:type="dxa"/>
            </w:tcMar>
          </w:tcPr>
          <w:p w14:paraId="51A213EB" w14:textId="4E7DA63C" w:rsidR="003F0B72" w:rsidRPr="004375CA" w:rsidRDefault="001308CB" w:rsidP="00733737">
            <w:pPr>
              <w:pStyle w:val="TableText"/>
              <w:jc w:val="right"/>
              <w:rPr>
                <w:b/>
                <w:bCs/>
                <w:strike/>
                <w:highlight w:val="yellow"/>
                <w:lang w:eastAsia="ja-JP"/>
              </w:rPr>
            </w:pPr>
            <w:r>
              <w:t>2,847,566</w:t>
            </w:r>
          </w:p>
        </w:tc>
        <w:tc>
          <w:tcPr>
            <w:tcW w:w="885" w:type="pct"/>
            <w:tcBorders>
              <w:top w:val="single" w:sz="4" w:space="0" w:color="auto"/>
              <w:bottom w:val="single" w:sz="4" w:space="0" w:color="auto"/>
            </w:tcBorders>
            <w:noWrap/>
            <w:tcMar>
              <w:left w:w="108" w:type="dxa"/>
              <w:right w:w="108" w:type="dxa"/>
            </w:tcMar>
          </w:tcPr>
          <w:p w14:paraId="51E30865" w14:textId="3292961E" w:rsidR="003F0B72" w:rsidRPr="004375CA" w:rsidRDefault="001308CB" w:rsidP="00733737">
            <w:pPr>
              <w:pStyle w:val="TableText"/>
              <w:jc w:val="right"/>
              <w:rPr>
                <w:b/>
                <w:bCs/>
                <w:strike/>
                <w:highlight w:val="yellow"/>
                <w:lang w:eastAsia="ja-JP"/>
              </w:rPr>
            </w:pPr>
            <w:r>
              <w:t>9,037,793</w:t>
            </w:r>
          </w:p>
        </w:tc>
      </w:tr>
      <w:tr w:rsidR="003F0B72" w:rsidRPr="009F1EFF" w14:paraId="6A3946E1" w14:textId="77777777" w:rsidTr="009B2AC9">
        <w:tc>
          <w:tcPr>
            <w:tcW w:w="2345" w:type="pct"/>
            <w:tcBorders>
              <w:top w:val="single" w:sz="4" w:space="0" w:color="auto"/>
              <w:bottom w:val="single" w:sz="4" w:space="0" w:color="auto"/>
            </w:tcBorders>
            <w:noWrap/>
            <w:tcMar>
              <w:left w:w="108" w:type="dxa"/>
              <w:right w:w="108" w:type="dxa"/>
            </w:tcMar>
          </w:tcPr>
          <w:p w14:paraId="7BFCA5A7" w14:textId="77777777" w:rsidR="003F0B72" w:rsidRPr="00735097" w:rsidRDefault="003F0B72" w:rsidP="00733737">
            <w:pPr>
              <w:pStyle w:val="TableText"/>
              <w:rPr>
                <w:b/>
                <w:bCs/>
                <w:lang w:eastAsia="ja-JP"/>
              </w:rPr>
            </w:pPr>
            <w:r w:rsidRPr="00735097">
              <w:rPr>
                <w:bCs/>
                <w:lang w:eastAsia="ja-JP"/>
              </w:rPr>
              <w:lastRenderedPageBreak/>
              <w:t>Vessel arrival charges</w:t>
            </w:r>
          </w:p>
        </w:tc>
        <w:tc>
          <w:tcPr>
            <w:tcW w:w="885" w:type="pct"/>
            <w:tcBorders>
              <w:top w:val="single" w:sz="4" w:space="0" w:color="auto"/>
              <w:bottom w:val="single" w:sz="4" w:space="0" w:color="auto"/>
            </w:tcBorders>
            <w:noWrap/>
            <w:tcMar>
              <w:left w:w="108" w:type="dxa"/>
              <w:right w:w="108" w:type="dxa"/>
            </w:tcMar>
          </w:tcPr>
          <w:p w14:paraId="266BF074" w14:textId="5CAC1E76" w:rsidR="003F0B72" w:rsidRPr="004375CA" w:rsidRDefault="001308CB" w:rsidP="00733737">
            <w:pPr>
              <w:pStyle w:val="TableText"/>
              <w:jc w:val="right"/>
              <w:rPr>
                <w:b/>
                <w:bCs/>
                <w:strike/>
                <w:highlight w:val="yellow"/>
                <w:lang w:eastAsia="ja-JP"/>
              </w:rPr>
            </w:pPr>
            <w:r>
              <w:t>19,302,392</w:t>
            </w:r>
          </w:p>
        </w:tc>
        <w:tc>
          <w:tcPr>
            <w:tcW w:w="885" w:type="pct"/>
            <w:tcBorders>
              <w:top w:val="single" w:sz="4" w:space="0" w:color="auto"/>
              <w:bottom w:val="single" w:sz="4" w:space="0" w:color="auto"/>
            </w:tcBorders>
            <w:noWrap/>
            <w:tcMar>
              <w:left w:w="108" w:type="dxa"/>
              <w:right w:w="108" w:type="dxa"/>
            </w:tcMar>
          </w:tcPr>
          <w:p w14:paraId="15F4647D" w14:textId="5D93457E" w:rsidR="003F0B72" w:rsidRPr="004375CA" w:rsidRDefault="001308CB" w:rsidP="00733737">
            <w:pPr>
              <w:pStyle w:val="TableText"/>
              <w:jc w:val="right"/>
              <w:rPr>
                <w:b/>
                <w:bCs/>
                <w:strike/>
                <w:highlight w:val="yellow"/>
                <w:lang w:eastAsia="ja-JP"/>
              </w:rPr>
            </w:pPr>
            <w:r>
              <w:t>8,879,292</w:t>
            </w:r>
          </w:p>
        </w:tc>
        <w:tc>
          <w:tcPr>
            <w:tcW w:w="885" w:type="pct"/>
            <w:tcBorders>
              <w:top w:val="single" w:sz="4" w:space="0" w:color="auto"/>
              <w:bottom w:val="single" w:sz="4" w:space="0" w:color="auto"/>
            </w:tcBorders>
            <w:noWrap/>
            <w:tcMar>
              <w:left w:w="108" w:type="dxa"/>
              <w:right w:w="108" w:type="dxa"/>
            </w:tcMar>
          </w:tcPr>
          <w:p w14:paraId="5BBFDAC9" w14:textId="7037D2F8" w:rsidR="003F0B72" w:rsidRPr="004375CA" w:rsidRDefault="001308CB" w:rsidP="00733737">
            <w:pPr>
              <w:pStyle w:val="TableText"/>
              <w:jc w:val="right"/>
              <w:rPr>
                <w:b/>
                <w:bCs/>
                <w:strike/>
                <w:highlight w:val="yellow"/>
                <w:lang w:eastAsia="ja-JP"/>
              </w:rPr>
            </w:pPr>
            <w:r>
              <w:t>28,181,684</w:t>
            </w:r>
          </w:p>
        </w:tc>
      </w:tr>
      <w:tr w:rsidR="003F0B72" w:rsidRPr="009F1EFF" w14:paraId="72AFF1AF" w14:textId="77777777" w:rsidTr="009B2AC9">
        <w:tc>
          <w:tcPr>
            <w:tcW w:w="2345" w:type="pct"/>
            <w:tcBorders>
              <w:top w:val="single" w:sz="4" w:space="0" w:color="auto"/>
              <w:bottom w:val="single" w:sz="4" w:space="0" w:color="auto"/>
            </w:tcBorders>
            <w:noWrap/>
            <w:tcMar>
              <w:left w:w="108" w:type="dxa"/>
              <w:right w:w="108" w:type="dxa"/>
            </w:tcMar>
          </w:tcPr>
          <w:p w14:paraId="32611B3A" w14:textId="7B58C0D9" w:rsidR="003F0B72" w:rsidRPr="00735097" w:rsidRDefault="003F0B72" w:rsidP="00733737">
            <w:pPr>
              <w:pStyle w:val="TableText"/>
              <w:rPr>
                <w:b/>
                <w:bCs/>
                <w:lang w:eastAsia="ja-JP"/>
              </w:rPr>
            </w:pPr>
            <w:r w:rsidRPr="00735097">
              <w:rPr>
                <w:bCs/>
                <w:lang w:eastAsia="ja-JP"/>
              </w:rPr>
              <w:t xml:space="preserve">Permit </w:t>
            </w:r>
            <w:r w:rsidR="00E765B8">
              <w:rPr>
                <w:bCs/>
                <w:lang w:eastAsia="ja-JP"/>
              </w:rPr>
              <w:t>a</w:t>
            </w:r>
            <w:r w:rsidRPr="00735097">
              <w:rPr>
                <w:bCs/>
                <w:lang w:eastAsia="ja-JP"/>
              </w:rPr>
              <w:t>pplication</w:t>
            </w:r>
          </w:p>
        </w:tc>
        <w:tc>
          <w:tcPr>
            <w:tcW w:w="885" w:type="pct"/>
            <w:tcBorders>
              <w:top w:val="single" w:sz="4" w:space="0" w:color="auto"/>
              <w:bottom w:val="single" w:sz="4" w:space="0" w:color="auto"/>
            </w:tcBorders>
            <w:noWrap/>
            <w:tcMar>
              <w:left w:w="108" w:type="dxa"/>
              <w:right w:w="108" w:type="dxa"/>
            </w:tcMar>
          </w:tcPr>
          <w:p w14:paraId="525E52B7" w14:textId="030D3C47" w:rsidR="003F0B72" w:rsidRPr="004375CA" w:rsidRDefault="001308CB" w:rsidP="00733737">
            <w:pPr>
              <w:pStyle w:val="TableText"/>
              <w:jc w:val="right"/>
              <w:rPr>
                <w:b/>
                <w:bCs/>
                <w:strike/>
                <w:highlight w:val="yellow"/>
                <w:lang w:eastAsia="ja-JP"/>
              </w:rPr>
            </w:pPr>
            <w:r>
              <w:t>1,331,960</w:t>
            </w:r>
          </w:p>
        </w:tc>
        <w:tc>
          <w:tcPr>
            <w:tcW w:w="885" w:type="pct"/>
            <w:tcBorders>
              <w:top w:val="single" w:sz="4" w:space="0" w:color="auto"/>
              <w:bottom w:val="single" w:sz="4" w:space="0" w:color="auto"/>
            </w:tcBorders>
            <w:noWrap/>
            <w:tcMar>
              <w:left w:w="108" w:type="dxa"/>
              <w:right w:w="108" w:type="dxa"/>
            </w:tcMar>
          </w:tcPr>
          <w:p w14:paraId="07981DBC" w14:textId="5F3E5CB1" w:rsidR="003F0B72" w:rsidRPr="004375CA" w:rsidRDefault="001308CB" w:rsidP="00733737">
            <w:pPr>
              <w:pStyle w:val="TableText"/>
              <w:jc w:val="right"/>
              <w:rPr>
                <w:b/>
                <w:bCs/>
                <w:strike/>
                <w:highlight w:val="yellow"/>
                <w:lang w:eastAsia="ja-JP"/>
              </w:rPr>
            </w:pPr>
            <w:r>
              <w:t>612,715</w:t>
            </w:r>
          </w:p>
        </w:tc>
        <w:tc>
          <w:tcPr>
            <w:tcW w:w="885" w:type="pct"/>
            <w:tcBorders>
              <w:top w:val="single" w:sz="4" w:space="0" w:color="auto"/>
              <w:bottom w:val="single" w:sz="4" w:space="0" w:color="auto"/>
            </w:tcBorders>
            <w:noWrap/>
            <w:tcMar>
              <w:left w:w="108" w:type="dxa"/>
              <w:right w:w="108" w:type="dxa"/>
            </w:tcMar>
          </w:tcPr>
          <w:p w14:paraId="71B9744F" w14:textId="6D9E4FFD" w:rsidR="003F0B72" w:rsidRPr="004375CA" w:rsidRDefault="001308CB" w:rsidP="00733737">
            <w:pPr>
              <w:pStyle w:val="TableText"/>
              <w:jc w:val="right"/>
              <w:rPr>
                <w:b/>
                <w:bCs/>
                <w:strike/>
                <w:highlight w:val="yellow"/>
                <w:lang w:eastAsia="ja-JP"/>
              </w:rPr>
            </w:pPr>
            <w:r>
              <w:t>1,944,675</w:t>
            </w:r>
          </w:p>
        </w:tc>
      </w:tr>
      <w:tr w:rsidR="003F0B72" w:rsidRPr="009F1EFF" w14:paraId="30B50B92" w14:textId="77777777" w:rsidTr="009B2AC9">
        <w:tc>
          <w:tcPr>
            <w:tcW w:w="2345" w:type="pct"/>
            <w:tcBorders>
              <w:top w:val="single" w:sz="4" w:space="0" w:color="auto"/>
              <w:bottom w:val="single" w:sz="4" w:space="0" w:color="auto"/>
            </w:tcBorders>
            <w:noWrap/>
            <w:tcMar>
              <w:left w:w="108" w:type="dxa"/>
              <w:right w:w="108" w:type="dxa"/>
            </w:tcMar>
          </w:tcPr>
          <w:p w14:paraId="62D7B17F" w14:textId="64751492" w:rsidR="003F0B72" w:rsidRPr="00735097" w:rsidRDefault="003F0B72" w:rsidP="00733737">
            <w:pPr>
              <w:pStyle w:val="TableText"/>
              <w:rPr>
                <w:bCs/>
                <w:lang w:eastAsia="ja-JP"/>
              </w:rPr>
            </w:pPr>
            <w:r>
              <w:rPr>
                <w:bCs/>
                <w:lang w:eastAsia="ja-JP"/>
              </w:rPr>
              <w:t>I</w:t>
            </w:r>
            <w:r w:rsidRPr="00735097">
              <w:rPr>
                <w:bCs/>
                <w:lang w:eastAsia="ja-JP"/>
              </w:rPr>
              <w:t>mportation charges</w:t>
            </w:r>
            <w:r>
              <w:rPr>
                <w:bCs/>
                <w:lang w:eastAsia="ja-JP"/>
              </w:rPr>
              <w:t xml:space="preserve"> (PEQ)</w:t>
            </w:r>
          </w:p>
        </w:tc>
        <w:tc>
          <w:tcPr>
            <w:tcW w:w="885" w:type="pct"/>
            <w:tcBorders>
              <w:top w:val="single" w:sz="4" w:space="0" w:color="auto"/>
              <w:bottom w:val="single" w:sz="4" w:space="0" w:color="auto"/>
            </w:tcBorders>
            <w:noWrap/>
            <w:tcMar>
              <w:left w:w="108" w:type="dxa"/>
              <w:right w:w="108" w:type="dxa"/>
            </w:tcMar>
          </w:tcPr>
          <w:p w14:paraId="07C136C6" w14:textId="29D22996" w:rsidR="003F0B72" w:rsidRPr="004375CA" w:rsidRDefault="001308CB" w:rsidP="00733737">
            <w:pPr>
              <w:pStyle w:val="TableText"/>
              <w:jc w:val="right"/>
              <w:rPr>
                <w:bCs/>
                <w:strike/>
                <w:highlight w:val="yellow"/>
                <w:lang w:eastAsia="ja-JP"/>
              </w:rPr>
            </w:pPr>
            <w:r>
              <w:t>11,053,329</w:t>
            </w:r>
          </w:p>
        </w:tc>
        <w:tc>
          <w:tcPr>
            <w:tcW w:w="885" w:type="pct"/>
            <w:tcBorders>
              <w:top w:val="single" w:sz="4" w:space="0" w:color="auto"/>
              <w:bottom w:val="single" w:sz="4" w:space="0" w:color="auto"/>
            </w:tcBorders>
            <w:noWrap/>
            <w:tcMar>
              <w:left w:w="108" w:type="dxa"/>
              <w:right w:w="108" w:type="dxa"/>
            </w:tcMar>
          </w:tcPr>
          <w:p w14:paraId="1A5EF10B" w14:textId="01E2C374" w:rsidR="003F0B72" w:rsidRPr="004375CA" w:rsidRDefault="001308CB" w:rsidP="00733737">
            <w:pPr>
              <w:pStyle w:val="TableText"/>
              <w:jc w:val="right"/>
              <w:rPr>
                <w:bCs/>
                <w:strike/>
                <w:highlight w:val="yellow"/>
                <w:lang w:eastAsia="ja-JP"/>
              </w:rPr>
            </w:pPr>
            <w:r>
              <w:t>6,392,438</w:t>
            </w:r>
          </w:p>
        </w:tc>
        <w:tc>
          <w:tcPr>
            <w:tcW w:w="885" w:type="pct"/>
            <w:tcBorders>
              <w:top w:val="single" w:sz="4" w:space="0" w:color="auto"/>
              <w:bottom w:val="single" w:sz="4" w:space="0" w:color="auto"/>
            </w:tcBorders>
            <w:noWrap/>
            <w:tcMar>
              <w:left w:w="108" w:type="dxa"/>
              <w:right w:w="108" w:type="dxa"/>
            </w:tcMar>
          </w:tcPr>
          <w:p w14:paraId="475205CB" w14:textId="1C793EB7" w:rsidR="003F0B72" w:rsidRPr="004375CA" w:rsidRDefault="001308CB" w:rsidP="00733737">
            <w:pPr>
              <w:pStyle w:val="TableText"/>
              <w:jc w:val="right"/>
              <w:rPr>
                <w:bCs/>
                <w:strike/>
                <w:highlight w:val="yellow"/>
                <w:lang w:eastAsia="ja-JP"/>
              </w:rPr>
            </w:pPr>
            <w:r>
              <w:t>17,445,767</w:t>
            </w:r>
          </w:p>
        </w:tc>
      </w:tr>
      <w:tr w:rsidR="003F0B72" w:rsidRPr="009F1EFF" w14:paraId="4ED39AA0" w14:textId="77777777" w:rsidTr="009B2AC9">
        <w:tc>
          <w:tcPr>
            <w:tcW w:w="2345" w:type="pct"/>
            <w:tcBorders>
              <w:top w:val="single" w:sz="4" w:space="0" w:color="auto"/>
              <w:bottom w:val="single" w:sz="4" w:space="0" w:color="auto"/>
            </w:tcBorders>
            <w:noWrap/>
            <w:tcMar>
              <w:left w:w="108" w:type="dxa"/>
              <w:right w:w="108" w:type="dxa"/>
            </w:tcMar>
            <w:hideMark/>
          </w:tcPr>
          <w:p w14:paraId="2C89BD2D" w14:textId="77777777" w:rsidR="003F0B72" w:rsidRPr="000E6E1B" w:rsidRDefault="003F0B72" w:rsidP="00733737">
            <w:pPr>
              <w:pStyle w:val="TableText"/>
              <w:rPr>
                <w:rStyle w:val="Strong"/>
              </w:rPr>
            </w:pPr>
            <w:r w:rsidRPr="000E6E1B">
              <w:rPr>
                <w:rStyle w:val="Strong"/>
              </w:rPr>
              <w:t>Fees</w:t>
            </w:r>
          </w:p>
        </w:tc>
        <w:tc>
          <w:tcPr>
            <w:tcW w:w="885" w:type="pct"/>
            <w:tcBorders>
              <w:top w:val="single" w:sz="4" w:space="0" w:color="auto"/>
              <w:bottom w:val="single" w:sz="4" w:space="0" w:color="auto"/>
            </w:tcBorders>
            <w:noWrap/>
            <w:tcMar>
              <w:left w:w="108" w:type="dxa"/>
              <w:right w:w="108" w:type="dxa"/>
            </w:tcMar>
          </w:tcPr>
          <w:p w14:paraId="3B2B38B8" w14:textId="0F50BF5E" w:rsidR="003F0B72" w:rsidRPr="00165D47" w:rsidRDefault="001308CB" w:rsidP="00733737">
            <w:pPr>
              <w:pStyle w:val="TableText"/>
              <w:jc w:val="right"/>
              <w:rPr>
                <w:b/>
                <w:bCs/>
                <w:strike/>
                <w:highlight w:val="yellow"/>
                <w:lang w:eastAsia="ja-JP"/>
              </w:rPr>
            </w:pPr>
            <w:r>
              <w:rPr>
                <w:b/>
                <w:bCs/>
              </w:rPr>
              <w:t>68,170,675</w:t>
            </w:r>
          </w:p>
        </w:tc>
        <w:tc>
          <w:tcPr>
            <w:tcW w:w="885" w:type="pct"/>
            <w:tcBorders>
              <w:top w:val="single" w:sz="4" w:space="0" w:color="auto"/>
              <w:bottom w:val="single" w:sz="4" w:space="0" w:color="auto"/>
            </w:tcBorders>
            <w:noWrap/>
            <w:tcMar>
              <w:left w:w="108" w:type="dxa"/>
              <w:right w:w="108" w:type="dxa"/>
            </w:tcMar>
          </w:tcPr>
          <w:p w14:paraId="042BCEBA" w14:textId="11400BDA" w:rsidR="003F0B72" w:rsidRPr="00165D47" w:rsidRDefault="001308CB" w:rsidP="00733737">
            <w:pPr>
              <w:pStyle w:val="TableText"/>
              <w:jc w:val="right"/>
              <w:rPr>
                <w:b/>
                <w:bCs/>
                <w:strike/>
                <w:highlight w:val="yellow"/>
                <w:lang w:eastAsia="ja-JP"/>
              </w:rPr>
            </w:pPr>
            <w:r>
              <w:rPr>
                <w:b/>
                <w:bCs/>
              </w:rPr>
              <w:t>37,712,964</w:t>
            </w:r>
          </w:p>
        </w:tc>
        <w:tc>
          <w:tcPr>
            <w:tcW w:w="885" w:type="pct"/>
            <w:tcBorders>
              <w:top w:val="single" w:sz="4" w:space="0" w:color="auto"/>
              <w:bottom w:val="single" w:sz="4" w:space="0" w:color="auto"/>
            </w:tcBorders>
            <w:noWrap/>
            <w:tcMar>
              <w:left w:w="108" w:type="dxa"/>
              <w:right w:w="108" w:type="dxa"/>
            </w:tcMar>
          </w:tcPr>
          <w:p w14:paraId="1FA66DEB" w14:textId="6F3E9B0D" w:rsidR="003F0B72" w:rsidRPr="00524638" w:rsidRDefault="001308CB" w:rsidP="00733737">
            <w:pPr>
              <w:pStyle w:val="TableText"/>
              <w:jc w:val="right"/>
              <w:rPr>
                <w:rStyle w:val="Strong"/>
                <w:highlight w:val="yellow"/>
              </w:rPr>
            </w:pPr>
            <w:r>
              <w:rPr>
                <w:rStyle w:val="Strong"/>
              </w:rPr>
              <w:t>99,883,639</w:t>
            </w:r>
          </w:p>
        </w:tc>
      </w:tr>
      <w:tr w:rsidR="003F0B72" w:rsidRPr="009F1EFF" w14:paraId="5BEDD475" w14:textId="77777777" w:rsidTr="009B2AC9">
        <w:tc>
          <w:tcPr>
            <w:tcW w:w="2345" w:type="pct"/>
            <w:tcBorders>
              <w:top w:val="single" w:sz="4" w:space="0" w:color="auto"/>
              <w:bottom w:val="single" w:sz="4" w:space="0" w:color="auto"/>
            </w:tcBorders>
            <w:noWrap/>
            <w:tcMar>
              <w:left w:w="108" w:type="dxa"/>
              <w:right w:w="108" w:type="dxa"/>
            </w:tcMar>
            <w:hideMark/>
          </w:tcPr>
          <w:p w14:paraId="26DFC631" w14:textId="77777777" w:rsidR="003F0B72" w:rsidRPr="000E6E1B" w:rsidRDefault="003F0B72" w:rsidP="00733737">
            <w:pPr>
              <w:pStyle w:val="TableText"/>
              <w:rPr>
                <w:bCs/>
                <w:lang w:eastAsia="ja-JP"/>
              </w:rPr>
            </w:pPr>
            <w:r w:rsidRPr="000E6E1B">
              <w:rPr>
                <w:bCs/>
                <w:lang w:eastAsia="ja-JP"/>
              </w:rPr>
              <w:t>Assessment</w:t>
            </w:r>
          </w:p>
        </w:tc>
        <w:tc>
          <w:tcPr>
            <w:tcW w:w="885" w:type="pct"/>
            <w:tcBorders>
              <w:top w:val="single" w:sz="4" w:space="0" w:color="auto"/>
              <w:bottom w:val="single" w:sz="4" w:space="0" w:color="auto"/>
            </w:tcBorders>
            <w:noWrap/>
            <w:tcMar>
              <w:left w:w="108" w:type="dxa"/>
              <w:right w:w="108" w:type="dxa"/>
            </w:tcMar>
          </w:tcPr>
          <w:p w14:paraId="71C30603" w14:textId="1B27992D" w:rsidR="003F0B72" w:rsidRPr="004375CA" w:rsidRDefault="001308CB" w:rsidP="00733737">
            <w:pPr>
              <w:pStyle w:val="TableText"/>
              <w:jc w:val="right"/>
              <w:rPr>
                <w:bCs/>
                <w:strike/>
                <w:highlight w:val="yellow"/>
                <w:lang w:eastAsia="ja-JP"/>
              </w:rPr>
            </w:pPr>
            <w:r>
              <w:t>22,395,820</w:t>
            </w:r>
          </w:p>
        </w:tc>
        <w:tc>
          <w:tcPr>
            <w:tcW w:w="885" w:type="pct"/>
            <w:tcBorders>
              <w:top w:val="single" w:sz="4" w:space="0" w:color="auto"/>
              <w:bottom w:val="single" w:sz="4" w:space="0" w:color="auto"/>
            </w:tcBorders>
            <w:noWrap/>
            <w:tcMar>
              <w:left w:w="108" w:type="dxa"/>
              <w:right w:w="108" w:type="dxa"/>
            </w:tcMar>
          </w:tcPr>
          <w:p w14:paraId="61CA947A" w14:textId="47B446E8" w:rsidR="003F0B72" w:rsidRPr="004375CA" w:rsidRDefault="001308CB" w:rsidP="00733737">
            <w:pPr>
              <w:pStyle w:val="TableText"/>
              <w:jc w:val="right"/>
              <w:rPr>
                <w:bCs/>
                <w:strike/>
                <w:highlight w:val="yellow"/>
                <w:lang w:eastAsia="ja-JP"/>
              </w:rPr>
            </w:pPr>
            <w:r>
              <w:t>10,302,300</w:t>
            </w:r>
          </w:p>
        </w:tc>
        <w:tc>
          <w:tcPr>
            <w:tcW w:w="885" w:type="pct"/>
            <w:tcBorders>
              <w:top w:val="single" w:sz="4" w:space="0" w:color="auto"/>
              <w:bottom w:val="single" w:sz="4" w:space="0" w:color="auto"/>
            </w:tcBorders>
            <w:noWrap/>
            <w:tcMar>
              <w:left w:w="108" w:type="dxa"/>
              <w:right w:w="108" w:type="dxa"/>
            </w:tcMar>
          </w:tcPr>
          <w:p w14:paraId="33AF0209" w14:textId="0A0CB4B4" w:rsidR="003F0B72" w:rsidRPr="004375CA" w:rsidRDefault="001308CB" w:rsidP="00733737">
            <w:pPr>
              <w:pStyle w:val="TableText"/>
              <w:jc w:val="right"/>
              <w:rPr>
                <w:bCs/>
                <w:strike/>
                <w:highlight w:val="yellow"/>
                <w:lang w:eastAsia="ja-JP"/>
              </w:rPr>
            </w:pPr>
            <w:r>
              <w:t>32,698,120</w:t>
            </w:r>
          </w:p>
        </w:tc>
      </w:tr>
      <w:tr w:rsidR="003F0B72" w:rsidRPr="009F1EFF" w14:paraId="6C5D0BB5" w14:textId="77777777" w:rsidTr="009B2AC9">
        <w:tc>
          <w:tcPr>
            <w:tcW w:w="2345" w:type="pct"/>
            <w:tcBorders>
              <w:top w:val="single" w:sz="4" w:space="0" w:color="auto"/>
              <w:bottom w:val="single" w:sz="4" w:space="0" w:color="auto"/>
            </w:tcBorders>
            <w:noWrap/>
            <w:tcMar>
              <w:left w:w="108" w:type="dxa"/>
              <w:right w:w="108" w:type="dxa"/>
            </w:tcMar>
            <w:hideMark/>
          </w:tcPr>
          <w:p w14:paraId="4DFC6764" w14:textId="4C9229AB" w:rsidR="003F0B72" w:rsidRPr="00735097" w:rsidRDefault="003F0B72" w:rsidP="00733737">
            <w:pPr>
              <w:pStyle w:val="TableText"/>
              <w:rPr>
                <w:bCs/>
                <w:lang w:eastAsia="ja-JP"/>
              </w:rPr>
            </w:pPr>
            <w:r w:rsidRPr="00735097">
              <w:rPr>
                <w:bCs/>
                <w:lang w:eastAsia="ja-JP"/>
              </w:rPr>
              <w:t xml:space="preserve">Issue </w:t>
            </w:r>
            <w:r w:rsidR="00E765B8">
              <w:rPr>
                <w:bCs/>
                <w:lang w:eastAsia="ja-JP"/>
              </w:rPr>
              <w:t>a</w:t>
            </w:r>
            <w:r w:rsidRPr="00735097">
              <w:rPr>
                <w:bCs/>
                <w:lang w:eastAsia="ja-JP"/>
              </w:rPr>
              <w:t xml:space="preserve">pproval </w:t>
            </w:r>
            <w:r w:rsidR="00E765B8">
              <w:rPr>
                <w:bCs/>
                <w:lang w:eastAsia="ja-JP"/>
              </w:rPr>
              <w:t>c</w:t>
            </w:r>
            <w:r w:rsidRPr="00735097">
              <w:rPr>
                <w:bCs/>
                <w:lang w:eastAsia="ja-JP"/>
              </w:rPr>
              <w:t>ertification</w:t>
            </w:r>
          </w:p>
        </w:tc>
        <w:tc>
          <w:tcPr>
            <w:tcW w:w="885" w:type="pct"/>
            <w:tcBorders>
              <w:top w:val="single" w:sz="4" w:space="0" w:color="auto"/>
              <w:bottom w:val="single" w:sz="4" w:space="0" w:color="auto"/>
            </w:tcBorders>
            <w:noWrap/>
            <w:tcMar>
              <w:left w:w="108" w:type="dxa"/>
              <w:right w:w="108" w:type="dxa"/>
            </w:tcMar>
          </w:tcPr>
          <w:p w14:paraId="67174DD4" w14:textId="1A49F45F" w:rsidR="003F0B72" w:rsidRPr="004375CA" w:rsidRDefault="001308CB" w:rsidP="00733737">
            <w:pPr>
              <w:pStyle w:val="TableText"/>
              <w:jc w:val="right"/>
              <w:rPr>
                <w:bCs/>
                <w:strike/>
                <w:highlight w:val="yellow"/>
                <w:lang w:eastAsia="ja-JP"/>
              </w:rPr>
            </w:pPr>
            <w:r>
              <w:t>3,871,964</w:t>
            </w:r>
          </w:p>
        </w:tc>
        <w:tc>
          <w:tcPr>
            <w:tcW w:w="885" w:type="pct"/>
            <w:tcBorders>
              <w:top w:val="single" w:sz="4" w:space="0" w:color="auto"/>
              <w:bottom w:val="single" w:sz="4" w:space="0" w:color="auto"/>
            </w:tcBorders>
            <w:noWrap/>
            <w:tcMar>
              <w:left w:w="108" w:type="dxa"/>
              <w:right w:w="108" w:type="dxa"/>
            </w:tcMar>
          </w:tcPr>
          <w:p w14:paraId="0411AA71" w14:textId="31A4002F" w:rsidR="003F0B72" w:rsidRPr="004375CA" w:rsidRDefault="001308CB" w:rsidP="00733737">
            <w:pPr>
              <w:pStyle w:val="TableText"/>
              <w:jc w:val="right"/>
              <w:rPr>
                <w:bCs/>
                <w:strike/>
                <w:highlight w:val="yellow"/>
                <w:lang w:eastAsia="ja-JP"/>
              </w:rPr>
            </w:pPr>
            <w:r>
              <w:t>1,781,142</w:t>
            </w:r>
          </w:p>
        </w:tc>
        <w:tc>
          <w:tcPr>
            <w:tcW w:w="885" w:type="pct"/>
            <w:tcBorders>
              <w:top w:val="single" w:sz="4" w:space="0" w:color="auto"/>
              <w:bottom w:val="single" w:sz="4" w:space="0" w:color="auto"/>
            </w:tcBorders>
            <w:noWrap/>
            <w:tcMar>
              <w:left w:w="108" w:type="dxa"/>
              <w:right w:w="108" w:type="dxa"/>
            </w:tcMar>
          </w:tcPr>
          <w:p w14:paraId="34C45E29" w14:textId="56F4488D" w:rsidR="003F0B72" w:rsidRPr="004375CA" w:rsidRDefault="001308CB" w:rsidP="00733737">
            <w:pPr>
              <w:pStyle w:val="TableText"/>
              <w:jc w:val="right"/>
              <w:rPr>
                <w:bCs/>
                <w:strike/>
                <w:highlight w:val="yellow"/>
                <w:lang w:eastAsia="ja-JP"/>
              </w:rPr>
            </w:pPr>
            <w:r>
              <w:t>5,653,106</w:t>
            </w:r>
          </w:p>
        </w:tc>
      </w:tr>
      <w:tr w:rsidR="003F0B72" w:rsidRPr="009F1EFF" w14:paraId="54EDBC4D" w14:textId="77777777" w:rsidTr="005F70B0">
        <w:trPr>
          <w:trHeight w:val="394"/>
        </w:trPr>
        <w:tc>
          <w:tcPr>
            <w:tcW w:w="2345" w:type="pct"/>
            <w:tcBorders>
              <w:top w:val="single" w:sz="4" w:space="0" w:color="auto"/>
              <w:bottom w:val="single" w:sz="4" w:space="0" w:color="auto"/>
            </w:tcBorders>
            <w:noWrap/>
            <w:tcMar>
              <w:left w:w="108" w:type="dxa"/>
              <w:right w:w="108" w:type="dxa"/>
            </w:tcMar>
            <w:hideMark/>
          </w:tcPr>
          <w:p w14:paraId="4896FD2A" w14:textId="77777777" w:rsidR="003F0B72" w:rsidRPr="00735097" w:rsidRDefault="003F0B72" w:rsidP="00733737">
            <w:pPr>
              <w:pStyle w:val="TableText"/>
              <w:rPr>
                <w:bCs/>
                <w:lang w:eastAsia="ja-JP"/>
              </w:rPr>
            </w:pPr>
            <w:r w:rsidRPr="00735097">
              <w:rPr>
                <w:bCs/>
                <w:lang w:eastAsia="ja-JP"/>
              </w:rPr>
              <w:t>Inspection</w:t>
            </w:r>
          </w:p>
        </w:tc>
        <w:tc>
          <w:tcPr>
            <w:tcW w:w="885" w:type="pct"/>
            <w:tcBorders>
              <w:top w:val="single" w:sz="4" w:space="0" w:color="auto"/>
              <w:bottom w:val="single" w:sz="4" w:space="0" w:color="auto"/>
            </w:tcBorders>
            <w:noWrap/>
            <w:tcMar>
              <w:left w:w="108" w:type="dxa"/>
              <w:right w:w="108" w:type="dxa"/>
            </w:tcMar>
          </w:tcPr>
          <w:p w14:paraId="637B0900" w14:textId="66F42CB6" w:rsidR="003F0B72" w:rsidRPr="004375CA" w:rsidRDefault="001308CB" w:rsidP="00733737">
            <w:pPr>
              <w:pStyle w:val="TableText"/>
              <w:jc w:val="right"/>
              <w:rPr>
                <w:bCs/>
                <w:strike/>
                <w:highlight w:val="yellow"/>
                <w:lang w:eastAsia="ja-JP"/>
              </w:rPr>
            </w:pPr>
            <w:r>
              <w:t>36,367,</w:t>
            </w:r>
            <w:r w:rsidR="005F70B0">
              <w:t>029</w:t>
            </w:r>
          </w:p>
        </w:tc>
        <w:tc>
          <w:tcPr>
            <w:tcW w:w="885" w:type="pct"/>
            <w:tcBorders>
              <w:top w:val="single" w:sz="4" w:space="0" w:color="auto"/>
              <w:bottom w:val="single" w:sz="4" w:space="0" w:color="auto"/>
            </w:tcBorders>
            <w:noWrap/>
            <w:tcMar>
              <w:left w:w="108" w:type="dxa"/>
              <w:right w:w="108" w:type="dxa"/>
            </w:tcMar>
          </w:tcPr>
          <w:p w14:paraId="02152F8D" w14:textId="790CA47D" w:rsidR="003F0B72" w:rsidRPr="004375CA" w:rsidRDefault="005F70B0" w:rsidP="00733737">
            <w:pPr>
              <w:pStyle w:val="TableText"/>
              <w:jc w:val="right"/>
              <w:rPr>
                <w:bCs/>
                <w:strike/>
                <w:highlight w:val="yellow"/>
                <w:lang w:eastAsia="ja-JP"/>
              </w:rPr>
            </w:pPr>
            <w:r>
              <w:t>16,729,195</w:t>
            </w:r>
          </w:p>
        </w:tc>
        <w:tc>
          <w:tcPr>
            <w:tcW w:w="885" w:type="pct"/>
            <w:tcBorders>
              <w:top w:val="single" w:sz="4" w:space="0" w:color="auto"/>
              <w:bottom w:val="single" w:sz="4" w:space="0" w:color="auto"/>
            </w:tcBorders>
            <w:noWrap/>
            <w:tcMar>
              <w:left w:w="108" w:type="dxa"/>
              <w:right w:w="108" w:type="dxa"/>
            </w:tcMar>
          </w:tcPr>
          <w:p w14:paraId="01CDF2F1" w14:textId="29CE4254" w:rsidR="003F0B72" w:rsidRPr="004375CA" w:rsidRDefault="005F70B0" w:rsidP="00733737">
            <w:pPr>
              <w:pStyle w:val="TableText"/>
              <w:jc w:val="right"/>
              <w:rPr>
                <w:bCs/>
                <w:strike/>
                <w:highlight w:val="yellow"/>
                <w:lang w:eastAsia="ja-JP"/>
              </w:rPr>
            </w:pPr>
            <w:r>
              <w:t>53,096,224</w:t>
            </w:r>
          </w:p>
        </w:tc>
      </w:tr>
      <w:tr w:rsidR="003F0B72" w:rsidRPr="009F1EFF" w14:paraId="513199AD" w14:textId="77777777" w:rsidTr="009B2AC9">
        <w:tc>
          <w:tcPr>
            <w:tcW w:w="2345" w:type="pct"/>
            <w:tcBorders>
              <w:top w:val="single" w:sz="4" w:space="0" w:color="auto"/>
              <w:bottom w:val="single" w:sz="4" w:space="0" w:color="auto"/>
            </w:tcBorders>
            <w:noWrap/>
            <w:tcMar>
              <w:left w:w="108" w:type="dxa"/>
              <w:right w:w="108" w:type="dxa"/>
            </w:tcMar>
            <w:hideMark/>
          </w:tcPr>
          <w:p w14:paraId="3F5DC204" w14:textId="1E5557C5" w:rsidR="003F0B72" w:rsidRPr="00735097" w:rsidRDefault="005F70B0" w:rsidP="00733737">
            <w:pPr>
              <w:pStyle w:val="TableText"/>
              <w:rPr>
                <w:bCs/>
                <w:lang w:eastAsia="ja-JP"/>
              </w:rPr>
            </w:pPr>
            <w:r>
              <w:rPr>
                <w:bCs/>
                <w:lang w:eastAsia="ja-JP"/>
              </w:rPr>
              <w:t xml:space="preserve">Diagnostics and </w:t>
            </w:r>
            <w:r w:rsidR="00E765B8">
              <w:rPr>
                <w:bCs/>
                <w:lang w:eastAsia="ja-JP"/>
              </w:rPr>
              <w:t>t</w:t>
            </w:r>
            <w:r w:rsidR="003F0B72" w:rsidRPr="00735097">
              <w:rPr>
                <w:bCs/>
                <w:lang w:eastAsia="ja-JP"/>
              </w:rPr>
              <w:t>reatment</w:t>
            </w:r>
          </w:p>
        </w:tc>
        <w:tc>
          <w:tcPr>
            <w:tcW w:w="885" w:type="pct"/>
            <w:tcBorders>
              <w:top w:val="single" w:sz="4" w:space="0" w:color="auto"/>
              <w:bottom w:val="single" w:sz="4" w:space="0" w:color="auto"/>
            </w:tcBorders>
            <w:noWrap/>
            <w:tcMar>
              <w:left w:w="108" w:type="dxa"/>
              <w:right w:w="108" w:type="dxa"/>
            </w:tcMar>
          </w:tcPr>
          <w:p w14:paraId="0AE8E2CE" w14:textId="533A9FB0" w:rsidR="003F0B72" w:rsidRPr="004375CA" w:rsidRDefault="005F70B0" w:rsidP="00733737">
            <w:pPr>
              <w:pStyle w:val="TableText"/>
              <w:jc w:val="right"/>
              <w:rPr>
                <w:bCs/>
                <w:strike/>
                <w:highlight w:val="yellow"/>
                <w:lang w:eastAsia="ja-JP"/>
              </w:rPr>
            </w:pPr>
            <w:r>
              <w:t>1,051,859</w:t>
            </w:r>
          </w:p>
        </w:tc>
        <w:tc>
          <w:tcPr>
            <w:tcW w:w="885" w:type="pct"/>
            <w:tcBorders>
              <w:top w:val="single" w:sz="4" w:space="0" w:color="auto"/>
              <w:bottom w:val="single" w:sz="4" w:space="0" w:color="auto"/>
            </w:tcBorders>
            <w:noWrap/>
            <w:tcMar>
              <w:left w:w="108" w:type="dxa"/>
              <w:right w:w="108" w:type="dxa"/>
            </w:tcMar>
          </w:tcPr>
          <w:p w14:paraId="2351BA07" w14:textId="7391E66B" w:rsidR="003F0B72" w:rsidRPr="004375CA" w:rsidRDefault="005F70B0" w:rsidP="00733737">
            <w:pPr>
              <w:pStyle w:val="TableText"/>
              <w:jc w:val="right"/>
              <w:rPr>
                <w:bCs/>
                <w:strike/>
                <w:highlight w:val="yellow"/>
                <w:lang w:eastAsia="ja-JP"/>
              </w:rPr>
            </w:pPr>
            <w:r>
              <w:t>483,865</w:t>
            </w:r>
          </w:p>
        </w:tc>
        <w:tc>
          <w:tcPr>
            <w:tcW w:w="885" w:type="pct"/>
            <w:tcBorders>
              <w:top w:val="single" w:sz="4" w:space="0" w:color="auto"/>
              <w:bottom w:val="single" w:sz="4" w:space="0" w:color="auto"/>
            </w:tcBorders>
            <w:noWrap/>
            <w:tcMar>
              <w:left w:w="108" w:type="dxa"/>
              <w:right w:w="108" w:type="dxa"/>
            </w:tcMar>
          </w:tcPr>
          <w:p w14:paraId="115A5312" w14:textId="10FB3550" w:rsidR="003F0B72" w:rsidRPr="004375CA" w:rsidRDefault="005F70B0" w:rsidP="00733737">
            <w:pPr>
              <w:pStyle w:val="TableText"/>
              <w:jc w:val="right"/>
              <w:rPr>
                <w:bCs/>
                <w:strike/>
                <w:highlight w:val="yellow"/>
                <w:lang w:eastAsia="ja-JP"/>
              </w:rPr>
            </w:pPr>
            <w:r>
              <w:t>1,535,724</w:t>
            </w:r>
          </w:p>
        </w:tc>
      </w:tr>
      <w:tr w:rsidR="003F0B72" w:rsidRPr="009F1EFF" w14:paraId="709170AD" w14:textId="77777777" w:rsidTr="009B2AC9">
        <w:tc>
          <w:tcPr>
            <w:tcW w:w="2345" w:type="pct"/>
            <w:tcBorders>
              <w:top w:val="single" w:sz="4" w:space="0" w:color="auto"/>
              <w:bottom w:val="single" w:sz="4" w:space="0" w:color="auto"/>
            </w:tcBorders>
            <w:noWrap/>
            <w:tcMar>
              <w:left w:w="108" w:type="dxa"/>
              <w:right w:w="108" w:type="dxa"/>
            </w:tcMar>
            <w:hideMark/>
          </w:tcPr>
          <w:p w14:paraId="76E16E44" w14:textId="77777777" w:rsidR="003F0B72" w:rsidRPr="00735097" w:rsidRDefault="003F0B72" w:rsidP="00733737">
            <w:pPr>
              <w:pStyle w:val="TableText"/>
              <w:rPr>
                <w:bCs/>
                <w:lang w:eastAsia="ja-JP"/>
              </w:rPr>
            </w:pPr>
            <w:r w:rsidRPr="00735097">
              <w:rPr>
                <w:bCs/>
                <w:lang w:eastAsia="ja-JP"/>
              </w:rPr>
              <w:t>Audit</w:t>
            </w:r>
          </w:p>
        </w:tc>
        <w:tc>
          <w:tcPr>
            <w:tcW w:w="885" w:type="pct"/>
            <w:tcBorders>
              <w:top w:val="single" w:sz="4" w:space="0" w:color="auto"/>
              <w:bottom w:val="single" w:sz="4" w:space="0" w:color="auto"/>
            </w:tcBorders>
            <w:noWrap/>
            <w:tcMar>
              <w:left w:w="108" w:type="dxa"/>
              <w:right w:w="108" w:type="dxa"/>
            </w:tcMar>
          </w:tcPr>
          <w:p w14:paraId="41502089" w14:textId="715AA256" w:rsidR="003F0B72" w:rsidRPr="004375CA" w:rsidRDefault="005F70B0" w:rsidP="00733737">
            <w:pPr>
              <w:pStyle w:val="TableText"/>
              <w:jc w:val="right"/>
              <w:rPr>
                <w:bCs/>
                <w:strike/>
                <w:highlight w:val="yellow"/>
                <w:lang w:eastAsia="ja-JP"/>
              </w:rPr>
            </w:pPr>
            <w:r>
              <w:t>1,493,929</w:t>
            </w:r>
          </w:p>
        </w:tc>
        <w:tc>
          <w:tcPr>
            <w:tcW w:w="885" w:type="pct"/>
            <w:tcBorders>
              <w:top w:val="single" w:sz="4" w:space="0" w:color="auto"/>
              <w:bottom w:val="single" w:sz="4" w:space="0" w:color="auto"/>
            </w:tcBorders>
            <w:noWrap/>
            <w:tcMar>
              <w:left w:w="108" w:type="dxa"/>
              <w:right w:w="108" w:type="dxa"/>
            </w:tcMar>
          </w:tcPr>
          <w:p w14:paraId="39FD0F19" w14:textId="1AA2E1E2" w:rsidR="003F0B72" w:rsidRPr="004375CA" w:rsidRDefault="005F70B0" w:rsidP="00733737">
            <w:pPr>
              <w:pStyle w:val="TableText"/>
              <w:jc w:val="right"/>
              <w:rPr>
                <w:bCs/>
                <w:strike/>
                <w:highlight w:val="yellow"/>
                <w:lang w:eastAsia="ja-JP"/>
              </w:rPr>
            </w:pPr>
            <w:r>
              <w:t>687,222</w:t>
            </w:r>
          </w:p>
        </w:tc>
        <w:tc>
          <w:tcPr>
            <w:tcW w:w="885" w:type="pct"/>
            <w:tcBorders>
              <w:top w:val="single" w:sz="4" w:space="0" w:color="auto"/>
              <w:bottom w:val="single" w:sz="4" w:space="0" w:color="auto"/>
            </w:tcBorders>
            <w:noWrap/>
            <w:tcMar>
              <w:left w:w="108" w:type="dxa"/>
              <w:right w:w="108" w:type="dxa"/>
            </w:tcMar>
          </w:tcPr>
          <w:p w14:paraId="3C38F811" w14:textId="4151338B" w:rsidR="003F0B72" w:rsidRPr="004375CA" w:rsidRDefault="005F70B0" w:rsidP="00733737">
            <w:pPr>
              <w:pStyle w:val="TableText"/>
              <w:jc w:val="right"/>
              <w:rPr>
                <w:bCs/>
                <w:strike/>
                <w:highlight w:val="yellow"/>
                <w:lang w:eastAsia="ja-JP"/>
              </w:rPr>
            </w:pPr>
            <w:r>
              <w:t>2,181,151</w:t>
            </w:r>
          </w:p>
        </w:tc>
      </w:tr>
      <w:tr w:rsidR="003F0B72" w:rsidRPr="009F1EFF" w14:paraId="40360970" w14:textId="77777777" w:rsidTr="009B2AC9">
        <w:tc>
          <w:tcPr>
            <w:tcW w:w="2345" w:type="pct"/>
            <w:tcBorders>
              <w:top w:val="single" w:sz="4" w:space="0" w:color="auto"/>
              <w:bottom w:val="single" w:sz="4" w:space="0" w:color="auto"/>
            </w:tcBorders>
            <w:noWrap/>
            <w:tcMar>
              <w:left w:w="108" w:type="dxa"/>
              <w:right w:w="108" w:type="dxa"/>
            </w:tcMar>
            <w:hideMark/>
          </w:tcPr>
          <w:p w14:paraId="169C8826" w14:textId="77777777" w:rsidR="003F0B72" w:rsidRPr="00735097" w:rsidRDefault="003F0B72" w:rsidP="00733737">
            <w:pPr>
              <w:pStyle w:val="TableText"/>
              <w:rPr>
                <w:bCs/>
                <w:lang w:eastAsia="ja-JP"/>
              </w:rPr>
            </w:pPr>
            <w:r w:rsidRPr="00735097">
              <w:rPr>
                <w:bCs/>
                <w:lang w:eastAsia="ja-JP"/>
              </w:rPr>
              <w:t>Husbandry</w:t>
            </w:r>
          </w:p>
        </w:tc>
        <w:tc>
          <w:tcPr>
            <w:tcW w:w="885" w:type="pct"/>
            <w:tcBorders>
              <w:top w:val="single" w:sz="4" w:space="0" w:color="auto"/>
              <w:bottom w:val="single" w:sz="4" w:space="0" w:color="auto"/>
            </w:tcBorders>
            <w:noWrap/>
            <w:tcMar>
              <w:left w:w="108" w:type="dxa"/>
              <w:right w:w="108" w:type="dxa"/>
            </w:tcMar>
          </w:tcPr>
          <w:p w14:paraId="0E1FD17B" w14:textId="07D0893B" w:rsidR="003F0B72" w:rsidRPr="004375CA" w:rsidRDefault="005F70B0" w:rsidP="00733737">
            <w:pPr>
              <w:pStyle w:val="TableText"/>
              <w:jc w:val="right"/>
              <w:rPr>
                <w:bCs/>
                <w:strike/>
                <w:highlight w:val="yellow"/>
                <w:lang w:eastAsia="ja-JP"/>
              </w:rPr>
            </w:pPr>
            <w:r>
              <w:t>2,990,074</w:t>
            </w:r>
          </w:p>
        </w:tc>
        <w:tc>
          <w:tcPr>
            <w:tcW w:w="885" w:type="pct"/>
            <w:tcBorders>
              <w:top w:val="single" w:sz="4" w:space="0" w:color="auto"/>
              <w:bottom w:val="single" w:sz="4" w:space="0" w:color="auto"/>
            </w:tcBorders>
            <w:noWrap/>
            <w:tcMar>
              <w:left w:w="108" w:type="dxa"/>
              <w:right w:w="108" w:type="dxa"/>
            </w:tcMar>
          </w:tcPr>
          <w:p w14:paraId="75B40D95" w14:textId="30BEA24A" w:rsidR="003F0B72" w:rsidRPr="004375CA" w:rsidRDefault="005F70B0" w:rsidP="00733737">
            <w:pPr>
              <w:pStyle w:val="TableText"/>
              <w:jc w:val="right"/>
              <w:rPr>
                <w:bCs/>
                <w:strike/>
                <w:highlight w:val="yellow"/>
                <w:lang w:eastAsia="ja-JP"/>
              </w:rPr>
            </w:pPr>
            <w:r>
              <w:t>1,729,240</w:t>
            </w:r>
          </w:p>
        </w:tc>
        <w:tc>
          <w:tcPr>
            <w:tcW w:w="885" w:type="pct"/>
            <w:tcBorders>
              <w:top w:val="single" w:sz="4" w:space="0" w:color="auto"/>
              <w:bottom w:val="single" w:sz="4" w:space="0" w:color="auto"/>
            </w:tcBorders>
            <w:noWrap/>
            <w:tcMar>
              <w:left w:w="108" w:type="dxa"/>
              <w:right w:w="108" w:type="dxa"/>
            </w:tcMar>
          </w:tcPr>
          <w:p w14:paraId="177A0C49" w14:textId="7395243B" w:rsidR="003F0B72" w:rsidRPr="004375CA" w:rsidRDefault="005F70B0" w:rsidP="00733737">
            <w:pPr>
              <w:pStyle w:val="TableText"/>
              <w:jc w:val="right"/>
              <w:rPr>
                <w:bCs/>
                <w:strike/>
                <w:highlight w:val="yellow"/>
                <w:lang w:eastAsia="ja-JP"/>
              </w:rPr>
            </w:pPr>
            <w:r>
              <w:t>4,719,314</w:t>
            </w:r>
          </w:p>
        </w:tc>
      </w:tr>
      <w:tr w:rsidR="003F0B72" w:rsidRPr="00A968F0" w14:paraId="4646902E" w14:textId="77777777" w:rsidTr="009B2AC9">
        <w:tc>
          <w:tcPr>
            <w:tcW w:w="2345" w:type="pct"/>
            <w:tcBorders>
              <w:top w:val="single" w:sz="4" w:space="0" w:color="auto"/>
              <w:bottom w:val="single" w:sz="4" w:space="0" w:color="auto"/>
            </w:tcBorders>
            <w:noWrap/>
            <w:tcMar>
              <w:left w:w="108" w:type="dxa"/>
              <w:right w:w="108" w:type="dxa"/>
            </w:tcMar>
            <w:hideMark/>
          </w:tcPr>
          <w:p w14:paraId="7414DB03" w14:textId="3B4ABE13" w:rsidR="003F0B72" w:rsidRPr="00B84A73" w:rsidRDefault="003F0B72" w:rsidP="00733737">
            <w:pPr>
              <w:pStyle w:val="TableText"/>
              <w:rPr>
                <w:rStyle w:val="Strong"/>
              </w:rPr>
            </w:pPr>
            <w:r w:rsidRPr="00B84A73">
              <w:rPr>
                <w:rStyle w:val="Strong"/>
              </w:rPr>
              <w:t>Subtotal</w:t>
            </w:r>
          </w:p>
        </w:tc>
        <w:tc>
          <w:tcPr>
            <w:tcW w:w="885" w:type="pct"/>
            <w:tcBorders>
              <w:top w:val="single" w:sz="4" w:space="0" w:color="auto"/>
              <w:bottom w:val="single" w:sz="4" w:space="0" w:color="auto"/>
            </w:tcBorders>
            <w:noWrap/>
            <w:tcMar>
              <w:left w:w="108" w:type="dxa"/>
              <w:right w:w="108" w:type="dxa"/>
            </w:tcMar>
          </w:tcPr>
          <w:p w14:paraId="5F22ED50" w14:textId="02150491" w:rsidR="003F0B72" w:rsidRPr="005F70B0" w:rsidRDefault="005F70B0" w:rsidP="00733737">
            <w:pPr>
              <w:pStyle w:val="TableText"/>
              <w:jc w:val="right"/>
              <w:rPr>
                <w:rStyle w:val="Strong"/>
                <w:highlight w:val="yellow"/>
              </w:rPr>
            </w:pPr>
            <w:r w:rsidRPr="005F70B0">
              <w:rPr>
                <w:rStyle w:val="Strong"/>
              </w:rPr>
              <w:t>328,443,432</w:t>
            </w:r>
          </w:p>
        </w:tc>
        <w:tc>
          <w:tcPr>
            <w:tcW w:w="885" w:type="pct"/>
            <w:tcBorders>
              <w:top w:val="single" w:sz="4" w:space="0" w:color="auto"/>
              <w:bottom w:val="single" w:sz="4" w:space="0" w:color="auto"/>
            </w:tcBorders>
            <w:noWrap/>
            <w:tcMar>
              <w:left w:w="108" w:type="dxa"/>
              <w:right w:w="108" w:type="dxa"/>
            </w:tcMar>
          </w:tcPr>
          <w:p w14:paraId="59F6ED34" w14:textId="779C8567" w:rsidR="003F0B72" w:rsidRPr="005F70B0" w:rsidRDefault="005F70B0" w:rsidP="00733737">
            <w:pPr>
              <w:pStyle w:val="TableText"/>
              <w:jc w:val="right"/>
              <w:rPr>
                <w:rStyle w:val="Strong"/>
                <w:highlight w:val="yellow"/>
              </w:rPr>
            </w:pPr>
            <w:r w:rsidRPr="005F70B0">
              <w:rPr>
                <w:rStyle w:val="Strong"/>
              </w:rPr>
              <w:t>157,394,381</w:t>
            </w:r>
          </w:p>
        </w:tc>
        <w:tc>
          <w:tcPr>
            <w:tcW w:w="885" w:type="pct"/>
            <w:tcBorders>
              <w:top w:val="single" w:sz="4" w:space="0" w:color="auto"/>
              <w:bottom w:val="single" w:sz="4" w:space="0" w:color="auto"/>
            </w:tcBorders>
            <w:noWrap/>
            <w:tcMar>
              <w:left w:w="108" w:type="dxa"/>
              <w:right w:w="108" w:type="dxa"/>
            </w:tcMar>
          </w:tcPr>
          <w:p w14:paraId="70F6C73E" w14:textId="01E9C500" w:rsidR="003F0B72" w:rsidRPr="00524638" w:rsidRDefault="005F70B0" w:rsidP="00733737">
            <w:pPr>
              <w:pStyle w:val="TableText"/>
              <w:jc w:val="right"/>
              <w:rPr>
                <w:rStyle w:val="Strong"/>
                <w:highlight w:val="yellow"/>
              </w:rPr>
            </w:pPr>
            <w:r>
              <w:rPr>
                <w:rStyle w:val="Strong"/>
              </w:rPr>
              <w:t>485,837,813</w:t>
            </w:r>
          </w:p>
        </w:tc>
      </w:tr>
      <w:tr w:rsidR="003F0B72" w:rsidRPr="009F1EFF" w14:paraId="5A26AAA4" w14:textId="77777777" w:rsidTr="009B2AC9">
        <w:tc>
          <w:tcPr>
            <w:tcW w:w="2345" w:type="pct"/>
            <w:tcBorders>
              <w:top w:val="single" w:sz="4" w:space="0" w:color="auto"/>
              <w:bottom w:val="single" w:sz="4" w:space="0" w:color="auto"/>
            </w:tcBorders>
            <w:noWrap/>
            <w:tcMar>
              <w:left w:w="108" w:type="dxa"/>
              <w:right w:w="108" w:type="dxa"/>
            </w:tcMar>
          </w:tcPr>
          <w:p w14:paraId="1C161BE4" w14:textId="77777777" w:rsidR="003F0B72" w:rsidRDefault="003F0B72" w:rsidP="00733737">
            <w:pPr>
              <w:pStyle w:val="TableText"/>
              <w:rPr>
                <w:lang w:eastAsia="ja-JP"/>
              </w:rPr>
            </w:pPr>
            <w:r w:rsidRPr="00257ED0">
              <w:rPr>
                <w:bCs/>
                <w:lang w:eastAsia="ja-JP"/>
              </w:rPr>
              <w:t xml:space="preserve">Less </w:t>
            </w:r>
            <w:r>
              <w:rPr>
                <w:bCs/>
                <w:lang w:eastAsia="ja-JP"/>
              </w:rPr>
              <w:t>g</w:t>
            </w:r>
            <w:r w:rsidRPr="00257ED0">
              <w:rPr>
                <w:bCs/>
                <w:lang w:eastAsia="ja-JP"/>
              </w:rPr>
              <w:t xml:space="preserve">overnment </w:t>
            </w:r>
            <w:r>
              <w:rPr>
                <w:bCs/>
                <w:lang w:eastAsia="ja-JP"/>
              </w:rPr>
              <w:t>a</w:t>
            </w:r>
            <w:r w:rsidRPr="00257ED0">
              <w:rPr>
                <w:bCs/>
                <w:lang w:eastAsia="ja-JP"/>
              </w:rPr>
              <w:t xml:space="preserve">ppropriation for </w:t>
            </w:r>
            <w:r>
              <w:rPr>
                <w:bCs/>
                <w:lang w:eastAsia="ja-JP"/>
              </w:rPr>
              <w:t>a</w:t>
            </w:r>
            <w:r w:rsidRPr="00257ED0">
              <w:rPr>
                <w:bCs/>
                <w:lang w:eastAsia="ja-JP"/>
              </w:rPr>
              <w:t>nti-</w:t>
            </w:r>
            <w:r>
              <w:rPr>
                <w:bCs/>
                <w:lang w:eastAsia="ja-JP"/>
              </w:rPr>
              <w:t>s</w:t>
            </w:r>
            <w:r w:rsidRPr="00257ED0">
              <w:rPr>
                <w:bCs/>
                <w:lang w:eastAsia="ja-JP"/>
              </w:rPr>
              <w:t xml:space="preserve">muggling </w:t>
            </w:r>
            <w:r>
              <w:rPr>
                <w:bCs/>
                <w:lang w:eastAsia="ja-JP"/>
              </w:rPr>
              <w:t>m</w:t>
            </w:r>
            <w:r w:rsidRPr="00257ED0">
              <w:rPr>
                <w:bCs/>
                <w:lang w:eastAsia="ja-JP"/>
              </w:rPr>
              <w:t>easures</w:t>
            </w:r>
          </w:p>
        </w:tc>
        <w:tc>
          <w:tcPr>
            <w:tcW w:w="885" w:type="pct"/>
            <w:tcBorders>
              <w:top w:val="single" w:sz="4" w:space="0" w:color="auto"/>
              <w:bottom w:val="single" w:sz="4" w:space="0" w:color="auto"/>
            </w:tcBorders>
            <w:noWrap/>
            <w:tcMar>
              <w:left w:w="108" w:type="dxa"/>
              <w:right w:w="108" w:type="dxa"/>
            </w:tcMar>
          </w:tcPr>
          <w:p w14:paraId="1738B1E1" w14:textId="77777777" w:rsidR="003F0B72" w:rsidRPr="004375CA" w:rsidRDefault="003F0B72" w:rsidP="000E6E1B">
            <w:pPr>
              <w:pStyle w:val="TableText"/>
              <w:jc w:val="right"/>
              <w:rPr>
                <w:strike/>
                <w:highlight w:val="yellow"/>
                <w:lang w:eastAsia="ja-JP"/>
              </w:rPr>
            </w:pPr>
            <w:r>
              <w:t>–</w:t>
            </w:r>
          </w:p>
        </w:tc>
        <w:tc>
          <w:tcPr>
            <w:tcW w:w="885" w:type="pct"/>
            <w:tcBorders>
              <w:top w:val="single" w:sz="4" w:space="0" w:color="auto"/>
              <w:bottom w:val="single" w:sz="4" w:space="0" w:color="auto"/>
            </w:tcBorders>
            <w:noWrap/>
            <w:tcMar>
              <w:left w:w="108" w:type="dxa"/>
              <w:right w:w="108" w:type="dxa"/>
            </w:tcMar>
          </w:tcPr>
          <w:p w14:paraId="750CB31E" w14:textId="77777777" w:rsidR="003F0B72" w:rsidRPr="00542B73" w:rsidRDefault="003F0B72" w:rsidP="000E6E1B">
            <w:pPr>
              <w:pStyle w:val="TableText"/>
              <w:jc w:val="right"/>
              <w:rPr>
                <w:highlight w:val="yellow"/>
              </w:rPr>
            </w:pPr>
            <w:r w:rsidRPr="00542B73">
              <w:t>–</w:t>
            </w:r>
          </w:p>
        </w:tc>
        <w:tc>
          <w:tcPr>
            <w:tcW w:w="885" w:type="pct"/>
            <w:tcBorders>
              <w:top w:val="single" w:sz="4" w:space="0" w:color="auto"/>
              <w:bottom w:val="single" w:sz="4" w:space="0" w:color="auto"/>
            </w:tcBorders>
            <w:noWrap/>
            <w:tcMar>
              <w:left w:w="108" w:type="dxa"/>
              <w:right w:w="108" w:type="dxa"/>
            </w:tcMar>
          </w:tcPr>
          <w:p w14:paraId="03407073" w14:textId="77777777" w:rsidR="003F0B72" w:rsidRPr="004375CA" w:rsidRDefault="003F0B72" w:rsidP="00733737">
            <w:pPr>
              <w:pStyle w:val="TableText"/>
              <w:jc w:val="right"/>
              <w:rPr>
                <w:strike/>
                <w:highlight w:val="yellow"/>
                <w:lang w:eastAsia="ja-JP"/>
              </w:rPr>
            </w:pPr>
            <w:r>
              <w:t>(</w:t>
            </w:r>
            <w:r w:rsidRPr="006C2F56">
              <w:t>1,618,084</w:t>
            </w:r>
            <w:r>
              <w:t>)</w:t>
            </w:r>
          </w:p>
        </w:tc>
      </w:tr>
      <w:tr w:rsidR="003F0B72" w:rsidRPr="009F1EFF" w14:paraId="607B0835" w14:textId="77777777" w:rsidTr="009B2AC9">
        <w:tc>
          <w:tcPr>
            <w:tcW w:w="2345" w:type="pct"/>
            <w:tcBorders>
              <w:top w:val="single" w:sz="4" w:space="0" w:color="auto"/>
              <w:bottom w:val="single" w:sz="4" w:space="0" w:color="auto"/>
            </w:tcBorders>
            <w:noWrap/>
            <w:tcMar>
              <w:left w:w="108" w:type="dxa"/>
              <w:right w:w="108" w:type="dxa"/>
            </w:tcMar>
          </w:tcPr>
          <w:p w14:paraId="186D3EA2" w14:textId="77777777" w:rsidR="003F0B72" w:rsidRPr="00257ED0" w:rsidRDefault="003F0B72" w:rsidP="00733737">
            <w:pPr>
              <w:pStyle w:val="TableText"/>
              <w:rPr>
                <w:b/>
                <w:bCs/>
                <w:lang w:eastAsia="ja-JP"/>
              </w:rPr>
            </w:pPr>
            <w:r w:rsidRPr="00257ED0">
              <w:rPr>
                <w:bCs/>
                <w:lang w:eastAsia="ja-JP"/>
              </w:rPr>
              <w:t>Less diagnostic consumables recovered at cost</w:t>
            </w:r>
          </w:p>
        </w:tc>
        <w:tc>
          <w:tcPr>
            <w:tcW w:w="885" w:type="pct"/>
            <w:tcBorders>
              <w:top w:val="single" w:sz="4" w:space="0" w:color="auto"/>
              <w:bottom w:val="single" w:sz="4" w:space="0" w:color="auto"/>
            </w:tcBorders>
            <w:noWrap/>
            <w:tcMar>
              <w:left w:w="108" w:type="dxa"/>
              <w:right w:w="108" w:type="dxa"/>
            </w:tcMar>
          </w:tcPr>
          <w:p w14:paraId="32088A4B" w14:textId="77777777" w:rsidR="003F0B72" w:rsidRPr="00542B73" w:rsidRDefault="003F0B72" w:rsidP="000E6E1B">
            <w:pPr>
              <w:pStyle w:val="TableText"/>
              <w:jc w:val="right"/>
              <w:rPr>
                <w:highlight w:val="yellow"/>
              </w:rPr>
            </w:pPr>
            <w:r w:rsidRPr="00542B73">
              <w:t>–</w:t>
            </w:r>
          </w:p>
        </w:tc>
        <w:tc>
          <w:tcPr>
            <w:tcW w:w="885" w:type="pct"/>
            <w:tcBorders>
              <w:top w:val="single" w:sz="4" w:space="0" w:color="auto"/>
              <w:bottom w:val="single" w:sz="4" w:space="0" w:color="auto"/>
            </w:tcBorders>
            <w:noWrap/>
            <w:tcMar>
              <w:left w:w="108" w:type="dxa"/>
              <w:right w:w="108" w:type="dxa"/>
            </w:tcMar>
          </w:tcPr>
          <w:p w14:paraId="0CAE36FE" w14:textId="77777777" w:rsidR="003F0B72" w:rsidRPr="00542B73" w:rsidRDefault="003F0B72" w:rsidP="000E6E1B">
            <w:pPr>
              <w:pStyle w:val="TableText"/>
              <w:jc w:val="right"/>
              <w:rPr>
                <w:highlight w:val="yellow"/>
              </w:rPr>
            </w:pPr>
            <w:r w:rsidRPr="00542B73">
              <w:t>–</w:t>
            </w:r>
          </w:p>
        </w:tc>
        <w:tc>
          <w:tcPr>
            <w:tcW w:w="885" w:type="pct"/>
            <w:tcBorders>
              <w:top w:val="single" w:sz="4" w:space="0" w:color="auto"/>
              <w:bottom w:val="single" w:sz="4" w:space="0" w:color="auto"/>
            </w:tcBorders>
            <w:noWrap/>
            <w:tcMar>
              <w:left w:w="108" w:type="dxa"/>
              <w:right w:w="108" w:type="dxa"/>
            </w:tcMar>
          </w:tcPr>
          <w:p w14:paraId="1280564A" w14:textId="4FCF0931" w:rsidR="003F0B72" w:rsidRPr="004375CA" w:rsidRDefault="003F0B72" w:rsidP="00733737">
            <w:pPr>
              <w:pStyle w:val="TableText"/>
              <w:jc w:val="right"/>
              <w:rPr>
                <w:b/>
                <w:bCs/>
                <w:strike/>
                <w:highlight w:val="yellow"/>
                <w:lang w:eastAsia="ja-JP"/>
              </w:rPr>
            </w:pPr>
            <w:r>
              <w:t>(</w:t>
            </w:r>
            <w:r w:rsidR="005F70B0">
              <w:t>114,952</w:t>
            </w:r>
            <w:r>
              <w:t>)</w:t>
            </w:r>
          </w:p>
        </w:tc>
      </w:tr>
      <w:tr w:rsidR="003F0B72" w:rsidRPr="009F1EFF" w14:paraId="71682640" w14:textId="77777777" w:rsidTr="009B2AC9">
        <w:tc>
          <w:tcPr>
            <w:tcW w:w="2345" w:type="pct"/>
            <w:tcBorders>
              <w:top w:val="single" w:sz="4" w:space="0" w:color="auto"/>
              <w:bottom w:val="single" w:sz="4" w:space="0" w:color="auto"/>
            </w:tcBorders>
            <w:noWrap/>
            <w:tcMar>
              <w:left w:w="108" w:type="dxa"/>
              <w:right w:w="108" w:type="dxa"/>
            </w:tcMar>
          </w:tcPr>
          <w:p w14:paraId="6AF6C35A" w14:textId="77777777" w:rsidR="003F0B72" w:rsidRPr="00257ED0" w:rsidRDefault="003F0B72" w:rsidP="00733737">
            <w:pPr>
              <w:pStyle w:val="TableText"/>
              <w:rPr>
                <w:b/>
                <w:bCs/>
                <w:lang w:eastAsia="ja-JP"/>
              </w:rPr>
            </w:pPr>
            <w:r>
              <w:rPr>
                <w:bCs/>
                <w:lang w:eastAsia="ja-JP"/>
              </w:rPr>
              <w:t>Less costs paid on behalf of and recovered from companion animal importers</w:t>
            </w:r>
          </w:p>
        </w:tc>
        <w:tc>
          <w:tcPr>
            <w:tcW w:w="885" w:type="pct"/>
            <w:tcBorders>
              <w:top w:val="single" w:sz="4" w:space="0" w:color="auto"/>
              <w:bottom w:val="single" w:sz="4" w:space="0" w:color="auto"/>
            </w:tcBorders>
            <w:noWrap/>
            <w:tcMar>
              <w:left w:w="108" w:type="dxa"/>
              <w:right w:w="108" w:type="dxa"/>
            </w:tcMar>
          </w:tcPr>
          <w:p w14:paraId="17B13554" w14:textId="77777777" w:rsidR="003F0B72" w:rsidRPr="004375CA" w:rsidRDefault="003F0B72" w:rsidP="000E6E1B">
            <w:pPr>
              <w:pStyle w:val="TableText"/>
              <w:jc w:val="right"/>
              <w:rPr>
                <w:strike/>
                <w:highlight w:val="yellow"/>
                <w:lang w:eastAsia="ja-JP"/>
              </w:rPr>
            </w:pPr>
            <w:r>
              <w:t>–</w:t>
            </w:r>
          </w:p>
        </w:tc>
        <w:tc>
          <w:tcPr>
            <w:tcW w:w="885" w:type="pct"/>
            <w:tcBorders>
              <w:top w:val="single" w:sz="4" w:space="0" w:color="auto"/>
              <w:bottom w:val="single" w:sz="4" w:space="0" w:color="auto"/>
            </w:tcBorders>
            <w:noWrap/>
            <w:tcMar>
              <w:left w:w="108" w:type="dxa"/>
              <w:right w:w="108" w:type="dxa"/>
            </w:tcMar>
          </w:tcPr>
          <w:p w14:paraId="0457A512" w14:textId="77777777" w:rsidR="003F0B72" w:rsidRPr="004375CA" w:rsidRDefault="003F0B72" w:rsidP="000E6E1B">
            <w:pPr>
              <w:pStyle w:val="TableText"/>
              <w:jc w:val="right"/>
              <w:rPr>
                <w:strike/>
                <w:highlight w:val="yellow"/>
                <w:lang w:eastAsia="ja-JP"/>
              </w:rPr>
            </w:pPr>
            <w:r>
              <w:t>–</w:t>
            </w:r>
          </w:p>
        </w:tc>
        <w:tc>
          <w:tcPr>
            <w:tcW w:w="885" w:type="pct"/>
            <w:tcBorders>
              <w:top w:val="single" w:sz="4" w:space="0" w:color="auto"/>
              <w:bottom w:val="single" w:sz="4" w:space="0" w:color="auto"/>
            </w:tcBorders>
            <w:noWrap/>
            <w:tcMar>
              <w:left w:w="108" w:type="dxa"/>
              <w:right w:w="108" w:type="dxa"/>
            </w:tcMar>
          </w:tcPr>
          <w:p w14:paraId="316456F1" w14:textId="483BF07F" w:rsidR="003F0B72" w:rsidRPr="004375CA" w:rsidRDefault="003F0B72" w:rsidP="00733737">
            <w:pPr>
              <w:pStyle w:val="TableText"/>
              <w:jc w:val="right"/>
              <w:rPr>
                <w:b/>
                <w:bCs/>
                <w:strike/>
                <w:highlight w:val="yellow"/>
                <w:lang w:eastAsia="ja-JP"/>
              </w:rPr>
            </w:pPr>
            <w:r>
              <w:t>(</w:t>
            </w:r>
            <w:r w:rsidR="005F70B0">
              <w:t>1,000,000</w:t>
            </w:r>
            <w:r>
              <w:t>)</w:t>
            </w:r>
          </w:p>
        </w:tc>
      </w:tr>
      <w:tr w:rsidR="003F0B72" w:rsidRPr="00511E60" w14:paraId="6F52077B" w14:textId="77777777" w:rsidTr="009B2AC9">
        <w:tc>
          <w:tcPr>
            <w:tcW w:w="2345" w:type="pct"/>
            <w:tcBorders>
              <w:top w:val="single" w:sz="4" w:space="0" w:color="auto"/>
              <w:bottom w:val="single" w:sz="4" w:space="0" w:color="auto"/>
            </w:tcBorders>
            <w:noWrap/>
            <w:tcMar>
              <w:left w:w="108" w:type="dxa"/>
              <w:right w:w="108" w:type="dxa"/>
            </w:tcMar>
          </w:tcPr>
          <w:p w14:paraId="43906920" w14:textId="77777777" w:rsidR="003F0B72" w:rsidRPr="00B84A73" w:rsidRDefault="003F0B72" w:rsidP="00733737">
            <w:pPr>
              <w:pStyle w:val="TableText"/>
              <w:rPr>
                <w:rStyle w:val="Strong"/>
              </w:rPr>
            </w:pPr>
            <w:r w:rsidRPr="00B84A73">
              <w:rPr>
                <w:rStyle w:val="Strong"/>
              </w:rPr>
              <w:t>Net costs to be recovered</w:t>
            </w:r>
          </w:p>
        </w:tc>
        <w:tc>
          <w:tcPr>
            <w:tcW w:w="885" w:type="pct"/>
            <w:tcBorders>
              <w:top w:val="single" w:sz="4" w:space="0" w:color="auto"/>
              <w:bottom w:val="single" w:sz="4" w:space="0" w:color="auto"/>
            </w:tcBorders>
            <w:noWrap/>
            <w:tcMar>
              <w:left w:w="108" w:type="dxa"/>
              <w:right w:w="108" w:type="dxa"/>
            </w:tcMar>
          </w:tcPr>
          <w:p w14:paraId="161DBE7A" w14:textId="77777777" w:rsidR="003F0B72" w:rsidRPr="004375CA" w:rsidRDefault="003F0B72" w:rsidP="000E6E1B">
            <w:pPr>
              <w:pStyle w:val="TableText"/>
              <w:jc w:val="right"/>
              <w:rPr>
                <w:rStyle w:val="Strong"/>
                <w:strike/>
                <w:highlight w:val="yellow"/>
              </w:rPr>
            </w:pPr>
            <w:r>
              <w:t>–</w:t>
            </w:r>
          </w:p>
        </w:tc>
        <w:tc>
          <w:tcPr>
            <w:tcW w:w="885" w:type="pct"/>
            <w:tcBorders>
              <w:top w:val="single" w:sz="4" w:space="0" w:color="auto"/>
              <w:bottom w:val="single" w:sz="4" w:space="0" w:color="auto"/>
            </w:tcBorders>
            <w:noWrap/>
            <w:tcMar>
              <w:left w:w="108" w:type="dxa"/>
              <w:right w:w="108" w:type="dxa"/>
            </w:tcMar>
          </w:tcPr>
          <w:p w14:paraId="0E211D99" w14:textId="77777777" w:rsidR="003F0B72" w:rsidRPr="004375CA" w:rsidRDefault="003F0B72" w:rsidP="000E6E1B">
            <w:pPr>
              <w:pStyle w:val="TableText"/>
              <w:jc w:val="right"/>
              <w:rPr>
                <w:rStyle w:val="Strong"/>
                <w:strike/>
                <w:highlight w:val="yellow"/>
              </w:rPr>
            </w:pPr>
            <w:r>
              <w:t>–</w:t>
            </w:r>
          </w:p>
        </w:tc>
        <w:tc>
          <w:tcPr>
            <w:tcW w:w="885" w:type="pct"/>
            <w:tcBorders>
              <w:top w:val="single" w:sz="4" w:space="0" w:color="auto"/>
              <w:bottom w:val="single" w:sz="4" w:space="0" w:color="auto"/>
            </w:tcBorders>
            <w:noWrap/>
            <w:tcMar>
              <w:left w:w="108" w:type="dxa"/>
              <w:right w:w="108" w:type="dxa"/>
            </w:tcMar>
          </w:tcPr>
          <w:p w14:paraId="277930CE" w14:textId="55B9D32E" w:rsidR="003F0B72" w:rsidRPr="00511E60" w:rsidRDefault="00E765B8" w:rsidP="00733737">
            <w:pPr>
              <w:pStyle w:val="TableText"/>
              <w:jc w:val="right"/>
              <w:rPr>
                <w:rStyle w:val="Strong"/>
                <w:highlight w:val="yellow"/>
              </w:rPr>
            </w:pPr>
            <w:r w:rsidRPr="00E765B8">
              <w:rPr>
                <w:rStyle w:val="Strong"/>
              </w:rPr>
              <w:t>483,104,777</w:t>
            </w:r>
          </w:p>
        </w:tc>
      </w:tr>
    </w:tbl>
    <w:p w14:paraId="5ACE7E1A" w14:textId="0F0C4BC3" w:rsidR="003F0B72" w:rsidRDefault="003F0B72" w:rsidP="00C10B18">
      <w:pPr>
        <w:pStyle w:val="Heading3"/>
        <w:spacing w:before="360"/>
        <w:rPr>
          <w:lang w:eastAsia="ja-JP"/>
        </w:rPr>
      </w:pPr>
      <w:bookmarkStart w:id="98" w:name="_Toc233378691"/>
      <w:r>
        <w:rPr>
          <w:lang w:eastAsia="ja-JP"/>
        </w:rPr>
        <w:t>Cost drivers</w:t>
      </w:r>
      <w:bookmarkEnd w:id="98"/>
    </w:p>
    <w:p w14:paraId="10424A1B" w14:textId="4E15BC10" w:rsidR="003F0B72" w:rsidRPr="004F5EC6" w:rsidRDefault="002466F4" w:rsidP="003F0B72">
      <w:pPr>
        <w:rPr>
          <w:rFonts w:cstheme="minorHAnsi"/>
          <w:lang w:eastAsia="ja-JP"/>
        </w:rPr>
      </w:pPr>
      <w:r>
        <w:rPr>
          <w:rFonts w:cstheme="minorHAnsi"/>
          <w:lang w:eastAsia="ja-JP"/>
        </w:rPr>
        <w:t>We</w:t>
      </w:r>
      <w:r w:rsidR="00886EB4" w:rsidRPr="004F5EC6">
        <w:rPr>
          <w:rFonts w:cstheme="minorHAnsi"/>
          <w:lang w:eastAsia="ja-JP"/>
        </w:rPr>
        <w:t xml:space="preserve"> use a</w:t>
      </w:r>
      <w:r w:rsidR="003F0B72" w:rsidRPr="004F5EC6">
        <w:rPr>
          <w:rFonts w:cstheme="minorHAnsi"/>
          <w:lang w:eastAsia="ja-JP"/>
        </w:rPr>
        <w:t xml:space="preserve">n activity-based costing (ABC) system to determine the cost of regulatory activities. Our ABC allocation methodology reflects effort incurred in delivering activities to </w:t>
      </w:r>
      <w:r w:rsidR="0068698F" w:rsidRPr="004F5EC6">
        <w:rPr>
          <w:rFonts w:cstheme="minorHAnsi"/>
          <w:lang w:eastAsia="ja-JP"/>
        </w:rPr>
        <w:t>regulat</w:t>
      </w:r>
      <w:r w:rsidR="0068698F">
        <w:rPr>
          <w:rFonts w:cstheme="minorHAnsi"/>
          <w:lang w:eastAsia="ja-JP"/>
        </w:rPr>
        <w:t xml:space="preserve">ed </w:t>
      </w:r>
      <w:r w:rsidR="003F0B72" w:rsidRPr="004F5EC6">
        <w:rPr>
          <w:rFonts w:cstheme="minorHAnsi"/>
          <w:lang w:eastAsia="ja-JP"/>
        </w:rPr>
        <w:t>entit</w:t>
      </w:r>
      <w:r w:rsidR="0068698F">
        <w:rPr>
          <w:rFonts w:cstheme="minorHAnsi"/>
          <w:lang w:eastAsia="ja-JP"/>
        </w:rPr>
        <w:t>ies</w:t>
      </w:r>
      <w:r w:rsidR="003F0B72" w:rsidRPr="004F5EC6">
        <w:rPr>
          <w:rFonts w:cstheme="minorHAnsi"/>
          <w:lang w:eastAsia="ja-JP"/>
        </w:rPr>
        <w:t>. This provides an accountable and transparent allocation of costs that is also efficient and effective</w:t>
      </w:r>
      <w:r w:rsidR="00C90D8F" w:rsidRPr="004F5EC6">
        <w:rPr>
          <w:rFonts w:cstheme="minorHAnsi"/>
          <w:lang w:eastAsia="ja-JP"/>
        </w:rPr>
        <w:t xml:space="preserve"> </w:t>
      </w:r>
      <w:r w:rsidR="003F0B72" w:rsidRPr="004F5EC6">
        <w:rPr>
          <w:rFonts w:cstheme="minorHAnsi"/>
          <w:lang w:eastAsia="ja-JP"/>
        </w:rPr>
        <w:t>to administer.</w:t>
      </w:r>
    </w:p>
    <w:p w14:paraId="5A21990A" w14:textId="15199D80" w:rsidR="003F0B72" w:rsidRPr="004F5EC6" w:rsidRDefault="00F453BF" w:rsidP="003F0B72">
      <w:pPr>
        <w:rPr>
          <w:rFonts w:cstheme="minorHAnsi"/>
          <w:lang w:eastAsia="ja-JP"/>
        </w:rPr>
      </w:pPr>
      <w:r>
        <w:rPr>
          <w:rFonts w:cstheme="minorHAnsi"/>
          <w:lang w:eastAsia="ja-JP"/>
        </w:rPr>
        <w:t>T</w:t>
      </w:r>
      <w:r w:rsidR="003F0B72" w:rsidRPr="004F5EC6">
        <w:rPr>
          <w:rFonts w:cstheme="minorHAnsi"/>
          <w:lang w:eastAsia="ja-JP"/>
        </w:rPr>
        <w:t>he term ‘</w:t>
      </w:r>
      <w:r w:rsidR="00C90D8F" w:rsidRPr="004F5EC6">
        <w:rPr>
          <w:rFonts w:cstheme="minorHAnsi"/>
          <w:lang w:eastAsia="ja-JP"/>
        </w:rPr>
        <w:t>program’</w:t>
      </w:r>
      <w:r w:rsidR="003F0B72" w:rsidRPr="004F5EC6">
        <w:rPr>
          <w:rFonts w:cstheme="minorHAnsi"/>
          <w:lang w:eastAsia="ja-JP"/>
        </w:rPr>
        <w:t xml:space="preserve"> </w:t>
      </w:r>
      <w:r w:rsidR="007F0E93">
        <w:rPr>
          <w:rFonts w:cstheme="minorHAnsi"/>
          <w:lang w:eastAsia="ja-JP"/>
        </w:rPr>
        <w:t>is used</w:t>
      </w:r>
      <w:r>
        <w:rPr>
          <w:rFonts w:cstheme="minorHAnsi"/>
          <w:lang w:eastAsia="ja-JP"/>
        </w:rPr>
        <w:t xml:space="preserve"> to </w:t>
      </w:r>
      <w:r w:rsidR="003F0B72" w:rsidRPr="004F5EC6">
        <w:rPr>
          <w:rFonts w:cstheme="minorHAnsi"/>
          <w:lang w:eastAsia="ja-JP"/>
        </w:rPr>
        <w:t>refer to the related activities provided to a</w:t>
      </w:r>
      <w:r w:rsidR="00886EB4" w:rsidRPr="004F5EC6">
        <w:rPr>
          <w:rFonts w:cstheme="minorHAnsi"/>
          <w:lang w:eastAsia="ja-JP"/>
        </w:rPr>
        <w:t xml:space="preserve"> regulated</w:t>
      </w:r>
      <w:r w:rsidR="003F0B72" w:rsidRPr="004F5EC6">
        <w:rPr>
          <w:rFonts w:cstheme="minorHAnsi"/>
          <w:lang w:eastAsia="ja-JP"/>
        </w:rPr>
        <w:t xml:space="preserve"> industry grouping. </w:t>
      </w:r>
      <w:r w:rsidR="00FA3D7E">
        <w:rPr>
          <w:rFonts w:cstheme="minorHAnsi"/>
          <w:lang w:eastAsia="ja-JP"/>
        </w:rPr>
        <w:t xml:space="preserve">There </w:t>
      </w:r>
      <w:r w:rsidR="00FA3D7E" w:rsidRPr="004D70D4">
        <w:rPr>
          <w:rFonts w:cstheme="minorHAnsi"/>
          <w:lang w:eastAsia="ja-JP"/>
        </w:rPr>
        <w:t xml:space="preserve">are </w:t>
      </w:r>
      <w:r w:rsidR="00E765B8">
        <w:rPr>
          <w:rFonts w:cstheme="minorHAnsi"/>
          <w:lang w:eastAsia="ja-JP"/>
        </w:rPr>
        <w:t>4</w:t>
      </w:r>
      <w:r w:rsidR="00E765B8" w:rsidRPr="004D70D4">
        <w:rPr>
          <w:rFonts w:cstheme="minorHAnsi"/>
          <w:lang w:eastAsia="ja-JP"/>
        </w:rPr>
        <w:t xml:space="preserve"> </w:t>
      </w:r>
      <w:r w:rsidR="00C90D8F" w:rsidRPr="004D70D4">
        <w:rPr>
          <w:rFonts w:cstheme="minorHAnsi"/>
          <w:lang w:eastAsia="ja-JP"/>
        </w:rPr>
        <w:t>programs</w:t>
      </w:r>
      <w:r w:rsidR="003F0B72" w:rsidRPr="004D70D4">
        <w:rPr>
          <w:rFonts w:cstheme="minorHAnsi"/>
          <w:lang w:eastAsia="ja-JP"/>
        </w:rPr>
        <w:t xml:space="preserve"> under the </w:t>
      </w:r>
      <w:r w:rsidR="00FA3D7E" w:rsidRPr="004D70D4">
        <w:rPr>
          <w:rFonts w:cstheme="minorHAnsi"/>
          <w:lang w:eastAsia="ja-JP"/>
        </w:rPr>
        <w:t>arrangement</w:t>
      </w:r>
      <w:r w:rsidR="003F0B72" w:rsidRPr="004D70D4">
        <w:rPr>
          <w:rFonts w:cstheme="minorHAnsi"/>
          <w:lang w:eastAsia="ja-JP"/>
        </w:rPr>
        <w:t xml:space="preserve"> and 3 sub-</w:t>
      </w:r>
      <w:r w:rsidR="00C90D8F" w:rsidRPr="00E6418B">
        <w:rPr>
          <w:rFonts w:cstheme="minorHAnsi"/>
          <w:lang w:eastAsia="ja-JP"/>
        </w:rPr>
        <w:t>programs</w:t>
      </w:r>
      <w:r w:rsidR="00E6418B">
        <w:rPr>
          <w:rFonts w:cstheme="minorHAnsi"/>
          <w:lang w:eastAsia="ja-JP"/>
        </w:rPr>
        <w:t xml:space="preserve"> </w:t>
      </w:r>
      <w:r w:rsidR="0087054E">
        <w:rPr>
          <w:rFonts w:cstheme="minorHAnsi"/>
          <w:lang w:eastAsia="ja-JP"/>
        </w:rPr>
        <w:t>under the PEQ program</w:t>
      </w:r>
      <w:r w:rsidR="003F0B72" w:rsidRPr="004F5EC6">
        <w:rPr>
          <w:rFonts w:cstheme="minorHAnsi"/>
          <w:lang w:eastAsia="ja-JP"/>
        </w:rPr>
        <w:t>:</w:t>
      </w:r>
    </w:p>
    <w:p w14:paraId="55F90D6B" w14:textId="408FBBA2" w:rsidR="003F0B72" w:rsidRPr="00FF2F78" w:rsidRDefault="003F0B72" w:rsidP="0012193F">
      <w:pPr>
        <w:pStyle w:val="ListNumber"/>
        <w:numPr>
          <w:ilvl w:val="0"/>
          <w:numId w:val="14"/>
        </w:numPr>
      </w:pPr>
      <w:r w:rsidRPr="00FF2F78">
        <w:t>Import clearance –</w:t>
      </w:r>
      <w:r w:rsidR="00150527" w:rsidRPr="00FF2F78">
        <w:t xml:space="preserve"> </w:t>
      </w:r>
      <w:r w:rsidRPr="00FF2F78">
        <w:t>cargo clearance</w:t>
      </w:r>
      <w:r w:rsidR="00EB4F6E" w:rsidRPr="00FF2F78">
        <w:t xml:space="preserve"> and management </w:t>
      </w:r>
      <w:r w:rsidRPr="00FF2F78">
        <w:t>activities</w:t>
      </w:r>
      <w:r w:rsidR="001F1FA9" w:rsidRPr="00FF2F78">
        <w:t xml:space="preserve"> for </w:t>
      </w:r>
      <w:r w:rsidR="007D2395" w:rsidRPr="00FF2F78">
        <w:t>importers</w:t>
      </w:r>
    </w:p>
    <w:p w14:paraId="4E849437" w14:textId="639274CE" w:rsidR="003F0B72" w:rsidRDefault="003F0B72" w:rsidP="001D3FAB">
      <w:pPr>
        <w:pStyle w:val="ListNumber"/>
      </w:pPr>
      <w:r w:rsidRPr="00FF2F78">
        <w:t xml:space="preserve">Seaports – </w:t>
      </w:r>
      <w:r w:rsidR="001F1FA9" w:rsidRPr="00FF2F78">
        <w:t xml:space="preserve">clearance activities </w:t>
      </w:r>
      <w:r w:rsidRPr="00FF2F78">
        <w:t xml:space="preserve">for </w:t>
      </w:r>
      <w:r w:rsidR="009D23C4" w:rsidRPr="00FF2F78">
        <w:t xml:space="preserve">vessel </w:t>
      </w:r>
      <w:r w:rsidR="001F1FA9" w:rsidRPr="00FF2F78">
        <w:t>operators</w:t>
      </w:r>
    </w:p>
    <w:p w14:paraId="5BE57DD9" w14:textId="6064A73B" w:rsidR="00E765B8" w:rsidRDefault="00E765B8" w:rsidP="001D3FAB">
      <w:pPr>
        <w:pStyle w:val="ListNumber"/>
      </w:pPr>
      <w:r>
        <w:t xml:space="preserve">Self-assessed clearance </w:t>
      </w:r>
      <w:r w:rsidR="006D25CF">
        <w:t>–</w:t>
      </w:r>
      <w:r>
        <w:t xml:space="preserve"> </w:t>
      </w:r>
      <w:r w:rsidRPr="00FF2F78">
        <w:t>management activities</w:t>
      </w:r>
      <w:r>
        <w:t xml:space="preserve"> for low</w:t>
      </w:r>
      <w:r w:rsidR="007604BB">
        <w:t>-</w:t>
      </w:r>
      <w:r>
        <w:t>value cargo</w:t>
      </w:r>
    </w:p>
    <w:p w14:paraId="4F36F3B9" w14:textId="482A4362" w:rsidR="003F0B72" w:rsidRPr="004D70D4" w:rsidRDefault="003F0B72" w:rsidP="001D3FAB">
      <w:pPr>
        <w:pStyle w:val="ListNumber"/>
      </w:pPr>
      <w:r w:rsidRPr="004D70D4">
        <w:t>PEQ users</w:t>
      </w:r>
      <w:r w:rsidR="00AD2CA4" w:rsidRPr="004D70D4">
        <w:t>, including</w:t>
      </w:r>
      <w:r w:rsidR="00BB5667">
        <w:t>:</w:t>
      </w:r>
    </w:p>
    <w:p w14:paraId="0A30CFB6" w14:textId="22CDE4B4" w:rsidR="003F0B72" w:rsidRPr="008B0333" w:rsidRDefault="00AD2CA4" w:rsidP="001D3FAB">
      <w:pPr>
        <w:pStyle w:val="ListNumber2"/>
      </w:pPr>
      <w:r>
        <w:t>h</w:t>
      </w:r>
      <w:r w:rsidR="003F0B72" w:rsidRPr="008B0333">
        <w:t>orse importers</w:t>
      </w:r>
    </w:p>
    <w:p w14:paraId="0D9D21E2" w14:textId="4FCB83B7" w:rsidR="003F0B72" w:rsidRPr="008B0333" w:rsidRDefault="00AD2CA4" w:rsidP="001D3FAB">
      <w:pPr>
        <w:pStyle w:val="ListNumber2"/>
      </w:pPr>
      <w:r>
        <w:t>i</w:t>
      </w:r>
      <w:r w:rsidR="003F0B72" w:rsidRPr="008B0333">
        <w:t>mporters of other animals</w:t>
      </w:r>
      <w:r w:rsidR="004F5EC6" w:rsidRPr="008B0333">
        <w:t xml:space="preserve"> – </w:t>
      </w:r>
      <w:r w:rsidR="003F0B72" w:rsidRPr="008B0333">
        <w:t>cats, dogs, bees, ruminants, live birds and hatching eggs</w:t>
      </w:r>
    </w:p>
    <w:p w14:paraId="60298762" w14:textId="4D88D168" w:rsidR="003F0B72" w:rsidRPr="008B0333" w:rsidRDefault="00AD2CA4" w:rsidP="001D3FAB">
      <w:pPr>
        <w:pStyle w:val="ListNumber2"/>
      </w:pPr>
      <w:r>
        <w:t>p</w:t>
      </w:r>
      <w:r w:rsidR="003F0B72" w:rsidRPr="008B0333">
        <w:t>lant importers.</w:t>
      </w:r>
    </w:p>
    <w:p w14:paraId="4F54C75E" w14:textId="15986E4F" w:rsidR="00886EB4" w:rsidRDefault="00886EB4" w:rsidP="00886EB4">
      <w:pPr>
        <w:pStyle w:val="Heading4"/>
        <w:rPr>
          <w:lang w:eastAsia="ja-JP"/>
        </w:rPr>
      </w:pPr>
      <w:bookmarkStart w:id="99" w:name="_Description_of_the"/>
      <w:bookmarkEnd w:id="99"/>
      <w:r>
        <w:rPr>
          <w:lang w:eastAsia="ja-JP"/>
        </w:rPr>
        <w:t>Description of the cost allocation process</w:t>
      </w:r>
    </w:p>
    <w:p w14:paraId="692AB257" w14:textId="37BB5956" w:rsidR="005F277E" w:rsidRPr="004F5EC6" w:rsidRDefault="005F277E" w:rsidP="005F277E">
      <w:pPr>
        <w:rPr>
          <w:rFonts w:cstheme="minorHAnsi"/>
          <w:lang w:eastAsia="ja-JP"/>
        </w:rPr>
      </w:pPr>
      <w:r w:rsidRPr="004F5EC6">
        <w:rPr>
          <w:rFonts w:cstheme="minorHAnsi"/>
          <w:lang w:eastAsia="ja-JP"/>
        </w:rPr>
        <w:t xml:space="preserve">The </w:t>
      </w:r>
      <w:r w:rsidRPr="004F5EC6">
        <w:rPr>
          <w:rFonts w:cstheme="minorHAnsi"/>
        </w:rPr>
        <w:t xml:space="preserve">cost allocation process apportions </w:t>
      </w:r>
      <w:r w:rsidR="00886EB4" w:rsidRPr="004F5EC6">
        <w:rPr>
          <w:rFonts w:cstheme="minorHAnsi"/>
        </w:rPr>
        <w:t xml:space="preserve">identified </w:t>
      </w:r>
      <w:r w:rsidRPr="004F5EC6">
        <w:rPr>
          <w:rFonts w:cstheme="minorHAnsi"/>
        </w:rPr>
        <w:t xml:space="preserve">indirect and direct costs to the processes and activities defined in </w:t>
      </w:r>
      <w:hyperlink w:anchor="_Appendix_B:_Cost-model" w:history="1">
        <w:r w:rsidRPr="004F5EC6">
          <w:rPr>
            <w:rStyle w:val="Hyperlink"/>
            <w:rFonts w:cstheme="minorHAnsi"/>
          </w:rPr>
          <w:t>Appendix B</w:t>
        </w:r>
      </w:hyperlink>
      <w:r w:rsidRPr="004F5EC6">
        <w:rPr>
          <w:rFonts w:cstheme="minorHAnsi"/>
        </w:rPr>
        <w:t xml:space="preserve">. </w:t>
      </w:r>
      <w:r w:rsidRPr="004F5EC6">
        <w:rPr>
          <w:rFonts w:cstheme="minorHAnsi"/>
          <w:lang w:eastAsia="ja-JP"/>
        </w:rPr>
        <w:t xml:space="preserve">Indirect costs are included in the cost base to reflect the staff, systems and supporting areas that assist with administration and benefit the </w:t>
      </w:r>
      <w:r w:rsidR="00CE5218">
        <w:rPr>
          <w:rFonts w:cstheme="minorHAnsi"/>
          <w:lang w:eastAsia="ja-JP"/>
        </w:rPr>
        <w:t xml:space="preserve">whole </w:t>
      </w:r>
      <w:r w:rsidRPr="004F5EC6">
        <w:rPr>
          <w:rFonts w:cstheme="minorHAnsi"/>
          <w:lang w:eastAsia="ja-JP"/>
        </w:rPr>
        <w:t>arrangement.</w:t>
      </w:r>
    </w:p>
    <w:p w14:paraId="2608B3CF" w14:textId="41042A16" w:rsidR="005F277E" w:rsidRPr="004F5EC6" w:rsidRDefault="005F277E" w:rsidP="007604BB">
      <w:pPr>
        <w:keepNext/>
        <w:rPr>
          <w:rFonts w:cstheme="minorHAnsi"/>
          <w:lang w:eastAsia="ja-JP"/>
        </w:rPr>
      </w:pPr>
      <w:r w:rsidRPr="004F5EC6">
        <w:rPr>
          <w:rFonts w:cstheme="minorHAnsi"/>
          <w:lang w:eastAsia="ja-JP"/>
        </w:rPr>
        <w:lastRenderedPageBreak/>
        <w:t xml:space="preserve">The ABC system allocates </w:t>
      </w:r>
      <w:r w:rsidRPr="00FD6B77">
        <w:rPr>
          <w:rFonts w:cstheme="minorHAnsi"/>
          <w:lang w:eastAsia="ja-JP"/>
        </w:rPr>
        <w:t>costs</w:t>
      </w:r>
      <w:r w:rsidRPr="004F5EC6">
        <w:rPr>
          <w:rFonts w:cstheme="minorHAnsi"/>
          <w:lang w:eastAsia="ja-JP"/>
        </w:rPr>
        <w:t xml:space="preserve"> in a </w:t>
      </w:r>
      <w:r w:rsidR="00D87B8D">
        <w:rPr>
          <w:rFonts w:cstheme="minorHAnsi"/>
          <w:lang w:eastAsia="ja-JP"/>
        </w:rPr>
        <w:t>3</w:t>
      </w:r>
      <w:r w:rsidR="00886EB4" w:rsidRPr="004F5EC6">
        <w:rPr>
          <w:rFonts w:cstheme="minorHAnsi"/>
          <w:lang w:eastAsia="ja-JP"/>
        </w:rPr>
        <w:t>-</w:t>
      </w:r>
      <w:r w:rsidRPr="004F5EC6">
        <w:rPr>
          <w:rFonts w:cstheme="minorHAnsi"/>
          <w:lang w:eastAsia="ja-JP"/>
        </w:rPr>
        <w:t>staged approach to</w:t>
      </w:r>
      <w:r w:rsidR="00886EB4" w:rsidRPr="004F5EC6">
        <w:rPr>
          <w:rFonts w:cstheme="minorHAnsi"/>
          <w:lang w:eastAsia="ja-JP"/>
        </w:rPr>
        <w:t xml:space="preserve"> programs</w:t>
      </w:r>
      <w:r w:rsidRPr="004F5EC6">
        <w:rPr>
          <w:rFonts w:cstheme="minorHAnsi"/>
          <w:lang w:eastAsia="ja-JP"/>
        </w:rPr>
        <w:t>. The steps are:</w:t>
      </w:r>
    </w:p>
    <w:p w14:paraId="7BB3477A" w14:textId="0497F029" w:rsidR="00180660" w:rsidRDefault="005F277E" w:rsidP="0012193F">
      <w:pPr>
        <w:pStyle w:val="ListNumber"/>
        <w:numPr>
          <w:ilvl w:val="0"/>
          <w:numId w:val="13"/>
        </w:numPr>
        <w:rPr>
          <w:lang w:eastAsia="ja-JP"/>
        </w:rPr>
      </w:pPr>
      <w:r w:rsidRPr="004F5EC6">
        <w:rPr>
          <w:lang w:eastAsia="ja-JP"/>
        </w:rPr>
        <w:t>Indirect costs are allocated to direct cost centres using a cost driver that estimates the relative use of each activity.</w:t>
      </w:r>
    </w:p>
    <w:p w14:paraId="36E6DDDF" w14:textId="3D90EBCF" w:rsidR="005F277E" w:rsidRPr="004F5EC6" w:rsidRDefault="005F277E" w:rsidP="0033709B">
      <w:pPr>
        <w:pStyle w:val="ListNumber2"/>
        <w:rPr>
          <w:lang w:eastAsia="ja-JP"/>
        </w:rPr>
      </w:pPr>
      <w:r w:rsidRPr="004F5EC6">
        <w:rPr>
          <w:lang w:eastAsia="ja-JP"/>
        </w:rPr>
        <w:t>Cost drivers are reviewed on an annual basis or as required. Changes to cost drivers are substantiated through effort or other data</w:t>
      </w:r>
      <w:r w:rsidR="00886EB4" w:rsidRPr="004F5EC6">
        <w:rPr>
          <w:lang w:eastAsia="ja-JP"/>
        </w:rPr>
        <w:t xml:space="preserve"> appropriate to the costs incurred</w:t>
      </w:r>
      <w:r w:rsidRPr="004F5EC6">
        <w:rPr>
          <w:lang w:eastAsia="ja-JP"/>
        </w:rPr>
        <w:t>.</w:t>
      </w:r>
    </w:p>
    <w:p w14:paraId="51DA8D67" w14:textId="224FB405" w:rsidR="005F277E" w:rsidRPr="0033709B" w:rsidRDefault="005F277E" w:rsidP="0033709B">
      <w:pPr>
        <w:pStyle w:val="ListNumber"/>
      </w:pPr>
      <w:r w:rsidRPr="0033709B">
        <w:t xml:space="preserve">Direct cost centre costs, which </w:t>
      </w:r>
      <w:r w:rsidR="00886EB4" w:rsidRPr="0033709B">
        <w:t xml:space="preserve">now </w:t>
      </w:r>
      <w:r w:rsidRPr="0033709B">
        <w:t>include the indirect costs allocated in step 1, are allocated to</w:t>
      </w:r>
      <w:r w:rsidR="00886EB4" w:rsidRPr="0033709B">
        <w:t xml:space="preserve"> a cost</w:t>
      </w:r>
      <w:r w:rsidR="00EB4AAF">
        <w:t>-</w:t>
      </w:r>
      <w:r w:rsidR="00886EB4" w:rsidRPr="0033709B">
        <w:t>recovered program and to the activity</w:t>
      </w:r>
      <w:r w:rsidRPr="0033709B">
        <w:t xml:space="preserve"> that best reflects the </w:t>
      </w:r>
      <w:r w:rsidR="00886EB4" w:rsidRPr="0033709B">
        <w:t>work</w:t>
      </w:r>
      <w:r w:rsidRPr="0033709B">
        <w:t xml:space="preserve"> undertaken.</w:t>
      </w:r>
    </w:p>
    <w:p w14:paraId="772763B1" w14:textId="17EB49CE" w:rsidR="005F277E" w:rsidRPr="0033709B" w:rsidRDefault="005F277E" w:rsidP="0033709B">
      <w:pPr>
        <w:pStyle w:val="ListNumber"/>
      </w:pPr>
      <w:r w:rsidRPr="0033709B">
        <w:t xml:space="preserve">The </w:t>
      </w:r>
      <w:r w:rsidR="00886EB4" w:rsidRPr="0033709B">
        <w:t xml:space="preserve">combination of </w:t>
      </w:r>
      <w:r w:rsidRPr="0033709B">
        <w:t>activity</w:t>
      </w:r>
      <w:r w:rsidR="006D25CF">
        <w:t xml:space="preserve"> and </w:t>
      </w:r>
      <w:r w:rsidR="00886EB4" w:rsidRPr="0033709B">
        <w:t>program</w:t>
      </w:r>
      <w:r w:rsidRPr="0033709B">
        <w:t xml:space="preserve"> costs from step 2 are allocated to charge points that identify the cost associated with that charge. The costs allocated to a charge point, when divided by the estimated volume of that activity, determine the price for that activity.</w:t>
      </w:r>
    </w:p>
    <w:p w14:paraId="04073EB7" w14:textId="54C57476" w:rsidR="005F277E" w:rsidRDefault="009D0C98" w:rsidP="000101D7">
      <w:pPr>
        <w:pStyle w:val="Heading3"/>
        <w:rPr>
          <w:lang w:eastAsia="ja-JP"/>
        </w:rPr>
      </w:pPr>
      <w:bookmarkStart w:id="100" w:name="_Toc233378692"/>
      <w:r>
        <w:rPr>
          <w:lang w:eastAsia="ja-JP"/>
        </w:rPr>
        <w:t>Output volume assumptions</w:t>
      </w:r>
      <w:bookmarkEnd w:id="100"/>
    </w:p>
    <w:p w14:paraId="1CCDC828" w14:textId="23E9F944" w:rsidR="000101D7" w:rsidRDefault="000101D7" w:rsidP="009D0C98">
      <w:pPr>
        <w:rPr>
          <w:lang w:eastAsia="ja-JP"/>
        </w:rPr>
      </w:pPr>
      <w:r>
        <w:rPr>
          <w:lang w:eastAsia="ja-JP"/>
        </w:rPr>
        <w:t xml:space="preserve">Our forecast volumes for each output, represented </w:t>
      </w:r>
      <w:r w:rsidR="004E284A">
        <w:rPr>
          <w:lang w:eastAsia="ja-JP"/>
        </w:rPr>
        <w:t xml:space="preserve">through </w:t>
      </w:r>
      <w:r>
        <w:rPr>
          <w:lang w:eastAsia="ja-JP"/>
        </w:rPr>
        <w:t>charge points, are derived by:</w:t>
      </w:r>
    </w:p>
    <w:p w14:paraId="79F76181" w14:textId="36CDD7B0" w:rsidR="000101D7" w:rsidRPr="00AD555A" w:rsidRDefault="00224F3B" w:rsidP="00AD555A">
      <w:pPr>
        <w:pStyle w:val="ListBullet"/>
      </w:pPr>
      <w:r w:rsidRPr="00AD555A">
        <w:t>a</w:t>
      </w:r>
      <w:r w:rsidR="00F41F46" w:rsidRPr="00AD555A">
        <w:t xml:space="preserve">nalysing </w:t>
      </w:r>
      <w:r w:rsidR="000101D7" w:rsidRPr="00AD555A">
        <w:t>prior year volumes</w:t>
      </w:r>
    </w:p>
    <w:p w14:paraId="6C96FD0E" w14:textId="11D83F0D" w:rsidR="00886EB4" w:rsidRPr="00AD555A" w:rsidRDefault="00224F3B" w:rsidP="00AD555A">
      <w:pPr>
        <w:pStyle w:val="ListBullet"/>
      </w:pPr>
      <w:r w:rsidRPr="00AD555A">
        <w:t>c</w:t>
      </w:r>
      <w:r w:rsidR="00F41F46" w:rsidRPr="00AD555A">
        <w:t xml:space="preserve">onsidering </w:t>
      </w:r>
      <w:r w:rsidR="000101D7" w:rsidRPr="00AD555A">
        <w:t>any matters that may have impacted volumes during the year</w:t>
      </w:r>
    </w:p>
    <w:p w14:paraId="79FAD24D" w14:textId="2FF78D78" w:rsidR="000101D7" w:rsidRPr="00AD555A" w:rsidRDefault="00224F3B" w:rsidP="00AD555A">
      <w:pPr>
        <w:pStyle w:val="ListBullet"/>
      </w:pPr>
      <w:r w:rsidRPr="00AD555A">
        <w:t>a</w:t>
      </w:r>
      <w:r w:rsidR="00D03DA6" w:rsidRPr="00AD555A">
        <w:t>nalys</w:t>
      </w:r>
      <w:r w:rsidR="003A5150">
        <w:t>ing</w:t>
      </w:r>
      <w:r w:rsidR="00F41F46" w:rsidRPr="00AD555A">
        <w:t xml:space="preserve"> </w:t>
      </w:r>
      <w:r w:rsidR="000101D7" w:rsidRPr="00AD555A">
        <w:t>monthly trends</w:t>
      </w:r>
    </w:p>
    <w:p w14:paraId="492DE734" w14:textId="46FB13D4" w:rsidR="000101D7" w:rsidRPr="00AD555A" w:rsidRDefault="00224F3B" w:rsidP="00AD555A">
      <w:pPr>
        <w:pStyle w:val="ListBullet"/>
      </w:pPr>
      <w:r w:rsidRPr="00AD555A">
        <w:t>d</w:t>
      </w:r>
      <w:r w:rsidR="000101D7" w:rsidRPr="00AD555A">
        <w:t>etermining global, economic or any other matters that may impact forward estimates</w:t>
      </w:r>
    </w:p>
    <w:p w14:paraId="6D385AA0" w14:textId="293480B0" w:rsidR="000101D7" w:rsidRPr="00AD555A" w:rsidRDefault="00224F3B" w:rsidP="00AD555A">
      <w:pPr>
        <w:pStyle w:val="ListBullet"/>
      </w:pPr>
      <w:r w:rsidRPr="00AD555A">
        <w:t>v</w:t>
      </w:r>
      <w:r w:rsidR="000101D7" w:rsidRPr="00AD555A">
        <w:t>erifying forecast</w:t>
      </w:r>
      <w:r w:rsidR="00F72175" w:rsidRPr="00AD555A">
        <w:t>s</w:t>
      </w:r>
      <w:r w:rsidR="000101D7" w:rsidRPr="00AD555A">
        <w:t xml:space="preserve"> with operational areas</w:t>
      </w:r>
      <w:r w:rsidR="00F9088A" w:rsidRPr="00AD555A">
        <w:t>.</w:t>
      </w:r>
    </w:p>
    <w:p w14:paraId="0C7330A5" w14:textId="3E86E589" w:rsidR="00CC4E55" w:rsidRPr="00CC4E55" w:rsidRDefault="00CC4E55" w:rsidP="00CC4E55">
      <w:pPr>
        <w:spacing w:before="120"/>
        <w:rPr>
          <w:lang w:eastAsia="ja-JP"/>
        </w:rPr>
      </w:pPr>
      <w:r w:rsidRPr="00CC4E55">
        <w:rPr>
          <w:lang w:eastAsia="ja-JP"/>
        </w:rPr>
        <w:t>The volume of cargo imports directly drives the level of fee</w:t>
      </w:r>
      <w:r w:rsidRPr="00CC4E55">
        <w:rPr>
          <w:lang w:eastAsia="ja-JP"/>
        </w:rPr>
        <w:noBreakHyphen/>
        <w:t>bearing activity. Changes in the supply chain, such as increased demand for specific goods, increase cargo volumes</w:t>
      </w:r>
      <w:r>
        <w:rPr>
          <w:lang w:eastAsia="ja-JP"/>
        </w:rPr>
        <w:t xml:space="preserve">. Increased volumes, </w:t>
      </w:r>
      <w:r w:rsidRPr="00CC4E55">
        <w:rPr>
          <w:lang w:eastAsia="ja-JP"/>
        </w:rPr>
        <w:t>in turn drive greater demand for regulatory activities, including inspection, assessment and verification, to manage risk and achieve policy objectives.</w:t>
      </w:r>
    </w:p>
    <w:p w14:paraId="7D1746AC" w14:textId="47D8B887" w:rsidR="00DE386D" w:rsidRPr="00DE386D" w:rsidRDefault="00DE386D" w:rsidP="00DE386D">
      <w:pPr>
        <w:rPr>
          <w:lang w:eastAsia="ja-JP"/>
        </w:rPr>
      </w:pPr>
      <w:r w:rsidRPr="00DE386D">
        <w:rPr>
          <w:lang w:eastAsia="ja-JP"/>
        </w:rPr>
        <w:t>Changes in market conditions can influence demand, although these effects may take many months to emerge. For example, reductions in Australia’s cash interest rate may lead families to purchase more imported goods, increasing demand. However, households may not prioritise these purchases immediately.</w:t>
      </w:r>
    </w:p>
    <w:p w14:paraId="00FF2E06" w14:textId="05B7E2D3" w:rsidR="00DE386D" w:rsidRPr="00DE386D" w:rsidRDefault="00DE386D" w:rsidP="00DE386D">
      <w:pPr>
        <w:rPr>
          <w:lang w:eastAsia="ja-JP"/>
        </w:rPr>
      </w:pPr>
      <w:r w:rsidRPr="00DE386D">
        <w:rPr>
          <w:lang w:eastAsia="ja-JP"/>
        </w:rPr>
        <w:t>Changes in the global and domestic economy also influence import charges by shaping consumer spending habits and demand for imports. Typically, a lag occurs between economic shifts and changes in import volumes. As a result, the impact becomes evident over time rather than through immediate changes in regulatory activity.</w:t>
      </w:r>
    </w:p>
    <w:p w14:paraId="462C455F" w14:textId="7B0E7D30" w:rsidR="00B91407" w:rsidRDefault="00B91407" w:rsidP="00B91407">
      <w:pPr>
        <w:pStyle w:val="Heading3"/>
        <w:rPr>
          <w:lang w:eastAsia="ja-JP"/>
        </w:rPr>
      </w:pPr>
      <w:bookmarkStart w:id="101" w:name="_Toc233378693"/>
      <w:r>
        <w:rPr>
          <w:lang w:eastAsia="ja-JP"/>
        </w:rPr>
        <w:t>Design of regulatory charge</w:t>
      </w:r>
      <w:r w:rsidR="009B2AC9">
        <w:rPr>
          <w:lang w:eastAsia="ja-JP"/>
        </w:rPr>
        <w:t>s</w:t>
      </w:r>
      <w:bookmarkEnd w:id="101"/>
    </w:p>
    <w:p w14:paraId="7BDF3DEA" w14:textId="403EF46D" w:rsidR="0065490A" w:rsidRDefault="0065490A" w:rsidP="001E5006">
      <w:r>
        <w:t xml:space="preserve">As described earlier, </w:t>
      </w:r>
      <w:r w:rsidR="002466F4">
        <w:t xml:space="preserve">our </w:t>
      </w:r>
      <w:r>
        <w:t xml:space="preserve">cost recovery model is developed around allocating indirect and direct costs to programs and activities. Within each activity there are outputs, which are represented </w:t>
      </w:r>
      <w:r w:rsidR="00BA114C">
        <w:t xml:space="preserve">as </w:t>
      </w:r>
      <w:r>
        <w:t>charge points.</w:t>
      </w:r>
    </w:p>
    <w:p w14:paraId="40EFA83E" w14:textId="145C406F" w:rsidR="0065490A" w:rsidRPr="0065490A" w:rsidRDefault="0065490A" w:rsidP="0065490A">
      <w:r w:rsidRPr="0065490A">
        <w:t xml:space="preserve">We monitor costs monthly for variances between </w:t>
      </w:r>
      <w:r w:rsidR="002F75C1">
        <w:t>forecast</w:t>
      </w:r>
      <w:r w:rsidRPr="0065490A">
        <w:t xml:space="preserve"> and actual expense</w:t>
      </w:r>
      <w:r w:rsidR="00B07921">
        <w:t>s</w:t>
      </w:r>
      <w:r w:rsidRPr="0065490A">
        <w:t xml:space="preserve"> and regularly review and improve our workforce models, systems and processes. </w:t>
      </w:r>
      <w:r w:rsidR="00DC6963">
        <w:t>Monitoring</w:t>
      </w:r>
      <w:r w:rsidR="00457418">
        <w:t xml:space="preserve"> </w:t>
      </w:r>
      <w:r w:rsidRPr="0065490A">
        <w:t xml:space="preserve">informs our annual review of </w:t>
      </w:r>
      <w:r w:rsidRPr="0065490A">
        <w:lastRenderedPageBreak/>
        <w:t xml:space="preserve">regulatory </w:t>
      </w:r>
      <w:r w:rsidR="001231A9" w:rsidRPr="0065490A">
        <w:t>charges,</w:t>
      </w:r>
      <w:r w:rsidRPr="0065490A">
        <w:t xml:space="preserve"> and we implement adjustments </w:t>
      </w:r>
      <w:r w:rsidR="00DC6963">
        <w:t xml:space="preserve">to regulatory charges </w:t>
      </w:r>
      <w:r w:rsidRPr="0065490A">
        <w:t xml:space="preserve">within the parameters </w:t>
      </w:r>
      <w:r w:rsidR="002466F4">
        <w:t>we</w:t>
      </w:r>
      <w:r w:rsidR="002466F4" w:rsidRPr="0065490A">
        <w:t xml:space="preserve"> </w:t>
      </w:r>
      <w:r w:rsidR="002466F4">
        <w:t>are</w:t>
      </w:r>
      <w:r w:rsidR="002466F4" w:rsidRPr="0065490A">
        <w:t xml:space="preserve"> </w:t>
      </w:r>
      <w:r w:rsidRPr="0065490A">
        <w:t>governed by.</w:t>
      </w:r>
    </w:p>
    <w:p w14:paraId="7E197761" w14:textId="7BF9D22D" w:rsidR="001E5006" w:rsidRDefault="001E5006" w:rsidP="001E5006">
      <w:pPr>
        <w:spacing w:before="120" w:after="120"/>
      </w:pPr>
      <w:r w:rsidRPr="004C292B">
        <w:rPr>
          <w:rFonts w:cstheme="minorHAnsi"/>
          <w:lang w:eastAsia="ja-JP"/>
        </w:rPr>
        <w:t xml:space="preserve">The amounts payable shown in </w:t>
      </w:r>
      <w:r w:rsidR="006829F0" w:rsidRPr="00625260">
        <w:rPr>
          <w:rStyle w:val="Hyperlink"/>
          <w:lang w:eastAsia="ja-JP"/>
        </w:rPr>
        <w:fldChar w:fldCharType="begin"/>
      </w:r>
      <w:r w:rsidR="006829F0" w:rsidRPr="00625260">
        <w:rPr>
          <w:rStyle w:val="Hyperlink"/>
          <w:lang w:eastAsia="ja-JP"/>
        </w:rPr>
        <w:instrText xml:space="preserve"> REF _Ref197932955 \h </w:instrText>
      </w:r>
      <w:r w:rsidR="00625260">
        <w:rPr>
          <w:rStyle w:val="Hyperlink"/>
          <w:lang w:eastAsia="ja-JP"/>
        </w:rPr>
        <w:instrText xml:space="preserve"> \* MERGEFORMAT </w:instrText>
      </w:r>
      <w:r w:rsidR="006829F0" w:rsidRPr="00625260">
        <w:rPr>
          <w:rStyle w:val="Hyperlink"/>
          <w:lang w:eastAsia="ja-JP"/>
        </w:rPr>
      </w:r>
      <w:r w:rsidR="006829F0" w:rsidRPr="00625260">
        <w:rPr>
          <w:rStyle w:val="Hyperlink"/>
          <w:lang w:eastAsia="ja-JP"/>
        </w:rPr>
        <w:fldChar w:fldCharType="separate"/>
      </w:r>
      <w:r w:rsidR="00505B0B" w:rsidRPr="00625260">
        <w:rPr>
          <w:rStyle w:val="Hyperlink"/>
        </w:rPr>
        <w:t>Table 3</w:t>
      </w:r>
      <w:r w:rsidR="006829F0" w:rsidRPr="00625260">
        <w:rPr>
          <w:rStyle w:val="Hyperlink"/>
          <w:lang w:eastAsia="ja-JP"/>
        </w:rPr>
        <w:fldChar w:fldCharType="end"/>
      </w:r>
      <w:r w:rsidRPr="004C292B">
        <w:rPr>
          <w:rFonts w:cstheme="minorHAnsi"/>
          <w:lang w:eastAsia="ja-JP"/>
        </w:rPr>
        <w:t xml:space="preserve"> reflect the volumes and </w:t>
      </w:r>
      <w:r>
        <w:rPr>
          <w:rFonts w:cstheme="minorHAnsi"/>
          <w:lang w:eastAsia="ja-JP"/>
        </w:rPr>
        <w:t>estimated</w:t>
      </w:r>
      <w:r w:rsidRPr="004C292B">
        <w:rPr>
          <w:rFonts w:cstheme="minorHAnsi"/>
          <w:lang w:eastAsia="ja-JP"/>
        </w:rPr>
        <w:t xml:space="preserve"> costs associated with biosecurity </w:t>
      </w:r>
      <w:r w:rsidR="00312821">
        <w:rPr>
          <w:rFonts w:cstheme="minorHAnsi"/>
          <w:lang w:eastAsia="ja-JP"/>
        </w:rPr>
        <w:t xml:space="preserve">and imported food </w:t>
      </w:r>
      <w:r w:rsidRPr="004C292B">
        <w:rPr>
          <w:rFonts w:cstheme="minorHAnsi"/>
          <w:lang w:eastAsia="ja-JP"/>
        </w:rPr>
        <w:t>regulatory activities</w:t>
      </w:r>
      <w:r>
        <w:rPr>
          <w:rFonts w:cstheme="minorHAnsi"/>
          <w:lang w:eastAsia="ja-JP"/>
        </w:rPr>
        <w:t xml:space="preserve"> in </w:t>
      </w:r>
      <w:r w:rsidR="00F7258B">
        <w:rPr>
          <w:rFonts w:cstheme="minorHAnsi"/>
          <w:lang w:eastAsia="ja-JP"/>
        </w:rPr>
        <w:t>2</w:t>
      </w:r>
      <w:r w:rsidR="004A7D79">
        <w:rPr>
          <w:rFonts w:cstheme="minorHAnsi"/>
          <w:lang w:eastAsia="ja-JP"/>
        </w:rPr>
        <w:t>026</w:t>
      </w:r>
      <w:r w:rsidR="00E765B8">
        <w:rPr>
          <w:rFonts w:cstheme="minorHAnsi"/>
          <w:lang w:eastAsia="ja-JP"/>
        </w:rPr>
        <w:t>–</w:t>
      </w:r>
      <w:r w:rsidR="004A7D79">
        <w:rPr>
          <w:rFonts w:cstheme="minorHAnsi"/>
          <w:lang w:eastAsia="ja-JP"/>
        </w:rPr>
        <w:t>27.</w:t>
      </w:r>
      <w:r w:rsidR="0065490A" w:rsidRPr="0065490A">
        <w:t xml:space="preserve"> </w:t>
      </w:r>
      <w:r w:rsidR="0065490A" w:rsidRPr="00B91407">
        <w:t xml:space="preserve">Actual recovery of costs </w:t>
      </w:r>
      <w:r w:rsidR="0065490A" w:rsidRPr="0065490A">
        <w:t>through an individual charge</w:t>
      </w:r>
      <w:r w:rsidR="0065490A" w:rsidRPr="00B91407">
        <w:t xml:space="preserve"> is dependent upon the costs incurred </w:t>
      </w:r>
      <w:r w:rsidR="0065490A" w:rsidRPr="0065490A">
        <w:t>to provide that activity</w:t>
      </w:r>
      <w:r w:rsidR="0065490A" w:rsidRPr="00B91407">
        <w:t xml:space="preserve"> and the volume of transactions, imports or activities performed.</w:t>
      </w:r>
      <w:r w:rsidR="002F75C1">
        <w:t xml:space="preserve"> Fees and charges are modelled to recover no more than the efficient costs of providing each activity, hence the estimated cost and estimated revenue are equal where a forecast volume can be reliably estimated.</w:t>
      </w:r>
    </w:p>
    <w:p w14:paraId="2CE0B91A" w14:textId="5C3F2540" w:rsidR="005863AB" w:rsidRDefault="002F75C1" w:rsidP="002F75C1">
      <w:pPr>
        <w:sectPr w:rsidR="005863AB" w:rsidSect="00331180">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567" w:footer="283" w:gutter="0"/>
          <w:pgNumType w:start="1"/>
          <w:cols w:space="708"/>
          <w:docGrid w:linePitch="360"/>
        </w:sectPr>
      </w:pPr>
      <w:r w:rsidRPr="00B91407">
        <w:t>For some animal imports at the PEQ, we do not have any forecast import volumes</w:t>
      </w:r>
      <w:r w:rsidR="00C531BA">
        <w:t xml:space="preserve">. </w:t>
      </w:r>
      <w:r w:rsidR="00C531BA" w:rsidRPr="00C531BA">
        <w:t>H</w:t>
      </w:r>
      <w:r w:rsidRPr="00C531BA">
        <w:t>owever,</w:t>
      </w:r>
      <w:r w:rsidRPr="00B91407">
        <w:t xml:space="preserve"> there are fixed costs that </w:t>
      </w:r>
      <w:r w:rsidR="000B2C5C">
        <w:t>cannot be avoided</w:t>
      </w:r>
      <w:r w:rsidRPr="00B91407">
        <w:t>. These costs are not cross subsidised by other imports but are managed through other funding sources, typically government appropriation. A price is determined to recover some of those fixed costs along with the variable costs, should an import occur.</w:t>
      </w:r>
    </w:p>
    <w:p w14:paraId="3205B648" w14:textId="089D9BC0" w:rsidR="001E5006" w:rsidRDefault="001E5006" w:rsidP="001578C9">
      <w:pPr>
        <w:pStyle w:val="Caption"/>
      </w:pPr>
      <w:bookmarkStart w:id="102" w:name="_Ref197932955"/>
      <w:bookmarkStart w:id="103" w:name="_Toc233378723"/>
      <w:r w:rsidRPr="003D7303">
        <w:lastRenderedPageBreak/>
        <w:t xml:space="preserve">Table </w:t>
      </w:r>
      <w:fldSimple w:instr=" SEQ Table \* ARABIC ">
        <w:r w:rsidR="00505B0B">
          <w:rPr>
            <w:noProof/>
          </w:rPr>
          <w:t>3</w:t>
        </w:r>
      </w:fldSimple>
      <w:bookmarkEnd w:id="102"/>
      <w:r>
        <w:t xml:space="preserve"> </w:t>
      </w:r>
      <w:r w:rsidRPr="00537543">
        <w:t xml:space="preserve">Fees and charges – </w:t>
      </w:r>
      <w:r w:rsidR="002F75C1">
        <w:t>estimate</w:t>
      </w:r>
      <w:r w:rsidR="00FF2F78">
        <w:t>d</w:t>
      </w:r>
      <w:r w:rsidR="002F75C1">
        <w:t xml:space="preserve"> </w:t>
      </w:r>
      <w:r w:rsidRPr="00537543">
        <w:t>cost</w:t>
      </w:r>
      <w:r w:rsidR="00FF2F78">
        <w:t>s</w:t>
      </w:r>
      <w:r w:rsidRPr="00537543">
        <w:t xml:space="preserve">, volumes and revenue for biosecurity cost recovery arrangement, </w:t>
      </w:r>
      <w:r w:rsidR="00184AA3">
        <w:t>2026</w:t>
      </w:r>
      <w:r w:rsidR="00E765B8">
        <w:t>–</w:t>
      </w:r>
      <w:r w:rsidR="00184AA3">
        <w:t>27</w:t>
      </w:r>
      <w:bookmarkEnd w:id="103"/>
    </w:p>
    <w:tbl>
      <w:tblPr>
        <w:tblW w:w="4961"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2245"/>
        <w:gridCol w:w="1253"/>
        <w:gridCol w:w="4510"/>
        <w:gridCol w:w="2103"/>
        <w:gridCol w:w="978"/>
        <w:gridCol w:w="1370"/>
        <w:gridCol w:w="1434"/>
      </w:tblGrid>
      <w:tr w:rsidR="004C4ED2" w:rsidRPr="00C32CCF" w14:paraId="305CB7BC" w14:textId="77777777" w:rsidTr="00511E60">
        <w:trPr>
          <w:cantSplit/>
          <w:tblHeader/>
        </w:trPr>
        <w:tc>
          <w:tcPr>
            <w:tcW w:w="808" w:type="pct"/>
            <w:tcMar>
              <w:left w:w="108" w:type="dxa"/>
              <w:right w:w="108" w:type="dxa"/>
            </w:tcMar>
          </w:tcPr>
          <w:p w14:paraId="09CE5EC6" w14:textId="37BDA69F" w:rsidR="00070E11" w:rsidRPr="0018484D" w:rsidRDefault="00070E11" w:rsidP="00070E11">
            <w:pPr>
              <w:pStyle w:val="TableHeading"/>
            </w:pPr>
            <w:bookmarkStart w:id="104" w:name="Title_3"/>
            <w:bookmarkEnd w:id="104"/>
            <w:r w:rsidRPr="007828C3">
              <w:t>Type of charge</w:t>
            </w:r>
          </w:p>
        </w:tc>
        <w:tc>
          <w:tcPr>
            <w:tcW w:w="451" w:type="pct"/>
            <w:tcMar>
              <w:left w:w="108" w:type="dxa"/>
              <w:right w:w="108" w:type="dxa"/>
            </w:tcMar>
          </w:tcPr>
          <w:p w14:paraId="4D168960" w14:textId="3B6E623F" w:rsidR="00070E11" w:rsidRPr="00A10BE3" w:rsidRDefault="00070E11" w:rsidP="00070E11">
            <w:pPr>
              <w:pStyle w:val="TableHeading"/>
            </w:pPr>
            <w:r w:rsidRPr="007828C3">
              <w:t>Estimated total cost ($)</w:t>
            </w:r>
          </w:p>
        </w:tc>
        <w:tc>
          <w:tcPr>
            <w:tcW w:w="1623" w:type="pct"/>
            <w:tcMar>
              <w:left w:w="108" w:type="dxa"/>
              <w:right w:w="108" w:type="dxa"/>
            </w:tcMar>
          </w:tcPr>
          <w:p w14:paraId="74A11199" w14:textId="14BBDAB0" w:rsidR="00070E11" w:rsidRPr="009213D8" w:rsidRDefault="00070E11" w:rsidP="00070E11">
            <w:pPr>
              <w:pStyle w:val="TableHeading"/>
            </w:pPr>
            <w:r w:rsidRPr="007828C3">
              <w:t>Charge point</w:t>
            </w:r>
          </w:p>
        </w:tc>
        <w:tc>
          <w:tcPr>
            <w:tcW w:w="757" w:type="pct"/>
            <w:tcMar>
              <w:left w:w="108" w:type="dxa"/>
              <w:right w:w="108" w:type="dxa"/>
            </w:tcMar>
          </w:tcPr>
          <w:p w14:paraId="622CFFBC" w14:textId="05C15693" w:rsidR="00070E11" w:rsidRPr="009213D8" w:rsidRDefault="00070E11" w:rsidP="00070E11">
            <w:pPr>
              <w:pStyle w:val="TableHeading"/>
            </w:pPr>
            <w:r w:rsidRPr="007828C3">
              <w:t>Unit</w:t>
            </w:r>
          </w:p>
        </w:tc>
        <w:tc>
          <w:tcPr>
            <w:tcW w:w="352" w:type="pct"/>
            <w:tcMar>
              <w:left w:w="108" w:type="dxa"/>
              <w:right w:w="108" w:type="dxa"/>
            </w:tcMar>
          </w:tcPr>
          <w:p w14:paraId="735BB186" w14:textId="65230790" w:rsidR="00070E11" w:rsidRPr="008A370F" w:rsidRDefault="00070E11" w:rsidP="00070E11">
            <w:pPr>
              <w:pStyle w:val="TableHeading"/>
              <w:rPr>
                <w:rFonts w:ascii="Calibri" w:hAnsi="Calibri"/>
                <w:color w:val="000000"/>
                <w:szCs w:val="18"/>
              </w:rPr>
            </w:pPr>
            <w:r w:rsidRPr="007828C3">
              <w:t>Price ($)</w:t>
            </w:r>
          </w:p>
        </w:tc>
        <w:tc>
          <w:tcPr>
            <w:tcW w:w="493" w:type="pct"/>
            <w:tcMar>
              <w:left w:w="108" w:type="dxa"/>
              <w:right w:w="108" w:type="dxa"/>
            </w:tcMar>
          </w:tcPr>
          <w:p w14:paraId="1FB666E8" w14:textId="0BE60811" w:rsidR="00070E11" w:rsidRDefault="00070E11" w:rsidP="00070E11">
            <w:pPr>
              <w:pStyle w:val="TableHeading"/>
              <w:rPr>
                <w:rFonts w:ascii="Calibri" w:hAnsi="Calibri"/>
                <w:color w:val="000000"/>
                <w:szCs w:val="18"/>
              </w:rPr>
            </w:pPr>
            <w:r w:rsidRPr="007828C3">
              <w:t>Estimated volume (units)</w:t>
            </w:r>
          </w:p>
        </w:tc>
        <w:tc>
          <w:tcPr>
            <w:tcW w:w="516" w:type="pct"/>
            <w:tcMar>
              <w:left w:w="108" w:type="dxa"/>
              <w:right w:w="108" w:type="dxa"/>
            </w:tcMar>
          </w:tcPr>
          <w:p w14:paraId="33968442" w14:textId="12D0251B" w:rsidR="00070E11" w:rsidRDefault="00070E11" w:rsidP="00070E11">
            <w:pPr>
              <w:pStyle w:val="TableHeading"/>
              <w:rPr>
                <w:rFonts w:ascii="Calibri" w:hAnsi="Calibri"/>
                <w:color w:val="000000"/>
                <w:szCs w:val="18"/>
              </w:rPr>
            </w:pPr>
            <w:r w:rsidRPr="007828C3">
              <w:t>Estimated total revenue ($)</w:t>
            </w:r>
          </w:p>
        </w:tc>
      </w:tr>
      <w:tr w:rsidR="00C531BA" w:rsidRPr="00C32CCF" w14:paraId="17B5F62B" w14:textId="77777777" w:rsidTr="00511E60">
        <w:tc>
          <w:tcPr>
            <w:tcW w:w="808" w:type="pct"/>
            <w:vMerge w:val="restart"/>
            <w:tcMar>
              <w:left w:w="108" w:type="dxa"/>
              <w:right w:w="108" w:type="dxa"/>
            </w:tcMar>
          </w:tcPr>
          <w:p w14:paraId="2DA12D99" w14:textId="37710E66" w:rsidR="00C531BA" w:rsidRPr="0018484D" w:rsidRDefault="00C531BA" w:rsidP="00733737">
            <w:pPr>
              <w:pStyle w:val="TableText"/>
            </w:pPr>
            <w:bookmarkStart w:id="105" w:name="Title"/>
            <w:bookmarkEnd w:id="105"/>
            <w:r w:rsidRPr="0018484D">
              <w:t>Charge</w:t>
            </w:r>
          </w:p>
        </w:tc>
        <w:tc>
          <w:tcPr>
            <w:tcW w:w="451" w:type="pct"/>
            <w:tcMar>
              <w:left w:w="108" w:type="dxa"/>
              <w:right w:w="108" w:type="dxa"/>
            </w:tcMar>
          </w:tcPr>
          <w:p w14:paraId="1B5F02FA" w14:textId="0761149D" w:rsidR="00C531BA" w:rsidRPr="00A10BE3" w:rsidRDefault="00C531BA" w:rsidP="00AD2CA4">
            <w:pPr>
              <w:pStyle w:val="TableText"/>
              <w:jc w:val="right"/>
            </w:pPr>
            <w:r>
              <w:t>118,832,304</w:t>
            </w:r>
          </w:p>
        </w:tc>
        <w:tc>
          <w:tcPr>
            <w:tcW w:w="1623" w:type="pct"/>
            <w:tcMar>
              <w:left w:w="108" w:type="dxa"/>
              <w:right w:w="108" w:type="dxa"/>
            </w:tcMar>
          </w:tcPr>
          <w:p w14:paraId="2701F3BC" w14:textId="77777777" w:rsidR="00C531BA" w:rsidRPr="009213D8" w:rsidRDefault="00C531BA" w:rsidP="00733737">
            <w:pPr>
              <w:pStyle w:val="TableText"/>
            </w:pPr>
            <w:r w:rsidRPr="009213D8">
              <w:t xml:space="preserve">Full </w:t>
            </w:r>
            <w:r>
              <w:t>i</w:t>
            </w:r>
            <w:r w:rsidRPr="009213D8">
              <w:t xml:space="preserve">mport </w:t>
            </w:r>
            <w:r>
              <w:t>d</w:t>
            </w:r>
            <w:r w:rsidRPr="009213D8">
              <w:t>eclaration charge – air</w:t>
            </w:r>
          </w:p>
        </w:tc>
        <w:tc>
          <w:tcPr>
            <w:tcW w:w="757" w:type="pct"/>
            <w:tcMar>
              <w:left w:w="108" w:type="dxa"/>
              <w:right w:w="108" w:type="dxa"/>
            </w:tcMar>
          </w:tcPr>
          <w:p w14:paraId="10F02EA5" w14:textId="77777777" w:rsidR="00C531BA" w:rsidRPr="009213D8" w:rsidRDefault="00C531BA" w:rsidP="00733737">
            <w:pPr>
              <w:pStyle w:val="TableText"/>
            </w:pPr>
            <w:r w:rsidRPr="009213D8">
              <w:t>Per import declaration</w:t>
            </w:r>
          </w:p>
        </w:tc>
        <w:tc>
          <w:tcPr>
            <w:tcW w:w="352" w:type="pct"/>
            <w:tcMar>
              <w:left w:w="108" w:type="dxa"/>
              <w:right w:w="108" w:type="dxa"/>
            </w:tcMar>
          </w:tcPr>
          <w:p w14:paraId="693A1E05" w14:textId="176A43C1" w:rsidR="00C531BA" w:rsidRPr="008A370F" w:rsidRDefault="00C531BA" w:rsidP="00733737">
            <w:pPr>
              <w:pStyle w:val="TableText"/>
              <w:jc w:val="right"/>
            </w:pPr>
            <w:r>
              <w:rPr>
                <w:rFonts w:ascii="Calibri" w:hAnsi="Calibri"/>
                <w:color w:val="000000"/>
                <w:szCs w:val="18"/>
              </w:rPr>
              <w:t>48</w:t>
            </w:r>
          </w:p>
        </w:tc>
        <w:tc>
          <w:tcPr>
            <w:tcW w:w="493" w:type="pct"/>
            <w:tcMar>
              <w:left w:w="108" w:type="dxa"/>
              <w:right w:w="108" w:type="dxa"/>
            </w:tcMar>
          </w:tcPr>
          <w:p w14:paraId="759E9ADA" w14:textId="511BE75C" w:rsidR="00C531BA" w:rsidRPr="00C32CCF" w:rsidRDefault="00C531BA" w:rsidP="00733737">
            <w:pPr>
              <w:pStyle w:val="TableText"/>
              <w:jc w:val="right"/>
              <w:rPr>
                <w:rFonts w:ascii="Calibri" w:hAnsi="Calibri"/>
                <w:color w:val="000000"/>
                <w:szCs w:val="18"/>
              </w:rPr>
            </w:pPr>
            <w:r w:rsidRPr="003B324E">
              <w:rPr>
                <w:rFonts w:ascii="Calibri" w:hAnsi="Calibri"/>
                <w:color w:val="000000"/>
                <w:szCs w:val="18"/>
              </w:rPr>
              <w:t>2,475,673</w:t>
            </w:r>
          </w:p>
        </w:tc>
        <w:tc>
          <w:tcPr>
            <w:tcW w:w="516" w:type="pct"/>
            <w:tcMar>
              <w:left w:w="108" w:type="dxa"/>
              <w:right w:w="108" w:type="dxa"/>
            </w:tcMar>
          </w:tcPr>
          <w:p w14:paraId="60A792C2" w14:textId="5893A42E" w:rsidR="00C531BA" w:rsidRPr="00C32CCF" w:rsidRDefault="00C531BA" w:rsidP="00733737">
            <w:pPr>
              <w:pStyle w:val="TableText"/>
              <w:jc w:val="right"/>
              <w:rPr>
                <w:highlight w:val="yellow"/>
              </w:rPr>
            </w:pPr>
            <w:r>
              <w:rPr>
                <w:rFonts w:ascii="Calibri" w:hAnsi="Calibri"/>
                <w:color w:val="000000"/>
                <w:szCs w:val="18"/>
              </w:rPr>
              <w:t>118,832,304</w:t>
            </w:r>
          </w:p>
        </w:tc>
      </w:tr>
      <w:tr w:rsidR="00C531BA" w:rsidRPr="00C32CCF" w14:paraId="1FBE39C6" w14:textId="77777777" w:rsidTr="00511E60">
        <w:tc>
          <w:tcPr>
            <w:tcW w:w="808" w:type="pct"/>
            <w:vMerge/>
            <w:tcMar>
              <w:left w:w="108" w:type="dxa"/>
              <w:right w:w="108" w:type="dxa"/>
            </w:tcMar>
          </w:tcPr>
          <w:p w14:paraId="3AB1935B" w14:textId="77777777" w:rsidR="00C531BA" w:rsidRPr="0018484D" w:rsidRDefault="00C531BA" w:rsidP="00733737">
            <w:pPr>
              <w:pStyle w:val="TableText"/>
            </w:pPr>
          </w:p>
        </w:tc>
        <w:tc>
          <w:tcPr>
            <w:tcW w:w="451" w:type="pct"/>
            <w:tcMar>
              <w:left w:w="108" w:type="dxa"/>
              <w:right w:w="108" w:type="dxa"/>
            </w:tcMar>
          </w:tcPr>
          <w:p w14:paraId="496EEBB1" w14:textId="4A8D1334" w:rsidR="00C531BA" w:rsidRPr="00A10BE3" w:rsidRDefault="00C531BA" w:rsidP="00AD2CA4">
            <w:pPr>
              <w:pStyle w:val="TableText"/>
              <w:jc w:val="right"/>
            </w:pPr>
            <w:r>
              <w:t>143,269,622</w:t>
            </w:r>
          </w:p>
        </w:tc>
        <w:tc>
          <w:tcPr>
            <w:tcW w:w="1623" w:type="pct"/>
            <w:tcMar>
              <w:left w:w="108" w:type="dxa"/>
              <w:right w:w="108" w:type="dxa"/>
            </w:tcMar>
          </w:tcPr>
          <w:p w14:paraId="3F54B2C7" w14:textId="77777777" w:rsidR="00C531BA" w:rsidRPr="009213D8" w:rsidRDefault="00C531BA" w:rsidP="00733737">
            <w:pPr>
              <w:pStyle w:val="TableText"/>
            </w:pPr>
            <w:r w:rsidRPr="009213D8">
              <w:t xml:space="preserve">Full </w:t>
            </w:r>
            <w:r>
              <w:t>i</w:t>
            </w:r>
            <w:r w:rsidRPr="009213D8">
              <w:t xml:space="preserve">mport </w:t>
            </w:r>
            <w:r>
              <w:t>d</w:t>
            </w:r>
            <w:r w:rsidRPr="009213D8">
              <w:t>eclaration charge – sea</w:t>
            </w:r>
          </w:p>
        </w:tc>
        <w:tc>
          <w:tcPr>
            <w:tcW w:w="757" w:type="pct"/>
            <w:tcMar>
              <w:left w:w="108" w:type="dxa"/>
              <w:right w:w="108" w:type="dxa"/>
            </w:tcMar>
          </w:tcPr>
          <w:p w14:paraId="2F5B4F17" w14:textId="77777777" w:rsidR="00C531BA" w:rsidRPr="009213D8" w:rsidRDefault="00C531BA" w:rsidP="00733737">
            <w:pPr>
              <w:pStyle w:val="TableText"/>
            </w:pPr>
            <w:r w:rsidRPr="009213D8">
              <w:t>Per import declaration</w:t>
            </w:r>
          </w:p>
        </w:tc>
        <w:tc>
          <w:tcPr>
            <w:tcW w:w="352" w:type="pct"/>
            <w:tcMar>
              <w:left w:w="108" w:type="dxa"/>
              <w:right w:w="108" w:type="dxa"/>
            </w:tcMar>
          </w:tcPr>
          <w:p w14:paraId="5CF5F42E" w14:textId="1002E7C2" w:rsidR="00C531BA" w:rsidRPr="008A370F" w:rsidRDefault="00C531BA" w:rsidP="00733737">
            <w:pPr>
              <w:pStyle w:val="TableText"/>
              <w:jc w:val="right"/>
            </w:pPr>
            <w:r>
              <w:rPr>
                <w:rFonts w:ascii="Calibri" w:hAnsi="Calibri"/>
                <w:color w:val="000000"/>
                <w:szCs w:val="18"/>
              </w:rPr>
              <w:t>71</w:t>
            </w:r>
          </w:p>
        </w:tc>
        <w:tc>
          <w:tcPr>
            <w:tcW w:w="493" w:type="pct"/>
            <w:tcMar>
              <w:left w:w="108" w:type="dxa"/>
              <w:right w:w="108" w:type="dxa"/>
            </w:tcMar>
          </w:tcPr>
          <w:p w14:paraId="62A565D8" w14:textId="4878244A" w:rsidR="00C531BA" w:rsidRPr="00C32CCF" w:rsidRDefault="00C531BA" w:rsidP="00733737">
            <w:pPr>
              <w:pStyle w:val="TableText"/>
              <w:jc w:val="right"/>
              <w:rPr>
                <w:rFonts w:ascii="Calibri" w:hAnsi="Calibri"/>
                <w:color w:val="000000"/>
                <w:szCs w:val="18"/>
              </w:rPr>
            </w:pPr>
            <w:r>
              <w:rPr>
                <w:rFonts w:ascii="Calibri" w:hAnsi="Calibri"/>
                <w:color w:val="000000"/>
                <w:szCs w:val="18"/>
              </w:rPr>
              <w:t>2,017,882</w:t>
            </w:r>
          </w:p>
        </w:tc>
        <w:tc>
          <w:tcPr>
            <w:tcW w:w="516" w:type="pct"/>
            <w:tcMar>
              <w:left w:w="108" w:type="dxa"/>
              <w:right w:w="108" w:type="dxa"/>
            </w:tcMar>
          </w:tcPr>
          <w:p w14:paraId="7E410733" w14:textId="388B80E5" w:rsidR="00C531BA" w:rsidRPr="00C32CCF" w:rsidRDefault="00C531BA" w:rsidP="00733737">
            <w:pPr>
              <w:pStyle w:val="TableText"/>
              <w:jc w:val="right"/>
              <w:rPr>
                <w:highlight w:val="yellow"/>
              </w:rPr>
            </w:pPr>
            <w:r>
              <w:rPr>
                <w:rFonts w:ascii="Calibri" w:hAnsi="Calibri"/>
                <w:color w:val="000000"/>
                <w:szCs w:val="18"/>
              </w:rPr>
              <w:t>143,269,622</w:t>
            </w:r>
          </w:p>
        </w:tc>
      </w:tr>
      <w:tr w:rsidR="00C531BA" w:rsidRPr="00C32CCF" w14:paraId="7405987C" w14:textId="77777777" w:rsidTr="00511E60">
        <w:tc>
          <w:tcPr>
            <w:tcW w:w="808" w:type="pct"/>
            <w:vMerge/>
            <w:tcMar>
              <w:left w:w="108" w:type="dxa"/>
              <w:right w:w="108" w:type="dxa"/>
            </w:tcMar>
          </w:tcPr>
          <w:p w14:paraId="5FBB1959" w14:textId="77777777" w:rsidR="00C531BA" w:rsidRPr="0018484D" w:rsidRDefault="00C531BA" w:rsidP="00733737">
            <w:pPr>
              <w:pStyle w:val="TableText"/>
            </w:pPr>
          </w:p>
        </w:tc>
        <w:tc>
          <w:tcPr>
            <w:tcW w:w="451" w:type="pct"/>
            <w:tcMar>
              <w:left w:w="108" w:type="dxa"/>
              <w:right w:w="108" w:type="dxa"/>
            </w:tcMar>
          </w:tcPr>
          <w:p w14:paraId="27C862EB" w14:textId="0B8BE4C5" w:rsidR="00C531BA" w:rsidRPr="00044EE9" w:rsidRDefault="00C531BA" w:rsidP="00AD2CA4">
            <w:pPr>
              <w:pStyle w:val="TableText"/>
              <w:jc w:val="right"/>
            </w:pPr>
            <w:r>
              <w:t>67,242,329</w:t>
            </w:r>
          </w:p>
        </w:tc>
        <w:tc>
          <w:tcPr>
            <w:tcW w:w="1623" w:type="pct"/>
            <w:tcMar>
              <w:left w:w="108" w:type="dxa"/>
              <w:right w:w="108" w:type="dxa"/>
            </w:tcMar>
          </w:tcPr>
          <w:p w14:paraId="682A8F03" w14:textId="085BDF14" w:rsidR="00C531BA" w:rsidRPr="00044EE9" w:rsidRDefault="00C531BA" w:rsidP="00224F3B">
            <w:pPr>
              <w:pStyle w:val="TableText"/>
            </w:pPr>
            <w:r w:rsidRPr="00044EE9">
              <w:t>Self-assessed clearance charge</w:t>
            </w:r>
          </w:p>
        </w:tc>
        <w:tc>
          <w:tcPr>
            <w:tcW w:w="757" w:type="pct"/>
            <w:tcMar>
              <w:left w:w="108" w:type="dxa"/>
              <w:right w:w="108" w:type="dxa"/>
            </w:tcMar>
          </w:tcPr>
          <w:p w14:paraId="43BD55F5" w14:textId="77777777" w:rsidR="00C531BA" w:rsidRPr="00044EE9" w:rsidRDefault="00C531BA" w:rsidP="00733737">
            <w:pPr>
              <w:pStyle w:val="TableText"/>
            </w:pPr>
            <w:r w:rsidRPr="00044EE9">
              <w:t>Per import declaration</w:t>
            </w:r>
          </w:p>
        </w:tc>
        <w:tc>
          <w:tcPr>
            <w:tcW w:w="352" w:type="pct"/>
            <w:tcMar>
              <w:left w:w="108" w:type="dxa"/>
              <w:right w:w="108" w:type="dxa"/>
            </w:tcMar>
          </w:tcPr>
          <w:p w14:paraId="5197791C" w14:textId="58276D22" w:rsidR="00C531BA" w:rsidRPr="00044EE9" w:rsidRDefault="00C531BA" w:rsidP="00733737">
            <w:pPr>
              <w:pStyle w:val="TableText"/>
              <w:jc w:val="right"/>
              <w:rPr>
                <w:rFonts w:ascii="Calibri" w:hAnsi="Calibri"/>
                <w:color w:val="000000"/>
                <w:szCs w:val="18"/>
              </w:rPr>
            </w:pPr>
            <w:r>
              <w:rPr>
                <w:rFonts w:ascii="Calibri" w:hAnsi="Calibri"/>
                <w:color w:val="000000"/>
                <w:szCs w:val="18"/>
              </w:rPr>
              <w:t>0.38</w:t>
            </w:r>
          </w:p>
        </w:tc>
        <w:tc>
          <w:tcPr>
            <w:tcW w:w="493" w:type="pct"/>
            <w:tcMar>
              <w:left w:w="108" w:type="dxa"/>
              <w:right w:w="108" w:type="dxa"/>
            </w:tcMar>
          </w:tcPr>
          <w:p w14:paraId="3B0E1099" w14:textId="1EFAEDBC" w:rsidR="00C531BA" w:rsidRPr="00044EE9" w:rsidRDefault="00C531BA" w:rsidP="00733737">
            <w:pPr>
              <w:pStyle w:val="TableText"/>
              <w:jc w:val="right"/>
              <w:rPr>
                <w:rFonts w:ascii="Calibri" w:hAnsi="Calibri"/>
                <w:color w:val="000000"/>
                <w:szCs w:val="18"/>
              </w:rPr>
            </w:pPr>
            <w:r>
              <w:rPr>
                <w:rFonts w:ascii="Calibri" w:hAnsi="Calibri"/>
                <w:color w:val="000000"/>
                <w:szCs w:val="18"/>
              </w:rPr>
              <w:t>176,953,497</w:t>
            </w:r>
          </w:p>
        </w:tc>
        <w:tc>
          <w:tcPr>
            <w:tcW w:w="516" w:type="pct"/>
            <w:tcMar>
              <w:left w:w="108" w:type="dxa"/>
              <w:right w:w="108" w:type="dxa"/>
            </w:tcMar>
          </w:tcPr>
          <w:p w14:paraId="259F86DD" w14:textId="097D8758" w:rsidR="00C531BA" w:rsidRPr="00044EE9" w:rsidRDefault="00C531BA" w:rsidP="00733737">
            <w:pPr>
              <w:pStyle w:val="TableText"/>
              <w:jc w:val="right"/>
              <w:rPr>
                <w:rFonts w:ascii="Calibri" w:hAnsi="Calibri"/>
                <w:color w:val="000000"/>
                <w:szCs w:val="18"/>
              </w:rPr>
            </w:pPr>
            <w:r>
              <w:rPr>
                <w:rFonts w:ascii="Calibri" w:hAnsi="Calibri"/>
                <w:color w:val="000000"/>
                <w:szCs w:val="18"/>
              </w:rPr>
              <w:t>67,242,329</w:t>
            </w:r>
          </w:p>
        </w:tc>
      </w:tr>
      <w:tr w:rsidR="00C531BA" w:rsidRPr="00C32CCF" w14:paraId="78DABF36" w14:textId="77777777" w:rsidTr="00511E60">
        <w:tc>
          <w:tcPr>
            <w:tcW w:w="808" w:type="pct"/>
            <w:vMerge/>
            <w:tcMar>
              <w:left w:w="108" w:type="dxa"/>
              <w:right w:w="108" w:type="dxa"/>
            </w:tcMar>
          </w:tcPr>
          <w:p w14:paraId="15B7C2D6" w14:textId="77777777" w:rsidR="00C531BA" w:rsidRPr="0018484D" w:rsidRDefault="00C531BA" w:rsidP="00733737">
            <w:pPr>
              <w:pStyle w:val="TableText"/>
            </w:pPr>
          </w:p>
        </w:tc>
        <w:tc>
          <w:tcPr>
            <w:tcW w:w="451" w:type="pct"/>
            <w:tcMar>
              <w:left w:w="108" w:type="dxa"/>
              <w:right w:w="108" w:type="dxa"/>
            </w:tcMar>
          </w:tcPr>
          <w:p w14:paraId="45BA53E6" w14:textId="778C21F1" w:rsidR="00C531BA" w:rsidRPr="00A10BE3" w:rsidRDefault="00C531BA" w:rsidP="00AD2CA4">
            <w:pPr>
              <w:pStyle w:val="TableText"/>
              <w:jc w:val="right"/>
              <w:rPr>
                <w:rFonts w:cstheme="minorHAnsi"/>
              </w:rPr>
            </w:pPr>
            <w:r>
              <w:rPr>
                <w:rFonts w:cstheme="minorHAnsi"/>
              </w:rPr>
              <w:t>1,944,675</w:t>
            </w:r>
          </w:p>
        </w:tc>
        <w:tc>
          <w:tcPr>
            <w:tcW w:w="1623" w:type="pct"/>
            <w:tcMar>
              <w:left w:w="108" w:type="dxa"/>
              <w:right w:w="108" w:type="dxa"/>
            </w:tcMar>
          </w:tcPr>
          <w:p w14:paraId="18317553" w14:textId="77777777" w:rsidR="00C531BA" w:rsidRPr="009213D8" w:rsidRDefault="00C531BA" w:rsidP="00733737">
            <w:pPr>
              <w:pStyle w:val="TableText"/>
            </w:pPr>
            <w:r w:rsidRPr="009213D8">
              <w:t>Permit application charge</w:t>
            </w:r>
          </w:p>
        </w:tc>
        <w:tc>
          <w:tcPr>
            <w:tcW w:w="757" w:type="pct"/>
            <w:tcMar>
              <w:left w:w="108" w:type="dxa"/>
              <w:right w:w="108" w:type="dxa"/>
            </w:tcMar>
          </w:tcPr>
          <w:p w14:paraId="3C6EB1AB" w14:textId="77777777" w:rsidR="00C531BA" w:rsidRPr="009213D8" w:rsidRDefault="00C531BA" w:rsidP="00733737">
            <w:pPr>
              <w:pStyle w:val="TableText"/>
            </w:pPr>
            <w:r w:rsidRPr="009213D8">
              <w:t>Per application</w:t>
            </w:r>
          </w:p>
        </w:tc>
        <w:tc>
          <w:tcPr>
            <w:tcW w:w="352" w:type="pct"/>
            <w:tcMar>
              <w:left w:w="108" w:type="dxa"/>
              <w:right w:w="108" w:type="dxa"/>
            </w:tcMar>
          </w:tcPr>
          <w:p w14:paraId="7DA2AFA7" w14:textId="22638034" w:rsidR="00C531BA" w:rsidRPr="008A370F" w:rsidRDefault="00C531BA" w:rsidP="00733737">
            <w:pPr>
              <w:pStyle w:val="TableText"/>
              <w:jc w:val="right"/>
            </w:pPr>
            <w:r>
              <w:rPr>
                <w:rFonts w:ascii="Calibri" w:hAnsi="Calibri"/>
                <w:color w:val="000000"/>
                <w:szCs w:val="18"/>
              </w:rPr>
              <w:t>135</w:t>
            </w:r>
          </w:p>
        </w:tc>
        <w:tc>
          <w:tcPr>
            <w:tcW w:w="493" w:type="pct"/>
            <w:tcMar>
              <w:left w:w="108" w:type="dxa"/>
              <w:right w:w="108" w:type="dxa"/>
            </w:tcMar>
          </w:tcPr>
          <w:p w14:paraId="6539A542" w14:textId="5FA4A540" w:rsidR="00C531BA" w:rsidRPr="00C32CCF" w:rsidRDefault="00C531BA" w:rsidP="00733737">
            <w:pPr>
              <w:pStyle w:val="TableText"/>
              <w:jc w:val="right"/>
              <w:rPr>
                <w:rFonts w:ascii="Calibri" w:hAnsi="Calibri"/>
                <w:color w:val="000000"/>
                <w:szCs w:val="18"/>
              </w:rPr>
            </w:pPr>
            <w:r>
              <w:rPr>
                <w:rFonts w:ascii="Calibri" w:hAnsi="Calibri"/>
                <w:color w:val="000000"/>
                <w:szCs w:val="18"/>
              </w:rPr>
              <w:t>14,405</w:t>
            </w:r>
          </w:p>
        </w:tc>
        <w:tc>
          <w:tcPr>
            <w:tcW w:w="516" w:type="pct"/>
            <w:tcMar>
              <w:left w:w="108" w:type="dxa"/>
              <w:right w:w="108" w:type="dxa"/>
            </w:tcMar>
          </w:tcPr>
          <w:p w14:paraId="6F85BE19" w14:textId="7D47BF69" w:rsidR="00C531BA" w:rsidRPr="00C32CCF" w:rsidRDefault="00C531BA" w:rsidP="00733737">
            <w:pPr>
              <w:pStyle w:val="TableText"/>
              <w:jc w:val="right"/>
              <w:rPr>
                <w:highlight w:val="yellow"/>
              </w:rPr>
            </w:pPr>
            <w:r>
              <w:rPr>
                <w:rFonts w:ascii="Calibri" w:hAnsi="Calibri"/>
                <w:color w:val="000000"/>
                <w:szCs w:val="18"/>
              </w:rPr>
              <w:t>1,944,675</w:t>
            </w:r>
          </w:p>
        </w:tc>
      </w:tr>
      <w:tr w:rsidR="00C531BA" w:rsidRPr="00C32CCF" w14:paraId="219A3E44" w14:textId="77777777" w:rsidTr="00511E60">
        <w:tc>
          <w:tcPr>
            <w:tcW w:w="808" w:type="pct"/>
            <w:vMerge/>
            <w:tcMar>
              <w:left w:w="108" w:type="dxa"/>
              <w:right w:w="108" w:type="dxa"/>
            </w:tcMar>
          </w:tcPr>
          <w:p w14:paraId="7AE67DD0" w14:textId="77777777" w:rsidR="00C531BA" w:rsidRPr="0018484D" w:rsidRDefault="00C531BA" w:rsidP="00733737">
            <w:pPr>
              <w:pStyle w:val="TableText"/>
            </w:pPr>
          </w:p>
        </w:tc>
        <w:tc>
          <w:tcPr>
            <w:tcW w:w="451" w:type="pct"/>
            <w:tcMar>
              <w:left w:w="108" w:type="dxa"/>
              <w:right w:w="108" w:type="dxa"/>
            </w:tcMar>
          </w:tcPr>
          <w:p w14:paraId="777596DC" w14:textId="4738A48E" w:rsidR="00C531BA" w:rsidRPr="00A10BE3" w:rsidRDefault="00C531BA" w:rsidP="00AD2CA4">
            <w:pPr>
              <w:pStyle w:val="TableText"/>
              <w:jc w:val="right"/>
              <w:rPr>
                <w:rFonts w:cstheme="minorHAnsi"/>
              </w:rPr>
            </w:pPr>
            <w:r>
              <w:rPr>
                <w:rFonts w:cstheme="minorHAnsi"/>
              </w:rPr>
              <w:t>564,672</w:t>
            </w:r>
          </w:p>
        </w:tc>
        <w:tc>
          <w:tcPr>
            <w:tcW w:w="1623" w:type="pct"/>
            <w:tcMar>
              <w:left w:w="108" w:type="dxa"/>
              <w:right w:w="108" w:type="dxa"/>
            </w:tcMar>
          </w:tcPr>
          <w:p w14:paraId="75297153" w14:textId="0012C2E4" w:rsidR="00C531BA" w:rsidRPr="009213D8" w:rsidRDefault="00C531BA" w:rsidP="00733737">
            <w:pPr>
              <w:pStyle w:val="TableText"/>
            </w:pPr>
            <w:r>
              <w:t>Reservation</w:t>
            </w:r>
            <w:r w:rsidRPr="009213D8">
              <w:t xml:space="preserve"> charge – horses</w:t>
            </w:r>
          </w:p>
        </w:tc>
        <w:tc>
          <w:tcPr>
            <w:tcW w:w="757" w:type="pct"/>
            <w:tcMar>
              <w:left w:w="108" w:type="dxa"/>
              <w:right w:w="108" w:type="dxa"/>
            </w:tcMar>
          </w:tcPr>
          <w:p w14:paraId="51ED83A6" w14:textId="77777777" w:rsidR="00C531BA" w:rsidRPr="009213D8" w:rsidRDefault="00C531BA" w:rsidP="00733737">
            <w:pPr>
              <w:pStyle w:val="TableText"/>
            </w:pPr>
            <w:r w:rsidRPr="009213D8">
              <w:t>Per animal</w:t>
            </w:r>
          </w:p>
        </w:tc>
        <w:tc>
          <w:tcPr>
            <w:tcW w:w="352" w:type="pct"/>
            <w:tcMar>
              <w:left w:w="108" w:type="dxa"/>
              <w:right w:w="108" w:type="dxa"/>
            </w:tcMar>
          </w:tcPr>
          <w:p w14:paraId="1FE052F2" w14:textId="09CC7843" w:rsidR="00C531BA" w:rsidRPr="008A370F" w:rsidRDefault="00C531BA" w:rsidP="00733737">
            <w:pPr>
              <w:pStyle w:val="TableText"/>
              <w:jc w:val="right"/>
              <w:rPr>
                <w:rFonts w:ascii="Calibri" w:hAnsi="Calibri"/>
                <w:color w:val="000000"/>
                <w:szCs w:val="18"/>
              </w:rPr>
            </w:pPr>
            <w:r>
              <w:rPr>
                <w:rFonts w:ascii="Calibri" w:hAnsi="Calibri"/>
                <w:color w:val="000000"/>
                <w:szCs w:val="18"/>
              </w:rPr>
              <w:t>1,088</w:t>
            </w:r>
          </w:p>
        </w:tc>
        <w:tc>
          <w:tcPr>
            <w:tcW w:w="493" w:type="pct"/>
            <w:tcMar>
              <w:left w:w="108" w:type="dxa"/>
              <w:right w:w="108" w:type="dxa"/>
            </w:tcMar>
          </w:tcPr>
          <w:p w14:paraId="7BDAC702" w14:textId="1BA02F98" w:rsidR="00C531BA" w:rsidRDefault="00C531BA" w:rsidP="00733737">
            <w:pPr>
              <w:pStyle w:val="TableText"/>
              <w:jc w:val="right"/>
              <w:rPr>
                <w:rFonts w:ascii="Calibri" w:hAnsi="Calibri"/>
                <w:color w:val="000000"/>
                <w:szCs w:val="18"/>
              </w:rPr>
            </w:pPr>
            <w:r>
              <w:t>519</w:t>
            </w:r>
          </w:p>
        </w:tc>
        <w:tc>
          <w:tcPr>
            <w:tcW w:w="516" w:type="pct"/>
            <w:tcMar>
              <w:left w:w="108" w:type="dxa"/>
              <w:right w:w="108" w:type="dxa"/>
            </w:tcMar>
          </w:tcPr>
          <w:p w14:paraId="1311814E" w14:textId="63F31796" w:rsidR="00C531BA" w:rsidRDefault="00C531BA" w:rsidP="00733737">
            <w:pPr>
              <w:pStyle w:val="TableText"/>
              <w:jc w:val="right"/>
              <w:rPr>
                <w:rFonts w:ascii="Calibri" w:hAnsi="Calibri"/>
                <w:color w:val="000000"/>
                <w:szCs w:val="18"/>
              </w:rPr>
            </w:pPr>
            <w:r>
              <w:t>564,672</w:t>
            </w:r>
          </w:p>
        </w:tc>
      </w:tr>
      <w:tr w:rsidR="00C531BA" w:rsidRPr="00C32CCF" w14:paraId="32B68D93" w14:textId="77777777" w:rsidTr="00511E60">
        <w:tc>
          <w:tcPr>
            <w:tcW w:w="808" w:type="pct"/>
            <w:vMerge/>
            <w:tcMar>
              <w:left w:w="108" w:type="dxa"/>
              <w:right w:w="108" w:type="dxa"/>
            </w:tcMar>
          </w:tcPr>
          <w:p w14:paraId="355381A2" w14:textId="77777777" w:rsidR="00C531BA" w:rsidRPr="0018484D" w:rsidRDefault="00C531BA" w:rsidP="00733737">
            <w:pPr>
              <w:pStyle w:val="TableText"/>
            </w:pPr>
          </w:p>
        </w:tc>
        <w:tc>
          <w:tcPr>
            <w:tcW w:w="451" w:type="pct"/>
            <w:tcMar>
              <w:left w:w="108" w:type="dxa"/>
              <w:right w:w="108" w:type="dxa"/>
            </w:tcMar>
          </w:tcPr>
          <w:p w14:paraId="5FA0EFE7" w14:textId="094CE295" w:rsidR="00C531BA" w:rsidRPr="00A10BE3" w:rsidRDefault="00C531BA" w:rsidP="00AD2CA4">
            <w:pPr>
              <w:pStyle w:val="TableText"/>
              <w:jc w:val="right"/>
              <w:rPr>
                <w:rFonts w:cstheme="minorHAnsi"/>
              </w:rPr>
            </w:pPr>
            <w:r>
              <w:rPr>
                <w:rFonts w:cstheme="minorHAnsi"/>
              </w:rPr>
              <w:t>2,258,688</w:t>
            </w:r>
          </w:p>
        </w:tc>
        <w:tc>
          <w:tcPr>
            <w:tcW w:w="1623" w:type="pct"/>
            <w:tcMar>
              <w:left w:w="108" w:type="dxa"/>
              <w:right w:w="108" w:type="dxa"/>
            </w:tcMar>
          </w:tcPr>
          <w:p w14:paraId="3C2058C5" w14:textId="40E62F33" w:rsidR="00C531BA" w:rsidRPr="009213D8" w:rsidRDefault="00C531BA" w:rsidP="00733737">
            <w:pPr>
              <w:pStyle w:val="TableText"/>
            </w:pPr>
            <w:r w:rsidRPr="0018484D">
              <w:t>Confirmation of reservation charge</w:t>
            </w:r>
            <w:r>
              <w:t xml:space="preserve"> – </w:t>
            </w:r>
            <w:r w:rsidRPr="0018484D">
              <w:t>horses</w:t>
            </w:r>
          </w:p>
        </w:tc>
        <w:tc>
          <w:tcPr>
            <w:tcW w:w="757" w:type="pct"/>
            <w:tcMar>
              <w:left w:w="108" w:type="dxa"/>
              <w:right w:w="108" w:type="dxa"/>
            </w:tcMar>
          </w:tcPr>
          <w:p w14:paraId="3FFA4DF7" w14:textId="77777777" w:rsidR="00C531BA" w:rsidRPr="009213D8" w:rsidRDefault="00C531BA" w:rsidP="00733737">
            <w:pPr>
              <w:pStyle w:val="TableText"/>
            </w:pPr>
            <w:r w:rsidRPr="0018484D">
              <w:t>Per animal</w:t>
            </w:r>
          </w:p>
        </w:tc>
        <w:tc>
          <w:tcPr>
            <w:tcW w:w="352" w:type="pct"/>
            <w:tcMar>
              <w:left w:w="108" w:type="dxa"/>
              <w:right w:w="108" w:type="dxa"/>
            </w:tcMar>
          </w:tcPr>
          <w:p w14:paraId="008DD2C1" w14:textId="6BA70860" w:rsidR="00C531BA" w:rsidRPr="008A370F" w:rsidRDefault="00C531BA" w:rsidP="00733737">
            <w:pPr>
              <w:pStyle w:val="TableText"/>
              <w:jc w:val="right"/>
              <w:rPr>
                <w:rFonts w:ascii="Calibri" w:hAnsi="Calibri"/>
                <w:color w:val="000000"/>
                <w:szCs w:val="18"/>
              </w:rPr>
            </w:pPr>
            <w:r>
              <w:rPr>
                <w:rFonts w:ascii="Calibri" w:hAnsi="Calibri"/>
                <w:color w:val="000000"/>
                <w:szCs w:val="18"/>
              </w:rPr>
              <w:t>4,352</w:t>
            </w:r>
          </w:p>
        </w:tc>
        <w:tc>
          <w:tcPr>
            <w:tcW w:w="493" w:type="pct"/>
            <w:tcMar>
              <w:left w:w="108" w:type="dxa"/>
              <w:right w:w="108" w:type="dxa"/>
            </w:tcMar>
          </w:tcPr>
          <w:p w14:paraId="5BDAD74E" w14:textId="5D48DBF5" w:rsidR="00C531BA" w:rsidRDefault="00C531BA" w:rsidP="00733737">
            <w:pPr>
              <w:pStyle w:val="TableText"/>
              <w:jc w:val="right"/>
              <w:rPr>
                <w:rFonts w:ascii="Calibri" w:hAnsi="Calibri"/>
                <w:color w:val="000000"/>
                <w:szCs w:val="18"/>
              </w:rPr>
            </w:pPr>
            <w:r>
              <w:rPr>
                <w:rFonts w:ascii="Calibri" w:hAnsi="Calibri"/>
                <w:color w:val="000000"/>
                <w:szCs w:val="18"/>
              </w:rPr>
              <w:t>519</w:t>
            </w:r>
          </w:p>
        </w:tc>
        <w:tc>
          <w:tcPr>
            <w:tcW w:w="516" w:type="pct"/>
            <w:tcMar>
              <w:left w:w="108" w:type="dxa"/>
              <w:right w:w="108" w:type="dxa"/>
            </w:tcMar>
          </w:tcPr>
          <w:p w14:paraId="7582B715" w14:textId="2C04BD8C" w:rsidR="00C531BA" w:rsidRDefault="00C531BA" w:rsidP="00733737">
            <w:pPr>
              <w:pStyle w:val="TableText"/>
              <w:jc w:val="right"/>
              <w:rPr>
                <w:rFonts w:ascii="Calibri" w:hAnsi="Calibri"/>
                <w:color w:val="000000"/>
                <w:szCs w:val="18"/>
              </w:rPr>
            </w:pPr>
            <w:r>
              <w:rPr>
                <w:rFonts w:ascii="Calibri" w:hAnsi="Calibri"/>
                <w:color w:val="000000"/>
                <w:szCs w:val="18"/>
              </w:rPr>
              <w:t>2,258,688</w:t>
            </w:r>
          </w:p>
        </w:tc>
      </w:tr>
      <w:tr w:rsidR="00C531BA" w:rsidRPr="00C32CCF" w14:paraId="4724218E" w14:textId="77777777" w:rsidTr="00511E60">
        <w:tc>
          <w:tcPr>
            <w:tcW w:w="808" w:type="pct"/>
            <w:vMerge/>
            <w:tcMar>
              <w:left w:w="108" w:type="dxa"/>
              <w:right w:w="108" w:type="dxa"/>
            </w:tcMar>
          </w:tcPr>
          <w:p w14:paraId="20621E71" w14:textId="77777777" w:rsidR="00C531BA" w:rsidRPr="0018484D" w:rsidRDefault="00C531BA" w:rsidP="00733737">
            <w:pPr>
              <w:pStyle w:val="TableText"/>
            </w:pPr>
          </w:p>
        </w:tc>
        <w:tc>
          <w:tcPr>
            <w:tcW w:w="451" w:type="pct"/>
            <w:tcMar>
              <w:left w:w="108" w:type="dxa"/>
              <w:right w:w="108" w:type="dxa"/>
            </w:tcMar>
          </w:tcPr>
          <w:p w14:paraId="6F3686F3" w14:textId="77777777" w:rsidR="00C531BA" w:rsidRPr="00A10BE3" w:rsidRDefault="00C531BA" w:rsidP="00AD2CA4">
            <w:pPr>
              <w:pStyle w:val="TableText"/>
              <w:jc w:val="right"/>
              <w:rPr>
                <w:rFonts w:cstheme="minorHAnsi"/>
              </w:rPr>
            </w:pPr>
            <w:r w:rsidRPr="00A10BE3">
              <w:rPr>
                <w:rFonts w:cstheme="minorHAnsi"/>
              </w:rPr>
              <w:t>–</w:t>
            </w:r>
          </w:p>
        </w:tc>
        <w:tc>
          <w:tcPr>
            <w:tcW w:w="1623" w:type="pct"/>
            <w:tcMar>
              <w:left w:w="108" w:type="dxa"/>
              <w:right w:w="108" w:type="dxa"/>
            </w:tcMar>
          </w:tcPr>
          <w:p w14:paraId="19E4176F" w14:textId="77777777" w:rsidR="00C531BA" w:rsidRPr="009213D8" w:rsidRDefault="00C531BA" w:rsidP="00733737">
            <w:pPr>
              <w:pStyle w:val="TableText"/>
            </w:pPr>
            <w:r>
              <w:t>Reservation</w:t>
            </w:r>
            <w:r w:rsidRPr="009213D8">
              <w:t xml:space="preserve"> charge – ruminants</w:t>
            </w:r>
          </w:p>
        </w:tc>
        <w:tc>
          <w:tcPr>
            <w:tcW w:w="757" w:type="pct"/>
            <w:tcMar>
              <w:left w:w="108" w:type="dxa"/>
              <w:right w:w="108" w:type="dxa"/>
            </w:tcMar>
          </w:tcPr>
          <w:p w14:paraId="5E63BA3D" w14:textId="77777777" w:rsidR="00C531BA" w:rsidRPr="009213D8" w:rsidRDefault="00C531BA" w:rsidP="00733737">
            <w:pPr>
              <w:pStyle w:val="TableText"/>
            </w:pPr>
            <w:r w:rsidRPr="009213D8">
              <w:t>Per animal</w:t>
            </w:r>
          </w:p>
        </w:tc>
        <w:tc>
          <w:tcPr>
            <w:tcW w:w="352" w:type="pct"/>
            <w:tcMar>
              <w:left w:w="108" w:type="dxa"/>
              <w:right w:w="108" w:type="dxa"/>
            </w:tcMar>
          </w:tcPr>
          <w:p w14:paraId="32ECA9DA" w14:textId="56F1B9AC" w:rsidR="00C531BA" w:rsidRPr="008A370F" w:rsidRDefault="00C531BA" w:rsidP="00733737">
            <w:pPr>
              <w:pStyle w:val="TableText"/>
              <w:jc w:val="right"/>
              <w:rPr>
                <w:rFonts w:ascii="Calibri" w:hAnsi="Calibri"/>
                <w:color w:val="000000"/>
                <w:szCs w:val="18"/>
              </w:rPr>
            </w:pPr>
            <w:r>
              <w:rPr>
                <w:rFonts w:ascii="Calibri" w:hAnsi="Calibri"/>
                <w:color w:val="000000"/>
                <w:szCs w:val="18"/>
              </w:rPr>
              <w:t>1,112</w:t>
            </w:r>
          </w:p>
        </w:tc>
        <w:tc>
          <w:tcPr>
            <w:tcW w:w="493" w:type="pct"/>
            <w:tcMar>
              <w:left w:w="108" w:type="dxa"/>
              <w:right w:w="108" w:type="dxa"/>
            </w:tcMar>
          </w:tcPr>
          <w:p w14:paraId="3C3CD50E" w14:textId="77777777" w:rsidR="00C531BA" w:rsidRDefault="00C531BA" w:rsidP="00733737">
            <w:pPr>
              <w:pStyle w:val="TableText"/>
              <w:jc w:val="right"/>
              <w:rPr>
                <w:rFonts w:ascii="Calibri" w:hAnsi="Calibri"/>
                <w:color w:val="000000"/>
                <w:szCs w:val="18"/>
              </w:rPr>
            </w:pPr>
            <w:r w:rsidRPr="00A10BE3">
              <w:rPr>
                <w:rFonts w:cstheme="minorHAnsi"/>
              </w:rPr>
              <w:t>–</w:t>
            </w:r>
          </w:p>
        </w:tc>
        <w:tc>
          <w:tcPr>
            <w:tcW w:w="516" w:type="pct"/>
            <w:tcMar>
              <w:left w:w="108" w:type="dxa"/>
              <w:right w:w="108" w:type="dxa"/>
            </w:tcMar>
          </w:tcPr>
          <w:p w14:paraId="04C65128" w14:textId="77777777" w:rsidR="00C531BA" w:rsidRDefault="00C531BA" w:rsidP="00733737">
            <w:pPr>
              <w:pStyle w:val="TableText"/>
              <w:jc w:val="right"/>
              <w:rPr>
                <w:rFonts w:ascii="Calibri" w:hAnsi="Calibri"/>
                <w:color w:val="000000"/>
                <w:szCs w:val="18"/>
              </w:rPr>
            </w:pPr>
            <w:r w:rsidRPr="00A10BE3">
              <w:rPr>
                <w:rFonts w:cstheme="minorHAnsi"/>
              </w:rPr>
              <w:t>–</w:t>
            </w:r>
          </w:p>
        </w:tc>
      </w:tr>
      <w:tr w:rsidR="00C531BA" w:rsidRPr="00C32CCF" w14:paraId="67F759AD" w14:textId="77777777" w:rsidTr="00511E60">
        <w:tc>
          <w:tcPr>
            <w:tcW w:w="808" w:type="pct"/>
            <w:vMerge/>
            <w:tcMar>
              <w:left w:w="108" w:type="dxa"/>
              <w:right w:w="108" w:type="dxa"/>
            </w:tcMar>
          </w:tcPr>
          <w:p w14:paraId="50281D00" w14:textId="77777777" w:rsidR="00C531BA" w:rsidRPr="0018484D" w:rsidRDefault="00C531BA" w:rsidP="00733737">
            <w:pPr>
              <w:pStyle w:val="TableText"/>
            </w:pPr>
          </w:p>
        </w:tc>
        <w:tc>
          <w:tcPr>
            <w:tcW w:w="451" w:type="pct"/>
            <w:tcMar>
              <w:left w:w="108" w:type="dxa"/>
              <w:right w:w="108" w:type="dxa"/>
            </w:tcMar>
          </w:tcPr>
          <w:p w14:paraId="2DED6FBA" w14:textId="77777777" w:rsidR="00C531BA" w:rsidRPr="00A10BE3" w:rsidRDefault="00C531BA" w:rsidP="00AD2CA4">
            <w:pPr>
              <w:pStyle w:val="TableText"/>
              <w:jc w:val="right"/>
              <w:rPr>
                <w:rFonts w:cstheme="minorHAnsi"/>
              </w:rPr>
            </w:pPr>
            <w:r w:rsidRPr="00A10BE3">
              <w:rPr>
                <w:rFonts w:cstheme="minorHAnsi"/>
              </w:rPr>
              <w:t>–</w:t>
            </w:r>
          </w:p>
        </w:tc>
        <w:tc>
          <w:tcPr>
            <w:tcW w:w="1623" w:type="pct"/>
            <w:tcMar>
              <w:left w:w="108" w:type="dxa"/>
              <w:right w:w="108" w:type="dxa"/>
            </w:tcMar>
          </w:tcPr>
          <w:p w14:paraId="08E40D89" w14:textId="77777777" w:rsidR="00C531BA" w:rsidRPr="009213D8" w:rsidRDefault="00C531BA" w:rsidP="00733737">
            <w:pPr>
              <w:pStyle w:val="TableText"/>
            </w:pPr>
            <w:r>
              <w:t>Confirmation of reservation</w:t>
            </w:r>
            <w:r w:rsidRPr="009213D8">
              <w:t xml:space="preserve"> charge – ruminants</w:t>
            </w:r>
          </w:p>
        </w:tc>
        <w:tc>
          <w:tcPr>
            <w:tcW w:w="757" w:type="pct"/>
            <w:tcMar>
              <w:left w:w="108" w:type="dxa"/>
              <w:right w:w="108" w:type="dxa"/>
            </w:tcMar>
          </w:tcPr>
          <w:p w14:paraId="2FE807E1" w14:textId="77777777" w:rsidR="00C531BA" w:rsidRPr="009213D8" w:rsidRDefault="00C531BA" w:rsidP="00733737">
            <w:pPr>
              <w:pStyle w:val="TableText"/>
            </w:pPr>
            <w:r w:rsidRPr="009213D8">
              <w:t>Per animal</w:t>
            </w:r>
          </w:p>
        </w:tc>
        <w:tc>
          <w:tcPr>
            <w:tcW w:w="352" w:type="pct"/>
            <w:tcMar>
              <w:left w:w="108" w:type="dxa"/>
              <w:right w:w="108" w:type="dxa"/>
            </w:tcMar>
          </w:tcPr>
          <w:p w14:paraId="738304AC" w14:textId="17CF83E5" w:rsidR="00C531BA" w:rsidRPr="008A370F" w:rsidRDefault="00C531BA" w:rsidP="00733737">
            <w:pPr>
              <w:pStyle w:val="TableText"/>
              <w:jc w:val="right"/>
              <w:rPr>
                <w:rFonts w:ascii="Calibri" w:hAnsi="Calibri"/>
                <w:color w:val="000000"/>
                <w:szCs w:val="18"/>
              </w:rPr>
            </w:pPr>
            <w:r>
              <w:rPr>
                <w:rFonts w:ascii="Calibri" w:hAnsi="Calibri"/>
                <w:color w:val="000000"/>
                <w:szCs w:val="18"/>
              </w:rPr>
              <w:t>4,447</w:t>
            </w:r>
          </w:p>
        </w:tc>
        <w:tc>
          <w:tcPr>
            <w:tcW w:w="493" w:type="pct"/>
            <w:tcMar>
              <w:left w:w="108" w:type="dxa"/>
              <w:right w:w="108" w:type="dxa"/>
            </w:tcMar>
          </w:tcPr>
          <w:p w14:paraId="045734B2" w14:textId="77777777" w:rsidR="00C531BA" w:rsidRDefault="00C531BA" w:rsidP="00733737">
            <w:pPr>
              <w:pStyle w:val="TableText"/>
              <w:jc w:val="right"/>
              <w:rPr>
                <w:rFonts w:ascii="Calibri" w:hAnsi="Calibri"/>
                <w:color w:val="000000"/>
                <w:szCs w:val="18"/>
              </w:rPr>
            </w:pPr>
            <w:r w:rsidRPr="00A10BE3">
              <w:rPr>
                <w:rFonts w:cstheme="minorHAnsi"/>
              </w:rPr>
              <w:t>–</w:t>
            </w:r>
          </w:p>
        </w:tc>
        <w:tc>
          <w:tcPr>
            <w:tcW w:w="516" w:type="pct"/>
            <w:tcMar>
              <w:left w:w="108" w:type="dxa"/>
              <w:right w:w="108" w:type="dxa"/>
            </w:tcMar>
          </w:tcPr>
          <w:p w14:paraId="208D4E08" w14:textId="77777777" w:rsidR="00C531BA" w:rsidRDefault="00C531BA" w:rsidP="00733737">
            <w:pPr>
              <w:pStyle w:val="TableText"/>
              <w:jc w:val="right"/>
              <w:rPr>
                <w:rFonts w:ascii="Calibri" w:hAnsi="Calibri"/>
                <w:color w:val="000000"/>
                <w:szCs w:val="18"/>
              </w:rPr>
            </w:pPr>
            <w:r w:rsidRPr="00A10BE3">
              <w:rPr>
                <w:rFonts w:cstheme="minorHAnsi"/>
              </w:rPr>
              <w:t>–</w:t>
            </w:r>
          </w:p>
        </w:tc>
      </w:tr>
      <w:tr w:rsidR="00C531BA" w:rsidRPr="00C32CCF" w14:paraId="0408096B" w14:textId="77777777" w:rsidTr="00511E60">
        <w:tc>
          <w:tcPr>
            <w:tcW w:w="808" w:type="pct"/>
            <w:vMerge/>
            <w:tcMar>
              <w:left w:w="108" w:type="dxa"/>
              <w:right w:w="108" w:type="dxa"/>
            </w:tcMar>
          </w:tcPr>
          <w:p w14:paraId="17383AB6" w14:textId="77777777" w:rsidR="00C531BA" w:rsidRPr="0018484D" w:rsidRDefault="00C531BA" w:rsidP="00733737">
            <w:pPr>
              <w:pStyle w:val="TableText"/>
            </w:pPr>
          </w:p>
        </w:tc>
        <w:tc>
          <w:tcPr>
            <w:tcW w:w="451" w:type="pct"/>
            <w:tcMar>
              <w:left w:w="108" w:type="dxa"/>
              <w:right w:w="108" w:type="dxa"/>
            </w:tcMar>
          </w:tcPr>
          <w:p w14:paraId="63310B11" w14:textId="62C1C18D" w:rsidR="00C531BA" w:rsidRPr="00A10BE3" w:rsidRDefault="00C531BA" w:rsidP="00AD2CA4">
            <w:pPr>
              <w:pStyle w:val="TableText"/>
              <w:jc w:val="right"/>
              <w:rPr>
                <w:rFonts w:cstheme="minorHAnsi"/>
              </w:rPr>
            </w:pPr>
            <w:r>
              <w:rPr>
                <w:rFonts w:cstheme="minorHAnsi"/>
              </w:rPr>
              <w:t>2,214,546</w:t>
            </w:r>
          </w:p>
        </w:tc>
        <w:tc>
          <w:tcPr>
            <w:tcW w:w="1623" w:type="pct"/>
            <w:tcMar>
              <w:left w:w="108" w:type="dxa"/>
              <w:right w:w="108" w:type="dxa"/>
            </w:tcMar>
          </w:tcPr>
          <w:p w14:paraId="6B8278CB" w14:textId="79A98D5E" w:rsidR="00C531BA" w:rsidRPr="009213D8" w:rsidRDefault="00C531BA" w:rsidP="00733737">
            <w:pPr>
              <w:pStyle w:val="TableText"/>
            </w:pPr>
            <w:r w:rsidRPr="009257DB">
              <w:t xml:space="preserve">Reservation charge </w:t>
            </w:r>
            <w:r w:rsidRPr="009213D8">
              <w:t>– animal</w:t>
            </w:r>
            <w:r>
              <w:t>s</w:t>
            </w:r>
            <w:r w:rsidRPr="009213D8">
              <w:t xml:space="preserve"> not covered by another item of this table (includes cat</w:t>
            </w:r>
            <w:r>
              <w:t>s</w:t>
            </w:r>
            <w:r w:rsidRPr="009213D8">
              <w:t xml:space="preserve"> or dog</w:t>
            </w:r>
            <w:r>
              <w:t>s</w:t>
            </w:r>
            <w:r w:rsidRPr="009213D8">
              <w:t>)</w:t>
            </w:r>
          </w:p>
        </w:tc>
        <w:tc>
          <w:tcPr>
            <w:tcW w:w="757" w:type="pct"/>
            <w:tcMar>
              <w:left w:w="108" w:type="dxa"/>
              <w:right w:w="108" w:type="dxa"/>
            </w:tcMar>
          </w:tcPr>
          <w:p w14:paraId="0760F9FD" w14:textId="77777777" w:rsidR="00C531BA" w:rsidRPr="009213D8" w:rsidRDefault="00C531BA" w:rsidP="00733737">
            <w:pPr>
              <w:pStyle w:val="TableText"/>
            </w:pPr>
            <w:r w:rsidRPr="009213D8">
              <w:t>Per animal</w:t>
            </w:r>
          </w:p>
        </w:tc>
        <w:tc>
          <w:tcPr>
            <w:tcW w:w="352" w:type="pct"/>
            <w:tcMar>
              <w:left w:w="108" w:type="dxa"/>
              <w:right w:w="108" w:type="dxa"/>
            </w:tcMar>
          </w:tcPr>
          <w:p w14:paraId="2E63044D" w14:textId="757EF4D5" w:rsidR="00C531BA" w:rsidRPr="008A370F" w:rsidRDefault="00C531BA" w:rsidP="00733737">
            <w:pPr>
              <w:pStyle w:val="TableText"/>
              <w:jc w:val="right"/>
              <w:rPr>
                <w:rFonts w:ascii="Calibri" w:hAnsi="Calibri"/>
                <w:color w:val="000000"/>
                <w:szCs w:val="18"/>
              </w:rPr>
            </w:pPr>
            <w:r>
              <w:rPr>
                <w:rFonts w:ascii="Calibri" w:hAnsi="Calibri"/>
                <w:color w:val="000000"/>
                <w:szCs w:val="18"/>
              </w:rPr>
              <w:t>282</w:t>
            </w:r>
          </w:p>
        </w:tc>
        <w:tc>
          <w:tcPr>
            <w:tcW w:w="493" w:type="pct"/>
            <w:tcMar>
              <w:left w:w="108" w:type="dxa"/>
              <w:right w:w="108" w:type="dxa"/>
            </w:tcMar>
          </w:tcPr>
          <w:p w14:paraId="27A8C9F4" w14:textId="3F2B3741" w:rsidR="00C531BA" w:rsidRDefault="00C531BA" w:rsidP="00733737">
            <w:pPr>
              <w:pStyle w:val="TableText"/>
              <w:jc w:val="right"/>
              <w:rPr>
                <w:rFonts w:ascii="Calibri" w:hAnsi="Calibri"/>
                <w:color w:val="000000"/>
                <w:szCs w:val="18"/>
              </w:rPr>
            </w:pPr>
            <w:r>
              <w:rPr>
                <w:rFonts w:ascii="Calibri" w:hAnsi="Calibri"/>
                <w:color w:val="000000"/>
                <w:szCs w:val="18"/>
              </w:rPr>
              <w:t>7,853</w:t>
            </w:r>
          </w:p>
        </w:tc>
        <w:tc>
          <w:tcPr>
            <w:tcW w:w="516" w:type="pct"/>
            <w:tcMar>
              <w:left w:w="108" w:type="dxa"/>
              <w:right w:w="108" w:type="dxa"/>
            </w:tcMar>
          </w:tcPr>
          <w:p w14:paraId="1158502A" w14:textId="059723D2" w:rsidR="00C531BA" w:rsidRDefault="00C531BA" w:rsidP="00733737">
            <w:pPr>
              <w:pStyle w:val="TableText"/>
              <w:jc w:val="right"/>
              <w:rPr>
                <w:rFonts w:ascii="Calibri" w:hAnsi="Calibri"/>
                <w:color w:val="000000"/>
                <w:szCs w:val="18"/>
              </w:rPr>
            </w:pPr>
            <w:r>
              <w:rPr>
                <w:rFonts w:ascii="Calibri" w:hAnsi="Calibri"/>
                <w:color w:val="000000"/>
                <w:szCs w:val="18"/>
              </w:rPr>
              <w:t>2,214,546</w:t>
            </w:r>
          </w:p>
        </w:tc>
      </w:tr>
      <w:tr w:rsidR="00C531BA" w:rsidRPr="00C32CCF" w14:paraId="6522ED16" w14:textId="77777777" w:rsidTr="00511E60">
        <w:tc>
          <w:tcPr>
            <w:tcW w:w="808" w:type="pct"/>
            <w:vMerge/>
            <w:tcMar>
              <w:left w:w="108" w:type="dxa"/>
              <w:right w:w="108" w:type="dxa"/>
            </w:tcMar>
          </w:tcPr>
          <w:p w14:paraId="435DFD27" w14:textId="77777777" w:rsidR="00C531BA" w:rsidRPr="0018484D" w:rsidRDefault="00C531BA" w:rsidP="00733737">
            <w:pPr>
              <w:pStyle w:val="TableText"/>
            </w:pPr>
          </w:p>
        </w:tc>
        <w:tc>
          <w:tcPr>
            <w:tcW w:w="451" w:type="pct"/>
            <w:tcMar>
              <w:left w:w="108" w:type="dxa"/>
              <w:right w:w="108" w:type="dxa"/>
            </w:tcMar>
          </w:tcPr>
          <w:p w14:paraId="07C58C40" w14:textId="6CD10255" w:rsidR="00C531BA" w:rsidRPr="00A10BE3" w:rsidRDefault="00C531BA" w:rsidP="00AD2CA4">
            <w:pPr>
              <w:pStyle w:val="TableText"/>
              <w:jc w:val="right"/>
              <w:rPr>
                <w:rFonts w:cstheme="minorHAnsi"/>
              </w:rPr>
            </w:pPr>
            <w:r>
              <w:rPr>
                <w:rFonts w:cstheme="minorHAnsi"/>
              </w:rPr>
              <w:t>8,081,348</w:t>
            </w:r>
          </w:p>
        </w:tc>
        <w:tc>
          <w:tcPr>
            <w:tcW w:w="1623" w:type="pct"/>
            <w:tcMar>
              <w:left w:w="108" w:type="dxa"/>
              <w:right w:w="108" w:type="dxa"/>
            </w:tcMar>
          </w:tcPr>
          <w:p w14:paraId="40A226E0" w14:textId="18EE81FE" w:rsidR="00C531BA" w:rsidRPr="009213D8" w:rsidRDefault="00C531BA" w:rsidP="00733737">
            <w:pPr>
              <w:pStyle w:val="TableText"/>
            </w:pPr>
            <w:r>
              <w:t>Confirmation of r</w:t>
            </w:r>
            <w:r w:rsidRPr="009257DB">
              <w:t xml:space="preserve">eservation charge </w:t>
            </w:r>
            <w:r w:rsidRPr="009213D8">
              <w:t>– animal</w:t>
            </w:r>
            <w:r>
              <w:t>s</w:t>
            </w:r>
            <w:r w:rsidRPr="009213D8">
              <w:t xml:space="preserve"> not covered by another item of this table (includes cat</w:t>
            </w:r>
            <w:r>
              <w:t>s</w:t>
            </w:r>
            <w:r w:rsidRPr="009213D8">
              <w:t xml:space="preserve"> or dog</w:t>
            </w:r>
            <w:r>
              <w:t>s</w:t>
            </w:r>
            <w:r w:rsidRPr="009213D8">
              <w:t>)</w:t>
            </w:r>
          </w:p>
        </w:tc>
        <w:tc>
          <w:tcPr>
            <w:tcW w:w="757" w:type="pct"/>
            <w:tcMar>
              <w:left w:w="108" w:type="dxa"/>
              <w:right w:w="108" w:type="dxa"/>
            </w:tcMar>
          </w:tcPr>
          <w:p w14:paraId="27BA3EFC" w14:textId="77777777" w:rsidR="00C531BA" w:rsidRPr="009213D8" w:rsidRDefault="00C531BA" w:rsidP="00733737">
            <w:pPr>
              <w:pStyle w:val="TableText"/>
            </w:pPr>
            <w:r>
              <w:t>Per animal</w:t>
            </w:r>
          </w:p>
        </w:tc>
        <w:tc>
          <w:tcPr>
            <w:tcW w:w="352" w:type="pct"/>
            <w:tcMar>
              <w:left w:w="108" w:type="dxa"/>
              <w:right w:w="108" w:type="dxa"/>
            </w:tcMar>
          </w:tcPr>
          <w:p w14:paraId="2F0F1AB2" w14:textId="70D7A95B" w:rsidR="00C531BA" w:rsidRPr="008A370F" w:rsidRDefault="00C531BA" w:rsidP="00733737">
            <w:pPr>
              <w:pStyle w:val="TableText"/>
              <w:jc w:val="right"/>
              <w:rPr>
                <w:rFonts w:ascii="Calibri" w:hAnsi="Calibri"/>
                <w:color w:val="000000"/>
                <w:szCs w:val="18"/>
              </w:rPr>
            </w:pPr>
            <w:r>
              <w:rPr>
                <w:rFonts w:ascii="Calibri" w:hAnsi="Calibri"/>
                <w:color w:val="000000"/>
                <w:szCs w:val="18"/>
              </w:rPr>
              <w:t>1,132</w:t>
            </w:r>
          </w:p>
        </w:tc>
        <w:tc>
          <w:tcPr>
            <w:tcW w:w="493" w:type="pct"/>
            <w:tcMar>
              <w:left w:w="108" w:type="dxa"/>
              <w:right w:w="108" w:type="dxa"/>
            </w:tcMar>
          </w:tcPr>
          <w:p w14:paraId="717FEDA3" w14:textId="5B6D26C8" w:rsidR="00C531BA" w:rsidRDefault="00C531BA" w:rsidP="00733737">
            <w:pPr>
              <w:pStyle w:val="TableText"/>
              <w:jc w:val="right"/>
              <w:rPr>
                <w:rFonts w:ascii="Calibri" w:hAnsi="Calibri"/>
                <w:color w:val="000000"/>
                <w:szCs w:val="18"/>
              </w:rPr>
            </w:pPr>
            <w:r>
              <w:rPr>
                <w:rFonts w:ascii="Calibri" w:hAnsi="Calibri"/>
                <w:color w:val="000000"/>
                <w:szCs w:val="18"/>
              </w:rPr>
              <w:t>7,139</w:t>
            </w:r>
          </w:p>
        </w:tc>
        <w:tc>
          <w:tcPr>
            <w:tcW w:w="516" w:type="pct"/>
            <w:tcMar>
              <w:left w:w="108" w:type="dxa"/>
              <w:right w:w="108" w:type="dxa"/>
            </w:tcMar>
          </w:tcPr>
          <w:p w14:paraId="53CC7149" w14:textId="3DC6868D" w:rsidR="00C531BA" w:rsidRDefault="00C531BA" w:rsidP="00733737">
            <w:pPr>
              <w:pStyle w:val="TableText"/>
              <w:jc w:val="right"/>
              <w:rPr>
                <w:rFonts w:ascii="Calibri" w:hAnsi="Calibri"/>
                <w:color w:val="000000"/>
                <w:szCs w:val="18"/>
              </w:rPr>
            </w:pPr>
            <w:r>
              <w:rPr>
                <w:rFonts w:ascii="Calibri" w:hAnsi="Calibri"/>
                <w:color w:val="000000"/>
                <w:szCs w:val="18"/>
              </w:rPr>
              <w:t>8,081,348</w:t>
            </w:r>
          </w:p>
        </w:tc>
      </w:tr>
      <w:tr w:rsidR="00C531BA" w:rsidRPr="00C32CCF" w14:paraId="0AE226CF" w14:textId="77777777" w:rsidTr="00511E60">
        <w:tc>
          <w:tcPr>
            <w:tcW w:w="808" w:type="pct"/>
            <w:vMerge/>
            <w:tcMar>
              <w:left w:w="108" w:type="dxa"/>
              <w:right w:w="108" w:type="dxa"/>
            </w:tcMar>
          </w:tcPr>
          <w:p w14:paraId="07EE5098" w14:textId="77777777" w:rsidR="00C531BA" w:rsidRPr="0018484D" w:rsidRDefault="00C531BA" w:rsidP="00733737">
            <w:pPr>
              <w:pStyle w:val="TableText"/>
            </w:pPr>
          </w:p>
        </w:tc>
        <w:tc>
          <w:tcPr>
            <w:tcW w:w="451" w:type="pct"/>
            <w:tcMar>
              <w:left w:w="108" w:type="dxa"/>
              <w:right w:w="108" w:type="dxa"/>
            </w:tcMar>
          </w:tcPr>
          <w:p w14:paraId="5C968466" w14:textId="77777777" w:rsidR="00C531BA" w:rsidRPr="00A10BE3" w:rsidRDefault="00C531BA" w:rsidP="00AD2CA4">
            <w:pPr>
              <w:pStyle w:val="TableText"/>
              <w:jc w:val="right"/>
              <w:rPr>
                <w:rFonts w:cstheme="minorHAnsi"/>
              </w:rPr>
            </w:pPr>
            <w:r w:rsidRPr="00A10BE3">
              <w:rPr>
                <w:rFonts w:cstheme="minorHAnsi"/>
              </w:rPr>
              <w:t>–</w:t>
            </w:r>
          </w:p>
        </w:tc>
        <w:tc>
          <w:tcPr>
            <w:tcW w:w="1623" w:type="pct"/>
            <w:tcMar>
              <w:left w:w="108" w:type="dxa"/>
              <w:right w:w="108" w:type="dxa"/>
            </w:tcMar>
          </w:tcPr>
          <w:p w14:paraId="15622B34" w14:textId="77777777" w:rsidR="00C531BA" w:rsidRPr="009213D8" w:rsidRDefault="00C531BA" w:rsidP="00733737">
            <w:pPr>
              <w:pStyle w:val="TableText"/>
            </w:pPr>
            <w:r>
              <w:t xml:space="preserve">Reservation </w:t>
            </w:r>
            <w:r w:rsidRPr="009213D8">
              <w:t>charge – bees</w:t>
            </w:r>
          </w:p>
        </w:tc>
        <w:tc>
          <w:tcPr>
            <w:tcW w:w="757" w:type="pct"/>
            <w:tcMar>
              <w:left w:w="108" w:type="dxa"/>
              <w:right w:w="108" w:type="dxa"/>
            </w:tcMar>
          </w:tcPr>
          <w:p w14:paraId="72201DD0" w14:textId="77777777" w:rsidR="00C531BA" w:rsidRPr="009213D8" w:rsidRDefault="00C531BA" w:rsidP="00733737">
            <w:pPr>
              <w:pStyle w:val="TableText"/>
            </w:pPr>
            <w:r w:rsidRPr="009213D8">
              <w:t>Per bee consignment</w:t>
            </w:r>
          </w:p>
        </w:tc>
        <w:tc>
          <w:tcPr>
            <w:tcW w:w="352" w:type="pct"/>
            <w:tcMar>
              <w:left w:w="108" w:type="dxa"/>
              <w:right w:w="108" w:type="dxa"/>
            </w:tcMar>
          </w:tcPr>
          <w:p w14:paraId="5524B00B" w14:textId="6E97B93C" w:rsidR="00C531BA" w:rsidRPr="008A370F" w:rsidRDefault="00C531BA" w:rsidP="00733737">
            <w:pPr>
              <w:pStyle w:val="TableText"/>
              <w:jc w:val="right"/>
              <w:rPr>
                <w:rFonts w:ascii="Calibri" w:hAnsi="Calibri"/>
                <w:color w:val="000000"/>
                <w:szCs w:val="18"/>
              </w:rPr>
            </w:pPr>
            <w:r>
              <w:rPr>
                <w:rFonts w:ascii="Calibri" w:hAnsi="Calibri"/>
                <w:color w:val="000000"/>
                <w:szCs w:val="18"/>
              </w:rPr>
              <w:t>926</w:t>
            </w:r>
          </w:p>
        </w:tc>
        <w:tc>
          <w:tcPr>
            <w:tcW w:w="493" w:type="pct"/>
            <w:tcMar>
              <w:left w:w="108" w:type="dxa"/>
              <w:right w:w="108" w:type="dxa"/>
            </w:tcMar>
          </w:tcPr>
          <w:p w14:paraId="7B827D05" w14:textId="77777777" w:rsidR="00C531BA" w:rsidRDefault="00C531BA" w:rsidP="00733737">
            <w:pPr>
              <w:pStyle w:val="TableText"/>
              <w:jc w:val="right"/>
              <w:rPr>
                <w:rFonts w:ascii="Calibri" w:hAnsi="Calibri"/>
                <w:color w:val="000000"/>
                <w:szCs w:val="18"/>
              </w:rPr>
            </w:pPr>
            <w:r w:rsidRPr="00A10BE3">
              <w:rPr>
                <w:rFonts w:cstheme="minorHAnsi"/>
              </w:rPr>
              <w:t>–</w:t>
            </w:r>
          </w:p>
        </w:tc>
        <w:tc>
          <w:tcPr>
            <w:tcW w:w="516" w:type="pct"/>
            <w:tcMar>
              <w:left w:w="108" w:type="dxa"/>
              <w:right w:w="108" w:type="dxa"/>
            </w:tcMar>
          </w:tcPr>
          <w:p w14:paraId="58031FA7" w14:textId="77777777" w:rsidR="00C531BA" w:rsidRDefault="00C531BA" w:rsidP="00733737">
            <w:pPr>
              <w:pStyle w:val="TableText"/>
              <w:jc w:val="right"/>
              <w:rPr>
                <w:rFonts w:ascii="Calibri" w:hAnsi="Calibri"/>
                <w:color w:val="000000"/>
                <w:szCs w:val="18"/>
              </w:rPr>
            </w:pPr>
            <w:r w:rsidRPr="00A10BE3">
              <w:rPr>
                <w:rFonts w:cstheme="minorHAnsi"/>
              </w:rPr>
              <w:t>–</w:t>
            </w:r>
          </w:p>
        </w:tc>
      </w:tr>
      <w:tr w:rsidR="00C531BA" w:rsidRPr="00C32CCF" w14:paraId="5A624849" w14:textId="77777777" w:rsidTr="00511E60">
        <w:tc>
          <w:tcPr>
            <w:tcW w:w="808" w:type="pct"/>
            <w:vMerge/>
            <w:tcMar>
              <w:left w:w="108" w:type="dxa"/>
              <w:right w:w="108" w:type="dxa"/>
            </w:tcMar>
          </w:tcPr>
          <w:p w14:paraId="20F77E36" w14:textId="77777777" w:rsidR="00C531BA" w:rsidRPr="0018484D" w:rsidRDefault="00C531BA" w:rsidP="00733737">
            <w:pPr>
              <w:pStyle w:val="TableText"/>
            </w:pPr>
          </w:p>
        </w:tc>
        <w:tc>
          <w:tcPr>
            <w:tcW w:w="451" w:type="pct"/>
            <w:tcMar>
              <w:left w:w="108" w:type="dxa"/>
              <w:right w:w="108" w:type="dxa"/>
            </w:tcMar>
          </w:tcPr>
          <w:p w14:paraId="51B19B22" w14:textId="77777777" w:rsidR="00C531BA" w:rsidRPr="00A10BE3" w:rsidRDefault="00C531BA" w:rsidP="00AD2CA4">
            <w:pPr>
              <w:pStyle w:val="TableText"/>
              <w:jc w:val="right"/>
              <w:rPr>
                <w:rFonts w:cstheme="minorHAnsi"/>
              </w:rPr>
            </w:pPr>
            <w:r w:rsidRPr="00A10BE3">
              <w:rPr>
                <w:rFonts w:cstheme="minorHAnsi"/>
              </w:rPr>
              <w:t>–</w:t>
            </w:r>
          </w:p>
        </w:tc>
        <w:tc>
          <w:tcPr>
            <w:tcW w:w="1623" w:type="pct"/>
            <w:tcMar>
              <w:left w:w="108" w:type="dxa"/>
              <w:right w:w="108" w:type="dxa"/>
            </w:tcMar>
          </w:tcPr>
          <w:p w14:paraId="25994610" w14:textId="77777777" w:rsidR="00C531BA" w:rsidRPr="009213D8" w:rsidRDefault="00C531BA" w:rsidP="00733737">
            <w:pPr>
              <w:pStyle w:val="TableText"/>
            </w:pPr>
            <w:r>
              <w:t xml:space="preserve">Confirmation of reservation </w:t>
            </w:r>
            <w:r w:rsidRPr="009213D8">
              <w:t>charge – bees</w:t>
            </w:r>
          </w:p>
        </w:tc>
        <w:tc>
          <w:tcPr>
            <w:tcW w:w="757" w:type="pct"/>
            <w:tcMar>
              <w:left w:w="108" w:type="dxa"/>
              <w:right w:w="108" w:type="dxa"/>
            </w:tcMar>
          </w:tcPr>
          <w:p w14:paraId="04219E12" w14:textId="77777777" w:rsidR="00C531BA" w:rsidRPr="009213D8" w:rsidRDefault="00C531BA" w:rsidP="00733737">
            <w:pPr>
              <w:pStyle w:val="TableText"/>
            </w:pPr>
            <w:r w:rsidRPr="009213D8">
              <w:t>Per bee consignment</w:t>
            </w:r>
          </w:p>
        </w:tc>
        <w:tc>
          <w:tcPr>
            <w:tcW w:w="352" w:type="pct"/>
            <w:tcMar>
              <w:left w:w="108" w:type="dxa"/>
              <w:right w:w="108" w:type="dxa"/>
            </w:tcMar>
          </w:tcPr>
          <w:p w14:paraId="18B9CC3E" w14:textId="32F55F2C" w:rsidR="00C531BA" w:rsidRPr="008A370F" w:rsidRDefault="00C531BA" w:rsidP="00733737">
            <w:pPr>
              <w:pStyle w:val="TableText"/>
              <w:jc w:val="right"/>
              <w:rPr>
                <w:rFonts w:ascii="Calibri" w:hAnsi="Calibri"/>
                <w:color w:val="000000"/>
                <w:szCs w:val="18"/>
              </w:rPr>
            </w:pPr>
            <w:r>
              <w:rPr>
                <w:rFonts w:ascii="Calibri" w:hAnsi="Calibri"/>
                <w:color w:val="000000"/>
                <w:szCs w:val="18"/>
              </w:rPr>
              <w:t>3,707</w:t>
            </w:r>
          </w:p>
        </w:tc>
        <w:tc>
          <w:tcPr>
            <w:tcW w:w="493" w:type="pct"/>
            <w:tcMar>
              <w:left w:w="108" w:type="dxa"/>
              <w:right w:w="108" w:type="dxa"/>
            </w:tcMar>
          </w:tcPr>
          <w:p w14:paraId="2ADD26BD" w14:textId="77777777" w:rsidR="00C531BA" w:rsidRDefault="00C531BA" w:rsidP="00733737">
            <w:pPr>
              <w:pStyle w:val="TableText"/>
              <w:jc w:val="right"/>
              <w:rPr>
                <w:rFonts w:ascii="Calibri" w:hAnsi="Calibri"/>
                <w:color w:val="000000"/>
                <w:szCs w:val="18"/>
              </w:rPr>
            </w:pPr>
            <w:r w:rsidRPr="00A10BE3">
              <w:rPr>
                <w:rFonts w:cstheme="minorHAnsi"/>
              </w:rPr>
              <w:t>–</w:t>
            </w:r>
          </w:p>
        </w:tc>
        <w:tc>
          <w:tcPr>
            <w:tcW w:w="516" w:type="pct"/>
            <w:tcMar>
              <w:left w:w="108" w:type="dxa"/>
              <w:right w:w="108" w:type="dxa"/>
            </w:tcMar>
          </w:tcPr>
          <w:p w14:paraId="0123EDB1" w14:textId="77777777" w:rsidR="00C531BA" w:rsidRDefault="00C531BA" w:rsidP="00733737">
            <w:pPr>
              <w:pStyle w:val="TableText"/>
              <w:jc w:val="right"/>
              <w:rPr>
                <w:rFonts w:ascii="Calibri" w:hAnsi="Calibri"/>
                <w:color w:val="000000"/>
                <w:szCs w:val="18"/>
              </w:rPr>
            </w:pPr>
            <w:r w:rsidRPr="00A10BE3">
              <w:rPr>
                <w:rFonts w:cstheme="minorHAnsi"/>
              </w:rPr>
              <w:t>–</w:t>
            </w:r>
          </w:p>
        </w:tc>
      </w:tr>
      <w:tr w:rsidR="00C531BA" w:rsidRPr="00C32CCF" w14:paraId="42CDA2C0" w14:textId="77777777" w:rsidTr="00511E60">
        <w:tc>
          <w:tcPr>
            <w:tcW w:w="808" w:type="pct"/>
            <w:vMerge/>
            <w:tcMar>
              <w:left w:w="108" w:type="dxa"/>
              <w:right w:w="108" w:type="dxa"/>
            </w:tcMar>
          </w:tcPr>
          <w:p w14:paraId="0567DD42" w14:textId="77777777" w:rsidR="00C531BA" w:rsidRPr="0018484D" w:rsidRDefault="00C531BA" w:rsidP="00E765B8">
            <w:pPr>
              <w:pStyle w:val="TableText"/>
            </w:pPr>
          </w:p>
        </w:tc>
        <w:tc>
          <w:tcPr>
            <w:tcW w:w="451" w:type="pct"/>
            <w:tcMar>
              <w:left w:w="108" w:type="dxa"/>
              <w:right w:w="108" w:type="dxa"/>
            </w:tcMar>
          </w:tcPr>
          <w:p w14:paraId="7C9FD12A" w14:textId="27DF2FE5" w:rsidR="00C531BA" w:rsidRPr="00A10BE3" w:rsidRDefault="00C531BA" w:rsidP="00E765B8">
            <w:pPr>
              <w:pStyle w:val="TableText"/>
              <w:jc w:val="right"/>
              <w:rPr>
                <w:rFonts w:cstheme="minorHAnsi"/>
              </w:rPr>
            </w:pPr>
            <w:r w:rsidRPr="00A10BE3">
              <w:rPr>
                <w:rFonts w:cstheme="minorHAnsi"/>
              </w:rPr>
              <w:t>–</w:t>
            </w:r>
          </w:p>
        </w:tc>
        <w:tc>
          <w:tcPr>
            <w:tcW w:w="1623" w:type="pct"/>
            <w:tcMar>
              <w:left w:w="108" w:type="dxa"/>
              <w:right w:w="108" w:type="dxa"/>
            </w:tcMar>
          </w:tcPr>
          <w:p w14:paraId="1A282E33" w14:textId="62ACDD72" w:rsidR="00C531BA" w:rsidRDefault="00C531BA" w:rsidP="00E765B8">
            <w:pPr>
              <w:pStyle w:val="TableText"/>
            </w:pPr>
            <w:r w:rsidRPr="003A6CD2">
              <w:t>Reservation charge – live snails</w:t>
            </w:r>
          </w:p>
        </w:tc>
        <w:tc>
          <w:tcPr>
            <w:tcW w:w="757" w:type="pct"/>
            <w:tcMar>
              <w:left w:w="108" w:type="dxa"/>
              <w:right w:w="108" w:type="dxa"/>
            </w:tcMar>
          </w:tcPr>
          <w:p w14:paraId="12810A69" w14:textId="0475393A" w:rsidR="00C531BA" w:rsidRPr="009213D8" w:rsidRDefault="00C531BA" w:rsidP="00E765B8">
            <w:pPr>
              <w:pStyle w:val="TableText"/>
            </w:pPr>
            <w:r w:rsidRPr="009213D8">
              <w:t xml:space="preserve">Per live </w:t>
            </w:r>
            <w:r>
              <w:t>snail</w:t>
            </w:r>
            <w:r w:rsidRPr="009213D8">
              <w:t xml:space="preserve"> consignment</w:t>
            </w:r>
          </w:p>
        </w:tc>
        <w:tc>
          <w:tcPr>
            <w:tcW w:w="352" w:type="pct"/>
            <w:tcMar>
              <w:left w:w="108" w:type="dxa"/>
              <w:right w:w="108" w:type="dxa"/>
            </w:tcMar>
          </w:tcPr>
          <w:p w14:paraId="7B79143D" w14:textId="68E6E7AC" w:rsidR="00C531BA" w:rsidRDefault="00C531BA" w:rsidP="00E765B8">
            <w:pPr>
              <w:pStyle w:val="TableText"/>
              <w:jc w:val="right"/>
              <w:rPr>
                <w:rFonts w:ascii="Calibri" w:hAnsi="Calibri"/>
                <w:color w:val="000000"/>
                <w:szCs w:val="18"/>
              </w:rPr>
            </w:pPr>
            <w:r>
              <w:rPr>
                <w:rFonts w:ascii="Calibri" w:hAnsi="Calibri"/>
                <w:color w:val="000000"/>
                <w:szCs w:val="18"/>
              </w:rPr>
              <w:t xml:space="preserve">            892</w:t>
            </w:r>
          </w:p>
        </w:tc>
        <w:tc>
          <w:tcPr>
            <w:tcW w:w="493" w:type="pct"/>
            <w:tcMar>
              <w:left w:w="108" w:type="dxa"/>
              <w:right w:w="108" w:type="dxa"/>
            </w:tcMar>
          </w:tcPr>
          <w:p w14:paraId="6F0A6DE8" w14:textId="4C53F3EF" w:rsidR="00C531BA" w:rsidRPr="00A10BE3" w:rsidRDefault="00C531BA" w:rsidP="00E765B8">
            <w:pPr>
              <w:pStyle w:val="TableText"/>
              <w:jc w:val="right"/>
              <w:rPr>
                <w:rFonts w:cstheme="minorHAnsi"/>
              </w:rPr>
            </w:pPr>
            <w:r w:rsidRPr="00A10BE3">
              <w:rPr>
                <w:rFonts w:cstheme="minorHAnsi"/>
              </w:rPr>
              <w:t>–</w:t>
            </w:r>
          </w:p>
        </w:tc>
        <w:tc>
          <w:tcPr>
            <w:tcW w:w="516" w:type="pct"/>
            <w:tcMar>
              <w:left w:w="108" w:type="dxa"/>
              <w:right w:w="108" w:type="dxa"/>
            </w:tcMar>
          </w:tcPr>
          <w:p w14:paraId="7E273FF5" w14:textId="4BC1FD34" w:rsidR="00C531BA" w:rsidRPr="00A10BE3" w:rsidRDefault="00C531BA" w:rsidP="00E765B8">
            <w:pPr>
              <w:pStyle w:val="TableText"/>
              <w:jc w:val="right"/>
              <w:rPr>
                <w:rFonts w:cstheme="minorHAnsi"/>
              </w:rPr>
            </w:pPr>
            <w:r w:rsidRPr="00A10BE3">
              <w:rPr>
                <w:rFonts w:cstheme="minorHAnsi"/>
              </w:rPr>
              <w:t>–</w:t>
            </w:r>
          </w:p>
        </w:tc>
      </w:tr>
      <w:tr w:rsidR="00C531BA" w:rsidRPr="00C32CCF" w14:paraId="1F51B3E4" w14:textId="77777777" w:rsidTr="00511E60">
        <w:tc>
          <w:tcPr>
            <w:tcW w:w="808" w:type="pct"/>
            <w:vMerge/>
            <w:tcMar>
              <w:left w:w="108" w:type="dxa"/>
              <w:right w:w="108" w:type="dxa"/>
            </w:tcMar>
          </w:tcPr>
          <w:p w14:paraId="175079A2" w14:textId="77777777" w:rsidR="00C531BA" w:rsidRPr="0018484D" w:rsidRDefault="00C531BA" w:rsidP="00E765B8">
            <w:pPr>
              <w:pStyle w:val="TableText"/>
            </w:pPr>
          </w:p>
        </w:tc>
        <w:tc>
          <w:tcPr>
            <w:tcW w:w="451" w:type="pct"/>
            <w:tcMar>
              <w:left w:w="108" w:type="dxa"/>
              <w:right w:w="108" w:type="dxa"/>
            </w:tcMar>
          </w:tcPr>
          <w:p w14:paraId="05570C8E" w14:textId="383D3989" w:rsidR="00C531BA" w:rsidRPr="00A10BE3" w:rsidRDefault="00C531BA" w:rsidP="00E765B8">
            <w:pPr>
              <w:pStyle w:val="TableText"/>
              <w:jc w:val="right"/>
              <w:rPr>
                <w:rFonts w:cstheme="minorHAnsi"/>
              </w:rPr>
            </w:pPr>
            <w:r w:rsidRPr="00A10BE3">
              <w:rPr>
                <w:rFonts w:cstheme="minorHAnsi"/>
              </w:rPr>
              <w:t>–</w:t>
            </w:r>
          </w:p>
        </w:tc>
        <w:tc>
          <w:tcPr>
            <w:tcW w:w="1623" w:type="pct"/>
            <w:tcMar>
              <w:left w:w="108" w:type="dxa"/>
              <w:right w:w="108" w:type="dxa"/>
            </w:tcMar>
          </w:tcPr>
          <w:p w14:paraId="778948BF" w14:textId="4AB335C5" w:rsidR="00C531BA" w:rsidRDefault="00C531BA" w:rsidP="00E765B8">
            <w:pPr>
              <w:pStyle w:val="TableText"/>
            </w:pPr>
            <w:r w:rsidRPr="003A6CD2">
              <w:t>Confirmation of a reservation charge – live snails</w:t>
            </w:r>
          </w:p>
        </w:tc>
        <w:tc>
          <w:tcPr>
            <w:tcW w:w="757" w:type="pct"/>
            <w:tcMar>
              <w:left w:w="108" w:type="dxa"/>
              <w:right w:w="108" w:type="dxa"/>
            </w:tcMar>
          </w:tcPr>
          <w:p w14:paraId="68B8CB2F" w14:textId="76EF53AF" w:rsidR="00C531BA" w:rsidRPr="009213D8" w:rsidRDefault="00C531BA" w:rsidP="00E765B8">
            <w:pPr>
              <w:pStyle w:val="TableText"/>
            </w:pPr>
            <w:r w:rsidRPr="009213D8">
              <w:t>Per live</w:t>
            </w:r>
            <w:r>
              <w:t xml:space="preserve"> snail</w:t>
            </w:r>
            <w:r w:rsidRPr="009213D8">
              <w:t xml:space="preserve"> consignment</w:t>
            </w:r>
          </w:p>
        </w:tc>
        <w:tc>
          <w:tcPr>
            <w:tcW w:w="352" w:type="pct"/>
            <w:tcMar>
              <w:left w:w="108" w:type="dxa"/>
              <w:right w:w="108" w:type="dxa"/>
            </w:tcMar>
          </w:tcPr>
          <w:p w14:paraId="1457B766" w14:textId="332B6915" w:rsidR="00C531BA" w:rsidRDefault="00C531BA" w:rsidP="00E765B8">
            <w:pPr>
              <w:pStyle w:val="TableText"/>
              <w:jc w:val="right"/>
              <w:rPr>
                <w:rFonts w:ascii="Calibri" w:hAnsi="Calibri"/>
                <w:color w:val="000000"/>
                <w:szCs w:val="18"/>
              </w:rPr>
            </w:pPr>
            <w:r>
              <w:rPr>
                <w:rFonts w:ascii="Calibri" w:hAnsi="Calibri"/>
                <w:color w:val="000000"/>
                <w:szCs w:val="18"/>
              </w:rPr>
              <w:t>3,571</w:t>
            </w:r>
          </w:p>
        </w:tc>
        <w:tc>
          <w:tcPr>
            <w:tcW w:w="493" w:type="pct"/>
            <w:tcMar>
              <w:left w:w="108" w:type="dxa"/>
              <w:right w:w="108" w:type="dxa"/>
            </w:tcMar>
          </w:tcPr>
          <w:p w14:paraId="0423780F" w14:textId="6C1B8483" w:rsidR="00C531BA" w:rsidRPr="00A10BE3" w:rsidRDefault="00C531BA" w:rsidP="00E765B8">
            <w:pPr>
              <w:pStyle w:val="TableText"/>
              <w:jc w:val="right"/>
              <w:rPr>
                <w:rFonts w:cstheme="minorHAnsi"/>
              </w:rPr>
            </w:pPr>
            <w:r w:rsidRPr="00A10BE3">
              <w:rPr>
                <w:rFonts w:cstheme="minorHAnsi"/>
              </w:rPr>
              <w:t>–</w:t>
            </w:r>
          </w:p>
        </w:tc>
        <w:tc>
          <w:tcPr>
            <w:tcW w:w="516" w:type="pct"/>
            <w:tcMar>
              <w:left w:w="108" w:type="dxa"/>
              <w:right w:w="108" w:type="dxa"/>
            </w:tcMar>
          </w:tcPr>
          <w:p w14:paraId="5FC18D2C" w14:textId="76B78082" w:rsidR="00C531BA" w:rsidRPr="00A10BE3" w:rsidRDefault="00C531BA" w:rsidP="00E765B8">
            <w:pPr>
              <w:pStyle w:val="TableText"/>
              <w:jc w:val="right"/>
              <w:rPr>
                <w:rFonts w:cstheme="minorHAnsi"/>
              </w:rPr>
            </w:pPr>
            <w:r w:rsidRPr="00A10BE3">
              <w:rPr>
                <w:rFonts w:cstheme="minorHAnsi"/>
              </w:rPr>
              <w:t>–</w:t>
            </w:r>
          </w:p>
        </w:tc>
      </w:tr>
      <w:tr w:rsidR="00C531BA" w:rsidRPr="00C32CCF" w14:paraId="5880E783" w14:textId="77777777" w:rsidTr="00511E60">
        <w:tc>
          <w:tcPr>
            <w:tcW w:w="808" w:type="pct"/>
            <w:vMerge/>
            <w:tcMar>
              <w:left w:w="108" w:type="dxa"/>
              <w:right w:w="108" w:type="dxa"/>
            </w:tcMar>
          </w:tcPr>
          <w:p w14:paraId="077C0013" w14:textId="77777777" w:rsidR="00C531BA" w:rsidRPr="0018484D" w:rsidRDefault="00C531BA" w:rsidP="003A6CD2">
            <w:pPr>
              <w:pStyle w:val="TableText"/>
            </w:pPr>
          </w:p>
        </w:tc>
        <w:tc>
          <w:tcPr>
            <w:tcW w:w="451" w:type="pct"/>
            <w:tcMar>
              <w:left w:w="108" w:type="dxa"/>
              <w:right w:w="108" w:type="dxa"/>
            </w:tcMar>
          </w:tcPr>
          <w:p w14:paraId="3B1B98E4" w14:textId="77777777" w:rsidR="00C531BA" w:rsidRPr="00A10BE3" w:rsidRDefault="00C531BA" w:rsidP="003A6CD2">
            <w:pPr>
              <w:pStyle w:val="TableText"/>
              <w:jc w:val="right"/>
              <w:rPr>
                <w:rFonts w:cstheme="minorHAnsi"/>
              </w:rPr>
            </w:pPr>
            <w:r w:rsidRPr="00A10BE3">
              <w:rPr>
                <w:rFonts w:cstheme="minorHAnsi"/>
              </w:rPr>
              <w:t>–</w:t>
            </w:r>
          </w:p>
        </w:tc>
        <w:tc>
          <w:tcPr>
            <w:tcW w:w="1623" w:type="pct"/>
            <w:tcMar>
              <w:left w:w="108" w:type="dxa"/>
              <w:right w:w="108" w:type="dxa"/>
            </w:tcMar>
          </w:tcPr>
          <w:p w14:paraId="2CC54150" w14:textId="5B25C155" w:rsidR="00C531BA" w:rsidRPr="009213D8" w:rsidRDefault="00C531BA" w:rsidP="003A6CD2">
            <w:pPr>
              <w:pStyle w:val="TableText"/>
            </w:pPr>
            <w:r>
              <w:t>Reservation</w:t>
            </w:r>
            <w:r w:rsidRPr="009213D8">
              <w:t xml:space="preserve"> charge – avian (live bird</w:t>
            </w:r>
            <w:r>
              <w:t>s</w:t>
            </w:r>
            <w:r w:rsidRPr="009213D8">
              <w:t>)</w:t>
            </w:r>
          </w:p>
        </w:tc>
        <w:tc>
          <w:tcPr>
            <w:tcW w:w="757" w:type="pct"/>
            <w:tcMar>
              <w:left w:w="108" w:type="dxa"/>
              <w:right w:w="108" w:type="dxa"/>
            </w:tcMar>
          </w:tcPr>
          <w:p w14:paraId="266775C7" w14:textId="166B61E1" w:rsidR="00C531BA" w:rsidRPr="009213D8" w:rsidRDefault="00C531BA" w:rsidP="003A6CD2">
            <w:pPr>
              <w:pStyle w:val="TableText"/>
            </w:pPr>
            <w:r w:rsidRPr="009213D8">
              <w:t xml:space="preserve">Per </w:t>
            </w:r>
            <w:r>
              <w:t>biocontainment unit</w:t>
            </w:r>
          </w:p>
        </w:tc>
        <w:tc>
          <w:tcPr>
            <w:tcW w:w="352" w:type="pct"/>
            <w:tcMar>
              <w:left w:w="108" w:type="dxa"/>
              <w:right w:w="108" w:type="dxa"/>
            </w:tcMar>
          </w:tcPr>
          <w:p w14:paraId="6A1E135B" w14:textId="46E671A9" w:rsidR="00C531BA" w:rsidRPr="008A370F" w:rsidRDefault="00C531BA" w:rsidP="003A6CD2">
            <w:pPr>
              <w:pStyle w:val="TableText"/>
              <w:jc w:val="right"/>
              <w:rPr>
                <w:rFonts w:ascii="Calibri" w:hAnsi="Calibri"/>
                <w:color w:val="000000"/>
                <w:szCs w:val="18"/>
              </w:rPr>
            </w:pPr>
            <w:r>
              <w:rPr>
                <w:rFonts w:ascii="Calibri" w:hAnsi="Calibri"/>
                <w:color w:val="000000"/>
                <w:szCs w:val="18"/>
              </w:rPr>
              <w:t>5,209</w:t>
            </w:r>
          </w:p>
        </w:tc>
        <w:tc>
          <w:tcPr>
            <w:tcW w:w="493" w:type="pct"/>
            <w:tcMar>
              <w:left w:w="108" w:type="dxa"/>
              <w:right w:w="108" w:type="dxa"/>
            </w:tcMar>
          </w:tcPr>
          <w:p w14:paraId="1ED96F84" w14:textId="77777777" w:rsidR="00C531BA" w:rsidRDefault="00C531BA" w:rsidP="003A6CD2">
            <w:pPr>
              <w:pStyle w:val="TableText"/>
              <w:jc w:val="right"/>
              <w:rPr>
                <w:rFonts w:ascii="Calibri" w:hAnsi="Calibri"/>
                <w:color w:val="000000"/>
                <w:szCs w:val="18"/>
              </w:rPr>
            </w:pPr>
            <w:r w:rsidRPr="00A446A8">
              <w:rPr>
                <w:rFonts w:cstheme="minorHAnsi"/>
              </w:rPr>
              <w:t>–</w:t>
            </w:r>
          </w:p>
        </w:tc>
        <w:tc>
          <w:tcPr>
            <w:tcW w:w="516" w:type="pct"/>
            <w:tcMar>
              <w:left w:w="108" w:type="dxa"/>
              <w:right w:w="108" w:type="dxa"/>
            </w:tcMar>
          </w:tcPr>
          <w:p w14:paraId="1697CC2F" w14:textId="77777777" w:rsidR="00C531BA" w:rsidRDefault="00C531BA" w:rsidP="003A6CD2">
            <w:pPr>
              <w:pStyle w:val="TableText"/>
              <w:jc w:val="right"/>
              <w:rPr>
                <w:rFonts w:ascii="Calibri" w:hAnsi="Calibri"/>
                <w:color w:val="000000"/>
                <w:szCs w:val="18"/>
              </w:rPr>
            </w:pPr>
            <w:r w:rsidRPr="00A446A8">
              <w:rPr>
                <w:rFonts w:cstheme="minorHAnsi"/>
              </w:rPr>
              <w:t>–</w:t>
            </w:r>
          </w:p>
        </w:tc>
      </w:tr>
      <w:tr w:rsidR="00C531BA" w:rsidRPr="00C32CCF" w14:paraId="54477A20" w14:textId="77777777" w:rsidTr="00511E60">
        <w:tc>
          <w:tcPr>
            <w:tcW w:w="808" w:type="pct"/>
            <w:vMerge/>
            <w:tcMar>
              <w:left w:w="108" w:type="dxa"/>
              <w:right w:w="108" w:type="dxa"/>
            </w:tcMar>
          </w:tcPr>
          <w:p w14:paraId="643E6E85" w14:textId="77777777" w:rsidR="00C531BA" w:rsidRPr="0018484D" w:rsidRDefault="00C531BA" w:rsidP="003A6CD2">
            <w:pPr>
              <w:pStyle w:val="TableText"/>
            </w:pPr>
          </w:p>
        </w:tc>
        <w:tc>
          <w:tcPr>
            <w:tcW w:w="451" w:type="pct"/>
            <w:tcMar>
              <w:left w:w="108" w:type="dxa"/>
              <w:right w:w="108" w:type="dxa"/>
            </w:tcMar>
          </w:tcPr>
          <w:p w14:paraId="4A22CDAA" w14:textId="77777777" w:rsidR="00C531BA" w:rsidRPr="00A10BE3" w:rsidRDefault="00C531BA" w:rsidP="003A6CD2">
            <w:pPr>
              <w:pStyle w:val="TableText"/>
              <w:jc w:val="right"/>
              <w:rPr>
                <w:rFonts w:cstheme="minorHAnsi"/>
              </w:rPr>
            </w:pPr>
            <w:r w:rsidRPr="00A10BE3">
              <w:rPr>
                <w:rFonts w:cstheme="minorHAnsi"/>
              </w:rPr>
              <w:t>–</w:t>
            </w:r>
          </w:p>
        </w:tc>
        <w:tc>
          <w:tcPr>
            <w:tcW w:w="1623" w:type="pct"/>
            <w:tcMar>
              <w:left w:w="108" w:type="dxa"/>
              <w:right w:w="108" w:type="dxa"/>
            </w:tcMar>
          </w:tcPr>
          <w:p w14:paraId="3438DB6F" w14:textId="50A6B595" w:rsidR="00C531BA" w:rsidRPr="009213D8" w:rsidRDefault="00C531BA" w:rsidP="003A6CD2">
            <w:pPr>
              <w:pStyle w:val="TableText"/>
            </w:pPr>
            <w:r>
              <w:t>Confirmation of reservation</w:t>
            </w:r>
            <w:r w:rsidRPr="009213D8">
              <w:t xml:space="preserve"> charge – avian (live bird</w:t>
            </w:r>
            <w:r>
              <w:t>s</w:t>
            </w:r>
            <w:r w:rsidRPr="009213D8">
              <w:t>)</w:t>
            </w:r>
          </w:p>
        </w:tc>
        <w:tc>
          <w:tcPr>
            <w:tcW w:w="757" w:type="pct"/>
            <w:tcMar>
              <w:left w:w="108" w:type="dxa"/>
              <w:right w:w="108" w:type="dxa"/>
            </w:tcMar>
          </w:tcPr>
          <w:p w14:paraId="044701A7" w14:textId="3096AA8A" w:rsidR="00C531BA" w:rsidRPr="009213D8" w:rsidRDefault="00C531BA" w:rsidP="003A6CD2">
            <w:pPr>
              <w:pStyle w:val="TableText"/>
            </w:pPr>
            <w:r w:rsidRPr="009213D8">
              <w:t xml:space="preserve">Per </w:t>
            </w:r>
            <w:r>
              <w:t>biocontainment unit</w:t>
            </w:r>
          </w:p>
        </w:tc>
        <w:tc>
          <w:tcPr>
            <w:tcW w:w="352" w:type="pct"/>
            <w:tcMar>
              <w:left w:w="108" w:type="dxa"/>
              <w:right w:w="108" w:type="dxa"/>
            </w:tcMar>
          </w:tcPr>
          <w:p w14:paraId="33170C5B" w14:textId="31CF32E9" w:rsidR="00C531BA" w:rsidRPr="008A370F" w:rsidRDefault="00C531BA" w:rsidP="003A6CD2">
            <w:pPr>
              <w:pStyle w:val="TableText"/>
              <w:jc w:val="right"/>
              <w:rPr>
                <w:rFonts w:ascii="Calibri" w:hAnsi="Calibri"/>
                <w:color w:val="000000"/>
                <w:szCs w:val="18"/>
              </w:rPr>
            </w:pPr>
            <w:r>
              <w:rPr>
                <w:rFonts w:ascii="Calibri" w:hAnsi="Calibri"/>
                <w:color w:val="000000"/>
                <w:szCs w:val="18"/>
              </w:rPr>
              <w:t>20,832</w:t>
            </w:r>
          </w:p>
        </w:tc>
        <w:tc>
          <w:tcPr>
            <w:tcW w:w="493" w:type="pct"/>
            <w:tcMar>
              <w:left w:w="108" w:type="dxa"/>
              <w:right w:w="108" w:type="dxa"/>
            </w:tcMar>
          </w:tcPr>
          <w:p w14:paraId="1641CABD" w14:textId="77777777" w:rsidR="00C531BA" w:rsidRDefault="00C531BA" w:rsidP="003A6CD2">
            <w:pPr>
              <w:pStyle w:val="TableText"/>
              <w:jc w:val="right"/>
              <w:rPr>
                <w:rFonts w:ascii="Calibri" w:hAnsi="Calibri"/>
                <w:color w:val="000000"/>
                <w:szCs w:val="18"/>
              </w:rPr>
            </w:pPr>
            <w:r w:rsidRPr="00A446A8">
              <w:rPr>
                <w:rFonts w:cstheme="minorHAnsi"/>
              </w:rPr>
              <w:t>–</w:t>
            </w:r>
          </w:p>
        </w:tc>
        <w:tc>
          <w:tcPr>
            <w:tcW w:w="516" w:type="pct"/>
            <w:tcMar>
              <w:left w:w="108" w:type="dxa"/>
              <w:right w:w="108" w:type="dxa"/>
            </w:tcMar>
          </w:tcPr>
          <w:p w14:paraId="750B79AB" w14:textId="77777777" w:rsidR="00C531BA" w:rsidRDefault="00C531BA" w:rsidP="003A6CD2">
            <w:pPr>
              <w:pStyle w:val="TableText"/>
              <w:jc w:val="right"/>
              <w:rPr>
                <w:rFonts w:ascii="Calibri" w:hAnsi="Calibri"/>
                <w:color w:val="000000"/>
                <w:szCs w:val="18"/>
              </w:rPr>
            </w:pPr>
            <w:r w:rsidRPr="00A446A8">
              <w:rPr>
                <w:rFonts w:cstheme="minorHAnsi"/>
              </w:rPr>
              <w:t>–</w:t>
            </w:r>
          </w:p>
        </w:tc>
      </w:tr>
      <w:tr w:rsidR="00C531BA" w:rsidRPr="00C32CCF" w14:paraId="2E7546E7" w14:textId="77777777" w:rsidTr="00511E60">
        <w:tc>
          <w:tcPr>
            <w:tcW w:w="808" w:type="pct"/>
            <w:vMerge/>
            <w:tcMar>
              <w:left w:w="108" w:type="dxa"/>
              <w:right w:w="108" w:type="dxa"/>
            </w:tcMar>
          </w:tcPr>
          <w:p w14:paraId="5524F1C5" w14:textId="77777777" w:rsidR="00C531BA" w:rsidRPr="0018484D" w:rsidRDefault="00C531BA" w:rsidP="003A6CD2">
            <w:pPr>
              <w:pStyle w:val="TableText"/>
            </w:pPr>
          </w:p>
        </w:tc>
        <w:tc>
          <w:tcPr>
            <w:tcW w:w="451" w:type="pct"/>
            <w:tcMar>
              <w:left w:w="108" w:type="dxa"/>
              <w:right w:w="108" w:type="dxa"/>
            </w:tcMar>
          </w:tcPr>
          <w:p w14:paraId="055BEBBC" w14:textId="1B3D42D6" w:rsidR="00C531BA" w:rsidRPr="00A10BE3" w:rsidRDefault="00C531BA" w:rsidP="003A6CD2">
            <w:pPr>
              <w:pStyle w:val="TableText"/>
              <w:jc w:val="right"/>
              <w:rPr>
                <w:rFonts w:cstheme="minorHAnsi"/>
              </w:rPr>
            </w:pPr>
            <w:r>
              <w:rPr>
                <w:rFonts w:cstheme="minorHAnsi"/>
              </w:rPr>
              <w:t>43,515</w:t>
            </w:r>
          </w:p>
        </w:tc>
        <w:tc>
          <w:tcPr>
            <w:tcW w:w="1623" w:type="pct"/>
            <w:tcMar>
              <w:left w:w="108" w:type="dxa"/>
              <w:right w:w="108" w:type="dxa"/>
            </w:tcMar>
          </w:tcPr>
          <w:p w14:paraId="326F449E" w14:textId="4E520A0A" w:rsidR="00C531BA" w:rsidRPr="009213D8" w:rsidRDefault="00C531BA" w:rsidP="003A6CD2">
            <w:pPr>
              <w:pStyle w:val="TableText"/>
            </w:pPr>
            <w:r>
              <w:t>Reservation</w:t>
            </w:r>
            <w:r w:rsidRPr="009213D8">
              <w:t xml:space="preserve"> charge – avian (</w:t>
            </w:r>
            <w:r>
              <w:t>eggs for hatching</w:t>
            </w:r>
            <w:r w:rsidRPr="009213D8">
              <w:t>)</w:t>
            </w:r>
          </w:p>
        </w:tc>
        <w:tc>
          <w:tcPr>
            <w:tcW w:w="757" w:type="pct"/>
            <w:tcMar>
              <w:left w:w="108" w:type="dxa"/>
              <w:right w:w="108" w:type="dxa"/>
            </w:tcMar>
          </w:tcPr>
          <w:p w14:paraId="71A83983" w14:textId="377E4ED5" w:rsidR="00C531BA" w:rsidRPr="009213D8" w:rsidRDefault="00C531BA" w:rsidP="003A6CD2">
            <w:pPr>
              <w:pStyle w:val="TableText"/>
            </w:pPr>
            <w:r w:rsidRPr="009213D8">
              <w:t xml:space="preserve">Per hatching egg </w:t>
            </w:r>
            <w:r>
              <w:t>biocontainment unit</w:t>
            </w:r>
          </w:p>
        </w:tc>
        <w:tc>
          <w:tcPr>
            <w:tcW w:w="352" w:type="pct"/>
            <w:tcMar>
              <w:left w:w="108" w:type="dxa"/>
              <w:right w:w="108" w:type="dxa"/>
            </w:tcMar>
          </w:tcPr>
          <w:p w14:paraId="5DB347CE" w14:textId="6CE79F59" w:rsidR="00C531BA" w:rsidRPr="008A370F" w:rsidRDefault="00C531BA" w:rsidP="003A6CD2">
            <w:pPr>
              <w:pStyle w:val="TableText"/>
              <w:jc w:val="right"/>
              <w:rPr>
                <w:rFonts w:ascii="Calibri" w:hAnsi="Calibri"/>
                <w:color w:val="000000"/>
                <w:szCs w:val="18"/>
              </w:rPr>
            </w:pPr>
            <w:r>
              <w:rPr>
                <w:rFonts w:ascii="Calibri" w:hAnsi="Calibri"/>
                <w:color w:val="000000"/>
                <w:szCs w:val="18"/>
              </w:rPr>
              <w:t>14,505</w:t>
            </w:r>
          </w:p>
        </w:tc>
        <w:tc>
          <w:tcPr>
            <w:tcW w:w="493" w:type="pct"/>
            <w:tcMar>
              <w:left w:w="108" w:type="dxa"/>
              <w:right w:w="108" w:type="dxa"/>
            </w:tcMar>
          </w:tcPr>
          <w:p w14:paraId="41D6955C" w14:textId="77777777" w:rsidR="00C531BA" w:rsidRDefault="00C531BA" w:rsidP="003A6CD2">
            <w:pPr>
              <w:pStyle w:val="TableText"/>
              <w:jc w:val="right"/>
              <w:rPr>
                <w:rFonts w:ascii="Calibri" w:hAnsi="Calibri"/>
                <w:color w:val="000000"/>
                <w:szCs w:val="18"/>
              </w:rPr>
            </w:pPr>
            <w:r>
              <w:rPr>
                <w:rFonts w:ascii="Calibri" w:hAnsi="Calibri"/>
                <w:color w:val="000000"/>
                <w:szCs w:val="18"/>
              </w:rPr>
              <w:t>3</w:t>
            </w:r>
          </w:p>
        </w:tc>
        <w:tc>
          <w:tcPr>
            <w:tcW w:w="516" w:type="pct"/>
            <w:tcMar>
              <w:left w:w="108" w:type="dxa"/>
              <w:right w:w="108" w:type="dxa"/>
            </w:tcMar>
          </w:tcPr>
          <w:p w14:paraId="602CB6FF" w14:textId="1D5D8192" w:rsidR="00C531BA" w:rsidRDefault="00C531BA" w:rsidP="003A6CD2">
            <w:pPr>
              <w:pStyle w:val="TableText"/>
              <w:jc w:val="right"/>
              <w:rPr>
                <w:rFonts w:ascii="Calibri" w:hAnsi="Calibri"/>
                <w:color w:val="000000"/>
                <w:szCs w:val="18"/>
              </w:rPr>
            </w:pPr>
            <w:r>
              <w:rPr>
                <w:rFonts w:ascii="Calibri" w:hAnsi="Calibri"/>
                <w:color w:val="000000"/>
                <w:szCs w:val="18"/>
              </w:rPr>
              <w:t>43,515</w:t>
            </w:r>
          </w:p>
        </w:tc>
      </w:tr>
      <w:tr w:rsidR="00C531BA" w:rsidRPr="00C32CCF" w14:paraId="79AA913D" w14:textId="77777777" w:rsidTr="00511E60">
        <w:tc>
          <w:tcPr>
            <w:tcW w:w="808" w:type="pct"/>
            <w:vMerge/>
            <w:tcMar>
              <w:left w:w="108" w:type="dxa"/>
              <w:right w:w="108" w:type="dxa"/>
            </w:tcMar>
          </w:tcPr>
          <w:p w14:paraId="642DE5D4" w14:textId="77777777" w:rsidR="00C531BA" w:rsidRPr="0018484D" w:rsidRDefault="00C531BA" w:rsidP="003A6CD2">
            <w:pPr>
              <w:pStyle w:val="TableText"/>
            </w:pPr>
          </w:p>
        </w:tc>
        <w:tc>
          <w:tcPr>
            <w:tcW w:w="451" w:type="pct"/>
            <w:tcMar>
              <w:left w:w="108" w:type="dxa"/>
              <w:right w:w="108" w:type="dxa"/>
            </w:tcMar>
          </w:tcPr>
          <w:p w14:paraId="4FD6F505" w14:textId="249DF7F1" w:rsidR="00C531BA" w:rsidRPr="00A10BE3" w:rsidRDefault="00C531BA" w:rsidP="003A6CD2">
            <w:pPr>
              <w:pStyle w:val="TableText"/>
              <w:jc w:val="right"/>
              <w:rPr>
                <w:rFonts w:cstheme="minorHAnsi"/>
              </w:rPr>
            </w:pPr>
            <w:r>
              <w:rPr>
                <w:rFonts w:cstheme="minorHAnsi"/>
              </w:rPr>
              <w:t>174,054</w:t>
            </w:r>
          </w:p>
        </w:tc>
        <w:tc>
          <w:tcPr>
            <w:tcW w:w="1623" w:type="pct"/>
            <w:tcMar>
              <w:left w:w="108" w:type="dxa"/>
              <w:right w:w="108" w:type="dxa"/>
            </w:tcMar>
          </w:tcPr>
          <w:p w14:paraId="04829617" w14:textId="53872C24" w:rsidR="00C531BA" w:rsidRPr="009213D8" w:rsidRDefault="00C531BA" w:rsidP="003A6CD2">
            <w:pPr>
              <w:pStyle w:val="TableText"/>
            </w:pPr>
            <w:r>
              <w:t>Confirmation of reservation</w:t>
            </w:r>
            <w:r w:rsidRPr="009213D8">
              <w:t xml:space="preserve"> charge – avian (</w:t>
            </w:r>
            <w:r>
              <w:t>eggs for hatching</w:t>
            </w:r>
            <w:r w:rsidRPr="009213D8">
              <w:t>)</w:t>
            </w:r>
          </w:p>
        </w:tc>
        <w:tc>
          <w:tcPr>
            <w:tcW w:w="757" w:type="pct"/>
            <w:tcMar>
              <w:left w:w="108" w:type="dxa"/>
              <w:right w:w="108" w:type="dxa"/>
            </w:tcMar>
          </w:tcPr>
          <w:p w14:paraId="20C49898" w14:textId="39DA193B" w:rsidR="00C531BA" w:rsidRPr="009213D8" w:rsidRDefault="00C531BA" w:rsidP="003A6CD2">
            <w:pPr>
              <w:pStyle w:val="TableText"/>
            </w:pPr>
            <w:r w:rsidRPr="009213D8">
              <w:t xml:space="preserve">Per hatching egg </w:t>
            </w:r>
            <w:r>
              <w:t>biocontainment unit</w:t>
            </w:r>
          </w:p>
        </w:tc>
        <w:tc>
          <w:tcPr>
            <w:tcW w:w="352" w:type="pct"/>
            <w:tcMar>
              <w:left w:w="108" w:type="dxa"/>
              <w:right w:w="108" w:type="dxa"/>
            </w:tcMar>
          </w:tcPr>
          <w:p w14:paraId="311EC773" w14:textId="11EAEFBF" w:rsidR="00C531BA" w:rsidRPr="008A370F" w:rsidRDefault="00C531BA" w:rsidP="003A6CD2">
            <w:pPr>
              <w:pStyle w:val="TableText"/>
              <w:jc w:val="right"/>
              <w:rPr>
                <w:rFonts w:ascii="Calibri" w:hAnsi="Calibri"/>
                <w:color w:val="000000"/>
                <w:szCs w:val="18"/>
              </w:rPr>
            </w:pPr>
            <w:r>
              <w:rPr>
                <w:rFonts w:ascii="Calibri" w:hAnsi="Calibri"/>
                <w:color w:val="000000"/>
                <w:szCs w:val="18"/>
              </w:rPr>
              <w:t>58,018</w:t>
            </w:r>
          </w:p>
        </w:tc>
        <w:tc>
          <w:tcPr>
            <w:tcW w:w="493" w:type="pct"/>
            <w:tcMar>
              <w:left w:w="108" w:type="dxa"/>
              <w:right w:w="108" w:type="dxa"/>
            </w:tcMar>
          </w:tcPr>
          <w:p w14:paraId="04D66484" w14:textId="77777777" w:rsidR="00C531BA" w:rsidRDefault="00C531BA" w:rsidP="003A6CD2">
            <w:pPr>
              <w:pStyle w:val="TableText"/>
              <w:jc w:val="right"/>
              <w:rPr>
                <w:rFonts w:ascii="Calibri" w:hAnsi="Calibri"/>
                <w:color w:val="000000"/>
                <w:szCs w:val="18"/>
              </w:rPr>
            </w:pPr>
            <w:r>
              <w:rPr>
                <w:rFonts w:ascii="Calibri" w:hAnsi="Calibri"/>
                <w:color w:val="000000"/>
                <w:szCs w:val="18"/>
              </w:rPr>
              <w:t>3</w:t>
            </w:r>
          </w:p>
        </w:tc>
        <w:tc>
          <w:tcPr>
            <w:tcW w:w="516" w:type="pct"/>
            <w:tcMar>
              <w:left w:w="108" w:type="dxa"/>
              <w:right w:w="108" w:type="dxa"/>
            </w:tcMar>
          </w:tcPr>
          <w:p w14:paraId="2FDAD859" w14:textId="2E74157B" w:rsidR="00C531BA" w:rsidRDefault="00C531BA" w:rsidP="003A6CD2">
            <w:pPr>
              <w:pStyle w:val="TableText"/>
              <w:jc w:val="right"/>
              <w:rPr>
                <w:rFonts w:ascii="Calibri" w:hAnsi="Calibri"/>
                <w:color w:val="000000"/>
                <w:szCs w:val="18"/>
              </w:rPr>
            </w:pPr>
            <w:r>
              <w:rPr>
                <w:rFonts w:ascii="Calibri" w:hAnsi="Calibri"/>
                <w:color w:val="000000"/>
                <w:szCs w:val="18"/>
              </w:rPr>
              <w:t>174,054</w:t>
            </w:r>
          </w:p>
        </w:tc>
      </w:tr>
      <w:tr w:rsidR="00C531BA" w:rsidRPr="00C32CCF" w14:paraId="1C84F9F7" w14:textId="77777777" w:rsidTr="00511E60">
        <w:tc>
          <w:tcPr>
            <w:tcW w:w="808" w:type="pct"/>
            <w:vMerge/>
            <w:tcMar>
              <w:left w:w="108" w:type="dxa"/>
              <w:right w:w="108" w:type="dxa"/>
            </w:tcMar>
          </w:tcPr>
          <w:p w14:paraId="1F92D93B" w14:textId="77777777" w:rsidR="00C531BA" w:rsidRPr="0018484D" w:rsidRDefault="00C531BA" w:rsidP="003A6CD2">
            <w:pPr>
              <w:pStyle w:val="TableText"/>
            </w:pPr>
          </w:p>
        </w:tc>
        <w:tc>
          <w:tcPr>
            <w:tcW w:w="451" w:type="pct"/>
            <w:tcMar>
              <w:left w:w="108" w:type="dxa"/>
              <w:right w:w="108" w:type="dxa"/>
            </w:tcMar>
          </w:tcPr>
          <w:p w14:paraId="5FA480E0" w14:textId="3C7B0988" w:rsidR="00C531BA" w:rsidRPr="00A10BE3" w:rsidRDefault="00C531BA" w:rsidP="003A6CD2">
            <w:pPr>
              <w:pStyle w:val="TableText"/>
              <w:jc w:val="right"/>
              <w:rPr>
                <w:rFonts w:cstheme="minorHAnsi"/>
              </w:rPr>
            </w:pPr>
            <w:r>
              <w:rPr>
                <w:rFonts w:cstheme="minorHAnsi"/>
              </w:rPr>
              <w:t>1,490,860</w:t>
            </w:r>
          </w:p>
        </w:tc>
        <w:tc>
          <w:tcPr>
            <w:tcW w:w="1623" w:type="pct"/>
            <w:tcMar>
              <w:left w:w="108" w:type="dxa"/>
              <w:right w:w="108" w:type="dxa"/>
            </w:tcMar>
          </w:tcPr>
          <w:p w14:paraId="44F1066A" w14:textId="77777777" w:rsidR="00C531BA" w:rsidRPr="009213D8" w:rsidRDefault="00C531BA" w:rsidP="003A6CD2">
            <w:pPr>
              <w:pStyle w:val="TableText"/>
            </w:pPr>
            <w:r w:rsidRPr="009213D8">
              <w:t>Importation charge – plants</w:t>
            </w:r>
          </w:p>
        </w:tc>
        <w:tc>
          <w:tcPr>
            <w:tcW w:w="757" w:type="pct"/>
            <w:tcMar>
              <w:left w:w="108" w:type="dxa"/>
              <w:right w:w="108" w:type="dxa"/>
            </w:tcMar>
          </w:tcPr>
          <w:p w14:paraId="6D8FDFB4" w14:textId="77777777" w:rsidR="00C531BA" w:rsidRPr="009213D8" w:rsidRDefault="00C531BA" w:rsidP="003A6CD2">
            <w:pPr>
              <w:pStyle w:val="TableText"/>
            </w:pPr>
            <w:r w:rsidRPr="009213D8">
              <w:t>Per m</w:t>
            </w:r>
            <w:r w:rsidRPr="009213D8">
              <w:rPr>
                <w:vertAlign w:val="superscript"/>
              </w:rPr>
              <w:t xml:space="preserve">2 </w:t>
            </w:r>
            <w:r w:rsidRPr="009213D8">
              <w:t>per month</w:t>
            </w:r>
          </w:p>
        </w:tc>
        <w:tc>
          <w:tcPr>
            <w:tcW w:w="352" w:type="pct"/>
            <w:tcMar>
              <w:left w:w="108" w:type="dxa"/>
              <w:right w:w="108" w:type="dxa"/>
            </w:tcMar>
          </w:tcPr>
          <w:p w14:paraId="4385FC5E" w14:textId="5EA5907B" w:rsidR="00C531BA" w:rsidRPr="008A370F" w:rsidRDefault="00C531BA" w:rsidP="003A6CD2">
            <w:pPr>
              <w:pStyle w:val="TableText"/>
              <w:jc w:val="right"/>
              <w:rPr>
                <w:rFonts w:ascii="Calibri" w:hAnsi="Calibri"/>
                <w:color w:val="000000"/>
                <w:szCs w:val="18"/>
              </w:rPr>
            </w:pPr>
            <w:r>
              <w:rPr>
                <w:rFonts w:ascii="Calibri" w:hAnsi="Calibri"/>
                <w:color w:val="000000"/>
                <w:szCs w:val="18"/>
              </w:rPr>
              <w:t>322</w:t>
            </w:r>
          </w:p>
        </w:tc>
        <w:tc>
          <w:tcPr>
            <w:tcW w:w="493" w:type="pct"/>
            <w:tcMar>
              <w:left w:w="108" w:type="dxa"/>
              <w:right w:w="108" w:type="dxa"/>
            </w:tcMar>
          </w:tcPr>
          <w:p w14:paraId="062F8548" w14:textId="2255BC40" w:rsidR="00C531BA" w:rsidRDefault="00C531BA" w:rsidP="003A6CD2">
            <w:pPr>
              <w:pStyle w:val="TableText"/>
              <w:jc w:val="right"/>
              <w:rPr>
                <w:rFonts w:ascii="Calibri" w:hAnsi="Calibri"/>
                <w:color w:val="000000"/>
                <w:szCs w:val="18"/>
              </w:rPr>
            </w:pPr>
            <w:r>
              <w:rPr>
                <w:rFonts w:ascii="Calibri" w:hAnsi="Calibri"/>
                <w:color w:val="000000"/>
                <w:szCs w:val="18"/>
              </w:rPr>
              <w:t>4,630</w:t>
            </w:r>
          </w:p>
        </w:tc>
        <w:tc>
          <w:tcPr>
            <w:tcW w:w="516" w:type="pct"/>
            <w:tcMar>
              <w:left w:w="108" w:type="dxa"/>
              <w:right w:w="108" w:type="dxa"/>
            </w:tcMar>
          </w:tcPr>
          <w:p w14:paraId="6818DA8B" w14:textId="30370A1F" w:rsidR="00C531BA" w:rsidRDefault="00C531BA" w:rsidP="003A6CD2">
            <w:pPr>
              <w:pStyle w:val="TableText"/>
              <w:jc w:val="right"/>
              <w:rPr>
                <w:rFonts w:ascii="Calibri" w:hAnsi="Calibri"/>
                <w:color w:val="000000"/>
                <w:szCs w:val="18"/>
              </w:rPr>
            </w:pPr>
            <w:r>
              <w:rPr>
                <w:rFonts w:ascii="Calibri" w:hAnsi="Calibri"/>
                <w:color w:val="000000"/>
                <w:szCs w:val="18"/>
              </w:rPr>
              <w:t>1,490,860</w:t>
            </w:r>
          </w:p>
        </w:tc>
      </w:tr>
      <w:tr w:rsidR="00C531BA" w:rsidRPr="00C32CCF" w14:paraId="6EE56984" w14:textId="77777777" w:rsidTr="00511E60">
        <w:tc>
          <w:tcPr>
            <w:tcW w:w="808" w:type="pct"/>
            <w:vMerge/>
            <w:tcMar>
              <w:left w:w="108" w:type="dxa"/>
              <w:right w:w="108" w:type="dxa"/>
            </w:tcMar>
          </w:tcPr>
          <w:p w14:paraId="347628B0" w14:textId="77777777" w:rsidR="00C531BA" w:rsidRPr="0018484D" w:rsidRDefault="00C531BA" w:rsidP="003A6CD2">
            <w:pPr>
              <w:pStyle w:val="TableText"/>
            </w:pPr>
          </w:p>
        </w:tc>
        <w:tc>
          <w:tcPr>
            <w:tcW w:w="451" w:type="pct"/>
            <w:tcMar>
              <w:left w:w="108" w:type="dxa"/>
              <w:right w:w="108" w:type="dxa"/>
            </w:tcMar>
          </w:tcPr>
          <w:p w14:paraId="3403A501" w14:textId="327AB850" w:rsidR="00C531BA" w:rsidRPr="00AA587C" w:rsidRDefault="00C531BA" w:rsidP="003A6CD2">
            <w:pPr>
              <w:pStyle w:val="TableText"/>
              <w:jc w:val="right"/>
              <w:rPr>
                <w:rFonts w:cstheme="minorHAnsi"/>
              </w:rPr>
            </w:pPr>
            <w:r>
              <w:rPr>
                <w:rFonts w:cstheme="minorHAnsi"/>
              </w:rPr>
              <w:t>35,260</w:t>
            </w:r>
          </w:p>
        </w:tc>
        <w:tc>
          <w:tcPr>
            <w:tcW w:w="1623" w:type="pct"/>
            <w:tcMar>
              <w:left w:w="108" w:type="dxa"/>
              <w:right w:w="108" w:type="dxa"/>
            </w:tcMar>
          </w:tcPr>
          <w:p w14:paraId="0ADDF2A1" w14:textId="58EC670F" w:rsidR="00C531BA" w:rsidRPr="00AA587C" w:rsidRDefault="00C531BA" w:rsidP="003A6CD2">
            <w:pPr>
              <w:pStyle w:val="TableText"/>
            </w:pPr>
            <w:r w:rsidRPr="00AA587C">
              <w:t>Approved arrangement/compliance agreement application charge</w:t>
            </w:r>
          </w:p>
        </w:tc>
        <w:tc>
          <w:tcPr>
            <w:tcW w:w="757" w:type="pct"/>
            <w:tcMar>
              <w:left w:w="108" w:type="dxa"/>
              <w:right w:w="108" w:type="dxa"/>
            </w:tcMar>
          </w:tcPr>
          <w:p w14:paraId="7FB1C71A" w14:textId="77777777" w:rsidR="00C531BA" w:rsidRPr="00AA587C" w:rsidRDefault="00C531BA" w:rsidP="003A6CD2">
            <w:pPr>
              <w:pStyle w:val="TableText"/>
            </w:pPr>
            <w:r w:rsidRPr="00AA587C">
              <w:t>Per application</w:t>
            </w:r>
          </w:p>
        </w:tc>
        <w:tc>
          <w:tcPr>
            <w:tcW w:w="352" w:type="pct"/>
            <w:tcMar>
              <w:left w:w="108" w:type="dxa"/>
              <w:right w:w="108" w:type="dxa"/>
            </w:tcMar>
          </w:tcPr>
          <w:p w14:paraId="62302E9F" w14:textId="45A5F598" w:rsidR="00C531BA" w:rsidRPr="00AA587C" w:rsidRDefault="00C531BA" w:rsidP="003A6CD2">
            <w:pPr>
              <w:pStyle w:val="TableText"/>
              <w:jc w:val="right"/>
              <w:rPr>
                <w:rFonts w:ascii="Calibri" w:hAnsi="Calibri"/>
                <w:color w:val="000000"/>
                <w:szCs w:val="18"/>
              </w:rPr>
            </w:pPr>
            <w:r>
              <w:rPr>
                <w:rFonts w:ascii="Calibri" w:hAnsi="Calibri"/>
                <w:color w:val="000000"/>
                <w:szCs w:val="18"/>
              </w:rPr>
              <w:t>215</w:t>
            </w:r>
          </w:p>
        </w:tc>
        <w:tc>
          <w:tcPr>
            <w:tcW w:w="493" w:type="pct"/>
            <w:tcMar>
              <w:left w:w="108" w:type="dxa"/>
              <w:right w:w="108" w:type="dxa"/>
            </w:tcMar>
          </w:tcPr>
          <w:p w14:paraId="6D798577" w14:textId="43E38ACA" w:rsidR="00C531BA" w:rsidRPr="00AA587C" w:rsidRDefault="00C531BA" w:rsidP="003A6CD2">
            <w:pPr>
              <w:pStyle w:val="TableText"/>
              <w:jc w:val="right"/>
              <w:rPr>
                <w:rFonts w:ascii="Calibri" w:hAnsi="Calibri"/>
                <w:color w:val="000000"/>
                <w:szCs w:val="18"/>
              </w:rPr>
            </w:pPr>
            <w:r w:rsidRPr="00AA587C">
              <w:rPr>
                <w:rFonts w:ascii="Calibri" w:hAnsi="Calibri"/>
                <w:color w:val="000000"/>
                <w:szCs w:val="18"/>
              </w:rPr>
              <w:t>16</w:t>
            </w:r>
            <w:r>
              <w:rPr>
                <w:rFonts w:ascii="Calibri" w:hAnsi="Calibri"/>
                <w:color w:val="000000"/>
                <w:szCs w:val="18"/>
              </w:rPr>
              <w:t>4</w:t>
            </w:r>
          </w:p>
        </w:tc>
        <w:tc>
          <w:tcPr>
            <w:tcW w:w="516" w:type="pct"/>
            <w:tcMar>
              <w:left w:w="108" w:type="dxa"/>
              <w:right w:w="108" w:type="dxa"/>
            </w:tcMar>
          </w:tcPr>
          <w:p w14:paraId="6A022229" w14:textId="7BC7C150" w:rsidR="00C531BA" w:rsidRPr="00AA587C" w:rsidRDefault="00C531BA" w:rsidP="003A6CD2">
            <w:pPr>
              <w:pStyle w:val="TableText"/>
              <w:jc w:val="right"/>
              <w:rPr>
                <w:rFonts w:ascii="Calibri" w:hAnsi="Calibri"/>
                <w:color w:val="000000"/>
                <w:szCs w:val="18"/>
              </w:rPr>
            </w:pPr>
            <w:r>
              <w:rPr>
                <w:rFonts w:ascii="Calibri" w:hAnsi="Calibri"/>
                <w:color w:val="000000"/>
                <w:szCs w:val="18"/>
              </w:rPr>
              <w:t>35,260</w:t>
            </w:r>
          </w:p>
        </w:tc>
      </w:tr>
      <w:tr w:rsidR="00C531BA" w:rsidRPr="00C32CCF" w14:paraId="5C5B0896" w14:textId="77777777" w:rsidTr="00511E60">
        <w:tc>
          <w:tcPr>
            <w:tcW w:w="808" w:type="pct"/>
            <w:vMerge/>
            <w:tcMar>
              <w:left w:w="108" w:type="dxa"/>
              <w:right w:w="108" w:type="dxa"/>
            </w:tcMar>
          </w:tcPr>
          <w:p w14:paraId="720DD8FF" w14:textId="77777777" w:rsidR="00C531BA" w:rsidRPr="0018484D" w:rsidRDefault="00C531BA" w:rsidP="003A6CD2">
            <w:pPr>
              <w:pStyle w:val="TableText"/>
            </w:pPr>
          </w:p>
        </w:tc>
        <w:tc>
          <w:tcPr>
            <w:tcW w:w="451" w:type="pct"/>
            <w:tcMar>
              <w:left w:w="108" w:type="dxa"/>
              <w:right w:w="108" w:type="dxa"/>
            </w:tcMar>
          </w:tcPr>
          <w:p w14:paraId="184AAC25" w14:textId="1F0F8EC8" w:rsidR="00C531BA" w:rsidRPr="00AA587C" w:rsidRDefault="00C531BA" w:rsidP="003A6CD2">
            <w:pPr>
              <w:pStyle w:val="TableText"/>
              <w:jc w:val="right"/>
              <w:rPr>
                <w:rFonts w:cstheme="minorHAnsi"/>
              </w:rPr>
            </w:pPr>
            <w:r>
              <w:rPr>
                <w:rFonts w:cstheme="minorHAnsi"/>
              </w:rPr>
              <w:t>1,531,690</w:t>
            </w:r>
          </w:p>
        </w:tc>
        <w:tc>
          <w:tcPr>
            <w:tcW w:w="1623" w:type="pct"/>
            <w:tcMar>
              <w:left w:w="108" w:type="dxa"/>
              <w:right w:w="108" w:type="dxa"/>
            </w:tcMar>
          </w:tcPr>
          <w:p w14:paraId="03BAC483" w14:textId="3187F4EF" w:rsidR="00C531BA" w:rsidRPr="00AA587C" w:rsidRDefault="00C531BA" w:rsidP="003A6CD2">
            <w:pPr>
              <w:pStyle w:val="TableText"/>
            </w:pPr>
            <w:r w:rsidRPr="00AA587C">
              <w:t xml:space="preserve">Approved arrangement – multiple – including food import compliance agreements – </w:t>
            </w:r>
            <w:r w:rsidRPr="0097139F">
              <w:t>full</w:t>
            </w:r>
            <w:r>
              <w:t xml:space="preserve"> </w:t>
            </w:r>
            <w:r w:rsidRPr="0097139F">
              <w:t>year</w:t>
            </w:r>
          </w:p>
        </w:tc>
        <w:tc>
          <w:tcPr>
            <w:tcW w:w="757" w:type="pct"/>
            <w:tcMar>
              <w:left w:w="108" w:type="dxa"/>
              <w:right w:w="108" w:type="dxa"/>
            </w:tcMar>
          </w:tcPr>
          <w:p w14:paraId="2F118A7E" w14:textId="77777777" w:rsidR="00C531BA" w:rsidRPr="00AA587C" w:rsidRDefault="00C531BA" w:rsidP="003A6CD2">
            <w:pPr>
              <w:pStyle w:val="TableText"/>
            </w:pPr>
            <w:r w:rsidRPr="00AA587C">
              <w:t>Per item</w:t>
            </w:r>
          </w:p>
        </w:tc>
        <w:tc>
          <w:tcPr>
            <w:tcW w:w="352" w:type="pct"/>
            <w:tcMar>
              <w:left w:w="108" w:type="dxa"/>
              <w:right w:w="108" w:type="dxa"/>
            </w:tcMar>
          </w:tcPr>
          <w:p w14:paraId="4EFAC064" w14:textId="07DB8568" w:rsidR="00C531BA" w:rsidRPr="00AA587C" w:rsidRDefault="00C531BA" w:rsidP="003A6CD2">
            <w:pPr>
              <w:pStyle w:val="TableText"/>
              <w:jc w:val="right"/>
              <w:rPr>
                <w:rFonts w:ascii="Calibri" w:hAnsi="Calibri"/>
                <w:color w:val="000000"/>
                <w:szCs w:val="18"/>
              </w:rPr>
            </w:pPr>
            <w:r>
              <w:rPr>
                <w:rFonts w:ascii="Calibri" w:hAnsi="Calibri"/>
                <w:color w:val="000000"/>
                <w:szCs w:val="18"/>
              </w:rPr>
              <w:t>3,442</w:t>
            </w:r>
          </w:p>
        </w:tc>
        <w:tc>
          <w:tcPr>
            <w:tcW w:w="493" w:type="pct"/>
            <w:tcMar>
              <w:left w:w="108" w:type="dxa"/>
              <w:right w:w="108" w:type="dxa"/>
            </w:tcMar>
          </w:tcPr>
          <w:p w14:paraId="04B39426" w14:textId="300834F9" w:rsidR="00C531BA" w:rsidRPr="00AA587C" w:rsidRDefault="00C531BA" w:rsidP="003A6CD2">
            <w:pPr>
              <w:pStyle w:val="TableText"/>
              <w:jc w:val="right"/>
              <w:rPr>
                <w:rFonts w:ascii="Calibri" w:hAnsi="Calibri"/>
                <w:color w:val="000000"/>
                <w:szCs w:val="18"/>
              </w:rPr>
            </w:pPr>
            <w:r>
              <w:rPr>
                <w:rFonts w:ascii="Calibri" w:hAnsi="Calibri"/>
                <w:color w:val="000000"/>
                <w:szCs w:val="18"/>
              </w:rPr>
              <w:t>445</w:t>
            </w:r>
          </w:p>
        </w:tc>
        <w:tc>
          <w:tcPr>
            <w:tcW w:w="516" w:type="pct"/>
            <w:tcMar>
              <w:left w:w="108" w:type="dxa"/>
              <w:right w:w="108" w:type="dxa"/>
            </w:tcMar>
          </w:tcPr>
          <w:p w14:paraId="784724C8" w14:textId="5D90AA9D" w:rsidR="00C531BA" w:rsidRPr="00AA587C" w:rsidRDefault="00C531BA" w:rsidP="003A6CD2">
            <w:pPr>
              <w:pStyle w:val="TableText"/>
              <w:jc w:val="right"/>
              <w:rPr>
                <w:rFonts w:ascii="Calibri" w:hAnsi="Calibri"/>
                <w:color w:val="000000"/>
                <w:szCs w:val="18"/>
              </w:rPr>
            </w:pPr>
            <w:r>
              <w:t>1,531,690</w:t>
            </w:r>
          </w:p>
        </w:tc>
      </w:tr>
      <w:tr w:rsidR="00C531BA" w:rsidRPr="00C32CCF" w14:paraId="1C13AA28" w14:textId="77777777" w:rsidTr="00511E60">
        <w:tc>
          <w:tcPr>
            <w:tcW w:w="808" w:type="pct"/>
            <w:vMerge/>
            <w:tcMar>
              <w:left w:w="108" w:type="dxa"/>
              <w:right w:w="108" w:type="dxa"/>
            </w:tcMar>
          </w:tcPr>
          <w:p w14:paraId="2B654D1E" w14:textId="77777777" w:rsidR="00C531BA" w:rsidRPr="0018484D" w:rsidRDefault="00C531BA" w:rsidP="003A6CD2">
            <w:pPr>
              <w:pStyle w:val="TableText"/>
            </w:pPr>
          </w:p>
        </w:tc>
        <w:tc>
          <w:tcPr>
            <w:tcW w:w="451" w:type="pct"/>
            <w:tcMar>
              <w:left w:w="108" w:type="dxa"/>
              <w:right w:w="108" w:type="dxa"/>
            </w:tcMar>
          </w:tcPr>
          <w:p w14:paraId="684C3D94" w14:textId="38918C7C" w:rsidR="00C531BA" w:rsidRPr="00AA587C" w:rsidRDefault="00C531BA" w:rsidP="003A6CD2">
            <w:pPr>
              <w:pStyle w:val="TableText"/>
              <w:jc w:val="right"/>
              <w:rPr>
                <w:rFonts w:cstheme="minorHAnsi"/>
              </w:rPr>
            </w:pPr>
            <w:r w:rsidRPr="00A446A8">
              <w:rPr>
                <w:rFonts w:cstheme="minorHAnsi"/>
              </w:rPr>
              <w:t>–</w:t>
            </w:r>
          </w:p>
        </w:tc>
        <w:tc>
          <w:tcPr>
            <w:tcW w:w="1623" w:type="pct"/>
            <w:tcMar>
              <w:left w:w="108" w:type="dxa"/>
              <w:right w:w="108" w:type="dxa"/>
            </w:tcMar>
          </w:tcPr>
          <w:p w14:paraId="4FE3541F" w14:textId="7841C9F4" w:rsidR="00C531BA" w:rsidRPr="004D70D4" w:rsidRDefault="00C531BA" w:rsidP="003A6CD2">
            <w:pPr>
              <w:pStyle w:val="TableText"/>
            </w:pPr>
            <w:r w:rsidRPr="00847396">
              <w:t>Approved</w:t>
            </w:r>
            <w:r w:rsidRPr="004D70D4">
              <w:t xml:space="preserve"> arrangement – multiple – including food import compliance agreements – part year</w:t>
            </w:r>
          </w:p>
        </w:tc>
        <w:tc>
          <w:tcPr>
            <w:tcW w:w="757" w:type="pct"/>
            <w:tcMar>
              <w:left w:w="108" w:type="dxa"/>
              <w:right w:w="108" w:type="dxa"/>
            </w:tcMar>
          </w:tcPr>
          <w:p w14:paraId="5F1EFEAE" w14:textId="77777777" w:rsidR="00C531BA" w:rsidRPr="00AA587C" w:rsidRDefault="00C531BA" w:rsidP="003A6CD2">
            <w:pPr>
              <w:pStyle w:val="TableText"/>
            </w:pPr>
            <w:r w:rsidRPr="00AA587C">
              <w:t>Per item</w:t>
            </w:r>
          </w:p>
        </w:tc>
        <w:tc>
          <w:tcPr>
            <w:tcW w:w="352" w:type="pct"/>
            <w:tcMar>
              <w:left w:w="108" w:type="dxa"/>
              <w:right w:w="108" w:type="dxa"/>
            </w:tcMar>
          </w:tcPr>
          <w:p w14:paraId="431D35BF" w14:textId="1FD0BF7D" w:rsidR="00C531BA" w:rsidRPr="00AA587C" w:rsidRDefault="00C531BA" w:rsidP="003A6CD2">
            <w:pPr>
              <w:pStyle w:val="TableText"/>
              <w:jc w:val="right"/>
              <w:rPr>
                <w:rFonts w:ascii="Calibri" w:hAnsi="Calibri"/>
                <w:color w:val="000000"/>
                <w:szCs w:val="18"/>
              </w:rPr>
            </w:pPr>
            <w:r>
              <w:rPr>
                <w:rFonts w:ascii="Calibri" w:hAnsi="Calibri"/>
                <w:color w:val="000000"/>
                <w:szCs w:val="18"/>
              </w:rPr>
              <w:t>1,721</w:t>
            </w:r>
          </w:p>
        </w:tc>
        <w:tc>
          <w:tcPr>
            <w:tcW w:w="493" w:type="pct"/>
            <w:tcMar>
              <w:left w:w="108" w:type="dxa"/>
              <w:right w:w="108" w:type="dxa"/>
            </w:tcMar>
          </w:tcPr>
          <w:p w14:paraId="52A3C6BD" w14:textId="01181D8D" w:rsidR="00C531BA" w:rsidRPr="00AA587C" w:rsidRDefault="00C531BA" w:rsidP="003A6CD2">
            <w:pPr>
              <w:pStyle w:val="TableText"/>
              <w:jc w:val="right"/>
              <w:rPr>
                <w:rFonts w:ascii="Calibri" w:hAnsi="Calibri"/>
                <w:color w:val="000000"/>
                <w:szCs w:val="18"/>
              </w:rPr>
            </w:pPr>
            <w:r w:rsidRPr="00A446A8">
              <w:rPr>
                <w:rFonts w:cstheme="minorHAnsi"/>
              </w:rPr>
              <w:t>–</w:t>
            </w:r>
          </w:p>
        </w:tc>
        <w:tc>
          <w:tcPr>
            <w:tcW w:w="516" w:type="pct"/>
            <w:tcMar>
              <w:left w:w="108" w:type="dxa"/>
              <w:right w:w="108" w:type="dxa"/>
            </w:tcMar>
          </w:tcPr>
          <w:p w14:paraId="700C1F24" w14:textId="5586C316" w:rsidR="00C531BA" w:rsidRPr="00AA587C" w:rsidRDefault="00C531BA" w:rsidP="003A6CD2">
            <w:pPr>
              <w:pStyle w:val="TableText"/>
              <w:jc w:val="right"/>
              <w:rPr>
                <w:rFonts w:ascii="Calibri" w:hAnsi="Calibri"/>
                <w:color w:val="000000"/>
                <w:szCs w:val="18"/>
              </w:rPr>
            </w:pPr>
            <w:r w:rsidRPr="00A446A8">
              <w:rPr>
                <w:rFonts w:cstheme="minorHAnsi"/>
              </w:rPr>
              <w:t>–</w:t>
            </w:r>
          </w:p>
        </w:tc>
      </w:tr>
      <w:tr w:rsidR="00C531BA" w:rsidRPr="00C32CCF" w14:paraId="467ECAA7" w14:textId="77777777" w:rsidTr="00511E60">
        <w:tc>
          <w:tcPr>
            <w:tcW w:w="808" w:type="pct"/>
            <w:vMerge/>
            <w:tcMar>
              <w:left w:w="108" w:type="dxa"/>
              <w:right w:w="108" w:type="dxa"/>
            </w:tcMar>
          </w:tcPr>
          <w:p w14:paraId="39738098" w14:textId="77777777" w:rsidR="00C531BA" w:rsidRPr="0018484D" w:rsidRDefault="00C531BA" w:rsidP="003A6CD2">
            <w:pPr>
              <w:pStyle w:val="TableText"/>
            </w:pPr>
          </w:p>
        </w:tc>
        <w:tc>
          <w:tcPr>
            <w:tcW w:w="451" w:type="pct"/>
            <w:tcMar>
              <w:left w:w="108" w:type="dxa"/>
              <w:right w:w="108" w:type="dxa"/>
            </w:tcMar>
          </w:tcPr>
          <w:p w14:paraId="1F192CAD" w14:textId="2AE95832" w:rsidR="00C531BA" w:rsidRPr="00AA587C" w:rsidRDefault="00C531BA" w:rsidP="003A6CD2">
            <w:pPr>
              <w:pStyle w:val="TableText"/>
              <w:jc w:val="right"/>
              <w:rPr>
                <w:rFonts w:cstheme="minorHAnsi"/>
              </w:rPr>
            </w:pPr>
            <w:r>
              <w:rPr>
                <w:rFonts w:cstheme="minorHAnsi"/>
              </w:rPr>
              <w:t>236,014</w:t>
            </w:r>
          </w:p>
        </w:tc>
        <w:tc>
          <w:tcPr>
            <w:tcW w:w="1623" w:type="pct"/>
            <w:tcMar>
              <w:left w:w="108" w:type="dxa"/>
              <w:right w:w="108" w:type="dxa"/>
            </w:tcMar>
          </w:tcPr>
          <w:p w14:paraId="23D39A14" w14:textId="6672B3BB" w:rsidR="00C531BA" w:rsidRPr="004D70D4" w:rsidRDefault="00C531BA" w:rsidP="003A6CD2">
            <w:pPr>
              <w:pStyle w:val="TableText"/>
            </w:pPr>
            <w:r w:rsidRPr="004D70D4">
              <w:t>Approved arrangement – class 19 – full year</w:t>
            </w:r>
          </w:p>
        </w:tc>
        <w:tc>
          <w:tcPr>
            <w:tcW w:w="757" w:type="pct"/>
            <w:tcMar>
              <w:left w:w="108" w:type="dxa"/>
              <w:right w:w="108" w:type="dxa"/>
            </w:tcMar>
          </w:tcPr>
          <w:p w14:paraId="07CAB1B5" w14:textId="77777777" w:rsidR="00C531BA" w:rsidRPr="00AA587C" w:rsidRDefault="00C531BA" w:rsidP="003A6CD2">
            <w:pPr>
              <w:pStyle w:val="TableText"/>
            </w:pPr>
            <w:r w:rsidRPr="00AA587C">
              <w:t>Per item</w:t>
            </w:r>
          </w:p>
        </w:tc>
        <w:tc>
          <w:tcPr>
            <w:tcW w:w="352" w:type="pct"/>
            <w:tcMar>
              <w:left w:w="108" w:type="dxa"/>
              <w:right w:w="108" w:type="dxa"/>
            </w:tcMar>
          </w:tcPr>
          <w:p w14:paraId="06102853" w14:textId="5DE153D6" w:rsidR="00C531BA" w:rsidRPr="00AA587C" w:rsidRDefault="00C531BA" w:rsidP="003A6CD2">
            <w:pPr>
              <w:pStyle w:val="TableText"/>
              <w:jc w:val="right"/>
              <w:rPr>
                <w:rFonts w:ascii="Calibri" w:hAnsi="Calibri"/>
                <w:color w:val="000000"/>
                <w:szCs w:val="18"/>
              </w:rPr>
            </w:pPr>
            <w:r>
              <w:rPr>
                <w:rFonts w:ascii="Calibri" w:hAnsi="Calibri"/>
                <w:color w:val="000000"/>
                <w:szCs w:val="18"/>
              </w:rPr>
              <w:t>593</w:t>
            </w:r>
          </w:p>
        </w:tc>
        <w:tc>
          <w:tcPr>
            <w:tcW w:w="493" w:type="pct"/>
            <w:tcMar>
              <w:left w:w="108" w:type="dxa"/>
              <w:right w:w="108" w:type="dxa"/>
            </w:tcMar>
          </w:tcPr>
          <w:p w14:paraId="34E7BB24" w14:textId="05603459" w:rsidR="00C531BA" w:rsidRPr="00AA587C" w:rsidRDefault="00C531BA" w:rsidP="003A6CD2">
            <w:pPr>
              <w:pStyle w:val="TableText"/>
              <w:jc w:val="right"/>
              <w:rPr>
                <w:rFonts w:ascii="Calibri" w:hAnsi="Calibri"/>
                <w:color w:val="000000"/>
                <w:szCs w:val="18"/>
              </w:rPr>
            </w:pPr>
            <w:r>
              <w:rPr>
                <w:rFonts w:ascii="Calibri" w:hAnsi="Calibri"/>
                <w:color w:val="000000"/>
                <w:szCs w:val="18"/>
              </w:rPr>
              <w:t>398</w:t>
            </w:r>
          </w:p>
        </w:tc>
        <w:tc>
          <w:tcPr>
            <w:tcW w:w="516" w:type="pct"/>
            <w:tcMar>
              <w:left w:w="108" w:type="dxa"/>
              <w:right w:w="108" w:type="dxa"/>
            </w:tcMar>
          </w:tcPr>
          <w:p w14:paraId="39031664" w14:textId="77C839B7" w:rsidR="00C531BA" w:rsidRPr="00AA587C" w:rsidRDefault="00C531BA" w:rsidP="003A6CD2">
            <w:pPr>
              <w:pStyle w:val="TableText"/>
              <w:jc w:val="right"/>
              <w:rPr>
                <w:rFonts w:ascii="Calibri" w:hAnsi="Calibri"/>
                <w:color w:val="000000"/>
                <w:szCs w:val="18"/>
              </w:rPr>
            </w:pPr>
            <w:r>
              <w:rPr>
                <w:rFonts w:ascii="Calibri" w:hAnsi="Calibri"/>
                <w:color w:val="000000"/>
                <w:szCs w:val="18"/>
              </w:rPr>
              <w:t>236,014</w:t>
            </w:r>
          </w:p>
        </w:tc>
      </w:tr>
      <w:tr w:rsidR="00C531BA" w:rsidRPr="00C32CCF" w14:paraId="28B53AE3" w14:textId="77777777" w:rsidTr="00511E60">
        <w:tc>
          <w:tcPr>
            <w:tcW w:w="808" w:type="pct"/>
            <w:vMerge/>
            <w:tcMar>
              <w:left w:w="108" w:type="dxa"/>
              <w:right w:w="108" w:type="dxa"/>
            </w:tcMar>
          </w:tcPr>
          <w:p w14:paraId="093137B9" w14:textId="77777777" w:rsidR="00C531BA" w:rsidRPr="0018484D" w:rsidRDefault="00C531BA" w:rsidP="003A6CD2">
            <w:pPr>
              <w:pStyle w:val="TableText"/>
            </w:pPr>
          </w:p>
        </w:tc>
        <w:tc>
          <w:tcPr>
            <w:tcW w:w="451" w:type="pct"/>
            <w:tcMar>
              <w:left w:w="108" w:type="dxa"/>
              <w:right w:w="108" w:type="dxa"/>
            </w:tcMar>
          </w:tcPr>
          <w:p w14:paraId="40335986" w14:textId="4AF97E1D" w:rsidR="00C531BA" w:rsidRPr="00AA587C" w:rsidRDefault="00C531BA" w:rsidP="003A6CD2">
            <w:pPr>
              <w:pStyle w:val="TableText"/>
              <w:jc w:val="right"/>
              <w:rPr>
                <w:rFonts w:cstheme="minorHAnsi"/>
              </w:rPr>
            </w:pPr>
            <w:r>
              <w:rPr>
                <w:rFonts w:cstheme="minorHAnsi"/>
              </w:rPr>
              <w:t>593</w:t>
            </w:r>
          </w:p>
        </w:tc>
        <w:tc>
          <w:tcPr>
            <w:tcW w:w="1623" w:type="pct"/>
            <w:tcMar>
              <w:left w:w="108" w:type="dxa"/>
              <w:right w:w="108" w:type="dxa"/>
            </w:tcMar>
          </w:tcPr>
          <w:p w14:paraId="0CFE2EB1" w14:textId="224BEC9C" w:rsidR="00C531BA" w:rsidRPr="004D70D4" w:rsidRDefault="00C531BA" w:rsidP="003A6CD2">
            <w:pPr>
              <w:pStyle w:val="TableText"/>
            </w:pPr>
            <w:r w:rsidRPr="004D70D4">
              <w:t>Approved arrangement – class 19 – part year</w:t>
            </w:r>
          </w:p>
        </w:tc>
        <w:tc>
          <w:tcPr>
            <w:tcW w:w="757" w:type="pct"/>
            <w:tcMar>
              <w:left w:w="108" w:type="dxa"/>
              <w:right w:w="108" w:type="dxa"/>
            </w:tcMar>
          </w:tcPr>
          <w:p w14:paraId="0E51FAF2" w14:textId="77777777" w:rsidR="00C531BA" w:rsidRPr="00AA587C" w:rsidRDefault="00C531BA" w:rsidP="003A6CD2">
            <w:pPr>
              <w:pStyle w:val="TableText"/>
            </w:pPr>
            <w:r w:rsidRPr="00AA587C">
              <w:t>Per item</w:t>
            </w:r>
          </w:p>
        </w:tc>
        <w:tc>
          <w:tcPr>
            <w:tcW w:w="352" w:type="pct"/>
            <w:tcMar>
              <w:left w:w="108" w:type="dxa"/>
              <w:right w:w="108" w:type="dxa"/>
            </w:tcMar>
          </w:tcPr>
          <w:p w14:paraId="7A14C3B1" w14:textId="69AFF99F" w:rsidR="00C531BA" w:rsidRPr="00AA587C" w:rsidRDefault="00C531BA" w:rsidP="003A6CD2">
            <w:pPr>
              <w:pStyle w:val="TableText"/>
              <w:jc w:val="right"/>
              <w:rPr>
                <w:rFonts w:ascii="Calibri" w:hAnsi="Calibri"/>
                <w:color w:val="000000"/>
                <w:szCs w:val="18"/>
              </w:rPr>
            </w:pPr>
            <w:r>
              <w:rPr>
                <w:rFonts w:ascii="Calibri" w:hAnsi="Calibri"/>
                <w:color w:val="000000"/>
                <w:szCs w:val="18"/>
              </w:rPr>
              <w:t>296.5</w:t>
            </w:r>
          </w:p>
        </w:tc>
        <w:tc>
          <w:tcPr>
            <w:tcW w:w="493" w:type="pct"/>
            <w:tcMar>
              <w:left w:w="108" w:type="dxa"/>
              <w:right w:w="108" w:type="dxa"/>
            </w:tcMar>
          </w:tcPr>
          <w:p w14:paraId="09A45CD5" w14:textId="77777777" w:rsidR="00C531BA" w:rsidRPr="00AA587C" w:rsidRDefault="00C531BA" w:rsidP="003A6CD2">
            <w:pPr>
              <w:pStyle w:val="TableText"/>
              <w:jc w:val="right"/>
              <w:rPr>
                <w:rFonts w:ascii="Calibri" w:hAnsi="Calibri"/>
                <w:color w:val="000000"/>
                <w:szCs w:val="18"/>
              </w:rPr>
            </w:pPr>
            <w:r w:rsidRPr="00AA587C">
              <w:rPr>
                <w:rFonts w:ascii="Calibri" w:hAnsi="Calibri"/>
                <w:color w:val="000000"/>
                <w:szCs w:val="18"/>
              </w:rPr>
              <w:t>2</w:t>
            </w:r>
          </w:p>
        </w:tc>
        <w:tc>
          <w:tcPr>
            <w:tcW w:w="516" w:type="pct"/>
            <w:tcMar>
              <w:left w:w="108" w:type="dxa"/>
              <w:right w:w="108" w:type="dxa"/>
            </w:tcMar>
          </w:tcPr>
          <w:p w14:paraId="018A10DA" w14:textId="35D56D77" w:rsidR="00C531BA" w:rsidRPr="00AA587C" w:rsidRDefault="00C531BA" w:rsidP="003A6CD2">
            <w:pPr>
              <w:pStyle w:val="TableText"/>
              <w:jc w:val="right"/>
              <w:rPr>
                <w:rFonts w:ascii="Calibri" w:hAnsi="Calibri"/>
                <w:color w:val="000000"/>
                <w:szCs w:val="18"/>
              </w:rPr>
            </w:pPr>
            <w:r>
              <w:rPr>
                <w:rFonts w:ascii="Calibri" w:hAnsi="Calibri"/>
                <w:color w:val="000000"/>
                <w:szCs w:val="18"/>
              </w:rPr>
              <w:t>593</w:t>
            </w:r>
          </w:p>
        </w:tc>
      </w:tr>
      <w:tr w:rsidR="00C531BA" w:rsidRPr="00C32CCF" w14:paraId="2E5054A3" w14:textId="77777777" w:rsidTr="00511E60">
        <w:tc>
          <w:tcPr>
            <w:tcW w:w="808" w:type="pct"/>
            <w:vMerge/>
            <w:tcMar>
              <w:left w:w="108" w:type="dxa"/>
              <w:right w:w="108" w:type="dxa"/>
            </w:tcMar>
          </w:tcPr>
          <w:p w14:paraId="4BA0D914" w14:textId="77777777" w:rsidR="00C531BA" w:rsidRPr="0018484D" w:rsidRDefault="00C531BA" w:rsidP="003A6CD2">
            <w:pPr>
              <w:pStyle w:val="TableText"/>
            </w:pPr>
          </w:p>
        </w:tc>
        <w:tc>
          <w:tcPr>
            <w:tcW w:w="451" w:type="pct"/>
            <w:tcMar>
              <w:left w:w="108" w:type="dxa"/>
              <w:right w:w="108" w:type="dxa"/>
            </w:tcMar>
          </w:tcPr>
          <w:p w14:paraId="74B4A599" w14:textId="67B82A39" w:rsidR="00C531BA" w:rsidRPr="00AA587C" w:rsidRDefault="00C531BA" w:rsidP="003A6CD2">
            <w:pPr>
              <w:pStyle w:val="TableText"/>
              <w:jc w:val="right"/>
              <w:rPr>
                <w:rFonts w:cstheme="minorHAnsi"/>
              </w:rPr>
            </w:pPr>
            <w:r>
              <w:rPr>
                <w:rFonts w:cstheme="minorHAnsi"/>
              </w:rPr>
              <w:t>3,683,772</w:t>
            </w:r>
          </w:p>
        </w:tc>
        <w:tc>
          <w:tcPr>
            <w:tcW w:w="1623" w:type="pct"/>
            <w:tcMar>
              <w:left w:w="108" w:type="dxa"/>
              <w:right w:w="108" w:type="dxa"/>
            </w:tcMar>
          </w:tcPr>
          <w:p w14:paraId="5141D21F" w14:textId="0D472E94" w:rsidR="00C531BA" w:rsidRPr="004D70D4" w:rsidRDefault="00C531BA" w:rsidP="003A6CD2">
            <w:pPr>
              <w:pStyle w:val="TableText"/>
            </w:pPr>
            <w:r w:rsidRPr="004D70D4">
              <w:t>Approved arrangement – single– including food import compliance agreements – full year</w:t>
            </w:r>
          </w:p>
        </w:tc>
        <w:tc>
          <w:tcPr>
            <w:tcW w:w="757" w:type="pct"/>
            <w:tcMar>
              <w:left w:w="108" w:type="dxa"/>
              <w:right w:w="108" w:type="dxa"/>
            </w:tcMar>
          </w:tcPr>
          <w:p w14:paraId="6526CCB2" w14:textId="77777777" w:rsidR="00C531BA" w:rsidRPr="00AA587C" w:rsidRDefault="00C531BA" w:rsidP="003A6CD2">
            <w:pPr>
              <w:pStyle w:val="TableText"/>
            </w:pPr>
            <w:r w:rsidRPr="00AA587C">
              <w:t>Per item</w:t>
            </w:r>
          </w:p>
        </w:tc>
        <w:tc>
          <w:tcPr>
            <w:tcW w:w="352" w:type="pct"/>
            <w:tcMar>
              <w:left w:w="108" w:type="dxa"/>
              <w:right w:w="108" w:type="dxa"/>
            </w:tcMar>
          </w:tcPr>
          <w:p w14:paraId="1C87B5E9" w14:textId="0E07F374" w:rsidR="00C531BA" w:rsidRPr="00AA587C" w:rsidRDefault="00C531BA" w:rsidP="003A6CD2">
            <w:pPr>
              <w:pStyle w:val="TableText"/>
              <w:jc w:val="right"/>
            </w:pPr>
            <w:r>
              <w:rPr>
                <w:rFonts w:ascii="Calibri" w:hAnsi="Calibri"/>
                <w:color w:val="000000"/>
                <w:szCs w:val="18"/>
              </w:rPr>
              <w:t>2,966</w:t>
            </w:r>
          </w:p>
        </w:tc>
        <w:tc>
          <w:tcPr>
            <w:tcW w:w="493" w:type="pct"/>
            <w:tcMar>
              <w:left w:w="108" w:type="dxa"/>
              <w:right w:w="108" w:type="dxa"/>
            </w:tcMar>
          </w:tcPr>
          <w:p w14:paraId="1D5A7F0B" w14:textId="5EC84D42" w:rsidR="00C531BA" w:rsidRPr="00AA587C" w:rsidRDefault="00C531BA" w:rsidP="003A6CD2">
            <w:pPr>
              <w:pStyle w:val="TableText"/>
              <w:jc w:val="right"/>
              <w:rPr>
                <w:rFonts w:ascii="Calibri" w:hAnsi="Calibri"/>
                <w:color w:val="000000"/>
                <w:szCs w:val="18"/>
              </w:rPr>
            </w:pPr>
            <w:r>
              <w:rPr>
                <w:rFonts w:ascii="Calibri" w:hAnsi="Calibri"/>
                <w:color w:val="000000"/>
                <w:szCs w:val="18"/>
              </w:rPr>
              <w:t>1,242</w:t>
            </w:r>
          </w:p>
        </w:tc>
        <w:tc>
          <w:tcPr>
            <w:tcW w:w="516" w:type="pct"/>
            <w:tcMar>
              <w:left w:w="108" w:type="dxa"/>
              <w:right w:w="108" w:type="dxa"/>
            </w:tcMar>
          </w:tcPr>
          <w:p w14:paraId="33C882D8" w14:textId="4F3C0C6A" w:rsidR="00C531BA" w:rsidRPr="00AA587C" w:rsidRDefault="00C531BA" w:rsidP="003A6CD2">
            <w:pPr>
              <w:pStyle w:val="TableText"/>
              <w:jc w:val="right"/>
            </w:pPr>
            <w:r>
              <w:rPr>
                <w:rFonts w:ascii="Calibri" w:hAnsi="Calibri"/>
                <w:color w:val="000000"/>
                <w:szCs w:val="18"/>
              </w:rPr>
              <w:t>3,683,772</w:t>
            </w:r>
          </w:p>
        </w:tc>
      </w:tr>
      <w:tr w:rsidR="00C531BA" w:rsidRPr="00C32CCF" w14:paraId="0DD8D82C" w14:textId="77777777" w:rsidTr="00511E60">
        <w:tc>
          <w:tcPr>
            <w:tcW w:w="808" w:type="pct"/>
            <w:vMerge/>
            <w:tcMar>
              <w:left w:w="108" w:type="dxa"/>
              <w:right w:w="108" w:type="dxa"/>
            </w:tcMar>
          </w:tcPr>
          <w:p w14:paraId="5ACBC595" w14:textId="77777777" w:rsidR="00C531BA" w:rsidRPr="0018484D" w:rsidRDefault="00C531BA" w:rsidP="003A6CD2">
            <w:pPr>
              <w:pStyle w:val="TableText"/>
            </w:pPr>
          </w:p>
        </w:tc>
        <w:tc>
          <w:tcPr>
            <w:tcW w:w="451" w:type="pct"/>
            <w:tcMar>
              <w:left w:w="108" w:type="dxa"/>
              <w:right w:w="108" w:type="dxa"/>
            </w:tcMar>
          </w:tcPr>
          <w:p w14:paraId="5667D333" w14:textId="4CCC0E68" w:rsidR="00C531BA" w:rsidRPr="00AC153F" w:rsidRDefault="00C531BA" w:rsidP="003A6CD2">
            <w:pPr>
              <w:pStyle w:val="TableText"/>
              <w:jc w:val="right"/>
              <w:rPr>
                <w:rFonts w:cstheme="minorHAnsi"/>
              </w:rPr>
            </w:pPr>
            <w:r w:rsidRPr="00AC153F">
              <w:rPr>
                <w:rFonts w:cstheme="minorHAnsi"/>
              </w:rPr>
              <w:t>68,218</w:t>
            </w:r>
          </w:p>
        </w:tc>
        <w:tc>
          <w:tcPr>
            <w:tcW w:w="1623" w:type="pct"/>
            <w:tcMar>
              <w:left w:w="108" w:type="dxa"/>
              <w:right w:w="108" w:type="dxa"/>
            </w:tcMar>
          </w:tcPr>
          <w:p w14:paraId="681E1ED8" w14:textId="7114263D" w:rsidR="00C531BA" w:rsidRPr="00AC153F" w:rsidRDefault="00C531BA" w:rsidP="003A6CD2">
            <w:pPr>
              <w:pStyle w:val="TableText"/>
            </w:pPr>
            <w:r w:rsidRPr="00AC153F">
              <w:t>Approved arrangement – single – including food import compliance agreements – part year</w:t>
            </w:r>
          </w:p>
        </w:tc>
        <w:tc>
          <w:tcPr>
            <w:tcW w:w="757" w:type="pct"/>
            <w:tcMar>
              <w:left w:w="108" w:type="dxa"/>
              <w:right w:w="108" w:type="dxa"/>
            </w:tcMar>
          </w:tcPr>
          <w:p w14:paraId="66924412" w14:textId="77777777" w:rsidR="00C531BA" w:rsidRPr="00AC153F" w:rsidRDefault="00C531BA" w:rsidP="003A6CD2">
            <w:pPr>
              <w:pStyle w:val="TableText"/>
            </w:pPr>
            <w:r w:rsidRPr="00AC153F">
              <w:t>Per item</w:t>
            </w:r>
          </w:p>
        </w:tc>
        <w:tc>
          <w:tcPr>
            <w:tcW w:w="352" w:type="pct"/>
            <w:tcMar>
              <w:left w:w="108" w:type="dxa"/>
              <w:right w:w="108" w:type="dxa"/>
            </w:tcMar>
          </w:tcPr>
          <w:p w14:paraId="144A4D32" w14:textId="254F4310"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1,483</w:t>
            </w:r>
          </w:p>
        </w:tc>
        <w:tc>
          <w:tcPr>
            <w:tcW w:w="493" w:type="pct"/>
            <w:tcMar>
              <w:left w:w="108" w:type="dxa"/>
              <w:right w:w="108" w:type="dxa"/>
            </w:tcMar>
          </w:tcPr>
          <w:p w14:paraId="018024CD" w14:textId="46983BE1"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46</w:t>
            </w:r>
          </w:p>
        </w:tc>
        <w:tc>
          <w:tcPr>
            <w:tcW w:w="516" w:type="pct"/>
            <w:tcMar>
              <w:left w:w="108" w:type="dxa"/>
              <w:right w:w="108" w:type="dxa"/>
            </w:tcMar>
          </w:tcPr>
          <w:p w14:paraId="2C107157" w14:textId="2F14F358"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68,218</w:t>
            </w:r>
          </w:p>
        </w:tc>
      </w:tr>
      <w:tr w:rsidR="00C531BA" w:rsidRPr="00C32CCF" w14:paraId="31C73562" w14:textId="77777777" w:rsidTr="00511E60">
        <w:tc>
          <w:tcPr>
            <w:tcW w:w="808" w:type="pct"/>
            <w:vMerge/>
            <w:tcMar>
              <w:left w:w="108" w:type="dxa"/>
              <w:right w:w="108" w:type="dxa"/>
            </w:tcMar>
          </w:tcPr>
          <w:p w14:paraId="52E9CC7D" w14:textId="77777777" w:rsidR="00C531BA" w:rsidRPr="009213D8" w:rsidRDefault="00C531BA" w:rsidP="003A6CD2">
            <w:pPr>
              <w:pStyle w:val="TableText"/>
            </w:pPr>
          </w:p>
        </w:tc>
        <w:tc>
          <w:tcPr>
            <w:tcW w:w="451" w:type="pct"/>
            <w:tcMar>
              <w:left w:w="108" w:type="dxa"/>
              <w:right w:w="108" w:type="dxa"/>
            </w:tcMar>
          </w:tcPr>
          <w:p w14:paraId="6E56B7F4" w14:textId="09C01C0C" w:rsidR="00C531BA" w:rsidRPr="00A10BE3" w:rsidRDefault="00C531BA" w:rsidP="003A6CD2">
            <w:pPr>
              <w:pStyle w:val="TableText"/>
              <w:jc w:val="right"/>
              <w:rPr>
                <w:rFonts w:cstheme="minorHAnsi"/>
              </w:rPr>
            </w:pPr>
            <w:r>
              <w:rPr>
                <w:rFonts w:cstheme="minorHAnsi"/>
              </w:rPr>
              <w:t>3,482,246</w:t>
            </w:r>
          </w:p>
        </w:tc>
        <w:tc>
          <w:tcPr>
            <w:tcW w:w="1623" w:type="pct"/>
            <w:tcMar>
              <w:left w:w="108" w:type="dxa"/>
              <w:right w:w="108" w:type="dxa"/>
            </w:tcMar>
          </w:tcPr>
          <w:p w14:paraId="0FDBFA63" w14:textId="53B4DD19" w:rsidR="00C531BA" w:rsidRPr="009213D8" w:rsidRDefault="00C531BA" w:rsidP="003A6CD2">
            <w:pPr>
              <w:pStyle w:val="TableText"/>
            </w:pPr>
            <w:r w:rsidRPr="009213D8">
              <w:t>Approved arrangement –</w:t>
            </w:r>
            <w:r>
              <w:t xml:space="preserve"> class 19 entry</w:t>
            </w:r>
          </w:p>
        </w:tc>
        <w:tc>
          <w:tcPr>
            <w:tcW w:w="757" w:type="pct"/>
            <w:tcMar>
              <w:left w:w="108" w:type="dxa"/>
              <w:right w:w="108" w:type="dxa"/>
            </w:tcMar>
          </w:tcPr>
          <w:p w14:paraId="05216D6D" w14:textId="77777777" w:rsidR="00C531BA" w:rsidRPr="009213D8" w:rsidRDefault="00C531BA" w:rsidP="003A6CD2">
            <w:pPr>
              <w:pStyle w:val="TableText"/>
            </w:pPr>
            <w:r w:rsidRPr="009213D8">
              <w:t>Per item</w:t>
            </w:r>
          </w:p>
        </w:tc>
        <w:tc>
          <w:tcPr>
            <w:tcW w:w="352" w:type="pct"/>
            <w:tcMar>
              <w:left w:w="108" w:type="dxa"/>
              <w:right w:w="108" w:type="dxa"/>
            </w:tcMar>
          </w:tcPr>
          <w:p w14:paraId="6E6FB0AF" w14:textId="72597380" w:rsidR="00C531BA" w:rsidRPr="008A370F" w:rsidRDefault="00C531BA" w:rsidP="003A6CD2">
            <w:pPr>
              <w:pStyle w:val="TableText"/>
              <w:jc w:val="right"/>
            </w:pPr>
            <w:r>
              <w:rPr>
                <w:rFonts w:ascii="Calibri" w:hAnsi="Calibri"/>
                <w:color w:val="000000"/>
                <w:szCs w:val="18"/>
              </w:rPr>
              <w:t>23</w:t>
            </w:r>
          </w:p>
        </w:tc>
        <w:tc>
          <w:tcPr>
            <w:tcW w:w="493" w:type="pct"/>
            <w:tcMar>
              <w:left w:w="108" w:type="dxa"/>
              <w:right w:w="108" w:type="dxa"/>
            </w:tcMar>
          </w:tcPr>
          <w:p w14:paraId="4DDA0B5B" w14:textId="61FBDFB5" w:rsidR="00C531BA" w:rsidRPr="00C32CCF" w:rsidRDefault="00C531BA" w:rsidP="003A6CD2">
            <w:pPr>
              <w:pStyle w:val="TableText"/>
              <w:jc w:val="right"/>
              <w:rPr>
                <w:rFonts w:ascii="Calibri" w:hAnsi="Calibri"/>
                <w:color w:val="000000"/>
                <w:szCs w:val="18"/>
              </w:rPr>
            </w:pPr>
            <w:r>
              <w:rPr>
                <w:rFonts w:ascii="Calibri" w:hAnsi="Calibri"/>
                <w:color w:val="000000"/>
                <w:szCs w:val="18"/>
              </w:rPr>
              <w:t>151,402</w:t>
            </w:r>
          </w:p>
        </w:tc>
        <w:tc>
          <w:tcPr>
            <w:tcW w:w="516" w:type="pct"/>
            <w:tcMar>
              <w:left w:w="108" w:type="dxa"/>
              <w:right w:w="108" w:type="dxa"/>
            </w:tcMar>
          </w:tcPr>
          <w:p w14:paraId="40F27D8C" w14:textId="39891B69" w:rsidR="00C531BA" w:rsidRPr="00C32CCF" w:rsidRDefault="00C531BA" w:rsidP="003A6CD2">
            <w:pPr>
              <w:pStyle w:val="TableText"/>
              <w:jc w:val="right"/>
              <w:rPr>
                <w:highlight w:val="yellow"/>
              </w:rPr>
            </w:pPr>
            <w:r>
              <w:rPr>
                <w:rFonts w:ascii="Calibri" w:hAnsi="Calibri"/>
                <w:color w:val="000000"/>
                <w:szCs w:val="18"/>
              </w:rPr>
              <w:t>3,482,246</w:t>
            </w:r>
          </w:p>
        </w:tc>
      </w:tr>
      <w:tr w:rsidR="00C531BA" w:rsidRPr="00C32CCF" w14:paraId="685AF670" w14:textId="77777777" w:rsidTr="00511E60">
        <w:tc>
          <w:tcPr>
            <w:tcW w:w="808" w:type="pct"/>
            <w:vMerge/>
            <w:tcMar>
              <w:left w:w="108" w:type="dxa"/>
              <w:right w:w="108" w:type="dxa"/>
            </w:tcMar>
          </w:tcPr>
          <w:p w14:paraId="4257BC0E" w14:textId="77777777" w:rsidR="00C531BA" w:rsidRPr="009213D8" w:rsidRDefault="00C531BA" w:rsidP="003A6CD2">
            <w:pPr>
              <w:pStyle w:val="TableText"/>
            </w:pPr>
          </w:p>
        </w:tc>
        <w:tc>
          <w:tcPr>
            <w:tcW w:w="451" w:type="pct"/>
            <w:tcMar>
              <w:left w:w="108" w:type="dxa"/>
              <w:right w:w="108" w:type="dxa"/>
            </w:tcMar>
          </w:tcPr>
          <w:p w14:paraId="3AD63B8E" w14:textId="53254897" w:rsidR="00C531BA" w:rsidRPr="00A10BE3" w:rsidRDefault="00C531BA" w:rsidP="003A6CD2">
            <w:pPr>
              <w:pStyle w:val="TableText"/>
              <w:jc w:val="right"/>
            </w:pPr>
            <w:r>
              <w:rPr>
                <w:rFonts w:cstheme="minorHAnsi"/>
              </w:rPr>
              <w:t>97,641</w:t>
            </w:r>
          </w:p>
        </w:tc>
        <w:tc>
          <w:tcPr>
            <w:tcW w:w="1623" w:type="pct"/>
            <w:tcMar>
              <w:left w:w="108" w:type="dxa"/>
              <w:right w:w="108" w:type="dxa"/>
            </w:tcMar>
          </w:tcPr>
          <w:p w14:paraId="47B78197" w14:textId="3A24A741" w:rsidR="00C531BA" w:rsidRPr="00950AEB" w:rsidRDefault="00C531BA" w:rsidP="003A6CD2">
            <w:pPr>
              <w:pStyle w:val="TableText"/>
              <w:rPr>
                <w:lang w:val="fr-CI"/>
              </w:rPr>
            </w:pPr>
            <w:r w:rsidRPr="00950AEB">
              <w:rPr>
                <w:lang w:val="fr-CI"/>
              </w:rPr>
              <w:t>Non-commercial vessel arrival charge-</w:t>
            </w:r>
          </w:p>
        </w:tc>
        <w:tc>
          <w:tcPr>
            <w:tcW w:w="757" w:type="pct"/>
            <w:tcMar>
              <w:left w:w="108" w:type="dxa"/>
              <w:right w:w="108" w:type="dxa"/>
            </w:tcMar>
          </w:tcPr>
          <w:p w14:paraId="65F350E0" w14:textId="77777777" w:rsidR="00C531BA" w:rsidRPr="009213D8" w:rsidRDefault="00C531BA" w:rsidP="003A6CD2">
            <w:pPr>
              <w:pStyle w:val="TableText"/>
            </w:pPr>
            <w:r w:rsidRPr="009213D8">
              <w:t>Per vessel</w:t>
            </w:r>
          </w:p>
        </w:tc>
        <w:tc>
          <w:tcPr>
            <w:tcW w:w="352" w:type="pct"/>
            <w:tcMar>
              <w:left w:w="108" w:type="dxa"/>
              <w:right w:w="108" w:type="dxa"/>
            </w:tcMar>
          </w:tcPr>
          <w:p w14:paraId="4272851B" w14:textId="7BC84A12" w:rsidR="00C531BA" w:rsidRPr="008A370F" w:rsidRDefault="00C531BA" w:rsidP="003A6CD2">
            <w:pPr>
              <w:pStyle w:val="TableText"/>
              <w:jc w:val="right"/>
              <w:rPr>
                <w:rFonts w:ascii="Calibri" w:hAnsi="Calibri"/>
                <w:color w:val="000000"/>
                <w:szCs w:val="18"/>
              </w:rPr>
            </w:pPr>
            <w:r>
              <w:rPr>
                <w:rFonts w:ascii="Calibri" w:hAnsi="Calibri"/>
                <w:color w:val="000000"/>
                <w:szCs w:val="18"/>
              </w:rPr>
              <w:t>171</w:t>
            </w:r>
          </w:p>
        </w:tc>
        <w:tc>
          <w:tcPr>
            <w:tcW w:w="493" w:type="pct"/>
            <w:tcMar>
              <w:left w:w="108" w:type="dxa"/>
              <w:right w:w="108" w:type="dxa"/>
            </w:tcMar>
          </w:tcPr>
          <w:p w14:paraId="3E692D95" w14:textId="64A6E196" w:rsidR="00C531BA" w:rsidRDefault="00C531BA" w:rsidP="003A6CD2">
            <w:pPr>
              <w:pStyle w:val="TableText"/>
              <w:jc w:val="right"/>
              <w:rPr>
                <w:rFonts w:ascii="Calibri" w:hAnsi="Calibri"/>
                <w:color w:val="000000"/>
                <w:szCs w:val="18"/>
              </w:rPr>
            </w:pPr>
            <w:r>
              <w:rPr>
                <w:rFonts w:ascii="Calibri" w:hAnsi="Calibri"/>
                <w:color w:val="000000"/>
                <w:szCs w:val="18"/>
              </w:rPr>
              <w:t>571</w:t>
            </w:r>
          </w:p>
        </w:tc>
        <w:tc>
          <w:tcPr>
            <w:tcW w:w="516" w:type="pct"/>
            <w:tcMar>
              <w:left w:w="108" w:type="dxa"/>
              <w:right w:w="108" w:type="dxa"/>
            </w:tcMar>
          </w:tcPr>
          <w:p w14:paraId="64067FA0" w14:textId="1744E0E3" w:rsidR="00C531BA" w:rsidRDefault="00C531BA" w:rsidP="003A6CD2">
            <w:pPr>
              <w:pStyle w:val="TableText"/>
              <w:jc w:val="right"/>
              <w:rPr>
                <w:rFonts w:ascii="Calibri" w:hAnsi="Calibri"/>
                <w:color w:val="000000"/>
                <w:szCs w:val="18"/>
              </w:rPr>
            </w:pPr>
            <w:r>
              <w:rPr>
                <w:rFonts w:ascii="Calibri" w:hAnsi="Calibri"/>
                <w:color w:val="000000"/>
                <w:szCs w:val="18"/>
              </w:rPr>
              <w:t>97,641</w:t>
            </w:r>
          </w:p>
        </w:tc>
      </w:tr>
      <w:tr w:rsidR="00C531BA" w:rsidRPr="00C32CCF" w14:paraId="73E25CD3" w14:textId="77777777" w:rsidTr="00C465D3">
        <w:tc>
          <w:tcPr>
            <w:tcW w:w="808" w:type="pct"/>
            <w:vMerge/>
            <w:tcMar>
              <w:left w:w="108" w:type="dxa"/>
              <w:right w:w="108" w:type="dxa"/>
            </w:tcMar>
          </w:tcPr>
          <w:p w14:paraId="04AD1450" w14:textId="77777777" w:rsidR="00C531BA" w:rsidRPr="009213D8" w:rsidRDefault="00C531BA" w:rsidP="003A6CD2">
            <w:pPr>
              <w:pStyle w:val="TableText"/>
            </w:pPr>
          </w:p>
        </w:tc>
        <w:tc>
          <w:tcPr>
            <w:tcW w:w="451" w:type="pct"/>
            <w:tcMar>
              <w:left w:w="108" w:type="dxa"/>
              <w:right w:w="108" w:type="dxa"/>
            </w:tcMar>
          </w:tcPr>
          <w:p w14:paraId="7EF0EA92" w14:textId="65B93481" w:rsidR="00C531BA" w:rsidRPr="00AC153F" w:rsidRDefault="00C531BA" w:rsidP="003A6CD2">
            <w:pPr>
              <w:pStyle w:val="TableText"/>
              <w:jc w:val="right"/>
              <w:rPr>
                <w:rFonts w:cstheme="minorHAnsi"/>
              </w:rPr>
            </w:pPr>
            <w:r w:rsidRPr="00AC153F">
              <w:t>27,782,466</w:t>
            </w:r>
          </w:p>
        </w:tc>
        <w:tc>
          <w:tcPr>
            <w:tcW w:w="1623" w:type="pct"/>
            <w:tcMar>
              <w:left w:w="108" w:type="dxa"/>
              <w:right w:w="108" w:type="dxa"/>
            </w:tcMar>
          </w:tcPr>
          <w:p w14:paraId="7B63D500" w14:textId="77777777" w:rsidR="00C531BA" w:rsidRPr="00AC153F" w:rsidRDefault="00C531BA" w:rsidP="003A6CD2">
            <w:pPr>
              <w:pStyle w:val="TableText"/>
            </w:pPr>
            <w:r w:rsidRPr="00AC153F">
              <w:t>Vessel, other than a non-commercial vessel arrival charge</w:t>
            </w:r>
          </w:p>
        </w:tc>
        <w:tc>
          <w:tcPr>
            <w:tcW w:w="757" w:type="pct"/>
            <w:tcMar>
              <w:left w:w="108" w:type="dxa"/>
              <w:right w:w="108" w:type="dxa"/>
            </w:tcMar>
          </w:tcPr>
          <w:p w14:paraId="3FEF6BD8" w14:textId="77777777" w:rsidR="00C531BA" w:rsidRPr="00AC153F" w:rsidRDefault="00C531BA" w:rsidP="003A6CD2">
            <w:pPr>
              <w:pStyle w:val="TableText"/>
            </w:pPr>
            <w:r w:rsidRPr="00AC153F">
              <w:t>Per vessel</w:t>
            </w:r>
          </w:p>
        </w:tc>
        <w:tc>
          <w:tcPr>
            <w:tcW w:w="352" w:type="pct"/>
            <w:tcMar>
              <w:left w:w="108" w:type="dxa"/>
              <w:right w:w="108" w:type="dxa"/>
            </w:tcMar>
          </w:tcPr>
          <w:p w14:paraId="5F090746" w14:textId="0AA95A26"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1,499</w:t>
            </w:r>
          </w:p>
        </w:tc>
        <w:tc>
          <w:tcPr>
            <w:tcW w:w="493" w:type="pct"/>
            <w:tcMar>
              <w:left w:w="108" w:type="dxa"/>
              <w:right w:w="108" w:type="dxa"/>
            </w:tcMar>
          </w:tcPr>
          <w:p w14:paraId="7868DF0B" w14:textId="73B531F4"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18,534</w:t>
            </w:r>
          </w:p>
        </w:tc>
        <w:tc>
          <w:tcPr>
            <w:tcW w:w="516" w:type="pct"/>
            <w:tcMar>
              <w:left w:w="108" w:type="dxa"/>
              <w:right w:w="108" w:type="dxa"/>
            </w:tcMar>
          </w:tcPr>
          <w:p w14:paraId="6A41A84C" w14:textId="37BF7A7A" w:rsidR="00C531BA" w:rsidRPr="00AC153F" w:rsidRDefault="00C531BA" w:rsidP="003A6CD2">
            <w:pPr>
              <w:pStyle w:val="TableText"/>
              <w:jc w:val="right"/>
              <w:rPr>
                <w:rFonts w:ascii="Calibri" w:hAnsi="Calibri"/>
                <w:color w:val="000000"/>
                <w:szCs w:val="18"/>
              </w:rPr>
            </w:pPr>
            <w:r w:rsidRPr="00AC153F">
              <w:rPr>
                <w:rFonts w:ascii="Calibri" w:hAnsi="Calibri"/>
                <w:color w:val="000000"/>
                <w:szCs w:val="18"/>
              </w:rPr>
              <w:t>27,782,466</w:t>
            </w:r>
          </w:p>
        </w:tc>
      </w:tr>
      <w:tr w:rsidR="00C531BA" w:rsidRPr="00C32CCF" w14:paraId="0E121F8D" w14:textId="77777777" w:rsidTr="0051563F">
        <w:tc>
          <w:tcPr>
            <w:tcW w:w="808" w:type="pct"/>
            <w:vMerge/>
            <w:tcMar>
              <w:left w:w="108" w:type="dxa"/>
              <w:right w:w="108" w:type="dxa"/>
            </w:tcMar>
          </w:tcPr>
          <w:p w14:paraId="10E2B159" w14:textId="77777777" w:rsidR="00C531BA" w:rsidRPr="009213D8" w:rsidRDefault="00C531BA" w:rsidP="003A6CD2">
            <w:pPr>
              <w:pStyle w:val="TableText"/>
            </w:pPr>
          </w:p>
        </w:tc>
        <w:tc>
          <w:tcPr>
            <w:tcW w:w="451" w:type="pct"/>
            <w:tcMar>
              <w:left w:w="108" w:type="dxa"/>
              <w:right w:w="108" w:type="dxa"/>
            </w:tcMar>
          </w:tcPr>
          <w:p w14:paraId="63BA6E69" w14:textId="428774EA" w:rsidR="00C531BA" w:rsidRPr="00847396" w:rsidRDefault="00C531BA" w:rsidP="003A6CD2">
            <w:pPr>
              <w:pStyle w:val="TableText"/>
              <w:jc w:val="right"/>
            </w:pPr>
            <w:r w:rsidRPr="00847396">
              <w:t>149,810</w:t>
            </w:r>
          </w:p>
        </w:tc>
        <w:tc>
          <w:tcPr>
            <w:tcW w:w="1623" w:type="pct"/>
            <w:tcMar>
              <w:left w:w="108" w:type="dxa"/>
              <w:right w:w="108" w:type="dxa"/>
            </w:tcMar>
          </w:tcPr>
          <w:p w14:paraId="022A8C23" w14:textId="05340624" w:rsidR="00C531BA" w:rsidRPr="009213D8" w:rsidRDefault="00C531BA" w:rsidP="003A6CD2">
            <w:pPr>
              <w:pStyle w:val="TableText"/>
            </w:pPr>
            <w:r w:rsidRPr="0096188B">
              <w:t xml:space="preserve">Vessel diagnostic charge </w:t>
            </w:r>
            <w:r>
              <w:t>–</w:t>
            </w:r>
            <w:r w:rsidR="00DC450F">
              <w:t>Roll-on-Roll off (Ro/Ro)</w:t>
            </w:r>
            <w:r w:rsidRPr="0096188B">
              <w:t xml:space="preserve"> </w:t>
            </w:r>
            <w:r w:rsidR="00DC450F">
              <w:t>vessels</w:t>
            </w:r>
          </w:p>
        </w:tc>
        <w:tc>
          <w:tcPr>
            <w:tcW w:w="757" w:type="pct"/>
            <w:tcMar>
              <w:left w:w="108" w:type="dxa"/>
              <w:right w:w="108" w:type="dxa"/>
            </w:tcMar>
          </w:tcPr>
          <w:p w14:paraId="354ED3F6" w14:textId="53084526" w:rsidR="00C531BA" w:rsidRPr="009213D8" w:rsidRDefault="00C531BA" w:rsidP="003A6CD2">
            <w:pPr>
              <w:pStyle w:val="TableText"/>
            </w:pPr>
            <w:r>
              <w:t>Per vessel</w:t>
            </w:r>
          </w:p>
        </w:tc>
        <w:tc>
          <w:tcPr>
            <w:tcW w:w="352" w:type="pct"/>
            <w:tcMar>
              <w:left w:w="108" w:type="dxa"/>
              <w:right w:w="108" w:type="dxa"/>
            </w:tcMar>
          </w:tcPr>
          <w:p w14:paraId="2C265585" w14:textId="05E4DA4E" w:rsidR="00C531BA" w:rsidRDefault="00C531BA" w:rsidP="003A6CD2">
            <w:pPr>
              <w:pStyle w:val="TableText"/>
              <w:jc w:val="right"/>
              <w:rPr>
                <w:rFonts w:ascii="Calibri" w:hAnsi="Calibri"/>
                <w:color w:val="000000"/>
                <w:szCs w:val="18"/>
              </w:rPr>
            </w:pPr>
            <w:r>
              <w:rPr>
                <w:rFonts w:ascii="Calibri" w:hAnsi="Calibri"/>
                <w:color w:val="000000"/>
                <w:szCs w:val="18"/>
              </w:rPr>
              <w:t>710</w:t>
            </w:r>
          </w:p>
        </w:tc>
        <w:tc>
          <w:tcPr>
            <w:tcW w:w="493" w:type="pct"/>
            <w:tcMar>
              <w:left w:w="108" w:type="dxa"/>
              <w:right w:w="108" w:type="dxa"/>
            </w:tcMar>
          </w:tcPr>
          <w:p w14:paraId="55AB8EEE" w14:textId="493233D9" w:rsidR="00C531BA" w:rsidRDefault="00C531BA" w:rsidP="003A6CD2">
            <w:pPr>
              <w:pStyle w:val="TableText"/>
              <w:jc w:val="right"/>
              <w:rPr>
                <w:rFonts w:ascii="Calibri" w:hAnsi="Calibri"/>
                <w:color w:val="000000"/>
                <w:szCs w:val="18"/>
              </w:rPr>
            </w:pPr>
            <w:r>
              <w:rPr>
                <w:rFonts w:ascii="Calibri" w:hAnsi="Calibri"/>
                <w:color w:val="000000"/>
                <w:szCs w:val="18"/>
              </w:rPr>
              <w:t>211</w:t>
            </w:r>
          </w:p>
        </w:tc>
        <w:tc>
          <w:tcPr>
            <w:tcW w:w="516" w:type="pct"/>
            <w:tcMar>
              <w:left w:w="108" w:type="dxa"/>
              <w:right w:w="108" w:type="dxa"/>
            </w:tcMar>
          </w:tcPr>
          <w:p w14:paraId="31972278" w14:textId="06C57BA1" w:rsidR="00C531BA" w:rsidRDefault="00C531BA" w:rsidP="003A6CD2">
            <w:pPr>
              <w:pStyle w:val="TableText"/>
              <w:jc w:val="right"/>
              <w:rPr>
                <w:rFonts w:ascii="Calibri" w:hAnsi="Calibri"/>
                <w:color w:val="000000"/>
                <w:szCs w:val="18"/>
              </w:rPr>
            </w:pPr>
            <w:r>
              <w:rPr>
                <w:rFonts w:ascii="Calibri" w:hAnsi="Calibri"/>
                <w:color w:val="000000"/>
                <w:szCs w:val="18"/>
              </w:rPr>
              <w:t>149,810</w:t>
            </w:r>
          </w:p>
        </w:tc>
      </w:tr>
      <w:tr w:rsidR="00C531BA" w:rsidRPr="00C32CCF" w14:paraId="75FA8222" w14:textId="77777777" w:rsidTr="00511E60">
        <w:tc>
          <w:tcPr>
            <w:tcW w:w="808" w:type="pct"/>
            <w:vMerge/>
            <w:tcBorders>
              <w:bottom w:val="nil"/>
            </w:tcBorders>
            <w:tcMar>
              <w:left w:w="108" w:type="dxa"/>
              <w:right w:w="108" w:type="dxa"/>
            </w:tcMar>
          </w:tcPr>
          <w:p w14:paraId="3DB5C806" w14:textId="77777777" w:rsidR="00C531BA" w:rsidRPr="009213D8" w:rsidRDefault="00C531BA" w:rsidP="003A6CD2">
            <w:pPr>
              <w:pStyle w:val="TableText"/>
            </w:pPr>
          </w:p>
        </w:tc>
        <w:tc>
          <w:tcPr>
            <w:tcW w:w="451" w:type="pct"/>
            <w:tcMar>
              <w:left w:w="108" w:type="dxa"/>
              <w:right w:w="108" w:type="dxa"/>
            </w:tcMar>
          </w:tcPr>
          <w:p w14:paraId="01C77150" w14:textId="709F0373" w:rsidR="00C531BA" w:rsidRDefault="00C531BA" w:rsidP="003A6CD2">
            <w:pPr>
              <w:pStyle w:val="TableText"/>
              <w:jc w:val="right"/>
            </w:pPr>
            <w:r w:rsidRPr="00847396">
              <w:t>151,767</w:t>
            </w:r>
          </w:p>
        </w:tc>
        <w:tc>
          <w:tcPr>
            <w:tcW w:w="1623" w:type="pct"/>
            <w:tcMar>
              <w:left w:w="108" w:type="dxa"/>
              <w:right w:w="108" w:type="dxa"/>
            </w:tcMar>
          </w:tcPr>
          <w:p w14:paraId="5B52C973" w14:textId="51C3AAE0" w:rsidR="00C531BA" w:rsidRPr="009213D8" w:rsidRDefault="00C531BA" w:rsidP="003A6CD2">
            <w:pPr>
              <w:pStyle w:val="TableText"/>
            </w:pPr>
            <w:r w:rsidRPr="004C4ED2">
              <w:t xml:space="preserve">Vessel diagnostic charge </w:t>
            </w:r>
            <w:r>
              <w:t>–</w:t>
            </w:r>
            <w:r w:rsidRPr="004C4ED2">
              <w:t xml:space="preserve"> </w:t>
            </w:r>
            <w:r w:rsidR="00DC450F">
              <w:t xml:space="preserve">all other </w:t>
            </w:r>
            <w:r w:rsidRPr="004C4ED2">
              <w:t>vessel</w:t>
            </w:r>
          </w:p>
        </w:tc>
        <w:tc>
          <w:tcPr>
            <w:tcW w:w="757" w:type="pct"/>
            <w:tcMar>
              <w:left w:w="108" w:type="dxa"/>
              <w:right w:w="108" w:type="dxa"/>
            </w:tcMar>
          </w:tcPr>
          <w:p w14:paraId="1207343F" w14:textId="46FFE2EE" w:rsidR="00C531BA" w:rsidRPr="009213D8" w:rsidRDefault="00C531BA" w:rsidP="003A6CD2">
            <w:pPr>
              <w:pStyle w:val="TableText"/>
            </w:pPr>
            <w:r>
              <w:t>Per vessel</w:t>
            </w:r>
          </w:p>
        </w:tc>
        <w:tc>
          <w:tcPr>
            <w:tcW w:w="352" w:type="pct"/>
            <w:tcMar>
              <w:left w:w="108" w:type="dxa"/>
              <w:right w:w="108" w:type="dxa"/>
            </w:tcMar>
          </w:tcPr>
          <w:p w14:paraId="396C1BD8" w14:textId="7D8A3871" w:rsidR="00C531BA" w:rsidRDefault="00C531BA" w:rsidP="003A6CD2">
            <w:pPr>
              <w:pStyle w:val="TableText"/>
              <w:jc w:val="right"/>
              <w:rPr>
                <w:rFonts w:ascii="Calibri" w:hAnsi="Calibri"/>
                <w:color w:val="000000"/>
                <w:szCs w:val="18"/>
              </w:rPr>
            </w:pPr>
            <w:r>
              <w:rPr>
                <w:rFonts w:ascii="Calibri" w:hAnsi="Calibri"/>
                <w:color w:val="000000"/>
                <w:szCs w:val="18"/>
              </w:rPr>
              <w:t>189</w:t>
            </w:r>
          </w:p>
        </w:tc>
        <w:tc>
          <w:tcPr>
            <w:tcW w:w="493" w:type="pct"/>
            <w:tcMar>
              <w:left w:w="108" w:type="dxa"/>
              <w:right w:w="108" w:type="dxa"/>
            </w:tcMar>
          </w:tcPr>
          <w:p w14:paraId="037507D6" w14:textId="4F201F47" w:rsidR="00C531BA" w:rsidRDefault="00C531BA" w:rsidP="003A6CD2">
            <w:pPr>
              <w:pStyle w:val="TableText"/>
              <w:jc w:val="right"/>
              <w:rPr>
                <w:rFonts w:ascii="Calibri" w:hAnsi="Calibri"/>
                <w:color w:val="000000"/>
                <w:szCs w:val="18"/>
              </w:rPr>
            </w:pPr>
            <w:r>
              <w:rPr>
                <w:rFonts w:ascii="Calibri" w:hAnsi="Calibri"/>
                <w:color w:val="000000"/>
                <w:szCs w:val="18"/>
              </w:rPr>
              <w:t>803</w:t>
            </w:r>
          </w:p>
        </w:tc>
        <w:tc>
          <w:tcPr>
            <w:tcW w:w="516" w:type="pct"/>
            <w:tcMar>
              <w:left w:w="108" w:type="dxa"/>
              <w:right w:w="108" w:type="dxa"/>
            </w:tcMar>
          </w:tcPr>
          <w:p w14:paraId="3BBA5277" w14:textId="71120DFF" w:rsidR="00C531BA" w:rsidRDefault="00C531BA" w:rsidP="003A6CD2">
            <w:pPr>
              <w:pStyle w:val="TableText"/>
              <w:jc w:val="right"/>
              <w:rPr>
                <w:rFonts w:ascii="Calibri" w:hAnsi="Calibri"/>
                <w:color w:val="000000"/>
                <w:szCs w:val="18"/>
              </w:rPr>
            </w:pPr>
            <w:r>
              <w:rPr>
                <w:rFonts w:ascii="Calibri" w:hAnsi="Calibri"/>
                <w:color w:val="000000"/>
                <w:szCs w:val="18"/>
              </w:rPr>
              <w:t>151,767</w:t>
            </w:r>
          </w:p>
        </w:tc>
      </w:tr>
      <w:tr w:rsidR="004732DD" w:rsidRPr="00C32CCF" w14:paraId="7350EAD9" w14:textId="77777777" w:rsidTr="00511E60">
        <w:tc>
          <w:tcPr>
            <w:tcW w:w="808" w:type="pct"/>
            <w:vMerge w:val="restart"/>
            <w:tcMar>
              <w:left w:w="108" w:type="dxa"/>
              <w:right w:w="108" w:type="dxa"/>
            </w:tcMar>
          </w:tcPr>
          <w:p w14:paraId="4E0FF619" w14:textId="2B5EBDFD" w:rsidR="004732DD" w:rsidRPr="009213D8" w:rsidRDefault="004732DD" w:rsidP="003A6CD2">
            <w:pPr>
              <w:pStyle w:val="TableText"/>
            </w:pPr>
            <w:r w:rsidRPr="0018484D">
              <w:t>Fee for service – inspection (including virtual inspections), examination, document assessment, analysis, diagnostic activity, clearance of cargo, treatment, audit, supervision and training</w:t>
            </w:r>
          </w:p>
        </w:tc>
        <w:tc>
          <w:tcPr>
            <w:tcW w:w="451" w:type="pct"/>
            <w:tcMar>
              <w:left w:w="108" w:type="dxa"/>
              <w:right w:w="108" w:type="dxa"/>
            </w:tcMar>
          </w:tcPr>
          <w:p w14:paraId="55610934" w14:textId="41C72F66" w:rsidR="004732DD" w:rsidRPr="00A10BE3" w:rsidRDefault="004732DD" w:rsidP="003A6CD2">
            <w:pPr>
              <w:pStyle w:val="TableText"/>
              <w:jc w:val="right"/>
              <w:rPr>
                <w:rFonts w:cstheme="minorHAnsi"/>
              </w:rPr>
            </w:pPr>
            <w:r>
              <w:rPr>
                <w:rFonts w:cstheme="minorHAnsi"/>
              </w:rPr>
              <w:t>28,939,218</w:t>
            </w:r>
          </w:p>
        </w:tc>
        <w:tc>
          <w:tcPr>
            <w:tcW w:w="1623" w:type="pct"/>
            <w:tcMar>
              <w:left w:w="108" w:type="dxa"/>
              <w:right w:w="108" w:type="dxa"/>
            </w:tcMar>
          </w:tcPr>
          <w:p w14:paraId="06AAEDDB" w14:textId="77777777" w:rsidR="004732DD" w:rsidRPr="009213D8" w:rsidRDefault="004732DD" w:rsidP="003A6CD2">
            <w:pPr>
              <w:pStyle w:val="TableText"/>
            </w:pPr>
            <w:r w:rsidRPr="009213D8">
              <w:t>In-office fee during ordinary hours of duty</w:t>
            </w:r>
          </w:p>
        </w:tc>
        <w:tc>
          <w:tcPr>
            <w:tcW w:w="757" w:type="pct"/>
            <w:tcMar>
              <w:left w:w="108" w:type="dxa"/>
              <w:right w:w="108" w:type="dxa"/>
            </w:tcMar>
          </w:tcPr>
          <w:p w14:paraId="6673957E" w14:textId="77777777" w:rsidR="004732DD" w:rsidRPr="009213D8" w:rsidRDefault="004732DD" w:rsidP="003A6CD2">
            <w:pPr>
              <w:pStyle w:val="TableText"/>
            </w:pPr>
            <w:r w:rsidRPr="009213D8">
              <w:t>Per 15 minutes</w:t>
            </w:r>
          </w:p>
        </w:tc>
        <w:tc>
          <w:tcPr>
            <w:tcW w:w="352" w:type="pct"/>
            <w:tcMar>
              <w:left w:w="108" w:type="dxa"/>
              <w:right w:w="108" w:type="dxa"/>
            </w:tcMar>
          </w:tcPr>
          <w:p w14:paraId="7B3ADFAE" w14:textId="6942505E" w:rsidR="004732DD" w:rsidRPr="008A370F" w:rsidRDefault="004732DD" w:rsidP="003A6CD2">
            <w:pPr>
              <w:pStyle w:val="TableText"/>
              <w:jc w:val="right"/>
            </w:pPr>
            <w:r>
              <w:rPr>
                <w:rFonts w:ascii="Calibri" w:hAnsi="Calibri"/>
                <w:color w:val="000000"/>
                <w:szCs w:val="18"/>
              </w:rPr>
              <w:t>42</w:t>
            </w:r>
          </w:p>
        </w:tc>
        <w:tc>
          <w:tcPr>
            <w:tcW w:w="493" w:type="pct"/>
            <w:tcMar>
              <w:left w:w="108" w:type="dxa"/>
              <w:right w:w="108" w:type="dxa"/>
            </w:tcMar>
          </w:tcPr>
          <w:p w14:paraId="1CA41F68" w14:textId="5D8991E2" w:rsidR="004732DD" w:rsidRPr="00C32CCF" w:rsidRDefault="004732DD" w:rsidP="003A6CD2">
            <w:pPr>
              <w:pStyle w:val="TableText"/>
              <w:jc w:val="right"/>
              <w:rPr>
                <w:rFonts w:ascii="Calibri" w:hAnsi="Calibri"/>
                <w:color w:val="000000"/>
                <w:szCs w:val="18"/>
              </w:rPr>
            </w:pPr>
            <w:r>
              <w:rPr>
                <w:rFonts w:ascii="Calibri" w:hAnsi="Calibri"/>
                <w:color w:val="000000"/>
                <w:szCs w:val="18"/>
              </w:rPr>
              <w:t>689,029</w:t>
            </w:r>
          </w:p>
        </w:tc>
        <w:tc>
          <w:tcPr>
            <w:tcW w:w="516" w:type="pct"/>
            <w:tcMar>
              <w:left w:w="108" w:type="dxa"/>
              <w:right w:w="108" w:type="dxa"/>
            </w:tcMar>
          </w:tcPr>
          <w:p w14:paraId="5F55A2BC" w14:textId="5F81989F" w:rsidR="004732DD" w:rsidRPr="00C32CCF" w:rsidRDefault="004732DD" w:rsidP="003A6CD2">
            <w:pPr>
              <w:pStyle w:val="TableText"/>
              <w:jc w:val="right"/>
              <w:rPr>
                <w:highlight w:val="yellow"/>
              </w:rPr>
            </w:pPr>
            <w:r>
              <w:rPr>
                <w:rFonts w:ascii="Calibri" w:hAnsi="Calibri"/>
                <w:color w:val="000000"/>
                <w:szCs w:val="18"/>
              </w:rPr>
              <w:t>28,939,218</w:t>
            </w:r>
          </w:p>
        </w:tc>
      </w:tr>
      <w:tr w:rsidR="004732DD" w14:paraId="6AA4465E" w14:textId="77777777" w:rsidTr="00511E60">
        <w:tc>
          <w:tcPr>
            <w:tcW w:w="808" w:type="pct"/>
            <w:vMerge/>
            <w:tcMar>
              <w:left w:w="108" w:type="dxa"/>
              <w:right w:w="108" w:type="dxa"/>
            </w:tcMar>
          </w:tcPr>
          <w:p w14:paraId="024E7DE6" w14:textId="77777777" w:rsidR="004732DD" w:rsidRPr="009213D8" w:rsidRDefault="004732DD" w:rsidP="003A6CD2">
            <w:pPr>
              <w:pStyle w:val="TableText"/>
            </w:pPr>
          </w:p>
        </w:tc>
        <w:tc>
          <w:tcPr>
            <w:tcW w:w="451" w:type="pct"/>
            <w:tcMar>
              <w:left w:w="108" w:type="dxa"/>
              <w:right w:w="108" w:type="dxa"/>
            </w:tcMar>
          </w:tcPr>
          <w:p w14:paraId="184085CC" w14:textId="1B0F2766" w:rsidR="004732DD" w:rsidRPr="00A10BE3" w:rsidRDefault="004732DD" w:rsidP="003A6CD2">
            <w:pPr>
              <w:pStyle w:val="TableText"/>
              <w:jc w:val="right"/>
              <w:rPr>
                <w:rFonts w:cstheme="minorHAnsi"/>
              </w:rPr>
            </w:pPr>
            <w:r>
              <w:rPr>
                <w:rFonts w:cstheme="minorHAnsi"/>
              </w:rPr>
              <w:t>477,240</w:t>
            </w:r>
          </w:p>
        </w:tc>
        <w:tc>
          <w:tcPr>
            <w:tcW w:w="1623" w:type="pct"/>
            <w:tcMar>
              <w:left w:w="108" w:type="dxa"/>
              <w:right w:w="108" w:type="dxa"/>
            </w:tcMar>
          </w:tcPr>
          <w:p w14:paraId="7E59A126" w14:textId="77777777" w:rsidR="004732DD" w:rsidRPr="00F37622" w:rsidRDefault="004732DD" w:rsidP="003A6CD2">
            <w:pPr>
              <w:pStyle w:val="TableText"/>
            </w:pPr>
            <w:r w:rsidRPr="005A660F">
              <w:t>In-office fee outside ordinary hours – weekday for continuous activity provided immediately before or after ordinary hours</w:t>
            </w:r>
          </w:p>
        </w:tc>
        <w:tc>
          <w:tcPr>
            <w:tcW w:w="757" w:type="pct"/>
            <w:tcMar>
              <w:left w:w="108" w:type="dxa"/>
              <w:right w:w="108" w:type="dxa"/>
            </w:tcMar>
          </w:tcPr>
          <w:p w14:paraId="4F882EEE" w14:textId="77777777" w:rsidR="004732DD" w:rsidRDefault="004732DD" w:rsidP="003A6CD2">
            <w:pPr>
              <w:pStyle w:val="TableText"/>
            </w:pPr>
            <w:r w:rsidRPr="009213D8">
              <w:t>Per 15 minutes</w:t>
            </w:r>
          </w:p>
        </w:tc>
        <w:tc>
          <w:tcPr>
            <w:tcW w:w="352" w:type="pct"/>
            <w:tcMar>
              <w:left w:w="108" w:type="dxa"/>
              <w:right w:w="108" w:type="dxa"/>
            </w:tcMar>
          </w:tcPr>
          <w:p w14:paraId="367D51AE" w14:textId="2F4623E8" w:rsidR="004732DD" w:rsidRDefault="004732DD" w:rsidP="003A6CD2">
            <w:pPr>
              <w:pStyle w:val="TableText"/>
              <w:jc w:val="right"/>
            </w:pPr>
            <w:r>
              <w:rPr>
                <w:rFonts w:ascii="Calibri" w:hAnsi="Calibri"/>
                <w:color w:val="000000"/>
                <w:szCs w:val="18"/>
              </w:rPr>
              <w:t>60</w:t>
            </w:r>
          </w:p>
        </w:tc>
        <w:tc>
          <w:tcPr>
            <w:tcW w:w="493" w:type="pct"/>
            <w:tcMar>
              <w:left w:w="108" w:type="dxa"/>
              <w:right w:w="108" w:type="dxa"/>
            </w:tcMar>
          </w:tcPr>
          <w:p w14:paraId="00B3454D" w14:textId="6C224AA8" w:rsidR="004732DD" w:rsidRDefault="004732DD" w:rsidP="003A6CD2">
            <w:pPr>
              <w:pStyle w:val="TableText"/>
              <w:jc w:val="right"/>
            </w:pPr>
            <w:r>
              <w:rPr>
                <w:rFonts w:ascii="Calibri" w:hAnsi="Calibri"/>
                <w:color w:val="000000"/>
                <w:szCs w:val="18"/>
              </w:rPr>
              <w:t>7,954</w:t>
            </w:r>
          </w:p>
        </w:tc>
        <w:tc>
          <w:tcPr>
            <w:tcW w:w="516" w:type="pct"/>
            <w:tcMar>
              <w:left w:w="108" w:type="dxa"/>
              <w:right w:w="108" w:type="dxa"/>
            </w:tcMar>
          </w:tcPr>
          <w:p w14:paraId="78763A37" w14:textId="7458E7B1" w:rsidR="004732DD" w:rsidRDefault="004732DD" w:rsidP="003A6CD2">
            <w:pPr>
              <w:pStyle w:val="TableText"/>
              <w:jc w:val="right"/>
            </w:pPr>
            <w:r>
              <w:rPr>
                <w:rFonts w:ascii="Calibri" w:hAnsi="Calibri"/>
                <w:color w:val="000000"/>
                <w:szCs w:val="18"/>
              </w:rPr>
              <w:t>477,240</w:t>
            </w:r>
          </w:p>
        </w:tc>
      </w:tr>
      <w:tr w:rsidR="004732DD" w14:paraId="644448A0" w14:textId="77777777" w:rsidTr="00511E60">
        <w:tc>
          <w:tcPr>
            <w:tcW w:w="808" w:type="pct"/>
            <w:vMerge/>
            <w:tcMar>
              <w:left w:w="108" w:type="dxa"/>
              <w:right w:w="108" w:type="dxa"/>
            </w:tcMar>
          </w:tcPr>
          <w:p w14:paraId="3B2C693A" w14:textId="77777777" w:rsidR="004732DD" w:rsidRPr="009213D8" w:rsidRDefault="004732DD" w:rsidP="003A6CD2">
            <w:pPr>
              <w:pStyle w:val="TableText"/>
            </w:pPr>
          </w:p>
        </w:tc>
        <w:tc>
          <w:tcPr>
            <w:tcW w:w="451" w:type="pct"/>
            <w:tcMar>
              <w:left w:w="108" w:type="dxa"/>
              <w:right w:w="108" w:type="dxa"/>
            </w:tcMar>
          </w:tcPr>
          <w:p w14:paraId="31CDB12F" w14:textId="0B8BD797" w:rsidR="004732DD" w:rsidRPr="00A10BE3" w:rsidRDefault="004732DD" w:rsidP="003A6CD2">
            <w:pPr>
              <w:pStyle w:val="TableText"/>
              <w:jc w:val="right"/>
              <w:rPr>
                <w:rFonts w:cstheme="minorHAnsi"/>
              </w:rPr>
            </w:pPr>
            <w:r>
              <w:rPr>
                <w:rFonts w:cstheme="minorHAnsi"/>
              </w:rPr>
              <w:t>1,958,760</w:t>
            </w:r>
          </w:p>
        </w:tc>
        <w:tc>
          <w:tcPr>
            <w:tcW w:w="1623" w:type="pct"/>
            <w:tcMar>
              <w:left w:w="108" w:type="dxa"/>
              <w:right w:w="108" w:type="dxa"/>
            </w:tcMar>
          </w:tcPr>
          <w:p w14:paraId="3B132D1E" w14:textId="77777777" w:rsidR="004732DD" w:rsidRPr="00F37622" w:rsidRDefault="004732DD" w:rsidP="003A6CD2">
            <w:pPr>
              <w:pStyle w:val="TableText"/>
            </w:pPr>
            <w:r w:rsidRPr="005A660F">
              <w:t>In-office fee outside ordinary hours – weekday for non-continuous activity provided before or after ordinary hours only</w:t>
            </w:r>
          </w:p>
        </w:tc>
        <w:tc>
          <w:tcPr>
            <w:tcW w:w="757" w:type="pct"/>
            <w:tcMar>
              <w:left w:w="108" w:type="dxa"/>
              <w:right w:w="108" w:type="dxa"/>
            </w:tcMar>
          </w:tcPr>
          <w:p w14:paraId="69B6B7F4" w14:textId="77777777" w:rsidR="004732DD" w:rsidRDefault="004732DD" w:rsidP="003A6CD2">
            <w:pPr>
              <w:pStyle w:val="TableText"/>
            </w:pPr>
            <w:r w:rsidRPr="009213D8">
              <w:t>Per 30 minutes</w:t>
            </w:r>
          </w:p>
        </w:tc>
        <w:tc>
          <w:tcPr>
            <w:tcW w:w="352" w:type="pct"/>
            <w:tcMar>
              <w:left w:w="108" w:type="dxa"/>
              <w:right w:w="108" w:type="dxa"/>
            </w:tcMar>
          </w:tcPr>
          <w:p w14:paraId="21BC069A" w14:textId="16CD289D" w:rsidR="004732DD" w:rsidRDefault="004732DD" w:rsidP="003A6CD2">
            <w:pPr>
              <w:pStyle w:val="TableText"/>
              <w:jc w:val="right"/>
            </w:pPr>
            <w:r>
              <w:rPr>
                <w:rFonts w:ascii="Calibri" w:hAnsi="Calibri"/>
                <w:color w:val="000000"/>
                <w:szCs w:val="18"/>
              </w:rPr>
              <w:t>120</w:t>
            </w:r>
          </w:p>
        </w:tc>
        <w:tc>
          <w:tcPr>
            <w:tcW w:w="493" w:type="pct"/>
            <w:tcMar>
              <w:left w:w="108" w:type="dxa"/>
              <w:right w:w="108" w:type="dxa"/>
            </w:tcMar>
          </w:tcPr>
          <w:p w14:paraId="4555F832" w14:textId="224AD3ED" w:rsidR="004732DD" w:rsidRDefault="004732DD" w:rsidP="003A6CD2">
            <w:pPr>
              <w:pStyle w:val="TableText"/>
              <w:jc w:val="right"/>
            </w:pPr>
            <w:r>
              <w:rPr>
                <w:rFonts w:ascii="Calibri" w:hAnsi="Calibri"/>
                <w:color w:val="000000"/>
                <w:szCs w:val="18"/>
              </w:rPr>
              <w:t>16,323</w:t>
            </w:r>
          </w:p>
        </w:tc>
        <w:tc>
          <w:tcPr>
            <w:tcW w:w="516" w:type="pct"/>
            <w:tcMar>
              <w:left w:w="108" w:type="dxa"/>
              <w:right w:w="108" w:type="dxa"/>
            </w:tcMar>
          </w:tcPr>
          <w:p w14:paraId="0E1F5D20" w14:textId="29DBAB25" w:rsidR="004732DD" w:rsidRDefault="004732DD" w:rsidP="003A6CD2">
            <w:pPr>
              <w:pStyle w:val="TableText"/>
              <w:jc w:val="right"/>
            </w:pPr>
            <w:r>
              <w:rPr>
                <w:rFonts w:cstheme="minorHAnsi"/>
              </w:rPr>
              <w:t>1,958,760</w:t>
            </w:r>
          </w:p>
        </w:tc>
      </w:tr>
      <w:tr w:rsidR="004732DD" w14:paraId="7B66556F" w14:textId="77777777" w:rsidTr="00511E60">
        <w:tc>
          <w:tcPr>
            <w:tcW w:w="808" w:type="pct"/>
            <w:vMerge/>
            <w:tcMar>
              <w:left w:w="108" w:type="dxa"/>
              <w:right w:w="108" w:type="dxa"/>
            </w:tcMar>
          </w:tcPr>
          <w:p w14:paraId="2AA2FE37" w14:textId="77777777" w:rsidR="004732DD" w:rsidRPr="009213D8" w:rsidRDefault="004732DD" w:rsidP="003A6CD2">
            <w:pPr>
              <w:pStyle w:val="TableText"/>
            </w:pPr>
          </w:p>
        </w:tc>
        <w:tc>
          <w:tcPr>
            <w:tcW w:w="451" w:type="pct"/>
            <w:tcMar>
              <w:left w:w="108" w:type="dxa"/>
              <w:right w:w="108" w:type="dxa"/>
            </w:tcMar>
          </w:tcPr>
          <w:p w14:paraId="49FF4086" w14:textId="72F61A9B" w:rsidR="004732DD" w:rsidRPr="00A10BE3" w:rsidRDefault="004732DD" w:rsidP="003A6CD2">
            <w:pPr>
              <w:pStyle w:val="TableText"/>
              <w:jc w:val="right"/>
              <w:rPr>
                <w:rFonts w:cstheme="minorHAnsi"/>
              </w:rPr>
            </w:pPr>
            <w:r>
              <w:rPr>
                <w:rFonts w:cstheme="minorHAnsi"/>
              </w:rPr>
              <w:t>2,116,790</w:t>
            </w:r>
          </w:p>
        </w:tc>
        <w:tc>
          <w:tcPr>
            <w:tcW w:w="1623" w:type="pct"/>
            <w:tcMar>
              <w:left w:w="108" w:type="dxa"/>
              <w:right w:w="108" w:type="dxa"/>
            </w:tcMar>
          </w:tcPr>
          <w:p w14:paraId="605B2587" w14:textId="77777777" w:rsidR="004732DD" w:rsidRPr="00F37622" w:rsidRDefault="004732DD" w:rsidP="003A6CD2">
            <w:pPr>
              <w:pStyle w:val="TableText"/>
            </w:pPr>
            <w:r w:rsidRPr="005A660F">
              <w:t>In-office fee outside ordinary hours – weekend or departmental holiday</w:t>
            </w:r>
          </w:p>
        </w:tc>
        <w:tc>
          <w:tcPr>
            <w:tcW w:w="757" w:type="pct"/>
            <w:tcMar>
              <w:left w:w="108" w:type="dxa"/>
              <w:right w:w="108" w:type="dxa"/>
            </w:tcMar>
          </w:tcPr>
          <w:p w14:paraId="23BB8582" w14:textId="77777777" w:rsidR="004732DD" w:rsidRDefault="004732DD" w:rsidP="003A6CD2">
            <w:pPr>
              <w:pStyle w:val="TableText"/>
            </w:pPr>
            <w:r w:rsidRPr="009213D8">
              <w:t>Per 30 minutes</w:t>
            </w:r>
          </w:p>
        </w:tc>
        <w:tc>
          <w:tcPr>
            <w:tcW w:w="352" w:type="pct"/>
            <w:tcMar>
              <w:left w:w="108" w:type="dxa"/>
              <w:right w:w="108" w:type="dxa"/>
            </w:tcMar>
          </w:tcPr>
          <w:p w14:paraId="6BFDA16B" w14:textId="2359D06E" w:rsidR="004732DD" w:rsidRDefault="004732DD" w:rsidP="003A6CD2">
            <w:pPr>
              <w:pStyle w:val="TableText"/>
              <w:jc w:val="right"/>
            </w:pPr>
            <w:r>
              <w:rPr>
                <w:rFonts w:ascii="Calibri" w:hAnsi="Calibri"/>
                <w:color w:val="000000"/>
                <w:szCs w:val="18"/>
              </w:rPr>
              <w:t>130</w:t>
            </w:r>
          </w:p>
        </w:tc>
        <w:tc>
          <w:tcPr>
            <w:tcW w:w="493" w:type="pct"/>
            <w:tcMar>
              <w:left w:w="108" w:type="dxa"/>
              <w:right w:w="108" w:type="dxa"/>
            </w:tcMar>
          </w:tcPr>
          <w:p w14:paraId="7C2673DD" w14:textId="4C4DAC62" w:rsidR="004732DD" w:rsidRDefault="004732DD" w:rsidP="003A6CD2">
            <w:pPr>
              <w:pStyle w:val="TableText"/>
              <w:jc w:val="right"/>
            </w:pPr>
            <w:r>
              <w:rPr>
                <w:rFonts w:ascii="Calibri" w:hAnsi="Calibri"/>
                <w:color w:val="000000"/>
                <w:szCs w:val="18"/>
              </w:rPr>
              <w:t>16,283</w:t>
            </w:r>
          </w:p>
        </w:tc>
        <w:tc>
          <w:tcPr>
            <w:tcW w:w="516" w:type="pct"/>
            <w:tcMar>
              <w:left w:w="108" w:type="dxa"/>
              <w:right w:w="108" w:type="dxa"/>
            </w:tcMar>
          </w:tcPr>
          <w:p w14:paraId="6A37D800" w14:textId="3C96520F" w:rsidR="004732DD" w:rsidRDefault="004732DD" w:rsidP="003A6CD2">
            <w:pPr>
              <w:pStyle w:val="TableText"/>
              <w:jc w:val="right"/>
            </w:pPr>
            <w:r>
              <w:rPr>
                <w:rFonts w:ascii="Calibri" w:hAnsi="Calibri"/>
                <w:color w:val="000000"/>
                <w:szCs w:val="18"/>
              </w:rPr>
              <w:t>2,116,790</w:t>
            </w:r>
          </w:p>
        </w:tc>
      </w:tr>
      <w:tr w:rsidR="004732DD" w14:paraId="62C53B3E" w14:textId="77777777" w:rsidTr="00511E60">
        <w:tc>
          <w:tcPr>
            <w:tcW w:w="808" w:type="pct"/>
            <w:vMerge/>
            <w:tcMar>
              <w:left w:w="108" w:type="dxa"/>
              <w:right w:w="108" w:type="dxa"/>
            </w:tcMar>
          </w:tcPr>
          <w:p w14:paraId="1FE87092" w14:textId="77777777" w:rsidR="004732DD" w:rsidRPr="009213D8" w:rsidRDefault="004732DD" w:rsidP="003A6CD2">
            <w:pPr>
              <w:pStyle w:val="TableText"/>
            </w:pPr>
          </w:p>
        </w:tc>
        <w:tc>
          <w:tcPr>
            <w:tcW w:w="451" w:type="pct"/>
            <w:tcMar>
              <w:left w:w="108" w:type="dxa"/>
              <w:right w:w="108" w:type="dxa"/>
            </w:tcMar>
          </w:tcPr>
          <w:p w14:paraId="33336496" w14:textId="78B1A52C" w:rsidR="004732DD" w:rsidRPr="00A10BE3" w:rsidRDefault="004732DD" w:rsidP="003A6CD2">
            <w:pPr>
              <w:pStyle w:val="TableText"/>
              <w:jc w:val="right"/>
              <w:rPr>
                <w:rFonts w:cstheme="minorHAnsi"/>
              </w:rPr>
            </w:pPr>
            <w:r>
              <w:rPr>
                <w:rFonts w:cstheme="minorHAnsi"/>
              </w:rPr>
              <w:t>4,093,830</w:t>
            </w:r>
          </w:p>
        </w:tc>
        <w:tc>
          <w:tcPr>
            <w:tcW w:w="1623" w:type="pct"/>
            <w:tcMar>
              <w:left w:w="108" w:type="dxa"/>
              <w:right w:w="108" w:type="dxa"/>
            </w:tcMar>
          </w:tcPr>
          <w:p w14:paraId="55A69646" w14:textId="77777777" w:rsidR="004732DD" w:rsidRPr="00F37622" w:rsidRDefault="004732DD" w:rsidP="003A6CD2">
            <w:pPr>
              <w:pStyle w:val="TableText"/>
            </w:pPr>
            <w:r w:rsidRPr="005A660F">
              <w:t>In office fee outside ordinary hours, after the first 30 minutes – weekend or departmental holiday</w:t>
            </w:r>
          </w:p>
        </w:tc>
        <w:tc>
          <w:tcPr>
            <w:tcW w:w="757" w:type="pct"/>
            <w:tcMar>
              <w:left w:w="108" w:type="dxa"/>
              <w:right w:w="108" w:type="dxa"/>
            </w:tcMar>
          </w:tcPr>
          <w:p w14:paraId="72DFD5B7" w14:textId="77777777" w:rsidR="004732DD" w:rsidRDefault="004732DD" w:rsidP="003A6CD2">
            <w:pPr>
              <w:pStyle w:val="TableText"/>
            </w:pPr>
            <w:r w:rsidRPr="009213D8">
              <w:t>Per 15 minutes</w:t>
            </w:r>
          </w:p>
        </w:tc>
        <w:tc>
          <w:tcPr>
            <w:tcW w:w="352" w:type="pct"/>
            <w:tcMar>
              <w:left w:w="108" w:type="dxa"/>
              <w:right w:w="108" w:type="dxa"/>
            </w:tcMar>
          </w:tcPr>
          <w:p w14:paraId="1016C8F7" w14:textId="4E2CBD4F" w:rsidR="004732DD" w:rsidRDefault="004732DD" w:rsidP="003A6CD2">
            <w:pPr>
              <w:pStyle w:val="TableText"/>
              <w:jc w:val="right"/>
            </w:pPr>
            <w:r>
              <w:rPr>
                <w:rFonts w:ascii="Calibri" w:hAnsi="Calibri"/>
                <w:color w:val="000000"/>
                <w:szCs w:val="18"/>
              </w:rPr>
              <w:t>65</w:t>
            </w:r>
          </w:p>
        </w:tc>
        <w:tc>
          <w:tcPr>
            <w:tcW w:w="493" w:type="pct"/>
            <w:tcMar>
              <w:left w:w="108" w:type="dxa"/>
              <w:right w:w="108" w:type="dxa"/>
            </w:tcMar>
          </w:tcPr>
          <w:p w14:paraId="55286C65" w14:textId="700C517A" w:rsidR="004732DD" w:rsidRDefault="004732DD" w:rsidP="003A6CD2">
            <w:pPr>
              <w:pStyle w:val="TableText"/>
              <w:jc w:val="right"/>
            </w:pPr>
            <w:r>
              <w:rPr>
                <w:rFonts w:ascii="Calibri" w:hAnsi="Calibri"/>
                <w:color w:val="000000"/>
                <w:szCs w:val="18"/>
              </w:rPr>
              <w:t>62,982</w:t>
            </w:r>
          </w:p>
        </w:tc>
        <w:tc>
          <w:tcPr>
            <w:tcW w:w="516" w:type="pct"/>
            <w:tcMar>
              <w:left w:w="108" w:type="dxa"/>
              <w:right w:w="108" w:type="dxa"/>
            </w:tcMar>
          </w:tcPr>
          <w:p w14:paraId="0AD32F2B" w14:textId="37A6740A" w:rsidR="004732DD" w:rsidRDefault="004732DD" w:rsidP="003A6CD2">
            <w:pPr>
              <w:pStyle w:val="TableText"/>
              <w:jc w:val="right"/>
            </w:pPr>
            <w:r>
              <w:rPr>
                <w:rFonts w:ascii="Calibri" w:hAnsi="Calibri"/>
                <w:color w:val="000000"/>
                <w:szCs w:val="18"/>
              </w:rPr>
              <w:t>4,093,830</w:t>
            </w:r>
          </w:p>
        </w:tc>
      </w:tr>
      <w:tr w:rsidR="004732DD" w14:paraId="079B6645" w14:textId="77777777" w:rsidTr="00511E60">
        <w:tc>
          <w:tcPr>
            <w:tcW w:w="808" w:type="pct"/>
            <w:vMerge/>
            <w:tcMar>
              <w:left w:w="108" w:type="dxa"/>
              <w:right w:w="108" w:type="dxa"/>
            </w:tcMar>
          </w:tcPr>
          <w:p w14:paraId="437EA353" w14:textId="77777777" w:rsidR="004732DD" w:rsidRPr="009213D8" w:rsidRDefault="004732DD" w:rsidP="003A6CD2">
            <w:pPr>
              <w:pStyle w:val="TableText"/>
            </w:pPr>
          </w:p>
        </w:tc>
        <w:tc>
          <w:tcPr>
            <w:tcW w:w="451" w:type="pct"/>
            <w:tcMar>
              <w:left w:w="108" w:type="dxa"/>
              <w:right w:w="108" w:type="dxa"/>
            </w:tcMar>
          </w:tcPr>
          <w:p w14:paraId="6C4C6CE9" w14:textId="1617626A" w:rsidR="004732DD" w:rsidRPr="00A10BE3" w:rsidRDefault="004732DD" w:rsidP="003A6CD2">
            <w:pPr>
              <w:pStyle w:val="TableText"/>
              <w:jc w:val="right"/>
              <w:rPr>
                <w:rFonts w:cstheme="minorHAnsi"/>
              </w:rPr>
            </w:pPr>
            <w:r>
              <w:rPr>
                <w:rFonts w:cstheme="minorHAnsi"/>
              </w:rPr>
              <w:t>177,530</w:t>
            </w:r>
          </w:p>
        </w:tc>
        <w:tc>
          <w:tcPr>
            <w:tcW w:w="1623" w:type="pct"/>
            <w:tcMar>
              <w:left w:w="108" w:type="dxa"/>
              <w:right w:w="108" w:type="dxa"/>
            </w:tcMar>
          </w:tcPr>
          <w:p w14:paraId="4AFB049B" w14:textId="56B2ABA7" w:rsidR="004732DD" w:rsidRPr="009213D8" w:rsidRDefault="004732DD" w:rsidP="003A6CD2">
            <w:pPr>
              <w:pStyle w:val="TableText"/>
            </w:pPr>
            <w:r w:rsidRPr="00F37622">
              <w:t xml:space="preserve">Assessment </w:t>
            </w:r>
            <w:r>
              <w:t>c</w:t>
            </w:r>
            <w:r w:rsidRPr="00F37622">
              <w:t xml:space="preserve">ategory 1 </w:t>
            </w:r>
            <w:r>
              <w:t>p</w:t>
            </w:r>
            <w:r w:rsidRPr="00F37622">
              <w:t>ermit application</w:t>
            </w:r>
          </w:p>
        </w:tc>
        <w:tc>
          <w:tcPr>
            <w:tcW w:w="757" w:type="pct"/>
            <w:tcMar>
              <w:left w:w="108" w:type="dxa"/>
              <w:right w:w="108" w:type="dxa"/>
            </w:tcMar>
          </w:tcPr>
          <w:p w14:paraId="1AEC7FC2" w14:textId="77777777" w:rsidR="004732DD" w:rsidRPr="009213D8" w:rsidRDefault="004732DD" w:rsidP="003A6CD2">
            <w:pPr>
              <w:pStyle w:val="TableText"/>
            </w:pPr>
            <w:r>
              <w:t>Per application</w:t>
            </w:r>
          </w:p>
        </w:tc>
        <w:tc>
          <w:tcPr>
            <w:tcW w:w="352" w:type="pct"/>
            <w:tcMar>
              <w:left w:w="108" w:type="dxa"/>
              <w:right w:w="108" w:type="dxa"/>
            </w:tcMar>
          </w:tcPr>
          <w:p w14:paraId="7DEDF9F5" w14:textId="1F5F6C1A" w:rsidR="004732DD" w:rsidRPr="008A370F" w:rsidRDefault="004732DD" w:rsidP="003A6CD2">
            <w:pPr>
              <w:pStyle w:val="TableText"/>
              <w:jc w:val="right"/>
              <w:rPr>
                <w:rFonts w:ascii="Calibri" w:hAnsi="Calibri"/>
                <w:color w:val="000000"/>
                <w:szCs w:val="18"/>
              </w:rPr>
            </w:pPr>
            <w:r>
              <w:t>82</w:t>
            </w:r>
          </w:p>
        </w:tc>
        <w:tc>
          <w:tcPr>
            <w:tcW w:w="493" w:type="pct"/>
            <w:tcMar>
              <w:left w:w="108" w:type="dxa"/>
              <w:right w:w="108" w:type="dxa"/>
            </w:tcMar>
          </w:tcPr>
          <w:p w14:paraId="2D9B2CF5" w14:textId="3FACEF00" w:rsidR="004732DD" w:rsidRDefault="004732DD" w:rsidP="003A6CD2">
            <w:pPr>
              <w:pStyle w:val="TableText"/>
              <w:jc w:val="right"/>
              <w:rPr>
                <w:rFonts w:ascii="Calibri" w:hAnsi="Calibri"/>
                <w:color w:val="000000"/>
                <w:szCs w:val="18"/>
              </w:rPr>
            </w:pPr>
            <w:r>
              <w:t>2,165</w:t>
            </w:r>
          </w:p>
        </w:tc>
        <w:tc>
          <w:tcPr>
            <w:tcW w:w="516" w:type="pct"/>
            <w:tcMar>
              <w:left w:w="108" w:type="dxa"/>
              <w:right w:w="108" w:type="dxa"/>
            </w:tcMar>
          </w:tcPr>
          <w:p w14:paraId="35187DB5" w14:textId="7B503CB9" w:rsidR="004732DD" w:rsidRDefault="004732DD" w:rsidP="003A6CD2">
            <w:pPr>
              <w:pStyle w:val="TableText"/>
              <w:jc w:val="right"/>
              <w:rPr>
                <w:rFonts w:ascii="Calibri" w:hAnsi="Calibri"/>
                <w:color w:val="000000"/>
                <w:szCs w:val="18"/>
              </w:rPr>
            </w:pPr>
            <w:r>
              <w:t>177,530</w:t>
            </w:r>
          </w:p>
        </w:tc>
      </w:tr>
      <w:tr w:rsidR="004732DD" w14:paraId="29A6F1D1" w14:textId="77777777" w:rsidTr="00511E60">
        <w:tc>
          <w:tcPr>
            <w:tcW w:w="808" w:type="pct"/>
            <w:vMerge/>
            <w:tcMar>
              <w:left w:w="108" w:type="dxa"/>
              <w:right w:w="108" w:type="dxa"/>
            </w:tcMar>
          </w:tcPr>
          <w:p w14:paraId="6FAF0C8D" w14:textId="77777777" w:rsidR="004732DD" w:rsidRPr="009213D8" w:rsidRDefault="004732DD" w:rsidP="003A6CD2">
            <w:pPr>
              <w:pStyle w:val="TableText"/>
            </w:pPr>
          </w:p>
        </w:tc>
        <w:tc>
          <w:tcPr>
            <w:tcW w:w="451" w:type="pct"/>
            <w:tcMar>
              <w:left w:w="108" w:type="dxa"/>
              <w:right w:w="108" w:type="dxa"/>
            </w:tcMar>
          </w:tcPr>
          <w:p w14:paraId="298172DD" w14:textId="15AC63F3" w:rsidR="004732DD" w:rsidRPr="00A10BE3" w:rsidRDefault="004732DD" w:rsidP="003A6CD2">
            <w:pPr>
              <w:pStyle w:val="TableText"/>
              <w:jc w:val="right"/>
              <w:rPr>
                <w:rFonts w:cstheme="minorHAnsi"/>
              </w:rPr>
            </w:pPr>
            <w:r>
              <w:rPr>
                <w:rFonts w:cstheme="minorHAnsi"/>
              </w:rPr>
              <w:t>1,218,236</w:t>
            </w:r>
          </w:p>
        </w:tc>
        <w:tc>
          <w:tcPr>
            <w:tcW w:w="1623" w:type="pct"/>
            <w:tcMar>
              <w:left w:w="108" w:type="dxa"/>
              <w:right w:w="108" w:type="dxa"/>
            </w:tcMar>
          </w:tcPr>
          <w:p w14:paraId="662042A7" w14:textId="27D20294" w:rsidR="004732DD" w:rsidRPr="00F37622" w:rsidRDefault="004732DD" w:rsidP="003A6CD2">
            <w:pPr>
              <w:pStyle w:val="TableText"/>
            </w:pPr>
            <w:r w:rsidRPr="00F37622">
              <w:t xml:space="preserve">Assessment </w:t>
            </w:r>
            <w:r>
              <w:t>c</w:t>
            </w:r>
            <w:r w:rsidRPr="00F37622">
              <w:t xml:space="preserve">ategory 2 </w:t>
            </w:r>
            <w:r>
              <w:t>p</w:t>
            </w:r>
            <w:r w:rsidRPr="00F37622">
              <w:t>ermit application</w:t>
            </w:r>
          </w:p>
        </w:tc>
        <w:tc>
          <w:tcPr>
            <w:tcW w:w="757" w:type="pct"/>
            <w:tcMar>
              <w:left w:w="108" w:type="dxa"/>
              <w:right w:w="108" w:type="dxa"/>
            </w:tcMar>
          </w:tcPr>
          <w:p w14:paraId="7EA9ED9C" w14:textId="77777777" w:rsidR="004732DD" w:rsidRDefault="004732DD" w:rsidP="003A6CD2">
            <w:pPr>
              <w:pStyle w:val="TableText"/>
            </w:pPr>
            <w:r w:rsidRPr="00670818">
              <w:t>Per application</w:t>
            </w:r>
          </w:p>
        </w:tc>
        <w:tc>
          <w:tcPr>
            <w:tcW w:w="352" w:type="pct"/>
            <w:tcMar>
              <w:left w:w="108" w:type="dxa"/>
              <w:right w:w="108" w:type="dxa"/>
            </w:tcMar>
          </w:tcPr>
          <w:p w14:paraId="580D7DEB" w14:textId="27FC1A6A" w:rsidR="004732DD" w:rsidRDefault="004732DD" w:rsidP="003A6CD2">
            <w:pPr>
              <w:pStyle w:val="TableText"/>
              <w:jc w:val="right"/>
            </w:pPr>
            <w:r>
              <w:t>164</w:t>
            </w:r>
          </w:p>
        </w:tc>
        <w:tc>
          <w:tcPr>
            <w:tcW w:w="493" w:type="pct"/>
            <w:tcMar>
              <w:left w:w="108" w:type="dxa"/>
              <w:right w:w="108" w:type="dxa"/>
            </w:tcMar>
          </w:tcPr>
          <w:p w14:paraId="18A49124" w14:textId="7CD8FA1D" w:rsidR="004732DD" w:rsidRDefault="004732DD" w:rsidP="003A6CD2">
            <w:pPr>
              <w:pStyle w:val="TableText"/>
              <w:jc w:val="right"/>
            </w:pPr>
            <w:r>
              <w:t xml:space="preserve">6,289 </w:t>
            </w:r>
          </w:p>
        </w:tc>
        <w:tc>
          <w:tcPr>
            <w:tcW w:w="516" w:type="pct"/>
            <w:tcMar>
              <w:left w:w="108" w:type="dxa"/>
              <w:right w:w="108" w:type="dxa"/>
            </w:tcMar>
          </w:tcPr>
          <w:p w14:paraId="7C60D3B6" w14:textId="20559B6B" w:rsidR="004732DD" w:rsidRDefault="004732DD" w:rsidP="003A6CD2">
            <w:pPr>
              <w:pStyle w:val="TableText"/>
              <w:jc w:val="right"/>
            </w:pPr>
            <w:r>
              <w:t>1,218,236</w:t>
            </w:r>
          </w:p>
        </w:tc>
      </w:tr>
      <w:tr w:rsidR="004732DD" w14:paraId="689ABDC9" w14:textId="77777777" w:rsidTr="00511E60">
        <w:tc>
          <w:tcPr>
            <w:tcW w:w="808" w:type="pct"/>
            <w:vMerge/>
            <w:tcMar>
              <w:left w:w="108" w:type="dxa"/>
              <w:right w:w="108" w:type="dxa"/>
            </w:tcMar>
          </w:tcPr>
          <w:p w14:paraId="0497ACC8" w14:textId="77777777" w:rsidR="004732DD" w:rsidRPr="009213D8" w:rsidRDefault="004732DD" w:rsidP="003A6CD2">
            <w:pPr>
              <w:pStyle w:val="TableText"/>
            </w:pPr>
          </w:p>
        </w:tc>
        <w:tc>
          <w:tcPr>
            <w:tcW w:w="451" w:type="pct"/>
            <w:tcMar>
              <w:left w:w="108" w:type="dxa"/>
              <w:right w:w="108" w:type="dxa"/>
            </w:tcMar>
          </w:tcPr>
          <w:p w14:paraId="49CC1D91" w14:textId="3FB29A6B" w:rsidR="004732DD" w:rsidRPr="00A10BE3" w:rsidRDefault="004732DD" w:rsidP="003A6CD2">
            <w:pPr>
              <w:pStyle w:val="TableText"/>
              <w:jc w:val="right"/>
              <w:rPr>
                <w:rFonts w:cstheme="minorHAnsi"/>
              </w:rPr>
            </w:pPr>
            <w:r>
              <w:rPr>
                <w:rFonts w:cstheme="minorHAnsi"/>
              </w:rPr>
              <w:t>37,278</w:t>
            </w:r>
          </w:p>
        </w:tc>
        <w:tc>
          <w:tcPr>
            <w:tcW w:w="1623" w:type="pct"/>
            <w:tcMar>
              <w:left w:w="108" w:type="dxa"/>
              <w:right w:w="108" w:type="dxa"/>
            </w:tcMar>
          </w:tcPr>
          <w:p w14:paraId="36972442" w14:textId="76D50E05" w:rsidR="004732DD" w:rsidRPr="00F37622" w:rsidRDefault="004732DD" w:rsidP="003A6CD2">
            <w:pPr>
              <w:pStyle w:val="TableText"/>
            </w:pPr>
            <w:r w:rsidRPr="00670818">
              <w:t xml:space="preserve">Assessment </w:t>
            </w:r>
            <w:r>
              <w:t>c</w:t>
            </w:r>
            <w:r w:rsidRPr="00670818">
              <w:t xml:space="preserve">ategory </w:t>
            </w:r>
            <w:r>
              <w:t>3</w:t>
            </w:r>
            <w:r w:rsidRPr="00670818">
              <w:t xml:space="preserve"> </w:t>
            </w:r>
            <w:r>
              <w:t>p</w:t>
            </w:r>
            <w:r w:rsidRPr="00670818">
              <w:t>ermit application</w:t>
            </w:r>
          </w:p>
        </w:tc>
        <w:tc>
          <w:tcPr>
            <w:tcW w:w="757" w:type="pct"/>
            <w:tcMar>
              <w:left w:w="108" w:type="dxa"/>
              <w:right w:w="108" w:type="dxa"/>
            </w:tcMar>
          </w:tcPr>
          <w:p w14:paraId="5F56D6FC" w14:textId="77777777" w:rsidR="004732DD" w:rsidRDefault="004732DD" w:rsidP="003A6CD2">
            <w:pPr>
              <w:pStyle w:val="TableText"/>
            </w:pPr>
            <w:r w:rsidRPr="00670818">
              <w:t>Per application</w:t>
            </w:r>
          </w:p>
        </w:tc>
        <w:tc>
          <w:tcPr>
            <w:tcW w:w="352" w:type="pct"/>
            <w:tcMar>
              <w:left w:w="108" w:type="dxa"/>
              <w:right w:w="108" w:type="dxa"/>
            </w:tcMar>
          </w:tcPr>
          <w:p w14:paraId="218267AD" w14:textId="17628E41" w:rsidR="004732DD" w:rsidRDefault="004732DD" w:rsidP="003A6CD2">
            <w:pPr>
              <w:pStyle w:val="TableText"/>
              <w:jc w:val="right"/>
            </w:pPr>
            <w:r>
              <w:t>327</w:t>
            </w:r>
          </w:p>
        </w:tc>
        <w:tc>
          <w:tcPr>
            <w:tcW w:w="493" w:type="pct"/>
            <w:tcMar>
              <w:left w:w="108" w:type="dxa"/>
              <w:right w:w="108" w:type="dxa"/>
            </w:tcMar>
          </w:tcPr>
          <w:p w14:paraId="22D0216E" w14:textId="77777777" w:rsidR="004732DD" w:rsidRDefault="004732DD" w:rsidP="003A6CD2">
            <w:pPr>
              <w:pStyle w:val="TableText"/>
              <w:jc w:val="right"/>
            </w:pPr>
            <w:r>
              <w:t>114</w:t>
            </w:r>
          </w:p>
        </w:tc>
        <w:tc>
          <w:tcPr>
            <w:tcW w:w="516" w:type="pct"/>
            <w:tcMar>
              <w:left w:w="108" w:type="dxa"/>
              <w:right w:w="108" w:type="dxa"/>
            </w:tcMar>
          </w:tcPr>
          <w:p w14:paraId="259F3AAD" w14:textId="29579C28" w:rsidR="004732DD" w:rsidRDefault="004732DD" w:rsidP="003A6CD2">
            <w:pPr>
              <w:pStyle w:val="TableText"/>
              <w:jc w:val="right"/>
            </w:pPr>
            <w:r>
              <w:t>37,278</w:t>
            </w:r>
          </w:p>
        </w:tc>
      </w:tr>
      <w:tr w:rsidR="004732DD" w14:paraId="4771B3BB" w14:textId="77777777" w:rsidTr="00511E60">
        <w:tc>
          <w:tcPr>
            <w:tcW w:w="808" w:type="pct"/>
            <w:vMerge/>
            <w:tcMar>
              <w:left w:w="108" w:type="dxa"/>
              <w:right w:w="108" w:type="dxa"/>
            </w:tcMar>
          </w:tcPr>
          <w:p w14:paraId="136FB80A" w14:textId="77777777" w:rsidR="004732DD" w:rsidRPr="009213D8" w:rsidRDefault="004732DD" w:rsidP="003A6CD2">
            <w:pPr>
              <w:pStyle w:val="TableText"/>
            </w:pPr>
          </w:p>
        </w:tc>
        <w:tc>
          <w:tcPr>
            <w:tcW w:w="451" w:type="pct"/>
            <w:tcMar>
              <w:left w:w="108" w:type="dxa"/>
              <w:right w:w="108" w:type="dxa"/>
            </w:tcMar>
          </w:tcPr>
          <w:p w14:paraId="3FF42050" w14:textId="71CD6426" w:rsidR="004732DD" w:rsidRPr="00A10BE3" w:rsidRDefault="004732DD" w:rsidP="003A6CD2">
            <w:pPr>
              <w:pStyle w:val="TableText"/>
              <w:jc w:val="right"/>
              <w:rPr>
                <w:rFonts w:cstheme="minorHAnsi"/>
              </w:rPr>
            </w:pPr>
            <w:r>
              <w:rPr>
                <w:rFonts w:cstheme="minorHAnsi"/>
              </w:rPr>
              <w:t>3,874,972</w:t>
            </w:r>
          </w:p>
        </w:tc>
        <w:tc>
          <w:tcPr>
            <w:tcW w:w="1623" w:type="pct"/>
            <w:tcMar>
              <w:left w:w="108" w:type="dxa"/>
              <w:right w:w="108" w:type="dxa"/>
            </w:tcMar>
          </w:tcPr>
          <w:p w14:paraId="13887E3F" w14:textId="052FE3E0" w:rsidR="004732DD" w:rsidRPr="00F37622" w:rsidRDefault="004732DD" w:rsidP="003A6CD2">
            <w:pPr>
              <w:pStyle w:val="TableText"/>
            </w:pPr>
            <w:r w:rsidRPr="00670818">
              <w:t xml:space="preserve">Assessment </w:t>
            </w:r>
            <w:r>
              <w:t>c</w:t>
            </w:r>
            <w:r w:rsidRPr="00670818">
              <w:t xml:space="preserve">ategory </w:t>
            </w:r>
            <w:r>
              <w:t>4</w:t>
            </w:r>
            <w:r w:rsidRPr="00670818">
              <w:t xml:space="preserve"> </w:t>
            </w:r>
            <w:r>
              <w:t>p</w:t>
            </w:r>
            <w:r w:rsidRPr="00670818">
              <w:t>ermit application</w:t>
            </w:r>
          </w:p>
        </w:tc>
        <w:tc>
          <w:tcPr>
            <w:tcW w:w="757" w:type="pct"/>
            <w:tcMar>
              <w:left w:w="108" w:type="dxa"/>
              <w:right w:w="108" w:type="dxa"/>
            </w:tcMar>
          </w:tcPr>
          <w:p w14:paraId="766000EA" w14:textId="77777777" w:rsidR="004732DD" w:rsidRDefault="004732DD" w:rsidP="003A6CD2">
            <w:pPr>
              <w:pStyle w:val="TableText"/>
            </w:pPr>
            <w:r w:rsidRPr="00670818">
              <w:t>Per application</w:t>
            </w:r>
          </w:p>
        </w:tc>
        <w:tc>
          <w:tcPr>
            <w:tcW w:w="352" w:type="pct"/>
            <w:tcMar>
              <w:left w:w="108" w:type="dxa"/>
              <w:right w:w="108" w:type="dxa"/>
            </w:tcMar>
          </w:tcPr>
          <w:p w14:paraId="5C0FFC87" w14:textId="3E8E1603" w:rsidR="004732DD" w:rsidRDefault="004732DD" w:rsidP="003A6CD2">
            <w:pPr>
              <w:pStyle w:val="TableText"/>
              <w:jc w:val="right"/>
            </w:pPr>
            <w:r>
              <w:t>491</w:t>
            </w:r>
          </w:p>
        </w:tc>
        <w:tc>
          <w:tcPr>
            <w:tcW w:w="493" w:type="pct"/>
            <w:tcMar>
              <w:left w:w="108" w:type="dxa"/>
              <w:right w:w="108" w:type="dxa"/>
            </w:tcMar>
          </w:tcPr>
          <w:p w14:paraId="6C57BA0E" w14:textId="1E65449E" w:rsidR="004732DD" w:rsidRDefault="004732DD" w:rsidP="003A6CD2">
            <w:pPr>
              <w:pStyle w:val="TableText"/>
              <w:jc w:val="right"/>
            </w:pPr>
            <w:r>
              <w:t>7,892</w:t>
            </w:r>
          </w:p>
        </w:tc>
        <w:tc>
          <w:tcPr>
            <w:tcW w:w="516" w:type="pct"/>
            <w:tcMar>
              <w:left w:w="108" w:type="dxa"/>
              <w:right w:w="108" w:type="dxa"/>
            </w:tcMar>
          </w:tcPr>
          <w:p w14:paraId="7C89A451" w14:textId="280EA47B" w:rsidR="004732DD" w:rsidRDefault="004732DD" w:rsidP="003A6CD2">
            <w:pPr>
              <w:pStyle w:val="TableText"/>
              <w:jc w:val="right"/>
            </w:pPr>
            <w:r>
              <w:t>3,874,972</w:t>
            </w:r>
          </w:p>
        </w:tc>
      </w:tr>
      <w:tr w:rsidR="004732DD" w14:paraId="0E759DEE" w14:textId="77777777" w:rsidTr="00511E60">
        <w:tc>
          <w:tcPr>
            <w:tcW w:w="808" w:type="pct"/>
            <w:vMerge/>
            <w:tcMar>
              <w:left w:w="108" w:type="dxa"/>
              <w:right w:w="108" w:type="dxa"/>
            </w:tcMar>
          </w:tcPr>
          <w:p w14:paraId="7008F3F5" w14:textId="77777777" w:rsidR="004732DD" w:rsidRPr="009213D8" w:rsidRDefault="004732DD" w:rsidP="003A6CD2">
            <w:pPr>
              <w:pStyle w:val="TableText"/>
            </w:pPr>
          </w:p>
        </w:tc>
        <w:tc>
          <w:tcPr>
            <w:tcW w:w="451" w:type="pct"/>
            <w:tcMar>
              <w:left w:w="108" w:type="dxa"/>
              <w:right w:w="108" w:type="dxa"/>
            </w:tcMar>
          </w:tcPr>
          <w:p w14:paraId="2283F4D8" w14:textId="5447B48A" w:rsidR="004732DD" w:rsidRPr="00A10BE3" w:rsidRDefault="004732DD" w:rsidP="003A6CD2">
            <w:pPr>
              <w:pStyle w:val="TableText"/>
              <w:jc w:val="right"/>
              <w:rPr>
                <w:rFonts w:cstheme="minorHAnsi"/>
              </w:rPr>
            </w:pPr>
            <w:r>
              <w:rPr>
                <w:rFonts w:cstheme="minorHAnsi"/>
              </w:rPr>
              <w:t>216,150</w:t>
            </w:r>
          </w:p>
        </w:tc>
        <w:tc>
          <w:tcPr>
            <w:tcW w:w="1623" w:type="pct"/>
            <w:tcMar>
              <w:left w:w="108" w:type="dxa"/>
              <w:right w:w="108" w:type="dxa"/>
            </w:tcMar>
          </w:tcPr>
          <w:p w14:paraId="3B54B93E" w14:textId="20D4A7EF" w:rsidR="004732DD" w:rsidRPr="00670818" w:rsidRDefault="004732DD" w:rsidP="003A6CD2">
            <w:pPr>
              <w:pStyle w:val="TableText"/>
            </w:pPr>
            <w:r w:rsidRPr="00670818">
              <w:t xml:space="preserve">Assessment </w:t>
            </w:r>
            <w:r>
              <w:t>c</w:t>
            </w:r>
            <w:r w:rsidRPr="00670818">
              <w:t xml:space="preserve">ategory </w:t>
            </w:r>
            <w:r>
              <w:t>5</w:t>
            </w:r>
            <w:r w:rsidRPr="00670818">
              <w:t xml:space="preserve"> </w:t>
            </w:r>
            <w:r>
              <w:t>p</w:t>
            </w:r>
            <w:r w:rsidRPr="00670818">
              <w:t>ermit application</w:t>
            </w:r>
          </w:p>
        </w:tc>
        <w:tc>
          <w:tcPr>
            <w:tcW w:w="757" w:type="pct"/>
            <w:tcMar>
              <w:left w:w="108" w:type="dxa"/>
              <w:right w:w="108" w:type="dxa"/>
            </w:tcMar>
          </w:tcPr>
          <w:p w14:paraId="3C5350E5" w14:textId="77777777" w:rsidR="004732DD" w:rsidRPr="00670818" w:rsidRDefault="004732DD" w:rsidP="003A6CD2">
            <w:pPr>
              <w:pStyle w:val="TableText"/>
            </w:pPr>
            <w:r w:rsidRPr="00670818">
              <w:t>Per application</w:t>
            </w:r>
          </w:p>
        </w:tc>
        <w:tc>
          <w:tcPr>
            <w:tcW w:w="352" w:type="pct"/>
            <w:tcMar>
              <w:left w:w="108" w:type="dxa"/>
              <w:right w:w="108" w:type="dxa"/>
            </w:tcMar>
          </w:tcPr>
          <w:p w14:paraId="63534512" w14:textId="43FC3BDA" w:rsidR="004732DD" w:rsidRDefault="004732DD" w:rsidP="003A6CD2">
            <w:pPr>
              <w:pStyle w:val="TableText"/>
              <w:jc w:val="right"/>
            </w:pPr>
            <w:r>
              <w:t>655</w:t>
            </w:r>
          </w:p>
        </w:tc>
        <w:tc>
          <w:tcPr>
            <w:tcW w:w="493" w:type="pct"/>
            <w:tcMar>
              <w:left w:w="108" w:type="dxa"/>
              <w:right w:w="108" w:type="dxa"/>
            </w:tcMar>
          </w:tcPr>
          <w:p w14:paraId="0C8DA240" w14:textId="6BB0F110" w:rsidR="004732DD" w:rsidRDefault="004732DD" w:rsidP="003A6CD2">
            <w:pPr>
              <w:pStyle w:val="TableText"/>
              <w:jc w:val="right"/>
            </w:pPr>
            <w:r>
              <w:t>330</w:t>
            </w:r>
          </w:p>
        </w:tc>
        <w:tc>
          <w:tcPr>
            <w:tcW w:w="516" w:type="pct"/>
            <w:tcMar>
              <w:left w:w="108" w:type="dxa"/>
              <w:right w:w="108" w:type="dxa"/>
            </w:tcMar>
          </w:tcPr>
          <w:p w14:paraId="30963B81" w14:textId="2417A32E" w:rsidR="004732DD" w:rsidRDefault="004732DD" w:rsidP="003A6CD2">
            <w:pPr>
              <w:pStyle w:val="TableText"/>
              <w:jc w:val="right"/>
            </w:pPr>
            <w:r>
              <w:t>216,150</w:t>
            </w:r>
          </w:p>
        </w:tc>
      </w:tr>
      <w:tr w:rsidR="004732DD" w14:paraId="35AAAB98" w14:textId="77777777" w:rsidTr="00511E60">
        <w:tc>
          <w:tcPr>
            <w:tcW w:w="808" w:type="pct"/>
            <w:vMerge/>
            <w:tcMar>
              <w:left w:w="108" w:type="dxa"/>
              <w:right w:w="108" w:type="dxa"/>
            </w:tcMar>
          </w:tcPr>
          <w:p w14:paraId="513873AC" w14:textId="77777777" w:rsidR="004732DD" w:rsidRPr="009213D8" w:rsidRDefault="004732DD" w:rsidP="003A6CD2">
            <w:pPr>
              <w:pStyle w:val="TableText"/>
            </w:pPr>
          </w:p>
        </w:tc>
        <w:tc>
          <w:tcPr>
            <w:tcW w:w="451" w:type="pct"/>
            <w:tcMar>
              <w:left w:w="108" w:type="dxa"/>
              <w:right w:w="108" w:type="dxa"/>
            </w:tcMar>
          </w:tcPr>
          <w:p w14:paraId="7DBA80DF" w14:textId="715E2E9C" w:rsidR="004732DD" w:rsidRPr="00A10BE3" w:rsidRDefault="004732DD" w:rsidP="003A6CD2">
            <w:pPr>
              <w:pStyle w:val="TableText"/>
              <w:jc w:val="right"/>
              <w:rPr>
                <w:rFonts w:cstheme="minorHAnsi"/>
              </w:rPr>
            </w:pPr>
            <w:r>
              <w:rPr>
                <w:rFonts w:cstheme="minorHAnsi"/>
              </w:rPr>
              <w:t>128,940</w:t>
            </w:r>
          </w:p>
        </w:tc>
        <w:tc>
          <w:tcPr>
            <w:tcW w:w="1623" w:type="pct"/>
            <w:tcMar>
              <w:left w:w="108" w:type="dxa"/>
              <w:right w:w="108" w:type="dxa"/>
            </w:tcMar>
          </w:tcPr>
          <w:p w14:paraId="76EEE0B9" w14:textId="77777777" w:rsidR="004732DD" w:rsidRPr="00670818" w:rsidRDefault="004732DD" w:rsidP="003A6CD2">
            <w:pPr>
              <w:pStyle w:val="TableText"/>
            </w:pPr>
            <w:r>
              <w:t>Assessment of a permit application not completed within the initial assessment period for the application in ordinary hours</w:t>
            </w:r>
          </w:p>
        </w:tc>
        <w:tc>
          <w:tcPr>
            <w:tcW w:w="757" w:type="pct"/>
            <w:tcMar>
              <w:left w:w="108" w:type="dxa"/>
              <w:right w:w="108" w:type="dxa"/>
            </w:tcMar>
          </w:tcPr>
          <w:p w14:paraId="453000D5" w14:textId="26CE4382" w:rsidR="004732DD" w:rsidRPr="00670818" w:rsidRDefault="004732DD" w:rsidP="003A6CD2">
            <w:pPr>
              <w:pStyle w:val="TableText"/>
            </w:pPr>
            <w:r>
              <w:t>Per 15 minutes</w:t>
            </w:r>
          </w:p>
        </w:tc>
        <w:tc>
          <w:tcPr>
            <w:tcW w:w="352" w:type="pct"/>
            <w:tcMar>
              <w:left w:w="108" w:type="dxa"/>
              <w:right w:w="108" w:type="dxa"/>
            </w:tcMar>
          </w:tcPr>
          <w:p w14:paraId="5D9CCD4F" w14:textId="7C3AEC7E" w:rsidR="004732DD" w:rsidRDefault="004732DD" w:rsidP="003A6CD2">
            <w:pPr>
              <w:pStyle w:val="TableText"/>
              <w:jc w:val="right"/>
            </w:pPr>
            <w:r>
              <w:t>42</w:t>
            </w:r>
          </w:p>
        </w:tc>
        <w:tc>
          <w:tcPr>
            <w:tcW w:w="493" w:type="pct"/>
            <w:tcMar>
              <w:left w:w="108" w:type="dxa"/>
              <w:right w:w="108" w:type="dxa"/>
            </w:tcMar>
          </w:tcPr>
          <w:p w14:paraId="637D390C" w14:textId="69244078" w:rsidR="004732DD" w:rsidRDefault="004732DD" w:rsidP="003A6CD2">
            <w:pPr>
              <w:pStyle w:val="TableText"/>
              <w:jc w:val="right"/>
            </w:pPr>
            <w:r>
              <w:t>3,070</w:t>
            </w:r>
          </w:p>
        </w:tc>
        <w:tc>
          <w:tcPr>
            <w:tcW w:w="516" w:type="pct"/>
            <w:tcMar>
              <w:left w:w="108" w:type="dxa"/>
              <w:right w:w="108" w:type="dxa"/>
            </w:tcMar>
          </w:tcPr>
          <w:p w14:paraId="56026A08" w14:textId="2C1A60FD" w:rsidR="004732DD" w:rsidRDefault="004732DD" w:rsidP="003A6CD2">
            <w:pPr>
              <w:pStyle w:val="TableText"/>
              <w:jc w:val="right"/>
            </w:pPr>
            <w:r>
              <w:t>128,940</w:t>
            </w:r>
          </w:p>
        </w:tc>
      </w:tr>
      <w:tr w:rsidR="004732DD" w:rsidRPr="00C32CCF" w14:paraId="0C728BD0" w14:textId="77777777" w:rsidTr="00511E60">
        <w:tc>
          <w:tcPr>
            <w:tcW w:w="808" w:type="pct"/>
            <w:vMerge/>
            <w:tcMar>
              <w:left w:w="108" w:type="dxa"/>
              <w:right w:w="108" w:type="dxa"/>
            </w:tcMar>
          </w:tcPr>
          <w:p w14:paraId="520F760A" w14:textId="77777777" w:rsidR="004732DD" w:rsidRPr="009213D8" w:rsidRDefault="004732DD" w:rsidP="003A6CD2">
            <w:pPr>
              <w:pStyle w:val="TableText"/>
            </w:pPr>
          </w:p>
        </w:tc>
        <w:tc>
          <w:tcPr>
            <w:tcW w:w="451" w:type="pct"/>
            <w:tcMar>
              <w:left w:w="108" w:type="dxa"/>
              <w:right w:w="108" w:type="dxa"/>
            </w:tcMar>
          </w:tcPr>
          <w:p w14:paraId="363036A6" w14:textId="3B70F3E0" w:rsidR="004732DD" w:rsidRPr="00847396" w:rsidRDefault="004732DD" w:rsidP="003A6CD2">
            <w:pPr>
              <w:pStyle w:val="TableText"/>
              <w:jc w:val="right"/>
              <w:rPr>
                <w:rFonts w:cstheme="minorHAnsi"/>
              </w:rPr>
            </w:pPr>
            <w:r w:rsidRPr="007D1B7C">
              <w:rPr>
                <w:rFonts w:cstheme="minorHAnsi"/>
              </w:rPr>
              <w:t>50,644,020</w:t>
            </w:r>
          </w:p>
        </w:tc>
        <w:tc>
          <w:tcPr>
            <w:tcW w:w="1623" w:type="pct"/>
            <w:tcMar>
              <w:left w:w="108" w:type="dxa"/>
              <w:right w:w="108" w:type="dxa"/>
            </w:tcMar>
          </w:tcPr>
          <w:p w14:paraId="72AD500C" w14:textId="77777777" w:rsidR="004732DD" w:rsidRPr="009213D8" w:rsidRDefault="004732DD" w:rsidP="003A6CD2">
            <w:pPr>
              <w:pStyle w:val="TableText"/>
            </w:pPr>
            <w:r w:rsidRPr="009213D8">
              <w:t>Out-of-office fee during ordinary hours of duty</w:t>
            </w:r>
          </w:p>
        </w:tc>
        <w:tc>
          <w:tcPr>
            <w:tcW w:w="757" w:type="pct"/>
            <w:tcMar>
              <w:left w:w="108" w:type="dxa"/>
              <w:right w:w="108" w:type="dxa"/>
            </w:tcMar>
          </w:tcPr>
          <w:p w14:paraId="7DE4E314" w14:textId="77777777" w:rsidR="004732DD" w:rsidRPr="009213D8" w:rsidRDefault="004732DD" w:rsidP="003A6CD2">
            <w:pPr>
              <w:pStyle w:val="TableText"/>
            </w:pPr>
            <w:r w:rsidRPr="009213D8">
              <w:t>Per 15 minutes</w:t>
            </w:r>
          </w:p>
        </w:tc>
        <w:tc>
          <w:tcPr>
            <w:tcW w:w="352" w:type="pct"/>
            <w:tcMar>
              <w:left w:w="108" w:type="dxa"/>
              <w:right w:w="108" w:type="dxa"/>
            </w:tcMar>
          </w:tcPr>
          <w:p w14:paraId="50E866E2" w14:textId="16420976" w:rsidR="004732DD" w:rsidRPr="008A370F" w:rsidRDefault="004732DD" w:rsidP="003A6CD2">
            <w:pPr>
              <w:pStyle w:val="TableText"/>
              <w:jc w:val="right"/>
            </w:pPr>
            <w:r>
              <w:rPr>
                <w:rFonts w:ascii="Calibri" w:hAnsi="Calibri"/>
                <w:color w:val="000000"/>
                <w:szCs w:val="18"/>
              </w:rPr>
              <w:t>70</w:t>
            </w:r>
          </w:p>
        </w:tc>
        <w:tc>
          <w:tcPr>
            <w:tcW w:w="493" w:type="pct"/>
            <w:tcMar>
              <w:left w:w="108" w:type="dxa"/>
              <w:right w:w="108" w:type="dxa"/>
            </w:tcMar>
          </w:tcPr>
          <w:p w14:paraId="7EBFC63D" w14:textId="3C9C741F" w:rsidR="004732DD" w:rsidRPr="00C32CCF" w:rsidRDefault="004732DD" w:rsidP="003A6CD2">
            <w:pPr>
              <w:pStyle w:val="TableText"/>
              <w:jc w:val="right"/>
              <w:rPr>
                <w:rFonts w:ascii="Calibri" w:hAnsi="Calibri"/>
                <w:color w:val="000000"/>
                <w:szCs w:val="18"/>
              </w:rPr>
            </w:pPr>
            <w:r>
              <w:rPr>
                <w:rFonts w:ascii="Calibri" w:hAnsi="Calibri"/>
                <w:color w:val="000000"/>
                <w:szCs w:val="18"/>
              </w:rPr>
              <w:t>723,486</w:t>
            </w:r>
          </w:p>
        </w:tc>
        <w:tc>
          <w:tcPr>
            <w:tcW w:w="516" w:type="pct"/>
            <w:tcMar>
              <w:left w:w="108" w:type="dxa"/>
              <w:right w:w="108" w:type="dxa"/>
            </w:tcMar>
          </w:tcPr>
          <w:p w14:paraId="1E24FFB5" w14:textId="3802E929" w:rsidR="004732DD" w:rsidRPr="00C32CCF" w:rsidRDefault="004732DD" w:rsidP="003A6CD2">
            <w:pPr>
              <w:pStyle w:val="TableText"/>
              <w:jc w:val="right"/>
              <w:rPr>
                <w:highlight w:val="yellow"/>
              </w:rPr>
            </w:pPr>
            <w:r>
              <w:rPr>
                <w:rFonts w:ascii="Calibri" w:hAnsi="Calibri"/>
                <w:color w:val="000000"/>
                <w:szCs w:val="18"/>
              </w:rPr>
              <w:t>50,644,020</w:t>
            </w:r>
          </w:p>
        </w:tc>
      </w:tr>
      <w:tr w:rsidR="004732DD" w:rsidRPr="00C32CCF" w14:paraId="011ABD83" w14:textId="77777777" w:rsidTr="00511E60">
        <w:tc>
          <w:tcPr>
            <w:tcW w:w="808" w:type="pct"/>
            <w:vMerge/>
            <w:tcMar>
              <w:left w:w="108" w:type="dxa"/>
              <w:right w:w="108" w:type="dxa"/>
            </w:tcMar>
          </w:tcPr>
          <w:p w14:paraId="216A61DD" w14:textId="77777777" w:rsidR="004732DD" w:rsidRPr="009213D8" w:rsidRDefault="004732DD" w:rsidP="003A6CD2">
            <w:pPr>
              <w:pStyle w:val="TableText"/>
            </w:pPr>
          </w:p>
        </w:tc>
        <w:tc>
          <w:tcPr>
            <w:tcW w:w="451" w:type="pct"/>
            <w:tcMar>
              <w:left w:w="108" w:type="dxa"/>
              <w:right w:w="108" w:type="dxa"/>
            </w:tcMar>
          </w:tcPr>
          <w:p w14:paraId="093910B6" w14:textId="75EA4734" w:rsidR="004732DD" w:rsidRPr="00A10BE3" w:rsidRDefault="004732DD" w:rsidP="003A6CD2">
            <w:pPr>
              <w:pStyle w:val="TableText"/>
              <w:jc w:val="right"/>
              <w:rPr>
                <w:rFonts w:cstheme="minorHAnsi"/>
              </w:rPr>
            </w:pPr>
            <w:r>
              <w:rPr>
                <w:rFonts w:cstheme="minorHAnsi"/>
              </w:rPr>
              <w:t>698,467</w:t>
            </w:r>
          </w:p>
        </w:tc>
        <w:tc>
          <w:tcPr>
            <w:tcW w:w="1623" w:type="pct"/>
            <w:tcMar>
              <w:left w:w="108" w:type="dxa"/>
              <w:right w:w="108" w:type="dxa"/>
            </w:tcMar>
          </w:tcPr>
          <w:p w14:paraId="6D42DD26" w14:textId="77777777" w:rsidR="004732DD" w:rsidRPr="009213D8" w:rsidRDefault="004732DD" w:rsidP="003A6CD2">
            <w:pPr>
              <w:pStyle w:val="TableText"/>
            </w:pPr>
            <w:r w:rsidRPr="009213D8">
              <w:t xml:space="preserve">Out-of-office fee during ordinary hours of duty </w:t>
            </w:r>
          </w:p>
        </w:tc>
        <w:tc>
          <w:tcPr>
            <w:tcW w:w="757" w:type="pct"/>
            <w:tcMar>
              <w:left w:w="108" w:type="dxa"/>
              <w:right w:w="108" w:type="dxa"/>
            </w:tcMar>
          </w:tcPr>
          <w:p w14:paraId="392ADC23" w14:textId="77777777" w:rsidR="004732DD" w:rsidRPr="009213D8" w:rsidRDefault="004732DD" w:rsidP="003A6CD2">
            <w:pPr>
              <w:pStyle w:val="TableText"/>
            </w:pPr>
            <w:r w:rsidRPr="009213D8">
              <w:t>Daily</w:t>
            </w:r>
          </w:p>
        </w:tc>
        <w:tc>
          <w:tcPr>
            <w:tcW w:w="352" w:type="pct"/>
            <w:tcMar>
              <w:left w:w="108" w:type="dxa"/>
              <w:right w:w="108" w:type="dxa"/>
            </w:tcMar>
          </w:tcPr>
          <w:p w14:paraId="3C4C02C2" w14:textId="519C5915" w:rsidR="004732DD" w:rsidRPr="008A370F" w:rsidRDefault="004732DD" w:rsidP="003A6CD2">
            <w:pPr>
              <w:pStyle w:val="TableText"/>
              <w:jc w:val="right"/>
            </w:pPr>
            <w:r>
              <w:rPr>
                <w:rFonts w:ascii="Calibri" w:hAnsi="Calibri"/>
                <w:color w:val="000000"/>
                <w:szCs w:val="18"/>
              </w:rPr>
              <w:t>1,351</w:t>
            </w:r>
          </w:p>
        </w:tc>
        <w:tc>
          <w:tcPr>
            <w:tcW w:w="493" w:type="pct"/>
            <w:tcMar>
              <w:left w:w="108" w:type="dxa"/>
              <w:right w:w="108" w:type="dxa"/>
            </w:tcMar>
          </w:tcPr>
          <w:p w14:paraId="4B12905C" w14:textId="01EA0E85" w:rsidR="004732DD" w:rsidRPr="00C32CCF" w:rsidRDefault="004732DD" w:rsidP="003A6CD2">
            <w:pPr>
              <w:pStyle w:val="TableText"/>
              <w:jc w:val="right"/>
              <w:rPr>
                <w:rFonts w:ascii="Calibri" w:hAnsi="Calibri"/>
                <w:color w:val="000000"/>
                <w:szCs w:val="18"/>
              </w:rPr>
            </w:pPr>
            <w:r>
              <w:rPr>
                <w:rFonts w:ascii="Calibri" w:hAnsi="Calibri"/>
                <w:color w:val="000000"/>
                <w:szCs w:val="18"/>
              </w:rPr>
              <w:t>517</w:t>
            </w:r>
          </w:p>
        </w:tc>
        <w:tc>
          <w:tcPr>
            <w:tcW w:w="516" w:type="pct"/>
            <w:tcMar>
              <w:left w:w="108" w:type="dxa"/>
              <w:right w:w="108" w:type="dxa"/>
            </w:tcMar>
          </w:tcPr>
          <w:p w14:paraId="223908FE" w14:textId="4A36A04E" w:rsidR="004732DD" w:rsidRPr="00C32CCF" w:rsidRDefault="004732DD" w:rsidP="003A6CD2">
            <w:pPr>
              <w:pStyle w:val="TableText"/>
              <w:jc w:val="right"/>
              <w:rPr>
                <w:highlight w:val="yellow"/>
              </w:rPr>
            </w:pPr>
            <w:r>
              <w:rPr>
                <w:rFonts w:ascii="Calibri" w:hAnsi="Calibri"/>
                <w:color w:val="000000"/>
                <w:szCs w:val="18"/>
              </w:rPr>
              <w:t>698,467</w:t>
            </w:r>
          </w:p>
        </w:tc>
      </w:tr>
      <w:tr w:rsidR="004732DD" w:rsidRPr="00C32CCF" w14:paraId="31FFC5DA" w14:textId="77777777" w:rsidTr="00511E60">
        <w:tc>
          <w:tcPr>
            <w:tcW w:w="808" w:type="pct"/>
            <w:vMerge/>
            <w:tcMar>
              <w:left w:w="108" w:type="dxa"/>
              <w:right w:w="108" w:type="dxa"/>
            </w:tcMar>
          </w:tcPr>
          <w:p w14:paraId="79E4F7C5" w14:textId="77777777" w:rsidR="004732DD" w:rsidRPr="009213D8" w:rsidRDefault="004732DD" w:rsidP="003A6CD2">
            <w:pPr>
              <w:pStyle w:val="TableText"/>
            </w:pPr>
          </w:p>
        </w:tc>
        <w:tc>
          <w:tcPr>
            <w:tcW w:w="451" w:type="pct"/>
            <w:tcMar>
              <w:left w:w="108" w:type="dxa"/>
              <w:right w:w="108" w:type="dxa"/>
            </w:tcMar>
          </w:tcPr>
          <w:p w14:paraId="60022EB6" w14:textId="463DB4DE" w:rsidR="004732DD" w:rsidRPr="00A10BE3" w:rsidRDefault="004732DD" w:rsidP="003A6CD2">
            <w:pPr>
              <w:pStyle w:val="TableText"/>
              <w:jc w:val="right"/>
              <w:rPr>
                <w:rFonts w:cstheme="minorHAnsi"/>
              </w:rPr>
            </w:pPr>
            <w:r>
              <w:rPr>
                <w:rFonts w:cstheme="minorHAnsi"/>
              </w:rPr>
              <w:t>4,752</w:t>
            </w:r>
          </w:p>
        </w:tc>
        <w:tc>
          <w:tcPr>
            <w:tcW w:w="1623" w:type="pct"/>
            <w:tcMar>
              <w:left w:w="108" w:type="dxa"/>
              <w:right w:w="108" w:type="dxa"/>
            </w:tcMar>
          </w:tcPr>
          <w:p w14:paraId="4EC6E1F2" w14:textId="77777777" w:rsidR="004732DD" w:rsidRPr="005A660F" w:rsidRDefault="004732DD" w:rsidP="003A6CD2">
            <w:pPr>
              <w:pStyle w:val="TableText"/>
            </w:pPr>
            <w:r w:rsidRPr="005A660F">
              <w:t>Out-of-office fee outside ordinary hours – weekday for continuous activity provided immediately before or after ordinary hours only</w:t>
            </w:r>
          </w:p>
        </w:tc>
        <w:tc>
          <w:tcPr>
            <w:tcW w:w="757" w:type="pct"/>
            <w:tcMar>
              <w:left w:w="108" w:type="dxa"/>
              <w:right w:w="108" w:type="dxa"/>
            </w:tcMar>
          </w:tcPr>
          <w:p w14:paraId="3ED6D4FC" w14:textId="77777777" w:rsidR="004732DD" w:rsidRPr="009213D8" w:rsidRDefault="004732DD" w:rsidP="003A6CD2">
            <w:pPr>
              <w:pStyle w:val="TableText"/>
              <w:rPr>
                <w:b/>
                <w:bCs/>
              </w:rPr>
            </w:pPr>
            <w:r w:rsidRPr="009213D8">
              <w:t>Per 15 minutes</w:t>
            </w:r>
          </w:p>
        </w:tc>
        <w:tc>
          <w:tcPr>
            <w:tcW w:w="352" w:type="pct"/>
            <w:tcMar>
              <w:left w:w="108" w:type="dxa"/>
              <w:right w:w="108" w:type="dxa"/>
            </w:tcMar>
          </w:tcPr>
          <w:p w14:paraId="52B599BE" w14:textId="15214A13" w:rsidR="004732DD" w:rsidRPr="008A370F" w:rsidRDefault="004732DD" w:rsidP="003A6CD2">
            <w:pPr>
              <w:pStyle w:val="TableText"/>
              <w:jc w:val="right"/>
            </w:pPr>
            <w:r>
              <w:rPr>
                <w:rFonts w:ascii="Calibri" w:hAnsi="Calibri"/>
                <w:color w:val="000000"/>
                <w:szCs w:val="18"/>
              </w:rPr>
              <w:t>88</w:t>
            </w:r>
          </w:p>
        </w:tc>
        <w:tc>
          <w:tcPr>
            <w:tcW w:w="493" w:type="pct"/>
            <w:tcMar>
              <w:left w:w="108" w:type="dxa"/>
              <w:right w:w="108" w:type="dxa"/>
            </w:tcMar>
          </w:tcPr>
          <w:p w14:paraId="1BD7F1D5" w14:textId="25CD0F50" w:rsidR="004732DD" w:rsidRPr="00C32CCF" w:rsidRDefault="004732DD" w:rsidP="003A6CD2">
            <w:pPr>
              <w:pStyle w:val="TableText"/>
              <w:jc w:val="right"/>
              <w:rPr>
                <w:rFonts w:ascii="Calibri" w:hAnsi="Calibri"/>
                <w:color w:val="000000"/>
                <w:szCs w:val="18"/>
              </w:rPr>
            </w:pPr>
            <w:r>
              <w:rPr>
                <w:rFonts w:ascii="Calibri" w:hAnsi="Calibri"/>
                <w:color w:val="000000"/>
                <w:szCs w:val="18"/>
              </w:rPr>
              <w:t>54</w:t>
            </w:r>
          </w:p>
        </w:tc>
        <w:tc>
          <w:tcPr>
            <w:tcW w:w="516" w:type="pct"/>
            <w:tcMar>
              <w:left w:w="108" w:type="dxa"/>
              <w:right w:w="108" w:type="dxa"/>
            </w:tcMar>
          </w:tcPr>
          <w:p w14:paraId="466529C2" w14:textId="1F26449F" w:rsidR="004732DD" w:rsidRPr="00C32CCF" w:rsidRDefault="004732DD" w:rsidP="003A6CD2">
            <w:pPr>
              <w:pStyle w:val="TableText"/>
              <w:jc w:val="right"/>
              <w:rPr>
                <w:highlight w:val="yellow"/>
              </w:rPr>
            </w:pPr>
            <w:r>
              <w:rPr>
                <w:rFonts w:ascii="Calibri" w:hAnsi="Calibri"/>
                <w:color w:val="000000"/>
                <w:szCs w:val="18"/>
              </w:rPr>
              <w:t>4,752</w:t>
            </w:r>
          </w:p>
        </w:tc>
      </w:tr>
      <w:tr w:rsidR="004732DD" w:rsidRPr="00C32CCF" w14:paraId="3D2D694C" w14:textId="77777777" w:rsidTr="00511E60">
        <w:tc>
          <w:tcPr>
            <w:tcW w:w="808" w:type="pct"/>
            <w:vMerge/>
            <w:tcMar>
              <w:left w:w="108" w:type="dxa"/>
              <w:right w:w="108" w:type="dxa"/>
            </w:tcMar>
          </w:tcPr>
          <w:p w14:paraId="3C5615E3" w14:textId="77777777" w:rsidR="004732DD" w:rsidRPr="009213D8" w:rsidRDefault="004732DD" w:rsidP="003A6CD2">
            <w:pPr>
              <w:pStyle w:val="TableText"/>
            </w:pPr>
          </w:p>
        </w:tc>
        <w:tc>
          <w:tcPr>
            <w:tcW w:w="451" w:type="pct"/>
            <w:tcMar>
              <w:left w:w="108" w:type="dxa"/>
              <w:right w:w="108" w:type="dxa"/>
            </w:tcMar>
          </w:tcPr>
          <w:p w14:paraId="4D926933" w14:textId="5D19A0D9" w:rsidR="004732DD" w:rsidRPr="00A10BE3" w:rsidRDefault="004732DD" w:rsidP="003A6CD2">
            <w:pPr>
              <w:pStyle w:val="TableText"/>
              <w:jc w:val="right"/>
              <w:rPr>
                <w:rFonts w:cstheme="minorHAnsi"/>
              </w:rPr>
            </w:pPr>
            <w:r>
              <w:rPr>
                <w:rFonts w:cstheme="minorHAnsi"/>
              </w:rPr>
              <w:t>359,216</w:t>
            </w:r>
          </w:p>
        </w:tc>
        <w:tc>
          <w:tcPr>
            <w:tcW w:w="1623" w:type="pct"/>
            <w:tcMar>
              <w:left w:w="108" w:type="dxa"/>
              <w:right w:w="108" w:type="dxa"/>
            </w:tcMar>
          </w:tcPr>
          <w:p w14:paraId="04DAAB2A" w14:textId="77777777" w:rsidR="004732DD" w:rsidRPr="005A660F" w:rsidRDefault="004732DD" w:rsidP="003A6CD2">
            <w:pPr>
              <w:pStyle w:val="TableText"/>
            </w:pPr>
            <w:r w:rsidRPr="005A660F">
              <w:t>Out-of-office fee outside ordinary hours – weekday for non-continuous activity provided before or after ordinary hours only</w:t>
            </w:r>
          </w:p>
        </w:tc>
        <w:tc>
          <w:tcPr>
            <w:tcW w:w="757" w:type="pct"/>
            <w:tcMar>
              <w:left w:w="108" w:type="dxa"/>
              <w:right w:w="108" w:type="dxa"/>
            </w:tcMar>
          </w:tcPr>
          <w:p w14:paraId="53E5115F" w14:textId="77777777" w:rsidR="004732DD" w:rsidRPr="009213D8" w:rsidRDefault="004732DD" w:rsidP="003A6CD2">
            <w:pPr>
              <w:pStyle w:val="TableText"/>
            </w:pPr>
            <w:r w:rsidRPr="009213D8">
              <w:t>Per 30 minutes</w:t>
            </w:r>
          </w:p>
        </w:tc>
        <w:tc>
          <w:tcPr>
            <w:tcW w:w="352" w:type="pct"/>
            <w:tcMar>
              <w:left w:w="108" w:type="dxa"/>
              <w:right w:w="108" w:type="dxa"/>
            </w:tcMar>
          </w:tcPr>
          <w:p w14:paraId="15D83C4F" w14:textId="552E05A4" w:rsidR="004732DD" w:rsidRPr="008A370F" w:rsidRDefault="004732DD" w:rsidP="003A6CD2">
            <w:pPr>
              <w:pStyle w:val="TableText"/>
              <w:jc w:val="right"/>
            </w:pPr>
            <w:r>
              <w:rPr>
                <w:rFonts w:ascii="Calibri" w:hAnsi="Calibri"/>
                <w:color w:val="000000"/>
                <w:szCs w:val="18"/>
              </w:rPr>
              <w:t>176</w:t>
            </w:r>
          </w:p>
        </w:tc>
        <w:tc>
          <w:tcPr>
            <w:tcW w:w="493" w:type="pct"/>
            <w:tcMar>
              <w:left w:w="108" w:type="dxa"/>
              <w:right w:w="108" w:type="dxa"/>
            </w:tcMar>
          </w:tcPr>
          <w:p w14:paraId="238E7187" w14:textId="73261A50" w:rsidR="004732DD" w:rsidRPr="00C32CCF" w:rsidRDefault="004732DD" w:rsidP="003A6CD2">
            <w:pPr>
              <w:pStyle w:val="TableText"/>
              <w:jc w:val="right"/>
              <w:rPr>
                <w:rFonts w:ascii="Calibri" w:hAnsi="Calibri"/>
                <w:color w:val="000000"/>
                <w:szCs w:val="18"/>
              </w:rPr>
            </w:pPr>
            <w:r>
              <w:rPr>
                <w:rFonts w:ascii="Calibri" w:hAnsi="Calibri"/>
                <w:color w:val="000000"/>
                <w:szCs w:val="18"/>
              </w:rPr>
              <w:t>2,041</w:t>
            </w:r>
          </w:p>
        </w:tc>
        <w:tc>
          <w:tcPr>
            <w:tcW w:w="516" w:type="pct"/>
            <w:tcMar>
              <w:left w:w="108" w:type="dxa"/>
              <w:right w:w="108" w:type="dxa"/>
            </w:tcMar>
          </w:tcPr>
          <w:p w14:paraId="2AA5FED1" w14:textId="4418AF43" w:rsidR="004732DD" w:rsidRPr="00C32CCF" w:rsidRDefault="004732DD" w:rsidP="003A6CD2">
            <w:pPr>
              <w:pStyle w:val="TableText"/>
              <w:jc w:val="right"/>
              <w:rPr>
                <w:highlight w:val="yellow"/>
              </w:rPr>
            </w:pPr>
            <w:r>
              <w:rPr>
                <w:rFonts w:ascii="Calibri" w:hAnsi="Calibri"/>
                <w:color w:val="000000"/>
                <w:szCs w:val="18"/>
              </w:rPr>
              <w:t>359,216</w:t>
            </w:r>
          </w:p>
        </w:tc>
      </w:tr>
      <w:tr w:rsidR="004732DD" w:rsidRPr="00C32CCF" w14:paraId="4E602FFB" w14:textId="77777777" w:rsidTr="00511E60">
        <w:tc>
          <w:tcPr>
            <w:tcW w:w="808" w:type="pct"/>
            <w:vMerge/>
            <w:tcMar>
              <w:left w:w="108" w:type="dxa"/>
              <w:right w:w="108" w:type="dxa"/>
            </w:tcMar>
          </w:tcPr>
          <w:p w14:paraId="122D6C7E" w14:textId="77777777" w:rsidR="004732DD" w:rsidRPr="009213D8" w:rsidRDefault="004732DD" w:rsidP="003A6CD2">
            <w:pPr>
              <w:pStyle w:val="TableText"/>
            </w:pPr>
          </w:p>
        </w:tc>
        <w:tc>
          <w:tcPr>
            <w:tcW w:w="451" w:type="pct"/>
            <w:tcMar>
              <w:left w:w="108" w:type="dxa"/>
              <w:right w:w="108" w:type="dxa"/>
            </w:tcMar>
          </w:tcPr>
          <w:p w14:paraId="73A7D61E" w14:textId="6F22189E" w:rsidR="004732DD" w:rsidRPr="00A10BE3" w:rsidRDefault="004732DD" w:rsidP="003A6CD2">
            <w:pPr>
              <w:pStyle w:val="TableText"/>
              <w:jc w:val="right"/>
              <w:rPr>
                <w:rFonts w:cstheme="minorHAnsi"/>
              </w:rPr>
            </w:pPr>
            <w:r>
              <w:rPr>
                <w:rFonts w:cstheme="minorHAnsi"/>
              </w:rPr>
              <w:t>91,512</w:t>
            </w:r>
          </w:p>
        </w:tc>
        <w:tc>
          <w:tcPr>
            <w:tcW w:w="1623" w:type="pct"/>
            <w:tcMar>
              <w:left w:w="108" w:type="dxa"/>
              <w:right w:w="108" w:type="dxa"/>
            </w:tcMar>
          </w:tcPr>
          <w:p w14:paraId="08CE2D85" w14:textId="77777777" w:rsidR="004732DD" w:rsidRPr="005A660F" w:rsidRDefault="004732DD" w:rsidP="003A6CD2">
            <w:pPr>
              <w:pStyle w:val="TableText"/>
            </w:pPr>
            <w:r w:rsidRPr="005A660F">
              <w:t>Out-of-office fee outside ordinary hours – weekend or departmental holiday</w:t>
            </w:r>
          </w:p>
        </w:tc>
        <w:tc>
          <w:tcPr>
            <w:tcW w:w="757" w:type="pct"/>
            <w:tcMar>
              <w:left w:w="108" w:type="dxa"/>
              <w:right w:w="108" w:type="dxa"/>
            </w:tcMar>
          </w:tcPr>
          <w:p w14:paraId="68B4FB17" w14:textId="77777777" w:rsidR="004732DD" w:rsidRPr="009213D8" w:rsidRDefault="004732DD" w:rsidP="003A6CD2">
            <w:pPr>
              <w:pStyle w:val="TableText"/>
            </w:pPr>
            <w:r w:rsidRPr="009213D8">
              <w:t>Per 30 minutes</w:t>
            </w:r>
          </w:p>
        </w:tc>
        <w:tc>
          <w:tcPr>
            <w:tcW w:w="352" w:type="pct"/>
            <w:tcMar>
              <w:left w:w="108" w:type="dxa"/>
              <w:right w:w="108" w:type="dxa"/>
            </w:tcMar>
          </w:tcPr>
          <w:p w14:paraId="02118EE8" w14:textId="3CBEAC6B" w:rsidR="004732DD" w:rsidRPr="008A370F" w:rsidRDefault="004732DD" w:rsidP="003A6CD2">
            <w:pPr>
              <w:pStyle w:val="TableText"/>
              <w:jc w:val="right"/>
            </w:pPr>
            <w:r w:rsidRPr="008A370F">
              <w:rPr>
                <w:rFonts w:ascii="Calibri" w:hAnsi="Calibri"/>
                <w:color w:val="000000"/>
                <w:szCs w:val="18"/>
              </w:rPr>
              <w:t>18</w:t>
            </w:r>
            <w:r>
              <w:rPr>
                <w:rFonts w:ascii="Calibri" w:hAnsi="Calibri"/>
                <w:color w:val="000000"/>
                <w:szCs w:val="18"/>
              </w:rPr>
              <w:t>6</w:t>
            </w:r>
          </w:p>
        </w:tc>
        <w:tc>
          <w:tcPr>
            <w:tcW w:w="493" w:type="pct"/>
            <w:tcMar>
              <w:left w:w="108" w:type="dxa"/>
              <w:right w:w="108" w:type="dxa"/>
            </w:tcMar>
          </w:tcPr>
          <w:p w14:paraId="76A3FCD2" w14:textId="0FD5EB89" w:rsidR="004732DD" w:rsidRPr="00C32CCF" w:rsidRDefault="004732DD" w:rsidP="003A6CD2">
            <w:pPr>
              <w:pStyle w:val="TableText"/>
              <w:jc w:val="right"/>
              <w:rPr>
                <w:rFonts w:ascii="Calibri" w:hAnsi="Calibri"/>
                <w:color w:val="000000"/>
                <w:szCs w:val="18"/>
              </w:rPr>
            </w:pPr>
            <w:r>
              <w:rPr>
                <w:rFonts w:ascii="Calibri" w:hAnsi="Calibri"/>
                <w:color w:val="000000"/>
                <w:szCs w:val="18"/>
              </w:rPr>
              <w:t>492</w:t>
            </w:r>
          </w:p>
        </w:tc>
        <w:tc>
          <w:tcPr>
            <w:tcW w:w="516" w:type="pct"/>
            <w:tcMar>
              <w:left w:w="108" w:type="dxa"/>
              <w:right w:w="108" w:type="dxa"/>
            </w:tcMar>
          </w:tcPr>
          <w:p w14:paraId="0C26FA62" w14:textId="4FF262F7" w:rsidR="004732DD" w:rsidRPr="00C32CCF" w:rsidRDefault="004732DD" w:rsidP="003A6CD2">
            <w:pPr>
              <w:pStyle w:val="TableText"/>
              <w:jc w:val="right"/>
              <w:rPr>
                <w:highlight w:val="yellow"/>
              </w:rPr>
            </w:pPr>
            <w:r>
              <w:rPr>
                <w:rFonts w:ascii="Calibri" w:hAnsi="Calibri"/>
                <w:color w:val="000000"/>
                <w:szCs w:val="18"/>
              </w:rPr>
              <w:t>91,512</w:t>
            </w:r>
          </w:p>
        </w:tc>
      </w:tr>
      <w:tr w:rsidR="004732DD" w:rsidRPr="00C32CCF" w14:paraId="4C9EDB9F" w14:textId="77777777" w:rsidTr="00511E60">
        <w:tc>
          <w:tcPr>
            <w:tcW w:w="808" w:type="pct"/>
            <w:vMerge/>
            <w:tcMar>
              <w:left w:w="108" w:type="dxa"/>
              <w:right w:w="108" w:type="dxa"/>
            </w:tcMar>
          </w:tcPr>
          <w:p w14:paraId="5B1D9ABB" w14:textId="77777777" w:rsidR="004732DD" w:rsidRPr="009213D8" w:rsidRDefault="004732DD" w:rsidP="003A6CD2">
            <w:pPr>
              <w:pStyle w:val="TableText"/>
            </w:pPr>
          </w:p>
        </w:tc>
        <w:tc>
          <w:tcPr>
            <w:tcW w:w="451" w:type="pct"/>
            <w:tcMar>
              <w:left w:w="108" w:type="dxa"/>
              <w:right w:w="108" w:type="dxa"/>
            </w:tcMar>
          </w:tcPr>
          <w:p w14:paraId="19C5DD04" w14:textId="7B360EDC" w:rsidR="004732DD" w:rsidRPr="00A10BE3" w:rsidRDefault="004732DD" w:rsidP="003A6CD2">
            <w:pPr>
              <w:pStyle w:val="TableText"/>
              <w:jc w:val="right"/>
              <w:rPr>
                <w:rFonts w:cstheme="minorHAnsi"/>
              </w:rPr>
            </w:pPr>
            <w:r>
              <w:rPr>
                <w:rFonts w:cstheme="minorHAnsi"/>
              </w:rPr>
              <w:t>12,462</w:t>
            </w:r>
          </w:p>
        </w:tc>
        <w:tc>
          <w:tcPr>
            <w:tcW w:w="1623" w:type="pct"/>
            <w:tcMar>
              <w:left w:w="108" w:type="dxa"/>
              <w:right w:w="108" w:type="dxa"/>
            </w:tcMar>
          </w:tcPr>
          <w:p w14:paraId="56BC9734" w14:textId="77777777" w:rsidR="004732DD" w:rsidRPr="005A660F" w:rsidRDefault="004732DD" w:rsidP="003A6CD2">
            <w:pPr>
              <w:pStyle w:val="TableText"/>
            </w:pPr>
            <w:r w:rsidRPr="005A660F">
              <w:t>Out-of-office fee outside ordinary hours – weekend or departmental holiday after the first 30 minutes</w:t>
            </w:r>
          </w:p>
        </w:tc>
        <w:tc>
          <w:tcPr>
            <w:tcW w:w="757" w:type="pct"/>
            <w:tcMar>
              <w:left w:w="108" w:type="dxa"/>
              <w:right w:w="108" w:type="dxa"/>
            </w:tcMar>
          </w:tcPr>
          <w:p w14:paraId="1C017AF0" w14:textId="77777777" w:rsidR="004732DD" w:rsidRPr="009213D8" w:rsidRDefault="004732DD" w:rsidP="003A6CD2">
            <w:pPr>
              <w:pStyle w:val="TableText"/>
            </w:pPr>
            <w:r w:rsidRPr="009213D8">
              <w:t>Per 15 minutes</w:t>
            </w:r>
          </w:p>
        </w:tc>
        <w:tc>
          <w:tcPr>
            <w:tcW w:w="352" w:type="pct"/>
            <w:tcMar>
              <w:left w:w="108" w:type="dxa"/>
              <w:right w:w="108" w:type="dxa"/>
            </w:tcMar>
          </w:tcPr>
          <w:p w14:paraId="7FD602E1" w14:textId="4D53EE64" w:rsidR="004732DD" w:rsidRPr="008A370F" w:rsidRDefault="004732DD" w:rsidP="003A6CD2">
            <w:pPr>
              <w:pStyle w:val="TableText"/>
              <w:jc w:val="right"/>
            </w:pPr>
            <w:r>
              <w:rPr>
                <w:rFonts w:ascii="Calibri" w:hAnsi="Calibri"/>
                <w:color w:val="000000"/>
                <w:szCs w:val="18"/>
              </w:rPr>
              <w:t>93</w:t>
            </w:r>
          </w:p>
        </w:tc>
        <w:tc>
          <w:tcPr>
            <w:tcW w:w="493" w:type="pct"/>
            <w:tcMar>
              <w:left w:w="108" w:type="dxa"/>
              <w:right w:w="108" w:type="dxa"/>
            </w:tcMar>
          </w:tcPr>
          <w:p w14:paraId="50396CB2" w14:textId="1CFF0C76" w:rsidR="004732DD" w:rsidRPr="00C32CCF" w:rsidRDefault="004732DD" w:rsidP="003A6CD2">
            <w:pPr>
              <w:pStyle w:val="TableText"/>
              <w:jc w:val="right"/>
              <w:rPr>
                <w:rFonts w:ascii="Calibri" w:hAnsi="Calibri"/>
                <w:color w:val="000000"/>
                <w:szCs w:val="18"/>
              </w:rPr>
            </w:pPr>
            <w:r>
              <w:rPr>
                <w:rFonts w:ascii="Calibri" w:hAnsi="Calibri"/>
                <w:color w:val="000000"/>
                <w:szCs w:val="18"/>
              </w:rPr>
              <w:t>134</w:t>
            </w:r>
          </w:p>
        </w:tc>
        <w:tc>
          <w:tcPr>
            <w:tcW w:w="516" w:type="pct"/>
            <w:tcMar>
              <w:left w:w="108" w:type="dxa"/>
              <w:right w:w="108" w:type="dxa"/>
            </w:tcMar>
          </w:tcPr>
          <w:p w14:paraId="460BC55A" w14:textId="56B9424E" w:rsidR="004732DD" w:rsidRPr="00C32CCF" w:rsidRDefault="004732DD" w:rsidP="003A6CD2">
            <w:pPr>
              <w:pStyle w:val="TableText"/>
              <w:jc w:val="right"/>
              <w:rPr>
                <w:highlight w:val="yellow"/>
              </w:rPr>
            </w:pPr>
            <w:r>
              <w:rPr>
                <w:rFonts w:ascii="Calibri" w:hAnsi="Calibri"/>
                <w:color w:val="000000"/>
                <w:szCs w:val="18"/>
              </w:rPr>
              <w:t>12,462</w:t>
            </w:r>
          </w:p>
        </w:tc>
      </w:tr>
      <w:tr w:rsidR="004732DD" w:rsidRPr="00C32CCF" w14:paraId="25443FBB" w14:textId="77777777" w:rsidTr="00511E60">
        <w:tc>
          <w:tcPr>
            <w:tcW w:w="808" w:type="pct"/>
            <w:vMerge/>
            <w:tcMar>
              <w:left w:w="108" w:type="dxa"/>
              <w:right w:w="108" w:type="dxa"/>
            </w:tcMar>
          </w:tcPr>
          <w:p w14:paraId="055C3902" w14:textId="77777777" w:rsidR="004732DD" w:rsidRPr="009213D8" w:rsidRDefault="004732DD" w:rsidP="003A6CD2">
            <w:pPr>
              <w:pStyle w:val="TableText"/>
            </w:pPr>
          </w:p>
        </w:tc>
        <w:tc>
          <w:tcPr>
            <w:tcW w:w="451" w:type="pct"/>
            <w:tcMar>
              <w:left w:w="108" w:type="dxa"/>
              <w:right w:w="108" w:type="dxa"/>
            </w:tcMar>
          </w:tcPr>
          <w:p w14:paraId="3E03B7D3" w14:textId="18CD182F" w:rsidR="004732DD" w:rsidRPr="00A10BE3" w:rsidRDefault="004732DD" w:rsidP="003A6CD2">
            <w:pPr>
              <w:pStyle w:val="TableText"/>
              <w:jc w:val="right"/>
              <w:rPr>
                <w:rFonts w:cstheme="minorHAnsi"/>
              </w:rPr>
            </w:pPr>
            <w:r>
              <w:rPr>
                <w:rFonts w:cstheme="minorHAnsi"/>
              </w:rPr>
              <w:t>114,952</w:t>
            </w:r>
          </w:p>
        </w:tc>
        <w:tc>
          <w:tcPr>
            <w:tcW w:w="1623" w:type="pct"/>
            <w:tcMar>
              <w:left w:w="108" w:type="dxa"/>
              <w:right w:w="108" w:type="dxa"/>
            </w:tcMar>
          </w:tcPr>
          <w:p w14:paraId="2FAFF90A" w14:textId="77777777" w:rsidR="004732DD" w:rsidRPr="005A660F" w:rsidRDefault="004732DD" w:rsidP="003A6CD2">
            <w:pPr>
              <w:pStyle w:val="TableText"/>
            </w:pPr>
            <w:r>
              <w:t>Provision of consumable materials used in performing a diagnostic activity</w:t>
            </w:r>
          </w:p>
        </w:tc>
        <w:tc>
          <w:tcPr>
            <w:tcW w:w="757" w:type="pct"/>
            <w:tcMar>
              <w:left w:w="108" w:type="dxa"/>
              <w:right w:w="108" w:type="dxa"/>
            </w:tcMar>
          </w:tcPr>
          <w:p w14:paraId="0CF1B0E1" w14:textId="77777777" w:rsidR="004732DD" w:rsidRPr="009213D8" w:rsidRDefault="004732DD" w:rsidP="003A6CD2">
            <w:pPr>
              <w:pStyle w:val="TableText"/>
            </w:pPr>
            <w:r>
              <w:t>A fee equivalent to the cost of the consumable materials</w:t>
            </w:r>
          </w:p>
        </w:tc>
        <w:tc>
          <w:tcPr>
            <w:tcW w:w="352" w:type="pct"/>
            <w:tcMar>
              <w:left w:w="108" w:type="dxa"/>
              <w:right w:w="108" w:type="dxa"/>
            </w:tcMar>
          </w:tcPr>
          <w:p w14:paraId="2F1B5CB7" w14:textId="77777777" w:rsidR="004732DD" w:rsidRPr="008A370F" w:rsidRDefault="004732DD" w:rsidP="003A6CD2">
            <w:pPr>
              <w:pStyle w:val="TableText"/>
              <w:jc w:val="right"/>
              <w:rPr>
                <w:rFonts w:ascii="Calibri" w:hAnsi="Calibri"/>
                <w:color w:val="000000"/>
                <w:szCs w:val="18"/>
              </w:rPr>
            </w:pPr>
            <w:r>
              <w:rPr>
                <w:rFonts w:ascii="Calibri" w:hAnsi="Calibri"/>
                <w:color w:val="000000"/>
                <w:szCs w:val="18"/>
              </w:rPr>
              <w:t>At cost</w:t>
            </w:r>
          </w:p>
        </w:tc>
        <w:tc>
          <w:tcPr>
            <w:tcW w:w="493" w:type="pct"/>
            <w:tcMar>
              <w:left w:w="108" w:type="dxa"/>
              <w:right w:w="108" w:type="dxa"/>
            </w:tcMar>
          </w:tcPr>
          <w:p w14:paraId="47C09C11" w14:textId="7B4D6C8D" w:rsidR="004732DD" w:rsidRDefault="004732DD" w:rsidP="003A6CD2">
            <w:pPr>
              <w:pStyle w:val="TableText"/>
              <w:jc w:val="right"/>
              <w:rPr>
                <w:rFonts w:ascii="Calibri" w:hAnsi="Calibri"/>
                <w:color w:val="000000"/>
                <w:szCs w:val="18"/>
              </w:rPr>
            </w:pPr>
            <w:r>
              <w:rPr>
                <w:rFonts w:ascii="Calibri" w:hAnsi="Calibri"/>
                <w:color w:val="000000"/>
                <w:szCs w:val="18"/>
              </w:rPr>
              <w:t>10,862</w:t>
            </w:r>
          </w:p>
        </w:tc>
        <w:tc>
          <w:tcPr>
            <w:tcW w:w="516" w:type="pct"/>
            <w:tcMar>
              <w:left w:w="108" w:type="dxa"/>
              <w:right w:w="108" w:type="dxa"/>
            </w:tcMar>
          </w:tcPr>
          <w:p w14:paraId="43300BDF" w14:textId="0EE5F880" w:rsidR="004732DD" w:rsidRDefault="004732DD" w:rsidP="003A6CD2">
            <w:pPr>
              <w:pStyle w:val="TableText"/>
              <w:jc w:val="right"/>
              <w:rPr>
                <w:rFonts w:ascii="Calibri" w:hAnsi="Calibri"/>
                <w:color w:val="000000"/>
                <w:szCs w:val="18"/>
              </w:rPr>
            </w:pPr>
            <w:r>
              <w:rPr>
                <w:rFonts w:ascii="Calibri" w:hAnsi="Calibri"/>
                <w:color w:val="000000"/>
                <w:szCs w:val="18"/>
              </w:rPr>
              <w:t>114,952</w:t>
            </w:r>
          </w:p>
        </w:tc>
      </w:tr>
      <w:tr w:rsidR="004732DD" w:rsidRPr="00C32CCF" w14:paraId="0FAE0BA9" w14:textId="77777777" w:rsidTr="00511E60">
        <w:tc>
          <w:tcPr>
            <w:tcW w:w="808" w:type="pct"/>
            <w:vMerge/>
            <w:tcMar>
              <w:left w:w="108" w:type="dxa"/>
              <w:right w:w="108" w:type="dxa"/>
            </w:tcMar>
          </w:tcPr>
          <w:p w14:paraId="73E70938" w14:textId="77777777" w:rsidR="004732DD" w:rsidRPr="009213D8" w:rsidRDefault="004732DD" w:rsidP="003A6CD2">
            <w:pPr>
              <w:pStyle w:val="TableText"/>
            </w:pPr>
          </w:p>
        </w:tc>
        <w:tc>
          <w:tcPr>
            <w:tcW w:w="451" w:type="pct"/>
            <w:tcMar>
              <w:left w:w="108" w:type="dxa"/>
              <w:right w:w="108" w:type="dxa"/>
            </w:tcMar>
          </w:tcPr>
          <w:p w14:paraId="0159AC53" w14:textId="04A036E4" w:rsidR="004732DD" w:rsidRPr="00847396" w:rsidRDefault="004732DD" w:rsidP="003A6CD2">
            <w:pPr>
              <w:pStyle w:val="TableText"/>
              <w:jc w:val="right"/>
              <w:rPr>
                <w:rFonts w:cstheme="minorHAnsi"/>
              </w:rPr>
            </w:pPr>
            <w:r w:rsidRPr="00DC450F">
              <w:rPr>
                <w:rFonts w:cstheme="minorHAnsi"/>
              </w:rPr>
              <w:t>–</w:t>
            </w:r>
          </w:p>
        </w:tc>
        <w:tc>
          <w:tcPr>
            <w:tcW w:w="1623" w:type="pct"/>
            <w:tcMar>
              <w:left w:w="108" w:type="dxa"/>
              <w:right w:w="108" w:type="dxa"/>
            </w:tcMar>
          </w:tcPr>
          <w:p w14:paraId="68348CBE" w14:textId="5D56BC95" w:rsidR="004732DD" w:rsidRDefault="004732DD" w:rsidP="003A6CD2">
            <w:pPr>
              <w:pStyle w:val="TableText"/>
            </w:pPr>
            <w:r w:rsidRPr="008F4830">
              <w:t>Temporary storage at premises owned or managed by the Commonwealth, of baggage brought into Australian territory</w:t>
            </w:r>
          </w:p>
        </w:tc>
        <w:tc>
          <w:tcPr>
            <w:tcW w:w="757" w:type="pct"/>
            <w:tcMar>
              <w:left w:w="108" w:type="dxa"/>
              <w:right w:w="108" w:type="dxa"/>
            </w:tcMar>
          </w:tcPr>
          <w:p w14:paraId="430855C0" w14:textId="7C94CFEF" w:rsidR="004732DD" w:rsidRDefault="004732DD" w:rsidP="003A6CD2">
            <w:pPr>
              <w:pStyle w:val="TableText"/>
            </w:pPr>
            <w:r w:rsidRPr="008F4830">
              <w:t>Per 30 days per item of baggage</w:t>
            </w:r>
          </w:p>
        </w:tc>
        <w:tc>
          <w:tcPr>
            <w:tcW w:w="352" w:type="pct"/>
            <w:tcMar>
              <w:left w:w="108" w:type="dxa"/>
              <w:right w:w="108" w:type="dxa"/>
            </w:tcMar>
          </w:tcPr>
          <w:p w14:paraId="31CE8E4D" w14:textId="319AD2B3" w:rsidR="004732DD" w:rsidRDefault="004732DD" w:rsidP="003A6CD2">
            <w:pPr>
              <w:pStyle w:val="TableText"/>
              <w:jc w:val="right"/>
              <w:rPr>
                <w:rFonts w:ascii="Calibri" w:hAnsi="Calibri"/>
                <w:color w:val="000000"/>
                <w:szCs w:val="18"/>
              </w:rPr>
            </w:pPr>
            <w:r>
              <w:rPr>
                <w:rFonts w:ascii="Calibri" w:hAnsi="Calibri"/>
                <w:color w:val="000000"/>
                <w:szCs w:val="18"/>
              </w:rPr>
              <w:t xml:space="preserve">50 </w:t>
            </w:r>
          </w:p>
        </w:tc>
        <w:tc>
          <w:tcPr>
            <w:tcW w:w="493" w:type="pct"/>
            <w:tcMar>
              <w:left w:w="108" w:type="dxa"/>
              <w:right w:w="108" w:type="dxa"/>
            </w:tcMar>
          </w:tcPr>
          <w:p w14:paraId="5C35FADC" w14:textId="55BC1D73" w:rsidR="004732DD" w:rsidRDefault="004732DD" w:rsidP="003A6CD2">
            <w:pPr>
              <w:pStyle w:val="TableText"/>
              <w:jc w:val="right"/>
              <w:rPr>
                <w:rFonts w:ascii="Calibri" w:hAnsi="Calibri"/>
                <w:color w:val="000000"/>
                <w:szCs w:val="18"/>
              </w:rPr>
            </w:pPr>
            <w:r w:rsidRPr="00D76D9F">
              <w:rPr>
                <w:rFonts w:cstheme="minorHAnsi"/>
              </w:rPr>
              <w:t>–</w:t>
            </w:r>
          </w:p>
        </w:tc>
        <w:tc>
          <w:tcPr>
            <w:tcW w:w="516" w:type="pct"/>
            <w:tcMar>
              <w:left w:w="108" w:type="dxa"/>
              <w:right w:w="108" w:type="dxa"/>
            </w:tcMar>
          </w:tcPr>
          <w:p w14:paraId="1DE5B06D" w14:textId="2CC2B22D" w:rsidR="004732DD" w:rsidRDefault="004732DD" w:rsidP="003A6CD2">
            <w:pPr>
              <w:pStyle w:val="TableText"/>
              <w:jc w:val="right"/>
              <w:rPr>
                <w:rFonts w:ascii="Calibri" w:hAnsi="Calibri"/>
                <w:color w:val="000000"/>
                <w:szCs w:val="18"/>
              </w:rPr>
            </w:pPr>
            <w:r w:rsidRPr="00D76D9F">
              <w:rPr>
                <w:rFonts w:cstheme="minorHAnsi"/>
              </w:rPr>
              <w:t>–</w:t>
            </w:r>
          </w:p>
        </w:tc>
      </w:tr>
      <w:tr w:rsidR="004C4ED2" w:rsidRPr="00C32CCF" w14:paraId="505AD796" w14:textId="77777777" w:rsidTr="00511E60">
        <w:tc>
          <w:tcPr>
            <w:tcW w:w="808" w:type="pct"/>
            <w:vMerge w:val="restart"/>
            <w:tcMar>
              <w:left w:w="108" w:type="dxa"/>
              <w:right w:w="108" w:type="dxa"/>
            </w:tcMar>
          </w:tcPr>
          <w:p w14:paraId="0FAE482E" w14:textId="6600C308" w:rsidR="003A6CD2" w:rsidRPr="009213D8" w:rsidRDefault="00A8387F" w:rsidP="003A6CD2">
            <w:pPr>
              <w:pStyle w:val="TableText"/>
            </w:pPr>
            <w:r w:rsidRPr="009213D8">
              <w:t xml:space="preserve">Fee for service </w:t>
            </w:r>
            <w:r>
              <w:t>–</w:t>
            </w:r>
            <w:r w:rsidRPr="009213D8">
              <w:t xml:space="preserve"> husbandry</w:t>
            </w:r>
          </w:p>
        </w:tc>
        <w:tc>
          <w:tcPr>
            <w:tcW w:w="451" w:type="pct"/>
            <w:tcMar>
              <w:left w:w="108" w:type="dxa"/>
              <w:right w:w="108" w:type="dxa"/>
            </w:tcMar>
          </w:tcPr>
          <w:p w14:paraId="2C13C549" w14:textId="77777777" w:rsidR="003A6CD2" w:rsidRPr="00625F72" w:rsidRDefault="003A6CD2" w:rsidP="003A6CD2">
            <w:pPr>
              <w:pStyle w:val="TableText"/>
              <w:jc w:val="right"/>
              <w:rPr>
                <w:rFonts w:cstheme="minorHAnsi"/>
              </w:rPr>
            </w:pPr>
            <w:r>
              <w:rPr>
                <w:rFonts w:cstheme="minorHAnsi"/>
              </w:rPr>
              <w:t>–</w:t>
            </w:r>
          </w:p>
        </w:tc>
        <w:tc>
          <w:tcPr>
            <w:tcW w:w="1623" w:type="pct"/>
            <w:tcMar>
              <w:left w:w="108" w:type="dxa"/>
              <w:right w:w="108" w:type="dxa"/>
            </w:tcMar>
          </w:tcPr>
          <w:p w14:paraId="0D843A52" w14:textId="77777777" w:rsidR="003A6CD2" w:rsidRPr="00625F72" w:rsidRDefault="003A6CD2" w:rsidP="003A6CD2">
            <w:pPr>
              <w:pStyle w:val="TableText"/>
            </w:pPr>
            <w:r w:rsidRPr="00625F72">
              <w:t>Husbandry fee – ruminants</w:t>
            </w:r>
          </w:p>
        </w:tc>
        <w:tc>
          <w:tcPr>
            <w:tcW w:w="757" w:type="pct"/>
            <w:tcMar>
              <w:left w:w="108" w:type="dxa"/>
              <w:right w:w="108" w:type="dxa"/>
            </w:tcMar>
          </w:tcPr>
          <w:p w14:paraId="24BE0321" w14:textId="77777777" w:rsidR="003A6CD2" w:rsidRPr="009213D8" w:rsidRDefault="003A6CD2" w:rsidP="003A6CD2">
            <w:pPr>
              <w:pStyle w:val="TableText"/>
            </w:pPr>
            <w:r w:rsidRPr="009213D8">
              <w:t>Per animal per day</w:t>
            </w:r>
          </w:p>
        </w:tc>
        <w:tc>
          <w:tcPr>
            <w:tcW w:w="352" w:type="pct"/>
            <w:tcMar>
              <w:left w:w="108" w:type="dxa"/>
              <w:right w:w="108" w:type="dxa"/>
            </w:tcMar>
          </w:tcPr>
          <w:p w14:paraId="288ACA54" w14:textId="3BC6C103" w:rsidR="003A6CD2" w:rsidRPr="008A370F" w:rsidRDefault="00A8387F" w:rsidP="003A6CD2">
            <w:pPr>
              <w:pStyle w:val="TableText"/>
              <w:jc w:val="right"/>
            </w:pPr>
            <w:r>
              <w:rPr>
                <w:rFonts w:ascii="Calibri" w:hAnsi="Calibri"/>
                <w:color w:val="000000"/>
                <w:szCs w:val="18"/>
              </w:rPr>
              <w:t>112</w:t>
            </w:r>
          </w:p>
        </w:tc>
        <w:tc>
          <w:tcPr>
            <w:tcW w:w="493" w:type="pct"/>
            <w:tcMar>
              <w:left w:w="108" w:type="dxa"/>
              <w:right w:w="108" w:type="dxa"/>
            </w:tcMar>
          </w:tcPr>
          <w:p w14:paraId="6F80BAF9" w14:textId="77777777" w:rsidR="003A6CD2" w:rsidRPr="00D76D9F" w:rsidRDefault="003A6CD2" w:rsidP="003A6CD2">
            <w:pPr>
              <w:pStyle w:val="TableText"/>
              <w:jc w:val="right"/>
              <w:rPr>
                <w:rFonts w:ascii="Calibri" w:hAnsi="Calibri"/>
                <w:color w:val="000000"/>
                <w:szCs w:val="18"/>
              </w:rPr>
            </w:pPr>
            <w:r w:rsidRPr="00D76D9F">
              <w:rPr>
                <w:rFonts w:cstheme="minorHAnsi"/>
              </w:rPr>
              <w:t>–</w:t>
            </w:r>
          </w:p>
        </w:tc>
        <w:tc>
          <w:tcPr>
            <w:tcW w:w="516" w:type="pct"/>
            <w:tcMar>
              <w:left w:w="108" w:type="dxa"/>
              <w:right w:w="108" w:type="dxa"/>
            </w:tcMar>
          </w:tcPr>
          <w:p w14:paraId="3891E715" w14:textId="77777777" w:rsidR="003A6CD2" w:rsidRPr="00D76D9F" w:rsidRDefault="003A6CD2" w:rsidP="003A6CD2">
            <w:pPr>
              <w:pStyle w:val="TableText"/>
              <w:jc w:val="right"/>
            </w:pPr>
            <w:r w:rsidRPr="00D76D9F">
              <w:rPr>
                <w:rFonts w:cstheme="minorHAnsi"/>
              </w:rPr>
              <w:t>–</w:t>
            </w:r>
          </w:p>
        </w:tc>
      </w:tr>
      <w:tr w:rsidR="004C4ED2" w:rsidRPr="00C32CCF" w14:paraId="3D5344D7" w14:textId="77777777" w:rsidTr="00511E60">
        <w:tc>
          <w:tcPr>
            <w:tcW w:w="808" w:type="pct"/>
            <w:vMerge/>
            <w:tcMar>
              <w:left w:w="108" w:type="dxa"/>
              <w:right w:w="108" w:type="dxa"/>
            </w:tcMar>
          </w:tcPr>
          <w:p w14:paraId="480D6FDB" w14:textId="77777777" w:rsidR="003A6CD2" w:rsidRPr="009213D8" w:rsidRDefault="003A6CD2" w:rsidP="003A6CD2">
            <w:pPr>
              <w:pStyle w:val="TableText"/>
            </w:pPr>
          </w:p>
        </w:tc>
        <w:tc>
          <w:tcPr>
            <w:tcW w:w="451" w:type="pct"/>
            <w:tcMar>
              <w:left w:w="108" w:type="dxa"/>
              <w:right w:w="108" w:type="dxa"/>
            </w:tcMar>
          </w:tcPr>
          <w:p w14:paraId="468900A5" w14:textId="0C4F3CCF" w:rsidR="003A6CD2" w:rsidRPr="00A10BE3" w:rsidRDefault="00A8387F" w:rsidP="003A6CD2">
            <w:pPr>
              <w:pStyle w:val="TableText"/>
              <w:jc w:val="right"/>
              <w:rPr>
                <w:rFonts w:cstheme="minorHAnsi"/>
              </w:rPr>
            </w:pPr>
            <w:r>
              <w:rPr>
                <w:rFonts w:cstheme="minorHAnsi"/>
              </w:rPr>
              <w:t>4,398,016</w:t>
            </w:r>
          </w:p>
        </w:tc>
        <w:tc>
          <w:tcPr>
            <w:tcW w:w="1623" w:type="pct"/>
            <w:tcMar>
              <w:left w:w="108" w:type="dxa"/>
              <w:right w:w="108" w:type="dxa"/>
            </w:tcMar>
          </w:tcPr>
          <w:p w14:paraId="10EA9CDA" w14:textId="3898D163" w:rsidR="003A6CD2" w:rsidRPr="009213D8" w:rsidRDefault="003A6CD2" w:rsidP="003A6CD2">
            <w:pPr>
              <w:pStyle w:val="TableText"/>
            </w:pPr>
            <w:r w:rsidRPr="009213D8">
              <w:t>Husbandry fee – cat</w:t>
            </w:r>
            <w:r>
              <w:t>s</w:t>
            </w:r>
            <w:r w:rsidRPr="009213D8">
              <w:t xml:space="preserve"> or dog</w:t>
            </w:r>
            <w:r>
              <w:t>s</w:t>
            </w:r>
            <w:r w:rsidRPr="009213D8">
              <w:t xml:space="preserve"> or animal</w:t>
            </w:r>
            <w:r>
              <w:t>s</w:t>
            </w:r>
            <w:r w:rsidRPr="009213D8">
              <w:t xml:space="preserve"> not covered by another item of this table</w:t>
            </w:r>
          </w:p>
        </w:tc>
        <w:tc>
          <w:tcPr>
            <w:tcW w:w="757" w:type="pct"/>
            <w:tcMar>
              <w:left w:w="108" w:type="dxa"/>
              <w:right w:w="108" w:type="dxa"/>
            </w:tcMar>
          </w:tcPr>
          <w:p w14:paraId="139001AF" w14:textId="77777777" w:rsidR="003A6CD2" w:rsidRPr="009213D8" w:rsidRDefault="003A6CD2" w:rsidP="003A6CD2">
            <w:pPr>
              <w:pStyle w:val="TableText"/>
            </w:pPr>
            <w:r w:rsidRPr="009213D8">
              <w:t>Per animal per day</w:t>
            </w:r>
          </w:p>
        </w:tc>
        <w:tc>
          <w:tcPr>
            <w:tcW w:w="352" w:type="pct"/>
            <w:tcMar>
              <w:left w:w="108" w:type="dxa"/>
              <w:right w:w="108" w:type="dxa"/>
            </w:tcMar>
          </w:tcPr>
          <w:p w14:paraId="169D49AE" w14:textId="2120BD52" w:rsidR="003A6CD2" w:rsidRPr="008A370F" w:rsidRDefault="00A8387F" w:rsidP="003A6CD2">
            <w:pPr>
              <w:pStyle w:val="TableText"/>
              <w:jc w:val="right"/>
            </w:pPr>
            <w:r>
              <w:rPr>
                <w:rFonts w:ascii="Calibri" w:hAnsi="Calibri"/>
                <w:color w:val="000000"/>
                <w:szCs w:val="18"/>
              </w:rPr>
              <w:t>56</w:t>
            </w:r>
          </w:p>
        </w:tc>
        <w:tc>
          <w:tcPr>
            <w:tcW w:w="493" w:type="pct"/>
            <w:tcMar>
              <w:left w:w="108" w:type="dxa"/>
              <w:right w:w="108" w:type="dxa"/>
            </w:tcMar>
          </w:tcPr>
          <w:p w14:paraId="2B20470B" w14:textId="6792BB37" w:rsidR="003A6CD2" w:rsidRPr="00C32CCF" w:rsidRDefault="00A8387F" w:rsidP="003A6CD2">
            <w:pPr>
              <w:pStyle w:val="TableText"/>
              <w:jc w:val="right"/>
              <w:rPr>
                <w:rFonts w:ascii="Calibri" w:hAnsi="Calibri"/>
                <w:color w:val="000000"/>
                <w:szCs w:val="18"/>
              </w:rPr>
            </w:pPr>
            <w:r>
              <w:rPr>
                <w:rFonts w:ascii="Calibri" w:hAnsi="Calibri"/>
                <w:color w:val="000000"/>
                <w:szCs w:val="18"/>
              </w:rPr>
              <w:t>78,536</w:t>
            </w:r>
          </w:p>
        </w:tc>
        <w:tc>
          <w:tcPr>
            <w:tcW w:w="516" w:type="pct"/>
            <w:tcMar>
              <w:left w:w="108" w:type="dxa"/>
              <w:right w:w="108" w:type="dxa"/>
            </w:tcMar>
          </w:tcPr>
          <w:p w14:paraId="105238A1" w14:textId="103B8682" w:rsidR="003A6CD2" w:rsidRPr="00C32CCF" w:rsidRDefault="00A8387F" w:rsidP="003A6CD2">
            <w:pPr>
              <w:pStyle w:val="TableText"/>
              <w:jc w:val="right"/>
              <w:rPr>
                <w:highlight w:val="yellow"/>
              </w:rPr>
            </w:pPr>
            <w:r>
              <w:rPr>
                <w:rFonts w:ascii="Calibri" w:hAnsi="Calibri"/>
                <w:color w:val="000000"/>
                <w:szCs w:val="18"/>
              </w:rPr>
              <w:t>4,398,016</w:t>
            </w:r>
          </w:p>
        </w:tc>
      </w:tr>
      <w:tr w:rsidR="00A8387F" w:rsidRPr="00C32CCF" w14:paraId="772DEA09" w14:textId="77777777" w:rsidTr="00511E60">
        <w:tc>
          <w:tcPr>
            <w:tcW w:w="808" w:type="pct"/>
            <w:vMerge/>
            <w:tcMar>
              <w:left w:w="108" w:type="dxa"/>
              <w:right w:w="108" w:type="dxa"/>
            </w:tcMar>
          </w:tcPr>
          <w:p w14:paraId="68644501" w14:textId="77777777" w:rsidR="00A8387F" w:rsidRPr="009213D8" w:rsidRDefault="00A8387F" w:rsidP="00A8387F">
            <w:pPr>
              <w:pStyle w:val="TableText"/>
            </w:pPr>
          </w:p>
        </w:tc>
        <w:tc>
          <w:tcPr>
            <w:tcW w:w="451" w:type="pct"/>
            <w:tcMar>
              <w:left w:w="108" w:type="dxa"/>
              <w:right w:w="108" w:type="dxa"/>
            </w:tcMar>
          </w:tcPr>
          <w:p w14:paraId="69B81ACA" w14:textId="77777777" w:rsidR="00A8387F" w:rsidRDefault="00A8387F" w:rsidP="00A8387F">
            <w:pPr>
              <w:pStyle w:val="TableText"/>
              <w:jc w:val="right"/>
              <w:rPr>
                <w:rFonts w:cstheme="minorHAnsi"/>
              </w:rPr>
            </w:pPr>
          </w:p>
        </w:tc>
        <w:tc>
          <w:tcPr>
            <w:tcW w:w="1623" w:type="pct"/>
            <w:tcMar>
              <w:left w:w="108" w:type="dxa"/>
              <w:right w:w="108" w:type="dxa"/>
            </w:tcMar>
          </w:tcPr>
          <w:p w14:paraId="56E8B902" w14:textId="663BAD79" w:rsidR="00A8387F" w:rsidRPr="009213D8" w:rsidRDefault="00A8387F" w:rsidP="00A8387F">
            <w:pPr>
              <w:pStyle w:val="TableText"/>
            </w:pPr>
            <w:r w:rsidRPr="009213D8">
              <w:t>Husbandry fee – bees</w:t>
            </w:r>
          </w:p>
        </w:tc>
        <w:tc>
          <w:tcPr>
            <w:tcW w:w="757" w:type="pct"/>
            <w:tcMar>
              <w:left w:w="108" w:type="dxa"/>
              <w:right w:w="108" w:type="dxa"/>
            </w:tcMar>
          </w:tcPr>
          <w:p w14:paraId="390E64B5" w14:textId="1A7AF53E" w:rsidR="00A8387F" w:rsidRPr="009213D8" w:rsidRDefault="00A8387F" w:rsidP="00A8387F">
            <w:pPr>
              <w:pStyle w:val="TableText"/>
            </w:pPr>
            <w:r w:rsidRPr="009213D8">
              <w:t xml:space="preserve">Per bee consignment </w:t>
            </w:r>
            <w:r>
              <w:t>per m</w:t>
            </w:r>
            <w:r w:rsidRPr="009213D8">
              <w:t>onth</w:t>
            </w:r>
            <w:r>
              <w:t xml:space="preserve"> (</w:t>
            </w:r>
            <w:r w:rsidRPr="009213D8">
              <w:t>or part thereof</w:t>
            </w:r>
            <w:r>
              <w:t>)</w:t>
            </w:r>
          </w:p>
        </w:tc>
        <w:tc>
          <w:tcPr>
            <w:tcW w:w="352" w:type="pct"/>
            <w:tcMar>
              <w:left w:w="108" w:type="dxa"/>
              <w:right w:w="108" w:type="dxa"/>
            </w:tcMar>
          </w:tcPr>
          <w:p w14:paraId="783A4B91" w14:textId="7A1F0FC8" w:rsidR="00A8387F" w:rsidRDefault="00A8387F" w:rsidP="00A8387F">
            <w:pPr>
              <w:pStyle w:val="TableText"/>
              <w:jc w:val="right"/>
              <w:rPr>
                <w:rFonts w:ascii="Calibri" w:hAnsi="Calibri"/>
                <w:color w:val="000000"/>
                <w:szCs w:val="18"/>
              </w:rPr>
            </w:pPr>
            <w:r>
              <w:t>519</w:t>
            </w:r>
          </w:p>
        </w:tc>
        <w:tc>
          <w:tcPr>
            <w:tcW w:w="493" w:type="pct"/>
            <w:tcMar>
              <w:left w:w="108" w:type="dxa"/>
              <w:right w:w="108" w:type="dxa"/>
            </w:tcMar>
          </w:tcPr>
          <w:p w14:paraId="6F71F561" w14:textId="14AD57B5" w:rsidR="00A8387F" w:rsidRDefault="00A8387F" w:rsidP="00A8387F">
            <w:pPr>
              <w:pStyle w:val="TableText"/>
              <w:jc w:val="right"/>
              <w:rPr>
                <w:rFonts w:ascii="Calibri" w:hAnsi="Calibri"/>
                <w:color w:val="000000"/>
                <w:szCs w:val="18"/>
              </w:rPr>
            </w:pPr>
            <w:r w:rsidRPr="0049188B">
              <w:rPr>
                <w:rFonts w:cstheme="minorHAnsi"/>
              </w:rPr>
              <w:t>–</w:t>
            </w:r>
          </w:p>
        </w:tc>
        <w:tc>
          <w:tcPr>
            <w:tcW w:w="516" w:type="pct"/>
            <w:tcMar>
              <w:left w:w="108" w:type="dxa"/>
              <w:right w:w="108" w:type="dxa"/>
            </w:tcMar>
          </w:tcPr>
          <w:p w14:paraId="01DF8640" w14:textId="590A6B88" w:rsidR="00A8387F" w:rsidRDefault="00A8387F" w:rsidP="00A8387F">
            <w:pPr>
              <w:pStyle w:val="TableText"/>
              <w:jc w:val="right"/>
              <w:rPr>
                <w:rFonts w:ascii="Calibri" w:hAnsi="Calibri"/>
                <w:color w:val="000000"/>
                <w:szCs w:val="18"/>
              </w:rPr>
            </w:pPr>
            <w:r w:rsidRPr="0049188B">
              <w:rPr>
                <w:rFonts w:cstheme="minorHAnsi"/>
              </w:rPr>
              <w:t>–</w:t>
            </w:r>
          </w:p>
        </w:tc>
      </w:tr>
      <w:tr w:rsidR="00A8387F" w:rsidRPr="00C32CCF" w14:paraId="459E39B1" w14:textId="77777777" w:rsidTr="00511E60">
        <w:tc>
          <w:tcPr>
            <w:tcW w:w="808" w:type="pct"/>
            <w:vMerge/>
            <w:tcMar>
              <w:left w:w="108" w:type="dxa"/>
              <w:right w:w="108" w:type="dxa"/>
            </w:tcMar>
          </w:tcPr>
          <w:p w14:paraId="20642F8A" w14:textId="77777777" w:rsidR="00A8387F" w:rsidRPr="009213D8" w:rsidRDefault="00A8387F" w:rsidP="00A8387F">
            <w:pPr>
              <w:pStyle w:val="TableText"/>
            </w:pPr>
          </w:p>
        </w:tc>
        <w:tc>
          <w:tcPr>
            <w:tcW w:w="451" w:type="pct"/>
            <w:tcMar>
              <w:left w:w="108" w:type="dxa"/>
              <w:right w:w="108" w:type="dxa"/>
            </w:tcMar>
          </w:tcPr>
          <w:p w14:paraId="3E807B81" w14:textId="77777777" w:rsidR="00A8387F" w:rsidRDefault="00A8387F" w:rsidP="00A8387F">
            <w:pPr>
              <w:pStyle w:val="TableText"/>
              <w:jc w:val="right"/>
              <w:rPr>
                <w:rFonts w:cstheme="minorHAnsi"/>
              </w:rPr>
            </w:pPr>
          </w:p>
        </w:tc>
        <w:tc>
          <w:tcPr>
            <w:tcW w:w="1623" w:type="pct"/>
            <w:tcMar>
              <w:left w:w="108" w:type="dxa"/>
              <w:right w:w="108" w:type="dxa"/>
            </w:tcMar>
          </w:tcPr>
          <w:p w14:paraId="620ECA72" w14:textId="0675B3BE" w:rsidR="00A8387F" w:rsidRPr="009213D8" w:rsidRDefault="00A8387F" w:rsidP="00A8387F">
            <w:pPr>
              <w:pStyle w:val="TableText"/>
            </w:pPr>
            <w:r>
              <w:t xml:space="preserve">Husbandry fee </w:t>
            </w:r>
            <w:r w:rsidRPr="009213D8">
              <w:t xml:space="preserve">– </w:t>
            </w:r>
            <w:r>
              <w:t>live snails</w:t>
            </w:r>
          </w:p>
        </w:tc>
        <w:tc>
          <w:tcPr>
            <w:tcW w:w="757" w:type="pct"/>
            <w:tcMar>
              <w:left w:w="108" w:type="dxa"/>
              <w:right w:w="108" w:type="dxa"/>
            </w:tcMar>
          </w:tcPr>
          <w:p w14:paraId="6C79554C" w14:textId="115AA9B5" w:rsidR="00A8387F" w:rsidRPr="009213D8" w:rsidRDefault="00A8387F" w:rsidP="00A8387F">
            <w:pPr>
              <w:pStyle w:val="TableText"/>
            </w:pPr>
            <w:r>
              <w:t>For each live snail consignment for each month (or part thereof)</w:t>
            </w:r>
          </w:p>
        </w:tc>
        <w:tc>
          <w:tcPr>
            <w:tcW w:w="352" w:type="pct"/>
            <w:tcMar>
              <w:left w:w="108" w:type="dxa"/>
              <w:right w:w="108" w:type="dxa"/>
            </w:tcMar>
          </w:tcPr>
          <w:p w14:paraId="05CA354E" w14:textId="6C7FD336" w:rsidR="00A8387F" w:rsidRDefault="00A8387F" w:rsidP="00A8387F">
            <w:pPr>
              <w:pStyle w:val="TableText"/>
              <w:jc w:val="right"/>
            </w:pPr>
            <w:r>
              <w:t>2,470</w:t>
            </w:r>
          </w:p>
        </w:tc>
        <w:tc>
          <w:tcPr>
            <w:tcW w:w="493" w:type="pct"/>
            <w:tcMar>
              <w:left w:w="108" w:type="dxa"/>
              <w:right w:w="108" w:type="dxa"/>
            </w:tcMar>
          </w:tcPr>
          <w:p w14:paraId="396BAC01" w14:textId="3F3EE109" w:rsidR="00A8387F" w:rsidRPr="0049188B" w:rsidRDefault="00A8387F" w:rsidP="00A8387F">
            <w:pPr>
              <w:pStyle w:val="TableText"/>
              <w:jc w:val="right"/>
              <w:rPr>
                <w:rFonts w:cstheme="minorHAnsi"/>
              </w:rPr>
            </w:pPr>
            <w:r w:rsidRPr="0049188B">
              <w:rPr>
                <w:rFonts w:cstheme="minorHAnsi"/>
              </w:rPr>
              <w:t>–</w:t>
            </w:r>
          </w:p>
        </w:tc>
        <w:tc>
          <w:tcPr>
            <w:tcW w:w="516" w:type="pct"/>
            <w:tcMar>
              <w:left w:w="108" w:type="dxa"/>
              <w:right w:w="108" w:type="dxa"/>
            </w:tcMar>
          </w:tcPr>
          <w:p w14:paraId="72B284D1" w14:textId="6A4BFCC5" w:rsidR="00A8387F" w:rsidRPr="0049188B" w:rsidRDefault="00A8387F" w:rsidP="00A8387F">
            <w:pPr>
              <w:pStyle w:val="TableText"/>
              <w:jc w:val="right"/>
              <w:rPr>
                <w:rFonts w:cstheme="minorHAnsi"/>
              </w:rPr>
            </w:pPr>
            <w:r w:rsidRPr="0049188B">
              <w:rPr>
                <w:rFonts w:cstheme="minorHAnsi"/>
              </w:rPr>
              <w:t>–</w:t>
            </w:r>
          </w:p>
        </w:tc>
      </w:tr>
      <w:tr w:rsidR="00A8387F" w:rsidRPr="004759DB" w14:paraId="76CAD7A4" w14:textId="77777777" w:rsidTr="00511E60">
        <w:tc>
          <w:tcPr>
            <w:tcW w:w="808" w:type="pct"/>
            <w:vMerge/>
            <w:tcMar>
              <w:left w:w="108" w:type="dxa"/>
              <w:right w:w="108" w:type="dxa"/>
            </w:tcMar>
          </w:tcPr>
          <w:p w14:paraId="3E84C977" w14:textId="77777777" w:rsidR="00A8387F" w:rsidRPr="009213D8" w:rsidRDefault="00A8387F" w:rsidP="00A8387F">
            <w:pPr>
              <w:pStyle w:val="TableText"/>
            </w:pPr>
          </w:p>
        </w:tc>
        <w:tc>
          <w:tcPr>
            <w:tcW w:w="451" w:type="pct"/>
            <w:tcMar>
              <w:left w:w="108" w:type="dxa"/>
              <w:right w:w="108" w:type="dxa"/>
            </w:tcMar>
          </w:tcPr>
          <w:p w14:paraId="0731C083" w14:textId="77777777" w:rsidR="00A8387F" w:rsidRPr="004759DB" w:rsidRDefault="00A8387F" w:rsidP="00A8387F">
            <w:pPr>
              <w:pStyle w:val="TableText"/>
              <w:jc w:val="right"/>
              <w:rPr>
                <w:rFonts w:cstheme="minorHAnsi"/>
              </w:rPr>
            </w:pPr>
            <w:r w:rsidRPr="005917B8">
              <w:rPr>
                <w:rFonts w:cstheme="minorHAnsi"/>
              </w:rPr>
              <w:t>–</w:t>
            </w:r>
          </w:p>
        </w:tc>
        <w:tc>
          <w:tcPr>
            <w:tcW w:w="1623" w:type="pct"/>
            <w:tcMar>
              <w:left w:w="108" w:type="dxa"/>
              <w:right w:w="108" w:type="dxa"/>
            </w:tcMar>
          </w:tcPr>
          <w:p w14:paraId="1AB312BF" w14:textId="7CA9EC2A" w:rsidR="00A8387F" w:rsidRPr="004759DB" w:rsidRDefault="00A8387F" w:rsidP="00A8387F">
            <w:pPr>
              <w:pStyle w:val="TableText"/>
            </w:pPr>
            <w:r w:rsidRPr="004759DB">
              <w:t>Husbandry fee – avian (</w:t>
            </w:r>
            <w:r w:rsidR="00EB6626">
              <w:t>live birds</w:t>
            </w:r>
            <w:r w:rsidRPr="004759DB">
              <w:t>)</w:t>
            </w:r>
          </w:p>
        </w:tc>
        <w:tc>
          <w:tcPr>
            <w:tcW w:w="757" w:type="pct"/>
            <w:tcMar>
              <w:left w:w="108" w:type="dxa"/>
              <w:right w:w="108" w:type="dxa"/>
            </w:tcMar>
          </w:tcPr>
          <w:p w14:paraId="62E2E2DB" w14:textId="187D453B" w:rsidR="00A8387F" w:rsidRPr="004759DB" w:rsidRDefault="00A8387F" w:rsidP="00A8387F">
            <w:pPr>
              <w:pStyle w:val="TableText"/>
            </w:pPr>
            <w:r w:rsidRPr="004759DB">
              <w:t xml:space="preserve">Per </w:t>
            </w:r>
            <w:r w:rsidR="001E5CC1">
              <w:t>biocontainment unit</w:t>
            </w:r>
            <w:r w:rsidRPr="004759DB">
              <w:t xml:space="preserve"> per day</w:t>
            </w:r>
          </w:p>
        </w:tc>
        <w:tc>
          <w:tcPr>
            <w:tcW w:w="352" w:type="pct"/>
            <w:tcMar>
              <w:left w:w="108" w:type="dxa"/>
              <w:right w:w="108" w:type="dxa"/>
            </w:tcMar>
          </w:tcPr>
          <w:p w14:paraId="3525D19D" w14:textId="358A5B65" w:rsidR="00A8387F" w:rsidRPr="008A370F" w:rsidRDefault="00A8387F" w:rsidP="00A8387F">
            <w:pPr>
              <w:pStyle w:val="TableText"/>
              <w:jc w:val="right"/>
            </w:pPr>
            <w:r w:rsidRPr="008A370F">
              <w:t>6</w:t>
            </w:r>
            <w:r w:rsidR="00EB6626">
              <w:t>2</w:t>
            </w:r>
          </w:p>
        </w:tc>
        <w:tc>
          <w:tcPr>
            <w:tcW w:w="493" w:type="pct"/>
            <w:tcMar>
              <w:left w:w="108" w:type="dxa"/>
              <w:right w:w="108" w:type="dxa"/>
            </w:tcMar>
          </w:tcPr>
          <w:p w14:paraId="06E736A6" w14:textId="77777777" w:rsidR="00A8387F" w:rsidRPr="004759DB" w:rsidRDefault="00A8387F" w:rsidP="00A8387F">
            <w:pPr>
              <w:pStyle w:val="TableText"/>
              <w:jc w:val="right"/>
              <w:rPr>
                <w:rFonts w:ascii="Calibri" w:hAnsi="Calibri"/>
                <w:color w:val="000000"/>
                <w:szCs w:val="18"/>
              </w:rPr>
            </w:pPr>
            <w:r w:rsidRPr="0049188B">
              <w:rPr>
                <w:rFonts w:cstheme="minorHAnsi"/>
              </w:rPr>
              <w:t>–</w:t>
            </w:r>
          </w:p>
        </w:tc>
        <w:tc>
          <w:tcPr>
            <w:tcW w:w="516" w:type="pct"/>
            <w:tcMar>
              <w:left w:w="108" w:type="dxa"/>
              <w:right w:w="108" w:type="dxa"/>
            </w:tcMar>
          </w:tcPr>
          <w:p w14:paraId="6F284423" w14:textId="77777777" w:rsidR="00A8387F" w:rsidRPr="004759DB" w:rsidRDefault="00A8387F" w:rsidP="00A8387F">
            <w:pPr>
              <w:pStyle w:val="TableText"/>
              <w:jc w:val="right"/>
            </w:pPr>
            <w:r w:rsidRPr="0049188B">
              <w:rPr>
                <w:rFonts w:cstheme="minorHAnsi"/>
              </w:rPr>
              <w:t>–</w:t>
            </w:r>
          </w:p>
        </w:tc>
      </w:tr>
      <w:tr w:rsidR="00A8387F" w:rsidRPr="00C32CCF" w14:paraId="3ABE5EC9" w14:textId="77777777" w:rsidTr="00511E60">
        <w:tc>
          <w:tcPr>
            <w:tcW w:w="808" w:type="pct"/>
            <w:vMerge/>
            <w:tcMar>
              <w:left w:w="108" w:type="dxa"/>
              <w:right w:w="108" w:type="dxa"/>
            </w:tcMar>
          </w:tcPr>
          <w:p w14:paraId="1A7DD4E9" w14:textId="77777777" w:rsidR="00A8387F" w:rsidRPr="009213D8" w:rsidRDefault="00A8387F" w:rsidP="00A8387F">
            <w:pPr>
              <w:pStyle w:val="TableText"/>
            </w:pPr>
          </w:p>
        </w:tc>
        <w:tc>
          <w:tcPr>
            <w:tcW w:w="451" w:type="pct"/>
            <w:tcMar>
              <w:left w:w="108" w:type="dxa"/>
              <w:right w:w="108" w:type="dxa"/>
            </w:tcMar>
          </w:tcPr>
          <w:p w14:paraId="685DA2B8" w14:textId="3E1E39C7" w:rsidR="00A8387F" w:rsidRPr="00230379" w:rsidRDefault="00EB6626" w:rsidP="00A8387F">
            <w:pPr>
              <w:pStyle w:val="TableText"/>
              <w:jc w:val="right"/>
              <w:rPr>
                <w:rFonts w:cstheme="minorHAnsi"/>
              </w:rPr>
            </w:pPr>
            <w:r>
              <w:rPr>
                <w:rFonts w:cstheme="minorHAnsi"/>
              </w:rPr>
              <w:t>22,428</w:t>
            </w:r>
          </w:p>
        </w:tc>
        <w:tc>
          <w:tcPr>
            <w:tcW w:w="1623" w:type="pct"/>
            <w:tcMar>
              <w:left w:w="108" w:type="dxa"/>
              <w:right w:w="108" w:type="dxa"/>
            </w:tcMar>
          </w:tcPr>
          <w:p w14:paraId="6B384FE6" w14:textId="65D4D7DE" w:rsidR="00A8387F" w:rsidRPr="009213D8" w:rsidRDefault="00A8387F" w:rsidP="00A8387F">
            <w:pPr>
              <w:pStyle w:val="TableText"/>
            </w:pPr>
            <w:r w:rsidRPr="009213D8">
              <w:t>Husbandry fee – avian (</w:t>
            </w:r>
            <w:r w:rsidR="00EB6626">
              <w:t>eggs for hatching</w:t>
            </w:r>
            <w:r w:rsidRPr="009213D8">
              <w:t>)</w:t>
            </w:r>
          </w:p>
        </w:tc>
        <w:tc>
          <w:tcPr>
            <w:tcW w:w="757" w:type="pct"/>
            <w:tcMar>
              <w:left w:w="108" w:type="dxa"/>
              <w:right w:w="108" w:type="dxa"/>
            </w:tcMar>
          </w:tcPr>
          <w:p w14:paraId="6A5E0956" w14:textId="2FC5D110" w:rsidR="00A8387F" w:rsidRPr="009213D8" w:rsidRDefault="001E5CC1" w:rsidP="00A8387F">
            <w:pPr>
              <w:pStyle w:val="TableText"/>
            </w:pPr>
            <w:r w:rsidRPr="004759DB">
              <w:t xml:space="preserve">Per </w:t>
            </w:r>
            <w:r>
              <w:t>biocontainment unit</w:t>
            </w:r>
            <w:r w:rsidRPr="004759DB">
              <w:t xml:space="preserve"> per day</w:t>
            </w:r>
          </w:p>
        </w:tc>
        <w:tc>
          <w:tcPr>
            <w:tcW w:w="352" w:type="pct"/>
            <w:tcMar>
              <w:left w:w="108" w:type="dxa"/>
              <w:right w:w="108" w:type="dxa"/>
            </w:tcMar>
          </w:tcPr>
          <w:p w14:paraId="34991FE7" w14:textId="3847FC06" w:rsidR="00A8387F" w:rsidRPr="008A370F" w:rsidRDefault="00EB6626" w:rsidP="00A8387F">
            <w:pPr>
              <w:pStyle w:val="TableText"/>
              <w:jc w:val="right"/>
              <w:rPr>
                <w:rFonts w:ascii="Calibri" w:hAnsi="Calibri"/>
                <w:color w:val="000000"/>
                <w:szCs w:val="18"/>
              </w:rPr>
            </w:pPr>
            <w:r>
              <w:t>84</w:t>
            </w:r>
          </w:p>
        </w:tc>
        <w:tc>
          <w:tcPr>
            <w:tcW w:w="493" w:type="pct"/>
            <w:tcMar>
              <w:left w:w="108" w:type="dxa"/>
              <w:right w:w="108" w:type="dxa"/>
            </w:tcMar>
          </w:tcPr>
          <w:p w14:paraId="7169BDD4" w14:textId="5E9585BE" w:rsidR="00A8387F" w:rsidRDefault="00EB6626" w:rsidP="00A8387F">
            <w:pPr>
              <w:pStyle w:val="TableText"/>
              <w:jc w:val="right"/>
              <w:rPr>
                <w:rFonts w:ascii="Calibri" w:hAnsi="Calibri"/>
                <w:color w:val="000000"/>
                <w:szCs w:val="18"/>
              </w:rPr>
            </w:pPr>
            <w:r>
              <w:rPr>
                <w:rFonts w:ascii="Calibri" w:hAnsi="Calibri"/>
                <w:color w:val="000000"/>
                <w:szCs w:val="18"/>
              </w:rPr>
              <w:t>267</w:t>
            </w:r>
          </w:p>
        </w:tc>
        <w:tc>
          <w:tcPr>
            <w:tcW w:w="516" w:type="pct"/>
            <w:tcMar>
              <w:left w:w="108" w:type="dxa"/>
              <w:right w:w="108" w:type="dxa"/>
            </w:tcMar>
          </w:tcPr>
          <w:p w14:paraId="00A450DA" w14:textId="347F074E" w:rsidR="00A8387F" w:rsidRDefault="00EB6626" w:rsidP="00A8387F">
            <w:pPr>
              <w:pStyle w:val="TableText"/>
              <w:jc w:val="right"/>
              <w:rPr>
                <w:rFonts w:ascii="Calibri" w:hAnsi="Calibri"/>
                <w:color w:val="000000"/>
                <w:szCs w:val="18"/>
              </w:rPr>
            </w:pPr>
            <w:r>
              <w:rPr>
                <w:rFonts w:ascii="Calibri" w:hAnsi="Calibri"/>
                <w:color w:val="000000"/>
                <w:szCs w:val="18"/>
              </w:rPr>
              <w:t>22,428</w:t>
            </w:r>
          </w:p>
        </w:tc>
      </w:tr>
      <w:tr w:rsidR="00A8387F" w:rsidRPr="00C32CCF" w14:paraId="3D742018" w14:textId="77777777" w:rsidTr="00511E60">
        <w:tc>
          <w:tcPr>
            <w:tcW w:w="808" w:type="pct"/>
            <w:vMerge/>
            <w:tcMar>
              <w:left w:w="108" w:type="dxa"/>
              <w:right w:w="108" w:type="dxa"/>
            </w:tcMar>
          </w:tcPr>
          <w:p w14:paraId="34472993" w14:textId="77777777" w:rsidR="00A8387F" w:rsidRPr="009213D8" w:rsidRDefault="00A8387F" w:rsidP="00A8387F">
            <w:pPr>
              <w:pStyle w:val="TableText"/>
            </w:pPr>
          </w:p>
        </w:tc>
        <w:tc>
          <w:tcPr>
            <w:tcW w:w="451" w:type="pct"/>
            <w:tcMar>
              <w:left w:w="108" w:type="dxa"/>
              <w:right w:w="108" w:type="dxa"/>
            </w:tcMar>
          </w:tcPr>
          <w:p w14:paraId="2912C891" w14:textId="6C01F47A" w:rsidR="00A8387F" w:rsidRPr="001825A7" w:rsidRDefault="00EB6626" w:rsidP="00A8387F">
            <w:pPr>
              <w:pStyle w:val="TableText"/>
              <w:jc w:val="right"/>
              <w:rPr>
                <w:rFonts w:cstheme="minorHAnsi"/>
                <w:highlight w:val="yellow"/>
              </w:rPr>
            </w:pPr>
            <w:r>
              <w:rPr>
                <w:rFonts w:cstheme="minorHAnsi"/>
              </w:rPr>
              <w:t>298,870</w:t>
            </w:r>
          </w:p>
        </w:tc>
        <w:tc>
          <w:tcPr>
            <w:tcW w:w="1623" w:type="pct"/>
            <w:tcMar>
              <w:left w:w="108" w:type="dxa"/>
              <w:right w:w="108" w:type="dxa"/>
            </w:tcMar>
          </w:tcPr>
          <w:p w14:paraId="50A5262F" w14:textId="77777777" w:rsidR="00A8387F" w:rsidRPr="009213D8" w:rsidRDefault="00A8387F" w:rsidP="00A8387F">
            <w:pPr>
              <w:pStyle w:val="TableText"/>
            </w:pPr>
            <w:r w:rsidRPr="009213D8">
              <w:t>Husbandry fee – plants</w:t>
            </w:r>
          </w:p>
        </w:tc>
        <w:tc>
          <w:tcPr>
            <w:tcW w:w="757" w:type="pct"/>
            <w:tcMar>
              <w:left w:w="108" w:type="dxa"/>
              <w:right w:w="108" w:type="dxa"/>
            </w:tcMar>
          </w:tcPr>
          <w:p w14:paraId="6AB6CC29" w14:textId="57715CE9" w:rsidR="00A8387F" w:rsidRPr="009213D8" w:rsidRDefault="00A8387F" w:rsidP="00A8387F">
            <w:pPr>
              <w:pStyle w:val="TableText"/>
            </w:pPr>
            <w:r w:rsidRPr="007C2F94">
              <w:t>Per m</w:t>
            </w:r>
            <w:r w:rsidRPr="007C2F94">
              <w:rPr>
                <w:vertAlign w:val="superscript"/>
              </w:rPr>
              <w:t>2</w:t>
            </w:r>
            <w:r w:rsidRPr="007C2F94">
              <w:t xml:space="preserve"> per month (or part thereof)</w:t>
            </w:r>
          </w:p>
        </w:tc>
        <w:tc>
          <w:tcPr>
            <w:tcW w:w="352" w:type="pct"/>
            <w:tcMar>
              <w:left w:w="108" w:type="dxa"/>
              <w:right w:w="108" w:type="dxa"/>
            </w:tcMar>
          </w:tcPr>
          <w:p w14:paraId="01C3411A" w14:textId="38C73093" w:rsidR="00A8387F" w:rsidRPr="008A370F" w:rsidRDefault="00EB6626" w:rsidP="00A8387F">
            <w:pPr>
              <w:pStyle w:val="TableText"/>
              <w:jc w:val="right"/>
            </w:pPr>
            <w:r>
              <w:rPr>
                <w:rFonts w:ascii="Calibri" w:hAnsi="Calibri"/>
                <w:color w:val="000000"/>
                <w:szCs w:val="18"/>
              </w:rPr>
              <w:t>65</w:t>
            </w:r>
          </w:p>
        </w:tc>
        <w:tc>
          <w:tcPr>
            <w:tcW w:w="493" w:type="pct"/>
            <w:tcMar>
              <w:left w:w="108" w:type="dxa"/>
              <w:right w:w="108" w:type="dxa"/>
            </w:tcMar>
          </w:tcPr>
          <w:p w14:paraId="3AA52DC1" w14:textId="0839D05B" w:rsidR="00A8387F" w:rsidRPr="00C32CCF" w:rsidRDefault="00EB6626" w:rsidP="00A8387F">
            <w:pPr>
              <w:pStyle w:val="TableText"/>
              <w:jc w:val="right"/>
              <w:rPr>
                <w:rFonts w:ascii="Calibri" w:hAnsi="Calibri"/>
                <w:color w:val="000000"/>
                <w:szCs w:val="18"/>
              </w:rPr>
            </w:pPr>
            <w:r>
              <w:rPr>
                <w:rFonts w:ascii="Calibri" w:hAnsi="Calibri"/>
                <w:color w:val="000000"/>
                <w:szCs w:val="18"/>
              </w:rPr>
              <w:t>4,598</w:t>
            </w:r>
          </w:p>
        </w:tc>
        <w:tc>
          <w:tcPr>
            <w:tcW w:w="516" w:type="pct"/>
            <w:tcMar>
              <w:left w:w="108" w:type="dxa"/>
              <w:right w:w="108" w:type="dxa"/>
            </w:tcMar>
          </w:tcPr>
          <w:p w14:paraId="6DD91E81" w14:textId="33F19A15" w:rsidR="00A8387F" w:rsidRPr="00C32CCF" w:rsidRDefault="006C238E" w:rsidP="00A8387F">
            <w:pPr>
              <w:pStyle w:val="TableText"/>
              <w:jc w:val="right"/>
              <w:rPr>
                <w:highlight w:val="yellow"/>
              </w:rPr>
            </w:pPr>
            <w:r>
              <w:rPr>
                <w:rFonts w:ascii="Calibri" w:hAnsi="Calibri"/>
                <w:color w:val="000000"/>
                <w:szCs w:val="18"/>
              </w:rPr>
              <w:t>298</w:t>
            </w:r>
            <w:r w:rsidR="00EB6626">
              <w:rPr>
                <w:rFonts w:ascii="Calibri" w:hAnsi="Calibri"/>
                <w:color w:val="000000"/>
                <w:szCs w:val="18"/>
              </w:rPr>
              <w:t>,870</w:t>
            </w:r>
          </w:p>
        </w:tc>
      </w:tr>
      <w:tr w:rsidR="00A8387F" w:rsidRPr="001825A7" w14:paraId="464FC7D2" w14:textId="77777777" w:rsidTr="00511E60">
        <w:tc>
          <w:tcPr>
            <w:tcW w:w="808" w:type="pct"/>
            <w:tcMar>
              <w:left w:w="108" w:type="dxa"/>
              <w:right w:w="108" w:type="dxa"/>
            </w:tcMar>
          </w:tcPr>
          <w:p w14:paraId="2AFFFB7B" w14:textId="6D01AE77" w:rsidR="00A8387F" w:rsidRPr="009213D8" w:rsidRDefault="00A8387F" w:rsidP="00A8387F">
            <w:pPr>
              <w:pStyle w:val="TableText"/>
              <w:rPr>
                <w:b/>
                <w:bCs/>
              </w:rPr>
            </w:pPr>
            <w:r w:rsidRPr="009213D8">
              <w:rPr>
                <w:b/>
                <w:bCs/>
              </w:rPr>
              <w:t>Total</w:t>
            </w:r>
          </w:p>
        </w:tc>
        <w:tc>
          <w:tcPr>
            <w:tcW w:w="451" w:type="pct"/>
            <w:tcMar>
              <w:left w:w="108" w:type="dxa"/>
              <w:right w:w="108" w:type="dxa"/>
            </w:tcMar>
          </w:tcPr>
          <w:p w14:paraId="395F7174" w14:textId="454ACDCF" w:rsidR="00A8387F" w:rsidRPr="00ED75D5" w:rsidRDefault="00EB6626" w:rsidP="00A8387F">
            <w:pPr>
              <w:pStyle w:val="TableText"/>
              <w:jc w:val="right"/>
              <w:rPr>
                <w:rStyle w:val="Strong"/>
              </w:rPr>
            </w:pPr>
            <w:r>
              <w:rPr>
                <w:rStyle w:val="Strong"/>
              </w:rPr>
              <w:t>483,219,729</w:t>
            </w:r>
          </w:p>
        </w:tc>
        <w:tc>
          <w:tcPr>
            <w:tcW w:w="1623" w:type="pct"/>
            <w:tcMar>
              <w:left w:w="108" w:type="dxa"/>
              <w:right w:w="108" w:type="dxa"/>
            </w:tcMar>
          </w:tcPr>
          <w:p w14:paraId="1D904BD4" w14:textId="77777777" w:rsidR="00A8387F" w:rsidRPr="009213D8" w:rsidRDefault="00A8387F" w:rsidP="00A8387F">
            <w:pPr>
              <w:pStyle w:val="TableText"/>
            </w:pPr>
            <w:r>
              <w:rPr>
                <w:rFonts w:cstheme="minorHAnsi"/>
              </w:rPr>
              <w:t>–</w:t>
            </w:r>
          </w:p>
        </w:tc>
        <w:tc>
          <w:tcPr>
            <w:tcW w:w="757" w:type="pct"/>
            <w:tcMar>
              <w:left w:w="108" w:type="dxa"/>
              <w:right w:w="108" w:type="dxa"/>
            </w:tcMar>
          </w:tcPr>
          <w:p w14:paraId="43B9D1F1" w14:textId="77777777" w:rsidR="00A8387F" w:rsidRPr="009213D8" w:rsidRDefault="00A8387F" w:rsidP="00A8387F">
            <w:pPr>
              <w:pStyle w:val="TableText"/>
            </w:pPr>
            <w:r>
              <w:rPr>
                <w:rFonts w:cstheme="minorHAnsi"/>
              </w:rPr>
              <w:t>–</w:t>
            </w:r>
          </w:p>
        </w:tc>
        <w:tc>
          <w:tcPr>
            <w:tcW w:w="352" w:type="pct"/>
            <w:tcMar>
              <w:left w:w="108" w:type="dxa"/>
              <w:right w:w="108" w:type="dxa"/>
            </w:tcMar>
          </w:tcPr>
          <w:p w14:paraId="4AB7E0CB" w14:textId="77777777" w:rsidR="00A8387F" w:rsidRPr="001825A7" w:rsidRDefault="00A8387F" w:rsidP="00A8387F">
            <w:pPr>
              <w:pStyle w:val="TableText"/>
              <w:jc w:val="right"/>
              <w:rPr>
                <w:highlight w:val="yellow"/>
              </w:rPr>
            </w:pPr>
            <w:r>
              <w:rPr>
                <w:rFonts w:cstheme="minorHAnsi"/>
              </w:rPr>
              <w:t>–</w:t>
            </w:r>
          </w:p>
        </w:tc>
        <w:tc>
          <w:tcPr>
            <w:tcW w:w="493" w:type="pct"/>
            <w:tcMar>
              <w:left w:w="108" w:type="dxa"/>
              <w:right w:w="108" w:type="dxa"/>
            </w:tcMar>
          </w:tcPr>
          <w:p w14:paraId="0B37A836" w14:textId="77777777" w:rsidR="00A8387F" w:rsidRPr="001825A7" w:rsidRDefault="00A8387F" w:rsidP="00A8387F">
            <w:pPr>
              <w:pStyle w:val="TableText"/>
              <w:jc w:val="right"/>
              <w:rPr>
                <w:highlight w:val="yellow"/>
              </w:rPr>
            </w:pPr>
            <w:r>
              <w:rPr>
                <w:rFonts w:cstheme="minorHAnsi"/>
              </w:rPr>
              <w:t>–</w:t>
            </w:r>
          </w:p>
        </w:tc>
        <w:tc>
          <w:tcPr>
            <w:tcW w:w="516" w:type="pct"/>
            <w:tcMar>
              <w:left w:w="108" w:type="dxa"/>
              <w:right w:w="108" w:type="dxa"/>
            </w:tcMar>
          </w:tcPr>
          <w:p w14:paraId="713CD8A3" w14:textId="22404CA0" w:rsidR="00A8387F" w:rsidRPr="00ED75D5" w:rsidRDefault="00EB6626" w:rsidP="00A8387F">
            <w:pPr>
              <w:pStyle w:val="TableText"/>
              <w:jc w:val="right"/>
              <w:rPr>
                <w:rStyle w:val="Strong"/>
                <w:highlight w:val="yellow"/>
              </w:rPr>
            </w:pPr>
            <w:r>
              <w:rPr>
                <w:rStyle w:val="Strong"/>
              </w:rPr>
              <w:t>483,219,729</w:t>
            </w:r>
          </w:p>
        </w:tc>
      </w:tr>
    </w:tbl>
    <w:p w14:paraId="468992FD" w14:textId="77777777" w:rsidR="00866A1F" w:rsidRDefault="00866A1F" w:rsidP="00866A1F"/>
    <w:p w14:paraId="30C65214" w14:textId="77777777" w:rsidR="00B07921" w:rsidRDefault="00B07921" w:rsidP="00866A1F">
      <w:pPr>
        <w:sectPr w:rsidR="00B07921" w:rsidSect="00866A1F">
          <w:pgSz w:w="16838" w:h="11906" w:orient="landscape"/>
          <w:pgMar w:top="1418" w:right="1418" w:bottom="1418" w:left="1418" w:header="567" w:footer="283" w:gutter="0"/>
          <w:cols w:space="708"/>
          <w:docGrid w:linePitch="360"/>
        </w:sectPr>
      </w:pPr>
    </w:p>
    <w:p w14:paraId="61E6CEB7" w14:textId="3FAE6022" w:rsidR="001E5006" w:rsidRPr="009753E8" w:rsidRDefault="001E5006" w:rsidP="001578C9">
      <w:pPr>
        <w:pStyle w:val="Caption"/>
      </w:pPr>
      <w:bookmarkStart w:id="106" w:name="_Toc233378724"/>
      <w:r>
        <w:lastRenderedPageBreak/>
        <w:t xml:space="preserve">Table </w:t>
      </w:r>
      <w:fldSimple w:instr=" SEQ Table \* ARABIC ">
        <w:r w:rsidR="00505B0B">
          <w:rPr>
            <w:noProof/>
          </w:rPr>
          <w:t>4</w:t>
        </w:r>
      </w:fldSimple>
      <w:r w:rsidRPr="009753E8">
        <w:t xml:space="preserve"> Fee for service on demand prices, </w:t>
      </w:r>
      <w:r w:rsidR="00AD2D22">
        <w:t>2026</w:t>
      </w:r>
      <w:r w:rsidR="00E765B8">
        <w:t>–</w:t>
      </w:r>
      <w:r w:rsidR="00AD2D22">
        <w:t>27</w:t>
      </w:r>
      <w:bookmarkEnd w:id="106"/>
    </w:p>
    <w:tbl>
      <w:tblPr>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988"/>
        <w:gridCol w:w="1983"/>
        <w:gridCol w:w="2262"/>
        <w:gridCol w:w="1420"/>
        <w:gridCol w:w="1417"/>
      </w:tblGrid>
      <w:tr w:rsidR="001E5006" w:rsidRPr="00BB4FCF" w14:paraId="6A82FE0C" w14:textId="77777777" w:rsidTr="00070E11">
        <w:trPr>
          <w:cantSplit/>
          <w:tblHeader/>
        </w:trPr>
        <w:tc>
          <w:tcPr>
            <w:tcW w:w="1096" w:type="pct"/>
            <w:tcBorders>
              <w:bottom w:val="single" w:sz="4" w:space="0" w:color="auto"/>
            </w:tcBorders>
            <w:tcMar>
              <w:left w:w="108" w:type="dxa"/>
              <w:right w:w="108" w:type="dxa"/>
            </w:tcMar>
          </w:tcPr>
          <w:p w14:paraId="6E953784" w14:textId="77777777" w:rsidR="001E5006" w:rsidRPr="00BB4FCF" w:rsidRDefault="001E5006" w:rsidP="009D0141">
            <w:pPr>
              <w:pStyle w:val="TableHeading"/>
            </w:pPr>
            <w:bookmarkStart w:id="107" w:name="Title_4"/>
            <w:bookmarkEnd w:id="107"/>
            <w:r w:rsidRPr="00BB4FCF">
              <w:t>Type of charge</w:t>
            </w:r>
          </w:p>
        </w:tc>
        <w:tc>
          <w:tcPr>
            <w:tcW w:w="1093" w:type="pct"/>
            <w:tcBorders>
              <w:bottom w:val="single" w:sz="4" w:space="0" w:color="auto"/>
            </w:tcBorders>
            <w:tcMar>
              <w:left w:w="108" w:type="dxa"/>
              <w:right w:w="108" w:type="dxa"/>
            </w:tcMar>
          </w:tcPr>
          <w:p w14:paraId="6D7FB883" w14:textId="77777777" w:rsidR="001E5006" w:rsidRPr="00BB4FCF" w:rsidRDefault="001E5006" w:rsidP="009D0141">
            <w:pPr>
              <w:pStyle w:val="TableHeading"/>
            </w:pPr>
            <w:r w:rsidRPr="00BB4FCF">
              <w:t>Estimated total cost ($)</w:t>
            </w:r>
          </w:p>
        </w:tc>
        <w:tc>
          <w:tcPr>
            <w:tcW w:w="1247" w:type="pct"/>
            <w:tcBorders>
              <w:bottom w:val="single" w:sz="4" w:space="0" w:color="auto"/>
            </w:tcBorders>
            <w:tcMar>
              <w:left w:w="108" w:type="dxa"/>
              <w:right w:w="108" w:type="dxa"/>
            </w:tcMar>
          </w:tcPr>
          <w:p w14:paraId="57D679A4" w14:textId="77777777" w:rsidR="001E5006" w:rsidRPr="00BB4FCF" w:rsidRDefault="001E5006" w:rsidP="009D0141">
            <w:pPr>
              <w:pStyle w:val="TableHeading"/>
            </w:pPr>
            <w:r w:rsidRPr="00BB4FCF">
              <w:t>Charge point</w:t>
            </w:r>
          </w:p>
        </w:tc>
        <w:tc>
          <w:tcPr>
            <w:tcW w:w="783" w:type="pct"/>
            <w:tcBorders>
              <w:bottom w:val="single" w:sz="4" w:space="0" w:color="auto"/>
            </w:tcBorders>
            <w:tcMar>
              <w:left w:w="108" w:type="dxa"/>
              <w:right w:w="108" w:type="dxa"/>
            </w:tcMar>
          </w:tcPr>
          <w:p w14:paraId="5A0572C0" w14:textId="77777777" w:rsidR="001E5006" w:rsidRPr="00BB4FCF" w:rsidRDefault="001E5006" w:rsidP="009D0141">
            <w:pPr>
              <w:pStyle w:val="TableHeading"/>
            </w:pPr>
            <w:r w:rsidRPr="00BB4FCF">
              <w:t>Unit</w:t>
            </w:r>
          </w:p>
        </w:tc>
        <w:tc>
          <w:tcPr>
            <w:tcW w:w="781" w:type="pct"/>
            <w:tcBorders>
              <w:bottom w:val="single" w:sz="4" w:space="0" w:color="auto"/>
            </w:tcBorders>
            <w:tcMar>
              <w:left w:w="108" w:type="dxa"/>
              <w:right w:w="108" w:type="dxa"/>
            </w:tcMar>
          </w:tcPr>
          <w:p w14:paraId="1E10185A" w14:textId="77777777" w:rsidR="001E5006" w:rsidRPr="00BB4FCF" w:rsidRDefault="001E5006" w:rsidP="009D0141">
            <w:pPr>
              <w:pStyle w:val="TableHeading"/>
            </w:pPr>
            <w:r w:rsidRPr="00BB4FCF">
              <w:t>Price ($)</w:t>
            </w:r>
          </w:p>
        </w:tc>
      </w:tr>
      <w:tr w:rsidR="001E5006" w:rsidRPr="008B7CF3" w14:paraId="01C6A1A6" w14:textId="77777777" w:rsidTr="00070E11">
        <w:tc>
          <w:tcPr>
            <w:tcW w:w="1096" w:type="pct"/>
            <w:tcBorders>
              <w:top w:val="single" w:sz="4" w:space="0" w:color="auto"/>
              <w:left w:val="nil"/>
              <w:bottom w:val="single" w:sz="4" w:space="0" w:color="auto"/>
              <w:right w:val="nil"/>
            </w:tcBorders>
            <w:tcMar>
              <w:left w:w="108" w:type="dxa"/>
              <w:right w:w="108" w:type="dxa"/>
            </w:tcMar>
          </w:tcPr>
          <w:p w14:paraId="3E590BE5" w14:textId="77777777" w:rsidR="001E5006" w:rsidRPr="008B7CF3" w:rsidRDefault="001E5006" w:rsidP="009D0141">
            <w:pPr>
              <w:pStyle w:val="TableText"/>
            </w:pPr>
            <w:r w:rsidRPr="008B7CF3">
              <w:t>Fee for service – temporary storage in relation to international travellers and their baggage</w:t>
            </w:r>
          </w:p>
        </w:tc>
        <w:tc>
          <w:tcPr>
            <w:tcW w:w="1093" w:type="pct"/>
            <w:tcBorders>
              <w:top w:val="single" w:sz="4" w:space="0" w:color="auto"/>
              <w:left w:val="nil"/>
              <w:bottom w:val="single" w:sz="4" w:space="0" w:color="auto"/>
              <w:right w:val="nil"/>
            </w:tcBorders>
            <w:tcMar>
              <w:left w:w="108" w:type="dxa"/>
              <w:right w:w="108" w:type="dxa"/>
            </w:tcMar>
          </w:tcPr>
          <w:p w14:paraId="792A1B7E" w14:textId="77777777" w:rsidR="001E5006" w:rsidRPr="008B7CF3" w:rsidRDefault="001E5006" w:rsidP="009D0141">
            <w:pPr>
              <w:pStyle w:val="TableText"/>
            </w:pPr>
            <w:r w:rsidRPr="008B7CF3">
              <w:t>n/a</w:t>
            </w:r>
          </w:p>
        </w:tc>
        <w:tc>
          <w:tcPr>
            <w:tcW w:w="1247" w:type="pct"/>
            <w:tcBorders>
              <w:top w:val="single" w:sz="4" w:space="0" w:color="auto"/>
              <w:left w:val="nil"/>
              <w:bottom w:val="single" w:sz="4" w:space="0" w:color="auto"/>
              <w:right w:val="nil"/>
            </w:tcBorders>
            <w:tcMar>
              <w:left w:w="108" w:type="dxa"/>
              <w:right w:w="108" w:type="dxa"/>
            </w:tcMar>
          </w:tcPr>
          <w:p w14:paraId="5F6D9FAA" w14:textId="77777777" w:rsidR="001E5006" w:rsidRPr="008B7CF3" w:rsidRDefault="001E5006" w:rsidP="009D0141">
            <w:pPr>
              <w:pStyle w:val="TableText"/>
              <w:rPr>
                <w:szCs w:val="18"/>
              </w:rPr>
            </w:pPr>
            <w:r w:rsidRPr="008B7CF3">
              <w:rPr>
                <w:szCs w:val="18"/>
              </w:rPr>
              <w:t>Temporary storage at premises owned or managed by the Commonwealth for baggage brought into Australian territory</w:t>
            </w:r>
          </w:p>
        </w:tc>
        <w:tc>
          <w:tcPr>
            <w:tcW w:w="783" w:type="pct"/>
            <w:tcBorders>
              <w:top w:val="single" w:sz="4" w:space="0" w:color="auto"/>
              <w:left w:val="nil"/>
              <w:bottom w:val="single" w:sz="4" w:space="0" w:color="auto"/>
              <w:right w:val="nil"/>
            </w:tcBorders>
            <w:tcMar>
              <w:left w:w="108" w:type="dxa"/>
              <w:right w:w="108" w:type="dxa"/>
            </w:tcMar>
          </w:tcPr>
          <w:p w14:paraId="0B93365F" w14:textId="77777777" w:rsidR="001E5006" w:rsidRPr="008B7CF3" w:rsidRDefault="001E5006" w:rsidP="009D0141">
            <w:pPr>
              <w:pStyle w:val="TableText"/>
              <w:rPr>
                <w:rFonts w:cstheme="minorHAnsi"/>
                <w:szCs w:val="18"/>
              </w:rPr>
            </w:pPr>
            <w:r w:rsidRPr="008B7CF3">
              <w:rPr>
                <w:szCs w:val="18"/>
              </w:rPr>
              <w:t>Per 30 days per item of baggage</w:t>
            </w:r>
          </w:p>
        </w:tc>
        <w:tc>
          <w:tcPr>
            <w:tcW w:w="781" w:type="pct"/>
            <w:tcBorders>
              <w:top w:val="single" w:sz="4" w:space="0" w:color="auto"/>
              <w:left w:val="nil"/>
              <w:bottom w:val="single" w:sz="4" w:space="0" w:color="auto"/>
              <w:right w:val="nil"/>
            </w:tcBorders>
            <w:tcMar>
              <w:left w:w="108" w:type="dxa"/>
              <w:right w:w="108" w:type="dxa"/>
            </w:tcMar>
          </w:tcPr>
          <w:p w14:paraId="2999866C" w14:textId="690FB0EA" w:rsidR="001E5006" w:rsidRPr="008A370F" w:rsidRDefault="00184AA3" w:rsidP="00AC4F0B">
            <w:pPr>
              <w:pStyle w:val="TableText"/>
              <w:jc w:val="right"/>
              <w:rPr>
                <w:szCs w:val="18"/>
              </w:rPr>
            </w:pPr>
            <w:r>
              <w:t>50</w:t>
            </w:r>
          </w:p>
        </w:tc>
      </w:tr>
      <w:tr w:rsidR="001E5006" w:rsidRPr="008B7CF3" w14:paraId="012EDB2E" w14:textId="77777777" w:rsidTr="007D1B7C">
        <w:tc>
          <w:tcPr>
            <w:tcW w:w="1096" w:type="pct"/>
            <w:vMerge w:val="restart"/>
            <w:tcBorders>
              <w:top w:val="single" w:sz="4" w:space="0" w:color="auto"/>
              <w:left w:val="nil"/>
              <w:right w:val="nil"/>
            </w:tcBorders>
            <w:tcMar>
              <w:left w:w="108" w:type="dxa"/>
              <w:right w:w="108" w:type="dxa"/>
            </w:tcMar>
          </w:tcPr>
          <w:p w14:paraId="3C340A90" w14:textId="77777777" w:rsidR="001E5006" w:rsidRPr="008B7CF3" w:rsidRDefault="001E5006" w:rsidP="009D0141">
            <w:pPr>
              <w:pStyle w:val="TableText"/>
            </w:pPr>
            <w:r w:rsidRPr="008B7CF3">
              <w:t>Fee for service – special processing areas, agreed fee for international travellers and their baggage</w:t>
            </w:r>
          </w:p>
        </w:tc>
        <w:tc>
          <w:tcPr>
            <w:tcW w:w="1093" w:type="pct"/>
            <w:tcBorders>
              <w:top w:val="single" w:sz="4" w:space="0" w:color="auto"/>
              <w:left w:val="nil"/>
              <w:bottom w:val="single" w:sz="4" w:space="0" w:color="auto"/>
              <w:right w:val="nil"/>
            </w:tcBorders>
            <w:tcMar>
              <w:left w:w="108" w:type="dxa"/>
              <w:right w:w="108" w:type="dxa"/>
            </w:tcMar>
          </w:tcPr>
          <w:p w14:paraId="33860511" w14:textId="77777777" w:rsidR="001E5006" w:rsidRPr="008B7CF3" w:rsidRDefault="001E5006" w:rsidP="009D0141">
            <w:pPr>
              <w:pStyle w:val="TableText"/>
              <w:rPr>
                <w:szCs w:val="18"/>
              </w:rPr>
            </w:pPr>
            <w:r w:rsidRPr="008B7CF3">
              <w:rPr>
                <w:szCs w:val="18"/>
              </w:rPr>
              <w:t>Any period up to 3 hours during which one or more fee bearing activities are carried out</w:t>
            </w:r>
          </w:p>
        </w:tc>
        <w:tc>
          <w:tcPr>
            <w:tcW w:w="1247" w:type="pct"/>
            <w:tcBorders>
              <w:top w:val="single" w:sz="4" w:space="0" w:color="auto"/>
              <w:left w:val="nil"/>
              <w:bottom w:val="single" w:sz="4" w:space="0" w:color="auto"/>
              <w:right w:val="nil"/>
            </w:tcBorders>
            <w:tcMar>
              <w:left w:w="108" w:type="dxa"/>
              <w:right w:w="108" w:type="dxa"/>
            </w:tcMar>
          </w:tcPr>
          <w:p w14:paraId="377D23FC" w14:textId="77777777" w:rsidR="001E5006" w:rsidRPr="008B7CF3" w:rsidRDefault="001E5006" w:rsidP="009D0141">
            <w:pPr>
              <w:pStyle w:val="TableText"/>
              <w:rPr>
                <w:szCs w:val="18"/>
              </w:rPr>
            </w:pPr>
            <w:r w:rsidRPr="008B7CF3">
              <w:rPr>
                <w:szCs w:val="18"/>
              </w:rPr>
              <w:t>First 3 hours for each person carrying out those activities</w:t>
            </w:r>
          </w:p>
        </w:tc>
        <w:tc>
          <w:tcPr>
            <w:tcW w:w="783" w:type="pct"/>
            <w:tcBorders>
              <w:top w:val="single" w:sz="4" w:space="0" w:color="auto"/>
              <w:left w:val="nil"/>
              <w:bottom w:val="single" w:sz="4" w:space="0" w:color="auto"/>
              <w:right w:val="nil"/>
            </w:tcBorders>
            <w:tcMar>
              <w:left w:w="108" w:type="dxa"/>
              <w:right w:w="108" w:type="dxa"/>
            </w:tcMar>
          </w:tcPr>
          <w:p w14:paraId="56DA46F9" w14:textId="77777777" w:rsidR="001E5006" w:rsidRPr="008B7CF3" w:rsidRDefault="001E5006" w:rsidP="009D0141">
            <w:pPr>
              <w:pStyle w:val="TableText"/>
              <w:rPr>
                <w:rFonts w:cstheme="minorHAnsi"/>
                <w:szCs w:val="18"/>
              </w:rPr>
            </w:pPr>
            <w:r w:rsidRPr="008B7CF3">
              <w:rPr>
                <w:rFonts w:cstheme="minorHAnsi"/>
                <w:szCs w:val="18"/>
              </w:rPr>
              <w:t>Per first 3 hours</w:t>
            </w:r>
          </w:p>
        </w:tc>
        <w:tc>
          <w:tcPr>
            <w:tcW w:w="781" w:type="pct"/>
            <w:tcBorders>
              <w:top w:val="single" w:sz="4" w:space="0" w:color="auto"/>
              <w:left w:val="nil"/>
              <w:bottom w:val="single" w:sz="4" w:space="0" w:color="auto"/>
              <w:right w:val="nil"/>
            </w:tcBorders>
            <w:tcMar>
              <w:left w:w="108" w:type="dxa"/>
              <w:right w:w="108" w:type="dxa"/>
            </w:tcMar>
          </w:tcPr>
          <w:p w14:paraId="0EE1A2CA" w14:textId="012C523A" w:rsidR="0095040A" w:rsidRPr="008A370F" w:rsidRDefault="001E5006" w:rsidP="007D1B7C">
            <w:pPr>
              <w:pStyle w:val="TableText"/>
            </w:pPr>
            <w:r w:rsidRPr="008A370F">
              <w:t xml:space="preserve">At least </w:t>
            </w:r>
            <w:r w:rsidR="0095040A">
              <w:t>571</w:t>
            </w:r>
            <w:r w:rsidRPr="008A370F">
              <w:t xml:space="preserve">, but not more than </w:t>
            </w:r>
            <w:r w:rsidR="0095040A">
              <w:t>1,142</w:t>
            </w:r>
          </w:p>
        </w:tc>
      </w:tr>
      <w:tr w:rsidR="001E5006" w:rsidRPr="008B7CF3" w14:paraId="0AEBF01B" w14:textId="77777777" w:rsidTr="007D1B7C">
        <w:tc>
          <w:tcPr>
            <w:tcW w:w="1096" w:type="pct"/>
            <w:vMerge/>
            <w:tcBorders>
              <w:left w:val="nil"/>
              <w:bottom w:val="single" w:sz="4" w:space="0" w:color="auto"/>
              <w:right w:val="nil"/>
            </w:tcBorders>
            <w:tcMar>
              <w:left w:w="108" w:type="dxa"/>
              <w:right w:w="108" w:type="dxa"/>
            </w:tcMar>
          </w:tcPr>
          <w:p w14:paraId="7D9B253C" w14:textId="77777777" w:rsidR="001E5006" w:rsidRPr="008B7CF3" w:rsidRDefault="001E5006" w:rsidP="009D0141">
            <w:pPr>
              <w:pStyle w:val="TableText"/>
            </w:pPr>
          </w:p>
        </w:tc>
        <w:tc>
          <w:tcPr>
            <w:tcW w:w="1093" w:type="pct"/>
            <w:tcBorders>
              <w:top w:val="single" w:sz="4" w:space="0" w:color="auto"/>
              <w:left w:val="nil"/>
              <w:bottom w:val="single" w:sz="4" w:space="0" w:color="auto"/>
              <w:right w:val="nil"/>
            </w:tcBorders>
            <w:tcMar>
              <w:left w:w="108" w:type="dxa"/>
              <w:right w:w="108" w:type="dxa"/>
            </w:tcMar>
          </w:tcPr>
          <w:p w14:paraId="43F07179" w14:textId="77777777" w:rsidR="001E5006" w:rsidRPr="008B7CF3" w:rsidRDefault="001E5006" w:rsidP="009D0141">
            <w:pPr>
              <w:pStyle w:val="TableText"/>
            </w:pPr>
            <w:r w:rsidRPr="008B7CF3">
              <w:t>Immediately following the first 3 hours during which those activities are carried out</w:t>
            </w:r>
          </w:p>
        </w:tc>
        <w:tc>
          <w:tcPr>
            <w:tcW w:w="1247" w:type="pct"/>
            <w:tcBorders>
              <w:top w:val="single" w:sz="4" w:space="0" w:color="auto"/>
              <w:left w:val="nil"/>
              <w:bottom w:val="single" w:sz="4" w:space="0" w:color="auto"/>
              <w:right w:val="nil"/>
            </w:tcBorders>
            <w:tcMar>
              <w:left w:w="108" w:type="dxa"/>
              <w:right w:w="108" w:type="dxa"/>
            </w:tcMar>
          </w:tcPr>
          <w:p w14:paraId="7A3E0BF1" w14:textId="77777777" w:rsidR="001E5006" w:rsidRPr="008B7CF3" w:rsidRDefault="001E5006" w:rsidP="009D0141">
            <w:pPr>
              <w:pStyle w:val="TableText"/>
            </w:pPr>
            <w:r w:rsidRPr="008B7CF3">
              <w:t>Per 15 minutes immediately following first 3 hours for each person carrying out those activities</w:t>
            </w:r>
          </w:p>
        </w:tc>
        <w:tc>
          <w:tcPr>
            <w:tcW w:w="783" w:type="pct"/>
            <w:tcBorders>
              <w:top w:val="single" w:sz="4" w:space="0" w:color="auto"/>
              <w:left w:val="nil"/>
              <w:bottom w:val="single" w:sz="4" w:space="0" w:color="auto"/>
              <w:right w:val="nil"/>
            </w:tcBorders>
            <w:tcMar>
              <w:left w:w="108" w:type="dxa"/>
              <w:right w:w="108" w:type="dxa"/>
            </w:tcMar>
          </w:tcPr>
          <w:p w14:paraId="395D065A" w14:textId="77777777" w:rsidR="001E5006" w:rsidRPr="008B7CF3" w:rsidRDefault="001E5006" w:rsidP="009D0141">
            <w:pPr>
              <w:pStyle w:val="TableText"/>
              <w:rPr>
                <w:rFonts w:cstheme="minorHAnsi"/>
                <w:szCs w:val="18"/>
              </w:rPr>
            </w:pPr>
            <w:r w:rsidRPr="008B7CF3">
              <w:rPr>
                <w:rFonts w:cstheme="minorHAnsi"/>
                <w:szCs w:val="18"/>
              </w:rPr>
              <w:t>Per each 15 minutes after the first 3 hours</w:t>
            </w:r>
          </w:p>
        </w:tc>
        <w:tc>
          <w:tcPr>
            <w:tcW w:w="781" w:type="pct"/>
            <w:tcBorders>
              <w:top w:val="single" w:sz="4" w:space="0" w:color="auto"/>
              <w:left w:val="nil"/>
              <w:bottom w:val="single" w:sz="4" w:space="0" w:color="auto"/>
              <w:right w:val="nil"/>
            </w:tcBorders>
            <w:tcMar>
              <w:left w:w="108" w:type="dxa"/>
              <w:right w:w="108" w:type="dxa"/>
            </w:tcMar>
          </w:tcPr>
          <w:p w14:paraId="40C97074" w14:textId="1C5B2D20" w:rsidR="001E5006" w:rsidRPr="008A370F" w:rsidRDefault="001E5006" w:rsidP="007D1B7C">
            <w:pPr>
              <w:pStyle w:val="TableText"/>
            </w:pPr>
            <w:r w:rsidRPr="008A370F">
              <w:t xml:space="preserve">At least </w:t>
            </w:r>
            <w:r w:rsidR="000548BB">
              <w:t>48</w:t>
            </w:r>
            <w:r w:rsidRPr="008A370F">
              <w:t xml:space="preserve"> but not more than </w:t>
            </w:r>
            <w:r w:rsidR="000548BB">
              <w:t>95</w:t>
            </w:r>
          </w:p>
        </w:tc>
      </w:tr>
    </w:tbl>
    <w:p w14:paraId="1866E6BF" w14:textId="77777777" w:rsidR="001E5006" w:rsidRDefault="001E5006" w:rsidP="001E5006">
      <w:pPr>
        <w:pStyle w:val="FigureTableNoteSource"/>
      </w:pPr>
      <w:r w:rsidRPr="00DF7DE3">
        <w:t>Note: These fee-for-service activities will only apply when the activity is requested by industry.</w:t>
      </w:r>
    </w:p>
    <w:bookmarkStart w:id="108" w:name="_Hlk198741492"/>
    <w:p w14:paraId="2159D6D6" w14:textId="0288F5D9" w:rsidR="001E5006" w:rsidRDefault="00D4456E" w:rsidP="00F71378">
      <w:pPr>
        <w:spacing w:after="120"/>
        <w:rPr>
          <w:rFonts w:cstheme="minorHAnsi"/>
        </w:rPr>
      </w:pPr>
      <w:r w:rsidRPr="00AB165D">
        <w:rPr>
          <w:rStyle w:val="Hyperlink"/>
        </w:rPr>
        <w:fldChar w:fldCharType="begin"/>
      </w:r>
      <w:r w:rsidRPr="00AB165D">
        <w:rPr>
          <w:rStyle w:val="Hyperlink"/>
        </w:rPr>
        <w:instrText xml:space="preserve"> REF _Ref197943026 \h </w:instrText>
      </w:r>
      <w:r w:rsidR="00AB165D">
        <w:rPr>
          <w:rStyle w:val="Hyperlink"/>
        </w:rPr>
        <w:instrText xml:space="preserve"> \* MERGEFORMAT </w:instrText>
      </w:r>
      <w:r w:rsidRPr="00AB165D">
        <w:rPr>
          <w:rStyle w:val="Hyperlink"/>
        </w:rPr>
      </w:r>
      <w:r w:rsidRPr="00AB165D">
        <w:rPr>
          <w:rStyle w:val="Hyperlink"/>
        </w:rPr>
        <w:fldChar w:fldCharType="separate"/>
      </w:r>
      <w:r w:rsidR="00505B0B" w:rsidRPr="00AB165D">
        <w:rPr>
          <w:rStyle w:val="Hyperlink"/>
        </w:rPr>
        <w:t>Table 5</w:t>
      </w:r>
      <w:r w:rsidRPr="00AB165D">
        <w:rPr>
          <w:rStyle w:val="Hyperlink"/>
        </w:rPr>
        <w:fldChar w:fldCharType="end"/>
      </w:r>
      <w:r w:rsidR="001E5006">
        <w:rPr>
          <w:rFonts w:cstheme="minorHAnsi"/>
        </w:rPr>
        <w:t xml:space="preserve"> </w:t>
      </w:r>
      <w:r w:rsidR="001E5006" w:rsidRPr="007135C0">
        <w:rPr>
          <w:rFonts w:cstheme="minorHAnsi"/>
        </w:rPr>
        <w:t>provides a breakdown of the modelled cost</w:t>
      </w:r>
      <w:r w:rsidR="00133B0B">
        <w:rPr>
          <w:rFonts w:cstheme="minorHAnsi"/>
        </w:rPr>
        <w:t>s</w:t>
      </w:r>
      <w:r w:rsidR="001E5006" w:rsidRPr="007135C0">
        <w:rPr>
          <w:rFonts w:cstheme="minorHAnsi"/>
        </w:rPr>
        <w:t xml:space="preserve"> of the </w:t>
      </w:r>
      <w:r w:rsidR="00133B0B">
        <w:rPr>
          <w:rFonts w:cstheme="minorHAnsi"/>
        </w:rPr>
        <w:t xml:space="preserve">arrangement by </w:t>
      </w:r>
      <w:r w:rsidR="001E5006" w:rsidRPr="007135C0">
        <w:rPr>
          <w:rFonts w:cstheme="minorHAnsi"/>
        </w:rPr>
        <w:t>charg</w:t>
      </w:r>
      <w:r w:rsidR="00133B0B">
        <w:rPr>
          <w:rFonts w:cstheme="minorHAnsi"/>
        </w:rPr>
        <w:t>e</w:t>
      </w:r>
      <w:r w:rsidR="001E5006" w:rsidRPr="007135C0">
        <w:rPr>
          <w:rFonts w:cstheme="minorHAnsi"/>
        </w:rPr>
        <w:t xml:space="preserve"> type</w:t>
      </w:r>
      <w:r w:rsidR="00133B0B">
        <w:rPr>
          <w:rFonts w:cstheme="minorHAnsi"/>
        </w:rPr>
        <w:t xml:space="preserve">, </w:t>
      </w:r>
      <w:r w:rsidR="001E5006" w:rsidRPr="007135C0">
        <w:rPr>
          <w:rFonts w:cstheme="minorHAnsi"/>
        </w:rPr>
        <w:t>activity</w:t>
      </w:r>
      <w:r w:rsidR="00133B0B">
        <w:rPr>
          <w:rFonts w:cstheme="minorHAnsi"/>
        </w:rPr>
        <w:t xml:space="preserve"> an </w:t>
      </w:r>
      <w:bookmarkEnd w:id="108"/>
      <w:r w:rsidR="00133B0B">
        <w:rPr>
          <w:rFonts w:cstheme="minorHAnsi"/>
        </w:rPr>
        <w:t>output</w:t>
      </w:r>
      <w:r w:rsidR="001E5006" w:rsidRPr="007135C0">
        <w:rPr>
          <w:rFonts w:cstheme="minorHAnsi"/>
        </w:rPr>
        <w:t>. For a detailed description of activities</w:t>
      </w:r>
      <w:r w:rsidR="00133B0B">
        <w:rPr>
          <w:rFonts w:cstheme="minorHAnsi"/>
        </w:rPr>
        <w:t xml:space="preserve"> and outputs</w:t>
      </w:r>
      <w:r w:rsidR="001E5006" w:rsidRPr="007135C0">
        <w:rPr>
          <w:rFonts w:cstheme="minorHAnsi"/>
        </w:rPr>
        <w:t xml:space="preserve">, see </w:t>
      </w:r>
      <w:hyperlink w:anchor="_Appendix_B:_Cost-model" w:history="1">
        <w:r w:rsidR="00B44102" w:rsidRPr="004F5EC6">
          <w:rPr>
            <w:rStyle w:val="Hyperlink"/>
            <w:rFonts w:cstheme="minorHAnsi"/>
          </w:rPr>
          <w:t>Appendix B</w:t>
        </w:r>
      </w:hyperlink>
      <w:r w:rsidR="00B44102">
        <w:t>.</w:t>
      </w:r>
    </w:p>
    <w:p w14:paraId="0E93A23E" w14:textId="2B662231" w:rsidR="001E5006" w:rsidRPr="005B4125" w:rsidRDefault="001E5006" w:rsidP="001578C9">
      <w:pPr>
        <w:pStyle w:val="Caption"/>
        <w:rPr>
          <w:rFonts w:cstheme="minorHAnsi"/>
        </w:rPr>
      </w:pPr>
      <w:bookmarkStart w:id="109" w:name="_Ref197943026"/>
      <w:bookmarkStart w:id="110" w:name="_Toc233378725"/>
      <w:r w:rsidRPr="00D4456E">
        <w:t xml:space="preserve">Table </w:t>
      </w:r>
      <w:fldSimple w:instr=" SEQ Table \* ARABIC ">
        <w:r w:rsidR="00505B0B">
          <w:rPr>
            <w:noProof/>
          </w:rPr>
          <w:t>5</w:t>
        </w:r>
      </w:fldSimple>
      <w:bookmarkEnd w:id="109"/>
      <w:r>
        <w:t xml:space="preserve"> </w:t>
      </w:r>
      <w:r w:rsidRPr="00BC4737">
        <w:t>Cost type breakdown</w:t>
      </w:r>
      <w:r w:rsidR="00133B0B">
        <w:t xml:space="preserve"> by activity and output</w:t>
      </w:r>
      <w:bookmarkEnd w:id="110"/>
    </w:p>
    <w:tbl>
      <w:tblPr>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2825"/>
        <w:gridCol w:w="4435"/>
        <w:gridCol w:w="1810"/>
      </w:tblGrid>
      <w:tr w:rsidR="004E1314" w:rsidRPr="00DF7DE3" w14:paraId="2DB9C331" w14:textId="77777777" w:rsidTr="007D1B7C">
        <w:trPr>
          <w:cantSplit/>
          <w:tblHeader/>
        </w:trPr>
        <w:tc>
          <w:tcPr>
            <w:tcW w:w="1557" w:type="pct"/>
            <w:tcMar>
              <w:left w:w="108" w:type="dxa"/>
              <w:right w:w="108" w:type="dxa"/>
            </w:tcMar>
          </w:tcPr>
          <w:p w14:paraId="042E2A95" w14:textId="25ABE9F7" w:rsidR="004E1314" w:rsidRPr="00DF7DE3" w:rsidRDefault="004E1314" w:rsidP="00733737">
            <w:pPr>
              <w:keepNext/>
              <w:spacing w:before="60" w:after="60" w:line="240" w:lineRule="auto"/>
              <w:rPr>
                <w:b/>
                <w:sz w:val="18"/>
              </w:rPr>
            </w:pPr>
            <w:bookmarkStart w:id="111" w:name="Title_5"/>
            <w:bookmarkEnd w:id="111"/>
            <w:r>
              <w:rPr>
                <w:b/>
                <w:sz w:val="18"/>
              </w:rPr>
              <w:t>Charge type and a</w:t>
            </w:r>
            <w:r w:rsidRPr="00DF7DE3">
              <w:rPr>
                <w:b/>
                <w:sz w:val="18"/>
              </w:rPr>
              <w:t>ctivity</w:t>
            </w:r>
          </w:p>
        </w:tc>
        <w:tc>
          <w:tcPr>
            <w:tcW w:w="2445" w:type="pct"/>
            <w:tcMar>
              <w:left w:w="108" w:type="dxa"/>
              <w:right w:w="108" w:type="dxa"/>
            </w:tcMar>
          </w:tcPr>
          <w:p w14:paraId="7A243FA3" w14:textId="7570DE34" w:rsidR="004E1314" w:rsidRPr="00DF7DE3" w:rsidRDefault="004E1314" w:rsidP="00733737">
            <w:pPr>
              <w:keepNext/>
              <w:spacing w:before="60" w:after="60" w:line="240" w:lineRule="auto"/>
              <w:rPr>
                <w:b/>
                <w:sz w:val="18"/>
              </w:rPr>
            </w:pPr>
            <w:r>
              <w:rPr>
                <w:b/>
                <w:sz w:val="18"/>
              </w:rPr>
              <w:t>Output</w:t>
            </w:r>
          </w:p>
        </w:tc>
        <w:tc>
          <w:tcPr>
            <w:tcW w:w="998" w:type="pct"/>
            <w:tcMar>
              <w:left w:w="108" w:type="dxa"/>
              <w:right w:w="108" w:type="dxa"/>
            </w:tcMar>
          </w:tcPr>
          <w:p w14:paraId="5BAA422E" w14:textId="77777777" w:rsidR="004E1314" w:rsidRPr="00DF7DE3" w:rsidRDefault="004E1314" w:rsidP="004732DD">
            <w:pPr>
              <w:keepNext/>
              <w:spacing w:before="60" w:after="60" w:line="240" w:lineRule="auto"/>
              <w:jc w:val="right"/>
              <w:rPr>
                <w:b/>
                <w:sz w:val="18"/>
              </w:rPr>
            </w:pPr>
            <w:r w:rsidRPr="00DF7DE3">
              <w:rPr>
                <w:b/>
                <w:sz w:val="18"/>
              </w:rPr>
              <w:t>Expense ($)</w:t>
            </w:r>
          </w:p>
        </w:tc>
      </w:tr>
      <w:tr w:rsidR="004E1314" w:rsidRPr="00DF7DE3" w14:paraId="7B6837FE" w14:textId="77777777" w:rsidTr="007D1B7C">
        <w:tc>
          <w:tcPr>
            <w:tcW w:w="1557" w:type="pct"/>
            <w:vMerge w:val="restart"/>
            <w:tcMar>
              <w:left w:w="108" w:type="dxa"/>
              <w:right w:w="108" w:type="dxa"/>
            </w:tcMar>
          </w:tcPr>
          <w:p w14:paraId="7728490D" w14:textId="2F092221"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Charges</w:t>
            </w:r>
            <w:r>
              <w:rPr>
                <w:rFonts w:ascii="Calibri" w:hAnsi="Calibri" w:cs="Calibri"/>
                <w:sz w:val="18"/>
                <w:szCs w:val="18"/>
              </w:rPr>
              <w:t xml:space="preserve"> – p</w:t>
            </w:r>
            <w:r w:rsidRPr="00DF7DE3">
              <w:rPr>
                <w:rFonts w:ascii="Calibri" w:hAnsi="Calibri" w:cs="Calibri"/>
                <w:sz w:val="18"/>
                <w:szCs w:val="18"/>
              </w:rPr>
              <w:t>rogram management and administration</w:t>
            </w:r>
          </w:p>
        </w:tc>
        <w:tc>
          <w:tcPr>
            <w:tcW w:w="2445" w:type="pct"/>
            <w:tcMar>
              <w:left w:w="108" w:type="dxa"/>
              <w:right w:w="108" w:type="dxa"/>
            </w:tcMar>
          </w:tcPr>
          <w:p w14:paraId="5F877B25"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Workforce and business administration</w:t>
            </w:r>
          </w:p>
        </w:tc>
        <w:tc>
          <w:tcPr>
            <w:tcW w:w="998" w:type="pct"/>
            <w:tcMar>
              <w:left w:w="108" w:type="dxa"/>
              <w:right w:w="108" w:type="dxa"/>
            </w:tcMar>
          </w:tcPr>
          <w:p w14:paraId="6B8C2B5B" w14:textId="13B362B7" w:rsidR="004E1314" w:rsidRPr="00BB7AAB" w:rsidRDefault="004E1314" w:rsidP="00733737">
            <w:pPr>
              <w:spacing w:before="60" w:after="60" w:line="240" w:lineRule="auto"/>
              <w:jc w:val="right"/>
              <w:rPr>
                <w:rFonts w:cstheme="minorHAnsi"/>
                <w:sz w:val="18"/>
                <w:szCs w:val="18"/>
                <w:highlight w:val="yellow"/>
              </w:rPr>
            </w:pPr>
            <w:r>
              <w:rPr>
                <w:rFonts w:cstheme="minorHAnsi"/>
                <w:sz w:val="18"/>
                <w:szCs w:val="18"/>
              </w:rPr>
              <w:t>194,534,498</w:t>
            </w:r>
          </w:p>
        </w:tc>
      </w:tr>
      <w:tr w:rsidR="004E1314" w:rsidRPr="00BB7AAB" w14:paraId="0BEE7189" w14:textId="77777777" w:rsidTr="007D1B7C">
        <w:tc>
          <w:tcPr>
            <w:tcW w:w="1557" w:type="pct"/>
            <w:vMerge/>
            <w:tcMar>
              <w:left w:w="108" w:type="dxa"/>
              <w:right w:w="108" w:type="dxa"/>
            </w:tcMar>
          </w:tcPr>
          <w:p w14:paraId="6EF01F46"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0CECA6C9"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Business system administration</w:t>
            </w:r>
          </w:p>
        </w:tc>
        <w:tc>
          <w:tcPr>
            <w:tcW w:w="998" w:type="pct"/>
            <w:tcMar>
              <w:left w:w="108" w:type="dxa"/>
              <w:right w:w="108" w:type="dxa"/>
            </w:tcMar>
          </w:tcPr>
          <w:p w14:paraId="6DC7254A" w14:textId="635D4D15" w:rsidR="004E1314" w:rsidRPr="00BB7AAB" w:rsidRDefault="004E1314" w:rsidP="00733737">
            <w:pPr>
              <w:spacing w:before="60" w:after="60" w:line="240" w:lineRule="auto"/>
              <w:jc w:val="right"/>
              <w:rPr>
                <w:rFonts w:cstheme="minorHAnsi"/>
                <w:sz w:val="18"/>
                <w:szCs w:val="18"/>
              </w:rPr>
            </w:pPr>
            <w:r>
              <w:rPr>
                <w:rFonts w:cstheme="minorHAnsi"/>
                <w:sz w:val="18"/>
                <w:szCs w:val="18"/>
              </w:rPr>
              <w:t>27,117,589</w:t>
            </w:r>
          </w:p>
        </w:tc>
      </w:tr>
      <w:tr w:rsidR="004E1314" w:rsidRPr="00BB7AAB" w14:paraId="17191D46" w14:textId="77777777" w:rsidTr="007D1B7C">
        <w:tc>
          <w:tcPr>
            <w:tcW w:w="1557" w:type="pct"/>
            <w:vMerge/>
            <w:tcMar>
              <w:left w:w="108" w:type="dxa"/>
              <w:right w:w="108" w:type="dxa"/>
            </w:tcMar>
          </w:tcPr>
          <w:p w14:paraId="1C3AE2CD"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A1B9AC8"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Stakeholder engagement</w:t>
            </w:r>
          </w:p>
        </w:tc>
        <w:tc>
          <w:tcPr>
            <w:tcW w:w="998" w:type="pct"/>
            <w:tcMar>
              <w:left w:w="108" w:type="dxa"/>
              <w:right w:w="108" w:type="dxa"/>
            </w:tcMar>
          </w:tcPr>
          <w:p w14:paraId="300DA8FF" w14:textId="642B7ADF" w:rsidR="004E1314" w:rsidRPr="00BB7AAB" w:rsidRDefault="004E1314" w:rsidP="00733737">
            <w:pPr>
              <w:spacing w:before="60" w:after="60" w:line="240" w:lineRule="auto"/>
              <w:jc w:val="right"/>
              <w:rPr>
                <w:rFonts w:cstheme="minorHAnsi"/>
                <w:sz w:val="18"/>
                <w:szCs w:val="18"/>
                <w:highlight w:val="yellow"/>
              </w:rPr>
            </w:pPr>
            <w:r>
              <w:rPr>
                <w:rFonts w:cstheme="minorHAnsi"/>
                <w:sz w:val="18"/>
                <w:szCs w:val="18"/>
              </w:rPr>
              <w:t>27,152,918</w:t>
            </w:r>
          </w:p>
        </w:tc>
      </w:tr>
      <w:tr w:rsidR="004E1314" w:rsidRPr="00BB7AAB" w14:paraId="640DEFF6" w14:textId="77777777" w:rsidTr="007D1B7C">
        <w:tc>
          <w:tcPr>
            <w:tcW w:w="1557" w:type="pct"/>
            <w:vMerge/>
            <w:tcMar>
              <w:left w:w="108" w:type="dxa"/>
              <w:right w:w="108" w:type="dxa"/>
            </w:tcMar>
          </w:tcPr>
          <w:p w14:paraId="363B4FAB"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C6C12F6"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Policy and instructional material</w:t>
            </w:r>
          </w:p>
        </w:tc>
        <w:tc>
          <w:tcPr>
            <w:tcW w:w="998" w:type="pct"/>
            <w:tcMar>
              <w:left w:w="108" w:type="dxa"/>
              <w:right w:w="108" w:type="dxa"/>
            </w:tcMar>
          </w:tcPr>
          <w:p w14:paraId="792037E9" w14:textId="7020F828" w:rsidR="004E1314" w:rsidRPr="00BB7AAB" w:rsidRDefault="004E1314" w:rsidP="00733737">
            <w:pPr>
              <w:spacing w:before="60" w:after="60" w:line="240" w:lineRule="auto"/>
              <w:jc w:val="right"/>
              <w:rPr>
                <w:rFonts w:cstheme="minorHAnsi"/>
                <w:sz w:val="18"/>
                <w:szCs w:val="18"/>
              </w:rPr>
            </w:pPr>
            <w:r>
              <w:rPr>
                <w:rFonts w:cstheme="minorHAnsi"/>
                <w:sz w:val="18"/>
                <w:szCs w:val="18"/>
              </w:rPr>
              <w:t>41,245,362</w:t>
            </w:r>
          </w:p>
        </w:tc>
      </w:tr>
      <w:tr w:rsidR="004E1314" w:rsidRPr="00BB7AAB" w14:paraId="40B21202" w14:textId="77777777" w:rsidTr="007D1B7C">
        <w:tc>
          <w:tcPr>
            <w:tcW w:w="1557" w:type="pct"/>
            <w:vMerge/>
            <w:tcMar>
              <w:left w:w="108" w:type="dxa"/>
              <w:right w:w="108" w:type="dxa"/>
            </w:tcMar>
          </w:tcPr>
          <w:p w14:paraId="087DD03D"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5DAA5FFE"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Business improvement</w:t>
            </w:r>
          </w:p>
        </w:tc>
        <w:tc>
          <w:tcPr>
            <w:tcW w:w="998" w:type="pct"/>
            <w:tcMar>
              <w:left w:w="108" w:type="dxa"/>
              <w:right w:w="108" w:type="dxa"/>
            </w:tcMar>
          </w:tcPr>
          <w:p w14:paraId="6C317713" w14:textId="661A18CD" w:rsidR="004E1314" w:rsidRPr="00BB7AAB" w:rsidRDefault="004E1314" w:rsidP="00733737">
            <w:pPr>
              <w:spacing w:before="60" w:after="60" w:line="240" w:lineRule="auto"/>
              <w:jc w:val="right"/>
              <w:rPr>
                <w:rFonts w:cstheme="minorHAnsi"/>
                <w:sz w:val="18"/>
                <w:szCs w:val="18"/>
              </w:rPr>
            </w:pPr>
            <w:r>
              <w:rPr>
                <w:rFonts w:cstheme="minorHAnsi"/>
                <w:sz w:val="18"/>
                <w:szCs w:val="18"/>
              </w:rPr>
              <w:t>20,730,866</w:t>
            </w:r>
          </w:p>
        </w:tc>
      </w:tr>
      <w:tr w:rsidR="004E1314" w:rsidRPr="006C1B39" w14:paraId="29C7EBFE" w14:textId="77777777" w:rsidTr="007D1B7C">
        <w:tc>
          <w:tcPr>
            <w:tcW w:w="1557" w:type="pct"/>
            <w:vMerge/>
            <w:tcMar>
              <w:left w:w="108" w:type="dxa"/>
              <w:right w:w="108" w:type="dxa"/>
            </w:tcMar>
          </w:tcPr>
          <w:p w14:paraId="11F29002"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218B5C58"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Subtotal</w:t>
            </w:r>
          </w:p>
        </w:tc>
        <w:tc>
          <w:tcPr>
            <w:tcW w:w="998" w:type="pct"/>
            <w:tcMar>
              <w:left w:w="108" w:type="dxa"/>
              <w:right w:w="108" w:type="dxa"/>
            </w:tcMar>
          </w:tcPr>
          <w:p w14:paraId="7A62579C" w14:textId="1D92F97A" w:rsidR="004E1314" w:rsidRPr="006C1B39" w:rsidRDefault="004E1314" w:rsidP="00733737">
            <w:pPr>
              <w:spacing w:before="60" w:after="60" w:line="240" w:lineRule="auto"/>
              <w:jc w:val="right"/>
              <w:rPr>
                <w:rStyle w:val="Strong"/>
                <w:sz w:val="18"/>
                <w:szCs w:val="18"/>
                <w:highlight w:val="yellow"/>
              </w:rPr>
            </w:pPr>
            <w:r>
              <w:rPr>
                <w:rStyle w:val="Strong"/>
                <w:sz w:val="18"/>
                <w:szCs w:val="18"/>
              </w:rPr>
              <w:t>310,781,234</w:t>
            </w:r>
          </w:p>
        </w:tc>
      </w:tr>
      <w:tr w:rsidR="004E1314" w:rsidRPr="00BB7AAB" w14:paraId="6936E65D" w14:textId="77777777" w:rsidTr="007D1B7C">
        <w:tc>
          <w:tcPr>
            <w:tcW w:w="1557" w:type="pct"/>
            <w:vMerge w:val="restart"/>
            <w:tcMar>
              <w:left w:w="108" w:type="dxa"/>
              <w:right w:w="108" w:type="dxa"/>
            </w:tcMar>
          </w:tcPr>
          <w:p w14:paraId="42A0DECD" w14:textId="20FD60A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Charges</w:t>
            </w:r>
            <w:r>
              <w:rPr>
                <w:rFonts w:ascii="Calibri" w:hAnsi="Calibri" w:cs="Calibri"/>
                <w:sz w:val="18"/>
                <w:szCs w:val="18"/>
              </w:rPr>
              <w:t xml:space="preserve"> – a</w:t>
            </w:r>
            <w:r w:rsidRPr="00DF7DE3">
              <w:rPr>
                <w:rFonts w:ascii="Calibri" w:hAnsi="Calibri" w:cs="Calibri"/>
                <w:sz w:val="18"/>
                <w:szCs w:val="18"/>
              </w:rPr>
              <w:t>ssurance</w:t>
            </w:r>
          </w:p>
        </w:tc>
        <w:tc>
          <w:tcPr>
            <w:tcW w:w="2445" w:type="pct"/>
            <w:tcMar>
              <w:left w:w="108" w:type="dxa"/>
              <w:right w:w="108" w:type="dxa"/>
            </w:tcMar>
          </w:tcPr>
          <w:p w14:paraId="30902608"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Risk management</w:t>
            </w:r>
          </w:p>
        </w:tc>
        <w:tc>
          <w:tcPr>
            <w:tcW w:w="998" w:type="pct"/>
            <w:tcMar>
              <w:left w:w="108" w:type="dxa"/>
              <w:right w:w="108" w:type="dxa"/>
            </w:tcMar>
          </w:tcPr>
          <w:p w14:paraId="250FC64B" w14:textId="2EE103CF" w:rsidR="004E1314" w:rsidRPr="006C1B39" w:rsidRDefault="004E1314" w:rsidP="00733737">
            <w:pPr>
              <w:spacing w:before="60" w:after="60" w:line="240" w:lineRule="auto"/>
              <w:jc w:val="right"/>
              <w:rPr>
                <w:rFonts w:cstheme="minorHAnsi"/>
                <w:sz w:val="18"/>
                <w:szCs w:val="18"/>
              </w:rPr>
            </w:pPr>
            <w:r>
              <w:rPr>
                <w:rFonts w:cstheme="minorHAnsi"/>
                <w:sz w:val="18"/>
                <w:szCs w:val="18"/>
              </w:rPr>
              <w:t>23,861,225</w:t>
            </w:r>
          </w:p>
        </w:tc>
      </w:tr>
      <w:tr w:rsidR="004E1314" w:rsidRPr="00BB7AAB" w14:paraId="327B149F" w14:textId="77777777" w:rsidTr="007D1B7C">
        <w:tc>
          <w:tcPr>
            <w:tcW w:w="1557" w:type="pct"/>
            <w:vMerge/>
            <w:tcMar>
              <w:left w:w="108" w:type="dxa"/>
              <w:right w:w="108" w:type="dxa"/>
            </w:tcMar>
          </w:tcPr>
          <w:p w14:paraId="2D6D31FA"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512311F8"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Verification</w:t>
            </w:r>
          </w:p>
        </w:tc>
        <w:tc>
          <w:tcPr>
            <w:tcW w:w="998" w:type="pct"/>
            <w:tcMar>
              <w:left w:w="108" w:type="dxa"/>
              <w:right w:w="108" w:type="dxa"/>
            </w:tcMar>
          </w:tcPr>
          <w:p w14:paraId="4975423E" w14:textId="57B5741C" w:rsidR="004E1314" w:rsidRPr="006C1B39" w:rsidRDefault="004E1314" w:rsidP="00733737">
            <w:pPr>
              <w:spacing w:before="60" w:after="60" w:line="240" w:lineRule="auto"/>
              <w:jc w:val="right"/>
              <w:rPr>
                <w:rFonts w:cstheme="minorHAnsi"/>
                <w:sz w:val="18"/>
                <w:szCs w:val="18"/>
              </w:rPr>
            </w:pPr>
            <w:r>
              <w:rPr>
                <w:rFonts w:cstheme="minorHAnsi"/>
                <w:sz w:val="18"/>
                <w:szCs w:val="18"/>
              </w:rPr>
              <w:t>19,355,837</w:t>
            </w:r>
          </w:p>
        </w:tc>
      </w:tr>
      <w:tr w:rsidR="004E1314" w:rsidRPr="0043470E" w14:paraId="7FEB6343" w14:textId="77777777" w:rsidTr="007D1B7C">
        <w:tc>
          <w:tcPr>
            <w:tcW w:w="1557" w:type="pct"/>
            <w:vMerge/>
            <w:tcMar>
              <w:left w:w="108" w:type="dxa"/>
              <w:right w:w="108" w:type="dxa"/>
            </w:tcMar>
          </w:tcPr>
          <w:p w14:paraId="568B471B"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3833C10F"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Surveillance</w:t>
            </w:r>
          </w:p>
        </w:tc>
        <w:tc>
          <w:tcPr>
            <w:tcW w:w="998" w:type="pct"/>
            <w:tcMar>
              <w:left w:w="108" w:type="dxa"/>
              <w:right w:w="108" w:type="dxa"/>
            </w:tcMar>
          </w:tcPr>
          <w:p w14:paraId="348225A8" w14:textId="05D4F487" w:rsidR="004E1314" w:rsidRPr="006C1B39" w:rsidRDefault="004E1314" w:rsidP="00733737">
            <w:pPr>
              <w:spacing w:before="60" w:after="60" w:line="240" w:lineRule="auto"/>
              <w:jc w:val="right"/>
              <w:rPr>
                <w:rFonts w:cstheme="minorHAnsi"/>
                <w:sz w:val="18"/>
                <w:szCs w:val="18"/>
              </w:rPr>
            </w:pPr>
            <w:r>
              <w:rPr>
                <w:rFonts w:cstheme="minorHAnsi"/>
                <w:sz w:val="18"/>
                <w:szCs w:val="18"/>
              </w:rPr>
              <w:t>20,945,989</w:t>
            </w:r>
          </w:p>
        </w:tc>
      </w:tr>
      <w:tr w:rsidR="004E1314" w:rsidRPr="00243864" w14:paraId="0C6BE322" w14:textId="77777777" w:rsidTr="007D1B7C">
        <w:tc>
          <w:tcPr>
            <w:tcW w:w="1557" w:type="pct"/>
            <w:vMerge/>
            <w:tcMar>
              <w:left w:w="108" w:type="dxa"/>
              <w:right w:w="108" w:type="dxa"/>
            </w:tcMar>
          </w:tcPr>
          <w:p w14:paraId="71F28E1A"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01428312"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Subtotal</w:t>
            </w:r>
          </w:p>
        </w:tc>
        <w:tc>
          <w:tcPr>
            <w:tcW w:w="998" w:type="pct"/>
            <w:tcMar>
              <w:left w:w="108" w:type="dxa"/>
              <w:right w:w="108" w:type="dxa"/>
            </w:tcMar>
          </w:tcPr>
          <w:p w14:paraId="6FAAF452" w14:textId="111A34EB" w:rsidR="004E1314" w:rsidRPr="00243864" w:rsidRDefault="004E1314" w:rsidP="00733737">
            <w:pPr>
              <w:spacing w:before="60" w:after="60" w:line="240" w:lineRule="auto"/>
              <w:jc w:val="right"/>
              <w:rPr>
                <w:rStyle w:val="Strong"/>
                <w:sz w:val="18"/>
                <w:szCs w:val="18"/>
              </w:rPr>
            </w:pPr>
            <w:r>
              <w:rPr>
                <w:rStyle w:val="Strong"/>
                <w:sz w:val="18"/>
                <w:szCs w:val="18"/>
              </w:rPr>
              <w:t>64,163,051</w:t>
            </w:r>
          </w:p>
        </w:tc>
      </w:tr>
      <w:tr w:rsidR="004E1314" w:rsidRPr="00243864" w14:paraId="5B877A8B" w14:textId="77777777" w:rsidTr="007D1B7C">
        <w:tc>
          <w:tcPr>
            <w:tcW w:w="1557" w:type="pct"/>
            <w:vMerge w:val="restart"/>
            <w:tcMar>
              <w:left w:w="108" w:type="dxa"/>
              <w:right w:w="108" w:type="dxa"/>
            </w:tcMar>
          </w:tcPr>
          <w:p w14:paraId="57A1A13D" w14:textId="79B5A883"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Charges</w:t>
            </w:r>
            <w:r>
              <w:rPr>
                <w:rFonts w:ascii="Calibri" w:hAnsi="Calibri" w:cs="Calibri"/>
                <w:sz w:val="18"/>
                <w:szCs w:val="18"/>
              </w:rPr>
              <w:t xml:space="preserve"> – i</w:t>
            </w:r>
            <w:r w:rsidRPr="00DF7DE3">
              <w:rPr>
                <w:rFonts w:ascii="Calibri" w:hAnsi="Calibri" w:cs="Calibri"/>
                <w:sz w:val="18"/>
                <w:szCs w:val="18"/>
              </w:rPr>
              <w:t>ncident management</w:t>
            </w:r>
          </w:p>
        </w:tc>
        <w:tc>
          <w:tcPr>
            <w:tcW w:w="2445" w:type="pct"/>
            <w:tcMar>
              <w:left w:w="108" w:type="dxa"/>
              <w:right w:w="108" w:type="dxa"/>
            </w:tcMar>
          </w:tcPr>
          <w:p w14:paraId="6EB39752"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Incident management</w:t>
            </w:r>
          </w:p>
        </w:tc>
        <w:tc>
          <w:tcPr>
            <w:tcW w:w="998" w:type="pct"/>
            <w:tcMar>
              <w:left w:w="108" w:type="dxa"/>
              <w:right w:w="108" w:type="dxa"/>
            </w:tcMar>
          </w:tcPr>
          <w:p w14:paraId="7AC10FC9" w14:textId="6F78C184" w:rsidR="004E1314" w:rsidRPr="00243864" w:rsidRDefault="004E1314" w:rsidP="00733737">
            <w:pPr>
              <w:spacing w:before="60" w:after="60" w:line="240" w:lineRule="auto"/>
              <w:jc w:val="right"/>
              <w:rPr>
                <w:rFonts w:cstheme="minorHAnsi"/>
                <w:sz w:val="18"/>
                <w:szCs w:val="18"/>
              </w:rPr>
            </w:pPr>
            <w:r>
              <w:rPr>
                <w:rFonts w:cstheme="minorHAnsi"/>
                <w:sz w:val="18"/>
                <w:szCs w:val="18"/>
              </w:rPr>
              <w:t>4,219,375</w:t>
            </w:r>
          </w:p>
        </w:tc>
      </w:tr>
      <w:tr w:rsidR="004E1314" w:rsidRPr="00243864" w14:paraId="09F1447E" w14:textId="77777777" w:rsidTr="007D1B7C">
        <w:tc>
          <w:tcPr>
            <w:tcW w:w="1557" w:type="pct"/>
            <w:vMerge/>
            <w:tcMar>
              <w:left w:w="108" w:type="dxa"/>
              <w:right w:w="108" w:type="dxa"/>
            </w:tcMar>
          </w:tcPr>
          <w:p w14:paraId="60D99B0C"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71E08AF"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Investigative support</w:t>
            </w:r>
          </w:p>
        </w:tc>
        <w:tc>
          <w:tcPr>
            <w:tcW w:w="998" w:type="pct"/>
            <w:tcMar>
              <w:left w:w="108" w:type="dxa"/>
              <w:right w:w="108" w:type="dxa"/>
            </w:tcMar>
          </w:tcPr>
          <w:p w14:paraId="763FD592" w14:textId="0921615A" w:rsidR="004E1314" w:rsidRPr="00243864" w:rsidRDefault="004E1314" w:rsidP="00733737">
            <w:pPr>
              <w:spacing w:before="60" w:after="60" w:line="240" w:lineRule="auto"/>
              <w:jc w:val="right"/>
              <w:rPr>
                <w:rFonts w:cstheme="minorHAnsi"/>
                <w:sz w:val="18"/>
                <w:szCs w:val="18"/>
              </w:rPr>
            </w:pPr>
            <w:r>
              <w:rPr>
                <w:rFonts w:cstheme="minorHAnsi"/>
                <w:sz w:val="18"/>
                <w:szCs w:val="18"/>
              </w:rPr>
              <w:t>1,890,600</w:t>
            </w:r>
          </w:p>
        </w:tc>
      </w:tr>
      <w:tr w:rsidR="004E1314" w:rsidRPr="00243864" w14:paraId="051C7EF8" w14:textId="77777777" w:rsidTr="007D1B7C">
        <w:tc>
          <w:tcPr>
            <w:tcW w:w="1557" w:type="pct"/>
            <w:vMerge/>
            <w:tcMar>
              <w:left w:w="108" w:type="dxa"/>
              <w:right w:w="108" w:type="dxa"/>
            </w:tcMar>
          </w:tcPr>
          <w:p w14:paraId="50AE9E25"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55F5C6C9"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Corrective action</w:t>
            </w:r>
          </w:p>
        </w:tc>
        <w:tc>
          <w:tcPr>
            <w:tcW w:w="998" w:type="pct"/>
            <w:tcMar>
              <w:left w:w="108" w:type="dxa"/>
              <w:right w:w="108" w:type="dxa"/>
            </w:tcMar>
          </w:tcPr>
          <w:p w14:paraId="50D7E296" w14:textId="7B8FD115" w:rsidR="004E1314" w:rsidRPr="00243864" w:rsidRDefault="004E1314" w:rsidP="00733737">
            <w:pPr>
              <w:spacing w:before="60" w:after="60" w:line="240" w:lineRule="auto"/>
              <w:jc w:val="right"/>
              <w:rPr>
                <w:rFonts w:cstheme="minorHAnsi"/>
                <w:sz w:val="18"/>
                <w:szCs w:val="18"/>
              </w:rPr>
            </w:pPr>
            <w:r>
              <w:rPr>
                <w:rFonts w:cstheme="minorHAnsi"/>
                <w:sz w:val="18"/>
                <w:szCs w:val="18"/>
              </w:rPr>
              <w:t>4,899,915</w:t>
            </w:r>
          </w:p>
        </w:tc>
      </w:tr>
      <w:tr w:rsidR="004E1314" w:rsidRPr="00243864" w14:paraId="552E4ABE" w14:textId="77777777" w:rsidTr="007D1B7C">
        <w:tc>
          <w:tcPr>
            <w:tcW w:w="1557" w:type="pct"/>
            <w:vMerge/>
            <w:tcMar>
              <w:left w:w="108" w:type="dxa"/>
              <w:right w:w="108" w:type="dxa"/>
            </w:tcMar>
          </w:tcPr>
          <w:p w14:paraId="7216C256"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6E2A5846"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Subtotal</w:t>
            </w:r>
          </w:p>
        </w:tc>
        <w:tc>
          <w:tcPr>
            <w:tcW w:w="998" w:type="pct"/>
            <w:tcMar>
              <w:left w:w="108" w:type="dxa"/>
              <w:right w:w="108" w:type="dxa"/>
            </w:tcMar>
          </w:tcPr>
          <w:p w14:paraId="69895928" w14:textId="1DE49BC8" w:rsidR="004E1314" w:rsidRPr="00243864" w:rsidRDefault="004E1314" w:rsidP="00733737">
            <w:pPr>
              <w:spacing w:before="60" w:after="60" w:line="240" w:lineRule="auto"/>
              <w:jc w:val="right"/>
              <w:rPr>
                <w:rStyle w:val="Strong"/>
                <w:sz w:val="18"/>
                <w:szCs w:val="18"/>
              </w:rPr>
            </w:pPr>
            <w:r>
              <w:rPr>
                <w:rStyle w:val="Strong"/>
                <w:sz w:val="18"/>
                <w:szCs w:val="18"/>
              </w:rPr>
              <w:t>11,009,889</w:t>
            </w:r>
          </w:p>
        </w:tc>
      </w:tr>
      <w:tr w:rsidR="004E1314" w:rsidRPr="00243864" w14:paraId="62DC972B" w14:textId="77777777" w:rsidTr="007D1B7C">
        <w:tc>
          <w:tcPr>
            <w:tcW w:w="1557" w:type="pct"/>
            <w:vMerge/>
            <w:tcMar>
              <w:left w:w="108" w:type="dxa"/>
              <w:right w:w="108" w:type="dxa"/>
            </w:tcMar>
          </w:tcPr>
          <w:p w14:paraId="5F48749A"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79AE2603"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Total charges</w:t>
            </w:r>
          </w:p>
        </w:tc>
        <w:tc>
          <w:tcPr>
            <w:tcW w:w="998" w:type="pct"/>
            <w:tcMar>
              <w:left w:w="108" w:type="dxa"/>
              <w:right w:w="108" w:type="dxa"/>
            </w:tcMar>
          </w:tcPr>
          <w:p w14:paraId="28F53AC6" w14:textId="5E2C7D41" w:rsidR="004E1314" w:rsidRPr="00243864" w:rsidRDefault="004E1314" w:rsidP="00733737">
            <w:pPr>
              <w:spacing w:before="60" w:after="60" w:line="240" w:lineRule="auto"/>
              <w:jc w:val="right"/>
              <w:rPr>
                <w:rStyle w:val="Strong"/>
                <w:sz w:val="18"/>
                <w:szCs w:val="18"/>
              </w:rPr>
            </w:pPr>
            <w:r>
              <w:rPr>
                <w:rStyle w:val="Strong"/>
                <w:sz w:val="18"/>
                <w:szCs w:val="18"/>
              </w:rPr>
              <w:t>385,954,174</w:t>
            </w:r>
          </w:p>
        </w:tc>
      </w:tr>
      <w:tr w:rsidR="004E1314" w:rsidRPr="00243864" w14:paraId="4CBD0B22" w14:textId="77777777" w:rsidTr="007D1B7C">
        <w:tc>
          <w:tcPr>
            <w:tcW w:w="1557" w:type="pct"/>
            <w:vMerge w:val="restart"/>
            <w:tcMar>
              <w:left w:w="108" w:type="dxa"/>
              <w:right w:w="108" w:type="dxa"/>
            </w:tcMar>
          </w:tcPr>
          <w:p w14:paraId="73DBD86C" w14:textId="37AA8DCC" w:rsidR="004E1314" w:rsidRPr="00DF7DE3" w:rsidRDefault="004E1314" w:rsidP="00733737">
            <w:pPr>
              <w:spacing w:before="60" w:after="60" w:line="240" w:lineRule="auto"/>
              <w:rPr>
                <w:rFonts w:ascii="Calibri" w:hAnsi="Calibri" w:cs="Calibri"/>
                <w:sz w:val="18"/>
                <w:szCs w:val="18"/>
              </w:rPr>
            </w:pPr>
            <w:r>
              <w:rPr>
                <w:rFonts w:ascii="Calibri" w:hAnsi="Calibri" w:cs="Calibri"/>
                <w:sz w:val="18"/>
                <w:szCs w:val="18"/>
              </w:rPr>
              <w:t>Fees – i</w:t>
            </w:r>
            <w:r w:rsidRPr="00DF7DE3">
              <w:rPr>
                <w:rFonts w:ascii="Calibri" w:hAnsi="Calibri" w:cs="Calibri"/>
                <w:sz w:val="18"/>
                <w:szCs w:val="18"/>
              </w:rPr>
              <w:t>ntervention</w:t>
            </w:r>
          </w:p>
        </w:tc>
        <w:tc>
          <w:tcPr>
            <w:tcW w:w="2445" w:type="pct"/>
            <w:tcMar>
              <w:left w:w="108" w:type="dxa"/>
              <w:right w:w="108" w:type="dxa"/>
            </w:tcMar>
          </w:tcPr>
          <w:p w14:paraId="540A98D3"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Assessment</w:t>
            </w:r>
          </w:p>
        </w:tc>
        <w:tc>
          <w:tcPr>
            <w:tcW w:w="998" w:type="pct"/>
            <w:tcMar>
              <w:left w:w="108" w:type="dxa"/>
              <w:right w:w="108" w:type="dxa"/>
            </w:tcMar>
          </w:tcPr>
          <w:p w14:paraId="3595BE94" w14:textId="2AB15E1A" w:rsidR="004E1314" w:rsidRPr="00243864" w:rsidRDefault="004E1314" w:rsidP="00733737">
            <w:pPr>
              <w:spacing w:before="60" w:after="60" w:line="240" w:lineRule="auto"/>
              <w:jc w:val="right"/>
              <w:rPr>
                <w:rFonts w:cstheme="minorHAnsi"/>
                <w:sz w:val="18"/>
                <w:szCs w:val="18"/>
              </w:rPr>
            </w:pPr>
            <w:r>
              <w:rPr>
                <w:rFonts w:cstheme="minorHAnsi"/>
                <w:sz w:val="18"/>
                <w:szCs w:val="18"/>
              </w:rPr>
              <w:t>32,698,120</w:t>
            </w:r>
          </w:p>
        </w:tc>
      </w:tr>
      <w:tr w:rsidR="004E1314" w:rsidRPr="00243864" w14:paraId="038AC198" w14:textId="77777777" w:rsidTr="007D1B7C">
        <w:tc>
          <w:tcPr>
            <w:tcW w:w="1557" w:type="pct"/>
            <w:vMerge/>
            <w:tcMar>
              <w:left w:w="108" w:type="dxa"/>
              <w:right w:w="108" w:type="dxa"/>
            </w:tcMar>
          </w:tcPr>
          <w:p w14:paraId="1FE1042F"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66A40F0"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Issue approvals/certification</w:t>
            </w:r>
          </w:p>
        </w:tc>
        <w:tc>
          <w:tcPr>
            <w:tcW w:w="998" w:type="pct"/>
            <w:tcMar>
              <w:left w:w="108" w:type="dxa"/>
              <w:right w:w="108" w:type="dxa"/>
            </w:tcMar>
          </w:tcPr>
          <w:p w14:paraId="054A0411" w14:textId="01743795" w:rsidR="004E1314" w:rsidRPr="00243864" w:rsidRDefault="004E1314" w:rsidP="00733737">
            <w:pPr>
              <w:spacing w:before="60" w:after="60" w:line="240" w:lineRule="auto"/>
              <w:jc w:val="right"/>
              <w:rPr>
                <w:rFonts w:cstheme="minorHAnsi"/>
                <w:sz w:val="18"/>
                <w:szCs w:val="18"/>
              </w:rPr>
            </w:pPr>
            <w:r>
              <w:rPr>
                <w:rFonts w:cstheme="minorHAnsi"/>
                <w:sz w:val="18"/>
                <w:szCs w:val="18"/>
              </w:rPr>
              <w:t>5,653,106</w:t>
            </w:r>
          </w:p>
        </w:tc>
      </w:tr>
      <w:tr w:rsidR="004E1314" w:rsidRPr="00243864" w14:paraId="0BCAD0F9" w14:textId="77777777" w:rsidTr="007D1B7C">
        <w:tc>
          <w:tcPr>
            <w:tcW w:w="1557" w:type="pct"/>
            <w:vMerge/>
            <w:tcMar>
              <w:left w:w="108" w:type="dxa"/>
              <w:right w:w="108" w:type="dxa"/>
            </w:tcMar>
          </w:tcPr>
          <w:p w14:paraId="701FD5A8"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0547BA8"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Inspection</w:t>
            </w:r>
          </w:p>
        </w:tc>
        <w:tc>
          <w:tcPr>
            <w:tcW w:w="998" w:type="pct"/>
            <w:tcMar>
              <w:left w:w="108" w:type="dxa"/>
              <w:right w:w="108" w:type="dxa"/>
            </w:tcMar>
          </w:tcPr>
          <w:p w14:paraId="1418859F" w14:textId="654D4F7A" w:rsidR="004E1314" w:rsidRPr="00243864" w:rsidRDefault="004E1314" w:rsidP="00733737">
            <w:pPr>
              <w:spacing w:before="60" w:after="60" w:line="240" w:lineRule="auto"/>
              <w:jc w:val="right"/>
              <w:rPr>
                <w:rFonts w:cstheme="minorHAnsi"/>
                <w:sz w:val="18"/>
                <w:szCs w:val="18"/>
              </w:rPr>
            </w:pPr>
            <w:r>
              <w:rPr>
                <w:rFonts w:cstheme="minorHAnsi"/>
                <w:sz w:val="18"/>
                <w:szCs w:val="18"/>
              </w:rPr>
              <w:t>53,096,224</w:t>
            </w:r>
          </w:p>
        </w:tc>
      </w:tr>
      <w:tr w:rsidR="004E1314" w:rsidRPr="00243864" w14:paraId="46A9978D" w14:textId="77777777" w:rsidTr="007D1B7C">
        <w:tc>
          <w:tcPr>
            <w:tcW w:w="1557" w:type="pct"/>
            <w:vMerge/>
            <w:tcMar>
              <w:left w:w="108" w:type="dxa"/>
              <w:right w:w="108" w:type="dxa"/>
            </w:tcMar>
          </w:tcPr>
          <w:p w14:paraId="17923E60"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606FB91F" w14:textId="77777777" w:rsidR="004E1314" w:rsidRPr="00DF7DE3" w:rsidRDefault="004E1314" w:rsidP="00733737">
            <w:pPr>
              <w:spacing w:before="60" w:after="60" w:line="240" w:lineRule="auto"/>
              <w:rPr>
                <w:rFonts w:ascii="Calibri" w:hAnsi="Calibri" w:cs="Calibri"/>
                <w:sz w:val="18"/>
                <w:szCs w:val="18"/>
              </w:rPr>
            </w:pPr>
            <w:r>
              <w:rPr>
                <w:rFonts w:ascii="Calibri" w:hAnsi="Calibri" w:cs="Calibri"/>
                <w:sz w:val="18"/>
                <w:szCs w:val="18"/>
              </w:rPr>
              <w:t>Treatment</w:t>
            </w:r>
          </w:p>
        </w:tc>
        <w:tc>
          <w:tcPr>
            <w:tcW w:w="998" w:type="pct"/>
            <w:tcMar>
              <w:left w:w="108" w:type="dxa"/>
              <w:right w:w="108" w:type="dxa"/>
            </w:tcMar>
          </w:tcPr>
          <w:p w14:paraId="391DC8B5" w14:textId="31E1F80F" w:rsidR="004E1314" w:rsidRPr="00243864" w:rsidRDefault="004E1314" w:rsidP="00733737">
            <w:pPr>
              <w:spacing w:before="60" w:after="60" w:line="240" w:lineRule="auto"/>
              <w:jc w:val="right"/>
              <w:rPr>
                <w:rFonts w:cstheme="minorHAnsi"/>
                <w:sz w:val="18"/>
                <w:szCs w:val="18"/>
              </w:rPr>
            </w:pPr>
            <w:r>
              <w:rPr>
                <w:rFonts w:cstheme="minorHAnsi"/>
                <w:sz w:val="18"/>
                <w:szCs w:val="18"/>
              </w:rPr>
              <w:t>1,535,724</w:t>
            </w:r>
          </w:p>
        </w:tc>
      </w:tr>
      <w:tr w:rsidR="004E1314" w:rsidRPr="00243864" w14:paraId="51219326" w14:textId="77777777" w:rsidTr="007D1B7C">
        <w:tc>
          <w:tcPr>
            <w:tcW w:w="1557" w:type="pct"/>
            <w:vMerge/>
            <w:tcMar>
              <w:left w:w="108" w:type="dxa"/>
              <w:right w:w="108" w:type="dxa"/>
            </w:tcMar>
          </w:tcPr>
          <w:p w14:paraId="5CDE37DE"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54122879"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Audit</w:t>
            </w:r>
          </w:p>
        </w:tc>
        <w:tc>
          <w:tcPr>
            <w:tcW w:w="998" w:type="pct"/>
            <w:tcMar>
              <w:left w:w="108" w:type="dxa"/>
              <w:right w:w="108" w:type="dxa"/>
            </w:tcMar>
          </w:tcPr>
          <w:p w14:paraId="57A78837" w14:textId="4C372AD0" w:rsidR="004E1314" w:rsidRPr="00243864" w:rsidRDefault="004E1314" w:rsidP="00733737">
            <w:pPr>
              <w:spacing w:before="60" w:after="60" w:line="240" w:lineRule="auto"/>
              <w:jc w:val="right"/>
              <w:rPr>
                <w:rFonts w:cstheme="minorHAnsi"/>
                <w:sz w:val="18"/>
                <w:szCs w:val="18"/>
              </w:rPr>
            </w:pPr>
            <w:r>
              <w:rPr>
                <w:rFonts w:cstheme="minorHAnsi"/>
                <w:sz w:val="18"/>
                <w:szCs w:val="18"/>
              </w:rPr>
              <w:t>2,181,151</w:t>
            </w:r>
          </w:p>
        </w:tc>
      </w:tr>
      <w:tr w:rsidR="004E1314" w:rsidRPr="00243864" w14:paraId="3D08F048" w14:textId="77777777" w:rsidTr="007D1B7C">
        <w:tc>
          <w:tcPr>
            <w:tcW w:w="1557" w:type="pct"/>
            <w:vMerge/>
            <w:tcMar>
              <w:left w:w="108" w:type="dxa"/>
              <w:right w:w="108" w:type="dxa"/>
            </w:tcMar>
          </w:tcPr>
          <w:p w14:paraId="5F24AA8C"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1CAF9F05" w14:textId="77777777" w:rsidR="004E1314" w:rsidRPr="00DF7DE3" w:rsidRDefault="004E1314" w:rsidP="00733737">
            <w:pPr>
              <w:spacing w:before="60" w:after="60" w:line="240" w:lineRule="auto"/>
              <w:rPr>
                <w:rFonts w:ascii="Calibri" w:hAnsi="Calibri" w:cs="Calibri"/>
                <w:sz w:val="18"/>
                <w:szCs w:val="18"/>
              </w:rPr>
            </w:pPr>
            <w:r w:rsidRPr="00DF7DE3">
              <w:rPr>
                <w:rFonts w:ascii="Calibri" w:hAnsi="Calibri" w:cs="Calibri"/>
                <w:sz w:val="18"/>
                <w:szCs w:val="18"/>
              </w:rPr>
              <w:t>Husbandry</w:t>
            </w:r>
          </w:p>
        </w:tc>
        <w:tc>
          <w:tcPr>
            <w:tcW w:w="998" w:type="pct"/>
            <w:tcMar>
              <w:left w:w="108" w:type="dxa"/>
              <w:right w:w="108" w:type="dxa"/>
            </w:tcMar>
          </w:tcPr>
          <w:p w14:paraId="18743459" w14:textId="2DB20F92" w:rsidR="004E1314" w:rsidRPr="00243864" w:rsidRDefault="004E1314" w:rsidP="00733737">
            <w:pPr>
              <w:spacing w:before="60" w:after="60" w:line="240" w:lineRule="auto"/>
              <w:jc w:val="right"/>
              <w:rPr>
                <w:rFonts w:cstheme="minorHAnsi"/>
                <w:sz w:val="18"/>
                <w:szCs w:val="18"/>
              </w:rPr>
            </w:pPr>
            <w:r>
              <w:rPr>
                <w:rFonts w:cstheme="minorHAnsi"/>
                <w:sz w:val="18"/>
                <w:szCs w:val="18"/>
              </w:rPr>
              <w:t>4,719,314</w:t>
            </w:r>
          </w:p>
        </w:tc>
      </w:tr>
      <w:tr w:rsidR="004E1314" w:rsidRPr="00243864" w14:paraId="7424C18D" w14:textId="77777777" w:rsidTr="007D1B7C">
        <w:tc>
          <w:tcPr>
            <w:tcW w:w="1557" w:type="pct"/>
            <w:vMerge/>
            <w:tcMar>
              <w:left w:w="108" w:type="dxa"/>
              <w:right w:w="108" w:type="dxa"/>
            </w:tcMar>
          </w:tcPr>
          <w:p w14:paraId="08EDBDCC" w14:textId="77777777" w:rsidR="004E1314" w:rsidRPr="00DF7DE3" w:rsidRDefault="004E1314" w:rsidP="00733737">
            <w:pPr>
              <w:spacing w:before="60" w:after="60" w:line="240" w:lineRule="auto"/>
              <w:rPr>
                <w:rFonts w:ascii="Calibri" w:hAnsi="Calibri" w:cs="Calibri"/>
                <w:sz w:val="18"/>
                <w:szCs w:val="18"/>
              </w:rPr>
            </w:pPr>
          </w:p>
        </w:tc>
        <w:tc>
          <w:tcPr>
            <w:tcW w:w="2445" w:type="pct"/>
            <w:tcMar>
              <w:left w:w="108" w:type="dxa"/>
              <w:right w:w="108" w:type="dxa"/>
            </w:tcMar>
          </w:tcPr>
          <w:p w14:paraId="2396EF56"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Subtotal</w:t>
            </w:r>
          </w:p>
        </w:tc>
        <w:tc>
          <w:tcPr>
            <w:tcW w:w="998" w:type="pct"/>
            <w:tcMar>
              <w:left w:w="108" w:type="dxa"/>
              <w:right w:w="108" w:type="dxa"/>
            </w:tcMar>
          </w:tcPr>
          <w:p w14:paraId="706880DE" w14:textId="52E6BDED" w:rsidR="004E1314" w:rsidRPr="00243864" w:rsidRDefault="004E1314" w:rsidP="00733737">
            <w:pPr>
              <w:spacing w:before="60" w:after="60" w:line="240" w:lineRule="auto"/>
              <w:jc w:val="right"/>
              <w:rPr>
                <w:rStyle w:val="Strong"/>
                <w:sz w:val="18"/>
                <w:szCs w:val="18"/>
              </w:rPr>
            </w:pPr>
            <w:r>
              <w:rPr>
                <w:rStyle w:val="Strong"/>
                <w:sz w:val="18"/>
                <w:szCs w:val="18"/>
              </w:rPr>
              <w:t>99,883,639</w:t>
            </w:r>
          </w:p>
        </w:tc>
      </w:tr>
      <w:tr w:rsidR="004E1314" w:rsidRPr="00243864" w14:paraId="227BF284" w14:textId="77777777" w:rsidTr="007D1B7C">
        <w:tc>
          <w:tcPr>
            <w:tcW w:w="1557" w:type="pct"/>
            <w:vMerge/>
            <w:tcBorders>
              <w:bottom w:val="single" w:sz="4" w:space="0" w:color="auto"/>
            </w:tcBorders>
            <w:tcMar>
              <w:left w:w="108" w:type="dxa"/>
              <w:right w:w="108" w:type="dxa"/>
            </w:tcMar>
          </w:tcPr>
          <w:p w14:paraId="5896BACB" w14:textId="77777777" w:rsidR="004E1314" w:rsidRPr="00DF7DE3" w:rsidRDefault="004E1314" w:rsidP="00733737">
            <w:pPr>
              <w:spacing w:before="60" w:after="60" w:line="240" w:lineRule="auto"/>
              <w:rPr>
                <w:rFonts w:ascii="Calibri" w:hAnsi="Calibri" w:cs="Calibri"/>
                <w:sz w:val="18"/>
                <w:szCs w:val="18"/>
              </w:rPr>
            </w:pPr>
          </w:p>
        </w:tc>
        <w:tc>
          <w:tcPr>
            <w:tcW w:w="2445" w:type="pct"/>
            <w:tcBorders>
              <w:bottom w:val="single" w:sz="4" w:space="0" w:color="auto"/>
            </w:tcBorders>
            <w:tcMar>
              <w:left w:w="108" w:type="dxa"/>
              <w:right w:w="108" w:type="dxa"/>
            </w:tcMar>
          </w:tcPr>
          <w:p w14:paraId="2988E4B3" w14:textId="77777777" w:rsidR="004E1314" w:rsidRPr="00DF7DE3" w:rsidRDefault="004E1314" w:rsidP="00733737">
            <w:pPr>
              <w:spacing w:before="60" w:after="60" w:line="240" w:lineRule="auto"/>
              <w:rPr>
                <w:rFonts w:ascii="Calibri" w:hAnsi="Calibri" w:cs="Calibri"/>
                <w:b/>
                <w:bCs/>
                <w:sz w:val="18"/>
                <w:szCs w:val="18"/>
              </w:rPr>
            </w:pPr>
            <w:r w:rsidRPr="00DF7DE3">
              <w:rPr>
                <w:rFonts w:ascii="Calibri" w:hAnsi="Calibri" w:cs="Calibri"/>
                <w:b/>
                <w:bCs/>
                <w:sz w:val="18"/>
                <w:szCs w:val="18"/>
              </w:rPr>
              <w:t>Total fee for service</w:t>
            </w:r>
          </w:p>
        </w:tc>
        <w:tc>
          <w:tcPr>
            <w:tcW w:w="998" w:type="pct"/>
            <w:tcBorders>
              <w:bottom w:val="single" w:sz="4" w:space="0" w:color="auto"/>
            </w:tcBorders>
            <w:tcMar>
              <w:left w:w="108" w:type="dxa"/>
              <w:right w:w="108" w:type="dxa"/>
            </w:tcMar>
          </w:tcPr>
          <w:p w14:paraId="03BA7089" w14:textId="664220C5" w:rsidR="004E1314" w:rsidRPr="00243864" w:rsidRDefault="004E1314" w:rsidP="00733737">
            <w:pPr>
              <w:spacing w:before="60" w:after="60" w:line="240" w:lineRule="auto"/>
              <w:jc w:val="right"/>
              <w:rPr>
                <w:rStyle w:val="Strong"/>
                <w:sz w:val="18"/>
                <w:szCs w:val="18"/>
              </w:rPr>
            </w:pPr>
            <w:r>
              <w:rPr>
                <w:rStyle w:val="Strong"/>
                <w:sz w:val="18"/>
                <w:szCs w:val="18"/>
              </w:rPr>
              <w:t>99,883,639</w:t>
            </w:r>
          </w:p>
        </w:tc>
      </w:tr>
      <w:tr w:rsidR="004E1314" w:rsidRPr="00677BBE" w14:paraId="1D6B3C34" w14:textId="77777777" w:rsidTr="007D1B7C">
        <w:tc>
          <w:tcPr>
            <w:tcW w:w="1557" w:type="pct"/>
            <w:tcBorders>
              <w:bottom w:val="single" w:sz="4" w:space="0" w:color="auto"/>
            </w:tcBorders>
            <w:tcMar>
              <w:left w:w="108" w:type="dxa"/>
              <w:right w:w="108" w:type="dxa"/>
            </w:tcMar>
          </w:tcPr>
          <w:p w14:paraId="6D7CE3BB" w14:textId="7F54EE3E" w:rsidR="004E1314" w:rsidRPr="00DF7DE3" w:rsidRDefault="004E1314" w:rsidP="007D1B7C">
            <w:pPr>
              <w:spacing w:before="60" w:after="60" w:line="240" w:lineRule="auto"/>
              <w:rPr>
                <w:rFonts w:ascii="Calibri" w:hAnsi="Calibri" w:cs="Calibri"/>
                <w:sz w:val="18"/>
                <w:szCs w:val="18"/>
              </w:rPr>
            </w:pPr>
            <w:r w:rsidRPr="00DF7DE3">
              <w:rPr>
                <w:b/>
                <w:bCs/>
                <w:sz w:val="18"/>
              </w:rPr>
              <w:t>Subtotal</w:t>
            </w:r>
          </w:p>
        </w:tc>
        <w:tc>
          <w:tcPr>
            <w:tcW w:w="2445" w:type="pct"/>
            <w:tcBorders>
              <w:bottom w:val="single" w:sz="4" w:space="0" w:color="auto"/>
            </w:tcBorders>
            <w:tcMar>
              <w:left w:w="108" w:type="dxa"/>
              <w:right w:w="108" w:type="dxa"/>
            </w:tcMar>
          </w:tcPr>
          <w:p w14:paraId="6B396F7F" w14:textId="23ACA573" w:rsidR="004E1314" w:rsidRPr="00DF7DE3" w:rsidRDefault="004E1314" w:rsidP="004E1314">
            <w:pPr>
              <w:spacing w:before="60" w:after="60" w:line="240" w:lineRule="auto"/>
              <w:jc w:val="right"/>
              <w:rPr>
                <w:rFonts w:ascii="Calibri" w:hAnsi="Calibri" w:cs="Calibri"/>
                <w:b/>
                <w:bCs/>
                <w:sz w:val="18"/>
                <w:szCs w:val="18"/>
              </w:rPr>
            </w:pPr>
            <w:r>
              <w:rPr>
                <w:rFonts w:ascii="Calibri" w:hAnsi="Calibri" w:cs="Calibri"/>
                <w:b/>
                <w:bCs/>
                <w:sz w:val="18"/>
                <w:szCs w:val="18"/>
              </w:rPr>
              <w:t>–</w:t>
            </w:r>
          </w:p>
        </w:tc>
        <w:tc>
          <w:tcPr>
            <w:tcW w:w="998" w:type="pct"/>
            <w:tcBorders>
              <w:bottom w:val="single" w:sz="4" w:space="0" w:color="auto"/>
            </w:tcBorders>
            <w:tcMar>
              <w:left w:w="108" w:type="dxa"/>
              <w:right w:w="108" w:type="dxa"/>
            </w:tcMar>
          </w:tcPr>
          <w:p w14:paraId="15775100" w14:textId="0D08BDC9" w:rsidR="004E1314" w:rsidRPr="00677BBE" w:rsidRDefault="004E1314" w:rsidP="004E1314">
            <w:pPr>
              <w:spacing w:before="60" w:after="60" w:line="240" w:lineRule="auto"/>
              <w:jc w:val="right"/>
              <w:rPr>
                <w:rStyle w:val="Strong"/>
                <w:sz w:val="18"/>
                <w:szCs w:val="18"/>
              </w:rPr>
            </w:pPr>
            <w:r>
              <w:rPr>
                <w:rStyle w:val="Strong"/>
                <w:sz w:val="18"/>
                <w:szCs w:val="18"/>
              </w:rPr>
              <w:t>485,837,813</w:t>
            </w:r>
          </w:p>
        </w:tc>
      </w:tr>
      <w:tr w:rsidR="004E1314" w:rsidRPr="00677BBE" w14:paraId="761B5154" w14:textId="77777777" w:rsidTr="007D1B7C">
        <w:tc>
          <w:tcPr>
            <w:tcW w:w="1557" w:type="pct"/>
            <w:tcBorders>
              <w:bottom w:val="single" w:sz="4" w:space="0" w:color="auto"/>
            </w:tcBorders>
            <w:tcMar>
              <w:left w:w="108" w:type="dxa"/>
              <w:right w:w="108" w:type="dxa"/>
            </w:tcMar>
          </w:tcPr>
          <w:p w14:paraId="04B62A36" w14:textId="34E24630" w:rsidR="004E1314" w:rsidRPr="00DF7DE3" w:rsidRDefault="004E1314" w:rsidP="007D1B7C">
            <w:pPr>
              <w:spacing w:before="60" w:after="60" w:line="240" w:lineRule="auto"/>
              <w:rPr>
                <w:rFonts w:ascii="Calibri" w:hAnsi="Calibri" w:cs="Calibri"/>
                <w:sz w:val="18"/>
                <w:szCs w:val="18"/>
              </w:rPr>
            </w:pPr>
            <w:r w:rsidRPr="00DF7DE3">
              <w:rPr>
                <w:rFonts w:ascii="Calibri" w:hAnsi="Calibri" w:cs="Calibri"/>
                <w:bCs/>
                <w:sz w:val="18"/>
                <w:szCs w:val="18"/>
                <w:lang w:eastAsia="ja-JP"/>
              </w:rPr>
              <w:t xml:space="preserve">Less government </w:t>
            </w:r>
            <w:r w:rsidRPr="00DF7DE3">
              <w:rPr>
                <w:rFonts w:ascii="Calibri" w:hAnsi="Calibri" w:cs="Calibri"/>
                <w:sz w:val="18"/>
                <w:szCs w:val="18"/>
                <w:lang w:eastAsia="ja-JP"/>
              </w:rPr>
              <w:t>appropriation for anti-smuggling measures</w:t>
            </w:r>
          </w:p>
        </w:tc>
        <w:tc>
          <w:tcPr>
            <w:tcW w:w="2445" w:type="pct"/>
            <w:tcBorders>
              <w:bottom w:val="single" w:sz="4" w:space="0" w:color="auto"/>
            </w:tcBorders>
            <w:tcMar>
              <w:left w:w="108" w:type="dxa"/>
              <w:right w:w="108" w:type="dxa"/>
            </w:tcMar>
          </w:tcPr>
          <w:p w14:paraId="5B7E1901" w14:textId="77777777" w:rsidR="004E1314" w:rsidRPr="00DF7DE3" w:rsidRDefault="004E1314" w:rsidP="004E1314">
            <w:pPr>
              <w:spacing w:before="60" w:after="60" w:line="240" w:lineRule="auto"/>
              <w:jc w:val="right"/>
              <w:rPr>
                <w:rFonts w:ascii="Calibri" w:hAnsi="Calibri" w:cs="Calibri"/>
                <w:b/>
                <w:bCs/>
                <w:sz w:val="18"/>
                <w:szCs w:val="18"/>
              </w:rPr>
            </w:pPr>
            <w:r w:rsidRPr="00DF7DE3">
              <w:rPr>
                <w:rFonts w:ascii="Calibri" w:hAnsi="Calibri" w:cs="Calibri"/>
                <w:b/>
                <w:bCs/>
                <w:sz w:val="18"/>
                <w:szCs w:val="18"/>
              </w:rPr>
              <w:t>–</w:t>
            </w:r>
          </w:p>
        </w:tc>
        <w:tc>
          <w:tcPr>
            <w:tcW w:w="998" w:type="pct"/>
            <w:tcBorders>
              <w:bottom w:val="single" w:sz="4" w:space="0" w:color="auto"/>
            </w:tcBorders>
            <w:tcMar>
              <w:left w:w="108" w:type="dxa"/>
              <w:right w:w="108" w:type="dxa"/>
            </w:tcMar>
          </w:tcPr>
          <w:p w14:paraId="0F922ED5" w14:textId="77777777" w:rsidR="004E1314" w:rsidRPr="00677BBE" w:rsidRDefault="004E1314" w:rsidP="004E1314">
            <w:pPr>
              <w:spacing w:before="60" w:after="60" w:line="240" w:lineRule="auto"/>
              <w:jc w:val="right"/>
              <w:rPr>
                <w:rFonts w:cstheme="minorHAnsi"/>
                <w:b/>
                <w:bCs/>
                <w:sz w:val="18"/>
                <w:szCs w:val="18"/>
                <w:lang w:eastAsia="ja-JP"/>
              </w:rPr>
            </w:pPr>
            <w:r w:rsidRPr="00677BBE">
              <w:rPr>
                <w:rFonts w:cstheme="minorHAnsi"/>
                <w:b/>
                <w:bCs/>
                <w:sz w:val="18"/>
                <w:szCs w:val="18"/>
                <w:lang w:eastAsia="ja-JP"/>
              </w:rPr>
              <w:t>(1,618,084)</w:t>
            </w:r>
          </w:p>
        </w:tc>
      </w:tr>
      <w:tr w:rsidR="004E1314" w:rsidRPr="00677BBE" w14:paraId="475A5F5A" w14:textId="77777777" w:rsidTr="007D1B7C">
        <w:tc>
          <w:tcPr>
            <w:tcW w:w="1557" w:type="pct"/>
            <w:tcBorders>
              <w:bottom w:val="single" w:sz="4" w:space="0" w:color="auto"/>
            </w:tcBorders>
            <w:tcMar>
              <w:left w:w="108" w:type="dxa"/>
              <w:right w:w="108" w:type="dxa"/>
            </w:tcMar>
          </w:tcPr>
          <w:p w14:paraId="16676B0A" w14:textId="2C682E3E" w:rsidR="004E1314" w:rsidRPr="00DF7DE3" w:rsidRDefault="004E1314" w:rsidP="007D1B7C">
            <w:pPr>
              <w:spacing w:before="60" w:after="60" w:line="240" w:lineRule="auto"/>
              <w:rPr>
                <w:rFonts w:ascii="Calibri" w:hAnsi="Calibri" w:cs="Calibri"/>
                <w:sz w:val="18"/>
                <w:szCs w:val="18"/>
              </w:rPr>
            </w:pPr>
            <w:r w:rsidRPr="00DF7DE3">
              <w:rPr>
                <w:rFonts w:ascii="Calibri" w:hAnsi="Calibri" w:cs="Calibri"/>
                <w:bCs/>
                <w:sz w:val="18"/>
                <w:szCs w:val="18"/>
                <w:lang w:eastAsia="ja-JP"/>
              </w:rPr>
              <w:t>Less diagnostic consumables recovered at cost</w:t>
            </w:r>
          </w:p>
        </w:tc>
        <w:tc>
          <w:tcPr>
            <w:tcW w:w="2445" w:type="pct"/>
            <w:tcBorders>
              <w:bottom w:val="single" w:sz="4" w:space="0" w:color="auto"/>
            </w:tcBorders>
            <w:tcMar>
              <w:left w:w="108" w:type="dxa"/>
              <w:right w:w="108" w:type="dxa"/>
            </w:tcMar>
          </w:tcPr>
          <w:p w14:paraId="18822239" w14:textId="77777777" w:rsidR="004E1314" w:rsidRPr="00DF7DE3" w:rsidRDefault="004E1314" w:rsidP="004E1314">
            <w:pPr>
              <w:spacing w:before="60" w:after="60" w:line="240" w:lineRule="auto"/>
              <w:jc w:val="right"/>
              <w:rPr>
                <w:rFonts w:ascii="Calibri" w:hAnsi="Calibri" w:cs="Calibri"/>
                <w:b/>
                <w:bCs/>
                <w:sz w:val="18"/>
                <w:szCs w:val="18"/>
              </w:rPr>
            </w:pPr>
            <w:r w:rsidRPr="00DF7DE3">
              <w:rPr>
                <w:rFonts w:ascii="Calibri" w:hAnsi="Calibri" w:cs="Calibri"/>
                <w:b/>
                <w:bCs/>
                <w:sz w:val="18"/>
                <w:szCs w:val="18"/>
              </w:rPr>
              <w:t>–</w:t>
            </w:r>
          </w:p>
        </w:tc>
        <w:tc>
          <w:tcPr>
            <w:tcW w:w="998" w:type="pct"/>
            <w:tcBorders>
              <w:bottom w:val="single" w:sz="4" w:space="0" w:color="auto"/>
            </w:tcBorders>
            <w:tcMar>
              <w:left w:w="108" w:type="dxa"/>
              <w:right w:w="108" w:type="dxa"/>
            </w:tcMar>
          </w:tcPr>
          <w:p w14:paraId="5367920A" w14:textId="21D2AA83" w:rsidR="004E1314" w:rsidRPr="00677BBE" w:rsidRDefault="004E1314" w:rsidP="004E1314">
            <w:pPr>
              <w:spacing w:before="60" w:after="60" w:line="240" w:lineRule="auto"/>
              <w:jc w:val="right"/>
              <w:rPr>
                <w:rFonts w:cstheme="minorHAnsi"/>
                <w:sz w:val="18"/>
                <w:szCs w:val="18"/>
                <w:lang w:eastAsia="ja-JP"/>
              </w:rPr>
            </w:pPr>
            <w:r w:rsidRPr="00677BBE">
              <w:rPr>
                <w:rFonts w:cstheme="minorHAnsi"/>
                <w:sz w:val="18"/>
                <w:szCs w:val="18"/>
                <w:lang w:eastAsia="ja-JP"/>
              </w:rPr>
              <w:t>(</w:t>
            </w:r>
            <w:r>
              <w:rPr>
                <w:rFonts w:cstheme="minorHAnsi"/>
                <w:sz w:val="18"/>
                <w:szCs w:val="18"/>
                <w:lang w:eastAsia="ja-JP"/>
              </w:rPr>
              <w:t>1</w:t>
            </w:r>
            <w:r w:rsidRPr="00677BBE">
              <w:rPr>
                <w:rFonts w:cstheme="minorHAnsi"/>
                <w:sz w:val="18"/>
                <w:szCs w:val="18"/>
                <w:lang w:eastAsia="ja-JP"/>
              </w:rPr>
              <w:t>1</w:t>
            </w:r>
            <w:r>
              <w:rPr>
                <w:rFonts w:cstheme="minorHAnsi"/>
                <w:sz w:val="18"/>
                <w:szCs w:val="18"/>
                <w:lang w:eastAsia="ja-JP"/>
              </w:rPr>
              <w:t>4</w:t>
            </w:r>
            <w:r w:rsidRPr="00677BBE">
              <w:rPr>
                <w:rFonts w:cstheme="minorHAnsi"/>
                <w:sz w:val="18"/>
                <w:szCs w:val="18"/>
                <w:lang w:eastAsia="ja-JP"/>
              </w:rPr>
              <w:t>,</w:t>
            </w:r>
            <w:r>
              <w:rPr>
                <w:rFonts w:cstheme="minorHAnsi"/>
                <w:sz w:val="18"/>
                <w:szCs w:val="18"/>
                <w:lang w:eastAsia="ja-JP"/>
              </w:rPr>
              <w:t>952</w:t>
            </w:r>
            <w:r w:rsidRPr="00677BBE">
              <w:rPr>
                <w:rFonts w:cstheme="minorHAnsi"/>
                <w:sz w:val="18"/>
                <w:szCs w:val="18"/>
                <w:lang w:eastAsia="ja-JP"/>
              </w:rPr>
              <w:t>)</w:t>
            </w:r>
          </w:p>
        </w:tc>
      </w:tr>
      <w:tr w:rsidR="004E1314" w:rsidRPr="00677BBE" w14:paraId="70EC3BD2" w14:textId="77777777" w:rsidTr="007D1B7C">
        <w:tc>
          <w:tcPr>
            <w:tcW w:w="1557" w:type="pct"/>
            <w:tcBorders>
              <w:bottom w:val="single" w:sz="4" w:space="0" w:color="auto"/>
            </w:tcBorders>
            <w:tcMar>
              <w:left w:w="108" w:type="dxa"/>
              <w:right w:w="108" w:type="dxa"/>
            </w:tcMar>
          </w:tcPr>
          <w:p w14:paraId="7A633BE3" w14:textId="33C2B9C5" w:rsidR="004E1314" w:rsidRPr="00DF7DE3" w:rsidRDefault="004E1314" w:rsidP="007D1B7C">
            <w:pPr>
              <w:spacing w:before="60" w:after="60" w:line="240" w:lineRule="auto"/>
              <w:rPr>
                <w:rFonts w:ascii="Calibri" w:hAnsi="Calibri" w:cs="Calibri"/>
                <w:sz w:val="18"/>
                <w:szCs w:val="18"/>
              </w:rPr>
            </w:pPr>
            <w:r w:rsidRPr="00DF7DE3">
              <w:rPr>
                <w:rFonts w:ascii="Calibri" w:hAnsi="Calibri" w:cs="Calibri"/>
                <w:sz w:val="18"/>
                <w:szCs w:val="18"/>
                <w:lang w:eastAsia="ja-JP"/>
              </w:rPr>
              <w:t>Less costs paid on behalf of and recovered from companion animal importers</w:t>
            </w:r>
          </w:p>
        </w:tc>
        <w:tc>
          <w:tcPr>
            <w:tcW w:w="2445" w:type="pct"/>
            <w:tcBorders>
              <w:bottom w:val="single" w:sz="4" w:space="0" w:color="auto"/>
            </w:tcBorders>
            <w:tcMar>
              <w:left w:w="108" w:type="dxa"/>
              <w:right w:w="108" w:type="dxa"/>
            </w:tcMar>
          </w:tcPr>
          <w:p w14:paraId="4BFD79F6" w14:textId="77777777" w:rsidR="004E1314" w:rsidRPr="00DF7DE3" w:rsidRDefault="004E1314" w:rsidP="004E1314">
            <w:pPr>
              <w:spacing w:before="60" w:after="60" w:line="240" w:lineRule="auto"/>
              <w:jc w:val="right"/>
              <w:rPr>
                <w:rFonts w:ascii="Calibri" w:hAnsi="Calibri" w:cs="Calibri"/>
                <w:b/>
                <w:bCs/>
                <w:sz w:val="18"/>
                <w:szCs w:val="18"/>
              </w:rPr>
            </w:pPr>
            <w:r w:rsidRPr="00DF7DE3">
              <w:rPr>
                <w:rFonts w:ascii="Calibri" w:hAnsi="Calibri" w:cs="Calibri"/>
                <w:b/>
                <w:bCs/>
                <w:sz w:val="18"/>
                <w:szCs w:val="18"/>
              </w:rPr>
              <w:t>–</w:t>
            </w:r>
          </w:p>
        </w:tc>
        <w:tc>
          <w:tcPr>
            <w:tcW w:w="998" w:type="pct"/>
            <w:tcBorders>
              <w:bottom w:val="single" w:sz="4" w:space="0" w:color="auto"/>
            </w:tcBorders>
            <w:tcMar>
              <w:left w:w="108" w:type="dxa"/>
              <w:right w:w="108" w:type="dxa"/>
            </w:tcMar>
          </w:tcPr>
          <w:p w14:paraId="563CAE01" w14:textId="7DC5B17D" w:rsidR="004E1314" w:rsidRPr="00677BBE" w:rsidRDefault="004E1314" w:rsidP="004E1314">
            <w:pPr>
              <w:spacing w:before="60" w:after="60" w:line="240" w:lineRule="auto"/>
              <w:jc w:val="right"/>
              <w:rPr>
                <w:rFonts w:eastAsia="Calibri" w:cstheme="minorHAnsi"/>
                <w:bCs/>
                <w:sz w:val="18"/>
                <w:szCs w:val="18"/>
              </w:rPr>
            </w:pPr>
            <w:r w:rsidRPr="00677BBE">
              <w:rPr>
                <w:rFonts w:eastAsia="Calibri" w:cstheme="minorHAnsi"/>
                <w:bCs/>
                <w:sz w:val="18"/>
                <w:szCs w:val="18"/>
              </w:rPr>
              <w:t>(</w:t>
            </w:r>
            <w:r>
              <w:rPr>
                <w:rFonts w:eastAsia="Calibri" w:cstheme="minorHAnsi"/>
                <w:bCs/>
                <w:sz w:val="18"/>
                <w:szCs w:val="18"/>
              </w:rPr>
              <w:t>1,000,000</w:t>
            </w:r>
            <w:r w:rsidRPr="00677BBE">
              <w:rPr>
                <w:rFonts w:eastAsia="Calibri" w:cstheme="minorHAnsi"/>
                <w:bCs/>
                <w:sz w:val="18"/>
                <w:szCs w:val="18"/>
              </w:rPr>
              <w:t>)</w:t>
            </w:r>
          </w:p>
        </w:tc>
      </w:tr>
      <w:tr w:rsidR="004E1314" w:rsidRPr="00677BBE" w14:paraId="24723D55" w14:textId="77777777" w:rsidTr="007D1B7C">
        <w:tc>
          <w:tcPr>
            <w:tcW w:w="1557" w:type="pct"/>
            <w:tcBorders>
              <w:bottom w:val="single" w:sz="4" w:space="0" w:color="auto"/>
            </w:tcBorders>
            <w:tcMar>
              <w:left w:w="108" w:type="dxa"/>
              <w:right w:w="108" w:type="dxa"/>
            </w:tcMar>
          </w:tcPr>
          <w:p w14:paraId="26BC8594" w14:textId="505D8BB7" w:rsidR="004E1314" w:rsidRPr="00DF7DE3" w:rsidRDefault="004E1314" w:rsidP="007D1B7C">
            <w:pPr>
              <w:spacing w:before="60" w:after="60" w:line="240" w:lineRule="auto"/>
              <w:rPr>
                <w:rFonts w:ascii="Calibri" w:hAnsi="Calibri" w:cs="Calibri"/>
                <w:sz w:val="18"/>
                <w:szCs w:val="18"/>
              </w:rPr>
            </w:pPr>
            <w:r w:rsidRPr="00DF7DE3">
              <w:rPr>
                <w:rFonts w:ascii="Calibri" w:hAnsi="Calibri" w:cs="Calibri"/>
                <w:b/>
                <w:bCs/>
                <w:sz w:val="18"/>
              </w:rPr>
              <w:t>Net costs to be recovered</w:t>
            </w:r>
          </w:p>
        </w:tc>
        <w:tc>
          <w:tcPr>
            <w:tcW w:w="2445" w:type="pct"/>
            <w:tcBorders>
              <w:bottom w:val="single" w:sz="4" w:space="0" w:color="auto"/>
            </w:tcBorders>
            <w:tcMar>
              <w:left w:w="108" w:type="dxa"/>
              <w:right w:w="108" w:type="dxa"/>
            </w:tcMar>
          </w:tcPr>
          <w:p w14:paraId="295D49B2" w14:textId="77777777" w:rsidR="004E1314" w:rsidRPr="00DF7DE3" w:rsidRDefault="004E1314" w:rsidP="004E1314">
            <w:pPr>
              <w:spacing w:before="60" w:after="60" w:line="240" w:lineRule="auto"/>
              <w:jc w:val="right"/>
              <w:rPr>
                <w:rFonts w:ascii="Calibri" w:hAnsi="Calibri" w:cs="Calibri"/>
                <w:b/>
                <w:bCs/>
                <w:sz w:val="18"/>
                <w:szCs w:val="18"/>
              </w:rPr>
            </w:pPr>
            <w:r w:rsidRPr="00DF7DE3">
              <w:rPr>
                <w:rFonts w:ascii="Calibri" w:hAnsi="Calibri" w:cs="Calibri"/>
                <w:b/>
                <w:bCs/>
                <w:sz w:val="18"/>
                <w:szCs w:val="18"/>
              </w:rPr>
              <w:t>–</w:t>
            </w:r>
          </w:p>
        </w:tc>
        <w:tc>
          <w:tcPr>
            <w:tcW w:w="998" w:type="pct"/>
            <w:tcBorders>
              <w:bottom w:val="single" w:sz="4" w:space="0" w:color="auto"/>
            </w:tcBorders>
            <w:tcMar>
              <w:left w:w="108" w:type="dxa"/>
              <w:right w:w="108" w:type="dxa"/>
            </w:tcMar>
          </w:tcPr>
          <w:p w14:paraId="7AE0FDB7" w14:textId="5A97CACA" w:rsidR="004E1314" w:rsidRPr="00677BBE" w:rsidRDefault="004E1314" w:rsidP="004E1314">
            <w:pPr>
              <w:spacing w:before="60" w:after="60" w:line="240" w:lineRule="auto"/>
              <w:jc w:val="right"/>
              <w:rPr>
                <w:rStyle w:val="Strong"/>
                <w:sz w:val="18"/>
                <w:szCs w:val="18"/>
              </w:rPr>
            </w:pPr>
            <w:r w:rsidRPr="00677BBE">
              <w:rPr>
                <w:rStyle w:val="Strong"/>
                <w:sz w:val="18"/>
                <w:szCs w:val="18"/>
              </w:rPr>
              <w:t>4</w:t>
            </w:r>
            <w:r>
              <w:rPr>
                <w:rStyle w:val="Strong"/>
                <w:sz w:val="18"/>
                <w:szCs w:val="18"/>
              </w:rPr>
              <w:t>83,104,777</w:t>
            </w:r>
          </w:p>
        </w:tc>
      </w:tr>
    </w:tbl>
    <w:p w14:paraId="584BAC74" w14:textId="141EC7FF" w:rsidR="00BB4E52" w:rsidRPr="00886462" w:rsidRDefault="00BB4E52" w:rsidP="006537B9">
      <w:pPr>
        <w:pStyle w:val="Heading2"/>
      </w:pPr>
      <w:bookmarkStart w:id="112" w:name="_Toc168489256"/>
      <w:bookmarkStart w:id="113" w:name="_Toc168489553"/>
      <w:bookmarkStart w:id="114" w:name="_Toc168645251"/>
      <w:bookmarkStart w:id="115" w:name="_Toc233378694"/>
      <w:r w:rsidRPr="00886462">
        <w:lastRenderedPageBreak/>
        <w:t xml:space="preserve">Changes to regulatory charging in </w:t>
      </w:r>
      <w:bookmarkEnd w:id="112"/>
      <w:bookmarkEnd w:id="113"/>
      <w:bookmarkEnd w:id="114"/>
      <w:r w:rsidR="00C7397A">
        <w:t>2026</w:t>
      </w:r>
      <w:r w:rsidR="00E765B8">
        <w:t>–</w:t>
      </w:r>
      <w:r w:rsidR="00C7397A">
        <w:t>27</w:t>
      </w:r>
      <w:bookmarkEnd w:id="115"/>
    </w:p>
    <w:p w14:paraId="7AFC28BC" w14:textId="5BEAAB39" w:rsidR="001E760C" w:rsidRDefault="001E760C" w:rsidP="00BB4E52">
      <w:r>
        <w:t xml:space="preserve">This </w:t>
      </w:r>
      <w:r w:rsidR="001F4822">
        <w:t xml:space="preserve">chapter </w:t>
      </w:r>
      <w:r>
        <w:t xml:space="preserve">provides information to regulated entities on agreed charges for the upcoming financial year and on any other matters relating to these charges that have changed </w:t>
      </w:r>
      <w:r w:rsidR="00E765B8">
        <w:t xml:space="preserve">since </w:t>
      </w:r>
      <w:r w:rsidR="00C7397A">
        <w:t>2025</w:t>
      </w:r>
      <w:r w:rsidR="00A77092">
        <w:t>–</w:t>
      </w:r>
      <w:r w:rsidR="00C7397A">
        <w:t>26</w:t>
      </w:r>
      <w:r w:rsidR="00E765B8">
        <w:t>.</w:t>
      </w:r>
    </w:p>
    <w:p w14:paraId="6A23D2CE" w14:textId="1579260C" w:rsidR="00BB4E52" w:rsidRDefault="00BB4E52" w:rsidP="00BB4E52">
      <w:pPr>
        <w:rPr>
          <w:rFonts w:cstheme="minorHAnsi"/>
          <w:lang w:eastAsia="ja-JP"/>
        </w:rPr>
      </w:pPr>
      <w:r w:rsidRPr="008347AB">
        <w:t xml:space="preserve">In </w:t>
      </w:r>
      <w:r w:rsidRPr="00F700D1">
        <w:t>2023</w:t>
      </w:r>
      <w:r w:rsidR="005D1688">
        <w:t>–</w:t>
      </w:r>
      <w:r w:rsidRPr="00F700D1">
        <w:t>24</w:t>
      </w:r>
      <w:r w:rsidRPr="008347AB">
        <w:t xml:space="preserve"> </w:t>
      </w:r>
      <w:r w:rsidR="00E765B8">
        <w:t>we</w:t>
      </w:r>
      <w:r w:rsidRPr="008347AB">
        <w:t xml:space="preserve"> embedded the annual review cycle of the arrangement. The review include</w:t>
      </w:r>
      <w:r>
        <w:t>d</w:t>
      </w:r>
      <w:r w:rsidRPr="008347AB">
        <w:t xml:space="preserve"> monitoring and analysis of the impact of changes introduced on 1</w:t>
      </w:r>
      <w:r>
        <w:t> </w:t>
      </w:r>
      <w:r w:rsidRPr="008347AB">
        <w:t>July</w:t>
      </w:r>
      <w:r>
        <w:t> </w:t>
      </w:r>
      <w:r w:rsidRPr="008347AB">
        <w:t xml:space="preserve">2023. </w:t>
      </w:r>
      <w:r w:rsidRPr="008347AB">
        <w:rPr>
          <w:rFonts w:cstheme="minorHAnsi"/>
          <w:lang w:eastAsia="ja-JP"/>
        </w:rPr>
        <w:t xml:space="preserve">Recognising that our costs do not remain static and to avoid large increases in the future, legislation was amended in 2023 to introduce indexation of </w:t>
      </w:r>
      <w:r w:rsidR="00233FCD">
        <w:rPr>
          <w:rFonts w:cstheme="minorHAnsi"/>
          <w:lang w:eastAsia="ja-JP"/>
        </w:rPr>
        <w:t>prices</w:t>
      </w:r>
      <w:r w:rsidRPr="008347AB">
        <w:rPr>
          <w:rFonts w:cstheme="minorHAnsi"/>
          <w:lang w:eastAsia="ja-JP"/>
        </w:rPr>
        <w:t xml:space="preserve"> annually, based on the all-groups CPI </w:t>
      </w:r>
      <w:r w:rsidRPr="008347AB">
        <w:t xml:space="preserve">published by the </w:t>
      </w:r>
      <w:hyperlink r:id="rId46" w:history="1">
        <w:r w:rsidRPr="008347AB">
          <w:rPr>
            <w:rStyle w:val="Hyperlink"/>
            <w:rFonts w:cstheme="minorHAnsi"/>
            <w:lang w:eastAsia="ja-JP"/>
          </w:rPr>
          <w:t>Australian Bureau of Statistics</w:t>
        </w:r>
      </w:hyperlink>
      <w:r w:rsidRPr="008347AB">
        <w:rPr>
          <w:rFonts w:cstheme="minorHAnsi"/>
          <w:lang w:eastAsia="ja-JP"/>
        </w:rPr>
        <w:t>.</w:t>
      </w:r>
    </w:p>
    <w:p w14:paraId="09F4CEDC" w14:textId="22D07A68" w:rsidR="00AE1CA8" w:rsidRDefault="00E029F4" w:rsidP="0081538F">
      <w:pPr>
        <w:rPr>
          <w:rFonts w:cstheme="minorHAnsi"/>
          <w:lang w:eastAsia="ja-JP"/>
        </w:rPr>
      </w:pPr>
      <w:bookmarkStart w:id="116" w:name="_Hlk197945443"/>
      <w:r w:rsidRPr="007A5B40">
        <w:rPr>
          <w:rFonts w:cstheme="minorHAnsi"/>
          <w:lang w:eastAsia="ja-JP"/>
        </w:rPr>
        <w:t xml:space="preserve">In 2024–25 prices for all regulatory charges increased by 4.1%, aligning with </w:t>
      </w:r>
      <w:r w:rsidR="0081538F" w:rsidRPr="007A5B40">
        <w:rPr>
          <w:rFonts w:cstheme="minorHAnsi"/>
          <w:lang w:eastAsia="ja-JP"/>
        </w:rPr>
        <w:t xml:space="preserve">the </w:t>
      </w:r>
      <w:r w:rsidRPr="007A5B40">
        <w:rPr>
          <w:rFonts w:cstheme="minorHAnsi"/>
          <w:lang w:eastAsia="ja-JP"/>
        </w:rPr>
        <w:t>CPI. In 2025</w:t>
      </w:r>
      <w:r w:rsidR="00E765B8">
        <w:rPr>
          <w:rFonts w:cstheme="minorHAnsi"/>
          <w:lang w:eastAsia="ja-JP"/>
        </w:rPr>
        <w:t>–</w:t>
      </w:r>
      <w:r w:rsidRPr="007A5B40">
        <w:rPr>
          <w:rFonts w:cstheme="minorHAnsi"/>
          <w:lang w:eastAsia="ja-JP"/>
        </w:rPr>
        <w:t xml:space="preserve">26 prices </w:t>
      </w:r>
      <w:r w:rsidR="003B2895">
        <w:rPr>
          <w:rFonts w:cstheme="minorHAnsi"/>
          <w:lang w:eastAsia="ja-JP"/>
        </w:rPr>
        <w:t>were</w:t>
      </w:r>
      <w:r w:rsidR="001231A9">
        <w:rPr>
          <w:rFonts w:cstheme="minorHAnsi"/>
          <w:lang w:eastAsia="ja-JP"/>
        </w:rPr>
        <w:t xml:space="preserve"> </w:t>
      </w:r>
      <w:r w:rsidRPr="007A5B40">
        <w:rPr>
          <w:rFonts w:cstheme="minorHAnsi"/>
          <w:lang w:eastAsia="ja-JP"/>
        </w:rPr>
        <w:t xml:space="preserve">indexed </w:t>
      </w:r>
      <w:r w:rsidR="006C238E" w:rsidRPr="007A5B40">
        <w:rPr>
          <w:rFonts w:cstheme="minorHAnsi"/>
          <w:lang w:eastAsia="ja-JP"/>
        </w:rPr>
        <w:t>by 2.4</w:t>
      </w:r>
      <w:r w:rsidRPr="007A5B40">
        <w:rPr>
          <w:rFonts w:cstheme="minorHAnsi"/>
          <w:lang w:eastAsia="ja-JP"/>
        </w:rPr>
        <w:t>%</w:t>
      </w:r>
      <w:r w:rsidR="003B2895">
        <w:rPr>
          <w:rFonts w:cstheme="minorHAnsi"/>
          <w:lang w:eastAsia="ja-JP"/>
        </w:rPr>
        <w:t xml:space="preserve"> and in 2026</w:t>
      </w:r>
      <w:r w:rsidR="00E765B8">
        <w:rPr>
          <w:rFonts w:cstheme="minorHAnsi"/>
          <w:lang w:eastAsia="ja-JP"/>
        </w:rPr>
        <w:t>–</w:t>
      </w:r>
      <w:r w:rsidR="003B2895">
        <w:rPr>
          <w:rFonts w:cstheme="minorHAnsi"/>
          <w:lang w:eastAsia="ja-JP"/>
        </w:rPr>
        <w:t>27</w:t>
      </w:r>
      <w:r w:rsidR="00EF537A">
        <w:rPr>
          <w:rFonts w:cstheme="minorHAnsi"/>
          <w:lang w:eastAsia="ja-JP"/>
        </w:rPr>
        <w:t xml:space="preserve"> </w:t>
      </w:r>
      <w:r w:rsidR="009903FA">
        <w:rPr>
          <w:rFonts w:cstheme="minorHAnsi"/>
          <w:lang w:eastAsia="ja-JP"/>
        </w:rPr>
        <w:t xml:space="preserve">most </w:t>
      </w:r>
      <w:r w:rsidR="00EF537A">
        <w:rPr>
          <w:rFonts w:cstheme="minorHAnsi"/>
          <w:lang w:eastAsia="ja-JP"/>
        </w:rPr>
        <w:t>prices have been indexed by a further 3.8%</w:t>
      </w:r>
      <w:r w:rsidRPr="007A5B40">
        <w:rPr>
          <w:rFonts w:cstheme="minorHAnsi"/>
          <w:lang w:eastAsia="ja-JP"/>
        </w:rPr>
        <w:t>.</w:t>
      </w:r>
      <w:r w:rsidR="00044EE9" w:rsidRPr="007A5B40">
        <w:rPr>
          <w:rFonts w:cstheme="minorHAnsi"/>
          <w:lang w:eastAsia="ja-JP"/>
        </w:rPr>
        <w:t xml:space="preserve"> Prices are published </w:t>
      </w:r>
      <w:r w:rsidR="00701F1F" w:rsidRPr="007A5B40">
        <w:rPr>
          <w:rFonts w:cstheme="minorHAnsi"/>
          <w:lang w:eastAsia="ja-JP"/>
        </w:rPr>
        <w:t>on</w:t>
      </w:r>
      <w:r w:rsidR="00044EE9" w:rsidRPr="007A5B40">
        <w:rPr>
          <w:rFonts w:cstheme="minorHAnsi"/>
          <w:lang w:eastAsia="ja-JP"/>
        </w:rPr>
        <w:t xml:space="preserve"> </w:t>
      </w:r>
      <w:r w:rsidR="00CA5C13" w:rsidRPr="007A5B40">
        <w:rPr>
          <w:rFonts w:cstheme="minorHAnsi"/>
          <w:lang w:eastAsia="ja-JP"/>
        </w:rPr>
        <w:t>our</w:t>
      </w:r>
      <w:r w:rsidR="00847396">
        <w:rPr>
          <w:rFonts w:cstheme="minorHAnsi"/>
          <w:lang w:eastAsia="ja-JP"/>
        </w:rPr>
        <w:t xml:space="preserve"> </w:t>
      </w:r>
      <w:hyperlink r:id="rId47" w:history="1">
        <w:r w:rsidR="00847396">
          <w:rPr>
            <w:rStyle w:val="Hyperlink"/>
            <w:rFonts w:cstheme="minorHAnsi"/>
            <w:lang w:eastAsia="ja-JP"/>
          </w:rPr>
          <w:t>biosecurity cost recovery implementation statements</w:t>
        </w:r>
      </w:hyperlink>
      <w:bookmarkEnd w:id="116"/>
      <w:r w:rsidR="00847396">
        <w:t xml:space="preserve"> </w:t>
      </w:r>
      <w:r w:rsidR="00701F1F" w:rsidRPr="007A5B40">
        <w:t xml:space="preserve">webpage </w:t>
      </w:r>
      <w:r w:rsidR="00AE1CA8" w:rsidRPr="007A5B40">
        <w:rPr>
          <w:rFonts w:cstheme="minorHAnsi"/>
          <w:lang w:eastAsia="ja-JP"/>
        </w:rPr>
        <w:t>and listed in</w:t>
      </w:r>
      <w:r w:rsidR="000E3712">
        <w:rPr>
          <w:rFonts w:cstheme="minorHAnsi"/>
          <w:lang w:eastAsia="ja-JP"/>
        </w:rPr>
        <w:t xml:space="preserve"> </w:t>
      </w:r>
      <w:r w:rsidR="00625260" w:rsidRPr="00625260">
        <w:rPr>
          <w:rStyle w:val="Hyperlink"/>
          <w:lang w:eastAsia="ja-JP"/>
        </w:rPr>
        <w:fldChar w:fldCharType="begin"/>
      </w:r>
      <w:r w:rsidR="00625260" w:rsidRPr="00625260">
        <w:rPr>
          <w:rStyle w:val="Hyperlink"/>
          <w:lang w:eastAsia="ja-JP"/>
        </w:rPr>
        <w:instrText xml:space="preserve"> REF _Ref197932955 \h </w:instrText>
      </w:r>
      <w:r w:rsidR="00625260">
        <w:rPr>
          <w:rStyle w:val="Hyperlink"/>
          <w:lang w:eastAsia="ja-JP"/>
        </w:rPr>
        <w:instrText xml:space="preserve"> \* MERGEFORMAT </w:instrText>
      </w:r>
      <w:r w:rsidR="00625260" w:rsidRPr="00625260">
        <w:rPr>
          <w:rStyle w:val="Hyperlink"/>
          <w:lang w:eastAsia="ja-JP"/>
        </w:rPr>
      </w:r>
      <w:r w:rsidR="00625260" w:rsidRPr="00625260">
        <w:rPr>
          <w:rStyle w:val="Hyperlink"/>
          <w:lang w:eastAsia="ja-JP"/>
        </w:rPr>
        <w:fldChar w:fldCharType="separate"/>
      </w:r>
      <w:r w:rsidR="00625260" w:rsidRPr="00625260">
        <w:rPr>
          <w:rStyle w:val="Hyperlink"/>
        </w:rPr>
        <w:t>Table 3</w:t>
      </w:r>
      <w:r w:rsidR="00625260" w:rsidRPr="00625260">
        <w:rPr>
          <w:rStyle w:val="Hyperlink"/>
          <w:lang w:eastAsia="ja-JP"/>
        </w:rPr>
        <w:fldChar w:fldCharType="end"/>
      </w:r>
      <w:r w:rsidR="009903FA">
        <w:rPr>
          <w:rFonts w:cstheme="minorHAnsi"/>
          <w:lang w:eastAsia="ja-JP"/>
        </w:rPr>
        <w:t xml:space="preserve">. </w:t>
      </w:r>
      <w:r w:rsidR="00AE1CA8" w:rsidRPr="007A5B40">
        <w:rPr>
          <w:rFonts w:cstheme="minorHAnsi"/>
          <w:lang w:eastAsia="ja-JP"/>
        </w:rPr>
        <w:t xml:space="preserve">The methodology used to determine the indexation </w:t>
      </w:r>
      <w:r w:rsidR="00E765B8" w:rsidRPr="007A5B40">
        <w:rPr>
          <w:rFonts w:cstheme="minorHAnsi"/>
          <w:lang w:eastAsia="ja-JP"/>
        </w:rPr>
        <w:t>factor,</w:t>
      </w:r>
      <w:r w:rsidR="00AE1CA8" w:rsidRPr="007A5B40">
        <w:rPr>
          <w:rFonts w:cstheme="minorHAnsi"/>
          <w:lang w:eastAsia="ja-JP"/>
        </w:rPr>
        <w:t xml:space="preserve"> and price calculation is set out in </w:t>
      </w:r>
      <w:hyperlink w:anchor="_Appendix_C:_Indexation" w:history="1">
        <w:r w:rsidR="00765692" w:rsidRPr="00AB165D">
          <w:rPr>
            <w:rStyle w:val="Hyperlink"/>
            <w:lang w:eastAsia="ja-JP"/>
          </w:rPr>
          <w:t>Appendix C</w:t>
        </w:r>
      </w:hyperlink>
      <w:r w:rsidR="00AE1CA8" w:rsidRPr="007A5B40">
        <w:rPr>
          <w:rFonts w:cstheme="minorHAnsi"/>
          <w:lang w:eastAsia="ja-JP"/>
        </w:rPr>
        <w:t>.</w:t>
      </w:r>
    </w:p>
    <w:p w14:paraId="457CA6DB" w14:textId="07F59BB1" w:rsidR="00BD1DFC" w:rsidRPr="00E432F5" w:rsidRDefault="00BD1DFC" w:rsidP="00BD1DFC">
      <w:pPr>
        <w:spacing w:after="160" w:line="278" w:lineRule="auto"/>
      </w:pPr>
      <w:r w:rsidRPr="00E432F5">
        <w:t xml:space="preserve">Since 2024–25 indexation has been the primary mechanism used to support annual price increases, as outlined in </w:t>
      </w:r>
      <w:hyperlink w:anchor="_Appendix_C:_Indexation" w:history="1">
        <w:r w:rsidRPr="00AB165D">
          <w:rPr>
            <w:rStyle w:val="Hyperlink"/>
            <w:lang w:eastAsia="ja-JP"/>
          </w:rPr>
          <w:t>Appendix C</w:t>
        </w:r>
      </w:hyperlink>
      <w:r w:rsidRPr="00E432F5">
        <w:t xml:space="preserve">. In addition, </w:t>
      </w:r>
      <w:r>
        <w:t>we</w:t>
      </w:r>
      <w:r w:rsidRPr="00E432F5">
        <w:t xml:space="preserve"> undertake regular reviews to ensure charges continue to reflect the cost of delivering </w:t>
      </w:r>
      <w:r>
        <w:t xml:space="preserve">regulatory </w:t>
      </w:r>
      <w:r w:rsidRPr="00E432F5">
        <w:t>activities over time. This includes monitoring actual costs and revenue each year to identify any over</w:t>
      </w:r>
      <w:r w:rsidRPr="00E432F5">
        <w:noBreakHyphen/>
        <w:t xml:space="preserve"> or under</w:t>
      </w:r>
      <w:r w:rsidRPr="00E432F5">
        <w:noBreakHyphen/>
        <w:t xml:space="preserve">recovery, which can inform adjustments to charges in future years. A more detailed review of cost recovery arrangements is planned for 2026–27 to further assess the appropriateness of settings and </w:t>
      </w:r>
      <w:r w:rsidR="00C60817" w:rsidRPr="00C60817">
        <w:t>ensur</w:t>
      </w:r>
      <w:r w:rsidR="00C60817">
        <w:t>e</w:t>
      </w:r>
      <w:r w:rsidR="00C60817" w:rsidRPr="00C60817">
        <w:t xml:space="preserve"> </w:t>
      </w:r>
      <w:r w:rsidR="00C60817">
        <w:t xml:space="preserve">regulatory </w:t>
      </w:r>
      <w:proofErr w:type="spellStart"/>
      <w:r w:rsidR="00C60817" w:rsidRPr="00C60817">
        <w:t>charges</w:t>
      </w:r>
      <w:proofErr w:type="spellEnd"/>
      <w:r w:rsidR="00C60817" w:rsidRPr="00C60817">
        <w:t xml:space="preserve"> reflect the efficient cost of delivering the activity</w:t>
      </w:r>
      <w:r w:rsidR="004A1F26">
        <w:t>.</w:t>
      </w:r>
    </w:p>
    <w:p w14:paraId="604F0BC5" w14:textId="6798D0DF" w:rsidR="00E765B8" w:rsidRPr="00140A3C" w:rsidRDefault="00E765B8" w:rsidP="006537B9">
      <w:pPr>
        <w:pStyle w:val="Heading3"/>
        <w:rPr>
          <w:lang w:eastAsia="ja-JP"/>
        </w:rPr>
      </w:pPr>
      <w:bookmarkStart w:id="117" w:name="_Toc233378695"/>
      <w:r>
        <w:rPr>
          <w:lang w:eastAsia="ja-JP"/>
        </w:rPr>
        <w:t xml:space="preserve">New </w:t>
      </w:r>
      <w:r w:rsidR="00A31366">
        <w:rPr>
          <w:lang w:eastAsia="ja-JP"/>
        </w:rPr>
        <w:t>charges</w:t>
      </w:r>
      <w:r>
        <w:rPr>
          <w:lang w:eastAsia="ja-JP"/>
        </w:rPr>
        <w:t xml:space="preserve"> for live snail</w:t>
      </w:r>
      <w:r w:rsidR="006537B9">
        <w:rPr>
          <w:lang w:eastAsia="ja-JP"/>
        </w:rPr>
        <w:t>s</w:t>
      </w:r>
      <w:r>
        <w:rPr>
          <w:lang w:eastAsia="ja-JP"/>
        </w:rPr>
        <w:t xml:space="preserve"> housed </w:t>
      </w:r>
      <w:r w:rsidR="00847396">
        <w:rPr>
          <w:lang w:eastAsia="ja-JP"/>
        </w:rPr>
        <w:t>at</w:t>
      </w:r>
      <w:r>
        <w:rPr>
          <w:lang w:eastAsia="ja-JP"/>
        </w:rPr>
        <w:t xml:space="preserve"> PEQ</w:t>
      </w:r>
      <w:bookmarkEnd w:id="117"/>
    </w:p>
    <w:p w14:paraId="5CE8C168" w14:textId="32E08252" w:rsidR="00E765B8" w:rsidRPr="00E765B8" w:rsidRDefault="00A31366" w:rsidP="00E765B8">
      <w:r>
        <w:t>A</w:t>
      </w:r>
      <w:r w:rsidRPr="00E765B8">
        <w:t xml:space="preserve">mendments </w:t>
      </w:r>
      <w:r>
        <w:t xml:space="preserve">to </w:t>
      </w:r>
      <w:r w:rsidRPr="00E765B8">
        <w:t xml:space="preserve">biosecurity charging legislation </w:t>
      </w:r>
      <w:r w:rsidR="00E765B8" w:rsidRPr="00E765B8">
        <w:t>introduce</w:t>
      </w:r>
      <w:r w:rsidR="00D707F9">
        <w:t>d</w:t>
      </w:r>
      <w:r w:rsidR="00E765B8" w:rsidRPr="00E765B8">
        <w:t xml:space="preserve"> new </w:t>
      </w:r>
      <w:r>
        <w:t xml:space="preserve">regulatory </w:t>
      </w:r>
      <w:r w:rsidR="00E765B8" w:rsidRPr="00E765B8">
        <w:t xml:space="preserve">charges for live garden snails. Charges have been developed based on the expected effort and costs associated with the management of a consignment of live snails housed at </w:t>
      </w:r>
      <w:r>
        <w:t>the PEQ</w:t>
      </w:r>
      <w:r w:rsidR="00E765B8" w:rsidRPr="00E765B8">
        <w:t xml:space="preserve"> facility. The level of effort reflects the risk management activities required when live snails are imported as described in </w:t>
      </w:r>
      <w:hyperlink r:id="rId48" w:history="1">
        <w:r w:rsidR="00E765B8" w:rsidRPr="00E765B8">
          <w:rPr>
            <w:color w:val="165788"/>
            <w:u w:val="single"/>
          </w:rPr>
          <w:t xml:space="preserve">Importation of live garden snails (Cornu </w:t>
        </w:r>
        <w:proofErr w:type="spellStart"/>
        <w:r w:rsidR="00E765B8" w:rsidRPr="00E765B8">
          <w:rPr>
            <w:color w:val="165788"/>
            <w:u w:val="single"/>
          </w:rPr>
          <w:t>aspersum</w:t>
        </w:r>
        <w:proofErr w:type="spellEnd"/>
        <w:r w:rsidR="00E765B8" w:rsidRPr="00E765B8">
          <w:rPr>
            <w:color w:val="165788"/>
            <w:u w:val="single"/>
          </w:rPr>
          <w:t>) for heliciculture</w:t>
        </w:r>
      </w:hyperlink>
      <w:r w:rsidR="00E765B8" w:rsidRPr="00E765B8">
        <w:t>.</w:t>
      </w:r>
    </w:p>
    <w:p w14:paraId="68508A85" w14:textId="77728928" w:rsidR="00E765B8" w:rsidRPr="005D1688" w:rsidRDefault="00E765B8" w:rsidP="00847396">
      <w:r w:rsidRPr="005D1688">
        <w:t xml:space="preserve">These </w:t>
      </w:r>
      <w:r w:rsidR="00A31366" w:rsidRPr="005D1688">
        <w:t>charge</w:t>
      </w:r>
      <w:r w:rsidR="006537B9" w:rsidRPr="005D1688">
        <w:t>s</w:t>
      </w:r>
      <w:r w:rsidRPr="005D1688">
        <w:t xml:space="preserve"> apply if an importer chooses to house a consignment of live snails at the PEQ facility. The proposed new fees and charges are described in</w:t>
      </w:r>
      <w:r w:rsidR="001578C9">
        <w:t xml:space="preserve"> </w:t>
      </w:r>
      <w:r w:rsidR="001578C9" w:rsidRPr="001578C9">
        <w:rPr>
          <w:rStyle w:val="Hyperlink"/>
        </w:rPr>
        <w:fldChar w:fldCharType="begin"/>
      </w:r>
      <w:r w:rsidR="001578C9" w:rsidRPr="001578C9">
        <w:rPr>
          <w:rStyle w:val="Hyperlink"/>
        </w:rPr>
        <w:instrText xml:space="preserve"> REF _Ref230255198 \h </w:instrText>
      </w:r>
      <w:r w:rsidR="001578C9">
        <w:rPr>
          <w:rStyle w:val="Hyperlink"/>
        </w:rPr>
        <w:instrText xml:space="preserve"> \* MERGEFORMAT </w:instrText>
      </w:r>
      <w:r w:rsidR="001578C9" w:rsidRPr="001578C9">
        <w:rPr>
          <w:rStyle w:val="Hyperlink"/>
        </w:rPr>
      </w:r>
      <w:r w:rsidR="001578C9" w:rsidRPr="001578C9">
        <w:rPr>
          <w:rStyle w:val="Hyperlink"/>
        </w:rPr>
        <w:fldChar w:fldCharType="separate"/>
      </w:r>
      <w:r w:rsidR="001578C9" w:rsidRPr="001578C9">
        <w:rPr>
          <w:rStyle w:val="Hyperlink"/>
        </w:rPr>
        <w:t>Table 6</w:t>
      </w:r>
      <w:r w:rsidR="001578C9" w:rsidRPr="001578C9">
        <w:rPr>
          <w:rStyle w:val="Hyperlink"/>
        </w:rPr>
        <w:fldChar w:fldCharType="end"/>
      </w:r>
      <w:r w:rsidRPr="005D1688">
        <w:t>.</w:t>
      </w:r>
    </w:p>
    <w:p w14:paraId="74DF050D" w14:textId="17676654" w:rsidR="00E765B8" w:rsidRPr="00625260" w:rsidRDefault="00E765B8" w:rsidP="001578C9">
      <w:pPr>
        <w:pStyle w:val="Caption"/>
        <w:rPr>
          <w:rStyle w:val="Strong"/>
          <w:b/>
          <w:bCs/>
        </w:rPr>
      </w:pPr>
      <w:bookmarkStart w:id="118" w:name="_Ref230255198"/>
      <w:bookmarkStart w:id="119" w:name="_Toc229981939"/>
      <w:bookmarkStart w:id="120" w:name="_Ref230255135"/>
      <w:bookmarkStart w:id="121" w:name="_Toc233378726"/>
      <w:r w:rsidRPr="00625260">
        <w:rPr>
          <w:rStyle w:val="Strong"/>
          <w:b/>
          <w:bCs/>
        </w:rPr>
        <w:t xml:space="preserve">Table </w:t>
      </w:r>
      <w:r w:rsidRPr="00625260">
        <w:rPr>
          <w:rStyle w:val="Strong"/>
          <w:b/>
          <w:bCs/>
        </w:rPr>
        <w:fldChar w:fldCharType="begin"/>
      </w:r>
      <w:r w:rsidRPr="00625260">
        <w:rPr>
          <w:rStyle w:val="Strong"/>
          <w:b/>
          <w:bCs/>
        </w:rPr>
        <w:instrText xml:space="preserve"> SEQ Table \* ARABIC </w:instrText>
      </w:r>
      <w:r w:rsidRPr="00625260">
        <w:rPr>
          <w:rStyle w:val="Strong"/>
          <w:b/>
          <w:bCs/>
        </w:rPr>
        <w:fldChar w:fldCharType="separate"/>
      </w:r>
      <w:r w:rsidRPr="00625260">
        <w:rPr>
          <w:rStyle w:val="Strong"/>
          <w:b/>
          <w:bCs/>
        </w:rPr>
        <w:t>6</w:t>
      </w:r>
      <w:r w:rsidRPr="00625260">
        <w:rPr>
          <w:rStyle w:val="Strong"/>
          <w:b/>
          <w:bCs/>
        </w:rPr>
        <w:fldChar w:fldCharType="end"/>
      </w:r>
      <w:bookmarkEnd w:id="118"/>
      <w:r w:rsidRPr="00625260">
        <w:rPr>
          <w:rStyle w:val="Strong"/>
          <w:b/>
          <w:bCs/>
        </w:rPr>
        <w:t xml:space="preserve"> Fees and charges for live snails</w:t>
      </w:r>
      <w:bookmarkEnd w:id="119"/>
      <w:bookmarkEnd w:id="120"/>
      <w:bookmarkEnd w:id="121"/>
    </w:p>
    <w:tbl>
      <w:tblPr>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134"/>
        <w:gridCol w:w="5244"/>
        <w:gridCol w:w="1702"/>
        <w:gridCol w:w="990"/>
      </w:tblGrid>
      <w:tr w:rsidR="00E765B8" w:rsidRPr="00E765B8" w14:paraId="5B5AB4F8" w14:textId="77777777" w:rsidTr="00805383">
        <w:trPr>
          <w:cantSplit/>
          <w:tblHeader/>
        </w:trPr>
        <w:tc>
          <w:tcPr>
            <w:tcW w:w="625" w:type="pct"/>
            <w:tcBorders>
              <w:bottom w:val="single" w:sz="4" w:space="0" w:color="auto"/>
            </w:tcBorders>
            <w:tcMar>
              <w:left w:w="108" w:type="dxa"/>
              <w:right w:w="108" w:type="dxa"/>
            </w:tcMar>
          </w:tcPr>
          <w:p w14:paraId="4C506D1A" w14:textId="77777777" w:rsidR="00E765B8" w:rsidRPr="00E765B8" w:rsidRDefault="00E765B8" w:rsidP="00E765B8">
            <w:pPr>
              <w:keepNext/>
              <w:spacing w:before="60" w:after="60" w:line="240" w:lineRule="auto"/>
              <w:rPr>
                <w:b/>
                <w:sz w:val="18"/>
              </w:rPr>
            </w:pPr>
            <w:r w:rsidRPr="00E765B8">
              <w:rPr>
                <w:b/>
                <w:sz w:val="18"/>
              </w:rPr>
              <w:t>Type of charge</w:t>
            </w:r>
          </w:p>
        </w:tc>
        <w:tc>
          <w:tcPr>
            <w:tcW w:w="2891" w:type="pct"/>
            <w:tcBorders>
              <w:bottom w:val="single" w:sz="4" w:space="0" w:color="auto"/>
            </w:tcBorders>
            <w:tcMar>
              <w:left w:w="108" w:type="dxa"/>
              <w:right w:w="108" w:type="dxa"/>
            </w:tcMar>
          </w:tcPr>
          <w:p w14:paraId="4476670C" w14:textId="77777777" w:rsidR="00E765B8" w:rsidRPr="00E765B8" w:rsidRDefault="00E765B8" w:rsidP="00E765B8">
            <w:pPr>
              <w:keepNext/>
              <w:spacing w:before="60" w:after="60" w:line="240" w:lineRule="auto"/>
              <w:rPr>
                <w:b/>
                <w:sz w:val="18"/>
              </w:rPr>
            </w:pPr>
            <w:r w:rsidRPr="00E765B8">
              <w:rPr>
                <w:b/>
                <w:sz w:val="18"/>
              </w:rPr>
              <w:t>Charge point</w:t>
            </w:r>
          </w:p>
        </w:tc>
        <w:tc>
          <w:tcPr>
            <w:tcW w:w="938" w:type="pct"/>
            <w:tcBorders>
              <w:bottom w:val="single" w:sz="4" w:space="0" w:color="auto"/>
            </w:tcBorders>
            <w:tcMar>
              <w:left w:w="108" w:type="dxa"/>
              <w:right w:w="108" w:type="dxa"/>
            </w:tcMar>
          </w:tcPr>
          <w:p w14:paraId="0D5C00B8" w14:textId="77777777" w:rsidR="00E765B8" w:rsidRPr="00E765B8" w:rsidRDefault="00E765B8" w:rsidP="00E765B8">
            <w:pPr>
              <w:keepNext/>
              <w:spacing w:before="60" w:after="60" w:line="240" w:lineRule="auto"/>
              <w:rPr>
                <w:b/>
                <w:sz w:val="18"/>
              </w:rPr>
            </w:pPr>
            <w:r w:rsidRPr="00E765B8">
              <w:rPr>
                <w:b/>
                <w:sz w:val="18"/>
              </w:rPr>
              <w:t>Unit</w:t>
            </w:r>
          </w:p>
        </w:tc>
        <w:tc>
          <w:tcPr>
            <w:tcW w:w="546" w:type="pct"/>
            <w:tcBorders>
              <w:bottom w:val="single" w:sz="4" w:space="0" w:color="auto"/>
            </w:tcBorders>
            <w:tcMar>
              <w:left w:w="108" w:type="dxa"/>
              <w:right w:w="108" w:type="dxa"/>
            </w:tcMar>
          </w:tcPr>
          <w:p w14:paraId="1D943FA7" w14:textId="77777777" w:rsidR="00E765B8" w:rsidRPr="00E765B8" w:rsidRDefault="00E765B8" w:rsidP="00E765B8">
            <w:pPr>
              <w:keepNext/>
              <w:spacing w:before="60" w:after="60" w:line="240" w:lineRule="auto"/>
              <w:rPr>
                <w:b/>
                <w:sz w:val="18"/>
              </w:rPr>
            </w:pPr>
            <w:r w:rsidRPr="00E765B8">
              <w:rPr>
                <w:b/>
                <w:sz w:val="18"/>
              </w:rPr>
              <w:t>Price ($)</w:t>
            </w:r>
          </w:p>
        </w:tc>
      </w:tr>
      <w:tr w:rsidR="00E765B8" w:rsidRPr="00E765B8" w14:paraId="4AB86DF7" w14:textId="77777777" w:rsidTr="00805383">
        <w:tc>
          <w:tcPr>
            <w:tcW w:w="625" w:type="pct"/>
            <w:tcBorders>
              <w:top w:val="single" w:sz="4" w:space="0" w:color="auto"/>
              <w:left w:val="nil"/>
              <w:bottom w:val="single" w:sz="4" w:space="0" w:color="auto"/>
              <w:right w:val="nil"/>
            </w:tcBorders>
            <w:tcMar>
              <w:left w:w="108" w:type="dxa"/>
              <w:right w:w="108" w:type="dxa"/>
            </w:tcMar>
          </w:tcPr>
          <w:p w14:paraId="41DD7CFD" w14:textId="77777777" w:rsidR="00E765B8" w:rsidRPr="00E765B8" w:rsidRDefault="00E765B8" w:rsidP="00E765B8">
            <w:pPr>
              <w:spacing w:before="60" w:after="60" w:line="240" w:lineRule="auto"/>
              <w:rPr>
                <w:sz w:val="18"/>
              </w:rPr>
            </w:pPr>
            <w:r w:rsidRPr="00E765B8">
              <w:rPr>
                <w:sz w:val="18"/>
              </w:rPr>
              <w:t>Fee</w:t>
            </w:r>
          </w:p>
        </w:tc>
        <w:tc>
          <w:tcPr>
            <w:tcW w:w="2891" w:type="pct"/>
            <w:tcBorders>
              <w:top w:val="single" w:sz="4" w:space="0" w:color="auto"/>
              <w:left w:val="nil"/>
              <w:bottom w:val="single" w:sz="4" w:space="0" w:color="auto"/>
              <w:right w:val="nil"/>
            </w:tcBorders>
            <w:tcMar>
              <w:left w:w="108" w:type="dxa"/>
              <w:right w:w="108" w:type="dxa"/>
            </w:tcMar>
          </w:tcPr>
          <w:p w14:paraId="6910C927" w14:textId="77777777" w:rsidR="00E765B8" w:rsidRPr="00E765B8" w:rsidRDefault="00E765B8" w:rsidP="00E765B8">
            <w:pPr>
              <w:spacing w:before="60" w:after="60" w:line="240" w:lineRule="auto"/>
              <w:rPr>
                <w:sz w:val="18"/>
              </w:rPr>
            </w:pPr>
            <w:r w:rsidRPr="00E765B8">
              <w:rPr>
                <w:sz w:val="18"/>
              </w:rPr>
              <w:t>Husbandry activities in relation to a consignment of live snails which would include activities such as:</w:t>
            </w:r>
          </w:p>
          <w:p w14:paraId="36954DE6" w14:textId="50A57644" w:rsidR="00476001" w:rsidRDefault="006632CD" w:rsidP="00BA666A">
            <w:pPr>
              <w:pStyle w:val="TableBullet"/>
            </w:pPr>
            <w:r>
              <w:t>m</w:t>
            </w:r>
            <w:r w:rsidR="00E765B8" w:rsidRPr="00E765B8">
              <w:t>onitoring snail health during stay at PEQ</w:t>
            </w:r>
          </w:p>
          <w:p w14:paraId="15740440" w14:textId="7FB303F6" w:rsidR="00E765B8" w:rsidRPr="00E765B8" w:rsidRDefault="006632CD" w:rsidP="00BA666A">
            <w:pPr>
              <w:pStyle w:val="TableBullet"/>
            </w:pPr>
            <w:r>
              <w:t>r</w:t>
            </w:r>
            <w:r w:rsidR="00E765B8" w:rsidRPr="00E765B8">
              <w:t>emoval of dead or diseased snails</w:t>
            </w:r>
          </w:p>
          <w:p w14:paraId="1ED3B882" w14:textId="3CA85742" w:rsidR="00E765B8" w:rsidRPr="00E765B8" w:rsidRDefault="006632CD" w:rsidP="00476001">
            <w:pPr>
              <w:pStyle w:val="TableBullet"/>
            </w:pPr>
            <w:r>
              <w:t>t</w:t>
            </w:r>
            <w:r w:rsidR="00E765B8" w:rsidRPr="00E765B8">
              <w:t>ransport of snails</w:t>
            </w:r>
          </w:p>
          <w:p w14:paraId="4D84E577" w14:textId="44406D84" w:rsidR="00476001" w:rsidRPr="00476001" w:rsidRDefault="006632CD" w:rsidP="00476001">
            <w:pPr>
              <w:pStyle w:val="TableBullet"/>
              <w:rPr>
                <w:szCs w:val="18"/>
              </w:rPr>
            </w:pPr>
            <w:r>
              <w:lastRenderedPageBreak/>
              <w:t>f</w:t>
            </w:r>
            <w:r w:rsidR="00E765B8" w:rsidRPr="00E765B8">
              <w:t>eeding and watering snails</w:t>
            </w:r>
          </w:p>
          <w:p w14:paraId="0BD649FE" w14:textId="0CC67DCC" w:rsidR="00E765B8" w:rsidRPr="00E765B8" w:rsidRDefault="006632CD" w:rsidP="00476001">
            <w:pPr>
              <w:pStyle w:val="TableBullet"/>
              <w:rPr>
                <w:szCs w:val="18"/>
              </w:rPr>
            </w:pPr>
            <w:r>
              <w:t>c</w:t>
            </w:r>
            <w:r w:rsidR="00E765B8" w:rsidRPr="00E765B8">
              <w:t>leaning and maintenance of the snail enclosure throughout the duration of the stay at the PEQ facility.</w:t>
            </w:r>
          </w:p>
        </w:tc>
        <w:tc>
          <w:tcPr>
            <w:tcW w:w="938" w:type="pct"/>
            <w:tcBorders>
              <w:top w:val="single" w:sz="4" w:space="0" w:color="auto"/>
              <w:left w:val="nil"/>
              <w:bottom w:val="single" w:sz="4" w:space="0" w:color="auto"/>
              <w:right w:val="nil"/>
            </w:tcBorders>
            <w:tcMar>
              <w:left w:w="108" w:type="dxa"/>
              <w:right w:w="108" w:type="dxa"/>
            </w:tcMar>
          </w:tcPr>
          <w:p w14:paraId="36E14467" w14:textId="77777777" w:rsidR="00E765B8" w:rsidRPr="00E765B8" w:rsidRDefault="00E765B8" w:rsidP="00E765B8">
            <w:pPr>
              <w:spacing w:before="60" w:after="60" w:line="240" w:lineRule="auto"/>
              <w:rPr>
                <w:rFonts w:cstheme="minorHAnsi"/>
                <w:sz w:val="18"/>
                <w:szCs w:val="18"/>
              </w:rPr>
            </w:pPr>
            <w:r w:rsidRPr="00E765B8">
              <w:rPr>
                <w:rFonts w:cstheme="minorHAnsi"/>
                <w:sz w:val="18"/>
                <w:szCs w:val="18"/>
              </w:rPr>
              <w:lastRenderedPageBreak/>
              <w:t>Per calendar month or part thereof, for each consignment</w:t>
            </w:r>
          </w:p>
        </w:tc>
        <w:tc>
          <w:tcPr>
            <w:tcW w:w="546" w:type="pct"/>
            <w:tcBorders>
              <w:top w:val="single" w:sz="4" w:space="0" w:color="auto"/>
              <w:left w:val="nil"/>
              <w:bottom w:val="single" w:sz="4" w:space="0" w:color="auto"/>
              <w:right w:val="nil"/>
            </w:tcBorders>
            <w:tcMar>
              <w:left w:w="108" w:type="dxa"/>
              <w:right w:w="108" w:type="dxa"/>
            </w:tcMar>
          </w:tcPr>
          <w:p w14:paraId="7B0A06EB" w14:textId="77777777" w:rsidR="00E765B8" w:rsidRPr="00E765B8" w:rsidRDefault="00E765B8" w:rsidP="00E765B8">
            <w:pPr>
              <w:spacing w:before="60" w:after="60" w:line="240" w:lineRule="auto"/>
              <w:jc w:val="right"/>
              <w:rPr>
                <w:sz w:val="18"/>
                <w:szCs w:val="18"/>
              </w:rPr>
            </w:pPr>
            <w:r w:rsidRPr="00E765B8">
              <w:rPr>
                <w:sz w:val="18"/>
                <w:szCs w:val="18"/>
              </w:rPr>
              <w:t>2,470</w:t>
            </w:r>
          </w:p>
        </w:tc>
      </w:tr>
      <w:tr w:rsidR="00847396" w:rsidRPr="00E765B8" w14:paraId="04F20EFD" w14:textId="77777777" w:rsidTr="00B86B86">
        <w:tc>
          <w:tcPr>
            <w:tcW w:w="625" w:type="pct"/>
            <w:vMerge w:val="restart"/>
            <w:tcBorders>
              <w:top w:val="single" w:sz="4" w:space="0" w:color="auto"/>
              <w:left w:val="nil"/>
              <w:right w:val="nil"/>
            </w:tcBorders>
            <w:tcMar>
              <w:left w:w="108" w:type="dxa"/>
              <w:right w:w="108" w:type="dxa"/>
            </w:tcMar>
          </w:tcPr>
          <w:p w14:paraId="205F7BAB" w14:textId="106982DF" w:rsidR="00847396" w:rsidRPr="00E765B8" w:rsidRDefault="00847396" w:rsidP="00847396">
            <w:pPr>
              <w:spacing w:before="60" w:after="60" w:line="240" w:lineRule="auto"/>
              <w:rPr>
                <w:sz w:val="18"/>
              </w:rPr>
            </w:pPr>
            <w:r w:rsidRPr="00E765B8">
              <w:rPr>
                <w:sz w:val="18"/>
              </w:rPr>
              <w:t>Charge</w:t>
            </w:r>
          </w:p>
        </w:tc>
        <w:tc>
          <w:tcPr>
            <w:tcW w:w="2891" w:type="pct"/>
            <w:tcBorders>
              <w:top w:val="single" w:sz="4" w:space="0" w:color="auto"/>
              <w:left w:val="nil"/>
              <w:bottom w:val="single" w:sz="4" w:space="0" w:color="auto"/>
              <w:right w:val="nil"/>
            </w:tcBorders>
            <w:tcMar>
              <w:left w:w="108" w:type="dxa"/>
              <w:right w:w="108" w:type="dxa"/>
            </w:tcMar>
          </w:tcPr>
          <w:p w14:paraId="0A1807EC" w14:textId="77777777" w:rsidR="00847396" w:rsidRPr="00E765B8" w:rsidRDefault="00847396" w:rsidP="00E765B8">
            <w:pPr>
              <w:spacing w:before="60" w:after="60" w:line="240" w:lineRule="auto"/>
              <w:rPr>
                <w:sz w:val="18"/>
                <w:szCs w:val="18"/>
              </w:rPr>
            </w:pPr>
            <w:r w:rsidRPr="00E765B8">
              <w:rPr>
                <w:sz w:val="18"/>
              </w:rPr>
              <w:t>Reservation of a place in a post entry quarantine facility for a consignment of live snails, and administration and management of biosecurity activities in relation to the consignment.</w:t>
            </w:r>
          </w:p>
        </w:tc>
        <w:tc>
          <w:tcPr>
            <w:tcW w:w="938" w:type="pct"/>
            <w:tcBorders>
              <w:top w:val="single" w:sz="4" w:space="0" w:color="auto"/>
              <w:left w:val="nil"/>
              <w:bottom w:val="single" w:sz="4" w:space="0" w:color="auto"/>
              <w:right w:val="nil"/>
            </w:tcBorders>
            <w:tcMar>
              <w:left w:w="108" w:type="dxa"/>
              <w:right w:w="108" w:type="dxa"/>
            </w:tcMar>
          </w:tcPr>
          <w:p w14:paraId="56F49012" w14:textId="77777777" w:rsidR="00847396" w:rsidRPr="00E765B8" w:rsidRDefault="00847396" w:rsidP="00E765B8">
            <w:pPr>
              <w:spacing w:before="60" w:after="60" w:line="240" w:lineRule="auto"/>
              <w:rPr>
                <w:rFonts w:cstheme="minorHAnsi"/>
                <w:sz w:val="18"/>
                <w:szCs w:val="18"/>
              </w:rPr>
            </w:pPr>
            <w:r w:rsidRPr="00E765B8">
              <w:rPr>
                <w:sz w:val="18"/>
              </w:rPr>
              <w:t xml:space="preserve">Per consignment </w:t>
            </w:r>
          </w:p>
        </w:tc>
        <w:tc>
          <w:tcPr>
            <w:tcW w:w="546" w:type="pct"/>
            <w:tcBorders>
              <w:top w:val="single" w:sz="4" w:space="0" w:color="auto"/>
              <w:left w:val="nil"/>
              <w:bottom w:val="single" w:sz="4" w:space="0" w:color="auto"/>
              <w:right w:val="nil"/>
            </w:tcBorders>
            <w:tcMar>
              <w:left w:w="108" w:type="dxa"/>
              <w:right w:w="108" w:type="dxa"/>
            </w:tcMar>
          </w:tcPr>
          <w:p w14:paraId="7F47EA3C" w14:textId="77777777" w:rsidR="00847396" w:rsidRPr="00E765B8" w:rsidRDefault="00847396" w:rsidP="00E765B8">
            <w:pPr>
              <w:spacing w:before="60" w:after="60" w:line="240" w:lineRule="auto"/>
              <w:jc w:val="right"/>
              <w:rPr>
                <w:sz w:val="18"/>
                <w:szCs w:val="18"/>
              </w:rPr>
            </w:pPr>
            <w:r w:rsidRPr="00E765B8">
              <w:rPr>
                <w:sz w:val="18"/>
                <w:szCs w:val="18"/>
              </w:rPr>
              <w:t>892</w:t>
            </w:r>
          </w:p>
        </w:tc>
      </w:tr>
      <w:tr w:rsidR="00847396" w:rsidRPr="00E765B8" w14:paraId="3FEB11AA" w14:textId="77777777" w:rsidTr="00B86B86">
        <w:tc>
          <w:tcPr>
            <w:tcW w:w="625" w:type="pct"/>
            <w:vMerge/>
            <w:tcBorders>
              <w:left w:val="nil"/>
              <w:right w:val="nil"/>
            </w:tcBorders>
            <w:tcMar>
              <w:left w:w="108" w:type="dxa"/>
              <w:right w:w="108" w:type="dxa"/>
            </w:tcMar>
          </w:tcPr>
          <w:p w14:paraId="5535B7E1" w14:textId="03E1A39A" w:rsidR="00847396" w:rsidRPr="00E765B8" w:rsidRDefault="00847396" w:rsidP="00E765B8">
            <w:pPr>
              <w:spacing w:before="60" w:after="60" w:line="240" w:lineRule="auto"/>
              <w:rPr>
                <w:sz w:val="18"/>
              </w:rPr>
            </w:pPr>
          </w:p>
        </w:tc>
        <w:tc>
          <w:tcPr>
            <w:tcW w:w="2891" w:type="pct"/>
            <w:tcBorders>
              <w:top w:val="single" w:sz="4" w:space="0" w:color="auto"/>
              <w:left w:val="nil"/>
              <w:bottom w:val="single" w:sz="4" w:space="0" w:color="auto"/>
              <w:right w:val="nil"/>
            </w:tcBorders>
            <w:tcMar>
              <w:left w:w="108" w:type="dxa"/>
              <w:right w:w="108" w:type="dxa"/>
            </w:tcMar>
          </w:tcPr>
          <w:p w14:paraId="08DC26E1" w14:textId="77777777" w:rsidR="00847396" w:rsidRPr="00E765B8" w:rsidRDefault="00847396" w:rsidP="00E765B8">
            <w:pPr>
              <w:spacing w:before="60" w:after="60" w:line="240" w:lineRule="auto"/>
              <w:rPr>
                <w:sz w:val="18"/>
                <w:szCs w:val="18"/>
              </w:rPr>
            </w:pPr>
            <w:r w:rsidRPr="00E765B8">
              <w:rPr>
                <w:sz w:val="18"/>
              </w:rPr>
              <w:t>Confirmation of a reservation of a place in a post entry quarantine facility for a consignment of live snails, and administration and management of biosecurity activities in relation to the consignment.</w:t>
            </w:r>
          </w:p>
        </w:tc>
        <w:tc>
          <w:tcPr>
            <w:tcW w:w="938" w:type="pct"/>
            <w:tcBorders>
              <w:top w:val="single" w:sz="4" w:space="0" w:color="auto"/>
              <w:left w:val="nil"/>
              <w:bottom w:val="single" w:sz="4" w:space="0" w:color="auto"/>
              <w:right w:val="nil"/>
            </w:tcBorders>
            <w:tcMar>
              <w:left w:w="108" w:type="dxa"/>
              <w:right w:w="108" w:type="dxa"/>
            </w:tcMar>
          </w:tcPr>
          <w:p w14:paraId="00CC4E0C" w14:textId="77777777" w:rsidR="00847396" w:rsidRPr="00E765B8" w:rsidRDefault="00847396" w:rsidP="00E765B8">
            <w:pPr>
              <w:spacing w:before="60" w:after="60" w:line="240" w:lineRule="auto"/>
              <w:rPr>
                <w:rFonts w:cstheme="minorHAnsi"/>
                <w:sz w:val="18"/>
                <w:szCs w:val="18"/>
              </w:rPr>
            </w:pPr>
            <w:r w:rsidRPr="00E765B8">
              <w:rPr>
                <w:sz w:val="18"/>
              </w:rPr>
              <w:t>Per consignment</w:t>
            </w:r>
          </w:p>
        </w:tc>
        <w:tc>
          <w:tcPr>
            <w:tcW w:w="546" w:type="pct"/>
            <w:tcBorders>
              <w:top w:val="single" w:sz="4" w:space="0" w:color="auto"/>
              <w:left w:val="nil"/>
              <w:bottom w:val="single" w:sz="4" w:space="0" w:color="auto"/>
              <w:right w:val="nil"/>
            </w:tcBorders>
            <w:tcMar>
              <w:left w:w="108" w:type="dxa"/>
              <w:right w:w="108" w:type="dxa"/>
            </w:tcMar>
          </w:tcPr>
          <w:p w14:paraId="38DAE0B3" w14:textId="77777777" w:rsidR="00847396" w:rsidRPr="00E765B8" w:rsidRDefault="00847396" w:rsidP="00E765B8">
            <w:pPr>
              <w:spacing w:before="60" w:after="60" w:line="240" w:lineRule="auto"/>
              <w:jc w:val="right"/>
              <w:rPr>
                <w:sz w:val="18"/>
                <w:szCs w:val="18"/>
              </w:rPr>
            </w:pPr>
            <w:r w:rsidRPr="00E765B8">
              <w:rPr>
                <w:sz w:val="18"/>
                <w:szCs w:val="18"/>
              </w:rPr>
              <w:t>3,571</w:t>
            </w:r>
          </w:p>
        </w:tc>
      </w:tr>
    </w:tbl>
    <w:p w14:paraId="38117582" w14:textId="77777777" w:rsidR="00E765B8" w:rsidRPr="006537B9" w:rsidRDefault="00E765B8" w:rsidP="006537B9">
      <w:pPr>
        <w:pStyle w:val="Heading3"/>
        <w:spacing w:before="240"/>
      </w:pPr>
      <w:bookmarkStart w:id="122" w:name="_Toc233378696"/>
      <w:r w:rsidRPr="006537B9">
        <w:t>Clarity on cost recovery for avians</w:t>
      </w:r>
      <w:bookmarkEnd w:id="122"/>
    </w:p>
    <w:p w14:paraId="10D5D266" w14:textId="22FF6B25" w:rsidR="00E765B8" w:rsidRPr="00A31366" w:rsidRDefault="00E765B8" w:rsidP="00A31366">
      <w:r w:rsidRPr="00E765B8">
        <w:t xml:space="preserve">The recent reviews of cost recovery legislation identified amendments needed to ensure charging for </w:t>
      </w:r>
      <w:r w:rsidRPr="00A31366">
        <w:t xml:space="preserve">avian imports </w:t>
      </w:r>
      <w:r w:rsidR="00A03CA2">
        <w:t>pro</w:t>
      </w:r>
      <w:r w:rsidR="00EE2EBF">
        <w:t xml:space="preserve">vides </w:t>
      </w:r>
      <w:r w:rsidR="004A4FE5">
        <w:t>a clearer re</w:t>
      </w:r>
      <w:r w:rsidR="0026723C">
        <w:t xml:space="preserve">flection of </w:t>
      </w:r>
      <w:r w:rsidRPr="00A31366">
        <w:t>the costs of the services delivered and clarity on the application of cost recovery charges.</w:t>
      </w:r>
    </w:p>
    <w:p w14:paraId="5CF8E894" w14:textId="0B74052C" w:rsidR="00E765B8" w:rsidRPr="00A31366" w:rsidRDefault="00627A5B" w:rsidP="00A31366">
      <w:r>
        <w:t>C</w:t>
      </w:r>
      <w:r w:rsidR="00E765B8" w:rsidRPr="00A31366">
        <w:t xml:space="preserve">harges for avian imports include a reservation charge, a confirmation of reservation charge and a daily husbandry fee. Existing provisions in biosecurity charging legislation set the application of </w:t>
      </w:r>
      <w:r w:rsidR="00185EF6">
        <w:t>regulatory</w:t>
      </w:r>
      <w:r w:rsidR="00E765B8" w:rsidRPr="00A31366">
        <w:t xml:space="preserve"> charges for husbandry services and avian biosecurity activities on a per consignment basis. The proposed amendments would instead charge for those activities per biocontainment unit</w:t>
      </w:r>
      <w:r w:rsidR="00EF029D">
        <w:t>:</w:t>
      </w:r>
    </w:p>
    <w:p w14:paraId="53FF57FF" w14:textId="4BD07E1F" w:rsidR="00E765B8" w:rsidRPr="00E765B8" w:rsidRDefault="00E765B8" w:rsidP="00A31366">
      <w:pPr>
        <w:pStyle w:val="ListBullet"/>
      </w:pPr>
      <w:r w:rsidRPr="00E765B8">
        <w:t xml:space="preserve">A single consignment may occupy one or multiple biocontainment units at the </w:t>
      </w:r>
      <w:r w:rsidR="001C46C6">
        <w:t xml:space="preserve">PEQ </w:t>
      </w:r>
      <w:r w:rsidRPr="00E765B8">
        <w:t>facility.</w:t>
      </w:r>
    </w:p>
    <w:p w14:paraId="05DFB080" w14:textId="53853270" w:rsidR="00E765B8" w:rsidRPr="00E765B8" w:rsidRDefault="00E765B8" w:rsidP="00A31366">
      <w:pPr>
        <w:pStyle w:val="ListBullet"/>
      </w:pPr>
      <w:r w:rsidRPr="00E765B8">
        <w:t xml:space="preserve">The cost </w:t>
      </w:r>
      <w:r w:rsidR="001C46C6">
        <w:t xml:space="preserve">to manage the biosecurity risk </w:t>
      </w:r>
      <w:r w:rsidRPr="00E765B8">
        <w:t>varies depending on how many biocontainment units are needed to house a consignment.</w:t>
      </w:r>
    </w:p>
    <w:p w14:paraId="7182D053" w14:textId="7CF71171" w:rsidR="00E765B8" w:rsidRPr="00E765B8" w:rsidRDefault="00185EF6" w:rsidP="00A31366">
      <w:pPr>
        <w:pStyle w:val="ListBullet"/>
      </w:pPr>
      <w:r>
        <w:t>I</w:t>
      </w:r>
      <w:r w:rsidR="00E765B8" w:rsidRPr="00E765B8">
        <w:t>mporters nominate the number of biocontainment units needed to house a consignment.</w:t>
      </w:r>
    </w:p>
    <w:p w14:paraId="427EF856" w14:textId="2D651F8D" w:rsidR="00E765B8" w:rsidRPr="00E765B8" w:rsidRDefault="00E765B8" w:rsidP="00A31366">
      <w:r w:rsidRPr="00E765B8">
        <w:t>To ensure the cost recovery charges better reflect the costs of the services delivered, the charges for avian consignments need to be applied based on the number of biocontainment units occupied.</w:t>
      </w:r>
    </w:p>
    <w:p w14:paraId="1C09E292" w14:textId="1B7835AC" w:rsidR="00E765B8" w:rsidRPr="00E765B8" w:rsidRDefault="00E765B8" w:rsidP="00A31366">
      <w:r w:rsidRPr="00E765B8">
        <w:t>This change provides clarity on the application of fees and charges for avian imports.</w:t>
      </w:r>
    </w:p>
    <w:p w14:paraId="03377C61" w14:textId="77777777" w:rsidR="00A31366" w:rsidRDefault="00A31366" w:rsidP="00D57527">
      <w:pPr>
        <w:pStyle w:val="Heading3"/>
        <w:rPr>
          <w:rFonts w:eastAsia="Calibri"/>
        </w:rPr>
      </w:pPr>
      <w:bookmarkStart w:id="123" w:name="_Toc233378697"/>
      <w:r w:rsidRPr="002C6423">
        <w:rPr>
          <w:rFonts w:eastAsia="Calibri"/>
        </w:rPr>
        <w:t>Removing redundant provisions in legislation</w:t>
      </w:r>
      <w:bookmarkEnd w:id="123"/>
    </w:p>
    <w:p w14:paraId="02AB37A2" w14:textId="748F0E5A" w:rsidR="00A31366" w:rsidRDefault="00EF029D" w:rsidP="00A31366">
      <w:r>
        <w:t>We are r</w:t>
      </w:r>
      <w:r w:rsidR="00A31366">
        <w:t>emov</w:t>
      </w:r>
      <w:r w:rsidR="007D1B7C">
        <w:t>ing</w:t>
      </w:r>
      <w:r w:rsidR="00A31366">
        <w:t xml:space="preserve"> 3 provisions relating to the application of cost recovery fees that are no longer applied </w:t>
      </w:r>
      <w:r>
        <w:t>(</w:t>
      </w:r>
      <w:r w:rsidR="001578C9" w:rsidRPr="001578C9">
        <w:rPr>
          <w:rStyle w:val="Hyperlink"/>
        </w:rPr>
        <w:fldChar w:fldCharType="begin"/>
      </w:r>
      <w:r w:rsidR="001578C9" w:rsidRPr="001578C9">
        <w:rPr>
          <w:rStyle w:val="Hyperlink"/>
        </w:rPr>
        <w:instrText xml:space="preserve"> REF _Ref230255310 \h </w:instrText>
      </w:r>
      <w:r w:rsidR="001578C9">
        <w:rPr>
          <w:rStyle w:val="Hyperlink"/>
        </w:rPr>
        <w:instrText xml:space="preserve"> \* MERGEFORMAT </w:instrText>
      </w:r>
      <w:r w:rsidR="001578C9" w:rsidRPr="001578C9">
        <w:rPr>
          <w:rStyle w:val="Hyperlink"/>
        </w:rPr>
      </w:r>
      <w:r w:rsidR="001578C9" w:rsidRPr="001578C9">
        <w:rPr>
          <w:rStyle w:val="Hyperlink"/>
        </w:rPr>
        <w:fldChar w:fldCharType="separate"/>
      </w:r>
      <w:r w:rsidR="001578C9" w:rsidRPr="001578C9">
        <w:rPr>
          <w:rStyle w:val="Hyperlink"/>
        </w:rPr>
        <w:t>Table 7</w:t>
      </w:r>
      <w:r w:rsidR="001578C9" w:rsidRPr="001578C9">
        <w:rPr>
          <w:rStyle w:val="Hyperlink"/>
        </w:rPr>
        <w:fldChar w:fldCharType="end"/>
      </w:r>
      <w:r>
        <w:t>)</w:t>
      </w:r>
      <w:r w:rsidR="00A31366">
        <w:t>.</w:t>
      </w:r>
    </w:p>
    <w:p w14:paraId="7D8203A3" w14:textId="7637464E" w:rsidR="00A31366" w:rsidRPr="0052143D" w:rsidRDefault="00A31366" w:rsidP="0086351A">
      <w:pPr>
        <w:pStyle w:val="Caption"/>
      </w:pPr>
      <w:bookmarkStart w:id="124" w:name="_Ref230255310"/>
      <w:bookmarkStart w:id="125" w:name="_Toc229981940"/>
      <w:bookmarkStart w:id="126" w:name="_Toc233378727"/>
      <w:r w:rsidRPr="0052143D">
        <w:t xml:space="preserve">Table </w:t>
      </w:r>
      <w:fldSimple w:instr=" SEQ Table \* ARABIC ">
        <w:r w:rsidRPr="0052143D">
          <w:t>7</w:t>
        </w:r>
      </w:fldSimple>
      <w:bookmarkEnd w:id="124"/>
      <w:r w:rsidRPr="0052143D">
        <w:t xml:space="preserve"> Redundant provisions in legislation</w:t>
      </w:r>
      <w:bookmarkEnd w:id="125"/>
      <w:bookmarkEnd w:id="126"/>
    </w:p>
    <w:tbl>
      <w:tblPr>
        <w:tblW w:w="5158"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134"/>
        <w:gridCol w:w="4113"/>
        <w:gridCol w:w="4110"/>
      </w:tblGrid>
      <w:tr w:rsidR="00A31366" w:rsidRPr="00BB4FCF" w14:paraId="5BD4FCC9" w14:textId="77777777" w:rsidTr="00805383">
        <w:trPr>
          <w:cantSplit/>
          <w:tblHeader/>
        </w:trPr>
        <w:tc>
          <w:tcPr>
            <w:tcW w:w="606" w:type="pct"/>
            <w:tcBorders>
              <w:bottom w:val="single" w:sz="4" w:space="0" w:color="auto"/>
            </w:tcBorders>
            <w:tcMar>
              <w:left w:w="108" w:type="dxa"/>
              <w:right w:w="108" w:type="dxa"/>
            </w:tcMar>
          </w:tcPr>
          <w:p w14:paraId="7FD2877B" w14:textId="77777777" w:rsidR="00A31366" w:rsidRPr="00BB4FCF" w:rsidRDefault="00A31366" w:rsidP="00805383">
            <w:pPr>
              <w:pStyle w:val="TableHeading"/>
            </w:pPr>
            <w:r w:rsidRPr="00BB4FCF">
              <w:t>Type of charge</w:t>
            </w:r>
          </w:p>
        </w:tc>
        <w:tc>
          <w:tcPr>
            <w:tcW w:w="2198" w:type="pct"/>
            <w:tcBorders>
              <w:bottom w:val="single" w:sz="4" w:space="0" w:color="auto"/>
            </w:tcBorders>
            <w:tcMar>
              <w:left w:w="108" w:type="dxa"/>
              <w:right w:w="108" w:type="dxa"/>
            </w:tcMar>
          </w:tcPr>
          <w:p w14:paraId="4AA47B62" w14:textId="77777777" w:rsidR="00A31366" w:rsidRPr="00BB4FCF" w:rsidRDefault="00A31366" w:rsidP="00805383">
            <w:pPr>
              <w:pStyle w:val="TableHeading"/>
            </w:pPr>
            <w:r w:rsidRPr="000C6F5C">
              <w:t>Application</w:t>
            </w:r>
          </w:p>
        </w:tc>
        <w:tc>
          <w:tcPr>
            <w:tcW w:w="2196" w:type="pct"/>
            <w:tcBorders>
              <w:bottom w:val="single" w:sz="4" w:space="0" w:color="auto"/>
            </w:tcBorders>
            <w:tcMar>
              <w:left w:w="108" w:type="dxa"/>
              <w:right w:w="108" w:type="dxa"/>
            </w:tcMar>
          </w:tcPr>
          <w:p w14:paraId="231E48A1" w14:textId="77777777" w:rsidR="00A31366" w:rsidRPr="00BB4FCF" w:rsidRDefault="00A31366" w:rsidP="00805383">
            <w:pPr>
              <w:pStyle w:val="TableHeading"/>
            </w:pPr>
            <w:r w:rsidRPr="000C6F5C">
              <w:t>Rationale for removal</w:t>
            </w:r>
          </w:p>
        </w:tc>
      </w:tr>
      <w:tr w:rsidR="00EF029D" w:rsidRPr="008A370F" w14:paraId="35DFA569" w14:textId="77777777" w:rsidTr="005E67B3">
        <w:tc>
          <w:tcPr>
            <w:tcW w:w="606" w:type="pct"/>
            <w:vMerge w:val="restart"/>
            <w:tcBorders>
              <w:top w:val="single" w:sz="4" w:space="0" w:color="auto"/>
              <w:left w:val="nil"/>
              <w:right w:val="nil"/>
            </w:tcBorders>
            <w:tcMar>
              <w:left w:w="108" w:type="dxa"/>
              <w:right w:w="108" w:type="dxa"/>
            </w:tcMar>
          </w:tcPr>
          <w:p w14:paraId="14F2A2FC" w14:textId="0D7D8873" w:rsidR="00EF029D" w:rsidRPr="008B7CF3" w:rsidRDefault="00EF029D" w:rsidP="00805383">
            <w:pPr>
              <w:pStyle w:val="TableText"/>
            </w:pPr>
            <w:r w:rsidRPr="00AB25CB">
              <w:t>Fee</w:t>
            </w:r>
          </w:p>
        </w:tc>
        <w:tc>
          <w:tcPr>
            <w:tcW w:w="2198" w:type="pct"/>
            <w:tcBorders>
              <w:top w:val="single" w:sz="4" w:space="0" w:color="auto"/>
              <w:left w:val="nil"/>
              <w:bottom w:val="single" w:sz="4" w:space="0" w:color="auto"/>
              <w:right w:val="nil"/>
            </w:tcBorders>
            <w:tcMar>
              <w:left w:w="108" w:type="dxa"/>
              <w:right w:w="108" w:type="dxa"/>
            </w:tcMar>
          </w:tcPr>
          <w:p w14:paraId="3B63499B" w14:textId="77777777" w:rsidR="00EF029D" w:rsidRPr="008B7CF3" w:rsidRDefault="00EF029D" w:rsidP="00805383">
            <w:pPr>
              <w:pStyle w:val="TableText"/>
              <w:rPr>
                <w:szCs w:val="18"/>
              </w:rPr>
            </w:pPr>
            <w:r w:rsidRPr="00AB25CB">
              <w:t>Husbandry activities in relation to a horse in a post entry quarantine facility, for each day after the initial 14 day period during which the horse stayed at the post entry quarantine facility</w:t>
            </w:r>
          </w:p>
        </w:tc>
        <w:tc>
          <w:tcPr>
            <w:tcW w:w="2196" w:type="pct"/>
            <w:tcBorders>
              <w:top w:val="single" w:sz="4" w:space="0" w:color="auto"/>
              <w:left w:val="nil"/>
              <w:bottom w:val="single" w:sz="4" w:space="0" w:color="auto"/>
              <w:right w:val="nil"/>
            </w:tcBorders>
            <w:tcMar>
              <w:left w:w="108" w:type="dxa"/>
              <w:right w:w="108" w:type="dxa"/>
            </w:tcMar>
          </w:tcPr>
          <w:p w14:paraId="6B0B91A7" w14:textId="23E861BF" w:rsidR="00EF029D" w:rsidRPr="008B7CF3" w:rsidRDefault="00EF029D" w:rsidP="00805383">
            <w:pPr>
              <w:pStyle w:val="TableText"/>
              <w:rPr>
                <w:rFonts w:cstheme="minorHAnsi"/>
                <w:szCs w:val="18"/>
              </w:rPr>
            </w:pPr>
            <w:r>
              <w:t>We do</w:t>
            </w:r>
            <w:r w:rsidRPr="00AB25CB">
              <w:t xml:space="preserve"> not provide husbandry services for horses during their stay in the post entry quarantine facility.</w:t>
            </w:r>
          </w:p>
        </w:tc>
      </w:tr>
      <w:tr w:rsidR="00EF029D" w:rsidRPr="008A370F" w14:paraId="780B22F1" w14:textId="77777777" w:rsidTr="005E67B3">
        <w:tc>
          <w:tcPr>
            <w:tcW w:w="606" w:type="pct"/>
            <w:vMerge/>
            <w:tcBorders>
              <w:left w:val="nil"/>
              <w:right w:val="nil"/>
            </w:tcBorders>
            <w:tcMar>
              <w:left w:w="108" w:type="dxa"/>
              <w:right w:w="108" w:type="dxa"/>
            </w:tcMar>
          </w:tcPr>
          <w:p w14:paraId="5FD97CCB" w14:textId="4826E60B" w:rsidR="00EF029D" w:rsidRPr="008B7CF3" w:rsidRDefault="00EF029D" w:rsidP="00805383">
            <w:pPr>
              <w:pStyle w:val="TableText"/>
            </w:pPr>
          </w:p>
        </w:tc>
        <w:tc>
          <w:tcPr>
            <w:tcW w:w="2198" w:type="pct"/>
            <w:tcBorders>
              <w:top w:val="single" w:sz="4" w:space="0" w:color="auto"/>
              <w:left w:val="nil"/>
              <w:bottom w:val="single" w:sz="4" w:space="0" w:color="auto"/>
              <w:right w:val="nil"/>
            </w:tcBorders>
            <w:tcMar>
              <w:left w:w="108" w:type="dxa"/>
              <w:right w:w="108" w:type="dxa"/>
            </w:tcMar>
          </w:tcPr>
          <w:p w14:paraId="359554CF" w14:textId="77777777" w:rsidR="00EF029D" w:rsidRPr="008B7CF3" w:rsidRDefault="00EF029D" w:rsidP="00805383">
            <w:pPr>
              <w:pStyle w:val="TableText"/>
              <w:rPr>
                <w:szCs w:val="18"/>
              </w:rPr>
            </w:pPr>
            <w:r w:rsidRPr="002409F0">
              <w:t>Assessment of a permit application provided on a weekday outside ordinary hours of duty</w:t>
            </w:r>
          </w:p>
        </w:tc>
        <w:tc>
          <w:tcPr>
            <w:tcW w:w="2196" w:type="pct"/>
            <w:tcBorders>
              <w:top w:val="single" w:sz="4" w:space="0" w:color="auto"/>
              <w:left w:val="nil"/>
              <w:bottom w:val="single" w:sz="4" w:space="0" w:color="auto"/>
              <w:right w:val="nil"/>
            </w:tcBorders>
            <w:tcMar>
              <w:left w:w="108" w:type="dxa"/>
              <w:right w:w="108" w:type="dxa"/>
            </w:tcMar>
          </w:tcPr>
          <w:p w14:paraId="3CE3539B" w14:textId="24FA982E" w:rsidR="00EF029D" w:rsidRPr="008B7CF3" w:rsidRDefault="00EF029D" w:rsidP="00805383">
            <w:pPr>
              <w:pStyle w:val="TableText"/>
              <w:rPr>
                <w:rFonts w:cstheme="minorHAnsi"/>
                <w:szCs w:val="18"/>
              </w:rPr>
            </w:pPr>
            <w:r w:rsidRPr="00DF1BD7">
              <w:t>This activity rarely occurs outside ordinary hours on a weekday; in the event it does an existing provision allows the department to charge for the activity.</w:t>
            </w:r>
          </w:p>
        </w:tc>
      </w:tr>
      <w:tr w:rsidR="00EF029D" w:rsidRPr="008A370F" w14:paraId="3F62906D" w14:textId="77777777" w:rsidTr="005E67B3">
        <w:tc>
          <w:tcPr>
            <w:tcW w:w="606" w:type="pct"/>
            <w:vMerge/>
            <w:tcBorders>
              <w:left w:val="nil"/>
              <w:right w:val="nil"/>
            </w:tcBorders>
            <w:tcMar>
              <w:left w:w="108" w:type="dxa"/>
              <w:right w:w="108" w:type="dxa"/>
            </w:tcMar>
          </w:tcPr>
          <w:p w14:paraId="5E487C3F" w14:textId="63EAC89D" w:rsidR="00EF029D" w:rsidRPr="008B7CF3" w:rsidRDefault="00EF029D" w:rsidP="00805383">
            <w:pPr>
              <w:pStyle w:val="TableText"/>
            </w:pPr>
          </w:p>
        </w:tc>
        <w:tc>
          <w:tcPr>
            <w:tcW w:w="2198" w:type="pct"/>
            <w:tcBorders>
              <w:top w:val="single" w:sz="4" w:space="0" w:color="auto"/>
              <w:left w:val="nil"/>
              <w:bottom w:val="single" w:sz="4" w:space="0" w:color="auto"/>
              <w:right w:val="nil"/>
            </w:tcBorders>
            <w:tcMar>
              <w:left w:w="108" w:type="dxa"/>
              <w:right w:w="108" w:type="dxa"/>
            </w:tcMar>
          </w:tcPr>
          <w:p w14:paraId="1DD3711A" w14:textId="62E1C827" w:rsidR="00EF029D" w:rsidRPr="008B7CF3" w:rsidRDefault="00EF029D" w:rsidP="00805383">
            <w:pPr>
              <w:pStyle w:val="TableText"/>
              <w:rPr>
                <w:szCs w:val="18"/>
              </w:rPr>
            </w:pPr>
            <w:r w:rsidRPr="002409F0">
              <w:t xml:space="preserve">Assessment of a permit application provided on a Saturday, Sunday or a </w:t>
            </w:r>
            <w:r>
              <w:t>d</w:t>
            </w:r>
            <w:r w:rsidRPr="002409F0">
              <w:t>epartmental holiday</w:t>
            </w:r>
          </w:p>
        </w:tc>
        <w:tc>
          <w:tcPr>
            <w:tcW w:w="2196" w:type="pct"/>
            <w:tcBorders>
              <w:top w:val="single" w:sz="4" w:space="0" w:color="auto"/>
              <w:left w:val="nil"/>
              <w:bottom w:val="single" w:sz="4" w:space="0" w:color="auto"/>
              <w:right w:val="nil"/>
            </w:tcBorders>
            <w:tcMar>
              <w:left w:w="108" w:type="dxa"/>
              <w:right w:w="108" w:type="dxa"/>
            </w:tcMar>
          </w:tcPr>
          <w:p w14:paraId="53A6C1B8" w14:textId="77777777" w:rsidR="00EF029D" w:rsidRPr="008B7CF3" w:rsidRDefault="00EF029D" w:rsidP="00805383">
            <w:pPr>
              <w:pStyle w:val="TableText"/>
              <w:rPr>
                <w:rFonts w:cstheme="minorHAnsi"/>
                <w:szCs w:val="18"/>
              </w:rPr>
            </w:pPr>
            <w:r w:rsidRPr="00DF1BD7">
              <w:t xml:space="preserve">This activity rarely occurs on a weekend or departmental holiday, in the event it does an </w:t>
            </w:r>
            <w:r w:rsidRPr="00DF1BD7">
              <w:lastRenderedPageBreak/>
              <w:t xml:space="preserve">existing provision allows the department to charge for the activity. </w:t>
            </w:r>
          </w:p>
        </w:tc>
      </w:tr>
    </w:tbl>
    <w:p w14:paraId="432B1470" w14:textId="77777777" w:rsidR="00A31366" w:rsidRDefault="00A31366" w:rsidP="00185EF6">
      <w:pPr>
        <w:pStyle w:val="Heading4"/>
        <w:spacing w:before="240"/>
      </w:pPr>
      <w:r>
        <w:lastRenderedPageBreak/>
        <w:t>Improvements to cost recovery for regulatory diagnostic activity</w:t>
      </w:r>
    </w:p>
    <w:p w14:paraId="6E4A39C8" w14:textId="5F751FEA" w:rsidR="00185EF6" w:rsidRDefault="001C46C6" w:rsidP="00185EF6">
      <w:r>
        <w:t>In 2023 we reviewed</w:t>
      </w:r>
      <w:r w:rsidR="00476001">
        <w:t xml:space="preserve"> our cost recovery arrangements for </w:t>
      </w:r>
      <w:r>
        <w:t>regulatory diagnostic activitie</w:t>
      </w:r>
      <w:r w:rsidR="000B1FE9">
        <w:t>s (i.e. tests, identification) undertaken</w:t>
      </w:r>
      <w:r>
        <w:t xml:space="preserve"> to manage biosecurity risks associated with goods and international vessels and aircraft. The review identified gaps in cost recovery, including activities that were not charged or only partially charged</w:t>
      </w:r>
      <w:r w:rsidR="00185EF6">
        <w:t xml:space="preserve"> for under current arrangements</w:t>
      </w:r>
      <w:r w:rsidR="000B1FE9">
        <w:t>.</w:t>
      </w:r>
    </w:p>
    <w:p w14:paraId="63190B66" w14:textId="27C1861F" w:rsidR="00185EF6" w:rsidRDefault="00185EF6" w:rsidP="00185EF6">
      <w:r>
        <w:t>The cumulative impact of this amounts to a gap in recovery of our costs. For example, there are instances where no fees have been applied, or importers were only charged for 2 × 15</w:t>
      </w:r>
      <w:r w:rsidR="00EF029D">
        <w:t>-</w:t>
      </w:r>
      <w:r>
        <w:t>minute intervals ($80, 2025</w:t>
      </w:r>
      <w:r w:rsidR="00476001">
        <w:t>–</w:t>
      </w:r>
      <w:r>
        <w:t>26 rates), which does not reflect the actual effort or cost to undertake diagnostic work.</w:t>
      </w:r>
    </w:p>
    <w:p w14:paraId="039CAB75" w14:textId="52D73167" w:rsidR="001C46C6" w:rsidRDefault="00185EF6" w:rsidP="00185EF6">
      <w:r>
        <w:t>The current charging approach does not reflect the complexity of import pathways, nor provide clear or predictable pricing for industry, and does not adequately recognise the highly variable and technical nature of diagnostic work, compared to other regulatory activities such as inspections or document assessment.</w:t>
      </w:r>
    </w:p>
    <w:p w14:paraId="2C6A610D" w14:textId="1327F602" w:rsidR="001C46C6" w:rsidRDefault="001C46C6" w:rsidP="001C46C6">
      <w:r>
        <w:t xml:space="preserve">To support sustainable funding, </w:t>
      </w:r>
      <w:r w:rsidR="006537B9">
        <w:t>we are improving</w:t>
      </w:r>
      <w:r>
        <w:t xml:space="preserve"> cost recovery for diagnostic activities </w:t>
      </w:r>
      <w:r w:rsidR="006537B9">
        <w:t xml:space="preserve">in </w:t>
      </w:r>
      <w:r>
        <w:t>2026–27 through a phased approach:</w:t>
      </w:r>
    </w:p>
    <w:p w14:paraId="670DCC17" w14:textId="46431E44" w:rsidR="001C46C6" w:rsidRDefault="001C46C6" w:rsidP="00627A5B">
      <w:pPr>
        <w:pStyle w:val="ListBullet"/>
      </w:pPr>
      <w:r w:rsidRPr="00185EF6">
        <w:rPr>
          <w:rStyle w:val="Strong"/>
        </w:rPr>
        <w:t>Phase 1</w:t>
      </w:r>
      <w:r w:rsidR="00EF029D" w:rsidRPr="007D1B7C">
        <w:t xml:space="preserve"> –</w:t>
      </w:r>
      <w:r>
        <w:t xml:space="preserve"> Introduce new charges for diagnostic activities associated with international vessels.</w:t>
      </w:r>
    </w:p>
    <w:p w14:paraId="175B7AEE" w14:textId="17ECE9BA" w:rsidR="001C46C6" w:rsidRDefault="001C46C6" w:rsidP="00627A5B">
      <w:pPr>
        <w:pStyle w:val="ListBullet"/>
      </w:pPr>
      <w:r w:rsidRPr="00185EF6">
        <w:rPr>
          <w:rStyle w:val="Strong"/>
        </w:rPr>
        <w:t>Phase 2</w:t>
      </w:r>
      <w:r w:rsidR="00EF029D" w:rsidRPr="007D1B7C">
        <w:t xml:space="preserve"> –</w:t>
      </w:r>
      <w:r>
        <w:t xml:space="preserve"> Revise the fee structure and introduce fixed fees for most diagnostic activities for imported cargo.</w:t>
      </w:r>
    </w:p>
    <w:p w14:paraId="1097AECD" w14:textId="2B12DEC3" w:rsidR="001C46C6" w:rsidRPr="00627A5B" w:rsidRDefault="00627A5B" w:rsidP="00627A5B">
      <w:r w:rsidRPr="00046FCE">
        <w:t xml:space="preserve">While originally planned to commence in 2025, </w:t>
      </w:r>
      <w:r w:rsidRPr="00627A5B">
        <w:t xml:space="preserve">implementation was delayed due to the complexity of vessel and cargo pathways and the need to enhance billing systems to ensure transparent and consistent charging. </w:t>
      </w:r>
      <w:r w:rsidR="001C46C6" w:rsidRPr="00627A5B">
        <w:t xml:space="preserve">The revised </w:t>
      </w:r>
      <w:r>
        <w:t xml:space="preserve">approach </w:t>
      </w:r>
      <w:r w:rsidRPr="00627A5B">
        <w:t xml:space="preserve">aims to minimise the impacts on industry, while allowing </w:t>
      </w:r>
      <w:r w:rsidR="00C64680">
        <w:t>us</w:t>
      </w:r>
      <w:r w:rsidRPr="00627A5B">
        <w:t xml:space="preserve"> to recover the cost of delivering diagnostics to manage biosecurity risk associated with goods and conveyances.</w:t>
      </w:r>
    </w:p>
    <w:p w14:paraId="2434DD69" w14:textId="2619A745" w:rsidR="00E765B8" w:rsidRDefault="001C46C6" w:rsidP="001C46C6">
      <w:r>
        <w:t>Some stakeholders may experience increased costs, particularly where diagnostic activities were previously not charged or only partially charged.</w:t>
      </w:r>
    </w:p>
    <w:p w14:paraId="49D2717C" w14:textId="6AF82BDC" w:rsidR="00185EF6" w:rsidRDefault="00185EF6" w:rsidP="00185EF6">
      <w:pPr>
        <w:pStyle w:val="Heading4"/>
      </w:pPr>
      <w:r w:rsidRPr="00185EF6">
        <w:t xml:space="preserve">Phase </w:t>
      </w:r>
      <w:r w:rsidRPr="00EF029D">
        <w:t xml:space="preserve">1 </w:t>
      </w:r>
      <w:r w:rsidR="00EF029D">
        <w:t>New i</w:t>
      </w:r>
      <w:r w:rsidRPr="00185EF6">
        <w:t>nternational vessel charges</w:t>
      </w:r>
    </w:p>
    <w:p w14:paraId="35EB1DBE" w14:textId="4DB77568" w:rsidR="00185EF6" w:rsidRDefault="006537B9" w:rsidP="00185EF6">
      <w:r>
        <w:t>Two</w:t>
      </w:r>
      <w:r w:rsidR="00185EF6">
        <w:t xml:space="preserve"> new charges </w:t>
      </w:r>
      <w:r>
        <w:t xml:space="preserve">have been introduced to </w:t>
      </w:r>
      <w:r w:rsidR="00185EF6">
        <w:t>recover the cost of the diagnostic capability required to assess and manage the biosecurity risk associated with international vessels.</w:t>
      </w:r>
    </w:p>
    <w:p w14:paraId="17E0D50C" w14:textId="121FF292" w:rsidR="00185EF6" w:rsidRDefault="00185EF6" w:rsidP="00185EF6">
      <w:r>
        <w:t>This is a revision of the current cost recovery structure and provides an alternative more effective charging structure for regulatory activities already undertaken in relation to vessels.</w:t>
      </w:r>
    </w:p>
    <w:p w14:paraId="2759EABA" w14:textId="6EA99212" w:rsidR="00185EF6" w:rsidRDefault="00185EF6" w:rsidP="00627A5B">
      <w:pPr>
        <w:pStyle w:val="ListBullet"/>
      </w:pPr>
      <w:r>
        <w:t>Time</w:t>
      </w:r>
      <w:r w:rsidR="00510886">
        <w:t>-</w:t>
      </w:r>
      <w:r>
        <w:t xml:space="preserve">based fees </w:t>
      </w:r>
      <w:r w:rsidR="000B1FE9">
        <w:t xml:space="preserve">will </w:t>
      </w:r>
      <w:r w:rsidR="004B1B4C">
        <w:t>no longer</w:t>
      </w:r>
      <w:r>
        <w:t xml:space="preserve"> </w:t>
      </w:r>
      <w:r w:rsidR="000B1FE9">
        <w:t xml:space="preserve">apply </w:t>
      </w:r>
      <w:r>
        <w:t>for diagnostic activities undertaken in relation to vessels.</w:t>
      </w:r>
    </w:p>
    <w:p w14:paraId="3F8EB258" w14:textId="7A559DDE" w:rsidR="00185EF6" w:rsidRDefault="00185EF6" w:rsidP="00627A5B">
      <w:pPr>
        <w:pStyle w:val="ListBullet"/>
      </w:pPr>
      <w:r>
        <w:t>Cost to deliver the regulatory activities will be recovered through charges.</w:t>
      </w:r>
    </w:p>
    <w:p w14:paraId="6602FF5E" w14:textId="5D47F008" w:rsidR="00185EF6" w:rsidRDefault="00D57527" w:rsidP="00627A5B">
      <w:pPr>
        <w:pStyle w:val="ListBullet"/>
      </w:pPr>
      <w:r>
        <w:lastRenderedPageBreak/>
        <w:t>A</w:t>
      </w:r>
      <w:r w:rsidR="00185EF6">
        <w:t xml:space="preserve">pplied </w:t>
      </w:r>
      <w:r>
        <w:t xml:space="preserve">once </w:t>
      </w:r>
      <w:r w:rsidR="00185EF6">
        <w:t>per vessel if regulatory diagnostic activity is required during the vessel’s voyage in Australian territory</w:t>
      </w:r>
      <w:r w:rsidR="004B1B4C">
        <w:t>.</w:t>
      </w:r>
    </w:p>
    <w:p w14:paraId="50ACC674" w14:textId="2E00D9D1" w:rsidR="004B1B4C" w:rsidRPr="00185EF6" w:rsidRDefault="004B1B4C" w:rsidP="00627A5B">
      <w:pPr>
        <w:pStyle w:val="ListBullet"/>
      </w:pPr>
      <w:r>
        <w:t xml:space="preserve">Charge commences </w:t>
      </w:r>
      <w:r w:rsidRPr="007D1B7C">
        <w:t>1 July 2026</w:t>
      </w:r>
      <w:r w:rsidRPr="00510886">
        <w:t>.</w:t>
      </w:r>
    </w:p>
    <w:p w14:paraId="2490D3A3" w14:textId="0FF1FF57" w:rsidR="00185EF6" w:rsidRPr="00154A93" w:rsidRDefault="00185EF6" w:rsidP="00EF029D">
      <w:pPr>
        <w:pStyle w:val="Caption"/>
      </w:pPr>
      <w:bookmarkStart w:id="127" w:name="_Toc226917730"/>
      <w:bookmarkStart w:id="128" w:name="_Toc233378728"/>
      <w:r w:rsidRPr="00154A93">
        <w:t xml:space="preserve">Table </w:t>
      </w:r>
      <w:fldSimple w:instr=" SEQ Table \* ARABIC ">
        <w:r w:rsidR="00D57527">
          <w:rPr>
            <w:noProof/>
          </w:rPr>
          <w:t>8</w:t>
        </w:r>
      </w:fldSimple>
      <w:r w:rsidRPr="00154A93">
        <w:t xml:space="preserve"> </w:t>
      </w:r>
      <w:r w:rsidR="00627A5B">
        <w:t>C</w:t>
      </w:r>
      <w:r w:rsidRPr="00154A93">
        <w:t>harges for diagnostic activity in relation to vessels</w:t>
      </w:r>
      <w:bookmarkEnd w:id="127"/>
      <w:bookmarkEnd w:id="128"/>
    </w:p>
    <w:tbl>
      <w:tblPr>
        <w:tblW w:w="0" w:type="auto"/>
        <w:jc w:val="right"/>
        <w:tblBorders>
          <w:top w:val="single" w:sz="4" w:space="0" w:color="auto"/>
          <w:bottom w:val="single" w:sz="4" w:space="0" w:color="auto"/>
          <w:insideH w:val="single" w:sz="4" w:space="0" w:color="auto"/>
        </w:tblBorders>
        <w:tblLook w:val="04A0" w:firstRow="1" w:lastRow="0" w:firstColumn="1" w:lastColumn="0" w:noHBand="0" w:noVBand="1"/>
      </w:tblPr>
      <w:tblGrid>
        <w:gridCol w:w="2829"/>
        <w:gridCol w:w="4273"/>
        <w:gridCol w:w="971"/>
        <w:gridCol w:w="987"/>
      </w:tblGrid>
      <w:tr w:rsidR="00185EF6" w:rsidRPr="00CE7085" w14:paraId="251D5D17" w14:textId="77777777" w:rsidTr="0028443F">
        <w:trPr>
          <w:cantSplit/>
          <w:tblHeader/>
          <w:jc w:val="right"/>
        </w:trPr>
        <w:tc>
          <w:tcPr>
            <w:tcW w:w="2829" w:type="dxa"/>
          </w:tcPr>
          <w:p w14:paraId="6313D40D" w14:textId="77777777" w:rsidR="00185EF6" w:rsidRPr="00821252" w:rsidRDefault="00185EF6" w:rsidP="00805383">
            <w:pPr>
              <w:pStyle w:val="TableText"/>
              <w:rPr>
                <w:rStyle w:val="Strong"/>
              </w:rPr>
            </w:pPr>
            <w:r w:rsidRPr="00821252">
              <w:rPr>
                <w:rStyle w:val="Strong"/>
              </w:rPr>
              <w:t>Category</w:t>
            </w:r>
          </w:p>
        </w:tc>
        <w:tc>
          <w:tcPr>
            <w:tcW w:w="4273" w:type="dxa"/>
          </w:tcPr>
          <w:p w14:paraId="0ABAEDA3" w14:textId="77777777" w:rsidR="00185EF6" w:rsidRPr="00821252" w:rsidRDefault="00185EF6" w:rsidP="00805383">
            <w:pPr>
              <w:pStyle w:val="TableText"/>
              <w:rPr>
                <w:rStyle w:val="Strong"/>
              </w:rPr>
            </w:pPr>
            <w:r w:rsidRPr="00821252">
              <w:rPr>
                <w:rStyle w:val="Strong"/>
              </w:rPr>
              <w:t>Application</w:t>
            </w:r>
          </w:p>
        </w:tc>
        <w:tc>
          <w:tcPr>
            <w:tcW w:w="971" w:type="dxa"/>
          </w:tcPr>
          <w:p w14:paraId="403B43CE" w14:textId="77777777" w:rsidR="00185EF6" w:rsidRPr="00821252" w:rsidRDefault="00185EF6" w:rsidP="00805383">
            <w:pPr>
              <w:pStyle w:val="TableText"/>
              <w:rPr>
                <w:rStyle w:val="Strong"/>
              </w:rPr>
            </w:pPr>
            <w:r w:rsidRPr="00821252">
              <w:rPr>
                <w:rStyle w:val="Strong"/>
              </w:rPr>
              <w:t>Unit</w:t>
            </w:r>
          </w:p>
        </w:tc>
        <w:tc>
          <w:tcPr>
            <w:tcW w:w="987" w:type="dxa"/>
          </w:tcPr>
          <w:p w14:paraId="3CA51B84" w14:textId="77777777" w:rsidR="00185EF6" w:rsidRPr="00821252" w:rsidRDefault="00185EF6" w:rsidP="0028443F">
            <w:pPr>
              <w:pStyle w:val="TableText"/>
              <w:jc w:val="right"/>
              <w:rPr>
                <w:rStyle w:val="Strong"/>
                <w:rFonts w:ascii="Calibri" w:hAnsi="Calibri"/>
                <w:b w:val="0"/>
                <w:bCs w:val="0"/>
                <w:sz w:val="24"/>
                <w:szCs w:val="18"/>
              </w:rPr>
            </w:pPr>
            <w:r w:rsidRPr="00821252">
              <w:rPr>
                <w:rStyle w:val="Strong"/>
              </w:rPr>
              <w:t>Rate ($)</w:t>
            </w:r>
          </w:p>
        </w:tc>
      </w:tr>
      <w:tr w:rsidR="00185EF6" w:rsidRPr="00CE7085" w14:paraId="08EA8C54" w14:textId="77777777" w:rsidTr="0028443F">
        <w:trPr>
          <w:jc w:val="right"/>
        </w:trPr>
        <w:tc>
          <w:tcPr>
            <w:tcW w:w="2829" w:type="dxa"/>
          </w:tcPr>
          <w:p w14:paraId="7288EF6E" w14:textId="5760BA09" w:rsidR="00185EF6" w:rsidRPr="00837F98" w:rsidRDefault="0028443F" w:rsidP="00805383">
            <w:pPr>
              <w:pStyle w:val="TableText"/>
            </w:pPr>
            <w:r>
              <w:t xml:space="preserve">Ro/Ro </w:t>
            </w:r>
            <w:r w:rsidR="00185EF6" w:rsidRPr="00837F98">
              <w:t>vessel</w:t>
            </w:r>
          </w:p>
        </w:tc>
        <w:tc>
          <w:tcPr>
            <w:tcW w:w="4273" w:type="dxa"/>
          </w:tcPr>
          <w:p w14:paraId="0A563205" w14:textId="75A51C26" w:rsidR="00185EF6" w:rsidRPr="00764EBD" w:rsidRDefault="00185EF6" w:rsidP="00805383">
            <w:pPr>
              <w:pStyle w:val="TableText"/>
              <w:rPr>
                <w:lang w:eastAsia="en-AU"/>
              </w:rPr>
            </w:pPr>
            <w:r w:rsidRPr="00764EBD">
              <w:rPr>
                <w:lang w:eastAsia="en-AU"/>
              </w:rPr>
              <w:t>One off charge applied in relation to diagnostics activity to assess and manage biosecurity risk.</w:t>
            </w:r>
          </w:p>
        </w:tc>
        <w:tc>
          <w:tcPr>
            <w:tcW w:w="971" w:type="dxa"/>
          </w:tcPr>
          <w:p w14:paraId="27C9A264" w14:textId="77777777" w:rsidR="00185EF6" w:rsidRPr="00CE7085" w:rsidRDefault="00185EF6" w:rsidP="00805383">
            <w:pPr>
              <w:pStyle w:val="TableText"/>
              <w:rPr>
                <w:lang w:eastAsia="en-AU"/>
              </w:rPr>
            </w:pPr>
            <w:r w:rsidRPr="00CE7085">
              <w:rPr>
                <w:lang w:eastAsia="en-AU"/>
              </w:rPr>
              <w:t>Per vessel</w:t>
            </w:r>
          </w:p>
        </w:tc>
        <w:tc>
          <w:tcPr>
            <w:tcW w:w="987" w:type="dxa"/>
          </w:tcPr>
          <w:p w14:paraId="7D678F1F" w14:textId="77777777" w:rsidR="00185EF6" w:rsidRPr="00CE7085" w:rsidRDefault="00185EF6" w:rsidP="00805383">
            <w:pPr>
              <w:pStyle w:val="TableText"/>
              <w:jc w:val="right"/>
              <w:rPr>
                <w:lang w:eastAsia="en-AU"/>
              </w:rPr>
            </w:pPr>
            <w:r w:rsidRPr="00CE7085">
              <w:rPr>
                <w:lang w:eastAsia="en-AU"/>
              </w:rPr>
              <w:t>710</w:t>
            </w:r>
          </w:p>
        </w:tc>
      </w:tr>
      <w:tr w:rsidR="00185EF6" w:rsidRPr="00CE7085" w14:paraId="744EFFB2" w14:textId="77777777" w:rsidTr="0028443F">
        <w:trPr>
          <w:jc w:val="right"/>
        </w:trPr>
        <w:tc>
          <w:tcPr>
            <w:tcW w:w="2829" w:type="dxa"/>
          </w:tcPr>
          <w:p w14:paraId="291633EE" w14:textId="4201F4E1" w:rsidR="00185EF6" w:rsidRPr="00837F98" w:rsidRDefault="0028443F" w:rsidP="00805383">
            <w:pPr>
              <w:pStyle w:val="TableText"/>
            </w:pPr>
            <w:r>
              <w:t xml:space="preserve">All other vessels </w:t>
            </w:r>
          </w:p>
        </w:tc>
        <w:tc>
          <w:tcPr>
            <w:tcW w:w="4273" w:type="dxa"/>
          </w:tcPr>
          <w:p w14:paraId="53D2FAE4" w14:textId="77777777" w:rsidR="00185EF6" w:rsidRPr="00764EBD" w:rsidRDefault="00185EF6" w:rsidP="00805383">
            <w:pPr>
              <w:pStyle w:val="TableText"/>
              <w:rPr>
                <w:lang w:eastAsia="en-AU"/>
              </w:rPr>
            </w:pPr>
            <w:r w:rsidRPr="00764EBD">
              <w:rPr>
                <w:lang w:eastAsia="en-AU"/>
              </w:rPr>
              <w:t>One off charge applied in relation to diagnostics activity to assess and manage biosecurity risk.</w:t>
            </w:r>
          </w:p>
        </w:tc>
        <w:tc>
          <w:tcPr>
            <w:tcW w:w="971" w:type="dxa"/>
          </w:tcPr>
          <w:p w14:paraId="5FEFD6F7" w14:textId="77777777" w:rsidR="00185EF6" w:rsidRPr="00CE7085" w:rsidRDefault="00185EF6" w:rsidP="00805383">
            <w:pPr>
              <w:pStyle w:val="TableText"/>
              <w:rPr>
                <w:lang w:eastAsia="en-AU"/>
              </w:rPr>
            </w:pPr>
            <w:r w:rsidRPr="00CE7085">
              <w:rPr>
                <w:lang w:eastAsia="en-AU"/>
              </w:rPr>
              <w:t>Per vessel</w:t>
            </w:r>
          </w:p>
        </w:tc>
        <w:tc>
          <w:tcPr>
            <w:tcW w:w="987" w:type="dxa"/>
          </w:tcPr>
          <w:p w14:paraId="0F16AF47" w14:textId="77777777" w:rsidR="00185EF6" w:rsidRPr="00CE7085" w:rsidRDefault="00185EF6" w:rsidP="00805383">
            <w:pPr>
              <w:pStyle w:val="TableText"/>
              <w:jc w:val="right"/>
              <w:rPr>
                <w:lang w:eastAsia="en-AU"/>
              </w:rPr>
            </w:pPr>
            <w:r w:rsidRPr="00CE7085">
              <w:rPr>
                <w:lang w:eastAsia="en-AU"/>
              </w:rPr>
              <w:t>189</w:t>
            </w:r>
          </w:p>
        </w:tc>
      </w:tr>
    </w:tbl>
    <w:p w14:paraId="1FFF2FF4" w14:textId="4EB02ECD" w:rsidR="00636F4E" w:rsidRPr="00636F4E" w:rsidRDefault="00185EF6" w:rsidP="00D57527">
      <w:pPr>
        <w:spacing w:before="240"/>
        <w:rPr>
          <w:rFonts w:ascii="Calibri" w:eastAsia="Calibri" w:hAnsi="Calibri" w:cs="Calibri"/>
        </w:rPr>
      </w:pPr>
      <w:r w:rsidRPr="00981E75">
        <w:rPr>
          <w:rFonts w:ascii="Calibri" w:hAnsi="Calibri" w:cs="Calibri"/>
        </w:rPr>
        <w:t xml:space="preserve">The distinction between the 2 charges is based on the effort and cost to deliver diagnostic activity. </w:t>
      </w:r>
      <w:r>
        <w:rPr>
          <w:rFonts w:ascii="Calibri" w:hAnsi="Calibri" w:cs="Calibri"/>
        </w:rPr>
        <w:t xml:space="preserve">Larger numbers of </w:t>
      </w:r>
      <w:r w:rsidRPr="001E6008">
        <w:rPr>
          <w:rFonts w:ascii="Calibri" w:hAnsi="Calibri" w:cs="Calibri"/>
        </w:rPr>
        <w:t xml:space="preserve">specimens are typically collected </w:t>
      </w:r>
      <w:r w:rsidRPr="00DC5716">
        <w:rPr>
          <w:rFonts w:ascii="Calibri" w:hAnsi="Calibri" w:cs="Calibri"/>
        </w:rPr>
        <w:t>from Ro</w:t>
      </w:r>
      <w:r w:rsidR="00DC5716" w:rsidRPr="00DC5716">
        <w:rPr>
          <w:rFonts w:ascii="Calibri" w:hAnsi="Calibri" w:cs="Calibri"/>
        </w:rPr>
        <w:t>/</w:t>
      </w:r>
      <w:r w:rsidRPr="00DC5716">
        <w:rPr>
          <w:rFonts w:ascii="Calibri" w:hAnsi="Calibri" w:cs="Calibri"/>
        </w:rPr>
        <w:t>Ro cargo vessels during inspections, when compared to other types of vessels. Samples collected from Ro</w:t>
      </w:r>
      <w:r w:rsidR="00DC5716" w:rsidRPr="00DC5716">
        <w:rPr>
          <w:rFonts w:ascii="Calibri" w:hAnsi="Calibri" w:cs="Calibri"/>
        </w:rPr>
        <w:t>/</w:t>
      </w:r>
      <w:r w:rsidRPr="00DC5716">
        <w:rPr>
          <w:rFonts w:ascii="Calibri" w:hAnsi="Calibri" w:cs="Calibri"/>
        </w:rPr>
        <w:t>Ro</w:t>
      </w:r>
      <w:r w:rsidRPr="001E6008">
        <w:rPr>
          <w:rFonts w:ascii="Calibri" w:hAnsi="Calibri" w:cs="Calibri"/>
        </w:rPr>
        <w:t xml:space="preserve"> vessels also contain </w:t>
      </w:r>
      <w:r>
        <w:rPr>
          <w:rFonts w:ascii="Calibri" w:hAnsi="Calibri" w:cs="Calibri"/>
        </w:rPr>
        <w:t xml:space="preserve">greater </w:t>
      </w:r>
      <w:r w:rsidRPr="001E6008">
        <w:rPr>
          <w:rFonts w:ascii="Calibri" w:hAnsi="Calibri" w:cs="Calibri"/>
        </w:rPr>
        <w:t>diversity and can require complex assessment relating to seasonal pest measures. Consequently, these vessels require significantly more diagnostics effort to assess and manage biosecurity risk</w:t>
      </w:r>
      <w:r w:rsidR="00D57527">
        <w:rPr>
          <w:rFonts w:ascii="Calibri" w:hAnsi="Calibri" w:cs="Calibri"/>
        </w:rPr>
        <w:t>.</w:t>
      </w:r>
    </w:p>
    <w:p w14:paraId="6B991AEA" w14:textId="3166224E" w:rsidR="00627A5B" w:rsidRPr="00D57527" w:rsidRDefault="00627A5B" w:rsidP="00D57527">
      <w:pPr>
        <w:pStyle w:val="Heading4"/>
      </w:pPr>
      <w:r w:rsidRPr="00D57527">
        <w:t xml:space="preserve">Phase </w:t>
      </w:r>
      <w:r w:rsidR="00D57527" w:rsidRPr="00EF029D">
        <w:t xml:space="preserve">2 </w:t>
      </w:r>
      <w:r w:rsidR="00EF029D">
        <w:t>Revised fee structure for</w:t>
      </w:r>
      <w:r w:rsidRPr="00D57527">
        <w:t xml:space="preserve"> </w:t>
      </w:r>
      <w:r w:rsidR="00EF029D">
        <w:t>i</w:t>
      </w:r>
      <w:r w:rsidR="00D57527" w:rsidRPr="00D57527">
        <w:t>mported goods</w:t>
      </w:r>
    </w:p>
    <w:p w14:paraId="22D55D01" w14:textId="0F1E32A7" w:rsidR="00D57527" w:rsidRPr="00D57527" w:rsidRDefault="00D57527" w:rsidP="00D57527">
      <w:r w:rsidRPr="00D57527">
        <w:t>The proposal to revise the current fee structure represents an alternative and more effective charging structure for regulatory activities already undertaken and charged for under the current cost recovery arrangement.</w:t>
      </w:r>
    </w:p>
    <w:p w14:paraId="783663B4" w14:textId="21989F18" w:rsidR="00553C0D" w:rsidRDefault="00553C0D" w:rsidP="00553C0D">
      <w:r w:rsidRPr="00D57527">
        <w:t xml:space="preserve">Subject to the approval of legislation, new charge points </w:t>
      </w:r>
      <w:r>
        <w:t>will be</w:t>
      </w:r>
      <w:r w:rsidRPr="00D57527">
        <w:t xml:space="preserve"> added to legislation for each specific diagnostic activity</w:t>
      </w:r>
      <w:r w:rsidR="00EF029D">
        <w:t>,</w:t>
      </w:r>
      <w:r w:rsidRPr="00D57527">
        <w:t xml:space="preserve"> including a description of what each activity covers and the rate at which the activity is charged per unit (for example, for each test, diagnostic examination or activity).</w:t>
      </w:r>
    </w:p>
    <w:p w14:paraId="70BEA9AC" w14:textId="15BBFE1E" w:rsidR="00D57527" w:rsidRDefault="00D57527" w:rsidP="00D57527">
      <w:pPr>
        <w:pStyle w:val="ListBullet"/>
      </w:pPr>
      <w:r>
        <w:t xml:space="preserve">Most diagnostic activities (tests, examinations) will have a legislated fee with the current rate published on </w:t>
      </w:r>
      <w:r w:rsidR="00C64680">
        <w:t>our</w:t>
      </w:r>
      <w:r>
        <w:t xml:space="preserve"> website, meaning most prices will be known ahead of time.</w:t>
      </w:r>
    </w:p>
    <w:p w14:paraId="5D802504" w14:textId="0382C39D" w:rsidR="00D57527" w:rsidRDefault="00D57527" w:rsidP="00D57527">
      <w:pPr>
        <w:pStyle w:val="ListBullet"/>
      </w:pPr>
      <w:r>
        <w:t>There will be a tiered structure for some tests, resulting in cheaper rates per test when larger numbers are tested in the one batch.</w:t>
      </w:r>
    </w:p>
    <w:p w14:paraId="183D9618" w14:textId="77777777" w:rsidR="00553C0D" w:rsidRDefault="00D57527" w:rsidP="00D57527">
      <w:pPr>
        <w:pStyle w:val="ListBullet"/>
      </w:pPr>
      <w:r>
        <w:t>The fee for some activities will change and may increase or reduce importer’s costs.</w:t>
      </w:r>
    </w:p>
    <w:p w14:paraId="1818FC46" w14:textId="771C1423" w:rsidR="00D57527" w:rsidRDefault="00553C0D" w:rsidP="00D57527">
      <w:pPr>
        <w:pStyle w:val="ListBullet"/>
      </w:pPr>
      <w:r>
        <w:t>Total cost will vary depending on the number of activities that are carried out.</w:t>
      </w:r>
    </w:p>
    <w:p w14:paraId="4E34BC8D" w14:textId="6C326440" w:rsidR="00D57527" w:rsidRDefault="00D57527" w:rsidP="00D57527">
      <w:pPr>
        <w:pStyle w:val="ListBullet"/>
      </w:pPr>
      <w:r>
        <w:t>Fees for activities provided will be itemised on an invoice.</w:t>
      </w:r>
    </w:p>
    <w:p w14:paraId="5EF95506" w14:textId="4D7B44F5" w:rsidR="00553C0D" w:rsidRPr="00553C0D" w:rsidRDefault="00553C0D" w:rsidP="00553C0D">
      <w:r w:rsidRPr="00553C0D">
        <w:t xml:space="preserve">Some diagnostic activities will continue to be charged under the current arrangements </w:t>
      </w:r>
      <w:r>
        <w:t xml:space="preserve">(in 15-minute intervals plus the cost of any consumable material required) </w:t>
      </w:r>
      <w:r w:rsidRPr="00553C0D">
        <w:t>due to the variable and complex nature of this work.</w:t>
      </w:r>
    </w:p>
    <w:p w14:paraId="4E9F2DB7" w14:textId="71612906" w:rsidR="00D57527" w:rsidRDefault="00D57527" w:rsidP="00D57527">
      <w:pPr>
        <w:rPr>
          <w:b/>
          <w:bCs/>
        </w:rPr>
      </w:pPr>
      <w:r>
        <w:t>Subject to approval of legislation</w:t>
      </w:r>
      <w:r w:rsidRPr="00790691">
        <w:t xml:space="preserve">, implementation </w:t>
      </w:r>
      <w:r>
        <w:t>of the revised fee structure is</w:t>
      </w:r>
      <w:r w:rsidRPr="00692F98">
        <w:t xml:space="preserve"> proposed to commence on </w:t>
      </w:r>
      <w:r w:rsidRPr="007D1B7C">
        <w:t>1 November 2026.</w:t>
      </w:r>
    </w:p>
    <w:p w14:paraId="5EAF4117" w14:textId="0D115AE0" w:rsidR="00804CCF" w:rsidRPr="009A7362" w:rsidRDefault="001578C9" w:rsidP="00804CCF">
      <w:r w:rsidRPr="001578C9">
        <w:rPr>
          <w:rStyle w:val="Hyperlink"/>
        </w:rPr>
        <w:fldChar w:fldCharType="begin"/>
      </w:r>
      <w:r w:rsidRPr="001578C9">
        <w:rPr>
          <w:rStyle w:val="Hyperlink"/>
        </w:rPr>
        <w:instrText xml:space="preserve"> REF _Ref230255381 \h </w:instrText>
      </w:r>
      <w:r>
        <w:rPr>
          <w:rStyle w:val="Hyperlink"/>
        </w:rPr>
        <w:instrText xml:space="preserve"> \* MERGEFORMAT </w:instrText>
      </w:r>
      <w:r w:rsidRPr="001578C9">
        <w:rPr>
          <w:rStyle w:val="Hyperlink"/>
        </w:rPr>
      </w:r>
      <w:r w:rsidRPr="001578C9">
        <w:rPr>
          <w:rStyle w:val="Hyperlink"/>
        </w:rPr>
        <w:fldChar w:fldCharType="separate"/>
      </w:r>
      <w:r w:rsidRPr="001578C9">
        <w:rPr>
          <w:rStyle w:val="Hyperlink"/>
        </w:rPr>
        <w:t>Table 9</w:t>
      </w:r>
      <w:r w:rsidRPr="001578C9">
        <w:rPr>
          <w:rStyle w:val="Hyperlink"/>
        </w:rPr>
        <w:fldChar w:fldCharType="end"/>
      </w:r>
      <w:r>
        <w:t xml:space="preserve"> </w:t>
      </w:r>
      <w:r w:rsidR="00804CCF" w:rsidRPr="009A7362">
        <w:t>sets out the proposed new charge points for diagnostic activities</w:t>
      </w:r>
      <w:r w:rsidR="00EF029D">
        <w:t>,</w:t>
      </w:r>
      <w:r w:rsidR="00804CCF" w:rsidRPr="009A7362">
        <w:t xml:space="preserve"> </w:t>
      </w:r>
      <w:r w:rsidR="00804CCF">
        <w:t xml:space="preserve">including a description of the activity, the unit to which the fee will apply and the price, </w:t>
      </w:r>
      <w:r w:rsidR="00804CCF" w:rsidRPr="009A7362">
        <w:t>calculated using 202</w:t>
      </w:r>
      <w:r w:rsidR="00804CCF">
        <w:t>6–</w:t>
      </w:r>
      <w:r w:rsidR="00804CCF" w:rsidRPr="009A7362">
        <w:t>2</w:t>
      </w:r>
      <w:r w:rsidR="00804CCF">
        <w:t>7</w:t>
      </w:r>
      <w:r w:rsidR="00804CCF" w:rsidRPr="009A7362">
        <w:t xml:space="preserve"> </w:t>
      </w:r>
      <w:r w:rsidR="00804CCF">
        <w:t>rates</w:t>
      </w:r>
      <w:r w:rsidR="00804CCF" w:rsidRPr="009A7362">
        <w:t>.</w:t>
      </w:r>
    </w:p>
    <w:p w14:paraId="40D34FE1" w14:textId="7A809680" w:rsidR="00553C0D" w:rsidRDefault="00553C0D" w:rsidP="001578C9">
      <w:pPr>
        <w:pStyle w:val="Caption"/>
      </w:pPr>
      <w:bookmarkStart w:id="129" w:name="_Ref230255381"/>
      <w:bookmarkStart w:id="130" w:name="_Toc233378729"/>
      <w:r w:rsidRPr="0081538F">
        <w:lastRenderedPageBreak/>
        <w:t xml:space="preserve">Table </w:t>
      </w:r>
      <w:fldSimple w:instr=" SEQ Table \* ARABIC ">
        <w:r>
          <w:rPr>
            <w:noProof/>
          </w:rPr>
          <w:t>9</w:t>
        </w:r>
      </w:fldSimple>
      <w:bookmarkEnd w:id="129"/>
      <w:r w:rsidRPr="0081538F">
        <w:t xml:space="preserve"> </w:t>
      </w:r>
      <w:r w:rsidR="0052143D" w:rsidRPr="0052143D">
        <w:t>Proposed charge points and prices for specified diagnostic activities</w:t>
      </w:r>
      <w:bookmarkEnd w:id="130"/>
    </w:p>
    <w:tbl>
      <w:tblPr>
        <w:tblW w:w="9640" w:type="dxa"/>
        <w:tblInd w:w="-289" w:type="dxa"/>
        <w:tblBorders>
          <w:top w:val="single" w:sz="4" w:space="0" w:color="auto"/>
          <w:bottom w:val="single" w:sz="4" w:space="0" w:color="auto"/>
          <w:insideH w:val="single" w:sz="4" w:space="0" w:color="auto"/>
        </w:tblBorders>
        <w:tblLook w:val="04A0" w:firstRow="1" w:lastRow="0" w:firstColumn="1" w:lastColumn="0" w:noHBand="0" w:noVBand="1"/>
      </w:tblPr>
      <w:tblGrid>
        <w:gridCol w:w="1844"/>
        <w:gridCol w:w="4394"/>
        <w:gridCol w:w="1843"/>
        <w:gridCol w:w="1559"/>
      </w:tblGrid>
      <w:tr w:rsidR="00553C0D" w:rsidRPr="00912395" w14:paraId="33D64D53" w14:textId="77777777" w:rsidTr="00C37AC2">
        <w:trPr>
          <w:trHeight w:val="352"/>
          <w:tblHeader/>
        </w:trPr>
        <w:tc>
          <w:tcPr>
            <w:tcW w:w="1844" w:type="dxa"/>
            <w:hideMark/>
          </w:tcPr>
          <w:p w14:paraId="72A60704" w14:textId="77777777" w:rsidR="00553C0D" w:rsidRPr="007F16B8" w:rsidRDefault="00553C0D" w:rsidP="00805383">
            <w:pPr>
              <w:pStyle w:val="TableText"/>
              <w:rPr>
                <w:rFonts w:cs="Calibri"/>
                <w:b/>
                <w:bCs/>
              </w:rPr>
            </w:pPr>
            <w:r w:rsidRPr="007F16B8">
              <w:rPr>
                <w:rFonts w:cs="Calibri"/>
                <w:b/>
                <w:bCs/>
              </w:rPr>
              <w:t>Diagnostic activity</w:t>
            </w:r>
          </w:p>
        </w:tc>
        <w:tc>
          <w:tcPr>
            <w:tcW w:w="4394" w:type="dxa"/>
            <w:hideMark/>
          </w:tcPr>
          <w:p w14:paraId="6668131F" w14:textId="77777777" w:rsidR="00553C0D" w:rsidRPr="007F16B8" w:rsidRDefault="00553C0D" w:rsidP="00805383">
            <w:pPr>
              <w:pStyle w:val="TableText"/>
              <w:rPr>
                <w:rFonts w:cs="Calibri"/>
                <w:b/>
                <w:bCs/>
              </w:rPr>
            </w:pPr>
            <w:r w:rsidRPr="007F16B8">
              <w:rPr>
                <w:rFonts w:cs="Calibri"/>
                <w:b/>
                <w:bCs/>
              </w:rPr>
              <w:t>Description of activity</w:t>
            </w:r>
          </w:p>
        </w:tc>
        <w:tc>
          <w:tcPr>
            <w:tcW w:w="1843" w:type="dxa"/>
            <w:hideMark/>
          </w:tcPr>
          <w:p w14:paraId="41B2710A" w14:textId="77777777" w:rsidR="00553C0D" w:rsidRPr="007F16B8" w:rsidRDefault="00553C0D" w:rsidP="00805383">
            <w:pPr>
              <w:pStyle w:val="TableText"/>
              <w:rPr>
                <w:rFonts w:cs="Calibri"/>
                <w:b/>
                <w:bCs/>
              </w:rPr>
            </w:pPr>
            <w:r w:rsidRPr="007F16B8">
              <w:rPr>
                <w:rFonts w:cs="Calibri"/>
                <w:b/>
                <w:bCs/>
              </w:rPr>
              <w:t>Unit</w:t>
            </w:r>
          </w:p>
        </w:tc>
        <w:tc>
          <w:tcPr>
            <w:tcW w:w="1559" w:type="dxa"/>
            <w:hideMark/>
          </w:tcPr>
          <w:p w14:paraId="75A7723C" w14:textId="7C3062EE" w:rsidR="00553C0D" w:rsidRPr="00430472" w:rsidRDefault="00553C0D" w:rsidP="00805383">
            <w:pPr>
              <w:pStyle w:val="TableText"/>
              <w:rPr>
                <w:rFonts w:cs="Calibri"/>
                <w:b/>
                <w:bCs/>
              </w:rPr>
            </w:pPr>
            <w:r w:rsidRPr="00430472">
              <w:rPr>
                <w:rFonts w:cs="Calibri"/>
                <w:b/>
                <w:bCs/>
              </w:rPr>
              <w:t>202</w:t>
            </w:r>
            <w:r w:rsidRPr="00294999">
              <w:rPr>
                <w:rFonts w:cs="Calibri"/>
                <w:b/>
                <w:bCs/>
              </w:rPr>
              <w:t>6</w:t>
            </w:r>
            <w:r w:rsidR="00D62C8A">
              <w:rPr>
                <w:rFonts w:cs="Calibri"/>
                <w:b/>
                <w:bCs/>
              </w:rPr>
              <w:t>–</w:t>
            </w:r>
            <w:r w:rsidRPr="00430472">
              <w:rPr>
                <w:rFonts w:cs="Calibri"/>
                <w:b/>
                <w:bCs/>
              </w:rPr>
              <w:t>2</w:t>
            </w:r>
            <w:r w:rsidRPr="00294999">
              <w:rPr>
                <w:rFonts w:cs="Calibri"/>
                <w:b/>
                <w:bCs/>
              </w:rPr>
              <w:t>7</w:t>
            </w:r>
            <w:r w:rsidRPr="00430472">
              <w:rPr>
                <w:rFonts w:cs="Calibri"/>
                <w:b/>
                <w:bCs/>
              </w:rPr>
              <w:t xml:space="preserve"> price ($) </w:t>
            </w:r>
          </w:p>
        </w:tc>
      </w:tr>
      <w:tr w:rsidR="00553C0D" w:rsidRPr="00912395" w14:paraId="57A609AE" w14:textId="77777777" w:rsidTr="00C37AC2">
        <w:trPr>
          <w:trHeight w:val="2821"/>
        </w:trPr>
        <w:tc>
          <w:tcPr>
            <w:tcW w:w="1844" w:type="dxa"/>
            <w:hideMark/>
          </w:tcPr>
          <w:p w14:paraId="3F6147CA" w14:textId="77777777" w:rsidR="00553C0D" w:rsidRPr="005426EB" w:rsidRDefault="00553C0D" w:rsidP="00805383">
            <w:pPr>
              <w:pStyle w:val="TableText"/>
            </w:pPr>
            <w:r w:rsidRPr="005426EB">
              <w:t>Sample handling</w:t>
            </w:r>
          </w:p>
        </w:tc>
        <w:tc>
          <w:tcPr>
            <w:tcW w:w="4394" w:type="dxa"/>
            <w:hideMark/>
          </w:tcPr>
          <w:p w14:paraId="2DA654C3" w14:textId="0FCD412B" w:rsidR="005426EB" w:rsidRDefault="00553C0D" w:rsidP="00805383">
            <w:pPr>
              <w:pStyle w:val="TableText"/>
            </w:pPr>
            <w:r w:rsidRPr="005426EB">
              <w:t>Receive and handle a sample, including one or more of the following:</w:t>
            </w:r>
          </w:p>
          <w:p w14:paraId="22C2EEFD" w14:textId="5049B85B" w:rsidR="00C856B8" w:rsidRDefault="00553C0D" w:rsidP="00C856B8">
            <w:pPr>
              <w:pStyle w:val="TableListNumber2"/>
            </w:pPr>
            <w:r w:rsidRPr="005426EB">
              <w:t>labelling the sample</w:t>
            </w:r>
          </w:p>
          <w:p w14:paraId="12757505" w14:textId="37325B91" w:rsidR="00C856B8" w:rsidRDefault="00553C0D" w:rsidP="00C856B8">
            <w:pPr>
              <w:pStyle w:val="TableListNumber2"/>
            </w:pPr>
            <w:r w:rsidRPr="005426EB">
              <w:t>prioritising the sample) re-packaging the sample preserving specimens in the sample</w:t>
            </w:r>
          </w:p>
          <w:p w14:paraId="143AE60E" w14:textId="21EFA1B8" w:rsidR="00C856B8" w:rsidRDefault="00553C0D" w:rsidP="00C856B8">
            <w:pPr>
              <w:pStyle w:val="TableListNumber2"/>
            </w:pPr>
            <w:r w:rsidRPr="005426EB">
              <w:t>undertaking data entry in relation to the sample</w:t>
            </w:r>
          </w:p>
          <w:p w14:paraId="15925657" w14:textId="011BD3BC" w:rsidR="00C856B8" w:rsidRDefault="00553C0D" w:rsidP="00C856B8">
            <w:pPr>
              <w:pStyle w:val="TableListNumber2"/>
            </w:pPr>
            <w:r w:rsidRPr="005426EB">
              <w:t>recording and communicating diagnostic results and associated advice on biosecurity risk and biosecurity measures in respect of the sample</w:t>
            </w:r>
          </w:p>
          <w:p w14:paraId="6C2EF4C3" w14:textId="23967624" w:rsidR="00C856B8" w:rsidRDefault="00553C0D" w:rsidP="00C856B8">
            <w:pPr>
              <w:pStyle w:val="TableListNumber2"/>
            </w:pPr>
            <w:r w:rsidRPr="005426EB">
              <w:t>storing the sample</w:t>
            </w:r>
          </w:p>
          <w:p w14:paraId="120BD3AC" w14:textId="39FE4F24" w:rsidR="00553C0D" w:rsidRPr="005426EB" w:rsidRDefault="00553C0D" w:rsidP="00C856B8">
            <w:pPr>
              <w:pStyle w:val="TableListNumber2"/>
            </w:pPr>
            <w:r w:rsidRPr="005426EB">
              <w:t>disposal of the sample</w:t>
            </w:r>
            <w:r w:rsidR="008D07B2" w:rsidRPr="005426EB">
              <w:t>.</w:t>
            </w:r>
          </w:p>
        </w:tc>
        <w:tc>
          <w:tcPr>
            <w:tcW w:w="1843" w:type="dxa"/>
            <w:hideMark/>
          </w:tcPr>
          <w:p w14:paraId="6AC4254E" w14:textId="77777777" w:rsidR="00553C0D" w:rsidRPr="009A7362" w:rsidRDefault="00553C0D" w:rsidP="00805383">
            <w:pPr>
              <w:pStyle w:val="TableText"/>
            </w:pPr>
            <w:r w:rsidRPr="009A7362">
              <w:t>For each sample</w:t>
            </w:r>
          </w:p>
        </w:tc>
        <w:tc>
          <w:tcPr>
            <w:tcW w:w="1559" w:type="dxa"/>
            <w:noWrap/>
            <w:hideMark/>
          </w:tcPr>
          <w:p w14:paraId="01D8078B" w14:textId="77777777" w:rsidR="00553C0D" w:rsidRPr="00C856B8" w:rsidRDefault="00553C0D" w:rsidP="00EF029D">
            <w:pPr>
              <w:pStyle w:val="TableText"/>
              <w:jc w:val="right"/>
              <w:rPr>
                <w:rStyle w:val="Strong"/>
                <w:b w:val="0"/>
                <w:bCs w:val="0"/>
              </w:rPr>
            </w:pPr>
            <w:r w:rsidRPr="00C856B8">
              <w:rPr>
                <w:rStyle w:val="Strong"/>
                <w:b w:val="0"/>
                <w:bCs w:val="0"/>
              </w:rPr>
              <w:t>84</w:t>
            </w:r>
          </w:p>
        </w:tc>
      </w:tr>
      <w:tr w:rsidR="00553C0D" w:rsidRPr="00031B51" w14:paraId="7944275F" w14:textId="77777777" w:rsidTr="00C37AC2">
        <w:trPr>
          <w:trHeight w:val="600"/>
        </w:trPr>
        <w:tc>
          <w:tcPr>
            <w:tcW w:w="1844" w:type="dxa"/>
            <w:hideMark/>
          </w:tcPr>
          <w:p w14:paraId="17CE3C2C" w14:textId="77777777" w:rsidR="00553C0D" w:rsidRPr="009A7362" w:rsidRDefault="00553C0D" w:rsidP="00805383">
            <w:pPr>
              <w:pStyle w:val="TableText"/>
            </w:pPr>
            <w:r w:rsidRPr="009A7362">
              <w:t>Specialist sample collection</w:t>
            </w:r>
          </w:p>
        </w:tc>
        <w:tc>
          <w:tcPr>
            <w:tcW w:w="4394" w:type="dxa"/>
            <w:noWrap/>
            <w:hideMark/>
          </w:tcPr>
          <w:p w14:paraId="5DE713F0" w14:textId="7798F41B" w:rsidR="00553C0D" w:rsidRPr="009A7362" w:rsidRDefault="00553C0D" w:rsidP="00805383">
            <w:pPr>
              <w:pStyle w:val="TableText"/>
            </w:pPr>
            <w:r w:rsidRPr="009A7362">
              <w:t>Collect and package a sample that requires specialist skills in pest or symptom recognition</w:t>
            </w:r>
            <w:r w:rsidR="008D07B2">
              <w:t>.</w:t>
            </w:r>
          </w:p>
        </w:tc>
        <w:tc>
          <w:tcPr>
            <w:tcW w:w="1843" w:type="dxa"/>
            <w:hideMark/>
          </w:tcPr>
          <w:p w14:paraId="04F4C19F" w14:textId="77777777" w:rsidR="00553C0D" w:rsidRPr="009A7362" w:rsidRDefault="00553C0D" w:rsidP="00805383">
            <w:pPr>
              <w:pStyle w:val="TableText"/>
            </w:pPr>
            <w:r w:rsidRPr="009A7362">
              <w:t>For each activity</w:t>
            </w:r>
          </w:p>
        </w:tc>
        <w:tc>
          <w:tcPr>
            <w:tcW w:w="1559" w:type="dxa"/>
            <w:noWrap/>
            <w:hideMark/>
          </w:tcPr>
          <w:p w14:paraId="3CB4A5A9" w14:textId="77777777" w:rsidR="00553C0D" w:rsidRPr="00635509" w:rsidRDefault="00553C0D" w:rsidP="00EF029D">
            <w:pPr>
              <w:pStyle w:val="TableText"/>
              <w:jc w:val="right"/>
              <w:rPr>
                <w:rStyle w:val="Strong"/>
                <w:b w:val="0"/>
                <w:bCs w:val="0"/>
              </w:rPr>
            </w:pPr>
            <w:r w:rsidRPr="00635509">
              <w:rPr>
                <w:rStyle w:val="Strong"/>
                <w:b w:val="0"/>
                <w:bCs w:val="0"/>
              </w:rPr>
              <w:t>9</w:t>
            </w:r>
          </w:p>
        </w:tc>
      </w:tr>
      <w:tr w:rsidR="00553C0D" w:rsidRPr="00031B51" w14:paraId="51539505" w14:textId="77777777" w:rsidTr="00C37AC2">
        <w:trPr>
          <w:trHeight w:val="900"/>
        </w:trPr>
        <w:tc>
          <w:tcPr>
            <w:tcW w:w="1844" w:type="dxa"/>
            <w:hideMark/>
          </w:tcPr>
          <w:p w14:paraId="46A765B1" w14:textId="77777777" w:rsidR="00553C0D" w:rsidRPr="009A7362" w:rsidRDefault="00553C0D" w:rsidP="00805383">
            <w:pPr>
              <w:pStyle w:val="TableText"/>
            </w:pPr>
            <w:r w:rsidRPr="009A7362">
              <w:t>Basic examination</w:t>
            </w:r>
          </w:p>
        </w:tc>
        <w:tc>
          <w:tcPr>
            <w:tcW w:w="4394" w:type="dxa"/>
            <w:hideMark/>
          </w:tcPr>
          <w:p w14:paraId="2B9F46E4" w14:textId="77777777" w:rsidR="00D62C8A" w:rsidRDefault="00D62C8A" w:rsidP="00D62C8A">
            <w:pPr>
              <w:pStyle w:val="TableText"/>
            </w:pPr>
            <w:r>
              <w:t>Carry out a basic examination of a sample or subsample, including making clinical observations in relation to the sample or subsample and one of the following:</w:t>
            </w:r>
          </w:p>
          <w:p w14:paraId="46C7B122" w14:textId="2C460F05" w:rsidR="000A7AFA" w:rsidRPr="000A7AFA" w:rsidRDefault="00553C0D" w:rsidP="0012193F">
            <w:pPr>
              <w:pStyle w:val="TableListNumber2"/>
              <w:numPr>
                <w:ilvl w:val="1"/>
                <w:numId w:val="30"/>
              </w:numPr>
            </w:pPr>
            <w:r w:rsidRPr="00635509">
              <w:t>a visual examination of the sample or sub-</w:t>
            </w:r>
            <w:r w:rsidRPr="000A7AFA">
              <w:t xml:space="preserve">sample </w:t>
            </w:r>
          </w:p>
          <w:p w14:paraId="74E29BF2" w14:textId="16BAF2F5" w:rsidR="000A7AFA" w:rsidRPr="000A7AFA" w:rsidRDefault="00553C0D" w:rsidP="0012193F">
            <w:pPr>
              <w:pStyle w:val="TableListNumber2"/>
              <w:numPr>
                <w:ilvl w:val="1"/>
                <w:numId w:val="30"/>
              </w:numPr>
            </w:pPr>
            <w:r w:rsidRPr="000A7AFA">
              <w:t xml:space="preserve">simple microscopic examination of the sample or sub-sample </w:t>
            </w:r>
          </w:p>
          <w:p w14:paraId="3741C4B3" w14:textId="02904CE5" w:rsidR="00553C0D" w:rsidRPr="009A7362" w:rsidRDefault="00553C0D" w:rsidP="0012193F">
            <w:pPr>
              <w:pStyle w:val="TableListNumber2"/>
              <w:numPr>
                <w:ilvl w:val="1"/>
                <w:numId w:val="30"/>
              </w:numPr>
            </w:pPr>
            <w:r w:rsidRPr="000A7AFA">
              <w:t>visual and simple microscopic examination of the sample or sub-sample</w:t>
            </w:r>
            <w:r w:rsidR="008D07B2" w:rsidRPr="000A7AFA">
              <w:t>.</w:t>
            </w:r>
          </w:p>
        </w:tc>
        <w:tc>
          <w:tcPr>
            <w:tcW w:w="1843" w:type="dxa"/>
            <w:hideMark/>
          </w:tcPr>
          <w:p w14:paraId="7123E522" w14:textId="77777777" w:rsidR="00553C0D" w:rsidRPr="009A7362" w:rsidRDefault="00553C0D" w:rsidP="00805383">
            <w:pPr>
              <w:pStyle w:val="TableText"/>
            </w:pPr>
            <w:r w:rsidRPr="009A7362">
              <w:t xml:space="preserve">For each examination </w:t>
            </w:r>
          </w:p>
        </w:tc>
        <w:tc>
          <w:tcPr>
            <w:tcW w:w="1559" w:type="dxa"/>
            <w:noWrap/>
            <w:hideMark/>
          </w:tcPr>
          <w:p w14:paraId="091A4EF4" w14:textId="77777777" w:rsidR="00553C0D" w:rsidRPr="00635509" w:rsidRDefault="00553C0D" w:rsidP="00EF029D">
            <w:pPr>
              <w:pStyle w:val="TableText"/>
              <w:jc w:val="right"/>
              <w:rPr>
                <w:rStyle w:val="Strong"/>
                <w:b w:val="0"/>
                <w:bCs w:val="0"/>
              </w:rPr>
            </w:pPr>
            <w:r w:rsidRPr="00635509">
              <w:rPr>
                <w:rStyle w:val="Strong"/>
                <w:b w:val="0"/>
                <w:bCs w:val="0"/>
              </w:rPr>
              <w:t>18</w:t>
            </w:r>
          </w:p>
        </w:tc>
      </w:tr>
      <w:tr w:rsidR="00553C0D" w:rsidRPr="00031B51" w14:paraId="3029E524" w14:textId="77777777" w:rsidTr="00C37AC2">
        <w:trPr>
          <w:trHeight w:val="1920"/>
        </w:trPr>
        <w:tc>
          <w:tcPr>
            <w:tcW w:w="1844" w:type="dxa"/>
            <w:hideMark/>
          </w:tcPr>
          <w:p w14:paraId="0E88CB5E" w14:textId="77777777" w:rsidR="00553C0D" w:rsidRPr="00635509" w:rsidRDefault="00553C0D" w:rsidP="00805383">
            <w:pPr>
              <w:pStyle w:val="TableText"/>
            </w:pPr>
            <w:r w:rsidRPr="00635509">
              <w:t>Intermediate examination</w:t>
            </w:r>
          </w:p>
        </w:tc>
        <w:tc>
          <w:tcPr>
            <w:tcW w:w="4394" w:type="dxa"/>
            <w:hideMark/>
          </w:tcPr>
          <w:p w14:paraId="51A4F81C" w14:textId="02171FEA" w:rsidR="002D2627" w:rsidRPr="00635509" w:rsidRDefault="00553C0D" w:rsidP="000A7AFA">
            <w:pPr>
              <w:pStyle w:val="TableText"/>
            </w:pPr>
            <w:r w:rsidRPr="00635509">
              <w:t>Carry out an intermediate examination of a sample or subsample, including the activities described in a basic examination and one or more of the following:</w:t>
            </w:r>
          </w:p>
          <w:p w14:paraId="1938E9DE" w14:textId="5ED2FE04" w:rsidR="000A7AFA" w:rsidRPr="00635509" w:rsidRDefault="00553C0D" w:rsidP="0012193F">
            <w:pPr>
              <w:pStyle w:val="TableListNumber2"/>
              <w:numPr>
                <w:ilvl w:val="1"/>
                <w:numId w:val="16"/>
              </w:numPr>
            </w:pPr>
            <w:r w:rsidRPr="00635509">
              <w:t>slide mounting</w:t>
            </w:r>
          </w:p>
          <w:p w14:paraId="1F482D75" w14:textId="5F67BD7D" w:rsidR="000A7AFA" w:rsidRPr="00635509" w:rsidRDefault="00553C0D" w:rsidP="0012193F">
            <w:pPr>
              <w:pStyle w:val="TableListNumber2"/>
              <w:numPr>
                <w:ilvl w:val="1"/>
                <w:numId w:val="16"/>
              </w:numPr>
            </w:pPr>
            <w:r w:rsidRPr="00635509">
              <w:t>simple dissection</w:t>
            </w:r>
          </w:p>
          <w:p w14:paraId="2D0E6BA7" w14:textId="29DD3CAD" w:rsidR="000A7AFA" w:rsidRPr="00635509" w:rsidRDefault="00553C0D" w:rsidP="0012193F">
            <w:pPr>
              <w:pStyle w:val="TableListNumber2"/>
              <w:numPr>
                <w:ilvl w:val="1"/>
                <w:numId w:val="16"/>
              </w:numPr>
            </w:pPr>
            <w:r w:rsidRPr="00635509">
              <w:t>humidification or incubation</w:t>
            </w:r>
          </w:p>
          <w:p w14:paraId="6F32F17D" w14:textId="276D91A4" w:rsidR="000A7AFA" w:rsidRPr="00635509" w:rsidRDefault="00553C0D" w:rsidP="0012193F">
            <w:pPr>
              <w:pStyle w:val="TableListNumber2"/>
              <w:numPr>
                <w:ilvl w:val="1"/>
                <w:numId w:val="16"/>
              </w:numPr>
            </w:pPr>
            <w:r w:rsidRPr="00635509">
              <w:t>imaging of specimens or symptoms</w:t>
            </w:r>
          </w:p>
          <w:p w14:paraId="30EE93DD" w14:textId="3178FD6C" w:rsidR="00553C0D" w:rsidRPr="00635509" w:rsidRDefault="00553C0D" w:rsidP="0012193F">
            <w:pPr>
              <w:pStyle w:val="TableListNumber2"/>
              <w:numPr>
                <w:ilvl w:val="1"/>
                <w:numId w:val="16"/>
              </w:numPr>
            </w:pPr>
            <w:r w:rsidRPr="00635509">
              <w:t>undertaking morphological identification procedures</w:t>
            </w:r>
            <w:r w:rsidR="008D07B2" w:rsidRPr="00635509">
              <w:t>.</w:t>
            </w:r>
          </w:p>
        </w:tc>
        <w:tc>
          <w:tcPr>
            <w:tcW w:w="1843" w:type="dxa"/>
            <w:hideMark/>
          </w:tcPr>
          <w:p w14:paraId="4BAB6066" w14:textId="77777777" w:rsidR="00553C0D" w:rsidRPr="009A7362" w:rsidRDefault="00553C0D" w:rsidP="00805383">
            <w:pPr>
              <w:pStyle w:val="TableText"/>
            </w:pPr>
            <w:r w:rsidRPr="009A7362">
              <w:t>For each examination</w:t>
            </w:r>
          </w:p>
        </w:tc>
        <w:tc>
          <w:tcPr>
            <w:tcW w:w="1559" w:type="dxa"/>
            <w:noWrap/>
            <w:hideMark/>
          </w:tcPr>
          <w:p w14:paraId="089DFE1A" w14:textId="77777777" w:rsidR="00553C0D" w:rsidRPr="002D2627" w:rsidRDefault="00553C0D" w:rsidP="00EF029D">
            <w:pPr>
              <w:pStyle w:val="TableText"/>
              <w:jc w:val="right"/>
              <w:rPr>
                <w:rStyle w:val="Strong"/>
                <w:b w:val="0"/>
                <w:bCs w:val="0"/>
              </w:rPr>
            </w:pPr>
            <w:r w:rsidRPr="002D2627">
              <w:rPr>
                <w:rStyle w:val="Strong"/>
                <w:b w:val="0"/>
                <w:bCs w:val="0"/>
              </w:rPr>
              <w:t>130</w:t>
            </w:r>
          </w:p>
        </w:tc>
      </w:tr>
      <w:tr w:rsidR="00553C0D" w:rsidRPr="00031B51" w14:paraId="1D6456BA" w14:textId="77777777" w:rsidTr="00C37AC2">
        <w:trPr>
          <w:trHeight w:val="472"/>
        </w:trPr>
        <w:tc>
          <w:tcPr>
            <w:tcW w:w="1844" w:type="dxa"/>
            <w:hideMark/>
          </w:tcPr>
          <w:p w14:paraId="52486AAC" w14:textId="77777777" w:rsidR="00553C0D" w:rsidRPr="00C950F1" w:rsidRDefault="00553C0D" w:rsidP="00805383">
            <w:pPr>
              <w:pStyle w:val="TableText"/>
            </w:pPr>
            <w:r w:rsidRPr="00C950F1">
              <w:t>Complex examination</w:t>
            </w:r>
          </w:p>
        </w:tc>
        <w:tc>
          <w:tcPr>
            <w:tcW w:w="4394" w:type="dxa"/>
            <w:hideMark/>
          </w:tcPr>
          <w:p w14:paraId="78CBC5B5" w14:textId="77777777" w:rsidR="00635509" w:rsidRDefault="00553C0D" w:rsidP="00805383">
            <w:pPr>
              <w:pStyle w:val="TableText"/>
            </w:pPr>
            <w:r w:rsidRPr="00C950F1">
              <w:t>Carry out a complex examination of a sample or sub</w:t>
            </w:r>
            <w:r>
              <w:t>–</w:t>
            </w:r>
            <w:r w:rsidRPr="00C950F1">
              <w:t>sample, including the activities</w:t>
            </w:r>
            <w:r>
              <w:t xml:space="preserve"> described </w:t>
            </w:r>
            <w:r w:rsidRPr="00C950F1">
              <w:t>in the intermediate examination and one or more of the following:</w:t>
            </w:r>
          </w:p>
          <w:p w14:paraId="4188E039" w14:textId="499AA4AA" w:rsidR="00635509" w:rsidRPr="00635509" w:rsidRDefault="00553C0D" w:rsidP="0012193F">
            <w:pPr>
              <w:pStyle w:val="TableListNumber2"/>
              <w:numPr>
                <w:ilvl w:val="1"/>
                <w:numId w:val="17"/>
              </w:numPr>
            </w:pPr>
            <w:r w:rsidRPr="00635509">
              <w:t>sourcing diagnostic literature required for identification and resolution of biosecurity risk</w:t>
            </w:r>
          </w:p>
          <w:p w14:paraId="705792E2" w14:textId="71622EE9" w:rsidR="00635509" w:rsidRPr="00635509" w:rsidRDefault="00553C0D" w:rsidP="0012193F">
            <w:pPr>
              <w:pStyle w:val="TableListNumber2"/>
              <w:numPr>
                <w:ilvl w:val="1"/>
                <w:numId w:val="17"/>
              </w:numPr>
            </w:pPr>
            <w:r w:rsidRPr="00635509">
              <w:t xml:space="preserve">) </w:t>
            </w:r>
            <w:proofErr w:type="gramStart"/>
            <w:r w:rsidRPr="00635509">
              <w:t>sourcing</w:t>
            </w:r>
            <w:proofErr w:type="gramEnd"/>
            <w:r w:rsidRPr="00635509">
              <w:t xml:space="preserve"> assistance from external taxonomic expert</w:t>
            </w:r>
          </w:p>
          <w:p w14:paraId="6CC2493D" w14:textId="5EAE9070" w:rsidR="00635509" w:rsidRPr="00635509" w:rsidRDefault="00553C0D" w:rsidP="0012193F">
            <w:pPr>
              <w:pStyle w:val="TableListNumber2"/>
              <w:numPr>
                <w:ilvl w:val="1"/>
                <w:numId w:val="17"/>
              </w:numPr>
            </w:pPr>
            <w:r w:rsidRPr="00635509">
              <w:t>preparing and sending the sample, or part of the sample, to one or more external locations</w:t>
            </w:r>
          </w:p>
          <w:p w14:paraId="5802FE78" w14:textId="69E7F2D3" w:rsidR="00635509" w:rsidRPr="00635509" w:rsidRDefault="00553C0D" w:rsidP="0012193F">
            <w:pPr>
              <w:pStyle w:val="TableListNumber2"/>
              <w:numPr>
                <w:ilvl w:val="1"/>
                <w:numId w:val="17"/>
              </w:numPr>
            </w:pPr>
            <w:r w:rsidRPr="00635509">
              <w:t>undertaking internal or external consultation to resolve biosecurity risk or biosecurity measures</w:t>
            </w:r>
          </w:p>
          <w:p w14:paraId="3F312519" w14:textId="025B7634" w:rsidR="00553C0D" w:rsidRPr="00C950F1" w:rsidRDefault="00553C0D" w:rsidP="0012193F">
            <w:pPr>
              <w:pStyle w:val="TableListNumber2"/>
              <w:numPr>
                <w:ilvl w:val="1"/>
                <w:numId w:val="17"/>
              </w:numPr>
            </w:pPr>
            <w:r w:rsidRPr="00635509">
              <w:t>complex dissection to determine sex, reproductive potential or morbidity status</w:t>
            </w:r>
            <w:r w:rsidR="008D07B2">
              <w:t>.</w:t>
            </w:r>
          </w:p>
        </w:tc>
        <w:tc>
          <w:tcPr>
            <w:tcW w:w="1843" w:type="dxa"/>
            <w:hideMark/>
          </w:tcPr>
          <w:p w14:paraId="5B68F70A" w14:textId="77777777" w:rsidR="00553C0D" w:rsidRPr="009A7362" w:rsidRDefault="00553C0D" w:rsidP="00805383">
            <w:pPr>
              <w:pStyle w:val="TableText"/>
            </w:pPr>
            <w:r w:rsidRPr="009A7362">
              <w:t>For each examination</w:t>
            </w:r>
          </w:p>
        </w:tc>
        <w:tc>
          <w:tcPr>
            <w:tcW w:w="1559" w:type="dxa"/>
            <w:noWrap/>
            <w:hideMark/>
          </w:tcPr>
          <w:p w14:paraId="64DA14FF" w14:textId="77777777" w:rsidR="00553C0D" w:rsidRPr="00635509" w:rsidRDefault="00553C0D" w:rsidP="00EF029D">
            <w:pPr>
              <w:pStyle w:val="TableText"/>
              <w:jc w:val="right"/>
              <w:rPr>
                <w:rStyle w:val="Strong"/>
                <w:b w:val="0"/>
                <w:bCs w:val="0"/>
              </w:rPr>
            </w:pPr>
            <w:r w:rsidRPr="00635509">
              <w:rPr>
                <w:rStyle w:val="Strong"/>
                <w:b w:val="0"/>
                <w:bCs w:val="0"/>
              </w:rPr>
              <w:t>340</w:t>
            </w:r>
          </w:p>
        </w:tc>
      </w:tr>
      <w:tr w:rsidR="00553C0D" w:rsidRPr="00912395" w14:paraId="222F9925" w14:textId="77777777" w:rsidTr="00C37AC2">
        <w:trPr>
          <w:trHeight w:val="1800"/>
        </w:trPr>
        <w:tc>
          <w:tcPr>
            <w:tcW w:w="1844" w:type="dxa"/>
            <w:hideMark/>
          </w:tcPr>
          <w:p w14:paraId="2D5FDA1D" w14:textId="77777777" w:rsidR="00553C0D" w:rsidRPr="009A7362" w:rsidRDefault="00553C0D" w:rsidP="00805383">
            <w:pPr>
              <w:pStyle w:val="TableText"/>
            </w:pPr>
            <w:r w:rsidRPr="009A7362">
              <w:lastRenderedPageBreak/>
              <w:t>Rapid antigen test (RAT) – single target</w:t>
            </w:r>
          </w:p>
        </w:tc>
        <w:tc>
          <w:tcPr>
            <w:tcW w:w="4394" w:type="dxa"/>
            <w:hideMark/>
          </w:tcPr>
          <w:p w14:paraId="2CCA2E97" w14:textId="6457F4AD" w:rsidR="00635509" w:rsidRDefault="00553C0D" w:rsidP="00805383">
            <w:pPr>
              <w:pStyle w:val="TableText"/>
            </w:pPr>
            <w:r w:rsidRPr="00635509">
              <w:t>Carry out a rapid antigen test that detects a single species or a group of species, including the following:</w:t>
            </w:r>
          </w:p>
          <w:p w14:paraId="7BC2A44F" w14:textId="4D8611DD" w:rsidR="00635509" w:rsidRDefault="00553C0D" w:rsidP="0012193F">
            <w:pPr>
              <w:pStyle w:val="TableListNumber2"/>
              <w:numPr>
                <w:ilvl w:val="1"/>
                <w:numId w:val="18"/>
              </w:numPr>
            </w:pPr>
            <w:r w:rsidRPr="00635509">
              <w:t>sampling the affected material</w:t>
            </w:r>
          </w:p>
          <w:p w14:paraId="72D5C507" w14:textId="2B6818D6" w:rsidR="00635509" w:rsidRDefault="00553C0D" w:rsidP="0012193F">
            <w:pPr>
              <w:pStyle w:val="TableListNumber2"/>
              <w:numPr>
                <w:ilvl w:val="1"/>
                <w:numId w:val="18"/>
              </w:numPr>
            </w:pPr>
            <w:r w:rsidRPr="00635509">
              <w:t>preparing the sample</w:t>
            </w:r>
          </w:p>
          <w:p w14:paraId="64912996" w14:textId="538DA381" w:rsidR="00635509" w:rsidRDefault="00553C0D" w:rsidP="0012193F">
            <w:pPr>
              <w:pStyle w:val="TableListNumber2"/>
              <w:numPr>
                <w:ilvl w:val="1"/>
                <w:numId w:val="18"/>
              </w:numPr>
            </w:pPr>
            <w:r w:rsidRPr="00635509">
              <w:t>adding the test strip</w:t>
            </w:r>
          </w:p>
          <w:p w14:paraId="2F2D4E05" w14:textId="7BC67CED" w:rsidR="00635509" w:rsidRDefault="00553C0D" w:rsidP="0012193F">
            <w:pPr>
              <w:pStyle w:val="TableListNumber2"/>
              <w:numPr>
                <w:ilvl w:val="1"/>
                <w:numId w:val="18"/>
              </w:numPr>
            </w:pPr>
            <w:r w:rsidRPr="00635509">
              <w:t>recording the results of the test</w:t>
            </w:r>
          </w:p>
          <w:p w14:paraId="513F5B62" w14:textId="08B393FA" w:rsidR="00553C0D" w:rsidRPr="00635509" w:rsidRDefault="00553C0D" w:rsidP="0012193F">
            <w:pPr>
              <w:pStyle w:val="TableListNumber2"/>
              <w:numPr>
                <w:ilvl w:val="1"/>
                <w:numId w:val="18"/>
              </w:numPr>
            </w:pPr>
            <w:r w:rsidRPr="00635509">
              <w:t>disposal of the test</w:t>
            </w:r>
            <w:r w:rsidR="008D07B2" w:rsidRPr="00635509">
              <w:t>.</w:t>
            </w:r>
          </w:p>
        </w:tc>
        <w:tc>
          <w:tcPr>
            <w:tcW w:w="1843" w:type="dxa"/>
            <w:hideMark/>
          </w:tcPr>
          <w:p w14:paraId="06A19812" w14:textId="77777777" w:rsidR="00553C0D" w:rsidRPr="009A7362" w:rsidRDefault="00553C0D" w:rsidP="00805383">
            <w:pPr>
              <w:pStyle w:val="TableText"/>
            </w:pPr>
            <w:r w:rsidRPr="009A7362">
              <w:t>For each test</w:t>
            </w:r>
          </w:p>
        </w:tc>
        <w:tc>
          <w:tcPr>
            <w:tcW w:w="1559" w:type="dxa"/>
            <w:noWrap/>
            <w:hideMark/>
          </w:tcPr>
          <w:p w14:paraId="00539960" w14:textId="77777777" w:rsidR="00553C0D" w:rsidRPr="005426EB" w:rsidRDefault="00553C0D" w:rsidP="00EF029D">
            <w:pPr>
              <w:pStyle w:val="TableText"/>
              <w:jc w:val="right"/>
              <w:rPr>
                <w:rStyle w:val="Strong"/>
                <w:b w:val="0"/>
                <w:bCs w:val="0"/>
              </w:rPr>
            </w:pPr>
            <w:r w:rsidRPr="005426EB">
              <w:rPr>
                <w:rStyle w:val="Strong"/>
                <w:b w:val="0"/>
                <w:bCs w:val="0"/>
              </w:rPr>
              <w:t>42</w:t>
            </w:r>
          </w:p>
        </w:tc>
      </w:tr>
      <w:tr w:rsidR="00553C0D" w:rsidRPr="00912395" w14:paraId="16AA53FE" w14:textId="77777777" w:rsidTr="00C37AC2">
        <w:trPr>
          <w:trHeight w:val="1992"/>
        </w:trPr>
        <w:tc>
          <w:tcPr>
            <w:tcW w:w="1844" w:type="dxa"/>
            <w:hideMark/>
          </w:tcPr>
          <w:p w14:paraId="1712ECCC" w14:textId="77777777" w:rsidR="00553C0D" w:rsidRPr="009A7362" w:rsidRDefault="00553C0D" w:rsidP="00805383">
            <w:pPr>
              <w:pStyle w:val="TableText"/>
            </w:pPr>
            <w:r w:rsidRPr="009A7362">
              <w:t>RAT – multiple targets</w:t>
            </w:r>
          </w:p>
        </w:tc>
        <w:tc>
          <w:tcPr>
            <w:tcW w:w="4394" w:type="dxa"/>
            <w:hideMark/>
          </w:tcPr>
          <w:p w14:paraId="4B2C317F" w14:textId="5A6DFB36" w:rsidR="005426EB" w:rsidRDefault="00553C0D" w:rsidP="00805383">
            <w:pPr>
              <w:pStyle w:val="TableText"/>
            </w:pPr>
            <w:r w:rsidRPr="00635509">
              <w:t>Carry out a rapid antigen test that detects single species or a group of species, using a single test comb, including the following:</w:t>
            </w:r>
          </w:p>
          <w:p w14:paraId="7149DCBA" w14:textId="052BDA0D" w:rsidR="005426EB" w:rsidRDefault="00553C0D" w:rsidP="0012193F">
            <w:pPr>
              <w:pStyle w:val="TableListNumber2"/>
              <w:numPr>
                <w:ilvl w:val="1"/>
                <w:numId w:val="28"/>
              </w:numPr>
            </w:pPr>
            <w:r w:rsidRPr="00635509">
              <w:t>sampling the affected material</w:t>
            </w:r>
          </w:p>
          <w:p w14:paraId="59F01077" w14:textId="30BB9617" w:rsidR="005426EB" w:rsidRDefault="00553C0D" w:rsidP="0012193F">
            <w:pPr>
              <w:pStyle w:val="TableListNumber2"/>
              <w:numPr>
                <w:ilvl w:val="1"/>
                <w:numId w:val="28"/>
              </w:numPr>
            </w:pPr>
            <w:r w:rsidRPr="00635509">
              <w:t>preparing the sample</w:t>
            </w:r>
          </w:p>
          <w:p w14:paraId="3F10E921" w14:textId="03AE101A" w:rsidR="005426EB" w:rsidRDefault="00553C0D" w:rsidP="0012193F">
            <w:pPr>
              <w:pStyle w:val="TableListNumber2"/>
              <w:numPr>
                <w:ilvl w:val="1"/>
                <w:numId w:val="28"/>
              </w:numPr>
            </w:pPr>
            <w:r w:rsidRPr="00635509">
              <w:t>adding the test strip</w:t>
            </w:r>
          </w:p>
          <w:p w14:paraId="289DD781" w14:textId="3CF9EF21" w:rsidR="005426EB" w:rsidRDefault="00553C0D" w:rsidP="0012193F">
            <w:pPr>
              <w:pStyle w:val="TableListNumber2"/>
              <w:numPr>
                <w:ilvl w:val="1"/>
                <w:numId w:val="28"/>
              </w:numPr>
            </w:pPr>
            <w:r w:rsidRPr="00635509">
              <w:t>recording the results of the test</w:t>
            </w:r>
          </w:p>
          <w:p w14:paraId="4C13137E" w14:textId="5B57A32C" w:rsidR="00553C0D" w:rsidRPr="00635509" w:rsidRDefault="00553C0D" w:rsidP="0012193F">
            <w:pPr>
              <w:pStyle w:val="TableListNumber2"/>
              <w:numPr>
                <w:ilvl w:val="1"/>
                <w:numId w:val="28"/>
              </w:numPr>
            </w:pPr>
            <w:r w:rsidRPr="00635509">
              <w:t>disposal of the test</w:t>
            </w:r>
            <w:r w:rsidR="008D07B2" w:rsidRPr="00635509">
              <w:t>.</w:t>
            </w:r>
          </w:p>
        </w:tc>
        <w:tc>
          <w:tcPr>
            <w:tcW w:w="1843" w:type="dxa"/>
            <w:hideMark/>
          </w:tcPr>
          <w:p w14:paraId="12DFAA42" w14:textId="77777777" w:rsidR="00553C0D" w:rsidRPr="009A7362" w:rsidRDefault="00553C0D" w:rsidP="00805383">
            <w:pPr>
              <w:pStyle w:val="TableText"/>
            </w:pPr>
            <w:r w:rsidRPr="009A7362">
              <w:t>For each test</w:t>
            </w:r>
          </w:p>
        </w:tc>
        <w:tc>
          <w:tcPr>
            <w:tcW w:w="1559" w:type="dxa"/>
            <w:noWrap/>
            <w:hideMark/>
          </w:tcPr>
          <w:p w14:paraId="29936584" w14:textId="77777777" w:rsidR="00553C0D" w:rsidRPr="005426EB" w:rsidRDefault="00553C0D" w:rsidP="00EF029D">
            <w:pPr>
              <w:pStyle w:val="TableText"/>
              <w:jc w:val="right"/>
              <w:rPr>
                <w:rStyle w:val="Strong"/>
                <w:b w:val="0"/>
                <w:bCs w:val="0"/>
              </w:rPr>
            </w:pPr>
            <w:r w:rsidRPr="005426EB">
              <w:rPr>
                <w:rStyle w:val="Strong"/>
                <w:b w:val="0"/>
                <w:bCs w:val="0"/>
              </w:rPr>
              <w:t>58</w:t>
            </w:r>
          </w:p>
        </w:tc>
      </w:tr>
      <w:tr w:rsidR="00553C0D" w:rsidRPr="00912395" w14:paraId="4535E8E8" w14:textId="77777777" w:rsidTr="00C37AC2">
        <w:trPr>
          <w:trHeight w:val="600"/>
        </w:trPr>
        <w:tc>
          <w:tcPr>
            <w:tcW w:w="1844" w:type="dxa"/>
            <w:hideMark/>
          </w:tcPr>
          <w:p w14:paraId="1F65055A" w14:textId="66AD9A5B" w:rsidR="00553C0D" w:rsidRPr="009A7362" w:rsidRDefault="00553C0D" w:rsidP="00805383">
            <w:pPr>
              <w:pStyle w:val="TableText"/>
            </w:pPr>
            <w:r w:rsidRPr="009A7362">
              <w:t xml:space="preserve">Microbial culturing </w:t>
            </w:r>
            <w:r w:rsidR="00EF029D">
              <w:t>–</w:t>
            </w:r>
            <w:r w:rsidRPr="009A7362">
              <w:t xml:space="preserve"> initial plating</w:t>
            </w:r>
          </w:p>
        </w:tc>
        <w:tc>
          <w:tcPr>
            <w:tcW w:w="4394" w:type="dxa"/>
            <w:vAlign w:val="center"/>
            <w:hideMark/>
          </w:tcPr>
          <w:p w14:paraId="018B0B84" w14:textId="77777777" w:rsidR="00553C0D" w:rsidRPr="009A7362" w:rsidRDefault="00553C0D" w:rsidP="00805383">
            <w:pPr>
              <w:pStyle w:val="TableText"/>
            </w:pPr>
            <w:r w:rsidRPr="009A7362">
              <w:t>Carry out initial step for isolation of microorganisms, which includes the initial plating.</w:t>
            </w:r>
          </w:p>
        </w:tc>
        <w:tc>
          <w:tcPr>
            <w:tcW w:w="1843" w:type="dxa"/>
            <w:hideMark/>
          </w:tcPr>
          <w:p w14:paraId="4E4574CF" w14:textId="77777777" w:rsidR="00553C0D" w:rsidRPr="009A7362" w:rsidRDefault="00553C0D" w:rsidP="00805383">
            <w:pPr>
              <w:pStyle w:val="TableText"/>
            </w:pPr>
            <w:r w:rsidRPr="009A7362">
              <w:t>For each activity</w:t>
            </w:r>
          </w:p>
        </w:tc>
        <w:tc>
          <w:tcPr>
            <w:tcW w:w="1559" w:type="dxa"/>
            <w:noWrap/>
            <w:hideMark/>
          </w:tcPr>
          <w:p w14:paraId="599F0955" w14:textId="77777777" w:rsidR="00553C0D" w:rsidRPr="005426EB" w:rsidRDefault="00553C0D" w:rsidP="00EF029D">
            <w:pPr>
              <w:pStyle w:val="TableText"/>
              <w:jc w:val="right"/>
              <w:rPr>
                <w:rStyle w:val="Strong"/>
                <w:b w:val="0"/>
                <w:bCs w:val="0"/>
              </w:rPr>
            </w:pPr>
            <w:r w:rsidRPr="005426EB">
              <w:rPr>
                <w:rStyle w:val="Strong"/>
                <w:b w:val="0"/>
                <w:bCs w:val="0"/>
              </w:rPr>
              <w:t>30</w:t>
            </w:r>
          </w:p>
        </w:tc>
      </w:tr>
      <w:tr w:rsidR="00553C0D" w:rsidRPr="00912395" w14:paraId="52F17DE2" w14:textId="77777777" w:rsidTr="00C37AC2">
        <w:trPr>
          <w:trHeight w:val="300"/>
        </w:trPr>
        <w:tc>
          <w:tcPr>
            <w:tcW w:w="1844" w:type="dxa"/>
            <w:hideMark/>
          </w:tcPr>
          <w:p w14:paraId="4034DCC1" w14:textId="2D07775E" w:rsidR="00553C0D" w:rsidRPr="009A7362" w:rsidRDefault="00553C0D" w:rsidP="00805383">
            <w:pPr>
              <w:pStyle w:val="TableText"/>
            </w:pPr>
            <w:r w:rsidRPr="009A7362">
              <w:t xml:space="preserve">Microbial culturing </w:t>
            </w:r>
            <w:r w:rsidR="00EF029D">
              <w:t>–</w:t>
            </w:r>
            <w:r w:rsidRPr="009A7362">
              <w:t xml:space="preserve"> isolation of bacteria or fungi in pure culture, </w:t>
            </w:r>
            <w:r>
              <w:t>f</w:t>
            </w:r>
            <w:r w:rsidRPr="009A7362">
              <w:t>or each isolate</w:t>
            </w:r>
          </w:p>
        </w:tc>
        <w:tc>
          <w:tcPr>
            <w:tcW w:w="4394" w:type="dxa"/>
            <w:noWrap/>
            <w:hideMark/>
          </w:tcPr>
          <w:p w14:paraId="4705B519" w14:textId="127B109E" w:rsidR="00553C0D" w:rsidRPr="009A7362" w:rsidRDefault="00553C0D" w:rsidP="00805383">
            <w:pPr>
              <w:pStyle w:val="TableText"/>
            </w:pPr>
            <w:r w:rsidRPr="009A7362">
              <w:t>Carry out subculturing of a microorganism to obtain a pure isolate, excluding initial plating and identification.</w:t>
            </w:r>
          </w:p>
        </w:tc>
        <w:tc>
          <w:tcPr>
            <w:tcW w:w="1843" w:type="dxa"/>
            <w:hideMark/>
          </w:tcPr>
          <w:p w14:paraId="410169E2" w14:textId="77777777" w:rsidR="00553C0D" w:rsidRPr="009A7362" w:rsidRDefault="00553C0D" w:rsidP="00805383">
            <w:pPr>
              <w:pStyle w:val="TableText"/>
            </w:pPr>
            <w:r w:rsidRPr="009A7362">
              <w:t>For each isolation</w:t>
            </w:r>
          </w:p>
        </w:tc>
        <w:tc>
          <w:tcPr>
            <w:tcW w:w="1559" w:type="dxa"/>
            <w:noWrap/>
            <w:hideMark/>
          </w:tcPr>
          <w:p w14:paraId="6E47C8DB" w14:textId="77777777" w:rsidR="00553C0D" w:rsidRPr="005426EB" w:rsidRDefault="00553C0D" w:rsidP="00EF029D">
            <w:pPr>
              <w:pStyle w:val="TableText"/>
              <w:jc w:val="right"/>
              <w:rPr>
                <w:rStyle w:val="Strong"/>
                <w:b w:val="0"/>
                <w:bCs w:val="0"/>
              </w:rPr>
            </w:pPr>
            <w:r w:rsidRPr="005426EB">
              <w:rPr>
                <w:rStyle w:val="Strong"/>
                <w:b w:val="0"/>
                <w:bCs w:val="0"/>
              </w:rPr>
              <w:t>32</w:t>
            </w:r>
          </w:p>
        </w:tc>
      </w:tr>
      <w:tr w:rsidR="00553C0D" w:rsidRPr="00912395" w14:paraId="5D18F11F" w14:textId="77777777" w:rsidTr="00C37AC2">
        <w:trPr>
          <w:trHeight w:val="600"/>
        </w:trPr>
        <w:tc>
          <w:tcPr>
            <w:tcW w:w="1844" w:type="dxa"/>
            <w:hideMark/>
          </w:tcPr>
          <w:p w14:paraId="1577188D" w14:textId="77777777" w:rsidR="00553C0D" w:rsidRPr="009A7362" w:rsidRDefault="00553C0D" w:rsidP="00805383">
            <w:pPr>
              <w:pStyle w:val="TableText"/>
            </w:pPr>
            <w:r w:rsidRPr="009A7362">
              <w:t xml:space="preserve">Sheppard </w:t>
            </w:r>
            <w:r>
              <w:t>and</w:t>
            </w:r>
            <w:r w:rsidRPr="009A7362">
              <w:t xml:space="preserve"> Needham test</w:t>
            </w:r>
          </w:p>
        </w:tc>
        <w:tc>
          <w:tcPr>
            <w:tcW w:w="4394" w:type="dxa"/>
            <w:hideMark/>
          </w:tcPr>
          <w:p w14:paraId="14F59DB6" w14:textId="77777777" w:rsidR="00553C0D" w:rsidRPr="009A7362" w:rsidRDefault="00553C0D" w:rsidP="00805383">
            <w:pPr>
              <w:pStyle w:val="TableText"/>
            </w:pPr>
            <w:r w:rsidRPr="009A7362">
              <w:t xml:space="preserve">Conducting a Sheppard </w:t>
            </w:r>
            <w:r>
              <w:t>and</w:t>
            </w:r>
            <w:r w:rsidRPr="009A7362">
              <w:t xml:space="preserve"> Needham wash test to detect </w:t>
            </w:r>
            <w:r w:rsidRPr="00A2081D">
              <w:rPr>
                <w:rStyle w:val="Emphasis"/>
              </w:rPr>
              <w:t xml:space="preserve">Verticillium </w:t>
            </w:r>
            <w:proofErr w:type="spellStart"/>
            <w:r w:rsidRPr="00A2081D">
              <w:rPr>
                <w:rStyle w:val="Emphasis"/>
              </w:rPr>
              <w:t>alfalfae</w:t>
            </w:r>
            <w:proofErr w:type="spellEnd"/>
            <w:r w:rsidRPr="009A7362">
              <w:t xml:space="preserve"> in lucerne seed, including sampling, washing, culturing microbes, incubating cultures, and screening cultures.</w:t>
            </w:r>
          </w:p>
        </w:tc>
        <w:tc>
          <w:tcPr>
            <w:tcW w:w="1843" w:type="dxa"/>
            <w:hideMark/>
          </w:tcPr>
          <w:p w14:paraId="2DB00358" w14:textId="77777777" w:rsidR="00553C0D" w:rsidRPr="009A7362" w:rsidRDefault="00553C0D" w:rsidP="00805383">
            <w:pPr>
              <w:pStyle w:val="TableText"/>
            </w:pPr>
            <w:r w:rsidRPr="009A7362">
              <w:t>For each seed variety tested</w:t>
            </w:r>
          </w:p>
        </w:tc>
        <w:tc>
          <w:tcPr>
            <w:tcW w:w="1559" w:type="dxa"/>
            <w:noWrap/>
            <w:hideMark/>
          </w:tcPr>
          <w:p w14:paraId="547D1199" w14:textId="77777777" w:rsidR="00553C0D" w:rsidRPr="005426EB" w:rsidRDefault="00553C0D" w:rsidP="00EF029D">
            <w:pPr>
              <w:pStyle w:val="TableText"/>
              <w:jc w:val="right"/>
              <w:rPr>
                <w:rStyle w:val="Strong"/>
                <w:b w:val="0"/>
                <w:bCs w:val="0"/>
              </w:rPr>
            </w:pPr>
            <w:r w:rsidRPr="005426EB">
              <w:rPr>
                <w:rStyle w:val="Strong"/>
                <w:b w:val="0"/>
                <w:bCs w:val="0"/>
              </w:rPr>
              <w:t>1784</w:t>
            </w:r>
          </w:p>
        </w:tc>
      </w:tr>
      <w:tr w:rsidR="00553C0D" w:rsidRPr="00912395" w14:paraId="7CCA0D1A" w14:textId="77777777" w:rsidTr="00C37AC2">
        <w:trPr>
          <w:trHeight w:val="600"/>
        </w:trPr>
        <w:tc>
          <w:tcPr>
            <w:tcW w:w="1844" w:type="dxa"/>
            <w:noWrap/>
            <w:hideMark/>
          </w:tcPr>
          <w:p w14:paraId="20E72A99" w14:textId="16392B1C" w:rsidR="00553C0D" w:rsidRPr="009A7362" w:rsidRDefault="00553C0D" w:rsidP="00805383">
            <w:pPr>
              <w:pStyle w:val="TableText"/>
            </w:pPr>
            <w:r w:rsidRPr="009A7362">
              <w:t>Extraction of nucleic acid</w:t>
            </w:r>
          </w:p>
        </w:tc>
        <w:tc>
          <w:tcPr>
            <w:tcW w:w="4394" w:type="dxa"/>
            <w:noWrap/>
            <w:hideMark/>
          </w:tcPr>
          <w:p w14:paraId="5F59FE7B" w14:textId="2A377D02" w:rsidR="00553C0D" w:rsidRPr="009A7362" w:rsidRDefault="00553C0D" w:rsidP="00805383">
            <w:pPr>
              <w:pStyle w:val="TableText"/>
            </w:pPr>
            <w:r w:rsidRPr="009A7362">
              <w:t>Carry out extraction of nucleic acid from a sample or subsample, either manually or robotically without purification.</w:t>
            </w:r>
          </w:p>
        </w:tc>
        <w:tc>
          <w:tcPr>
            <w:tcW w:w="1843" w:type="dxa"/>
            <w:hideMark/>
          </w:tcPr>
          <w:p w14:paraId="1A8498CA" w14:textId="77777777" w:rsidR="00553C0D" w:rsidRPr="009A7362" w:rsidRDefault="00553C0D" w:rsidP="00805383">
            <w:pPr>
              <w:pStyle w:val="TableText"/>
            </w:pPr>
            <w:r w:rsidRPr="009A7362">
              <w:t>For each extraction</w:t>
            </w:r>
          </w:p>
        </w:tc>
        <w:tc>
          <w:tcPr>
            <w:tcW w:w="1559" w:type="dxa"/>
            <w:noWrap/>
            <w:hideMark/>
          </w:tcPr>
          <w:p w14:paraId="6BE64AA2" w14:textId="77777777" w:rsidR="00553C0D" w:rsidRPr="005426EB" w:rsidRDefault="00553C0D" w:rsidP="00EF029D">
            <w:pPr>
              <w:pStyle w:val="TableText"/>
              <w:jc w:val="right"/>
              <w:rPr>
                <w:rStyle w:val="Strong"/>
                <w:b w:val="0"/>
                <w:bCs w:val="0"/>
              </w:rPr>
            </w:pPr>
            <w:r w:rsidRPr="005426EB">
              <w:rPr>
                <w:rStyle w:val="Strong"/>
                <w:b w:val="0"/>
                <w:bCs w:val="0"/>
              </w:rPr>
              <w:t>41</w:t>
            </w:r>
          </w:p>
        </w:tc>
      </w:tr>
      <w:tr w:rsidR="00553C0D" w:rsidRPr="00912395" w14:paraId="52032BB2" w14:textId="77777777" w:rsidTr="00C37AC2">
        <w:trPr>
          <w:trHeight w:val="736"/>
        </w:trPr>
        <w:tc>
          <w:tcPr>
            <w:tcW w:w="1844" w:type="dxa"/>
            <w:hideMark/>
          </w:tcPr>
          <w:p w14:paraId="6E65A025" w14:textId="77777777" w:rsidR="00553C0D" w:rsidRPr="009A7362" w:rsidRDefault="00553C0D" w:rsidP="00805383">
            <w:pPr>
              <w:pStyle w:val="TableText"/>
            </w:pPr>
            <w:r w:rsidRPr="009A7362">
              <w:t xml:space="preserve">Extraction and purification of nucleic acid </w:t>
            </w:r>
            <w:r>
              <w:t>–</w:t>
            </w:r>
            <w:r w:rsidRPr="009A7362">
              <w:t xml:space="preserve"> 1 to 2 samples</w:t>
            </w:r>
          </w:p>
        </w:tc>
        <w:tc>
          <w:tcPr>
            <w:tcW w:w="4394" w:type="dxa"/>
            <w:hideMark/>
          </w:tcPr>
          <w:p w14:paraId="4BBD9577" w14:textId="2DC3732B" w:rsidR="00553C0D" w:rsidRPr="009A7362" w:rsidRDefault="00553C0D" w:rsidP="00805383">
            <w:pPr>
              <w:pStyle w:val="TableText"/>
            </w:pPr>
            <w:r w:rsidRPr="009A7362">
              <w:t>Carry out extraction and purification of nucleic acid from a sample or subsample, either manually or robotically.</w:t>
            </w:r>
          </w:p>
        </w:tc>
        <w:tc>
          <w:tcPr>
            <w:tcW w:w="1843" w:type="dxa"/>
            <w:hideMark/>
          </w:tcPr>
          <w:p w14:paraId="431BD0F8" w14:textId="77777777" w:rsidR="00553C0D" w:rsidRPr="009A7362" w:rsidRDefault="00553C0D" w:rsidP="00805383">
            <w:pPr>
              <w:pStyle w:val="TableText"/>
            </w:pPr>
            <w:r w:rsidRPr="009A7362">
              <w:t>For each extraction where 1 or 2 are carried out</w:t>
            </w:r>
          </w:p>
        </w:tc>
        <w:tc>
          <w:tcPr>
            <w:tcW w:w="1559" w:type="dxa"/>
            <w:noWrap/>
            <w:hideMark/>
          </w:tcPr>
          <w:p w14:paraId="1D2C92A9" w14:textId="77777777" w:rsidR="00553C0D" w:rsidRPr="005426EB" w:rsidRDefault="00553C0D" w:rsidP="00EF029D">
            <w:pPr>
              <w:pStyle w:val="TableText"/>
              <w:jc w:val="right"/>
              <w:rPr>
                <w:rStyle w:val="Strong"/>
                <w:b w:val="0"/>
                <w:bCs w:val="0"/>
              </w:rPr>
            </w:pPr>
            <w:r w:rsidRPr="005426EB">
              <w:rPr>
                <w:rStyle w:val="Strong"/>
                <w:b w:val="0"/>
                <w:bCs w:val="0"/>
              </w:rPr>
              <w:t>107</w:t>
            </w:r>
          </w:p>
        </w:tc>
      </w:tr>
      <w:tr w:rsidR="00553C0D" w:rsidRPr="00912395" w14:paraId="6029E7F5" w14:textId="77777777" w:rsidTr="00C37AC2">
        <w:trPr>
          <w:trHeight w:val="914"/>
        </w:trPr>
        <w:tc>
          <w:tcPr>
            <w:tcW w:w="1844" w:type="dxa"/>
            <w:hideMark/>
          </w:tcPr>
          <w:p w14:paraId="5EB01E62" w14:textId="77777777" w:rsidR="00553C0D" w:rsidRPr="009A7362" w:rsidRDefault="00553C0D" w:rsidP="00805383">
            <w:pPr>
              <w:pStyle w:val="TableText"/>
            </w:pPr>
            <w:r w:rsidRPr="009A7362">
              <w:t xml:space="preserve">Extraction and purification of nucleic acid </w:t>
            </w:r>
            <w:r>
              <w:t xml:space="preserve">– </w:t>
            </w:r>
            <w:r w:rsidRPr="009A7362">
              <w:t>3 to 10 samples</w:t>
            </w:r>
          </w:p>
        </w:tc>
        <w:tc>
          <w:tcPr>
            <w:tcW w:w="4394" w:type="dxa"/>
            <w:hideMark/>
          </w:tcPr>
          <w:p w14:paraId="258A83D3" w14:textId="3E26105D" w:rsidR="00553C0D" w:rsidRPr="009A7362" w:rsidRDefault="00553C0D" w:rsidP="00805383">
            <w:pPr>
              <w:pStyle w:val="TableText"/>
            </w:pPr>
            <w:r w:rsidRPr="009A7362">
              <w:t>Carry out extraction and purification of nucleic acid from a sample or subsample, either manually or robotically.</w:t>
            </w:r>
          </w:p>
        </w:tc>
        <w:tc>
          <w:tcPr>
            <w:tcW w:w="1843" w:type="dxa"/>
            <w:hideMark/>
          </w:tcPr>
          <w:p w14:paraId="4DEFF08C" w14:textId="554E8E29" w:rsidR="00553C0D" w:rsidRPr="009A7362" w:rsidRDefault="00553C0D" w:rsidP="00805383">
            <w:pPr>
              <w:pStyle w:val="TableText"/>
            </w:pPr>
            <w:r w:rsidRPr="009A7362">
              <w:t>For each extraction, where between 3 and 10 are carried out</w:t>
            </w:r>
          </w:p>
        </w:tc>
        <w:tc>
          <w:tcPr>
            <w:tcW w:w="1559" w:type="dxa"/>
            <w:noWrap/>
            <w:hideMark/>
          </w:tcPr>
          <w:p w14:paraId="08EBFBDC" w14:textId="77777777" w:rsidR="00553C0D" w:rsidRPr="005426EB" w:rsidRDefault="00553C0D" w:rsidP="00EF029D">
            <w:pPr>
              <w:pStyle w:val="TableText"/>
              <w:jc w:val="right"/>
              <w:rPr>
                <w:rStyle w:val="Strong"/>
                <w:b w:val="0"/>
                <w:bCs w:val="0"/>
              </w:rPr>
            </w:pPr>
            <w:r w:rsidRPr="005426EB">
              <w:rPr>
                <w:rStyle w:val="Strong"/>
                <w:b w:val="0"/>
                <w:bCs w:val="0"/>
              </w:rPr>
              <w:t>64</w:t>
            </w:r>
          </w:p>
        </w:tc>
      </w:tr>
      <w:tr w:rsidR="00553C0D" w:rsidRPr="00912395" w14:paraId="281F5B80" w14:textId="77777777" w:rsidTr="00C37AC2">
        <w:trPr>
          <w:trHeight w:val="1118"/>
        </w:trPr>
        <w:tc>
          <w:tcPr>
            <w:tcW w:w="1844" w:type="dxa"/>
            <w:hideMark/>
          </w:tcPr>
          <w:p w14:paraId="42B49552" w14:textId="77777777" w:rsidR="00553C0D" w:rsidRPr="009A7362" w:rsidRDefault="00553C0D" w:rsidP="00805383">
            <w:pPr>
              <w:pStyle w:val="TableText"/>
            </w:pPr>
            <w:r w:rsidRPr="009A7362">
              <w:t xml:space="preserve">Extraction and purification of nucleic acid </w:t>
            </w:r>
            <w:r>
              <w:t>–</w:t>
            </w:r>
            <w:r w:rsidRPr="009A7362">
              <w:t xml:space="preserve"> 11 or more samples</w:t>
            </w:r>
          </w:p>
        </w:tc>
        <w:tc>
          <w:tcPr>
            <w:tcW w:w="4394" w:type="dxa"/>
            <w:hideMark/>
          </w:tcPr>
          <w:p w14:paraId="24D1332C" w14:textId="41B09495" w:rsidR="00553C0D" w:rsidRPr="009A7362" w:rsidRDefault="00553C0D" w:rsidP="00805383">
            <w:pPr>
              <w:pStyle w:val="TableText"/>
            </w:pPr>
            <w:r w:rsidRPr="009A7362">
              <w:t>Carry out extraction and purification of nucleic acid from a sample or subsample, either manually or robotically.</w:t>
            </w:r>
          </w:p>
        </w:tc>
        <w:tc>
          <w:tcPr>
            <w:tcW w:w="1843" w:type="dxa"/>
            <w:hideMark/>
          </w:tcPr>
          <w:p w14:paraId="08A4E44C" w14:textId="2E41023B" w:rsidR="00553C0D" w:rsidRPr="009A7362" w:rsidRDefault="00553C0D" w:rsidP="00805383">
            <w:pPr>
              <w:pStyle w:val="TableText"/>
            </w:pPr>
            <w:r w:rsidRPr="009A7362">
              <w:t>For each extraction, where 11 or more are carried out</w:t>
            </w:r>
          </w:p>
        </w:tc>
        <w:tc>
          <w:tcPr>
            <w:tcW w:w="1559" w:type="dxa"/>
            <w:noWrap/>
            <w:hideMark/>
          </w:tcPr>
          <w:p w14:paraId="38D6EBC3" w14:textId="77777777" w:rsidR="00553C0D" w:rsidRPr="005426EB" w:rsidRDefault="00553C0D" w:rsidP="00EF029D">
            <w:pPr>
              <w:pStyle w:val="TableText"/>
              <w:jc w:val="right"/>
              <w:rPr>
                <w:rStyle w:val="Strong"/>
                <w:b w:val="0"/>
                <w:bCs w:val="0"/>
              </w:rPr>
            </w:pPr>
            <w:r w:rsidRPr="005426EB">
              <w:rPr>
                <w:rStyle w:val="Strong"/>
                <w:b w:val="0"/>
                <w:bCs w:val="0"/>
              </w:rPr>
              <w:t>49</w:t>
            </w:r>
          </w:p>
        </w:tc>
      </w:tr>
      <w:tr w:rsidR="00553C0D" w:rsidRPr="00912395" w14:paraId="55FA9EC8" w14:textId="77777777" w:rsidTr="00C37AC2">
        <w:trPr>
          <w:trHeight w:val="1799"/>
        </w:trPr>
        <w:tc>
          <w:tcPr>
            <w:tcW w:w="1844" w:type="dxa"/>
            <w:hideMark/>
          </w:tcPr>
          <w:p w14:paraId="5606182A" w14:textId="732E62DD" w:rsidR="00553C0D" w:rsidRPr="009A7362" w:rsidRDefault="00553C0D" w:rsidP="00805383">
            <w:pPr>
              <w:pStyle w:val="TableText"/>
            </w:pPr>
            <w:r w:rsidRPr="009A7362">
              <w:t>Loop</w:t>
            </w:r>
            <w:r w:rsidR="00EF029D">
              <w:t>-</w:t>
            </w:r>
            <w:r w:rsidRPr="009A7362">
              <w:t>mediated amplification (LAMP) test</w:t>
            </w:r>
          </w:p>
        </w:tc>
        <w:tc>
          <w:tcPr>
            <w:tcW w:w="4394" w:type="dxa"/>
            <w:hideMark/>
          </w:tcPr>
          <w:p w14:paraId="42D9D4DB" w14:textId="77777777" w:rsidR="00553C0D" w:rsidRPr="009A7362" w:rsidRDefault="00553C0D" w:rsidP="00805383">
            <w:pPr>
              <w:pStyle w:val="TableText"/>
            </w:pPr>
            <w:r w:rsidRPr="009A7362">
              <w:t>Carry out a loop</w:t>
            </w:r>
            <w:r>
              <w:t>-</w:t>
            </w:r>
            <w:r w:rsidRPr="009A7362">
              <w:t>mediated amplification (LAMP) test of a sample.</w:t>
            </w:r>
          </w:p>
        </w:tc>
        <w:tc>
          <w:tcPr>
            <w:tcW w:w="1843" w:type="dxa"/>
            <w:hideMark/>
          </w:tcPr>
          <w:p w14:paraId="39C7A7FB" w14:textId="5593B171" w:rsidR="00553C0D" w:rsidRPr="009A7362" w:rsidRDefault="00553C0D" w:rsidP="00805383">
            <w:pPr>
              <w:pStyle w:val="TableText"/>
            </w:pPr>
            <w:r w:rsidRPr="009A7362">
              <w:t>For each test of a sample that is a single sample, or a first sample in a batch, including positive and negative controls</w:t>
            </w:r>
          </w:p>
        </w:tc>
        <w:tc>
          <w:tcPr>
            <w:tcW w:w="1559" w:type="dxa"/>
            <w:noWrap/>
            <w:hideMark/>
          </w:tcPr>
          <w:p w14:paraId="3B841A88" w14:textId="77777777" w:rsidR="00553C0D" w:rsidRPr="005426EB" w:rsidRDefault="00553C0D" w:rsidP="00EF029D">
            <w:pPr>
              <w:pStyle w:val="TableText"/>
              <w:jc w:val="right"/>
              <w:rPr>
                <w:rStyle w:val="Strong"/>
                <w:b w:val="0"/>
                <w:bCs w:val="0"/>
              </w:rPr>
            </w:pPr>
            <w:r w:rsidRPr="005426EB">
              <w:rPr>
                <w:rStyle w:val="Strong"/>
                <w:b w:val="0"/>
                <w:bCs w:val="0"/>
              </w:rPr>
              <w:t>149</w:t>
            </w:r>
          </w:p>
        </w:tc>
      </w:tr>
      <w:tr w:rsidR="00553C0D" w:rsidRPr="00912395" w14:paraId="38622B63" w14:textId="77777777" w:rsidTr="00C37AC2">
        <w:trPr>
          <w:trHeight w:val="905"/>
        </w:trPr>
        <w:tc>
          <w:tcPr>
            <w:tcW w:w="1844" w:type="dxa"/>
            <w:hideMark/>
          </w:tcPr>
          <w:p w14:paraId="0AAA5486" w14:textId="1E0B3151" w:rsidR="00553C0D" w:rsidRPr="009A7362" w:rsidRDefault="00553C0D" w:rsidP="00805383">
            <w:pPr>
              <w:pStyle w:val="TableText"/>
            </w:pPr>
            <w:r w:rsidRPr="009A7362">
              <w:t>LAMP test</w:t>
            </w:r>
          </w:p>
        </w:tc>
        <w:tc>
          <w:tcPr>
            <w:tcW w:w="4394" w:type="dxa"/>
            <w:hideMark/>
          </w:tcPr>
          <w:p w14:paraId="43794171" w14:textId="77777777" w:rsidR="00553C0D" w:rsidRPr="009A7362" w:rsidRDefault="00553C0D" w:rsidP="00805383">
            <w:pPr>
              <w:pStyle w:val="TableText"/>
            </w:pPr>
            <w:r w:rsidRPr="009A7362">
              <w:t>Carry out a LAMP test in relation to an additional sample in a batch.</w:t>
            </w:r>
          </w:p>
        </w:tc>
        <w:tc>
          <w:tcPr>
            <w:tcW w:w="1843" w:type="dxa"/>
            <w:hideMark/>
          </w:tcPr>
          <w:p w14:paraId="1DD05EB3" w14:textId="77777777" w:rsidR="00553C0D" w:rsidRPr="009A7362" w:rsidRDefault="00553C0D" w:rsidP="00805383">
            <w:pPr>
              <w:pStyle w:val="TableText"/>
            </w:pPr>
            <w:r w:rsidRPr="009A7362">
              <w:t>For each test of an additional sample in a batch</w:t>
            </w:r>
          </w:p>
        </w:tc>
        <w:tc>
          <w:tcPr>
            <w:tcW w:w="1559" w:type="dxa"/>
            <w:noWrap/>
            <w:hideMark/>
          </w:tcPr>
          <w:p w14:paraId="5DCDB9EA" w14:textId="77777777" w:rsidR="00553C0D" w:rsidRPr="005426EB" w:rsidRDefault="00553C0D" w:rsidP="00EF029D">
            <w:pPr>
              <w:pStyle w:val="TableText"/>
              <w:jc w:val="right"/>
              <w:rPr>
                <w:rStyle w:val="Strong"/>
                <w:b w:val="0"/>
                <w:bCs w:val="0"/>
              </w:rPr>
            </w:pPr>
            <w:r w:rsidRPr="005426EB">
              <w:rPr>
                <w:rStyle w:val="Strong"/>
                <w:b w:val="0"/>
                <w:bCs w:val="0"/>
              </w:rPr>
              <w:t>43</w:t>
            </w:r>
          </w:p>
        </w:tc>
      </w:tr>
      <w:tr w:rsidR="00553C0D" w:rsidRPr="00912395" w14:paraId="6B990C7D" w14:textId="77777777" w:rsidTr="00C37AC2">
        <w:trPr>
          <w:trHeight w:val="486"/>
        </w:trPr>
        <w:tc>
          <w:tcPr>
            <w:tcW w:w="1844" w:type="dxa"/>
            <w:hideMark/>
          </w:tcPr>
          <w:p w14:paraId="29274597" w14:textId="585A9739" w:rsidR="00553C0D" w:rsidRPr="009A7362" w:rsidRDefault="00553C0D" w:rsidP="00805383">
            <w:pPr>
              <w:pStyle w:val="TableText"/>
            </w:pPr>
            <w:r w:rsidRPr="009A7362">
              <w:lastRenderedPageBreak/>
              <w:t>Polymerase chain reaction (PCR) or quantitative polymerase chain reaction (qPCR</w:t>
            </w:r>
            <w:r w:rsidR="00EF029D">
              <w:t>)</w:t>
            </w:r>
            <w:r w:rsidRPr="009A7362">
              <w:t xml:space="preserve"> </w:t>
            </w:r>
            <w:r>
              <w:t>–</w:t>
            </w:r>
            <w:r w:rsidRPr="009A7362">
              <w:t xml:space="preserve"> 1 to 2 samples</w:t>
            </w:r>
          </w:p>
        </w:tc>
        <w:tc>
          <w:tcPr>
            <w:tcW w:w="4394" w:type="dxa"/>
            <w:hideMark/>
          </w:tcPr>
          <w:p w14:paraId="62A5766A" w14:textId="0EA24A3A" w:rsidR="00553C0D" w:rsidRPr="009A7362" w:rsidRDefault="00553C0D" w:rsidP="00805383">
            <w:pPr>
              <w:pStyle w:val="TableText"/>
            </w:pPr>
            <w:r w:rsidRPr="009A7362">
              <w:t xml:space="preserve">Carry out a PCR or </w:t>
            </w:r>
            <w:r w:rsidR="00EF029D" w:rsidRPr="009A7362">
              <w:t xml:space="preserve">qPCR </w:t>
            </w:r>
            <w:r w:rsidRPr="009A7362">
              <w:t>reaction activity.</w:t>
            </w:r>
          </w:p>
        </w:tc>
        <w:tc>
          <w:tcPr>
            <w:tcW w:w="1843" w:type="dxa"/>
            <w:hideMark/>
          </w:tcPr>
          <w:p w14:paraId="00BCA212" w14:textId="77777777" w:rsidR="00553C0D" w:rsidRPr="009A7362" w:rsidRDefault="00553C0D" w:rsidP="00805383">
            <w:pPr>
              <w:pStyle w:val="TableText"/>
            </w:pPr>
            <w:r w:rsidRPr="009A7362">
              <w:t>For each activity, where 1 or 2 are carried out</w:t>
            </w:r>
          </w:p>
        </w:tc>
        <w:tc>
          <w:tcPr>
            <w:tcW w:w="1559" w:type="dxa"/>
            <w:noWrap/>
            <w:hideMark/>
          </w:tcPr>
          <w:p w14:paraId="5FA22CAF" w14:textId="77777777" w:rsidR="00553C0D" w:rsidRPr="00C37AC2" w:rsidRDefault="00553C0D" w:rsidP="00EF029D">
            <w:pPr>
              <w:pStyle w:val="TableText"/>
              <w:jc w:val="right"/>
              <w:rPr>
                <w:rStyle w:val="Strong"/>
                <w:b w:val="0"/>
                <w:bCs w:val="0"/>
              </w:rPr>
            </w:pPr>
            <w:r w:rsidRPr="00C37AC2">
              <w:rPr>
                <w:rStyle w:val="Strong"/>
                <w:b w:val="0"/>
                <w:bCs w:val="0"/>
              </w:rPr>
              <w:t>86</w:t>
            </w:r>
          </w:p>
        </w:tc>
      </w:tr>
      <w:tr w:rsidR="00553C0D" w:rsidRPr="00912395" w14:paraId="33F9983E" w14:textId="77777777" w:rsidTr="00C37AC2">
        <w:trPr>
          <w:trHeight w:val="985"/>
        </w:trPr>
        <w:tc>
          <w:tcPr>
            <w:tcW w:w="1844" w:type="dxa"/>
            <w:hideMark/>
          </w:tcPr>
          <w:p w14:paraId="698117AF" w14:textId="0D2C827A" w:rsidR="00553C0D" w:rsidRPr="009A7362" w:rsidRDefault="00553C0D" w:rsidP="00805383">
            <w:pPr>
              <w:pStyle w:val="TableText"/>
            </w:pPr>
            <w:r w:rsidRPr="009A7362">
              <w:t>PCR</w:t>
            </w:r>
            <w:r>
              <w:t xml:space="preserve"> or qPCR</w:t>
            </w:r>
            <w:r w:rsidRPr="009A7362">
              <w:t xml:space="preserve"> </w:t>
            </w:r>
            <w:r>
              <w:t>–</w:t>
            </w:r>
            <w:r w:rsidRPr="009A7362">
              <w:t xml:space="preserve"> 3 to 10 samples</w:t>
            </w:r>
          </w:p>
        </w:tc>
        <w:tc>
          <w:tcPr>
            <w:tcW w:w="4394" w:type="dxa"/>
            <w:hideMark/>
          </w:tcPr>
          <w:p w14:paraId="18769395" w14:textId="16629F7B" w:rsidR="00553C0D" w:rsidRPr="009A7362" w:rsidRDefault="00553C0D" w:rsidP="00805383">
            <w:pPr>
              <w:pStyle w:val="TableText"/>
            </w:pPr>
            <w:r w:rsidRPr="009A7362">
              <w:t>Carry out a PCR or qPCR activity.</w:t>
            </w:r>
          </w:p>
        </w:tc>
        <w:tc>
          <w:tcPr>
            <w:tcW w:w="1843" w:type="dxa"/>
            <w:hideMark/>
          </w:tcPr>
          <w:p w14:paraId="18086A09" w14:textId="77777777" w:rsidR="00553C0D" w:rsidRPr="009A7362" w:rsidRDefault="00553C0D" w:rsidP="00805383">
            <w:pPr>
              <w:pStyle w:val="TableText"/>
            </w:pPr>
            <w:r w:rsidRPr="009A7362">
              <w:t>For each activity, where between 3 and 10 are carried out</w:t>
            </w:r>
          </w:p>
        </w:tc>
        <w:tc>
          <w:tcPr>
            <w:tcW w:w="1559" w:type="dxa"/>
            <w:noWrap/>
            <w:hideMark/>
          </w:tcPr>
          <w:p w14:paraId="15D8A9DF" w14:textId="77777777" w:rsidR="00553C0D" w:rsidRPr="00C37AC2" w:rsidRDefault="00553C0D" w:rsidP="00EF029D">
            <w:pPr>
              <w:pStyle w:val="TableText"/>
              <w:jc w:val="right"/>
              <w:rPr>
                <w:rStyle w:val="Strong"/>
                <w:b w:val="0"/>
                <w:bCs w:val="0"/>
              </w:rPr>
            </w:pPr>
            <w:r w:rsidRPr="00C37AC2">
              <w:rPr>
                <w:rStyle w:val="Strong"/>
                <w:b w:val="0"/>
                <w:bCs w:val="0"/>
              </w:rPr>
              <w:t>35</w:t>
            </w:r>
          </w:p>
        </w:tc>
      </w:tr>
      <w:tr w:rsidR="00553C0D" w:rsidRPr="00912395" w14:paraId="2A86E0D0" w14:textId="77777777" w:rsidTr="00C37AC2">
        <w:trPr>
          <w:trHeight w:val="832"/>
        </w:trPr>
        <w:tc>
          <w:tcPr>
            <w:tcW w:w="1844" w:type="dxa"/>
            <w:hideMark/>
          </w:tcPr>
          <w:p w14:paraId="09526043" w14:textId="1AD549D3" w:rsidR="00553C0D" w:rsidRPr="009A7362" w:rsidRDefault="00553C0D" w:rsidP="00805383">
            <w:pPr>
              <w:pStyle w:val="TableText"/>
            </w:pPr>
            <w:r w:rsidRPr="009A7362">
              <w:t>PCR</w:t>
            </w:r>
            <w:r>
              <w:t xml:space="preserve"> or qPCR –</w:t>
            </w:r>
            <w:r w:rsidRPr="009A7362">
              <w:t xml:space="preserve"> 11 or more samples</w:t>
            </w:r>
          </w:p>
        </w:tc>
        <w:tc>
          <w:tcPr>
            <w:tcW w:w="4394" w:type="dxa"/>
            <w:hideMark/>
          </w:tcPr>
          <w:p w14:paraId="3843A6BC" w14:textId="6ED45471" w:rsidR="00553C0D" w:rsidRPr="009A7362" w:rsidRDefault="00553C0D" w:rsidP="00805383">
            <w:pPr>
              <w:pStyle w:val="TableText"/>
            </w:pPr>
            <w:r w:rsidRPr="009A7362">
              <w:t>Carry out a PCR or qPCR activity.</w:t>
            </w:r>
          </w:p>
        </w:tc>
        <w:tc>
          <w:tcPr>
            <w:tcW w:w="1843" w:type="dxa"/>
            <w:hideMark/>
          </w:tcPr>
          <w:p w14:paraId="16603D36" w14:textId="77777777" w:rsidR="00553C0D" w:rsidRPr="009A7362" w:rsidRDefault="00553C0D" w:rsidP="00805383">
            <w:pPr>
              <w:pStyle w:val="TableText"/>
            </w:pPr>
            <w:r w:rsidRPr="009A7362">
              <w:t xml:space="preserve">For each activity, where 11 or more are carried out  </w:t>
            </w:r>
          </w:p>
        </w:tc>
        <w:tc>
          <w:tcPr>
            <w:tcW w:w="1559" w:type="dxa"/>
            <w:noWrap/>
            <w:hideMark/>
          </w:tcPr>
          <w:p w14:paraId="0518FBF7" w14:textId="77777777" w:rsidR="00553C0D" w:rsidRPr="00C37AC2" w:rsidRDefault="00553C0D" w:rsidP="00EF029D">
            <w:pPr>
              <w:pStyle w:val="TableText"/>
              <w:jc w:val="right"/>
              <w:rPr>
                <w:rStyle w:val="Strong"/>
                <w:b w:val="0"/>
                <w:bCs w:val="0"/>
              </w:rPr>
            </w:pPr>
            <w:r w:rsidRPr="00C37AC2">
              <w:rPr>
                <w:rStyle w:val="Strong"/>
                <w:b w:val="0"/>
                <w:bCs w:val="0"/>
              </w:rPr>
              <w:t>13</w:t>
            </w:r>
          </w:p>
        </w:tc>
      </w:tr>
      <w:tr w:rsidR="00553C0D" w:rsidRPr="00912395" w14:paraId="5D912ECE" w14:textId="77777777" w:rsidTr="00C37AC2">
        <w:trPr>
          <w:trHeight w:val="600"/>
        </w:trPr>
        <w:tc>
          <w:tcPr>
            <w:tcW w:w="1844" w:type="dxa"/>
            <w:hideMark/>
          </w:tcPr>
          <w:p w14:paraId="136B5A3E" w14:textId="77777777" w:rsidR="00553C0D" w:rsidRPr="009A7362" w:rsidRDefault="00553C0D" w:rsidP="00805383">
            <w:pPr>
              <w:pStyle w:val="TableText"/>
            </w:pPr>
            <w:r w:rsidRPr="009A7362">
              <w:t>Deoxyribonucleic acid (DNA) sequencing</w:t>
            </w:r>
          </w:p>
        </w:tc>
        <w:tc>
          <w:tcPr>
            <w:tcW w:w="4394" w:type="dxa"/>
            <w:hideMark/>
          </w:tcPr>
          <w:p w14:paraId="1871A55D" w14:textId="77777777" w:rsidR="00553C0D" w:rsidRPr="009A7362" w:rsidRDefault="00553C0D" w:rsidP="00805383">
            <w:pPr>
              <w:pStyle w:val="TableText"/>
            </w:pPr>
            <w:r w:rsidRPr="009A7362">
              <w:t>Carry out sequencing of amplified DNA, derived from a sample of extracted and amplified DNA, but excluding matching to species in online databases, and analysis of sequence data.</w:t>
            </w:r>
          </w:p>
        </w:tc>
        <w:tc>
          <w:tcPr>
            <w:tcW w:w="1843" w:type="dxa"/>
            <w:hideMark/>
          </w:tcPr>
          <w:p w14:paraId="5AE19409" w14:textId="77777777" w:rsidR="00553C0D" w:rsidRPr="009A7362" w:rsidRDefault="00553C0D" w:rsidP="00805383">
            <w:pPr>
              <w:pStyle w:val="TableText"/>
            </w:pPr>
            <w:r w:rsidRPr="009A7362">
              <w:t>For each sequencing</w:t>
            </w:r>
          </w:p>
        </w:tc>
        <w:tc>
          <w:tcPr>
            <w:tcW w:w="1559" w:type="dxa"/>
            <w:noWrap/>
            <w:hideMark/>
          </w:tcPr>
          <w:p w14:paraId="1AF90067" w14:textId="77777777" w:rsidR="00553C0D" w:rsidRPr="00C37AC2" w:rsidRDefault="00553C0D" w:rsidP="00EF029D">
            <w:pPr>
              <w:pStyle w:val="TableText"/>
              <w:jc w:val="right"/>
              <w:rPr>
                <w:rStyle w:val="Strong"/>
                <w:b w:val="0"/>
                <w:bCs w:val="0"/>
              </w:rPr>
            </w:pPr>
            <w:r w:rsidRPr="00C37AC2">
              <w:rPr>
                <w:rStyle w:val="Strong"/>
                <w:b w:val="0"/>
                <w:bCs w:val="0"/>
              </w:rPr>
              <w:t>109</w:t>
            </w:r>
          </w:p>
        </w:tc>
      </w:tr>
      <w:tr w:rsidR="00553C0D" w:rsidRPr="00912395" w14:paraId="6685DD00" w14:textId="77777777" w:rsidTr="00C37AC2">
        <w:trPr>
          <w:trHeight w:val="1200"/>
        </w:trPr>
        <w:tc>
          <w:tcPr>
            <w:tcW w:w="1844" w:type="dxa"/>
            <w:hideMark/>
          </w:tcPr>
          <w:p w14:paraId="25BD884D" w14:textId="77777777" w:rsidR="00553C0D" w:rsidRPr="005426EB" w:rsidRDefault="00553C0D" w:rsidP="00805383">
            <w:pPr>
              <w:pStyle w:val="TableText"/>
            </w:pPr>
            <w:r w:rsidRPr="005426EB">
              <w:t>Electron microscopy</w:t>
            </w:r>
          </w:p>
        </w:tc>
        <w:tc>
          <w:tcPr>
            <w:tcW w:w="4394" w:type="dxa"/>
            <w:hideMark/>
          </w:tcPr>
          <w:p w14:paraId="58904376" w14:textId="02D62AC5" w:rsidR="005426EB" w:rsidRDefault="00553C0D" w:rsidP="00805383">
            <w:pPr>
              <w:pStyle w:val="TableText"/>
            </w:pPr>
            <w:r w:rsidRPr="005426EB">
              <w:t>Carry out electron microscopy of a sample or subsample, including:</w:t>
            </w:r>
          </w:p>
          <w:p w14:paraId="65C3A091" w14:textId="6D3380CF" w:rsidR="005426EB" w:rsidRDefault="00553C0D" w:rsidP="0012193F">
            <w:pPr>
              <w:pStyle w:val="TableListNumber2"/>
              <w:numPr>
                <w:ilvl w:val="1"/>
                <w:numId w:val="25"/>
              </w:numPr>
            </w:pPr>
            <w:r w:rsidRPr="005426EB">
              <w:t>preparing the sample</w:t>
            </w:r>
          </w:p>
          <w:p w14:paraId="1315BEE2" w14:textId="69475FC7" w:rsidR="005426EB" w:rsidRDefault="00553C0D" w:rsidP="0012193F">
            <w:pPr>
              <w:pStyle w:val="TableListNumber2"/>
              <w:numPr>
                <w:ilvl w:val="1"/>
                <w:numId w:val="25"/>
              </w:numPr>
            </w:pPr>
            <w:r w:rsidRPr="005426EB">
              <w:t>electron microscopy of the sample</w:t>
            </w:r>
          </w:p>
          <w:p w14:paraId="7322C84A" w14:textId="7232429C" w:rsidR="00553C0D" w:rsidRPr="005426EB" w:rsidRDefault="00553C0D" w:rsidP="0012193F">
            <w:pPr>
              <w:pStyle w:val="TableListNumber2"/>
              <w:numPr>
                <w:ilvl w:val="1"/>
                <w:numId w:val="25"/>
              </w:numPr>
            </w:pPr>
            <w:r w:rsidRPr="005426EB">
              <w:t>analysis of the results</w:t>
            </w:r>
            <w:r w:rsidR="008D07B2" w:rsidRPr="005426EB">
              <w:t>.</w:t>
            </w:r>
          </w:p>
        </w:tc>
        <w:tc>
          <w:tcPr>
            <w:tcW w:w="1843" w:type="dxa"/>
            <w:hideMark/>
          </w:tcPr>
          <w:p w14:paraId="186AA251" w14:textId="77777777" w:rsidR="00553C0D" w:rsidRPr="009A7362" w:rsidRDefault="00553C0D" w:rsidP="00805383">
            <w:pPr>
              <w:pStyle w:val="TableText"/>
            </w:pPr>
            <w:r w:rsidRPr="009A7362">
              <w:t xml:space="preserve">For each sample </w:t>
            </w:r>
          </w:p>
        </w:tc>
        <w:tc>
          <w:tcPr>
            <w:tcW w:w="1559" w:type="dxa"/>
            <w:noWrap/>
            <w:hideMark/>
          </w:tcPr>
          <w:p w14:paraId="4DE1B266" w14:textId="77777777" w:rsidR="00553C0D" w:rsidRPr="005426EB" w:rsidRDefault="00553C0D" w:rsidP="00EF029D">
            <w:pPr>
              <w:pStyle w:val="TableText"/>
              <w:jc w:val="right"/>
              <w:rPr>
                <w:rStyle w:val="Strong"/>
                <w:b w:val="0"/>
                <w:bCs w:val="0"/>
              </w:rPr>
            </w:pPr>
            <w:r w:rsidRPr="005426EB">
              <w:rPr>
                <w:rStyle w:val="Strong"/>
                <w:b w:val="0"/>
                <w:bCs w:val="0"/>
              </w:rPr>
              <w:t>236</w:t>
            </w:r>
          </w:p>
        </w:tc>
      </w:tr>
      <w:tr w:rsidR="00553C0D" w:rsidRPr="00912395" w14:paraId="403B01E5" w14:textId="77777777" w:rsidTr="00C37AC2">
        <w:trPr>
          <w:trHeight w:val="600"/>
        </w:trPr>
        <w:tc>
          <w:tcPr>
            <w:tcW w:w="1844" w:type="dxa"/>
            <w:hideMark/>
          </w:tcPr>
          <w:p w14:paraId="387C430F" w14:textId="77777777" w:rsidR="00553C0D" w:rsidRPr="009A7362" w:rsidRDefault="00553C0D" w:rsidP="00805383">
            <w:pPr>
              <w:pStyle w:val="TableText"/>
            </w:pPr>
            <w:r w:rsidRPr="009A7362">
              <w:t>Nematode extraction</w:t>
            </w:r>
          </w:p>
        </w:tc>
        <w:tc>
          <w:tcPr>
            <w:tcW w:w="4394" w:type="dxa"/>
            <w:hideMark/>
          </w:tcPr>
          <w:p w14:paraId="12256C2C" w14:textId="77777777" w:rsidR="00553C0D" w:rsidRPr="009A7362" w:rsidRDefault="00553C0D" w:rsidP="00805383">
            <w:pPr>
              <w:pStyle w:val="TableText"/>
            </w:pPr>
            <w:r w:rsidRPr="009A7362">
              <w:t>Carry out an extraction of nematodes from a sample of soil or plant material but excluding tests to identify the species present.</w:t>
            </w:r>
          </w:p>
        </w:tc>
        <w:tc>
          <w:tcPr>
            <w:tcW w:w="1843" w:type="dxa"/>
            <w:hideMark/>
          </w:tcPr>
          <w:p w14:paraId="40B37FAB" w14:textId="77777777" w:rsidR="00553C0D" w:rsidRPr="009A7362" w:rsidRDefault="00553C0D" w:rsidP="00805383">
            <w:pPr>
              <w:pStyle w:val="TableText"/>
            </w:pPr>
            <w:r w:rsidRPr="009A7362">
              <w:t>For each extraction</w:t>
            </w:r>
          </w:p>
        </w:tc>
        <w:tc>
          <w:tcPr>
            <w:tcW w:w="1559" w:type="dxa"/>
            <w:noWrap/>
            <w:hideMark/>
          </w:tcPr>
          <w:p w14:paraId="413598FD" w14:textId="77777777" w:rsidR="00553C0D" w:rsidRPr="005426EB" w:rsidRDefault="00553C0D" w:rsidP="00EF029D">
            <w:pPr>
              <w:pStyle w:val="TableText"/>
              <w:jc w:val="right"/>
              <w:rPr>
                <w:rStyle w:val="Strong"/>
                <w:b w:val="0"/>
                <w:bCs w:val="0"/>
              </w:rPr>
            </w:pPr>
            <w:r w:rsidRPr="005426EB">
              <w:rPr>
                <w:rStyle w:val="Strong"/>
                <w:b w:val="0"/>
                <w:bCs w:val="0"/>
              </w:rPr>
              <w:t>225</w:t>
            </w:r>
          </w:p>
        </w:tc>
      </w:tr>
      <w:tr w:rsidR="00553C0D" w:rsidRPr="00912395" w14:paraId="32197415" w14:textId="77777777" w:rsidTr="00C37AC2">
        <w:trPr>
          <w:trHeight w:val="600"/>
        </w:trPr>
        <w:tc>
          <w:tcPr>
            <w:tcW w:w="1844" w:type="dxa"/>
            <w:hideMark/>
          </w:tcPr>
          <w:p w14:paraId="32C47BD1" w14:textId="77777777" w:rsidR="00553C0D" w:rsidRPr="009A7362" w:rsidRDefault="00553C0D" w:rsidP="00805383">
            <w:pPr>
              <w:pStyle w:val="TableText"/>
            </w:pPr>
            <w:r w:rsidRPr="009A7362">
              <w:t xml:space="preserve">High throughput sequencing of </w:t>
            </w:r>
            <w:r>
              <w:t>small</w:t>
            </w:r>
            <w:r w:rsidRPr="009A7362">
              <w:t xml:space="preserve"> ribonucleic acid (RNA)</w:t>
            </w:r>
          </w:p>
        </w:tc>
        <w:tc>
          <w:tcPr>
            <w:tcW w:w="4394" w:type="dxa"/>
            <w:hideMark/>
          </w:tcPr>
          <w:p w14:paraId="36CEE1A9" w14:textId="5E46A0AA" w:rsidR="00553C0D" w:rsidRPr="004347D5" w:rsidRDefault="00553C0D" w:rsidP="00805383">
            <w:pPr>
              <w:pStyle w:val="TableText"/>
            </w:pPr>
            <w:r w:rsidRPr="004347D5">
              <w:t>Carry out high throughput sequencing of small RNA from a sample of plant tissue, including analysis of small lengths of RNA, excluding RNA extraction.</w:t>
            </w:r>
          </w:p>
        </w:tc>
        <w:tc>
          <w:tcPr>
            <w:tcW w:w="1843" w:type="dxa"/>
            <w:hideMark/>
          </w:tcPr>
          <w:p w14:paraId="39B3D6FA" w14:textId="77777777" w:rsidR="00553C0D" w:rsidRPr="009A7362" w:rsidRDefault="00553C0D" w:rsidP="00805383">
            <w:pPr>
              <w:pStyle w:val="TableText"/>
            </w:pPr>
            <w:r w:rsidRPr="009A7362">
              <w:t>For each sequencing</w:t>
            </w:r>
          </w:p>
        </w:tc>
        <w:tc>
          <w:tcPr>
            <w:tcW w:w="1559" w:type="dxa"/>
            <w:noWrap/>
            <w:hideMark/>
          </w:tcPr>
          <w:p w14:paraId="434B12B5" w14:textId="77777777" w:rsidR="00553C0D" w:rsidRPr="005426EB" w:rsidRDefault="00553C0D" w:rsidP="00EF029D">
            <w:pPr>
              <w:pStyle w:val="TableText"/>
              <w:jc w:val="right"/>
              <w:rPr>
                <w:rStyle w:val="Strong"/>
                <w:b w:val="0"/>
                <w:bCs w:val="0"/>
              </w:rPr>
            </w:pPr>
            <w:r w:rsidRPr="005426EB">
              <w:rPr>
                <w:rStyle w:val="Strong"/>
                <w:b w:val="0"/>
                <w:bCs w:val="0"/>
              </w:rPr>
              <w:t>656</w:t>
            </w:r>
          </w:p>
        </w:tc>
      </w:tr>
      <w:tr w:rsidR="00553C0D" w:rsidRPr="00912395" w14:paraId="7A412EF5" w14:textId="77777777" w:rsidTr="00C37AC2">
        <w:trPr>
          <w:trHeight w:val="1200"/>
        </w:trPr>
        <w:tc>
          <w:tcPr>
            <w:tcW w:w="1844" w:type="dxa"/>
            <w:hideMark/>
          </w:tcPr>
          <w:p w14:paraId="15872AAA" w14:textId="77777777" w:rsidR="00553C0D" w:rsidRPr="009A7362" w:rsidRDefault="00553C0D" w:rsidP="00805383">
            <w:pPr>
              <w:pStyle w:val="TableText"/>
            </w:pPr>
            <w:r w:rsidRPr="009A7362">
              <w:t xml:space="preserve">Herbaceous indexing </w:t>
            </w:r>
          </w:p>
        </w:tc>
        <w:tc>
          <w:tcPr>
            <w:tcW w:w="4394" w:type="dxa"/>
            <w:hideMark/>
          </w:tcPr>
          <w:p w14:paraId="494D49A0" w14:textId="072B71A9" w:rsidR="005426EB" w:rsidRDefault="00553C0D" w:rsidP="00805383">
            <w:pPr>
              <w:pStyle w:val="TableText"/>
            </w:pPr>
            <w:r w:rsidRPr="004347D5">
              <w:t>Carry out herbaceous indexing, including the following:</w:t>
            </w:r>
          </w:p>
          <w:p w14:paraId="6A100E85" w14:textId="28B40F60" w:rsidR="005426EB" w:rsidRDefault="00553C0D" w:rsidP="0012193F">
            <w:pPr>
              <w:pStyle w:val="TableListNumber2"/>
              <w:numPr>
                <w:ilvl w:val="1"/>
                <w:numId w:val="27"/>
              </w:numPr>
            </w:pPr>
            <w:r w:rsidRPr="004347D5">
              <w:t>inoculating indicator plants using plant tissue from the tested plant</w:t>
            </w:r>
          </w:p>
          <w:p w14:paraId="33BB95C1" w14:textId="13C3F887" w:rsidR="005426EB" w:rsidRDefault="00553C0D" w:rsidP="0012193F">
            <w:pPr>
              <w:pStyle w:val="TableListNumber2"/>
              <w:numPr>
                <w:ilvl w:val="1"/>
                <w:numId w:val="27"/>
              </w:numPr>
            </w:pPr>
            <w:r w:rsidRPr="004347D5">
              <w:t>inoculating positive and negative control plants</w:t>
            </w:r>
          </w:p>
          <w:p w14:paraId="7D7C77D9" w14:textId="28D24E0C" w:rsidR="00553C0D" w:rsidRPr="004347D5" w:rsidRDefault="00553C0D" w:rsidP="0012193F">
            <w:pPr>
              <w:pStyle w:val="TableListNumber2"/>
              <w:numPr>
                <w:ilvl w:val="1"/>
                <w:numId w:val="27"/>
              </w:numPr>
            </w:pPr>
            <w:r w:rsidRPr="004347D5">
              <w:t>observing symptoms in the indicator plants</w:t>
            </w:r>
            <w:r w:rsidR="008D07B2" w:rsidRPr="004347D5">
              <w:t>.</w:t>
            </w:r>
          </w:p>
        </w:tc>
        <w:tc>
          <w:tcPr>
            <w:tcW w:w="1843" w:type="dxa"/>
            <w:hideMark/>
          </w:tcPr>
          <w:p w14:paraId="2B0EB399" w14:textId="77777777" w:rsidR="00553C0D" w:rsidRPr="009A7362" w:rsidRDefault="00553C0D" w:rsidP="00805383">
            <w:pPr>
              <w:pStyle w:val="TableText"/>
            </w:pPr>
            <w:r w:rsidRPr="009A7362">
              <w:t xml:space="preserve">For each plant tested </w:t>
            </w:r>
          </w:p>
        </w:tc>
        <w:tc>
          <w:tcPr>
            <w:tcW w:w="1559" w:type="dxa"/>
            <w:noWrap/>
            <w:hideMark/>
          </w:tcPr>
          <w:p w14:paraId="6E0CC07B" w14:textId="77777777" w:rsidR="00553C0D" w:rsidRPr="005426EB" w:rsidRDefault="00553C0D" w:rsidP="00EF029D">
            <w:pPr>
              <w:pStyle w:val="TableText"/>
              <w:jc w:val="right"/>
              <w:rPr>
                <w:rStyle w:val="Strong"/>
                <w:b w:val="0"/>
                <w:bCs w:val="0"/>
              </w:rPr>
            </w:pPr>
            <w:r w:rsidRPr="005426EB">
              <w:rPr>
                <w:rStyle w:val="Strong"/>
                <w:b w:val="0"/>
                <w:bCs w:val="0"/>
              </w:rPr>
              <w:t>90</w:t>
            </w:r>
          </w:p>
        </w:tc>
      </w:tr>
      <w:tr w:rsidR="00553C0D" w:rsidRPr="00912395" w14:paraId="371FA458" w14:textId="77777777" w:rsidTr="00C37AC2">
        <w:trPr>
          <w:trHeight w:val="1200"/>
        </w:trPr>
        <w:tc>
          <w:tcPr>
            <w:tcW w:w="1844" w:type="dxa"/>
            <w:hideMark/>
          </w:tcPr>
          <w:p w14:paraId="31B36C02" w14:textId="77777777" w:rsidR="00553C0D" w:rsidRPr="009A7362" w:rsidRDefault="00553C0D" w:rsidP="00805383">
            <w:pPr>
              <w:pStyle w:val="TableText"/>
            </w:pPr>
            <w:r w:rsidRPr="009A7362">
              <w:t>Woody indexing</w:t>
            </w:r>
          </w:p>
        </w:tc>
        <w:tc>
          <w:tcPr>
            <w:tcW w:w="4394" w:type="dxa"/>
            <w:hideMark/>
          </w:tcPr>
          <w:p w14:paraId="69CC09F4" w14:textId="348BAD4A" w:rsidR="005426EB" w:rsidRDefault="00553C0D" w:rsidP="00805383">
            <w:pPr>
              <w:pStyle w:val="TableText"/>
            </w:pPr>
            <w:r w:rsidRPr="004347D5">
              <w:t>Carry out woody indexing, including the following:</w:t>
            </w:r>
          </w:p>
          <w:p w14:paraId="1053C459" w14:textId="6D83C84C" w:rsidR="005426EB" w:rsidRDefault="00553C0D" w:rsidP="0012193F">
            <w:pPr>
              <w:pStyle w:val="TableListNumber2"/>
              <w:numPr>
                <w:ilvl w:val="1"/>
                <w:numId w:val="26"/>
              </w:numPr>
            </w:pPr>
            <w:r w:rsidRPr="004347D5">
              <w:t>inoculating indicator plants by grafting tissue from the tested plant onto the indicator plant</w:t>
            </w:r>
          </w:p>
          <w:p w14:paraId="4B435E12" w14:textId="6C303450" w:rsidR="00553C0D" w:rsidRPr="004347D5" w:rsidRDefault="00553C0D" w:rsidP="005426EB">
            <w:pPr>
              <w:pStyle w:val="TableListNumber2"/>
            </w:pPr>
            <w:r w:rsidRPr="004347D5">
              <w:t>grafting negative and positive control plants</w:t>
            </w:r>
            <w:r w:rsidRPr="004347D5">
              <w:br/>
              <w:t>observing symptoms in the indicator plants</w:t>
            </w:r>
            <w:r w:rsidR="008D07B2" w:rsidRPr="004347D5">
              <w:t>.</w:t>
            </w:r>
          </w:p>
        </w:tc>
        <w:tc>
          <w:tcPr>
            <w:tcW w:w="1843" w:type="dxa"/>
            <w:hideMark/>
          </w:tcPr>
          <w:p w14:paraId="727CAE1B" w14:textId="77777777" w:rsidR="00553C0D" w:rsidRPr="009A7362" w:rsidRDefault="00553C0D" w:rsidP="00805383">
            <w:pPr>
              <w:pStyle w:val="TableText"/>
            </w:pPr>
            <w:r w:rsidRPr="009A7362">
              <w:t xml:space="preserve">For each plant tested </w:t>
            </w:r>
          </w:p>
        </w:tc>
        <w:tc>
          <w:tcPr>
            <w:tcW w:w="1559" w:type="dxa"/>
            <w:noWrap/>
            <w:hideMark/>
          </w:tcPr>
          <w:p w14:paraId="34302C48" w14:textId="77777777" w:rsidR="00553C0D" w:rsidRPr="005426EB" w:rsidRDefault="00553C0D" w:rsidP="00EF029D">
            <w:pPr>
              <w:pStyle w:val="TableText"/>
              <w:jc w:val="right"/>
              <w:rPr>
                <w:rStyle w:val="Strong"/>
                <w:b w:val="0"/>
                <w:bCs w:val="0"/>
              </w:rPr>
            </w:pPr>
            <w:r w:rsidRPr="005426EB">
              <w:rPr>
                <w:rStyle w:val="Strong"/>
                <w:b w:val="0"/>
                <w:bCs w:val="0"/>
              </w:rPr>
              <w:t>238</w:t>
            </w:r>
          </w:p>
        </w:tc>
      </w:tr>
      <w:tr w:rsidR="00553C0D" w:rsidRPr="00912395" w14:paraId="049F80A8" w14:textId="77777777" w:rsidTr="00C37AC2">
        <w:trPr>
          <w:trHeight w:val="1200"/>
        </w:trPr>
        <w:tc>
          <w:tcPr>
            <w:tcW w:w="1844" w:type="dxa"/>
            <w:hideMark/>
          </w:tcPr>
          <w:p w14:paraId="53F083CF" w14:textId="77777777" w:rsidR="00553C0D" w:rsidRPr="009A7362" w:rsidRDefault="00553C0D" w:rsidP="00805383">
            <w:pPr>
              <w:pStyle w:val="TableText"/>
            </w:pPr>
            <w:r w:rsidRPr="009A7362">
              <w:t>Shoot tip grafting</w:t>
            </w:r>
          </w:p>
        </w:tc>
        <w:tc>
          <w:tcPr>
            <w:tcW w:w="4394" w:type="dxa"/>
            <w:hideMark/>
          </w:tcPr>
          <w:p w14:paraId="216348B0" w14:textId="255A2CC2" w:rsidR="005426EB" w:rsidRDefault="00553C0D" w:rsidP="00805383">
            <w:pPr>
              <w:pStyle w:val="TableText"/>
            </w:pPr>
            <w:r w:rsidRPr="004347D5">
              <w:t xml:space="preserve">Carry </w:t>
            </w:r>
            <w:proofErr w:type="gramStart"/>
            <w:r w:rsidRPr="004347D5">
              <w:t>out shoot</w:t>
            </w:r>
            <w:proofErr w:type="gramEnd"/>
            <w:r w:rsidRPr="004347D5">
              <w:t xml:space="preserve"> tip grafting, including the following:</w:t>
            </w:r>
          </w:p>
          <w:p w14:paraId="6FABCDC5" w14:textId="699C2003" w:rsidR="005426EB" w:rsidRDefault="00553C0D" w:rsidP="0012193F">
            <w:pPr>
              <w:pStyle w:val="TableListNumber2"/>
              <w:numPr>
                <w:ilvl w:val="1"/>
                <w:numId w:val="29"/>
              </w:numPr>
            </w:pPr>
            <w:r w:rsidRPr="004347D5">
              <w:t>preparing a seedling rootstock</w:t>
            </w:r>
          </w:p>
          <w:p w14:paraId="22B42B9A" w14:textId="7D36766F" w:rsidR="005426EB" w:rsidRDefault="00553C0D" w:rsidP="0012193F">
            <w:pPr>
              <w:pStyle w:val="TableListNumber2"/>
              <w:numPr>
                <w:ilvl w:val="1"/>
                <w:numId w:val="29"/>
              </w:numPr>
            </w:pPr>
            <w:r w:rsidRPr="004347D5">
              <w:t>grafting a shoot tip from the tested plant onto the seedling</w:t>
            </w:r>
          </w:p>
          <w:p w14:paraId="4CFD6CBF" w14:textId="2D6A6A33" w:rsidR="00553C0D" w:rsidRPr="004347D5" w:rsidRDefault="00553C0D" w:rsidP="0012193F">
            <w:pPr>
              <w:pStyle w:val="TableListNumber2"/>
              <w:numPr>
                <w:ilvl w:val="1"/>
                <w:numId w:val="29"/>
              </w:numPr>
            </w:pPr>
            <w:r w:rsidRPr="004347D5">
              <w:t>monitoring growth</w:t>
            </w:r>
            <w:r w:rsidR="008D07B2" w:rsidRPr="004347D5">
              <w:t>.</w:t>
            </w:r>
          </w:p>
        </w:tc>
        <w:tc>
          <w:tcPr>
            <w:tcW w:w="1843" w:type="dxa"/>
            <w:hideMark/>
          </w:tcPr>
          <w:p w14:paraId="3141BF58" w14:textId="77777777" w:rsidR="00553C0D" w:rsidRPr="009A7362" w:rsidRDefault="00553C0D" w:rsidP="00805383">
            <w:pPr>
              <w:pStyle w:val="TableText"/>
            </w:pPr>
            <w:r w:rsidRPr="009A7362">
              <w:t>For each grafting attempt</w:t>
            </w:r>
          </w:p>
        </w:tc>
        <w:tc>
          <w:tcPr>
            <w:tcW w:w="1559" w:type="dxa"/>
            <w:noWrap/>
            <w:hideMark/>
          </w:tcPr>
          <w:p w14:paraId="42565249" w14:textId="77777777" w:rsidR="00553C0D" w:rsidRPr="005426EB" w:rsidRDefault="00553C0D" w:rsidP="00EF029D">
            <w:pPr>
              <w:pStyle w:val="TableText"/>
              <w:jc w:val="right"/>
              <w:rPr>
                <w:rStyle w:val="Strong"/>
                <w:b w:val="0"/>
                <w:bCs w:val="0"/>
              </w:rPr>
            </w:pPr>
            <w:r w:rsidRPr="005426EB">
              <w:rPr>
                <w:rStyle w:val="Strong"/>
                <w:b w:val="0"/>
                <w:bCs w:val="0"/>
              </w:rPr>
              <w:t>94</w:t>
            </w:r>
          </w:p>
        </w:tc>
      </w:tr>
      <w:tr w:rsidR="00553C0D" w:rsidRPr="00912395" w14:paraId="0414D570" w14:textId="77777777" w:rsidTr="00C37AC2">
        <w:trPr>
          <w:trHeight w:val="1329"/>
        </w:trPr>
        <w:tc>
          <w:tcPr>
            <w:tcW w:w="1844" w:type="dxa"/>
            <w:hideMark/>
          </w:tcPr>
          <w:p w14:paraId="7617611A" w14:textId="035A9CBB" w:rsidR="00553C0D" w:rsidRPr="009A7362" w:rsidRDefault="00553C0D" w:rsidP="00805383">
            <w:pPr>
              <w:pStyle w:val="TableText"/>
            </w:pPr>
            <w:r w:rsidRPr="009A7362">
              <w:t>Enzyme</w:t>
            </w:r>
            <w:r w:rsidR="00EF029D">
              <w:t>-</w:t>
            </w:r>
            <w:r w:rsidRPr="009A7362">
              <w:t>linked immunosorbent assay (ELISA) test extraction</w:t>
            </w:r>
          </w:p>
        </w:tc>
        <w:tc>
          <w:tcPr>
            <w:tcW w:w="4394" w:type="dxa"/>
            <w:hideMark/>
          </w:tcPr>
          <w:p w14:paraId="6BA2F25C" w14:textId="34BD1E03" w:rsidR="004347D5" w:rsidRDefault="00553C0D" w:rsidP="00805383">
            <w:pPr>
              <w:pStyle w:val="TableText"/>
            </w:pPr>
            <w:r w:rsidRPr="004347D5">
              <w:t>Carry out an ELISA test extraction of a sample in preparation for an ELISA test, including:</w:t>
            </w:r>
          </w:p>
          <w:p w14:paraId="5A3460CA" w14:textId="50269AB2" w:rsidR="004347D5" w:rsidRDefault="00553C0D" w:rsidP="0012193F">
            <w:pPr>
              <w:pStyle w:val="TableListNumber2"/>
              <w:numPr>
                <w:ilvl w:val="1"/>
                <w:numId w:val="24"/>
              </w:numPr>
            </w:pPr>
            <w:r w:rsidRPr="004347D5">
              <w:t>reagent preparation</w:t>
            </w:r>
          </w:p>
          <w:p w14:paraId="79F52BDC" w14:textId="74097B1F" w:rsidR="00553C0D" w:rsidRPr="004347D5" w:rsidRDefault="00553C0D" w:rsidP="0012193F">
            <w:pPr>
              <w:pStyle w:val="TableListNumber2"/>
              <w:numPr>
                <w:ilvl w:val="1"/>
                <w:numId w:val="24"/>
              </w:numPr>
            </w:pPr>
            <w:r w:rsidRPr="004347D5">
              <w:t>grinding plant tissue in a buffer bag</w:t>
            </w:r>
            <w:r w:rsidR="008D07B2" w:rsidRPr="004347D5">
              <w:t>.</w:t>
            </w:r>
          </w:p>
        </w:tc>
        <w:tc>
          <w:tcPr>
            <w:tcW w:w="1843" w:type="dxa"/>
            <w:hideMark/>
          </w:tcPr>
          <w:p w14:paraId="4DA09C38" w14:textId="77777777" w:rsidR="00553C0D" w:rsidRPr="009A7362" w:rsidRDefault="00553C0D" w:rsidP="00805383">
            <w:pPr>
              <w:pStyle w:val="TableText"/>
            </w:pPr>
            <w:r w:rsidRPr="009A7362">
              <w:t>For each extraction</w:t>
            </w:r>
            <w:r>
              <w:t xml:space="preserve"> </w:t>
            </w:r>
          </w:p>
        </w:tc>
        <w:tc>
          <w:tcPr>
            <w:tcW w:w="1559" w:type="dxa"/>
            <w:noWrap/>
            <w:hideMark/>
          </w:tcPr>
          <w:p w14:paraId="2595EF94" w14:textId="77777777" w:rsidR="00553C0D" w:rsidRPr="00C37AC2" w:rsidRDefault="00553C0D" w:rsidP="00EF029D">
            <w:pPr>
              <w:pStyle w:val="TableText"/>
              <w:jc w:val="right"/>
              <w:rPr>
                <w:rStyle w:val="Strong"/>
                <w:b w:val="0"/>
                <w:bCs w:val="0"/>
              </w:rPr>
            </w:pPr>
            <w:r w:rsidRPr="00C37AC2">
              <w:rPr>
                <w:rStyle w:val="Strong"/>
                <w:b w:val="0"/>
                <w:bCs w:val="0"/>
              </w:rPr>
              <w:t>10</w:t>
            </w:r>
          </w:p>
        </w:tc>
      </w:tr>
      <w:tr w:rsidR="00553C0D" w:rsidRPr="00912395" w14:paraId="61FE21F4" w14:textId="77777777" w:rsidTr="00C37AC2">
        <w:trPr>
          <w:trHeight w:val="1200"/>
        </w:trPr>
        <w:tc>
          <w:tcPr>
            <w:tcW w:w="1844" w:type="dxa"/>
            <w:hideMark/>
          </w:tcPr>
          <w:p w14:paraId="2E4CE6E8" w14:textId="4BC45CA3" w:rsidR="00553C0D" w:rsidRPr="009A7362" w:rsidRDefault="00553C0D" w:rsidP="00805383">
            <w:pPr>
              <w:pStyle w:val="TableText"/>
            </w:pPr>
            <w:r w:rsidRPr="009A7362">
              <w:lastRenderedPageBreak/>
              <w:t xml:space="preserve">ELISA </w:t>
            </w:r>
            <w:r>
              <w:t>–</w:t>
            </w:r>
            <w:r w:rsidRPr="009A7362">
              <w:t xml:space="preserve"> 1 to 2 samples</w:t>
            </w:r>
          </w:p>
        </w:tc>
        <w:tc>
          <w:tcPr>
            <w:tcW w:w="4394" w:type="dxa"/>
            <w:hideMark/>
          </w:tcPr>
          <w:p w14:paraId="2CF05FE9" w14:textId="13F055A2" w:rsidR="004347D5" w:rsidRPr="004347D5" w:rsidRDefault="00553C0D" w:rsidP="00805383">
            <w:pPr>
              <w:pStyle w:val="TableText"/>
            </w:pPr>
            <w:r w:rsidRPr="004347D5">
              <w:t>Carry out an ELISA test of an extract of plant tissue, including the following:</w:t>
            </w:r>
          </w:p>
          <w:p w14:paraId="35D8D1DF" w14:textId="76573457" w:rsidR="004347D5" w:rsidRPr="004347D5" w:rsidRDefault="00553C0D" w:rsidP="0012193F">
            <w:pPr>
              <w:pStyle w:val="TableListNumber2"/>
              <w:numPr>
                <w:ilvl w:val="1"/>
                <w:numId w:val="23"/>
              </w:numPr>
            </w:pPr>
            <w:r w:rsidRPr="004347D5">
              <w:t>positive and negative controls</w:t>
            </w:r>
          </w:p>
          <w:p w14:paraId="313AA13B" w14:textId="66AB08C6" w:rsidR="004347D5" w:rsidRPr="004347D5" w:rsidRDefault="00553C0D" w:rsidP="0012193F">
            <w:pPr>
              <w:pStyle w:val="TableListNumber2"/>
              <w:numPr>
                <w:ilvl w:val="1"/>
                <w:numId w:val="23"/>
              </w:numPr>
            </w:pPr>
            <w:r w:rsidRPr="004347D5">
              <w:t>incubating the extract with antibodies in a test plate</w:t>
            </w:r>
          </w:p>
          <w:p w14:paraId="5743151E" w14:textId="4A7C8C44" w:rsidR="00553C0D" w:rsidRPr="009A7362" w:rsidRDefault="00553C0D" w:rsidP="004347D5">
            <w:pPr>
              <w:pStyle w:val="TableListNumber2"/>
            </w:pPr>
            <w:r w:rsidRPr="004347D5">
              <w:t>analysis of results</w:t>
            </w:r>
            <w:r w:rsidR="008D07B2" w:rsidRPr="004347D5">
              <w:t>.</w:t>
            </w:r>
          </w:p>
        </w:tc>
        <w:tc>
          <w:tcPr>
            <w:tcW w:w="1843" w:type="dxa"/>
            <w:hideMark/>
          </w:tcPr>
          <w:p w14:paraId="438DFAA3" w14:textId="77777777" w:rsidR="00553C0D" w:rsidRPr="009A7362" w:rsidRDefault="00553C0D" w:rsidP="00805383">
            <w:pPr>
              <w:pStyle w:val="TableText"/>
            </w:pPr>
            <w:r w:rsidRPr="009A7362">
              <w:t>For each test, where 1 or 2 are carried out</w:t>
            </w:r>
          </w:p>
        </w:tc>
        <w:tc>
          <w:tcPr>
            <w:tcW w:w="1559" w:type="dxa"/>
            <w:noWrap/>
            <w:hideMark/>
          </w:tcPr>
          <w:p w14:paraId="38D517C8" w14:textId="77777777" w:rsidR="00553C0D" w:rsidRPr="00C37AC2" w:rsidRDefault="00553C0D" w:rsidP="00EF029D">
            <w:pPr>
              <w:pStyle w:val="TableText"/>
              <w:jc w:val="right"/>
              <w:rPr>
                <w:rStyle w:val="Strong"/>
                <w:b w:val="0"/>
                <w:bCs w:val="0"/>
              </w:rPr>
            </w:pPr>
            <w:r w:rsidRPr="00C37AC2">
              <w:rPr>
                <w:rStyle w:val="Strong"/>
                <w:b w:val="0"/>
                <w:bCs w:val="0"/>
              </w:rPr>
              <w:t>164</w:t>
            </w:r>
          </w:p>
        </w:tc>
      </w:tr>
      <w:tr w:rsidR="00553C0D" w:rsidRPr="00912395" w14:paraId="4B2981E1" w14:textId="77777777" w:rsidTr="00C37AC2">
        <w:trPr>
          <w:trHeight w:val="1355"/>
        </w:trPr>
        <w:tc>
          <w:tcPr>
            <w:tcW w:w="1844" w:type="dxa"/>
            <w:hideMark/>
          </w:tcPr>
          <w:p w14:paraId="6D6986B9" w14:textId="2AC984C6" w:rsidR="00553C0D" w:rsidRPr="009A7362" w:rsidRDefault="00553C0D" w:rsidP="00805383">
            <w:pPr>
              <w:pStyle w:val="TableText"/>
            </w:pPr>
            <w:r w:rsidRPr="009A7362">
              <w:t xml:space="preserve">ELISA </w:t>
            </w:r>
            <w:r>
              <w:t xml:space="preserve">– </w:t>
            </w:r>
            <w:r w:rsidRPr="009A7362">
              <w:t>3 to 10 samples</w:t>
            </w:r>
          </w:p>
        </w:tc>
        <w:tc>
          <w:tcPr>
            <w:tcW w:w="4394" w:type="dxa"/>
            <w:hideMark/>
          </w:tcPr>
          <w:p w14:paraId="2C215F77" w14:textId="77777777" w:rsidR="00635509" w:rsidRPr="00635509" w:rsidRDefault="00553C0D" w:rsidP="00805383">
            <w:pPr>
              <w:pStyle w:val="TableText"/>
            </w:pPr>
            <w:r w:rsidRPr="009A7362">
              <w:t xml:space="preserve">Carry out an ELISA test of an extract of plant tissue, </w:t>
            </w:r>
            <w:r w:rsidRPr="00635509">
              <w:t>including the following:</w:t>
            </w:r>
          </w:p>
          <w:p w14:paraId="387C38C2" w14:textId="22DCC8FF" w:rsidR="00635509" w:rsidRPr="00635509" w:rsidRDefault="00553C0D" w:rsidP="0012193F">
            <w:pPr>
              <w:pStyle w:val="TableListNumber2"/>
              <w:numPr>
                <w:ilvl w:val="1"/>
                <w:numId w:val="19"/>
              </w:numPr>
            </w:pPr>
            <w:r w:rsidRPr="00635509">
              <w:t>positive and negative controls</w:t>
            </w:r>
          </w:p>
          <w:p w14:paraId="5A22D17B" w14:textId="25D98B58" w:rsidR="00635509" w:rsidRPr="00635509" w:rsidRDefault="00553C0D" w:rsidP="00635509">
            <w:pPr>
              <w:pStyle w:val="TableListNumber2"/>
            </w:pPr>
            <w:r w:rsidRPr="00635509">
              <w:t>incubating the extract with antibodies in a test plate</w:t>
            </w:r>
          </w:p>
          <w:p w14:paraId="0462556E" w14:textId="25C36418" w:rsidR="00553C0D" w:rsidRPr="009A7362" w:rsidRDefault="00553C0D" w:rsidP="00635509">
            <w:pPr>
              <w:pStyle w:val="TableListNumber2"/>
            </w:pPr>
            <w:r w:rsidRPr="00635509">
              <w:t>analysis of results</w:t>
            </w:r>
            <w:r w:rsidR="008D07B2" w:rsidRPr="00635509">
              <w:t>.</w:t>
            </w:r>
          </w:p>
        </w:tc>
        <w:tc>
          <w:tcPr>
            <w:tcW w:w="1843" w:type="dxa"/>
            <w:hideMark/>
          </w:tcPr>
          <w:p w14:paraId="4B7417EE" w14:textId="77777777" w:rsidR="00553C0D" w:rsidRPr="009A7362" w:rsidRDefault="00553C0D" w:rsidP="00805383">
            <w:pPr>
              <w:pStyle w:val="TableText"/>
            </w:pPr>
            <w:r w:rsidRPr="009A7362">
              <w:t>For each test, where between 3 and 10 tests are carried out</w:t>
            </w:r>
          </w:p>
        </w:tc>
        <w:tc>
          <w:tcPr>
            <w:tcW w:w="1559" w:type="dxa"/>
            <w:noWrap/>
            <w:hideMark/>
          </w:tcPr>
          <w:p w14:paraId="3FC6DD6D" w14:textId="77777777" w:rsidR="00553C0D" w:rsidRPr="00C37AC2" w:rsidRDefault="00553C0D" w:rsidP="00EF029D">
            <w:pPr>
              <w:pStyle w:val="TableText"/>
              <w:jc w:val="right"/>
              <w:rPr>
                <w:rStyle w:val="Strong"/>
                <w:b w:val="0"/>
                <w:bCs w:val="0"/>
              </w:rPr>
            </w:pPr>
            <w:r w:rsidRPr="00C37AC2">
              <w:rPr>
                <w:rStyle w:val="Strong"/>
                <w:b w:val="0"/>
                <w:bCs w:val="0"/>
              </w:rPr>
              <w:t>51</w:t>
            </w:r>
          </w:p>
        </w:tc>
      </w:tr>
      <w:tr w:rsidR="00553C0D" w:rsidRPr="00912395" w14:paraId="55A7A2E7" w14:textId="77777777" w:rsidTr="00C37AC2">
        <w:trPr>
          <w:trHeight w:val="1265"/>
        </w:trPr>
        <w:tc>
          <w:tcPr>
            <w:tcW w:w="1844" w:type="dxa"/>
            <w:hideMark/>
          </w:tcPr>
          <w:p w14:paraId="12686211" w14:textId="26712A96" w:rsidR="00553C0D" w:rsidRPr="004347D5" w:rsidRDefault="00553C0D" w:rsidP="00805383">
            <w:pPr>
              <w:pStyle w:val="TableText"/>
            </w:pPr>
            <w:r w:rsidRPr="004347D5">
              <w:t>ELISA – 11 or more samples</w:t>
            </w:r>
          </w:p>
        </w:tc>
        <w:tc>
          <w:tcPr>
            <w:tcW w:w="4394" w:type="dxa"/>
            <w:hideMark/>
          </w:tcPr>
          <w:p w14:paraId="3DF60379" w14:textId="51617068" w:rsidR="004347D5" w:rsidRDefault="00553C0D" w:rsidP="00805383">
            <w:pPr>
              <w:pStyle w:val="TableText"/>
            </w:pPr>
            <w:r w:rsidRPr="004347D5">
              <w:t>Carry out an ELISA test of an extract of plant tissue, including the following:</w:t>
            </w:r>
          </w:p>
          <w:p w14:paraId="6C5824F5" w14:textId="49D45D59" w:rsidR="004347D5" w:rsidRDefault="00553C0D" w:rsidP="0012193F">
            <w:pPr>
              <w:pStyle w:val="TableListNumber2"/>
              <w:numPr>
                <w:ilvl w:val="1"/>
                <w:numId w:val="22"/>
              </w:numPr>
            </w:pPr>
            <w:r w:rsidRPr="004347D5">
              <w:t>positive and negative controls</w:t>
            </w:r>
          </w:p>
          <w:p w14:paraId="75B9541F" w14:textId="79F1C098" w:rsidR="004347D5" w:rsidRDefault="00553C0D" w:rsidP="0012193F">
            <w:pPr>
              <w:pStyle w:val="TableListNumber2"/>
              <w:numPr>
                <w:ilvl w:val="1"/>
                <w:numId w:val="22"/>
              </w:numPr>
            </w:pPr>
            <w:r w:rsidRPr="004347D5">
              <w:t>incubating the extract with antibodies in a test plate</w:t>
            </w:r>
          </w:p>
          <w:p w14:paraId="4986EB09" w14:textId="4A767823" w:rsidR="00553C0D" w:rsidRPr="004347D5" w:rsidRDefault="00553C0D" w:rsidP="0012193F">
            <w:pPr>
              <w:pStyle w:val="TableListNumber2"/>
              <w:numPr>
                <w:ilvl w:val="1"/>
                <w:numId w:val="22"/>
              </w:numPr>
            </w:pPr>
            <w:r w:rsidRPr="004347D5">
              <w:t>analysis of results</w:t>
            </w:r>
            <w:r w:rsidR="008D07B2" w:rsidRPr="004347D5">
              <w:t>.</w:t>
            </w:r>
          </w:p>
        </w:tc>
        <w:tc>
          <w:tcPr>
            <w:tcW w:w="1843" w:type="dxa"/>
            <w:hideMark/>
          </w:tcPr>
          <w:p w14:paraId="57F38F56" w14:textId="77777777" w:rsidR="00553C0D" w:rsidRPr="009A7362" w:rsidRDefault="00553C0D" w:rsidP="00805383">
            <w:pPr>
              <w:pStyle w:val="TableText"/>
            </w:pPr>
            <w:r w:rsidRPr="009A7362">
              <w:t xml:space="preserve">For each test, where 11 or more tests are carried out  </w:t>
            </w:r>
          </w:p>
        </w:tc>
        <w:tc>
          <w:tcPr>
            <w:tcW w:w="1559" w:type="dxa"/>
            <w:noWrap/>
            <w:hideMark/>
          </w:tcPr>
          <w:p w14:paraId="35CEB2A1" w14:textId="77777777" w:rsidR="00553C0D" w:rsidRPr="004347D5" w:rsidRDefault="00553C0D" w:rsidP="00EF029D">
            <w:pPr>
              <w:pStyle w:val="TableText"/>
              <w:jc w:val="right"/>
              <w:rPr>
                <w:rStyle w:val="Strong"/>
                <w:b w:val="0"/>
                <w:bCs w:val="0"/>
              </w:rPr>
            </w:pPr>
            <w:r w:rsidRPr="004347D5">
              <w:rPr>
                <w:rStyle w:val="Strong"/>
                <w:b w:val="0"/>
                <w:bCs w:val="0"/>
              </w:rPr>
              <w:t>21</w:t>
            </w:r>
          </w:p>
        </w:tc>
      </w:tr>
      <w:tr w:rsidR="00553C0D" w:rsidRPr="00912395" w14:paraId="6BBDCF8C" w14:textId="77777777" w:rsidTr="00C37AC2">
        <w:trPr>
          <w:trHeight w:val="1005"/>
        </w:trPr>
        <w:tc>
          <w:tcPr>
            <w:tcW w:w="1844" w:type="dxa"/>
            <w:hideMark/>
          </w:tcPr>
          <w:p w14:paraId="1B215EA6" w14:textId="630756FD" w:rsidR="00553C0D" w:rsidRPr="004347D5" w:rsidRDefault="00553C0D" w:rsidP="00805383">
            <w:pPr>
              <w:pStyle w:val="TableText"/>
            </w:pPr>
            <w:r w:rsidRPr="004347D5">
              <w:t>Nucleic acid quality check</w:t>
            </w:r>
          </w:p>
        </w:tc>
        <w:tc>
          <w:tcPr>
            <w:tcW w:w="4394" w:type="dxa"/>
            <w:hideMark/>
          </w:tcPr>
          <w:p w14:paraId="179A1B6E" w14:textId="333B78FB" w:rsidR="004347D5" w:rsidRDefault="00553C0D" w:rsidP="00805383">
            <w:pPr>
              <w:pStyle w:val="TableText"/>
            </w:pPr>
            <w:r w:rsidRPr="004347D5">
              <w:t>Carry out a nucleic acid quality check of a sample including the following:</w:t>
            </w:r>
          </w:p>
          <w:p w14:paraId="0CCE1162" w14:textId="237E690B" w:rsidR="004347D5" w:rsidRDefault="00553C0D" w:rsidP="0012193F">
            <w:pPr>
              <w:pStyle w:val="TableListNumber2"/>
              <w:numPr>
                <w:ilvl w:val="1"/>
                <w:numId w:val="21"/>
              </w:numPr>
            </w:pPr>
            <w:r w:rsidRPr="004347D5">
              <w:t>assessing the quality and quantity of RNA or DNA extracted from a sample</w:t>
            </w:r>
          </w:p>
          <w:p w14:paraId="6A38BAE7" w14:textId="4390910E" w:rsidR="00553C0D" w:rsidRPr="004347D5" w:rsidRDefault="00553C0D" w:rsidP="0012193F">
            <w:pPr>
              <w:pStyle w:val="TableListNumber2"/>
              <w:numPr>
                <w:ilvl w:val="1"/>
                <w:numId w:val="21"/>
              </w:numPr>
            </w:pPr>
            <w:r w:rsidRPr="004347D5">
              <w:t>preparing a sub sample of the extraction product for analysis in an automated analysis instrument</w:t>
            </w:r>
            <w:r w:rsidR="008D07B2" w:rsidRPr="004347D5">
              <w:t>.</w:t>
            </w:r>
          </w:p>
        </w:tc>
        <w:tc>
          <w:tcPr>
            <w:tcW w:w="1843" w:type="dxa"/>
            <w:hideMark/>
          </w:tcPr>
          <w:p w14:paraId="1D671D64" w14:textId="77777777" w:rsidR="00553C0D" w:rsidRPr="009A7362" w:rsidRDefault="00553C0D" w:rsidP="00805383">
            <w:pPr>
              <w:pStyle w:val="TableText"/>
            </w:pPr>
            <w:r w:rsidRPr="009A7362">
              <w:t>For each activity</w:t>
            </w:r>
          </w:p>
        </w:tc>
        <w:tc>
          <w:tcPr>
            <w:tcW w:w="1559" w:type="dxa"/>
            <w:noWrap/>
            <w:hideMark/>
          </w:tcPr>
          <w:p w14:paraId="17DF4745" w14:textId="77777777" w:rsidR="00553C0D" w:rsidRPr="004347D5" w:rsidRDefault="00553C0D" w:rsidP="00EF029D">
            <w:pPr>
              <w:pStyle w:val="TableText"/>
              <w:jc w:val="right"/>
              <w:rPr>
                <w:rStyle w:val="Strong"/>
                <w:b w:val="0"/>
                <w:bCs w:val="0"/>
              </w:rPr>
            </w:pPr>
            <w:r w:rsidRPr="004347D5">
              <w:rPr>
                <w:rStyle w:val="Strong"/>
                <w:b w:val="0"/>
                <w:bCs w:val="0"/>
              </w:rPr>
              <w:t>11</w:t>
            </w:r>
          </w:p>
        </w:tc>
      </w:tr>
      <w:tr w:rsidR="00553C0D" w:rsidRPr="00912395" w14:paraId="4950DC78" w14:textId="77777777" w:rsidTr="00C37AC2">
        <w:trPr>
          <w:trHeight w:val="615"/>
        </w:trPr>
        <w:tc>
          <w:tcPr>
            <w:tcW w:w="1844" w:type="dxa"/>
            <w:hideMark/>
          </w:tcPr>
          <w:p w14:paraId="6BD01183" w14:textId="77777777" w:rsidR="00553C0D" w:rsidRPr="004347D5" w:rsidRDefault="00553C0D" w:rsidP="00805383">
            <w:pPr>
              <w:pStyle w:val="TableText"/>
            </w:pPr>
            <w:r w:rsidRPr="004347D5">
              <w:t xml:space="preserve">Complementary DNA (cDNA) synthesis </w:t>
            </w:r>
          </w:p>
        </w:tc>
        <w:tc>
          <w:tcPr>
            <w:tcW w:w="4394" w:type="dxa"/>
            <w:hideMark/>
          </w:tcPr>
          <w:p w14:paraId="283CBEE9" w14:textId="67407128" w:rsidR="00553C0D" w:rsidRPr="004347D5" w:rsidRDefault="00553C0D" w:rsidP="00805383">
            <w:pPr>
              <w:pStyle w:val="TableText"/>
            </w:pPr>
            <w:r w:rsidRPr="004347D5">
              <w:t>Carry out the synthesis of cDNA from RNA extracted from a sample.</w:t>
            </w:r>
          </w:p>
        </w:tc>
        <w:tc>
          <w:tcPr>
            <w:tcW w:w="1843" w:type="dxa"/>
            <w:hideMark/>
          </w:tcPr>
          <w:p w14:paraId="3D74AEE9" w14:textId="77777777" w:rsidR="00553C0D" w:rsidRPr="009A7362" w:rsidRDefault="00553C0D" w:rsidP="00805383">
            <w:pPr>
              <w:pStyle w:val="TableText"/>
            </w:pPr>
            <w:r w:rsidRPr="009A7362">
              <w:t xml:space="preserve">For each activity </w:t>
            </w:r>
          </w:p>
        </w:tc>
        <w:tc>
          <w:tcPr>
            <w:tcW w:w="1559" w:type="dxa"/>
            <w:noWrap/>
            <w:hideMark/>
          </w:tcPr>
          <w:p w14:paraId="4066F850" w14:textId="77777777" w:rsidR="00553C0D" w:rsidRPr="004347D5" w:rsidRDefault="00553C0D" w:rsidP="00EF029D">
            <w:pPr>
              <w:pStyle w:val="TableText"/>
              <w:jc w:val="right"/>
              <w:rPr>
                <w:rStyle w:val="Strong"/>
                <w:b w:val="0"/>
                <w:bCs w:val="0"/>
              </w:rPr>
            </w:pPr>
            <w:r w:rsidRPr="004347D5">
              <w:rPr>
                <w:rStyle w:val="Strong"/>
                <w:b w:val="0"/>
                <w:bCs w:val="0"/>
              </w:rPr>
              <w:t>14</w:t>
            </w:r>
          </w:p>
        </w:tc>
      </w:tr>
      <w:tr w:rsidR="00553C0D" w:rsidRPr="00912395" w14:paraId="227E399F" w14:textId="77777777" w:rsidTr="00C37AC2">
        <w:trPr>
          <w:trHeight w:val="1815"/>
        </w:trPr>
        <w:tc>
          <w:tcPr>
            <w:tcW w:w="1844" w:type="dxa"/>
            <w:hideMark/>
          </w:tcPr>
          <w:p w14:paraId="3E26C568" w14:textId="3376F6CA" w:rsidR="00553C0D" w:rsidRPr="004347D5" w:rsidRDefault="00553C0D" w:rsidP="00805383">
            <w:pPr>
              <w:pStyle w:val="TableText"/>
            </w:pPr>
            <w:r w:rsidRPr="004347D5">
              <w:t>Matrix</w:t>
            </w:r>
            <w:r w:rsidR="00EF029D" w:rsidRPr="004347D5">
              <w:t>-</w:t>
            </w:r>
            <w:r w:rsidRPr="004347D5">
              <w:t xml:space="preserve">assisted laser desorption/ionisation time of flight test (MALDI </w:t>
            </w:r>
            <w:proofErr w:type="spellStart"/>
            <w:r w:rsidRPr="004347D5">
              <w:t>ToF</w:t>
            </w:r>
            <w:proofErr w:type="spellEnd"/>
            <w:r w:rsidRPr="004347D5">
              <w:t>)</w:t>
            </w:r>
          </w:p>
        </w:tc>
        <w:tc>
          <w:tcPr>
            <w:tcW w:w="4394" w:type="dxa"/>
            <w:hideMark/>
          </w:tcPr>
          <w:p w14:paraId="140BFAE7" w14:textId="77777777" w:rsidR="004347D5" w:rsidRPr="004347D5" w:rsidRDefault="00553C0D" w:rsidP="00805383">
            <w:pPr>
              <w:pStyle w:val="TableText"/>
            </w:pPr>
            <w:r w:rsidRPr="004347D5">
              <w:t xml:space="preserve">Carry out a MALDI </w:t>
            </w:r>
            <w:proofErr w:type="spellStart"/>
            <w:r w:rsidRPr="004347D5">
              <w:t>ToF</w:t>
            </w:r>
            <w:proofErr w:type="spellEnd"/>
            <w:r w:rsidRPr="004347D5">
              <w:t xml:space="preserve"> mass spectrometry test of a sample, including the following:</w:t>
            </w:r>
          </w:p>
          <w:p w14:paraId="669F6D50" w14:textId="217473DA" w:rsidR="004347D5" w:rsidRPr="004347D5" w:rsidRDefault="00553C0D" w:rsidP="0012193F">
            <w:pPr>
              <w:pStyle w:val="TableListNumber2"/>
              <w:numPr>
                <w:ilvl w:val="1"/>
                <w:numId w:val="20"/>
              </w:numPr>
            </w:pPr>
            <w:r w:rsidRPr="004347D5">
              <w:t>handling of the sample</w:t>
            </w:r>
          </w:p>
          <w:p w14:paraId="7B5C9A40" w14:textId="489A87EE" w:rsidR="004347D5" w:rsidRPr="004347D5" w:rsidRDefault="00553C0D" w:rsidP="0012193F">
            <w:pPr>
              <w:pStyle w:val="TableListNumber2"/>
              <w:numPr>
                <w:ilvl w:val="1"/>
                <w:numId w:val="20"/>
              </w:numPr>
            </w:pPr>
            <w:r w:rsidRPr="004347D5">
              <w:t>preparing the sample</w:t>
            </w:r>
          </w:p>
          <w:p w14:paraId="63723903" w14:textId="7CD9CAF7" w:rsidR="004347D5" w:rsidRPr="004347D5" w:rsidRDefault="00553C0D" w:rsidP="0012193F">
            <w:pPr>
              <w:pStyle w:val="TableListNumber2"/>
              <w:numPr>
                <w:ilvl w:val="1"/>
                <w:numId w:val="20"/>
              </w:numPr>
            </w:pPr>
            <w:r w:rsidRPr="004347D5">
              <w:t>testing the sample</w:t>
            </w:r>
          </w:p>
          <w:p w14:paraId="706FEA24" w14:textId="4A4C535A" w:rsidR="00553C0D" w:rsidRPr="004347D5" w:rsidRDefault="00553C0D" w:rsidP="0012193F">
            <w:pPr>
              <w:pStyle w:val="TableListNumber2"/>
              <w:numPr>
                <w:ilvl w:val="1"/>
                <w:numId w:val="20"/>
              </w:numPr>
            </w:pPr>
            <w:r w:rsidRPr="004347D5">
              <w:t>analysis of results</w:t>
            </w:r>
            <w:r w:rsidR="008D07B2" w:rsidRPr="004347D5">
              <w:t>.</w:t>
            </w:r>
          </w:p>
        </w:tc>
        <w:tc>
          <w:tcPr>
            <w:tcW w:w="1843" w:type="dxa"/>
            <w:hideMark/>
          </w:tcPr>
          <w:p w14:paraId="10764C3C" w14:textId="77777777" w:rsidR="00553C0D" w:rsidRPr="009A7362" w:rsidRDefault="00553C0D" w:rsidP="00805383">
            <w:pPr>
              <w:pStyle w:val="TableText"/>
            </w:pPr>
            <w:r w:rsidRPr="009A7362">
              <w:t xml:space="preserve">For each test </w:t>
            </w:r>
          </w:p>
        </w:tc>
        <w:tc>
          <w:tcPr>
            <w:tcW w:w="1559" w:type="dxa"/>
            <w:noWrap/>
            <w:hideMark/>
          </w:tcPr>
          <w:p w14:paraId="255755AB" w14:textId="77777777" w:rsidR="00553C0D" w:rsidRPr="006134AC" w:rsidRDefault="00553C0D" w:rsidP="00EF029D">
            <w:pPr>
              <w:pStyle w:val="TableText"/>
              <w:jc w:val="right"/>
              <w:rPr>
                <w:rStyle w:val="Strong"/>
                <w:b w:val="0"/>
                <w:bCs w:val="0"/>
              </w:rPr>
            </w:pPr>
            <w:r w:rsidRPr="006134AC">
              <w:rPr>
                <w:rStyle w:val="Strong"/>
                <w:b w:val="0"/>
                <w:bCs w:val="0"/>
              </w:rPr>
              <w:t>29</w:t>
            </w:r>
          </w:p>
        </w:tc>
      </w:tr>
    </w:tbl>
    <w:p w14:paraId="5F753A96" w14:textId="77777777" w:rsidR="00553C0D" w:rsidRDefault="00553C0D" w:rsidP="00553C0D">
      <w:pPr>
        <w:pStyle w:val="FigureTableNoteSource"/>
      </w:pPr>
      <w:bookmarkStart w:id="131" w:name="_Scenarios"/>
      <w:bookmarkEnd w:id="131"/>
      <w:r>
        <w:t>Note: The intermediate examination fee includes all activities described in the basic examination, and a complex examination fee includes the activities described in the intermediate examination. Therefore, one type of examination fee is applied for the type of examination needed to assess the biosecurity risk of the specimen being examined.</w:t>
      </w:r>
    </w:p>
    <w:p w14:paraId="5EC3712C" w14:textId="7B048846" w:rsidR="00553C0D" w:rsidRDefault="00510886" w:rsidP="00E70494">
      <w:pPr>
        <w:sectPr w:rsidR="00553C0D" w:rsidSect="00866A1F">
          <w:pgSz w:w="11906" w:h="16838"/>
          <w:pgMar w:top="1418" w:right="1418" w:bottom="1418" w:left="1418" w:header="567" w:footer="283" w:gutter="0"/>
          <w:cols w:space="708"/>
          <w:docGrid w:linePitch="360"/>
        </w:sectPr>
      </w:pPr>
      <w:r>
        <w:t>Learn more about</w:t>
      </w:r>
      <w:r w:rsidR="00804CCF">
        <w:t xml:space="preserve"> the new fees and </w:t>
      </w:r>
      <w:r w:rsidR="00FE6D22">
        <w:t>charge</w:t>
      </w:r>
      <w:r>
        <w:t>s,</w:t>
      </w:r>
      <w:r w:rsidR="00FE6D22">
        <w:t xml:space="preserve"> including</w:t>
      </w:r>
      <w:r w:rsidR="00804CCF">
        <w:t xml:space="preserve"> scenarios</w:t>
      </w:r>
      <w:r>
        <w:t>,</w:t>
      </w:r>
      <w:r w:rsidR="00804CCF">
        <w:t xml:space="preserve"> </w:t>
      </w:r>
      <w:r>
        <w:t>at</w:t>
      </w:r>
      <w:hyperlink r:id="rId49" w:history="1">
        <w:r w:rsidR="00806FC5">
          <w:rPr>
            <w:rStyle w:val="Hyperlink"/>
            <w:rFonts w:cstheme="minorHAnsi"/>
            <w:lang w:eastAsia="ja-JP"/>
          </w:rPr>
          <w:t xml:space="preserve"> Biosecurity cost recovery implementation statements</w:t>
        </w:r>
      </w:hyperlink>
      <w:r>
        <w:t>.</w:t>
      </w:r>
    </w:p>
    <w:p w14:paraId="1DBA2351" w14:textId="767AF531" w:rsidR="00DF7DE3" w:rsidRPr="006632CD" w:rsidRDefault="00DF7DE3" w:rsidP="00C907E2">
      <w:pPr>
        <w:pStyle w:val="Heading2"/>
      </w:pPr>
      <w:bookmarkStart w:id="132" w:name="Title_6"/>
      <w:bookmarkStart w:id="133" w:name="_Self-Assessed_Clearance_(SAC)"/>
      <w:bookmarkStart w:id="134" w:name="_Biosecurity_fees_"/>
      <w:bookmarkStart w:id="135" w:name="_Toc168489259"/>
      <w:bookmarkStart w:id="136" w:name="_Toc168489556"/>
      <w:bookmarkStart w:id="137" w:name="_Toc168645254"/>
      <w:bookmarkStart w:id="138" w:name="_Toc233378698"/>
      <w:bookmarkEnd w:id="132"/>
      <w:bookmarkEnd w:id="133"/>
      <w:bookmarkEnd w:id="134"/>
      <w:r w:rsidRPr="006632CD">
        <w:lastRenderedPageBreak/>
        <w:t>Risk assessment</w:t>
      </w:r>
      <w:bookmarkEnd w:id="135"/>
      <w:bookmarkEnd w:id="136"/>
      <w:bookmarkEnd w:id="137"/>
      <w:bookmarkEnd w:id="138"/>
    </w:p>
    <w:p w14:paraId="3F5E7E4F" w14:textId="2EBD4E5D" w:rsidR="009D21E4" w:rsidRDefault="009D21E4" w:rsidP="009D21E4">
      <w:pPr>
        <w:pStyle w:val="Heading3"/>
      </w:pPr>
      <w:bookmarkStart w:id="139" w:name="_Toc233378699"/>
      <w:r>
        <w:t>Charging risk assessment and mitigation</w:t>
      </w:r>
      <w:bookmarkEnd w:id="139"/>
    </w:p>
    <w:p w14:paraId="262F99C1" w14:textId="65EB65E4" w:rsidR="00AD4D7D" w:rsidRDefault="00DF7DE3" w:rsidP="00DF7DE3">
      <w:r w:rsidRPr="00DF7DE3">
        <w:t>A charging risk assessment (CRA) is required for any regulatory charging policy proposal</w:t>
      </w:r>
      <w:r w:rsidR="009D21E4">
        <w:t xml:space="preserve">, including </w:t>
      </w:r>
      <w:r w:rsidR="004F5EC6">
        <w:t xml:space="preserve">for </w:t>
      </w:r>
      <w:r w:rsidR="009D21E4">
        <w:t>increases in the price for cost</w:t>
      </w:r>
      <w:r w:rsidR="00EB4AAF">
        <w:t>-</w:t>
      </w:r>
      <w:r w:rsidR="009D21E4">
        <w:t>recovered activities. As described earlier,</w:t>
      </w:r>
      <w:r w:rsidR="0086351A">
        <w:t xml:space="preserve"> most prices</w:t>
      </w:r>
      <w:r w:rsidR="009D21E4">
        <w:t xml:space="preserve"> have increased by </w:t>
      </w:r>
      <w:r w:rsidR="005C380C">
        <w:t>3.8%</w:t>
      </w:r>
      <w:r w:rsidR="009D21E4">
        <w:t xml:space="preserve"> in line with the annual movement in CPI for the December </w:t>
      </w:r>
      <w:r w:rsidR="005C380C">
        <w:t xml:space="preserve">2025 </w:t>
      </w:r>
      <w:r w:rsidR="009D21E4">
        <w:t xml:space="preserve">quarter. Australia is a growing economy, so there is also some growth built into the cost recovery model to reflect increased demand for </w:t>
      </w:r>
      <w:r w:rsidR="0086351A">
        <w:t xml:space="preserve">our </w:t>
      </w:r>
      <w:r w:rsidR="009D21E4">
        <w:t>services.</w:t>
      </w:r>
    </w:p>
    <w:p w14:paraId="2D7ECD73" w14:textId="4FBEFEFB" w:rsidR="009D21E4" w:rsidRDefault="000F6910" w:rsidP="00DF7DE3">
      <w:r>
        <w:t xml:space="preserve">The outcome </w:t>
      </w:r>
      <w:r w:rsidR="00AD4D7D">
        <w:t xml:space="preserve">of </w:t>
      </w:r>
      <w:r>
        <w:t xml:space="preserve">our </w:t>
      </w:r>
      <w:r w:rsidR="009D21E4">
        <w:t xml:space="preserve">assessment through the CRA process is </w:t>
      </w:r>
      <w:r w:rsidR="001D5290">
        <w:t>an</w:t>
      </w:r>
      <w:r w:rsidR="009D21E4">
        <w:t xml:space="preserve"> </w:t>
      </w:r>
      <w:r w:rsidR="009D21E4" w:rsidRPr="007C2F94">
        <w:t>overall risk rating</w:t>
      </w:r>
      <w:r w:rsidR="009D21E4" w:rsidRPr="00C031C0">
        <w:t xml:space="preserve"> </w:t>
      </w:r>
      <w:r w:rsidR="001D5290" w:rsidRPr="00C031C0">
        <w:t xml:space="preserve">of </w:t>
      </w:r>
      <w:r w:rsidR="009D21E4" w:rsidRPr="007C2F94">
        <w:t>medium</w:t>
      </w:r>
      <w:r w:rsidR="009D21E4">
        <w:t>. Prices have been set based on the minimum efficient costs for regulation</w:t>
      </w:r>
      <w:r w:rsidR="00185EF6">
        <w:t>.</w:t>
      </w:r>
    </w:p>
    <w:p w14:paraId="07373FE8" w14:textId="44267967" w:rsidR="009D21E4" w:rsidRDefault="00F71B6F" w:rsidP="009D21E4">
      <w:r>
        <w:t>We</w:t>
      </w:r>
      <w:r w:rsidR="001D5290">
        <w:t xml:space="preserve"> </w:t>
      </w:r>
      <w:r w:rsidR="009D21E4">
        <w:t>monitor</w:t>
      </w:r>
      <w:r>
        <w:t xml:space="preserve"> the</w:t>
      </w:r>
      <w:r w:rsidR="009D21E4">
        <w:t xml:space="preserve"> </w:t>
      </w:r>
      <w:r w:rsidR="004F5EC6">
        <w:t>a</w:t>
      </w:r>
      <w:r w:rsidR="009D21E4">
        <w:t>rrangement</w:t>
      </w:r>
      <w:r w:rsidR="005D4506">
        <w:t xml:space="preserve"> performance</w:t>
      </w:r>
      <w:r w:rsidR="009D21E4">
        <w:t xml:space="preserve"> through monthly review of revenue and expenditure and a formalised annual review of all regulatory charges. This ongoing monitoring and evaluation identifies necessary adjustments and provides assurance that charges reflect</w:t>
      </w:r>
      <w:r w:rsidR="004F5EC6">
        <w:t xml:space="preserve"> only</w:t>
      </w:r>
      <w:r w:rsidR="009D21E4">
        <w:t xml:space="preserve"> the ongoing efficient costs of delivering the activity.</w:t>
      </w:r>
      <w:r w:rsidR="004F5EC6">
        <w:t xml:space="preserve"> </w:t>
      </w:r>
      <w:r w:rsidR="009D21E4">
        <w:t>Where initial review indicates a misalignment, deeper investigation will be undertaken and prices reset in legislation.</w:t>
      </w:r>
    </w:p>
    <w:p w14:paraId="44D6D692" w14:textId="1B4ED436" w:rsidR="009D21E4" w:rsidRDefault="009D21E4" w:rsidP="009D21E4">
      <w:r>
        <w:t>Indexation was added to biosecurity and imported food</w:t>
      </w:r>
      <w:r w:rsidR="004F5EC6">
        <w:t>s</w:t>
      </w:r>
      <w:r>
        <w:t xml:space="preserve"> charging legislation in 2023 to support </w:t>
      </w:r>
      <w:r w:rsidR="0086351A">
        <w:t>ongoing</w:t>
      </w:r>
      <w:r>
        <w:t xml:space="preserve"> sustainable funding for biosecurity regulatory activities and reduce the reliance on appropriation funding from government.</w:t>
      </w:r>
      <w:r w:rsidR="004F5EC6">
        <w:t xml:space="preserve"> The annual review process </w:t>
      </w:r>
      <w:r w:rsidR="00EB4DE8">
        <w:t xml:space="preserve">also </w:t>
      </w:r>
      <w:r w:rsidR="004F5EC6">
        <w:t>supports this objective</w:t>
      </w:r>
      <w:r w:rsidR="003A4089">
        <w:t>.</w:t>
      </w:r>
    </w:p>
    <w:p w14:paraId="29E0229E" w14:textId="1FC0C15F" w:rsidR="009D21E4" w:rsidRDefault="009D21E4" w:rsidP="009D21E4">
      <w:pPr>
        <w:pStyle w:val="Heading3"/>
      </w:pPr>
      <w:bookmarkStart w:id="140" w:name="_Toc233378700"/>
      <w:r>
        <w:t xml:space="preserve">Management of </w:t>
      </w:r>
      <w:r w:rsidR="00EE06B1">
        <w:t xml:space="preserve">accumulated balances and </w:t>
      </w:r>
      <w:r>
        <w:t>under</w:t>
      </w:r>
      <w:r w:rsidR="006632CD">
        <w:t>-</w:t>
      </w:r>
      <w:r>
        <w:t xml:space="preserve"> or over</w:t>
      </w:r>
      <w:r w:rsidR="006632CD">
        <w:t>-</w:t>
      </w:r>
      <w:r>
        <w:t>recovery</w:t>
      </w:r>
      <w:bookmarkEnd w:id="140"/>
    </w:p>
    <w:p w14:paraId="675CFEAA" w14:textId="5A5C9872" w:rsidR="001E5006" w:rsidRPr="00BA0A85" w:rsidRDefault="001E5006" w:rsidP="001E5006">
      <w:pPr>
        <w:rPr>
          <w:rFonts w:cstheme="minorHAnsi"/>
        </w:rPr>
      </w:pPr>
      <w:r w:rsidRPr="00BA0A85">
        <w:rPr>
          <w:rFonts w:cstheme="minorHAnsi"/>
        </w:rPr>
        <w:t xml:space="preserve">Regulatory charging is set to </w:t>
      </w:r>
      <w:r w:rsidR="00981C43">
        <w:rPr>
          <w:rFonts w:cstheme="minorHAnsi"/>
        </w:rPr>
        <w:t xml:space="preserve">only </w:t>
      </w:r>
      <w:r w:rsidRPr="00BA0A85">
        <w:rPr>
          <w:rFonts w:cstheme="minorHAnsi"/>
        </w:rPr>
        <w:t xml:space="preserve">recover </w:t>
      </w:r>
      <w:r w:rsidR="00EE06B1">
        <w:rPr>
          <w:rFonts w:cstheme="minorHAnsi"/>
        </w:rPr>
        <w:t xml:space="preserve">the </w:t>
      </w:r>
      <w:r w:rsidR="00EE06B1" w:rsidRPr="00C031C0">
        <w:t xml:space="preserve">department’s </w:t>
      </w:r>
      <w:r w:rsidRPr="0092040B">
        <w:t>efficient</w:t>
      </w:r>
      <w:r w:rsidRPr="00E16344">
        <w:rPr>
          <w:rStyle w:val="Strong"/>
        </w:rPr>
        <w:t xml:space="preserve"> </w:t>
      </w:r>
      <w:r w:rsidR="00012DBA" w:rsidRPr="00BA0A85">
        <w:rPr>
          <w:rFonts w:cstheme="minorHAnsi"/>
        </w:rPr>
        <w:t>costs</w:t>
      </w:r>
      <w:r w:rsidR="00012DBA">
        <w:rPr>
          <w:rFonts w:cstheme="minorHAnsi"/>
        </w:rPr>
        <w:t>;</w:t>
      </w:r>
      <w:r w:rsidRPr="00BA0A85">
        <w:rPr>
          <w:rFonts w:cstheme="minorHAnsi"/>
        </w:rPr>
        <w:t xml:space="preserve"> however, several factors can affect the difference between revenue and expenses. These factors include volume variances and changes in expenses based on risk profiles. Demand for commodities, overseas economic factors, and climatic events can all impact regulatory effort, costs and volumes of activities.</w:t>
      </w:r>
    </w:p>
    <w:p w14:paraId="75A2B1B9" w14:textId="5DF119FF" w:rsidR="001E5006" w:rsidRPr="004F5EC6" w:rsidRDefault="001E5006" w:rsidP="001E5006">
      <w:pPr>
        <w:rPr>
          <w:rFonts w:cstheme="minorHAnsi"/>
        </w:rPr>
      </w:pPr>
      <w:r w:rsidRPr="004F5EC6">
        <w:rPr>
          <w:rFonts w:cstheme="minorHAnsi"/>
        </w:rPr>
        <w:t xml:space="preserve">Each charge has been determined by creating a cost pool of the direct and indirect costs associated with that activity. When divided by the estimated volume, the price is established for that activity alone and avoids cross subsidisation </w:t>
      </w:r>
      <w:r w:rsidR="00EE06B1" w:rsidRPr="004F5EC6">
        <w:rPr>
          <w:rFonts w:cstheme="minorHAnsi"/>
        </w:rPr>
        <w:t>with</w:t>
      </w:r>
      <w:r w:rsidRPr="004F5EC6">
        <w:rPr>
          <w:rFonts w:cstheme="minorHAnsi"/>
        </w:rPr>
        <w:t xml:space="preserve"> other activities.</w:t>
      </w:r>
    </w:p>
    <w:p w14:paraId="7D88EA9C" w14:textId="36EBDBBB" w:rsidR="001E5006" w:rsidRPr="004F5EC6" w:rsidRDefault="001E5006" w:rsidP="001E5006">
      <w:pPr>
        <w:rPr>
          <w:rFonts w:cstheme="minorHAnsi"/>
        </w:rPr>
      </w:pPr>
      <w:r w:rsidRPr="00BA0A85">
        <w:rPr>
          <w:rFonts w:cstheme="minorHAnsi"/>
        </w:rPr>
        <w:t>Under</w:t>
      </w:r>
      <w:r w:rsidR="006632CD">
        <w:rPr>
          <w:rFonts w:cstheme="minorHAnsi"/>
        </w:rPr>
        <w:t>-</w:t>
      </w:r>
      <w:r w:rsidRPr="00BA0A85">
        <w:rPr>
          <w:rFonts w:cstheme="minorHAnsi"/>
        </w:rPr>
        <w:t xml:space="preserve">recoveries will result in the arrangement not recovering the costs of regulatory activities. This results in the arrangement operating at a loss and </w:t>
      </w:r>
      <w:r w:rsidR="00EE06B1">
        <w:rPr>
          <w:rFonts w:cstheme="minorHAnsi"/>
        </w:rPr>
        <w:t xml:space="preserve">may </w:t>
      </w:r>
      <w:r w:rsidRPr="00BA0A85">
        <w:rPr>
          <w:rFonts w:cstheme="minorHAnsi"/>
        </w:rPr>
        <w:t>adversely impact the accumulated balance for the arrangement at year’s end. Ongoing under</w:t>
      </w:r>
      <w:r w:rsidR="006632CD">
        <w:rPr>
          <w:rFonts w:cstheme="minorHAnsi"/>
        </w:rPr>
        <w:t>-</w:t>
      </w:r>
      <w:r w:rsidRPr="00BA0A85">
        <w:rPr>
          <w:rFonts w:cstheme="minorHAnsi"/>
        </w:rPr>
        <w:t>recovery will lead to the need for further review of the regulatory charging arrangement to ensure its return to sustainable recovery for all regulatory costs.</w:t>
      </w:r>
      <w:r>
        <w:rPr>
          <w:rFonts w:cstheme="minorHAnsi"/>
        </w:rPr>
        <w:t xml:space="preserve"> </w:t>
      </w:r>
      <w:r w:rsidRPr="004F5EC6">
        <w:rPr>
          <w:rFonts w:cstheme="minorHAnsi"/>
        </w:rPr>
        <w:t>Any cash impact resulting from under</w:t>
      </w:r>
      <w:r w:rsidR="006632CD">
        <w:rPr>
          <w:rFonts w:cstheme="minorHAnsi"/>
        </w:rPr>
        <w:t>-</w:t>
      </w:r>
      <w:r w:rsidRPr="004F5EC6">
        <w:rPr>
          <w:rFonts w:cstheme="minorHAnsi"/>
        </w:rPr>
        <w:t xml:space="preserve">recovery is managed through the department’s other funding sources and </w:t>
      </w:r>
      <w:r w:rsidR="005D4506">
        <w:rPr>
          <w:rFonts w:cstheme="minorHAnsi"/>
        </w:rPr>
        <w:t xml:space="preserve">prior year </w:t>
      </w:r>
      <w:r w:rsidRPr="004F5EC6">
        <w:rPr>
          <w:rFonts w:cstheme="minorHAnsi"/>
        </w:rPr>
        <w:t xml:space="preserve">losses </w:t>
      </w:r>
      <w:r w:rsidR="005D4506">
        <w:rPr>
          <w:rFonts w:cstheme="minorHAnsi"/>
        </w:rPr>
        <w:t xml:space="preserve">are not recovered </w:t>
      </w:r>
      <w:r w:rsidRPr="004F5EC6">
        <w:rPr>
          <w:rFonts w:cstheme="minorHAnsi"/>
        </w:rPr>
        <w:t>from regulated entities. Over</w:t>
      </w:r>
      <w:r w:rsidR="006632CD">
        <w:rPr>
          <w:rFonts w:cstheme="minorHAnsi"/>
        </w:rPr>
        <w:t>-</w:t>
      </w:r>
      <w:r w:rsidRPr="004F5EC6">
        <w:rPr>
          <w:rFonts w:cstheme="minorHAnsi"/>
        </w:rPr>
        <w:t xml:space="preserve">recovery is also reviewed and considered </w:t>
      </w:r>
      <w:r w:rsidR="005D4506">
        <w:rPr>
          <w:rFonts w:cstheme="minorHAnsi"/>
        </w:rPr>
        <w:t>when</w:t>
      </w:r>
      <w:r w:rsidRPr="004F5EC6">
        <w:rPr>
          <w:rFonts w:cstheme="minorHAnsi"/>
        </w:rPr>
        <w:t xml:space="preserve"> setting prices for the following year</w:t>
      </w:r>
      <w:r w:rsidR="00EE06B1" w:rsidRPr="004F5EC6">
        <w:rPr>
          <w:rFonts w:cstheme="minorHAnsi"/>
        </w:rPr>
        <w:t xml:space="preserve"> and may lead to some charges remaining at their existing price or even reducing</w:t>
      </w:r>
      <w:r w:rsidRPr="004F5EC6">
        <w:rPr>
          <w:rFonts w:cstheme="minorHAnsi"/>
        </w:rPr>
        <w:t>.</w:t>
      </w:r>
    </w:p>
    <w:p w14:paraId="4E9BF1B9" w14:textId="1838892D" w:rsidR="00EE06B1" w:rsidRPr="004F5EC6" w:rsidRDefault="001E5006" w:rsidP="001E5006">
      <w:pPr>
        <w:rPr>
          <w:rFonts w:cstheme="minorHAnsi"/>
        </w:rPr>
      </w:pPr>
      <w:r w:rsidRPr="004F5EC6">
        <w:rPr>
          <w:rFonts w:cstheme="minorHAnsi"/>
        </w:rPr>
        <w:t>The annual review process of the arrangement</w:t>
      </w:r>
      <w:r w:rsidR="00EE06B1" w:rsidRPr="004F5EC6">
        <w:rPr>
          <w:rFonts w:cstheme="minorHAnsi"/>
        </w:rPr>
        <w:t>’s</w:t>
      </w:r>
      <w:r w:rsidRPr="004F5EC6">
        <w:rPr>
          <w:rFonts w:cstheme="minorHAnsi"/>
        </w:rPr>
        <w:t xml:space="preserve"> costs, volumes and prices is </w:t>
      </w:r>
      <w:r w:rsidR="005D4506">
        <w:rPr>
          <w:rFonts w:cstheme="minorHAnsi"/>
        </w:rPr>
        <w:t xml:space="preserve">the mechanism used </w:t>
      </w:r>
      <w:r w:rsidR="007E7417">
        <w:rPr>
          <w:rFonts w:cstheme="minorHAnsi"/>
        </w:rPr>
        <w:t xml:space="preserve">to </w:t>
      </w:r>
      <w:r w:rsidR="007E7417" w:rsidRPr="004F5EC6">
        <w:rPr>
          <w:rFonts w:cstheme="minorHAnsi"/>
        </w:rPr>
        <w:t>set</w:t>
      </w:r>
      <w:r w:rsidRPr="004F5EC6">
        <w:rPr>
          <w:rFonts w:cstheme="minorHAnsi"/>
        </w:rPr>
        <w:t xml:space="preserve"> new or retain existing prices for regulatory activities. As prices are set in legislation, any changes </w:t>
      </w:r>
      <w:r w:rsidRPr="004F5EC6">
        <w:rPr>
          <w:rFonts w:cstheme="minorHAnsi"/>
        </w:rPr>
        <w:lastRenderedPageBreak/>
        <w:t>other than indexation to prices</w:t>
      </w:r>
      <w:r w:rsidR="00EE06B1" w:rsidRPr="004F5EC6">
        <w:rPr>
          <w:rFonts w:cstheme="minorHAnsi"/>
        </w:rPr>
        <w:t>,</w:t>
      </w:r>
      <w:r w:rsidRPr="004F5EC6">
        <w:rPr>
          <w:rFonts w:cstheme="minorHAnsi"/>
        </w:rPr>
        <w:t xml:space="preserve"> requires additional work that means it is </w:t>
      </w:r>
      <w:r w:rsidR="00EE06B1" w:rsidRPr="004F5EC6">
        <w:rPr>
          <w:rFonts w:cstheme="minorHAnsi"/>
        </w:rPr>
        <w:t>im</w:t>
      </w:r>
      <w:r w:rsidRPr="004F5EC6">
        <w:rPr>
          <w:rFonts w:cstheme="minorHAnsi"/>
        </w:rPr>
        <w:t>practical to adjust prices any more than once per financial year.</w:t>
      </w:r>
    </w:p>
    <w:p w14:paraId="0F623E05" w14:textId="01007048" w:rsidR="001E5006" w:rsidRDefault="001E5006" w:rsidP="00DF7DE3">
      <w:pPr>
        <w:rPr>
          <w:rFonts w:cstheme="minorHAnsi"/>
        </w:rPr>
      </w:pPr>
      <w:r w:rsidRPr="004F5EC6">
        <w:rPr>
          <w:rFonts w:cstheme="minorHAnsi"/>
        </w:rPr>
        <w:t xml:space="preserve">A new CRIS is published prior to the commencement of a new financial year following consultation with industry and agreement from the </w:t>
      </w:r>
      <w:r w:rsidR="003B2E59">
        <w:rPr>
          <w:rFonts w:cstheme="minorHAnsi"/>
        </w:rPr>
        <w:t>m</w:t>
      </w:r>
      <w:r w:rsidRPr="003B2E59">
        <w:rPr>
          <w:rFonts w:cstheme="minorHAnsi"/>
        </w:rPr>
        <w:t>inister</w:t>
      </w:r>
      <w:r w:rsidRPr="004F5EC6">
        <w:rPr>
          <w:rFonts w:cstheme="minorHAnsi"/>
        </w:rPr>
        <w:t xml:space="preserve">. If it is apparent </w:t>
      </w:r>
      <w:r w:rsidR="00EE06B1" w:rsidRPr="004F5EC6">
        <w:rPr>
          <w:rFonts w:cstheme="minorHAnsi"/>
        </w:rPr>
        <w:t xml:space="preserve">during a financial year </w:t>
      </w:r>
      <w:r w:rsidRPr="004F5EC6">
        <w:rPr>
          <w:rFonts w:cstheme="minorHAnsi"/>
        </w:rPr>
        <w:t>that a price for an activity is recovering significantly more tha</w:t>
      </w:r>
      <w:r w:rsidR="00EE06B1" w:rsidRPr="004F5EC6">
        <w:rPr>
          <w:rFonts w:cstheme="minorHAnsi"/>
        </w:rPr>
        <w:t>n</w:t>
      </w:r>
      <w:r w:rsidRPr="004F5EC6">
        <w:rPr>
          <w:rFonts w:cstheme="minorHAnsi"/>
        </w:rPr>
        <w:t xml:space="preserve"> the efficient costs, then </w:t>
      </w:r>
      <w:r w:rsidR="00C64680">
        <w:rPr>
          <w:rFonts w:cstheme="minorHAnsi"/>
        </w:rPr>
        <w:t>we</w:t>
      </w:r>
      <w:r w:rsidRPr="004F5EC6">
        <w:rPr>
          <w:rFonts w:cstheme="minorHAnsi"/>
        </w:rPr>
        <w:t xml:space="preserve"> may consider other options, such as remissions for part of the fee or charge to reduce the amount paid by </w:t>
      </w:r>
      <w:r w:rsidR="007E7417" w:rsidRPr="004F5EC6">
        <w:rPr>
          <w:rFonts w:cstheme="minorHAnsi"/>
        </w:rPr>
        <w:t>industry and</w:t>
      </w:r>
      <w:r w:rsidR="00EE06B1" w:rsidRPr="004F5EC6">
        <w:rPr>
          <w:rFonts w:cstheme="minorHAnsi"/>
        </w:rPr>
        <w:t xml:space="preserve"> be more reflective of the department’s effort.</w:t>
      </w:r>
    </w:p>
    <w:p w14:paraId="56DBD6F4" w14:textId="77777777" w:rsidR="00B20F1E" w:rsidRPr="003F07B6" w:rsidRDefault="00B20F1E" w:rsidP="00497BC6">
      <w:pPr>
        <w:pStyle w:val="Heading2"/>
      </w:pPr>
      <w:bookmarkStart w:id="141" w:name="_Toc168489260"/>
      <w:bookmarkStart w:id="142" w:name="_Toc168489557"/>
      <w:bookmarkStart w:id="143" w:name="_Toc168645255"/>
      <w:bookmarkStart w:id="144" w:name="_Toc233378701"/>
      <w:r w:rsidRPr="003F07B6">
        <w:lastRenderedPageBreak/>
        <w:t>Stakeholder engagement</w:t>
      </w:r>
      <w:bookmarkEnd w:id="141"/>
      <w:bookmarkEnd w:id="142"/>
      <w:bookmarkEnd w:id="143"/>
      <w:bookmarkEnd w:id="144"/>
    </w:p>
    <w:p w14:paraId="4AD242DB" w14:textId="77777777" w:rsidR="00B20F1E" w:rsidRDefault="00B20F1E" w:rsidP="00DA022D">
      <w:pPr>
        <w:spacing w:before="120" w:after="120"/>
        <w:rPr>
          <w:rFonts w:cstheme="minorHAnsi"/>
          <w:lang w:eastAsia="ja-JP"/>
        </w:rPr>
      </w:pPr>
      <w:r w:rsidRPr="00B20F1E">
        <w:rPr>
          <w:rFonts w:cstheme="minorHAnsi"/>
          <w:lang w:eastAsia="ja-JP"/>
        </w:rPr>
        <w:t>Stakeholder engagement plays an important role in the development and management of regulatory charging arrangements. Our stakeholders have unique insights into how our regulatory activities affect their businesses and can help us design efficient regulatory charging frameworks for these activities.</w:t>
      </w:r>
    </w:p>
    <w:p w14:paraId="1134F4BF" w14:textId="3BC28910" w:rsidR="00932AC7" w:rsidRPr="00EE06B1" w:rsidRDefault="00932AC7" w:rsidP="00733737">
      <w:pPr>
        <w:pStyle w:val="Heading3"/>
        <w:spacing w:before="120" w:after="120"/>
        <w:rPr>
          <w:rFonts w:cstheme="minorHAnsi"/>
          <w:lang w:eastAsia="ja-JP"/>
        </w:rPr>
      </w:pPr>
      <w:bookmarkStart w:id="145" w:name="_Toc233378702"/>
      <w:r w:rsidRPr="00EE06B1">
        <w:rPr>
          <w:sz w:val="36"/>
          <w:szCs w:val="36"/>
          <w:lang w:eastAsia="ja-JP"/>
        </w:rPr>
        <w:t xml:space="preserve">Engagement summary </w:t>
      </w:r>
      <w:r w:rsidR="0056674E">
        <w:rPr>
          <w:sz w:val="36"/>
          <w:szCs w:val="36"/>
          <w:lang w:eastAsia="ja-JP"/>
        </w:rPr>
        <w:t>2026</w:t>
      </w:r>
      <w:r w:rsidR="00A530EE">
        <w:rPr>
          <w:sz w:val="36"/>
          <w:szCs w:val="36"/>
          <w:lang w:eastAsia="ja-JP"/>
        </w:rPr>
        <w:t>–</w:t>
      </w:r>
      <w:r w:rsidR="0056674E">
        <w:rPr>
          <w:sz w:val="36"/>
          <w:szCs w:val="36"/>
          <w:lang w:eastAsia="ja-JP"/>
        </w:rPr>
        <w:t>27</w:t>
      </w:r>
      <w:bookmarkEnd w:id="145"/>
    </w:p>
    <w:p w14:paraId="79043BCE" w14:textId="547073EA" w:rsidR="0086351A" w:rsidRDefault="0086351A" w:rsidP="0086351A">
      <w:r>
        <w:t>Stakeholders have been consulted on the proposed changes to regulatory charges for 2026</w:t>
      </w:r>
      <w:r w:rsidR="00AB165D">
        <w:t>–</w:t>
      </w:r>
      <w:r>
        <w:t xml:space="preserve">27 through a variety of communication channels. </w:t>
      </w:r>
      <w:r w:rsidR="000B1FE9">
        <w:t>Consult</w:t>
      </w:r>
      <w:r w:rsidR="00074964">
        <w:t>ation</w:t>
      </w:r>
      <w:r w:rsidR="000B1FE9">
        <w:t xml:space="preserve"> on c</w:t>
      </w:r>
      <w:r>
        <w:t xml:space="preserve">hanges to </w:t>
      </w:r>
      <w:r w:rsidR="00074964">
        <w:t xml:space="preserve">our </w:t>
      </w:r>
      <w:r>
        <w:t xml:space="preserve">cost recovery arrangements for diagnostics </w:t>
      </w:r>
      <w:r w:rsidR="00074964">
        <w:t xml:space="preserve">commenced </w:t>
      </w:r>
      <w:r>
        <w:t xml:space="preserve">in 2024 and </w:t>
      </w:r>
      <w:r w:rsidR="00074964">
        <w:t xml:space="preserve">continued </w:t>
      </w:r>
      <w:r>
        <w:t xml:space="preserve">in 2025. </w:t>
      </w:r>
      <w:r w:rsidR="006632CD">
        <w:t>C</w:t>
      </w:r>
      <w:r>
        <w:t>onsultation on all changes for 2026</w:t>
      </w:r>
      <w:r w:rsidR="00AB165D">
        <w:t>–</w:t>
      </w:r>
      <w:r>
        <w:t>27 commenc</w:t>
      </w:r>
      <w:r w:rsidR="006632CD">
        <w:t>ed</w:t>
      </w:r>
      <w:r>
        <w:t xml:space="preserve"> in April 2026 through industry consultative committees, advice notices and targeted communication to affected stakeholder groups.</w:t>
      </w:r>
    </w:p>
    <w:p w14:paraId="32773790" w14:textId="666E5275" w:rsidR="0086351A" w:rsidRDefault="0086351A" w:rsidP="0086351A">
      <w:r>
        <w:t>Indexed prices for 2026</w:t>
      </w:r>
      <w:r w:rsidR="00AB165D">
        <w:t>–</w:t>
      </w:r>
      <w:r>
        <w:t>27 and detailed explanatory information on proposed amendment</w:t>
      </w:r>
      <w:r w:rsidR="00C37AC2">
        <w:t>s</w:t>
      </w:r>
      <w:r>
        <w:t xml:space="preserve"> to legislation were published on our Have your Say consultation platform, which was open from 13</w:t>
      </w:r>
      <w:r w:rsidR="00A530EE">
        <w:t> </w:t>
      </w:r>
      <w:r>
        <w:t>April</w:t>
      </w:r>
      <w:r w:rsidR="00DA5F2E">
        <w:t> </w:t>
      </w:r>
      <w:r>
        <w:t>2026 to 5 May 2026.</w:t>
      </w:r>
    </w:p>
    <w:p w14:paraId="229B4E2E" w14:textId="4A11E5EF" w:rsidR="0086351A" w:rsidRDefault="006134AC" w:rsidP="0086351A">
      <w:r>
        <w:t>O</w:t>
      </w:r>
      <w:r w:rsidR="0086351A">
        <w:t xml:space="preserve">ne submission was received during public consultation, expressing opposition to indexation increases to the self-assessed clearance charge and increase to prices more broadly, </w:t>
      </w:r>
      <w:r w:rsidR="006632CD">
        <w:t xml:space="preserve">and </w:t>
      </w:r>
      <w:r w:rsidR="0086351A">
        <w:t>calling for a comprehensive review. We have considered this feedback, and these matters are the subject of ongoing discussions. Aside from this, feedback from stakeholders indicated they are generally unopposed to the changes.</w:t>
      </w:r>
    </w:p>
    <w:p w14:paraId="04CCA6CB" w14:textId="1F349979" w:rsidR="0086351A" w:rsidRPr="00923486" w:rsidRDefault="0086351A" w:rsidP="0086351A">
      <w:r w:rsidRPr="0086351A">
        <w:t>Public awareness was further supported through a series of advice notices, targeting all stakeholder groups. The 2026</w:t>
      </w:r>
      <w:r w:rsidR="000A1437">
        <w:t>–</w:t>
      </w:r>
      <w:r w:rsidRPr="0086351A">
        <w:t>27 CRIS and pricing tables and explanatory information on the revised fee structure for diagnostic have been shared in advance of the 1 July 2026 commencement date, providing impacted stakeholders time to prepare for price increases and changes to current charging arrangements.</w:t>
      </w:r>
      <w:bookmarkStart w:id="146" w:name="_Toc160536084"/>
      <w:bookmarkStart w:id="147" w:name="_Toc160553974"/>
      <w:bookmarkStart w:id="148" w:name="_Toc160536085"/>
      <w:bookmarkStart w:id="149" w:name="_Toc160553975"/>
      <w:bookmarkStart w:id="150" w:name="_Toc160536086"/>
      <w:bookmarkStart w:id="151" w:name="_Toc160553976"/>
      <w:bookmarkStart w:id="152" w:name="_Toc160536087"/>
      <w:bookmarkStart w:id="153" w:name="_Toc160553977"/>
      <w:bookmarkStart w:id="154" w:name="_Toc160536088"/>
      <w:bookmarkStart w:id="155" w:name="_Toc160553978"/>
      <w:bookmarkStart w:id="156" w:name="_Toc168489261"/>
      <w:bookmarkStart w:id="157" w:name="_Toc168489558"/>
      <w:bookmarkStart w:id="158" w:name="_Toc168645256"/>
      <w:bookmarkEnd w:id="146"/>
      <w:bookmarkEnd w:id="147"/>
      <w:bookmarkEnd w:id="148"/>
      <w:bookmarkEnd w:id="149"/>
      <w:bookmarkEnd w:id="150"/>
      <w:bookmarkEnd w:id="151"/>
      <w:bookmarkEnd w:id="152"/>
      <w:bookmarkEnd w:id="153"/>
      <w:bookmarkEnd w:id="154"/>
      <w:bookmarkEnd w:id="155"/>
    </w:p>
    <w:p w14:paraId="7F5B9AD4" w14:textId="1551F910" w:rsidR="00B20F1E" w:rsidRPr="00497BC6" w:rsidRDefault="00B20F1E" w:rsidP="00497BC6">
      <w:pPr>
        <w:pStyle w:val="Heading3"/>
        <w:rPr>
          <w:sz w:val="36"/>
          <w:szCs w:val="36"/>
          <w:lang w:eastAsia="ja-JP"/>
        </w:rPr>
      </w:pPr>
      <w:bookmarkStart w:id="159" w:name="_Toc233378703"/>
      <w:r w:rsidRPr="00497BC6">
        <w:rPr>
          <w:sz w:val="36"/>
          <w:szCs w:val="36"/>
          <w:lang w:eastAsia="ja-JP"/>
        </w:rPr>
        <w:t>Industry engagement</w:t>
      </w:r>
      <w:bookmarkEnd w:id="156"/>
      <w:bookmarkEnd w:id="157"/>
      <w:bookmarkEnd w:id="158"/>
      <w:bookmarkEnd w:id="159"/>
    </w:p>
    <w:p w14:paraId="784FBDF5" w14:textId="75C186BF" w:rsidR="00B20F1E" w:rsidRPr="00B20F1E" w:rsidRDefault="006134AC" w:rsidP="00DA022D">
      <w:pPr>
        <w:spacing w:before="120" w:after="120"/>
        <w:rPr>
          <w:rFonts w:cstheme="minorHAnsi"/>
          <w:lang w:eastAsia="ja-JP"/>
        </w:rPr>
      </w:pPr>
      <w:r>
        <w:rPr>
          <w:rFonts w:cstheme="minorHAnsi"/>
          <w:lang w:eastAsia="ja-JP"/>
        </w:rPr>
        <w:t>We have</w:t>
      </w:r>
      <w:r w:rsidR="00EE06B1">
        <w:rPr>
          <w:rFonts w:cstheme="minorHAnsi"/>
          <w:lang w:eastAsia="ja-JP"/>
        </w:rPr>
        <w:t xml:space="preserve"> </w:t>
      </w:r>
      <w:r w:rsidR="00B20F1E" w:rsidRPr="00B20F1E">
        <w:rPr>
          <w:rFonts w:cstheme="minorHAnsi"/>
          <w:lang w:eastAsia="ja-JP"/>
        </w:rPr>
        <w:t xml:space="preserve">established </w:t>
      </w:r>
      <w:hyperlink r:id="rId50" w:history="1">
        <w:r w:rsidR="00B20F1E" w:rsidRPr="00B20F1E">
          <w:rPr>
            <w:rFonts w:cstheme="minorHAnsi"/>
            <w:color w:val="165788"/>
            <w:u w:val="single"/>
            <w:lang w:eastAsia="ja-JP"/>
          </w:rPr>
          <w:t>industry consultative committees</w:t>
        </w:r>
      </w:hyperlink>
      <w:r w:rsidR="00B20F1E" w:rsidRPr="00B20F1E">
        <w:rPr>
          <w:rFonts w:cstheme="minorHAnsi"/>
          <w:lang w:eastAsia="ja-JP"/>
        </w:rPr>
        <w:t xml:space="preserve"> to represent industry views in relation to biosecurity and imported food. We consult with these committees on </w:t>
      </w:r>
      <w:proofErr w:type="gramStart"/>
      <w:r w:rsidR="00B20F1E" w:rsidRPr="00B20F1E">
        <w:rPr>
          <w:rFonts w:cstheme="minorHAnsi"/>
          <w:lang w:eastAsia="ja-JP"/>
        </w:rPr>
        <w:t>a number of</w:t>
      </w:r>
      <w:proofErr w:type="gramEnd"/>
      <w:r w:rsidR="00B20F1E" w:rsidRPr="00B20F1E">
        <w:rPr>
          <w:rFonts w:cstheme="minorHAnsi"/>
          <w:lang w:eastAsia="ja-JP"/>
        </w:rPr>
        <w:t xml:space="preserve"> different activities. The consultative committees </w:t>
      </w:r>
      <w:r w:rsidR="00B20F1E" w:rsidRPr="006632CD">
        <w:rPr>
          <w:rFonts w:cstheme="minorHAnsi"/>
          <w:lang w:eastAsia="ja-JP"/>
        </w:rPr>
        <w:t>include</w:t>
      </w:r>
      <w:r w:rsidR="00B20F1E" w:rsidRPr="00B20F1E">
        <w:rPr>
          <w:rFonts w:cstheme="minorHAnsi"/>
          <w:lang w:eastAsia="ja-JP"/>
        </w:rPr>
        <w:t>:</w:t>
      </w:r>
    </w:p>
    <w:p w14:paraId="26376574" w14:textId="77777777" w:rsidR="00B20F1E" w:rsidRPr="003F07B6" w:rsidRDefault="00B20F1E" w:rsidP="007E7417">
      <w:pPr>
        <w:pStyle w:val="ListBullet"/>
      </w:pPr>
      <w:r w:rsidRPr="003F07B6">
        <w:t>Cargo Consultative Committee</w:t>
      </w:r>
    </w:p>
    <w:p w14:paraId="363BD9F3" w14:textId="77777777" w:rsidR="00B20F1E" w:rsidRPr="003F07B6" w:rsidRDefault="00B20F1E" w:rsidP="007E7417">
      <w:pPr>
        <w:pStyle w:val="ListBullet"/>
      </w:pPr>
      <w:r w:rsidRPr="003F07B6">
        <w:t>Biological Consultative Group</w:t>
      </w:r>
    </w:p>
    <w:p w14:paraId="31250BB5" w14:textId="77777777" w:rsidR="00B20F1E" w:rsidRPr="003F07B6" w:rsidRDefault="00B20F1E" w:rsidP="007E7417">
      <w:pPr>
        <w:pStyle w:val="ListBullet"/>
      </w:pPr>
      <w:r w:rsidRPr="003F07B6">
        <w:t>Imported Food Consultative Committee</w:t>
      </w:r>
    </w:p>
    <w:p w14:paraId="753EDCB7" w14:textId="77777777" w:rsidR="00B20F1E" w:rsidRPr="003F07B6" w:rsidRDefault="00B20F1E" w:rsidP="007E7417">
      <w:pPr>
        <w:pStyle w:val="ListBullet"/>
      </w:pPr>
      <w:r w:rsidRPr="003F07B6">
        <w:t>Horse Industry Consultative Committee</w:t>
      </w:r>
    </w:p>
    <w:p w14:paraId="66A55255" w14:textId="77777777" w:rsidR="00C37AC2" w:rsidRDefault="00B20F1E" w:rsidP="007E7417">
      <w:pPr>
        <w:pStyle w:val="ListBullet"/>
      </w:pPr>
      <w:r w:rsidRPr="003F07B6">
        <w:t>Post Entry Plant Consultative Committee</w:t>
      </w:r>
    </w:p>
    <w:p w14:paraId="07A66101" w14:textId="678B26CF" w:rsidR="00B20F1E" w:rsidRPr="003F07B6" w:rsidRDefault="00C37AC2" w:rsidP="007E7417">
      <w:pPr>
        <w:pStyle w:val="ListBullet"/>
      </w:pPr>
      <w:r>
        <w:t xml:space="preserve">Avian </w:t>
      </w:r>
      <w:r w:rsidR="00EE1CC2">
        <w:t>I</w:t>
      </w:r>
      <w:r w:rsidRPr="00C37AC2">
        <w:t xml:space="preserve">mports </w:t>
      </w:r>
      <w:r w:rsidR="00EE1CC2">
        <w:t>S</w:t>
      </w:r>
      <w:r w:rsidRPr="00C37AC2">
        <w:t xml:space="preserve">takeholder </w:t>
      </w:r>
      <w:r w:rsidR="00EE1CC2">
        <w:t>G</w:t>
      </w:r>
      <w:r w:rsidRPr="00C37AC2">
        <w:t>roup</w:t>
      </w:r>
      <w:r w:rsidR="00111143">
        <w:t>.</w:t>
      </w:r>
    </w:p>
    <w:p w14:paraId="14E4150B" w14:textId="5BCE7787" w:rsidR="00B20F1E" w:rsidRPr="00B20F1E" w:rsidRDefault="00B20F1E" w:rsidP="003F07B6">
      <w:pPr>
        <w:spacing w:before="120" w:after="120"/>
        <w:rPr>
          <w:rFonts w:cstheme="minorHAnsi"/>
          <w:lang w:eastAsia="ja-JP"/>
        </w:rPr>
      </w:pPr>
      <w:r w:rsidRPr="00B20F1E">
        <w:rPr>
          <w:rFonts w:cstheme="minorHAnsi"/>
          <w:lang w:eastAsia="ja-JP"/>
        </w:rPr>
        <w:lastRenderedPageBreak/>
        <w:t>We also engage with representatives for, cat and dog importers, and with other peak bodies, industry or individuals as necessary.</w:t>
      </w:r>
    </w:p>
    <w:p w14:paraId="0D080AE2" w14:textId="77777777" w:rsidR="00B20F1E" w:rsidRPr="008F7418" w:rsidRDefault="00B20F1E" w:rsidP="00497BC6">
      <w:pPr>
        <w:pStyle w:val="Heading3"/>
        <w:rPr>
          <w:sz w:val="36"/>
          <w:szCs w:val="36"/>
          <w:lang w:eastAsia="ja-JP"/>
        </w:rPr>
      </w:pPr>
      <w:bookmarkStart w:id="160" w:name="_Toc135304898"/>
      <w:bookmarkStart w:id="161" w:name="_Toc135331071"/>
      <w:bookmarkStart w:id="162" w:name="_Toc135331323"/>
      <w:bookmarkStart w:id="163" w:name="_Toc135332516"/>
      <w:bookmarkStart w:id="164" w:name="_Toc135304899"/>
      <w:bookmarkStart w:id="165" w:name="_Toc135331072"/>
      <w:bookmarkStart w:id="166" w:name="_Toc135331324"/>
      <w:bookmarkStart w:id="167" w:name="_Toc135332517"/>
      <w:bookmarkStart w:id="168" w:name="_Toc168489262"/>
      <w:bookmarkStart w:id="169" w:name="_Toc168489559"/>
      <w:bookmarkStart w:id="170" w:name="_Toc168645257"/>
      <w:bookmarkStart w:id="171" w:name="_Toc233378704"/>
      <w:bookmarkEnd w:id="160"/>
      <w:bookmarkEnd w:id="161"/>
      <w:bookmarkEnd w:id="162"/>
      <w:bookmarkEnd w:id="163"/>
      <w:bookmarkEnd w:id="164"/>
      <w:bookmarkEnd w:id="165"/>
      <w:bookmarkEnd w:id="166"/>
      <w:bookmarkEnd w:id="167"/>
      <w:r w:rsidRPr="008F7418">
        <w:rPr>
          <w:sz w:val="36"/>
          <w:szCs w:val="36"/>
          <w:lang w:eastAsia="ja-JP"/>
        </w:rPr>
        <w:t>Ongoing engagement strategy</w:t>
      </w:r>
      <w:bookmarkEnd w:id="168"/>
      <w:bookmarkEnd w:id="169"/>
      <w:bookmarkEnd w:id="170"/>
      <w:bookmarkEnd w:id="171"/>
    </w:p>
    <w:p w14:paraId="0896494F" w14:textId="7E6A974F" w:rsidR="00B20F1E" w:rsidRPr="001A6551" w:rsidRDefault="00B20F1E" w:rsidP="001A6551">
      <w:r w:rsidRPr="001A6551">
        <w:t xml:space="preserve">We </w:t>
      </w:r>
      <w:r w:rsidR="004E6247">
        <w:t>liaise</w:t>
      </w:r>
      <w:r w:rsidR="004E6247" w:rsidRPr="001A6551">
        <w:t xml:space="preserve"> </w:t>
      </w:r>
      <w:r w:rsidRPr="001A6551">
        <w:t>with our stakeholders</w:t>
      </w:r>
      <w:r w:rsidR="00012DBA">
        <w:t xml:space="preserve"> through a variety of communication channels</w:t>
      </w:r>
      <w:r w:rsidRPr="001A6551">
        <w:t>, including:</w:t>
      </w:r>
    </w:p>
    <w:p w14:paraId="088720F0" w14:textId="0E45C3EC" w:rsidR="00B20F1E" w:rsidRPr="001A6551" w:rsidRDefault="00B20F1E" w:rsidP="0086057C">
      <w:pPr>
        <w:pStyle w:val="ListBullet"/>
      </w:pPr>
      <w:r w:rsidRPr="001A6551">
        <w:t>engaging with industry consultative committees through agreed terms of reference</w:t>
      </w:r>
    </w:p>
    <w:p w14:paraId="4307445F" w14:textId="3652A997" w:rsidR="00B20F1E" w:rsidRPr="001A6551" w:rsidRDefault="00B20F1E" w:rsidP="001A6551">
      <w:pPr>
        <w:pStyle w:val="ListBullet"/>
      </w:pPr>
      <w:r w:rsidRPr="001A6551">
        <w:t xml:space="preserve">reporting </w:t>
      </w:r>
      <w:r w:rsidR="00F62403" w:rsidRPr="001A6551">
        <w:t>periodically</w:t>
      </w:r>
      <w:r w:rsidRPr="001A6551">
        <w:t xml:space="preserve"> on regulatory charging performance, including explanations for material variances between budgeted and actual positions</w:t>
      </w:r>
    </w:p>
    <w:p w14:paraId="08D6B84C" w14:textId="4CC156B5" w:rsidR="00B20F1E" w:rsidRPr="001A6551" w:rsidRDefault="00B20F1E" w:rsidP="001A6551">
      <w:pPr>
        <w:pStyle w:val="ListBullet"/>
      </w:pPr>
      <w:r w:rsidRPr="001A6551">
        <w:t xml:space="preserve">communicating with industry consultative committees on changes to regulatory charging before any revisions or updates are made to </w:t>
      </w:r>
      <w:r w:rsidR="00D252BE" w:rsidRPr="001A6551">
        <w:t>regulatory charges</w:t>
      </w:r>
    </w:p>
    <w:p w14:paraId="3068EF89" w14:textId="494B818A" w:rsidR="00B20F1E" w:rsidRPr="001A6551" w:rsidRDefault="0022198B" w:rsidP="001A6551">
      <w:pPr>
        <w:pStyle w:val="ListBullet"/>
        <w:rPr>
          <w:lang w:eastAsia="ja-JP"/>
        </w:rPr>
      </w:pPr>
      <w:r w:rsidRPr="001A6551">
        <w:t xml:space="preserve">annual </w:t>
      </w:r>
      <w:r w:rsidR="00B20F1E" w:rsidRPr="001A6551">
        <w:t xml:space="preserve">public consultation </w:t>
      </w:r>
      <w:r w:rsidRPr="001A6551">
        <w:t xml:space="preserve">on </w:t>
      </w:r>
      <w:r w:rsidR="00B20F1E" w:rsidRPr="001A6551">
        <w:t xml:space="preserve">key changes </w:t>
      </w:r>
      <w:r w:rsidR="00D252BE" w:rsidRPr="001A6551">
        <w:t xml:space="preserve">that </w:t>
      </w:r>
      <w:r w:rsidR="00B20F1E" w:rsidRPr="001A6551">
        <w:t>result in price adjustments.</w:t>
      </w:r>
    </w:p>
    <w:p w14:paraId="1D5C71CF" w14:textId="1D52ABAE" w:rsidR="001A6551" w:rsidRPr="00EB4DE8" w:rsidRDefault="006E3294" w:rsidP="006E3294">
      <w:pPr>
        <w:rPr>
          <w:lang w:eastAsia="ja-JP"/>
        </w:rPr>
      </w:pPr>
      <w:r w:rsidRPr="00EB4DE8">
        <w:rPr>
          <w:lang w:eastAsia="ja-JP"/>
        </w:rPr>
        <w:t>Information about new prices or changes in charging arrangements is published on our website each year</w:t>
      </w:r>
      <w:r w:rsidR="001A6551" w:rsidRPr="00EB4DE8">
        <w:rPr>
          <w:lang w:eastAsia="ja-JP"/>
        </w:rPr>
        <w:t xml:space="preserve"> and we provide ongoing updates through </w:t>
      </w:r>
      <w:r w:rsidR="00111143">
        <w:rPr>
          <w:lang w:eastAsia="ja-JP"/>
        </w:rPr>
        <w:t xml:space="preserve">a </w:t>
      </w:r>
      <w:r w:rsidR="001A6551" w:rsidRPr="00EB4DE8">
        <w:rPr>
          <w:lang w:eastAsia="ja-JP"/>
        </w:rPr>
        <w:t>variety of communication channels.</w:t>
      </w:r>
    </w:p>
    <w:p w14:paraId="63EE3C3A" w14:textId="244DFE88" w:rsidR="00502D35" w:rsidRDefault="00502D35" w:rsidP="006E3294">
      <w:pPr>
        <w:rPr>
          <w:lang w:eastAsia="ja-JP"/>
        </w:rPr>
      </w:pPr>
      <w:r w:rsidRPr="00EB4DE8">
        <w:rPr>
          <w:lang w:eastAsia="ja-JP"/>
        </w:rPr>
        <w:t xml:space="preserve">For </w:t>
      </w:r>
      <w:r w:rsidR="00111143">
        <w:rPr>
          <w:lang w:eastAsia="ja-JP"/>
        </w:rPr>
        <w:t>more</w:t>
      </w:r>
      <w:r w:rsidRPr="00EB4DE8">
        <w:rPr>
          <w:lang w:eastAsia="ja-JP"/>
        </w:rPr>
        <w:t xml:space="preserve"> information on changes to regulatory charges</w:t>
      </w:r>
      <w:r w:rsidR="00111143">
        <w:rPr>
          <w:lang w:eastAsia="ja-JP"/>
        </w:rPr>
        <w:t>,</w:t>
      </w:r>
      <w:r w:rsidRPr="00EB4DE8">
        <w:rPr>
          <w:lang w:eastAsia="ja-JP"/>
        </w:rPr>
        <w:t xml:space="preserve"> email </w:t>
      </w:r>
      <w:hyperlink r:id="rId51" w:history="1">
        <w:r w:rsidR="003B2E59" w:rsidRPr="003B2E59">
          <w:rPr>
            <w:rStyle w:val="Hyperlink"/>
            <w:lang w:eastAsia="ja-JP"/>
          </w:rPr>
          <w:t>BioCRIS@aff.gov.au</w:t>
        </w:r>
      </w:hyperlink>
      <w:r w:rsidRPr="00EB4DE8">
        <w:rPr>
          <w:lang w:eastAsia="ja-JP"/>
        </w:rPr>
        <w:t>.</w:t>
      </w:r>
    </w:p>
    <w:p w14:paraId="2F5AFE0A" w14:textId="77777777" w:rsidR="0091352C" w:rsidRPr="003F07B6" w:rsidRDefault="0091352C" w:rsidP="008F7418">
      <w:pPr>
        <w:pStyle w:val="Heading2"/>
      </w:pPr>
      <w:bookmarkStart w:id="172" w:name="_Toc168489263"/>
      <w:bookmarkStart w:id="173" w:name="_Toc168489560"/>
      <w:bookmarkStart w:id="174" w:name="_Toc168645258"/>
      <w:bookmarkStart w:id="175" w:name="_Toc233378705"/>
      <w:r w:rsidRPr="003F07B6">
        <w:lastRenderedPageBreak/>
        <w:t>Financial estimates</w:t>
      </w:r>
      <w:bookmarkEnd w:id="172"/>
      <w:bookmarkEnd w:id="173"/>
      <w:bookmarkEnd w:id="174"/>
      <w:bookmarkEnd w:id="175"/>
    </w:p>
    <w:p w14:paraId="50D0864C" w14:textId="77777777" w:rsidR="0091352C" w:rsidRPr="008F7418" w:rsidRDefault="0091352C" w:rsidP="008F7418">
      <w:pPr>
        <w:pStyle w:val="Heading3"/>
        <w:rPr>
          <w:sz w:val="36"/>
          <w:szCs w:val="36"/>
          <w:lang w:eastAsia="ja-JP"/>
        </w:rPr>
      </w:pPr>
      <w:bookmarkStart w:id="176" w:name="_Toc168489264"/>
      <w:bookmarkStart w:id="177" w:name="_Toc168489561"/>
      <w:bookmarkStart w:id="178" w:name="_Toc168645259"/>
      <w:bookmarkStart w:id="179" w:name="_Toc233378706"/>
      <w:r w:rsidRPr="008F7418">
        <w:rPr>
          <w:sz w:val="36"/>
          <w:szCs w:val="36"/>
          <w:lang w:eastAsia="ja-JP"/>
        </w:rPr>
        <w:t>Annual estimates</w:t>
      </w:r>
      <w:bookmarkEnd w:id="176"/>
      <w:bookmarkEnd w:id="177"/>
      <w:bookmarkEnd w:id="178"/>
      <w:bookmarkEnd w:id="179"/>
    </w:p>
    <w:p w14:paraId="6ABCE215" w14:textId="3610A244" w:rsidR="0091352C" w:rsidRDefault="0091352C" w:rsidP="0091352C">
      <w:pPr>
        <w:rPr>
          <w:rFonts w:cstheme="minorHAnsi"/>
          <w:lang w:eastAsia="ja-JP"/>
        </w:rPr>
      </w:pPr>
      <w:r w:rsidRPr="0091352C">
        <w:rPr>
          <w:rFonts w:cstheme="minorHAnsi"/>
          <w:lang w:eastAsia="ja-JP"/>
        </w:rPr>
        <w:t xml:space="preserve">A summary of the forecast annual operating position for the </w:t>
      </w:r>
      <w:r w:rsidRPr="007E7417">
        <w:rPr>
          <w:rFonts w:cstheme="minorHAnsi"/>
          <w:lang w:eastAsia="ja-JP"/>
        </w:rPr>
        <w:t xml:space="preserve">arrangement is provided </w:t>
      </w:r>
      <w:r w:rsidR="00074964">
        <w:rPr>
          <w:rFonts w:cstheme="minorHAnsi"/>
          <w:lang w:eastAsia="ja-JP"/>
        </w:rPr>
        <w:t>in</w:t>
      </w:r>
      <w:r w:rsidRPr="007E7417">
        <w:rPr>
          <w:rFonts w:cstheme="minorHAnsi"/>
          <w:lang w:eastAsia="ja-JP"/>
        </w:rPr>
        <w:t xml:space="preserve"> </w:t>
      </w:r>
      <w:r w:rsidR="00D252BE" w:rsidRPr="007E7417">
        <w:rPr>
          <w:rStyle w:val="Hyperlink"/>
          <w:lang w:eastAsia="ja-JP"/>
        </w:rPr>
        <w:fldChar w:fldCharType="begin"/>
      </w:r>
      <w:r w:rsidR="00D252BE" w:rsidRPr="000A1437">
        <w:rPr>
          <w:rStyle w:val="Hyperlink"/>
          <w:lang w:eastAsia="ja-JP"/>
        </w:rPr>
        <w:instrText xml:space="preserve"> REF _Ref193954033 \h </w:instrText>
      </w:r>
      <w:r w:rsidR="00041A02" w:rsidRPr="000A1437">
        <w:rPr>
          <w:rStyle w:val="Hyperlink"/>
          <w:lang w:eastAsia="ja-JP"/>
        </w:rPr>
        <w:instrText xml:space="preserve"> \* MERGEFORMAT </w:instrText>
      </w:r>
      <w:r w:rsidR="00D252BE" w:rsidRPr="007E7417">
        <w:rPr>
          <w:rStyle w:val="Hyperlink"/>
          <w:lang w:eastAsia="ja-JP"/>
        </w:rPr>
      </w:r>
      <w:r w:rsidR="00D252BE" w:rsidRPr="007E7417">
        <w:rPr>
          <w:rStyle w:val="Hyperlink"/>
          <w:lang w:eastAsia="ja-JP"/>
        </w:rPr>
        <w:fldChar w:fldCharType="separate"/>
      </w:r>
      <w:r w:rsidR="00202908" w:rsidRPr="00202908">
        <w:rPr>
          <w:rStyle w:val="Hyperlink"/>
        </w:rPr>
        <w:t>Table</w:t>
      </w:r>
      <w:r w:rsidR="00202908" w:rsidRPr="007E7417">
        <w:t xml:space="preserve"> </w:t>
      </w:r>
      <w:r w:rsidR="00202908">
        <w:rPr>
          <w:noProof/>
        </w:rPr>
        <w:t>10</w:t>
      </w:r>
      <w:r w:rsidR="00D252BE" w:rsidRPr="007E7417">
        <w:rPr>
          <w:rFonts w:cstheme="minorHAnsi"/>
          <w:lang w:eastAsia="ja-JP"/>
        </w:rPr>
        <w:fldChar w:fldCharType="end"/>
      </w:r>
      <w:r w:rsidRPr="007E7417">
        <w:rPr>
          <w:rFonts w:cstheme="minorHAnsi"/>
          <w:lang w:eastAsia="ja-JP"/>
        </w:rPr>
        <w:t>.</w:t>
      </w:r>
    </w:p>
    <w:p w14:paraId="4F0368FC" w14:textId="34DCF9E9" w:rsidR="004A50F9" w:rsidRPr="004A50F9" w:rsidRDefault="004A50F9" w:rsidP="0091352C">
      <w:r w:rsidRPr="003A5290">
        <w:rPr>
          <w:lang w:eastAsia="ja-JP"/>
        </w:rPr>
        <w:t>We maintain an accumulated balance for each program of the arrangement to assist with managing the alignment of revenue and expenses and variations to forecast volumes. In total, the accumulated balance reflects the combined accumulated results of the arrangement since its inception and the department reports at this highest level of aggregation.</w:t>
      </w:r>
    </w:p>
    <w:p w14:paraId="6B3A1C9D" w14:textId="442F6421" w:rsidR="0091352C" w:rsidRPr="0091352C" w:rsidRDefault="00224749" w:rsidP="00224749">
      <w:pPr>
        <w:pStyle w:val="Caption"/>
        <w:rPr>
          <w:b w:val="0"/>
          <w:bCs w:val="0"/>
        </w:rPr>
      </w:pPr>
      <w:bookmarkStart w:id="180" w:name="_Ref193954033"/>
      <w:bookmarkStart w:id="181" w:name="_Toc233378730"/>
      <w:r w:rsidRPr="007E7417">
        <w:t xml:space="preserve">Table </w:t>
      </w:r>
      <w:fldSimple w:instr=" SEQ Table \* ARABIC ">
        <w:r w:rsidR="00202908">
          <w:rPr>
            <w:noProof/>
          </w:rPr>
          <w:t>10</w:t>
        </w:r>
      </w:fldSimple>
      <w:bookmarkEnd w:id="180"/>
      <w:r w:rsidRPr="007E7417">
        <w:t xml:space="preserve"> Financial estimates for</w:t>
      </w:r>
      <w:r w:rsidRPr="0091352C">
        <w:t xml:space="preserve"> biosecurity cost recovery arrangement, 202</w:t>
      </w:r>
      <w:r w:rsidR="001E7877">
        <w:t>5</w:t>
      </w:r>
      <w:r w:rsidRPr="0091352C">
        <w:t>–2</w:t>
      </w:r>
      <w:r w:rsidR="001E7877">
        <w:t>6</w:t>
      </w:r>
      <w:r w:rsidRPr="0091352C">
        <w:t xml:space="preserve"> to </w:t>
      </w:r>
      <w:r w:rsidR="00333AA7" w:rsidRPr="0091352C">
        <w:t>2028</w:t>
      </w:r>
      <w:r w:rsidR="00333AA7">
        <w:t>‍‍‍‍–‍</w:t>
      </w:r>
      <w:r w:rsidRPr="0091352C">
        <w:t>2</w:t>
      </w:r>
      <w:r w:rsidR="001E7877">
        <w:t>9</w:t>
      </w:r>
      <w:bookmarkEnd w:id="181"/>
    </w:p>
    <w:tbl>
      <w:tblPr>
        <w:tblW w:w="5000" w:type="pct"/>
        <w:tblBorders>
          <w:top w:val="single" w:sz="4" w:space="0" w:color="auto"/>
          <w:bottom w:val="single" w:sz="4" w:space="0" w:color="auto"/>
          <w:insideH w:val="single" w:sz="4" w:space="0" w:color="auto"/>
        </w:tblBorders>
        <w:tblLayout w:type="fixed"/>
        <w:tblCellMar>
          <w:left w:w="40" w:type="dxa"/>
          <w:right w:w="40" w:type="dxa"/>
        </w:tblCellMar>
        <w:tblLook w:val="04A0" w:firstRow="1" w:lastRow="0" w:firstColumn="1" w:lastColumn="0" w:noHBand="0" w:noVBand="1"/>
      </w:tblPr>
      <w:tblGrid>
        <w:gridCol w:w="2070"/>
        <w:gridCol w:w="1836"/>
        <w:gridCol w:w="1832"/>
        <w:gridCol w:w="1667"/>
        <w:gridCol w:w="1665"/>
      </w:tblGrid>
      <w:tr w:rsidR="00301723" w:rsidRPr="00D74FA6" w14:paraId="75FFE3CB" w14:textId="77777777" w:rsidTr="00301723">
        <w:trPr>
          <w:cantSplit/>
          <w:tblHeader/>
        </w:trPr>
        <w:tc>
          <w:tcPr>
            <w:tcW w:w="1141" w:type="pct"/>
            <w:tcMar>
              <w:left w:w="108" w:type="dxa"/>
              <w:right w:w="108" w:type="dxa"/>
            </w:tcMar>
            <w:hideMark/>
          </w:tcPr>
          <w:p w14:paraId="124CBA18" w14:textId="77777777" w:rsidR="00301723" w:rsidRPr="00D74FA6" w:rsidRDefault="00301723" w:rsidP="00301723">
            <w:pPr>
              <w:pStyle w:val="TableHeading"/>
              <w:rPr>
                <w:rStyle w:val="Strong"/>
                <w:rFonts w:ascii="Calibri" w:hAnsi="Calibri"/>
                <w:bCs w:val="0"/>
                <w:sz w:val="22"/>
                <w:szCs w:val="18"/>
              </w:rPr>
            </w:pPr>
            <w:bookmarkStart w:id="182" w:name="Title_7"/>
            <w:bookmarkEnd w:id="182"/>
            <w:r w:rsidRPr="00D74FA6">
              <w:rPr>
                <w:rStyle w:val="Strong"/>
                <w:b/>
                <w:bCs w:val="0"/>
              </w:rPr>
              <w:t>Finance element</w:t>
            </w:r>
          </w:p>
        </w:tc>
        <w:tc>
          <w:tcPr>
            <w:tcW w:w="1012" w:type="pct"/>
            <w:tcMar>
              <w:left w:w="108" w:type="dxa"/>
              <w:right w:w="108" w:type="dxa"/>
            </w:tcMar>
            <w:hideMark/>
          </w:tcPr>
          <w:p w14:paraId="248BDD39" w14:textId="2C6C83DC" w:rsidR="00301723" w:rsidRPr="00D74FA6" w:rsidRDefault="00301723" w:rsidP="00301723">
            <w:pPr>
              <w:pStyle w:val="TableHeading"/>
              <w:jc w:val="right"/>
              <w:rPr>
                <w:rStyle w:val="Strong"/>
                <w:bCs w:val="0"/>
              </w:rPr>
            </w:pPr>
            <w:r w:rsidRPr="00D74FA6">
              <w:rPr>
                <w:rStyle w:val="Strong"/>
                <w:b/>
                <w:bCs w:val="0"/>
              </w:rPr>
              <w:t>202</w:t>
            </w:r>
            <w:r>
              <w:rPr>
                <w:rStyle w:val="Strong"/>
                <w:b/>
                <w:bCs w:val="0"/>
              </w:rPr>
              <w:t>5–</w:t>
            </w:r>
            <w:r w:rsidRPr="00D74FA6">
              <w:rPr>
                <w:rStyle w:val="Strong"/>
                <w:b/>
                <w:bCs w:val="0"/>
              </w:rPr>
              <w:t>2</w:t>
            </w:r>
            <w:r>
              <w:rPr>
                <w:rStyle w:val="Strong"/>
                <w:b/>
                <w:bCs w:val="0"/>
              </w:rPr>
              <w:t xml:space="preserve">6 </w:t>
            </w:r>
            <w:r w:rsidRPr="00D74FA6">
              <w:rPr>
                <w:rStyle w:val="Strong"/>
                <w:b/>
                <w:bCs w:val="0"/>
              </w:rPr>
              <w:t>($)</w:t>
            </w:r>
          </w:p>
        </w:tc>
        <w:tc>
          <w:tcPr>
            <w:tcW w:w="1010" w:type="pct"/>
            <w:tcMar>
              <w:left w:w="108" w:type="dxa"/>
              <w:right w:w="108" w:type="dxa"/>
            </w:tcMar>
            <w:hideMark/>
          </w:tcPr>
          <w:p w14:paraId="24B29785" w14:textId="7FBC752B" w:rsidR="00301723" w:rsidRPr="00D74FA6" w:rsidRDefault="00301723" w:rsidP="00301723">
            <w:pPr>
              <w:pStyle w:val="TableHeading"/>
              <w:jc w:val="right"/>
              <w:rPr>
                <w:rStyle w:val="Strong"/>
                <w:bCs w:val="0"/>
              </w:rPr>
            </w:pPr>
            <w:r w:rsidRPr="00D74FA6">
              <w:rPr>
                <w:rStyle w:val="Strong"/>
                <w:b/>
                <w:bCs w:val="0"/>
              </w:rPr>
              <w:t>202</w:t>
            </w:r>
            <w:r>
              <w:rPr>
                <w:rStyle w:val="Strong"/>
                <w:b/>
                <w:bCs w:val="0"/>
              </w:rPr>
              <w:t>6–</w:t>
            </w:r>
            <w:r w:rsidRPr="00D74FA6">
              <w:rPr>
                <w:rStyle w:val="Strong"/>
                <w:b/>
                <w:bCs w:val="0"/>
              </w:rPr>
              <w:t>2</w:t>
            </w:r>
            <w:r>
              <w:rPr>
                <w:rStyle w:val="Strong"/>
                <w:b/>
                <w:bCs w:val="0"/>
              </w:rPr>
              <w:t xml:space="preserve">7 </w:t>
            </w:r>
            <w:r w:rsidRPr="00D74FA6">
              <w:rPr>
                <w:rStyle w:val="Strong"/>
                <w:b/>
                <w:bCs w:val="0"/>
              </w:rPr>
              <w:t>($)</w:t>
            </w:r>
          </w:p>
        </w:tc>
        <w:tc>
          <w:tcPr>
            <w:tcW w:w="919" w:type="pct"/>
            <w:tcMar>
              <w:left w:w="108" w:type="dxa"/>
              <w:right w:w="108" w:type="dxa"/>
            </w:tcMar>
          </w:tcPr>
          <w:p w14:paraId="726B8B8D" w14:textId="0B13A925" w:rsidR="00301723" w:rsidRPr="00D74FA6" w:rsidRDefault="00301723" w:rsidP="00301723">
            <w:pPr>
              <w:pStyle w:val="TableHeading"/>
              <w:jc w:val="right"/>
              <w:rPr>
                <w:rStyle w:val="Strong"/>
                <w:bCs w:val="0"/>
              </w:rPr>
            </w:pPr>
            <w:r w:rsidRPr="00D74FA6">
              <w:rPr>
                <w:rStyle w:val="Strong"/>
                <w:b/>
                <w:bCs w:val="0"/>
              </w:rPr>
              <w:t>202</w:t>
            </w:r>
            <w:r>
              <w:rPr>
                <w:rStyle w:val="Strong"/>
                <w:b/>
                <w:bCs w:val="0"/>
              </w:rPr>
              <w:t>7–</w:t>
            </w:r>
            <w:r w:rsidRPr="00D74FA6">
              <w:rPr>
                <w:rStyle w:val="Strong"/>
                <w:b/>
                <w:bCs w:val="0"/>
              </w:rPr>
              <w:t>2</w:t>
            </w:r>
            <w:r>
              <w:rPr>
                <w:rStyle w:val="Strong"/>
                <w:b/>
                <w:bCs w:val="0"/>
              </w:rPr>
              <w:t xml:space="preserve">8 </w:t>
            </w:r>
            <w:r w:rsidRPr="00D74FA6">
              <w:rPr>
                <w:rStyle w:val="Strong"/>
                <w:b/>
                <w:bCs w:val="0"/>
              </w:rPr>
              <w:t>($)</w:t>
            </w:r>
          </w:p>
        </w:tc>
        <w:tc>
          <w:tcPr>
            <w:tcW w:w="918" w:type="pct"/>
            <w:tcMar>
              <w:left w:w="108" w:type="dxa"/>
              <w:right w:w="108" w:type="dxa"/>
            </w:tcMar>
          </w:tcPr>
          <w:p w14:paraId="22D58FF1" w14:textId="741EB743" w:rsidR="00301723" w:rsidRPr="00D74FA6" w:rsidRDefault="00301723" w:rsidP="00301723">
            <w:pPr>
              <w:pStyle w:val="TableHeading"/>
              <w:jc w:val="right"/>
              <w:rPr>
                <w:rStyle w:val="Strong"/>
                <w:bCs w:val="0"/>
              </w:rPr>
            </w:pPr>
            <w:r>
              <w:rPr>
                <w:rStyle w:val="Strong"/>
                <w:b/>
                <w:bCs w:val="0"/>
              </w:rPr>
              <w:t>2028</w:t>
            </w:r>
            <w:r w:rsidR="00074964">
              <w:rPr>
                <w:rStyle w:val="Strong"/>
                <w:b/>
                <w:bCs w:val="0"/>
              </w:rPr>
              <w:t>–</w:t>
            </w:r>
            <w:r>
              <w:rPr>
                <w:rStyle w:val="Strong"/>
                <w:b/>
                <w:bCs w:val="0"/>
              </w:rPr>
              <w:t>29</w:t>
            </w:r>
          </w:p>
        </w:tc>
      </w:tr>
      <w:tr w:rsidR="00E80730" w:rsidRPr="00CC45D2" w:rsidDel="0092692D" w14:paraId="57A21D5C" w14:textId="77777777" w:rsidTr="00301723">
        <w:tc>
          <w:tcPr>
            <w:tcW w:w="1141" w:type="pct"/>
            <w:tcMar>
              <w:left w:w="108" w:type="dxa"/>
              <w:right w:w="108" w:type="dxa"/>
            </w:tcMar>
            <w:hideMark/>
          </w:tcPr>
          <w:p w14:paraId="74D2DB61" w14:textId="77777777" w:rsidR="00E80730" w:rsidRPr="00502D35" w:rsidRDefault="00E80730" w:rsidP="00E80730">
            <w:pPr>
              <w:pStyle w:val="TableText"/>
              <w:rPr>
                <w:rFonts w:cstheme="minorHAnsi"/>
                <w:lang w:eastAsia="en-AU"/>
              </w:rPr>
            </w:pPr>
            <w:r w:rsidRPr="00502D35">
              <w:rPr>
                <w:rFonts w:cstheme="minorHAnsi"/>
                <w:lang w:eastAsia="en-AU"/>
              </w:rPr>
              <w:t>Revenue = X</w:t>
            </w:r>
          </w:p>
        </w:tc>
        <w:tc>
          <w:tcPr>
            <w:tcW w:w="1012" w:type="pct"/>
            <w:tcMar>
              <w:left w:w="108" w:type="dxa"/>
              <w:right w:w="108" w:type="dxa"/>
            </w:tcMar>
          </w:tcPr>
          <w:p w14:paraId="58370329" w14:textId="37AE3EB8" w:rsidR="00E80730" w:rsidRPr="00502D35" w:rsidRDefault="00E80730" w:rsidP="00E80730">
            <w:pPr>
              <w:pStyle w:val="TableText"/>
              <w:jc w:val="right"/>
              <w:rPr>
                <w:rFonts w:cstheme="minorHAnsi"/>
                <w:lang w:eastAsia="en-AU"/>
              </w:rPr>
            </w:pPr>
            <w:r w:rsidRPr="00502D35">
              <w:rPr>
                <w:rFonts w:cstheme="minorHAnsi"/>
                <w:lang w:eastAsia="en-AU"/>
              </w:rPr>
              <w:t>45</w:t>
            </w:r>
            <w:r>
              <w:rPr>
                <w:rFonts w:cstheme="minorHAnsi"/>
                <w:lang w:eastAsia="en-AU"/>
              </w:rPr>
              <w:t>9,477,559</w:t>
            </w:r>
          </w:p>
        </w:tc>
        <w:tc>
          <w:tcPr>
            <w:tcW w:w="1010" w:type="pct"/>
            <w:tcMar>
              <w:left w:w="108" w:type="dxa"/>
              <w:right w:w="108" w:type="dxa"/>
            </w:tcMar>
          </w:tcPr>
          <w:p w14:paraId="51811D86" w14:textId="25A7AAF2" w:rsidR="00E80730" w:rsidRPr="00502D35" w:rsidRDefault="00E80730" w:rsidP="00E80730">
            <w:pPr>
              <w:pStyle w:val="TableText"/>
              <w:jc w:val="right"/>
              <w:rPr>
                <w:rFonts w:cstheme="minorHAnsi"/>
                <w:lang w:eastAsia="en-AU"/>
              </w:rPr>
            </w:pPr>
            <w:r>
              <w:rPr>
                <w:rFonts w:cstheme="minorHAnsi"/>
              </w:rPr>
              <w:t>4</w:t>
            </w:r>
            <w:r>
              <w:t>85,837,813</w:t>
            </w:r>
          </w:p>
        </w:tc>
        <w:tc>
          <w:tcPr>
            <w:tcW w:w="919" w:type="pct"/>
            <w:tcMar>
              <w:left w:w="108" w:type="dxa"/>
              <w:right w:w="108" w:type="dxa"/>
            </w:tcMar>
          </w:tcPr>
          <w:p w14:paraId="61569184" w14:textId="4110A58E" w:rsidR="00E80730" w:rsidRPr="00502D35" w:rsidRDefault="00E80730" w:rsidP="00E80730">
            <w:pPr>
              <w:pStyle w:val="TableText"/>
              <w:jc w:val="right"/>
              <w:rPr>
                <w:rFonts w:cstheme="minorHAnsi"/>
              </w:rPr>
            </w:pPr>
            <w:r>
              <w:rPr>
                <w:rFonts w:cstheme="minorHAnsi"/>
              </w:rPr>
              <w:t>511,107,695</w:t>
            </w:r>
          </w:p>
        </w:tc>
        <w:tc>
          <w:tcPr>
            <w:tcW w:w="918" w:type="pct"/>
            <w:tcMar>
              <w:left w:w="108" w:type="dxa"/>
              <w:right w:w="108" w:type="dxa"/>
            </w:tcMar>
          </w:tcPr>
          <w:p w14:paraId="51196E1D" w14:textId="6A681B7F" w:rsidR="00E80730" w:rsidRPr="00502D35" w:rsidDel="0092692D" w:rsidRDefault="00E80730" w:rsidP="00E80730">
            <w:pPr>
              <w:pStyle w:val="TableText"/>
              <w:jc w:val="right"/>
              <w:rPr>
                <w:rFonts w:cstheme="minorHAnsi"/>
              </w:rPr>
            </w:pPr>
            <w:r w:rsidRPr="00E0423E">
              <w:t>537,691,940</w:t>
            </w:r>
          </w:p>
        </w:tc>
      </w:tr>
      <w:tr w:rsidR="00E80730" w:rsidRPr="00CC45D2" w:rsidDel="0092692D" w14:paraId="67A5212B" w14:textId="77777777" w:rsidTr="00301723">
        <w:tc>
          <w:tcPr>
            <w:tcW w:w="1141" w:type="pct"/>
            <w:tcMar>
              <w:left w:w="108" w:type="dxa"/>
              <w:right w:w="108" w:type="dxa"/>
            </w:tcMar>
            <w:hideMark/>
          </w:tcPr>
          <w:p w14:paraId="014D2F90" w14:textId="77777777" w:rsidR="00E80730" w:rsidRPr="00502D35" w:rsidRDefault="00E80730" w:rsidP="00E80730">
            <w:pPr>
              <w:pStyle w:val="TableText"/>
              <w:rPr>
                <w:rFonts w:cstheme="minorHAnsi"/>
                <w:lang w:eastAsia="en-AU"/>
              </w:rPr>
            </w:pPr>
            <w:r w:rsidRPr="00502D35">
              <w:rPr>
                <w:rFonts w:cstheme="minorHAnsi"/>
                <w:lang w:eastAsia="en-AU"/>
              </w:rPr>
              <w:t>Expenses = Y</w:t>
            </w:r>
          </w:p>
        </w:tc>
        <w:tc>
          <w:tcPr>
            <w:tcW w:w="1012" w:type="pct"/>
            <w:tcMar>
              <w:left w:w="108" w:type="dxa"/>
              <w:right w:w="108" w:type="dxa"/>
            </w:tcMar>
          </w:tcPr>
          <w:p w14:paraId="09265253" w14:textId="0A499EF9" w:rsidR="00E80730" w:rsidRPr="00502D35" w:rsidRDefault="00E80730" w:rsidP="00E80730">
            <w:pPr>
              <w:pStyle w:val="TableText"/>
              <w:jc w:val="right"/>
              <w:rPr>
                <w:rFonts w:cstheme="minorHAnsi"/>
                <w:lang w:eastAsia="en-AU"/>
              </w:rPr>
            </w:pPr>
            <w:r w:rsidRPr="00502D35">
              <w:t>45</w:t>
            </w:r>
            <w:r>
              <w:t>9,477,559</w:t>
            </w:r>
          </w:p>
        </w:tc>
        <w:tc>
          <w:tcPr>
            <w:tcW w:w="1010" w:type="pct"/>
            <w:tcMar>
              <w:left w:w="108" w:type="dxa"/>
              <w:right w:w="108" w:type="dxa"/>
            </w:tcMar>
          </w:tcPr>
          <w:p w14:paraId="1E30F7AC" w14:textId="479306D1" w:rsidR="00E80730" w:rsidRPr="00502D35" w:rsidRDefault="00E80730" w:rsidP="00E80730">
            <w:pPr>
              <w:pStyle w:val="TableText"/>
              <w:jc w:val="right"/>
              <w:rPr>
                <w:rFonts w:cstheme="minorHAnsi"/>
                <w:lang w:eastAsia="en-AU"/>
              </w:rPr>
            </w:pPr>
            <w:r>
              <w:t>485,837,813</w:t>
            </w:r>
          </w:p>
        </w:tc>
        <w:tc>
          <w:tcPr>
            <w:tcW w:w="919" w:type="pct"/>
            <w:tcMar>
              <w:left w:w="108" w:type="dxa"/>
              <w:right w:w="108" w:type="dxa"/>
            </w:tcMar>
          </w:tcPr>
          <w:p w14:paraId="579A4555" w14:textId="11E92B13" w:rsidR="00E80730" w:rsidRPr="00502D35" w:rsidRDefault="00E80730" w:rsidP="00E80730">
            <w:pPr>
              <w:pStyle w:val="TableText"/>
              <w:jc w:val="right"/>
              <w:rPr>
                <w:rFonts w:cstheme="minorHAnsi"/>
              </w:rPr>
            </w:pPr>
            <w:r>
              <w:rPr>
                <w:rFonts w:cstheme="minorHAnsi"/>
              </w:rPr>
              <w:t>511,107,695</w:t>
            </w:r>
          </w:p>
        </w:tc>
        <w:tc>
          <w:tcPr>
            <w:tcW w:w="918" w:type="pct"/>
            <w:tcMar>
              <w:left w:w="108" w:type="dxa"/>
              <w:right w:w="108" w:type="dxa"/>
            </w:tcMar>
          </w:tcPr>
          <w:p w14:paraId="5462A6C8" w14:textId="36F3CB0C" w:rsidR="00E80730" w:rsidRPr="00502D35" w:rsidDel="0092692D" w:rsidRDefault="00E80730" w:rsidP="00E80730">
            <w:pPr>
              <w:pStyle w:val="TableText"/>
              <w:jc w:val="right"/>
              <w:rPr>
                <w:rFonts w:cstheme="minorHAnsi"/>
              </w:rPr>
            </w:pPr>
            <w:r w:rsidRPr="00E0423E">
              <w:t>537,691,940</w:t>
            </w:r>
          </w:p>
        </w:tc>
      </w:tr>
      <w:tr w:rsidR="009B3A71" w:rsidRPr="00CC45D2" w:rsidDel="0092692D" w14:paraId="5F102609" w14:textId="77777777" w:rsidTr="00C37AC2">
        <w:tc>
          <w:tcPr>
            <w:tcW w:w="1141" w:type="pct"/>
            <w:tcMar>
              <w:left w:w="108" w:type="dxa"/>
              <w:right w:w="108" w:type="dxa"/>
            </w:tcMar>
            <w:hideMark/>
          </w:tcPr>
          <w:p w14:paraId="44F658A5" w14:textId="70CEF3EC" w:rsidR="009B3A71" w:rsidRPr="00502D35" w:rsidRDefault="009B3A71" w:rsidP="00733737">
            <w:pPr>
              <w:pStyle w:val="TableText"/>
              <w:rPr>
                <w:rFonts w:cstheme="minorHAnsi"/>
                <w:lang w:eastAsia="en-AU"/>
              </w:rPr>
            </w:pPr>
            <w:r w:rsidRPr="00502D35">
              <w:rPr>
                <w:rFonts w:cstheme="minorHAnsi"/>
                <w:lang w:eastAsia="en-AU"/>
              </w:rPr>
              <w:t xml:space="preserve">Balance = X </w:t>
            </w:r>
            <w:r w:rsidR="003B2E59">
              <w:rPr>
                <w:rFonts w:cstheme="minorHAnsi"/>
                <w:lang w:eastAsia="en-AU"/>
              </w:rPr>
              <w:t>−</w:t>
            </w:r>
            <w:r w:rsidRPr="00502D35">
              <w:rPr>
                <w:rFonts w:cstheme="minorHAnsi"/>
                <w:lang w:eastAsia="en-AU"/>
              </w:rPr>
              <w:t xml:space="preserve"> Y</w:t>
            </w:r>
          </w:p>
        </w:tc>
        <w:tc>
          <w:tcPr>
            <w:tcW w:w="1012" w:type="pct"/>
            <w:tcMar>
              <w:left w:w="108" w:type="dxa"/>
              <w:right w:w="108" w:type="dxa"/>
            </w:tcMar>
          </w:tcPr>
          <w:p w14:paraId="39B38C9B" w14:textId="78B9EDFB" w:rsidR="009B3A71" w:rsidRPr="00C37AC2" w:rsidRDefault="00E33612" w:rsidP="004E6247">
            <w:pPr>
              <w:pStyle w:val="TableText"/>
              <w:jc w:val="right"/>
              <w:rPr>
                <w:rStyle w:val="Strong"/>
                <w:b w:val="0"/>
                <w:bCs w:val="0"/>
              </w:rPr>
            </w:pPr>
            <w:r w:rsidRPr="00C37AC2">
              <w:rPr>
                <w:rStyle w:val="Strong"/>
                <w:b w:val="0"/>
                <w:bCs w:val="0"/>
              </w:rPr>
              <w:t>0</w:t>
            </w:r>
          </w:p>
        </w:tc>
        <w:tc>
          <w:tcPr>
            <w:tcW w:w="1010" w:type="pct"/>
            <w:tcMar>
              <w:left w:w="108" w:type="dxa"/>
              <w:right w:w="108" w:type="dxa"/>
            </w:tcMar>
          </w:tcPr>
          <w:p w14:paraId="3825E7E8" w14:textId="14F650E9" w:rsidR="009B3A71" w:rsidRPr="00C37AC2" w:rsidRDefault="00AE6907" w:rsidP="004E6247">
            <w:pPr>
              <w:pStyle w:val="TableText"/>
              <w:jc w:val="right"/>
              <w:rPr>
                <w:rStyle w:val="Strong"/>
                <w:b w:val="0"/>
                <w:bCs w:val="0"/>
              </w:rPr>
            </w:pPr>
            <w:r w:rsidRPr="00C37AC2">
              <w:rPr>
                <w:rStyle w:val="Strong"/>
                <w:b w:val="0"/>
                <w:bCs w:val="0"/>
              </w:rPr>
              <w:t>0</w:t>
            </w:r>
          </w:p>
        </w:tc>
        <w:tc>
          <w:tcPr>
            <w:tcW w:w="919" w:type="pct"/>
            <w:tcMar>
              <w:left w:w="108" w:type="dxa"/>
              <w:right w:w="108" w:type="dxa"/>
            </w:tcMar>
          </w:tcPr>
          <w:p w14:paraId="213E81B4" w14:textId="77777777" w:rsidR="009B3A71" w:rsidRPr="00C37AC2" w:rsidRDefault="009B3A71" w:rsidP="004E6247">
            <w:pPr>
              <w:pStyle w:val="TableText"/>
              <w:jc w:val="right"/>
              <w:rPr>
                <w:rStyle w:val="Strong"/>
                <w:b w:val="0"/>
                <w:bCs w:val="0"/>
              </w:rPr>
            </w:pPr>
            <w:r w:rsidRPr="00C37AC2">
              <w:rPr>
                <w:rStyle w:val="Strong"/>
                <w:b w:val="0"/>
                <w:bCs w:val="0"/>
              </w:rPr>
              <w:t>0</w:t>
            </w:r>
          </w:p>
        </w:tc>
        <w:tc>
          <w:tcPr>
            <w:tcW w:w="918" w:type="pct"/>
            <w:tcMar>
              <w:left w:w="108" w:type="dxa"/>
              <w:right w:w="108" w:type="dxa"/>
            </w:tcMar>
          </w:tcPr>
          <w:p w14:paraId="7602A8BC" w14:textId="77777777" w:rsidR="009B3A71" w:rsidRPr="00C37AC2" w:rsidDel="0092692D" w:rsidRDefault="009B3A71" w:rsidP="004E6247">
            <w:pPr>
              <w:pStyle w:val="TableText"/>
              <w:jc w:val="right"/>
              <w:rPr>
                <w:rStyle w:val="Strong"/>
                <w:b w:val="0"/>
                <w:bCs w:val="0"/>
              </w:rPr>
            </w:pPr>
            <w:r w:rsidRPr="00C37AC2">
              <w:rPr>
                <w:rStyle w:val="Strong"/>
                <w:b w:val="0"/>
                <w:bCs w:val="0"/>
              </w:rPr>
              <w:t>0</w:t>
            </w:r>
          </w:p>
        </w:tc>
      </w:tr>
      <w:tr w:rsidR="009B3A71" w:rsidRPr="00110D74" w14:paraId="19FE484C" w14:textId="77777777" w:rsidTr="00C37AC2">
        <w:tc>
          <w:tcPr>
            <w:tcW w:w="1141" w:type="pct"/>
            <w:tcMar>
              <w:left w:w="108" w:type="dxa"/>
              <w:right w:w="108" w:type="dxa"/>
            </w:tcMar>
            <w:hideMark/>
          </w:tcPr>
          <w:p w14:paraId="09901D49" w14:textId="4E5F1540" w:rsidR="009B3A71" w:rsidRPr="00502D35" w:rsidRDefault="009B3A71" w:rsidP="00733737">
            <w:pPr>
              <w:pStyle w:val="TableText"/>
              <w:rPr>
                <w:rFonts w:cstheme="minorHAnsi"/>
                <w:lang w:eastAsia="en-AU"/>
              </w:rPr>
            </w:pPr>
            <w:r w:rsidRPr="00502D35">
              <w:rPr>
                <w:rFonts w:cstheme="minorHAnsi"/>
                <w:lang w:eastAsia="en-AU"/>
              </w:rPr>
              <w:t xml:space="preserve">Estimated </w:t>
            </w:r>
            <w:r w:rsidR="005547D5" w:rsidRPr="00502D35">
              <w:rPr>
                <w:rFonts w:cstheme="minorHAnsi"/>
                <w:lang w:eastAsia="en-AU"/>
              </w:rPr>
              <w:t>opening accumulated</w:t>
            </w:r>
            <w:r w:rsidR="009142FD" w:rsidRPr="00502D35">
              <w:rPr>
                <w:rFonts w:cstheme="minorHAnsi"/>
                <w:lang w:eastAsia="en-AU"/>
              </w:rPr>
              <w:t xml:space="preserve"> </w:t>
            </w:r>
            <w:r w:rsidR="001E7877">
              <w:rPr>
                <w:rFonts w:cstheme="minorHAnsi"/>
                <w:lang w:eastAsia="en-AU"/>
              </w:rPr>
              <w:t>results</w:t>
            </w:r>
          </w:p>
        </w:tc>
        <w:tc>
          <w:tcPr>
            <w:tcW w:w="1012" w:type="pct"/>
            <w:tcMar>
              <w:left w:w="108" w:type="dxa"/>
              <w:right w:w="108" w:type="dxa"/>
            </w:tcMar>
          </w:tcPr>
          <w:p w14:paraId="78C03037" w14:textId="4ECE6386" w:rsidR="009B3A71" w:rsidRPr="00C37AC2" w:rsidRDefault="001E7877" w:rsidP="004E6247">
            <w:pPr>
              <w:pStyle w:val="TableText"/>
              <w:jc w:val="right"/>
              <w:rPr>
                <w:rStyle w:val="Strong"/>
                <w:b w:val="0"/>
                <w:bCs w:val="0"/>
              </w:rPr>
            </w:pPr>
            <w:r w:rsidRPr="00C37AC2">
              <w:rPr>
                <w:rStyle w:val="Strong"/>
                <w:b w:val="0"/>
                <w:bCs w:val="0"/>
              </w:rPr>
              <w:t>13,667,376</w:t>
            </w:r>
          </w:p>
        </w:tc>
        <w:tc>
          <w:tcPr>
            <w:tcW w:w="1010" w:type="pct"/>
            <w:tcMar>
              <w:left w:w="108" w:type="dxa"/>
              <w:right w:w="108" w:type="dxa"/>
            </w:tcMar>
          </w:tcPr>
          <w:p w14:paraId="00069EC0" w14:textId="10F34D27" w:rsidR="009B3A71" w:rsidRPr="00C37AC2" w:rsidRDefault="001E7877" w:rsidP="004E6247">
            <w:pPr>
              <w:pStyle w:val="TableText"/>
              <w:jc w:val="right"/>
              <w:rPr>
                <w:rStyle w:val="Strong"/>
                <w:b w:val="0"/>
                <w:bCs w:val="0"/>
              </w:rPr>
            </w:pPr>
            <w:r w:rsidRPr="00C37AC2">
              <w:rPr>
                <w:rStyle w:val="Strong"/>
                <w:b w:val="0"/>
                <w:bCs w:val="0"/>
              </w:rPr>
              <w:t>13,667,376</w:t>
            </w:r>
          </w:p>
        </w:tc>
        <w:tc>
          <w:tcPr>
            <w:tcW w:w="919" w:type="pct"/>
            <w:tcMar>
              <w:left w:w="108" w:type="dxa"/>
              <w:right w:w="108" w:type="dxa"/>
            </w:tcMar>
          </w:tcPr>
          <w:p w14:paraId="1904ED77" w14:textId="143EF5CA" w:rsidR="009B3A71" w:rsidRPr="00C37AC2" w:rsidRDefault="001E7877" w:rsidP="004E6247">
            <w:pPr>
              <w:pStyle w:val="TableText"/>
              <w:jc w:val="right"/>
              <w:rPr>
                <w:rStyle w:val="Strong"/>
                <w:b w:val="0"/>
                <w:bCs w:val="0"/>
              </w:rPr>
            </w:pPr>
            <w:r w:rsidRPr="00C37AC2">
              <w:rPr>
                <w:rStyle w:val="Strong"/>
                <w:b w:val="0"/>
                <w:bCs w:val="0"/>
              </w:rPr>
              <w:t>13,667,376</w:t>
            </w:r>
          </w:p>
        </w:tc>
        <w:tc>
          <w:tcPr>
            <w:tcW w:w="918" w:type="pct"/>
            <w:tcMar>
              <w:left w:w="108" w:type="dxa"/>
              <w:right w:w="108" w:type="dxa"/>
            </w:tcMar>
          </w:tcPr>
          <w:p w14:paraId="6D16AD2B" w14:textId="04E68A3D" w:rsidR="009B3A71" w:rsidRPr="00C37AC2" w:rsidRDefault="001E7877" w:rsidP="004E6247">
            <w:pPr>
              <w:pStyle w:val="TableText"/>
              <w:jc w:val="right"/>
              <w:rPr>
                <w:rStyle w:val="Strong"/>
                <w:b w:val="0"/>
                <w:bCs w:val="0"/>
              </w:rPr>
            </w:pPr>
            <w:r w:rsidRPr="00C37AC2">
              <w:rPr>
                <w:rStyle w:val="Strong"/>
                <w:b w:val="0"/>
                <w:bCs w:val="0"/>
              </w:rPr>
              <w:t>13,667,376</w:t>
            </w:r>
          </w:p>
        </w:tc>
      </w:tr>
      <w:tr w:rsidR="009B3A71" w:rsidRPr="00110D74" w14:paraId="5AC966CC" w14:textId="77777777" w:rsidTr="00C37AC2">
        <w:tc>
          <w:tcPr>
            <w:tcW w:w="1141" w:type="pct"/>
            <w:tcMar>
              <w:left w:w="108" w:type="dxa"/>
              <w:right w:w="108" w:type="dxa"/>
            </w:tcMar>
            <w:hideMark/>
          </w:tcPr>
          <w:p w14:paraId="4B284ED2" w14:textId="657E782A" w:rsidR="009B3A71" w:rsidRPr="00502D35" w:rsidRDefault="009B3A71" w:rsidP="00733737">
            <w:pPr>
              <w:pStyle w:val="TableText"/>
              <w:rPr>
                <w:rFonts w:cstheme="minorHAnsi"/>
                <w:lang w:eastAsia="en-AU"/>
              </w:rPr>
            </w:pPr>
            <w:r w:rsidRPr="00502D35">
              <w:rPr>
                <w:rFonts w:cstheme="minorHAnsi"/>
                <w:lang w:eastAsia="en-AU"/>
              </w:rPr>
              <w:t>Estimated closi</w:t>
            </w:r>
            <w:r w:rsidR="001E7877">
              <w:rPr>
                <w:rFonts w:cstheme="minorHAnsi"/>
                <w:lang w:eastAsia="en-AU"/>
              </w:rPr>
              <w:t xml:space="preserve">ng </w:t>
            </w:r>
            <w:r w:rsidR="009142FD" w:rsidRPr="00502D35">
              <w:rPr>
                <w:rFonts w:cstheme="minorHAnsi"/>
                <w:lang w:eastAsia="en-AU"/>
              </w:rPr>
              <w:t xml:space="preserve">accumulated </w:t>
            </w:r>
            <w:r w:rsidR="001E7877">
              <w:rPr>
                <w:rFonts w:cstheme="minorHAnsi"/>
                <w:lang w:eastAsia="en-AU"/>
              </w:rPr>
              <w:t>results</w:t>
            </w:r>
          </w:p>
        </w:tc>
        <w:tc>
          <w:tcPr>
            <w:tcW w:w="1012" w:type="pct"/>
            <w:tcMar>
              <w:left w:w="108" w:type="dxa"/>
              <w:right w:w="108" w:type="dxa"/>
            </w:tcMar>
          </w:tcPr>
          <w:p w14:paraId="6464A581" w14:textId="482E3689" w:rsidR="009B3A71" w:rsidRPr="00C37AC2" w:rsidRDefault="001E7877" w:rsidP="004E6247">
            <w:pPr>
              <w:pStyle w:val="TableText"/>
              <w:jc w:val="right"/>
              <w:rPr>
                <w:rStyle w:val="Strong"/>
                <w:b w:val="0"/>
                <w:bCs w:val="0"/>
              </w:rPr>
            </w:pPr>
            <w:r w:rsidRPr="00C37AC2">
              <w:rPr>
                <w:rStyle w:val="Strong"/>
                <w:b w:val="0"/>
                <w:bCs w:val="0"/>
              </w:rPr>
              <w:t>13,667,376</w:t>
            </w:r>
          </w:p>
        </w:tc>
        <w:tc>
          <w:tcPr>
            <w:tcW w:w="1010" w:type="pct"/>
            <w:tcMar>
              <w:left w:w="108" w:type="dxa"/>
              <w:right w:w="108" w:type="dxa"/>
            </w:tcMar>
          </w:tcPr>
          <w:p w14:paraId="042E3031" w14:textId="30E8CAA6" w:rsidR="009B3A71" w:rsidRPr="00C37AC2" w:rsidRDefault="001E7877" w:rsidP="004E6247">
            <w:pPr>
              <w:pStyle w:val="TableText"/>
              <w:jc w:val="right"/>
              <w:rPr>
                <w:rStyle w:val="Strong"/>
                <w:b w:val="0"/>
                <w:bCs w:val="0"/>
              </w:rPr>
            </w:pPr>
            <w:r w:rsidRPr="00C37AC2">
              <w:rPr>
                <w:rStyle w:val="Strong"/>
                <w:b w:val="0"/>
                <w:bCs w:val="0"/>
              </w:rPr>
              <w:t>13,667,376</w:t>
            </w:r>
          </w:p>
        </w:tc>
        <w:tc>
          <w:tcPr>
            <w:tcW w:w="919" w:type="pct"/>
            <w:tcMar>
              <w:left w:w="108" w:type="dxa"/>
              <w:right w:w="108" w:type="dxa"/>
            </w:tcMar>
          </w:tcPr>
          <w:p w14:paraId="7AFB719C" w14:textId="0AB0501A" w:rsidR="009B3A71" w:rsidRPr="00C37AC2" w:rsidRDefault="001E7877" w:rsidP="004E6247">
            <w:pPr>
              <w:pStyle w:val="TableText"/>
              <w:jc w:val="right"/>
              <w:rPr>
                <w:rStyle w:val="Strong"/>
                <w:b w:val="0"/>
                <w:bCs w:val="0"/>
              </w:rPr>
            </w:pPr>
            <w:r w:rsidRPr="00C37AC2">
              <w:rPr>
                <w:rStyle w:val="Strong"/>
                <w:b w:val="0"/>
                <w:bCs w:val="0"/>
              </w:rPr>
              <w:t>13,667,376</w:t>
            </w:r>
          </w:p>
        </w:tc>
        <w:tc>
          <w:tcPr>
            <w:tcW w:w="918" w:type="pct"/>
            <w:tcMar>
              <w:left w:w="108" w:type="dxa"/>
              <w:right w:w="108" w:type="dxa"/>
            </w:tcMar>
          </w:tcPr>
          <w:p w14:paraId="1B425527" w14:textId="250FC560" w:rsidR="009B3A71" w:rsidRPr="00C37AC2" w:rsidRDefault="001E7877" w:rsidP="004E6247">
            <w:pPr>
              <w:pStyle w:val="TableText"/>
              <w:jc w:val="right"/>
              <w:rPr>
                <w:rStyle w:val="Strong"/>
                <w:b w:val="0"/>
                <w:bCs w:val="0"/>
              </w:rPr>
            </w:pPr>
            <w:r w:rsidRPr="00C37AC2">
              <w:rPr>
                <w:rStyle w:val="Strong"/>
                <w:b w:val="0"/>
                <w:bCs w:val="0"/>
              </w:rPr>
              <w:t>13,667,376</w:t>
            </w:r>
          </w:p>
        </w:tc>
      </w:tr>
    </w:tbl>
    <w:p w14:paraId="0546E471" w14:textId="21726492" w:rsidR="00F70CBD" w:rsidRPr="003F07B6" w:rsidRDefault="00F70CBD" w:rsidP="005C0D85">
      <w:pPr>
        <w:pStyle w:val="Heading4"/>
        <w:spacing w:before="240"/>
        <w:rPr>
          <w:lang w:eastAsia="ja-JP"/>
        </w:rPr>
      </w:pPr>
      <w:r w:rsidRPr="003F07B6">
        <w:rPr>
          <w:lang w:eastAsia="ja-JP"/>
        </w:rPr>
        <w:t>Expenses to be cost</w:t>
      </w:r>
      <w:r w:rsidR="00EB4AAF">
        <w:rPr>
          <w:lang w:eastAsia="ja-JP"/>
        </w:rPr>
        <w:t>-</w:t>
      </w:r>
      <w:r w:rsidRPr="003F07B6">
        <w:rPr>
          <w:lang w:eastAsia="ja-JP"/>
        </w:rPr>
        <w:t>recovered</w:t>
      </w:r>
    </w:p>
    <w:p w14:paraId="0BB67601" w14:textId="18280ED7" w:rsidR="00F70CBD" w:rsidRPr="00F70CBD" w:rsidRDefault="00F70CBD" w:rsidP="00F70CBD">
      <w:pPr>
        <w:spacing w:after="120"/>
        <w:rPr>
          <w:rFonts w:cstheme="minorHAnsi"/>
        </w:rPr>
      </w:pPr>
      <w:r w:rsidRPr="00EE1CC2">
        <w:rPr>
          <w:rFonts w:cstheme="minorHAnsi"/>
        </w:rPr>
        <w:t xml:space="preserve">There are </w:t>
      </w:r>
      <w:proofErr w:type="gramStart"/>
      <w:r w:rsidRPr="00EE1CC2">
        <w:rPr>
          <w:rFonts w:cstheme="minorHAnsi"/>
        </w:rPr>
        <w:t>a</w:t>
      </w:r>
      <w:r w:rsidRPr="00F70CBD">
        <w:rPr>
          <w:rFonts w:cstheme="minorHAnsi"/>
        </w:rPr>
        <w:t xml:space="preserve"> number of</w:t>
      </w:r>
      <w:proofErr w:type="gramEnd"/>
      <w:r w:rsidRPr="00F70CBD">
        <w:rPr>
          <w:rFonts w:cstheme="minorHAnsi"/>
        </w:rPr>
        <w:t xml:space="preserve"> inputs into our costs that make up the total value of the arrangement and the amounts to be recovered for each activity. </w:t>
      </w:r>
      <w:r w:rsidR="00012DBA" w:rsidRPr="00F70CBD">
        <w:rPr>
          <w:rFonts w:cstheme="minorHAnsi"/>
        </w:rPr>
        <w:t>Like</w:t>
      </w:r>
      <w:r w:rsidRPr="00F70CBD">
        <w:rPr>
          <w:rFonts w:cstheme="minorHAnsi"/>
        </w:rPr>
        <w:t xml:space="preserve"> most businesses, </w:t>
      </w:r>
      <w:r w:rsidR="00E556DA">
        <w:rPr>
          <w:rFonts w:cstheme="minorHAnsi"/>
        </w:rPr>
        <w:t>we</w:t>
      </w:r>
      <w:r w:rsidRPr="00F70CBD">
        <w:rPr>
          <w:rFonts w:cstheme="minorHAnsi"/>
        </w:rPr>
        <w:t xml:space="preserve"> incur costs for operating expenses such as:</w:t>
      </w:r>
    </w:p>
    <w:p w14:paraId="71D9CB9E" w14:textId="77777777" w:rsidR="00F70CBD" w:rsidRPr="00F70CBD" w:rsidRDefault="00F70CBD" w:rsidP="00224749">
      <w:pPr>
        <w:pStyle w:val="ListBullet"/>
      </w:pPr>
      <w:r w:rsidRPr="00F70CBD">
        <w:t>wages for APS staff</w:t>
      </w:r>
    </w:p>
    <w:p w14:paraId="4B6562A3" w14:textId="49DC3D86" w:rsidR="00F70CBD" w:rsidRPr="00F70CBD" w:rsidRDefault="004E6247" w:rsidP="00224749">
      <w:pPr>
        <w:pStyle w:val="ListBullet"/>
      </w:pPr>
      <w:r>
        <w:t xml:space="preserve">payments to </w:t>
      </w:r>
      <w:r w:rsidR="00F70CBD" w:rsidRPr="00F70CBD">
        <w:t>contractors engaged to provide specialised or short-term expertise</w:t>
      </w:r>
    </w:p>
    <w:p w14:paraId="0B85D2F9" w14:textId="11DE591E" w:rsidR="00F70CBD" w:rsidRPr="00F70CBD" w:rsidRDefault="00F70CBD" w:rsidP="00224749">
      <w:pPr>
        <w:pStyle w:val="ListBullet"/>
      </w:pPr>
      <w:r w:rsidRPr="00F70CBD">
        <w:t>supplier costs, including compulsory use of whole-of-government arrangements for certain suppliers (e.g. travel, station</w:t>
      </w:r>
      <w:r w:rsidR="003B2E59">
        <w:t>e</w:t>
      </w:r>
      <w:r w:rsidRPr="00F70CBD">
        <w:t>ry, IT equipment)</w:t>
      </w:r>
    </w:p>
    <w:p w14:paraId="27FB4013" w14:textId="77777777" w:rsidR="00F70CBD" w:rsidRPr="00F70CBD" w:rsidRDefault="00F70CBD" w:rsidP="00224749">
      <w:pPr>
        <w:pStyle w:val="ListBullet"/>
      </w:pPr>
      <w:r w:rsidRPr="00F70CBD">
        <w:t>rent on office and domestic properties</w:t>
      </w:r>
    </w:p>
    <w:p w14:paraId="6CD5D36B" w14:textId="77777777" w:rsidR="00F70CBD" w:rsidRPr="00F70CBD" w:rsidRDefault="00F70CBD" w:rsidP="00224749">
      <w:pPr>
        <w:pStyle w:val="ListBullet"/>
      </w:pPr>
      <w:r w:rsidRPr="00F70CBD">
        <w:t>depreciation on IT systems, property, plant and equipment.</w:t>
      </w:r>
    </w:p>
    <w:p w14:paraId="621CAAC0" w14:textId="7FA72D85" w:rsidR="00F70CBD" w:rsidRPr="00F70CBD" w:rsidRDefault="00F70CBD" w:rsidP="00F70CBD">
      <w:pPr>
        <w:spacing w:before="240"/>
        <w:rPr>
          <w:rFonts w:cstheme="minorHAnsi"/>
          <w:lang w:eastAsia="ja-JP"/>
        </w:rPr>
      </w:pPr>
      <w:r w:rsidRPr="00F70CBD">
        <w:rPr>
          <w:rFonts w:cstheme="minorHAnsi"/>
        </w:rPr>
        <w:t xml:space="preserve">As described in </w:t>
      </w:r>
      <w:hyperlink w:anchor="_Description_of_the" w:history="1">
        <w:r w:rsidR="00CA5C13" w:rsidRPr="00CA5C13">
          <w:rPr>
            <w:rStyle w:val="Hyperlink"/>
            <w:rFonts w:cstheme="minorHAnsi"/>
          </w:rPr>
          <w:t>section 3.3.1</w:t>
        </w:r>
      </w:hyperlink>
      <w:r w:rsidR="007E7417" w:rsidRPr="007C2F94">
        <w:rPr>
          <w:rFonts w:cstheme="minorHAnsi"/>
        </w:rPr>
        <w:t>,</w:t>
      </w:r>
      <w:r w:rsidR="007E7417">
        <w:rPr>
          <w:rFonts w:cstheme="minorHAnsi"/>
        </w:rPr>
        <w:t xml:space="preserve"> </w:t>
      </w:r>
      <w:r w:rsidRPr="00F70CBD">
        <w:rPr>
          <w:rFonts w:cstheme="minorHAnsi"/>
        </w:rPr>
        <w:t xml:space="preserve">these expenses are </w:t>
      </w:r>
      <w:r w:rsidRPr="00F70CBD">
        <w:rPr>
          <w:rFonts w:cstheme="minorHAnsi"/>
          <w:lang w:eastAsia="ja-JP"/>
        </w:rPr>
        <w:t xml:space="preserve">allocated to the activity and </w:t>
      </w:r>
      <w:r w:rsidRPr="00C37AC2">
        <w:rPr>
          <w:rFonts w:cstheme="minorHAnsi"/>
          <w:lang w:eastAsia="ja-JP"/>
        </w:rPr>
        <w:t>cost</w:t>
      </w:r>
      <w:r w:rsidR="00C37AC2" w:rsidRPr="00C37AC2">
        <w:rPr>
          <w:rFonts w:cstheme="minorHAnsi"/>
          <w:lang w:eastAsia="ja-JP"/>
        </w:rPr>
        <w:t>-</w:t>
      </w:r>
      <w:r w:rsidRPr="00C37AC2">
        <w:rPr>
          <w:rFonts w:cstheme="minorHAnsi"/>
          <w:lang w:eastAsia="ja-JP"/>
        </w:rPr>
        <w:t>recovered</w:t>
      </w:r>
      <w:r w:rsidRPr="00F70CBD">
        <w:rPr>
          <w:rFonts w:cstheme="minorHAnsi"/>
          <w:lang w:eastAsia="ja-JP"/>
        </w:rPr>
        <w:t xml:space="preserve"> </w:t>
      </w:r>
      <w:r w:rsidR="00981C43">
        <w:rPr>
          <w:rFonts w:cstheme="minorHAnsi"/>
          <w:lang w:eastAsia="ja-JP"/>
        </w:rPr>
        <w:t>program</w:t>
      </w:r>
      <w:r w:rsidRPr="00F70CBD">
        <w:rPr>
          <w:rFonts w:cstheme="minorHAnsi"/>
          <w:lang w:eastAsia="ja-JP"/>
        </w:rPr>
        <w:t xml:space="preserve"> that best reflects the activity undertaken. This forms a cost pool for that activity. Each cost pool is divided by the forecast volume for that activity to determine the fee or charge. The combined sum of all cost pools equals the cost for undertaking regulatory activities under the arrangement. Prices are set in conjunction with the forecast volumes to recover these costs.</w:t>
      </w:r>
    </w:p>
    <w:p w14:paraId="07DD9171" w14:textId="4B1D1A18" w:rsidR="00A12B41" w:rsidRPr="00A12B41" w:rsidRDefault="00A12B41" w:rsidP="004124D1">
      <w:pPr>
        <w:keepNext/>
        <w:rPr>
          <w:rFonts w:ascii="Calibri" w:hAnsi="Calibri" w:cs="Calibri"/>
        </w:rPr>
      </w:pPr>
      <w:r w:rsidRPr="00A12B41">
        <w:rPr>
          <w:rFonts w:cstheme="minorHAnsi"/>
        </w:rPr>
        <w:lastRenderedPageBreak/>
        <w:t xml:space="preserve">The </w:t>
      </w:r>
      <w:r w:rsidR="00472697" w:rsidRPr="00981C43">
        <w:rPr>
          <w:rFonts w:cstheme="minorHAnsi"/>
        </w:rPr>
        <w:t>Biosecurity, Imported Food and Export Certification Special Account</w:t>
      </w:r>
      <w:r w:rsidR="00472697" w:rsidRPr="00A12B41">
        <w:rPr>
          <w:rFonts w:cstheme="minorHAnsi"/>
        </w:rPr>
        <w:t xml:space="preserve"> </w:t>
      </w:r>
      <w:r w:rsidRPr="00A12B41">
        <w:rPr>
          <w:rFonts w:cstheme="minorHAnsi"/>
        </w:rPr>
        <w:t xml:space="preserve">was established to manage the </w:t>
      </w:r>
      <w:r w:rsidR="00981C43">
        <w:rPr>
          <w:rFonts w:cstheme="minorHAnsi"/>
        </w:rPr>
        <w:t>expenses</w:t>
      </w:r>
      <w:r w:rsidRPr="00A12B41">
        <w:rPr>
          <w:rFonts w:cstheme="minorHAnsi"/>
        </w:rPr>
        <w:t xml:space="preserve"> and cost-recovered revenue for the </w:t>
      </w:r>
      <w:r w:rsidRPr="00A12B41">
        <w:rPr>
          <w:rFonts w:ascii="Calibri" w:hAnsi="Calibri" w:cs="Calibri"/>
        </w:rPr>
        <w:t>department’s provision of:</w:t>
      </w:r>
    </w:p>
    <w:p w14:paraId="5A215E96" w14:textId="77777777" w:rsidR="00A12B41" w:rsidRPr="00A12B41" w:rsidRDefault="00A12B41" w:rsidP="00F81297">
      <w:pPr>
        <w:pStyle w:val="ListBullet"/>
      </w:pPr>
      <w:r w:rsidRPr="00A12B41">
        <w:t>biosecurity, inspection and certification services for passengers, cargo, mail, animals, plants, and animal or plant products arriving in Australia</w:t>
      </w:r>
    </w:p>
    <w:p w14:paraId="4D3685B8" w14:textId="77777777" w:rsidR="00A12B41" w:rsidRDefault="00A12B41" w:rsidP="00F81297">
      <w:pPr>
        <w:pStyle w:val="ListBullet"/>
      </w:pPr>
      <w:r w:rsidRPr="00A12B41">
        <w:t>agricultural products and food exported from Australia.</w:t>
      </w:r>
    </w:p>
    <w:p w14:paraId="492D4A62" w14:textId="77777777" w:rsidR="00596E5C" w:rsidRPr="000E3F18" w:rsidRDefault="00596E5C" w:rsidP="008F7418">
      <w:pPr>
        <w:pStyle w:val="Heading4"/>
        <w:rPr>
          <w:lang w:eastAsia="ja-JP"/>
        </w:rPr>
      </w:pPr>
      <w:bookmarkStart w:id="183" w:name="_Toc168489265"/>
      <w:bookmarkStart w:id="184" w:name="_Toc168489562"/>
      <w:bookmarkStart w:id="185" w:name="_Toc168645260"/>
      <w:r w:rsidRPr="000E3F18">
        <w:rPr>
          <w:lang w:eastAsia="ja-JP"/>
        </w:rPr>
        <w:t>Volume forecasts</w:t>
      </w:r>
      <w:bookmarkEnd w:id="183"/>
      <w:bookmarkEnd w:id="184"/>
      <w:bookmarkEnd w:id="185"/>
    </w:p>
    <w:p w14:paraId="698B5C27" w14:textId="3313C4F7" w:rsidR="00596E5C" w:rsidRPr="00596E5C" w:rsidRDefault="0058491F" w:rsidP="00596E5C">
      <w:pPr>
        <w:rPr>
          <w:rFonts w:cstheme="minorHAnsi"/>
        </w:rPr>
      </w:pPr>
      <w:r>
        <w:rPr>
          <w:rFonts w:cstheme="minorHAnsi"/>
        </w:rPr>
        <w:t>There is a high</w:t>
      </w:r>
      <w:r w:rsidR="00596E5C" w:rsidRPr="00596E5C">
        <w:rPr>
          <w:rFonts w:cstheme="minorHAnsi"/>
        </w:rPr>
        <w:t xml:space="preserve"> </w:t>
      </w:r>
      <w:r w:rsidRPr="00596E5C">
        <w:rPr>
          <w:rFonts w:cstheme="minorHAnsi"/>
        </w:rPr>
        <w:t>correlation</w:t>
      </w:r>
      <w:r>
        <w:rPr>
          <w:rFonts w:cstheme="minorHAnsi"/>
        </w:rPr>
        <w:t xml:space="preserve"> </w:t>
      </w:r>
      <w:r w:rsidR="00596E5C" w:rsidRPr="00596E5C">
        <w:rPr>
          <w:rFonts w:cstheme="minorHAnsi"/>
        </w:rPr>
        <w:t xml:space="preserve">between forecast costs and the </w:t>
      </w:r>
      <w:r w:rsidR="00472697">
        <w:rPr>
          <w:rFonts w:cstheme="minorHAnsi"/>
        </w:rPr>
        <w:t>volume</w:t>
      </w:r>
      <w:r w:rsidR="00596E5C" w:rsidRPr="00596E5C">
        <w:rPr>
          <w:rFonts w:cstheme="minorHAnsi"/>
        </w:rPr>
        <w:t xml:space="preserve"> of regulatory effort to deliver activities such as inspections, </w:t>
      </w:r>
      <w:r w:rsidR="00F81297">
        <w:rPr>
          <w:rFonts w:cstheme="minorHAnsi"/>
        </w:rPr>
        <w:t>audits</w:t>
      </w:r>
      <w:r w:rsidR="00596E5C" w:rsidRPr="00596E5C">
        <w:rPr>
          <w:rFonts w:cstheme="minorHAnsi"/>
        </w:rPr>
        <w:t xml:space="preserve">, </w:t>
      </w:r>
      <w:r w:rsidR="00F81297">
        <w:rPr>
          <w:rFonts w:cstheme="minorHAnsi"/>
        </w:rPr>
        <w:t xml:space="preserve">process </w:t>
      </w:r>
      <w:r w:rsidR="00596E5C" w:rsidRPr="00596E5C">
        <w:rPr>
          <w:rFonts w:cstheme="minorHAnsi"/>
        </w:rPr>
        <w:t xml:space="preserve">animal imports and </w:t>
      </w:r>
      <w:r w:rsidR="00F81297">
        <w:rPr>
          <w:rFonts w:cstheme="minorHAnsi"/>
        </w:rPr>
        <w:t xml:space="preserve">carry out </w:t>
      </w:r>
      <w:r w:rsidR="00596E5C" w:rsidRPr="00596E5C">
        <w:rPr>
          <w:rFonts w:cstheme="minorHAnsi"/>
        </w:rPr>
        <w:t>associated husbandry.</w:t>
      </w:r>
    </w:p>
    <w:p w14:paraId="225B3A1B" w14:textId="4C39F9B5" w:rsidR="00596E5C" w:rsidRDefault="00596E5C" w:rsidP="00E80730">
      <w:r w:rsidRPr="00BA0A85">
        <w:t xml:space="preserve">Volumes are derived from a combination of historical trends, current work programs for audit and compliance activities, information that might </w:t>
      </w:r>
      <w:r w:rsidR="00C10B18">
        <w:t>affect</w:t>
      </w:r>
      <w:r w:rsidRPr="00BA0A85">
        <w:t xml:space="preserve"> future activity such as economic impacts on consumer spending and</w:t>
      </w:r>
      <w:r w:rsidR="008E2352" w:rsidRPr="00BA0A85">
        <w:t>,</w:t>
      </w:r>
      <w:r w:rsidR="008E2352">
        <w:t xml:space="preserve"> </w:t>
      </w:r>
      <w:r w:rsidR="003C2304" w:rsidRPr="00BA0A85">
        <w:t>where appropriate</w:t>
      </w:r>
      <w:r w:rsidR="008E2352" w:rsidRPr="00BA0A85">
        <w:t>,</w:t>
      </w:r>
      <w:r w:rsidR="003C2304" w:rsidRPr="00BA0A85">
        <w:t xml:space="preserve"> </w:t>
      </w:r>
      <w:r w:rsidRPr="00BA0A85">
        <w:t xml:space="preserve">confirmation with industry such as </w:t>
      </w:r>
      <w:r w:rsidR="003C2304" w:rsidRPr="00BA0A85">
        <w:t xml:space="preserve">volumes of </w:t>
      </w:r>
      <w:r w:rsidRPr="00BA0A85">
        <w:t>horse imports.</w:t>
      </w:r>
    </w:p>
    <w:p w14:paraId="5D820B80" w14:textId="58BAD0EB" w:rsidR="00E80730" w:rsidRDefault="00E80730" w:rsidP="00E80730">
      <w:r w:rsidRPr="00E80730">
        <w:t>The volumes for regulatory activities in 2026–27 reflect growth on prior years for most activities, using the Australian Bureau of Statistics rise in GDP for the period October 2024 to October 2025. We</w:t>
      </w:r>
      <w:r w:rsidR="004E6247">
        <w:t> </w:t>
      </w:r>
      <w:r w:rsidRPr="00E80730">
        <w:t>also take into consideration the current Australian and global economy, interest rate trends, and predictions and inflationary impacts on consumers (ABS 2025).</w:t>
      </w:r>
      <w:bookmarkStart w:id="186" w:name="_Toc168489267"/>
      <w:bookmarkStart w:id="187" w:name="_Toc168489564"/>
      <w:bookmarkStart w:id="188" w:name="_Toc168645262"/>
    </w:p>
    <w:p w14:paraId="47427A02" w14:textId="0EF80FC7" w:rsidR="00405861" w:rsidRDefault="00405861" w:rsidP="00E80730">
      <w:pPr>
        <w:pStyle w:val="Heading3"/>
        <w:rPr>
          <w:lang w:eastAsia="ja-JP"/>
        </w:rPr>
      </w:pPr>
      <w:bookmarkStart w:id="189" w:name="_Toc233378707"/>
      <w:r w:rsidRPr="009C7C37">
        <w:rPr>
          <w:lang w:eastAsia="ja-JP"/>
        </w:rPr>
        <w:t>Financial performance</w:t>
      </w:r>
      <w:bookmarkEnd w:id="186"/>
      <w:bookmarkEnd w:id="187"/>
      <w:bookmarkEnd w:id="188"/>
      <w:bookmarkEnd w:id="189"/>
    </w:p>
    <w:p w14:paraId="74157928" w14:textId="4871377D" w:rsidR="003C2304" w:rsidRDefault="00405C3D" w:rsidP="003C2304">
      <w:pPr>
        <w:rPr>
          <w:lang w:eastAsia="ja-JP"/>
        </w:rPr>
      </w:pPr>
      <w:r w:rsidRPr="00405C3D">
        <w:rPr>
          <w:lang w:eastAsia="ja-JP"/>
        </w:rPr>
        <w:t xml:space="preserve">We consult with key industry stakeholders on financial performance indicators to assist in evaluating the performance of our regulatory charging arrangements. </w:t>
      </w:r>
      <w:r w:rsidR="00A917B2">
        <w:rPr>
          <w:lang w:eastAsia="ja-JP"/>
        </w:rPr>
        <w:fldChar w:fldCharType="begin"/>
      </w:r>
      <w:r w:rsidR="00A917B2">
        <w:rPr>
          <w:lang w:eastAsia="ja-JP"/>
        </w:rPr>
        <w:instrText xml:space="preserve"> REF _Ref193989323 \h </w:instrText>
      </w:r>
      <w:r w:rsidR="00A917B2">
        <w:rPr>
          <w:lang w:eastAsia="ja-JP"/>
        </w:rPr>
      </w:r>
      <w:r w:rsidR="00A917B2">
        <w:rPr>
          <w:lang w:eastAsia="ja-JP"/>
        </w:rPr>
        <w:fldChar w:fldCharType="separate"/>
      </w:r>
      <w:r w:rsidR="00E80730">
        <w:t xml:space="preserve">Table </w:t>
      </w:r>
      <w:r w:rsidR="00E80730">
        <w:rPr>
          <w:noProof/>
        </w:rPr>
        <w:t>11</w:t>
      </w:r>
      <w:r w:rsidR="00A917B2">
        <w:rPr>
          <w:lang w:eastAsia="ja-JP"/>
        </w:rPr>
        <w:fldChar w:fldCharType="end"/>
      </w:r>
      <w:r w:rsidR="00A917B2">
        <w:rPr>
          <w:lang w:eastAsia="ja-JP"/>
        </w:rPr>
        <w:t xml:space="preserve"> </w:t>
      </w:r>
      <w:r w:rsidRPr="00405C3D">
        <w:rPr>
          <w:lang w:eastAsia="ja-JP"/>
        </w:rPr>
        <w:t xml:space="preserve">includes financial performance of the arrangement since the </w:t>
      </w:r>
      <w:r w:rsidR="005547D5" w:rsidRPr="00405C3D">
        <w:rPr>
          <w:lang w:eastAsia="ja-JP"/>
        </w:rPr>
        <w:t>20</w:t>
      </w:r>
      <w:r w:rsidR="005547D5">
        <w:rPr>
          <w:lang w:eastAsia="ja-JP"/>
        </w:rPr>
        <w:t>21</w:t>
      </w:r>
      <w:r w:rsidRPr="00405C3D">
        <w:rPr>
          <w:lang w:eastAsia="ja-JP"/>
        </w:rPr>
        <w:t>–</w:t>
      </w:r>
      <w:r w:rsidR="005547D5" w:rsidRPr="00405C3D">
        <w:rPr>
          <w:lang w:eastAsia="ja-JP"/>
        </w:rPr>
        <w:t>2</w:t>
      </w:r>
      <w:r w:rsidR="005547D5">
        <w:rPr>
          <w:lang w:eastAsia="ja-JP"/>
        </w:rPr>
        <w:t>2</w:t>
      </w:r>
      <w:r w:rsidR="005547D5" w:rsidRPr="00405C3D">
        <w:rPr>
          <w:lang w:eastAsia="ja-JP"/>
        </w:rPr>
        <w:t xml:space="preserve"> </w:t>
      </w:r>
      <w:r w:rsidRPr="00405C3D">
        <w:rPr>
          <w:lang w:eastAsia="ja-JP"/>
        </w:rPr>
        <w:t>financial year</w:t>
      </w:r>
      <w:r>
        <w:rPr>
          <w:lang w:eastAsia="ja-JP"/>
        </w:rPr>
        <w:t>.</w:t>
      </w:r>
    </w:p>
    <w:p w14:paraId="0A27BA9A" w14:textId="0026B1CE" w:rsidR="00405C3D" w:rsidRDefault="00A917B2" w:rsidP="00A917B2">
      <w:pPr>
        <w:pStyle w:val="Caption"/>
        <w:rPr>
          <w:lang w:eastAsia="ja-JP"/>
        </w:rPr>
      </w:pPr>
      <w:bookmarkStart w:id="190" w:name="_Ref193989323"/>
      <w:bookmarkStart w:id="191" w:name="_Toc233378731"/>
      <w:r>
        <w:t xml:space="preserve">Table </w:t>
      </w:r>
      <w:fldSimple w:instr=" SEQ Table \* ARABIC ">
        <w:r w:rsidR="00202908">
          <w:rPr>
            <w:noProof/>
          </w:rPr>
          <w:t>11</w:t>
        </w:r>
      </w:fldSimple>
      <w:bookmarkEnd w:id="190"/>
      <w:r>
        <w:t xml:space="preserve"> Financial performance </w:t>
      </w:r>
      <w:r w:rsidR="00472697">
        <w:t>of the</w:t>
      </w:r>
      <w:r>
        <w:t xml:space="preserve"> biosecurity cost recovery arrangement, 202</w:t>
      </w:r>
      <w:r w:rsidR="00B9234D">
        <w:t>1</w:t>
      </w:r>
      <w:r>
        <w:t>–2</w:t>
      </w:r>
      <w:r w:rsidR="00B9234D">
        <w:t>2</w:t>
      </w:r>
      <w:r>
        <w:t xml:space="preserve"> to 202</w:t>
      </w:r>
      <w:r w:rsidR="00B9234D">
        <w:t>4</w:t>
      </w:r>
      <w:r>
        <w:t>–2</w:t>
      </w:r>
      <w:r w:rsidR="00B9234D">
        <w:t>5</w:t>
      </w:r>
      <w:bookmarkEnd w:id="191"/>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814"/>
        <w:gridCol w:w="1814"/>
        <w:gridCol w:w="1814"/>
        <w:gridCol w:w="1814"/>
        <w:gridCol w:w="1814"/>
      </w:tblGrid>
      <w:tr w:rsidR="009D73A2" w:rsidRPr="009D73A2" w14:paraId="2BE7F6D6" w14:textId="77777777" w:rsidTr="004124D1">
        <w:trPr>
          <w:cantSplit/>
          <w:tblHeader/>
        </w:trPr>
        <w:tc>
          <w:tcPr>
            <w:tcW w:w="1000" w:type="pct"/>
          </w:tcPr>
          <w:p w14:paraId="2BD8270C" w14:textId="77777777" w:rsidR="009D73A2" w:rsidRPr="004124D1" w:rsidRDefault="009D73A2" w:rsidP="008E2352">
            <w:pPr>
              <w:pStyle w:val="TableHeading"/>
            </w:pPr>
            <w:bookmarkStart w:id="192" w:name="Title_8"/>
            <w:bookmarkEnd w:id="192"/>
            <w:r w:rsidRPr="004124D1">
              <w:t>Finance element</w:t>
            </w:r>
          </w:p>
        </w:tc>
        <w:tc>
          <w:tcPr>
            <w:tcW w:w="1000" w:type="pct"/>
          </w:tcPr>
          <w:p w14:paraId="1E5EC00B" w14:textId="3768D769" w:rsidR="009D73A2" w:rsidRPr="004124D1" w:rsidRDefault="009D73A2" w:rsidP="008E2352">
            <w:pPr>
              <w:pStyle w:val="TableHeading"/>
              <w:jc w:val="right"/>
            </w:pPr>
            <w:r w:rsidRPr="004124D1">
              <w:t>202</w:t>
            </w:r>
            <w:r w:rsidR="002C5CAB">
              <w:t>1</w:t>
            </w:r>
            <w:r w:rsidRPr="004124D1">
              <w:t>–2</w:t>
            </w:r>
            <w:r w:rsidR="002C5CAB">
              <w:t>2</w:t>
            </w:r>
            <w:r w:rsidR="0036759C">
              <w:t xml:space="preserve"> </w:t>
            </w:r>
            <w:r w:rsidRPr="004124D1">
              <w:t>($)</w:t>
            </w:r>
          </w:p>
        </w:tc>
        <w:tc>
          <w:tcPr>
            <w:tcW w:w="1000" w:type="pct"/>
          </w:tcPr>
          <w:p w14:paraId="33FA20D1" w14:textId="4E9A7D81" w:rsidR="009D73A2" w:rsidRPr="004124D1" w:rsidRDefault="009D73A2" w:rsidP="008E2352">
            <w:pPr>
              <w:pStyle w:val="TableHeading"/>
              <w:jc w:val="right"/>
            </w:pPr>
            <w:r w:rsidRPr="004124D1">
              <w:t>202</w:t>
            </w:r>
            <w:r w:rsidR="002C5CAB">
              <w:t>2</w:t>
            </w:r>
            <w:r w:rsidR="00074964">
              <w:t>–</w:t>
            </w:r>
            <w:r w:rsidRPr="004124D1">
              <w:t>2</w:t>
            </w:r>
            <w:r w:rsidR="002C5CAB">
              <w:t>3</w:t>
            </w:r>
            <w:r w:rsidR="0036759C">
              <w:t xml:space="preserve"> </w:t>
            </w:r>
            <w:r w:rsidRPr="004124D1">
              <w:t>($)</w:t>
            </w:r>
          </w:p>
        </w:tc>
        <w:tc>
          <w:tcPr>
            <w:tcW w:w="1000" w:type="pct"/>
          </w:tcPr>
          <w:p w14:paraId="1DC9BBF5" w14:textId="41752B59" w:rsidR="009D73A2" w:rsidRPr="004124D1" w:rsidRDefault="009D73A2" w:rsidP="008E2352">
            <w:pPr>
              <w:pStyle w:val="TableHeading"/>
              <w:jc w:val="right"/>
            </w:pPr>
            <w:r w:rsidRPr="004124D1">
              <w:t>202</w:t>
            </w:r>
            <w:r w:rsidR="002C5CAB">
              <w:t>3</w:t>
            </w:r>
            <w:r w:rsidR="00074964">
              <w:t>–</w:t>
            </w:r>
            <w:r w:rsidRPr="004124D1">
              <w:t>2</w:t>
            </w:r>
            <w:r w:rsidR="002C5CAB">
              <w:t>4</w:t>
            </w:r>
            <w:r w:rsidR="0036759C">
              <w:t xml:space="preserve"> </w:t>
            </w:r>
            <w:r w:rsidRPr="004124D1">
              <w:t>($)</w:t>
            </w:r>
          </w:p>
        </w:tc>
        <w:tc>
          <w:tcPr>
            <w:tcW w:w="1000" w:type="pct"/>
          </w:tcPr>
          <w:p w14:paraId="5F3C6B29" w14:textId="510E75E5" w:rsidR="009D73A2" w:rsidRPr="004124D1" w:rsidRDefault="009D73A2" w:rsidP="008E2352">
            <w:pPr>
              <w:pStyle w:val="TableHeading"/>
              <w:jc w:val="right"/>
            </w:pPr>
            <w:r w:rsidRPr="004124D1">
              <w:t>202</w:t>
            </w:r>
            <w:r w:rsidR="00B9234D">
              <w:t>4</w:t>
            </w:r>
            <w:r w:rsidR="00074964">
              <w:t>–</w:t>
            </w:r>
            <w:r w:rsidRPr="004124D1">
              <w:t>2</w:t>
            </w:r>
            <w:r w:rsidR="00B9234D">
              <w:t>5</w:t>
            </w:r>
            <w:r w:rsidR="0036759C">
              <w:t xml:space="preserve"> </w:t>
            </w:r>
            <w:r w:rsidRPr="004124D1">
              <w:t>($)</w:t>
            </w:r>
          </w:p>
        </w:tc>
      </w:tr>
      <w:tr w:rsidR="002C5CAB" w:rsidRPr="009D73A2" w14:paraId="6C73E358" w14:textId="77777777" w:rsidTr="004124D1">
        <w:tc>
          <w:tcPr>
            <w:tcW w:w="1000" w:type="pct"/>
          </w:tcPr>
          <w:p w14:paraId="7CF53BA4" w14:textId="1F33ACB7" w:rsidR="002C5CAB" w:rsidRPr="009D73A2" w:rsidRDefault="002C5CAB" w:rsidP="002C5CAB">
            <w:pPr>
              <w:pStyle w:val="TableText"/>
              <w:rPr>
                <w:lang w:eastAsia="ja-JP"/>
              </w:rPr>
            </w:pPr>
            <w:r w:rsidRPr="00B66885">
              <w:t>Revenue = X</w:t>
            </w:r>
          </w:p>
        </w:tc>
        <w:tc>
          <w:tcPr>
            <w:tcW w:w="1000" w:type="pct"/>
          </w:tcPr>
          <w:p w14:paraId="66FE02DA" w14:textId="68B63890" w:rsidR="002C5CAB" w:rsidRPr="009D73A2" w:rsidRDefault="002C5CAB" w:rsidP="002C5CAB">
            <w:pPr>
              <w:pStyle w:val="TableText"/>
              <w:jc w:val="right"/>
              <w:rPr>
                <w:lang w:eastAsia="ja-JP"/>
              </w:rPr>
            </w:pPr>
            <w:r w:rsidRPr="00B66885">
              <w:t>2</w:t>
            </w:r>
            <w:r>
              <w:t>88,729,586</w:t>
            </w:r>
          </w:p>
        </w:tc>
        <w:tc>
          <w:tcPr>
            <w:tcW w:w="1000" w:type="pct"/>
          </w:tcPr>
          <w:p w14:paraId="39C06433" w14:textId="7E58673E" w:rsidR="002C5CAB" w:rsidRPr="009D73A2" w:rsidRDefault="002C5CAB" w:rsidP="002C5CAB">
            <w:pPr>
              <w:pStyle w:val="TableText"/>
              <w:jc w:val="right"/>
              <w:rPr>
                <w:lang w:eastAsia="ja-JP"/>
              </w:rPr>
            </w:pPr>
            <w:r w:rsidRPr="00B66885">
              <w:t>299,676,655</w:t>
            </w:r>
          </w:p>
        </w:tc>
        <w:tc>
          <w:tcPr>
            <w:tcW w:w="1000" w:type="pct"/>
          </w:tcPr>
          <w:p w14:paraId="24D0CDCC" w14:textId="1C5D0133" w:rsidR="002C5CAB" w:rsidRPr="009D73A2" w:rsidRDefault="002C5CAB" w:rsidP="002C5CAB">
            <w:pPr>
              <w:pStyle w:val="TableText"/>
              <w:jc w:val="right"/>
              <w:rPr>
                <w:lang w:eastAsia="ja-JP"/>
              </w:rPr>
            </w:pPr>
            <w:r w:rsidRPr="00B66885">
              <w:t>364</w:t>
            </w:r>
            <w:r>
              <w:t>,</w:t>
            </w:r>
            <w:r w:rsidRPr="00B66885">
              <w:t>983,026</w:t>
            </w:r>
          </w:p>
        </w:tc>
        <w:tc>
          <w:tcPr>
            <w:tcW w:w="1000" w:type="pct"/>
          </w:tcPr>
          <w:p w14:paraId="7973D9B5" w14:textId="00ECFD03" w:rsidR="002C5CAB" w:rsidRPr="009D73A2" w:rsidRDefault="00B9234D" w:rsidP="002C5CAB">
            <w:pPr>
              <w:pStyle w:val="TableText"/>
              <w:jc w:val="right"/>
              <w:rPr>
                <w:lang w:eastAsia="ja-JP"/>
              </w:rPr>
            </w:pPr>
            <w:r>
              <w:t>428,807,799</w:t>
            </w:r>
          </w:p>
        </w:tc>
      </w:tr>
      <w:tr w:rsidR="002C5CAB" w:rsidRPr="009D73A2" w14:paraId="040A773F" w14:textId="77777777" w:rsidTr="004124D1">
        <w:tc>
          <w:tcPr>
            <w:tcW w:w="1000" w:type="pct"/>
          </w:tcPr>
          <w:p w14:paraId="34E5AB11" w14:textId="403846E1" w:rsidR="002C5CAB" w:rsidRPr="009D73A2" w:rsidRDefault="002C5CAB" w:rsidP="002C5CAB">
            <w:pPr>
              <w:pStyle w:val="TableText"/>
              <w:rPr>
                <w:lang w:eastAsia="ja-JP"/>
              </w:rPr>
            </w:pPr>
            <w:r w:rsidRPr="00B66885">
              <w:t>Expenses = Y</w:t>
            </w:r>
          </w:p>
        </w:tc>
        <w:tc>
          <w:tcPr>
            <w:tcW w:w="1000" w:type="pct"/>
          </w:tcPr>
          <w:p w14:paraId="69E08E01" w14:textId="5EFED8A6" w:rsidR="002C5CAB" w:rsidRPr="009D73A2" w:rsidRDefault="002C5CAB" w:rsidP="002C5CAB">
            <w:pPr>
              <w:pStyle w:val="TableText"/>
              <w:jc w:val="right"/>
              <w:rPr>
                <w:lang w:eastAsia="ja-JP"/>
              </w:rPr>
            </w:pPr>
            <w:r>
              <w:t>308,868,350</w:t>
            </w:r>
          </w:p>
        </w:tc>
        <w:tc>
          <w:tcPr>
            <w:tcW w:w="1000" w:type="pct"/>
          </w:tcPr>
          <w:p w14:paraId="66B4AC9B" w14:textId="207DC277" w:rsidR="002C5CAB" w:rsidRPr="009D73A2" w:rsidRDefault="002C5CAB" w:rsidP="002C5CAB">
            <w:pPr>
              <w:pStyle w:val="TableText"/>
              <w:jc w:val="right"/>
              <w:rPr>
                <w:lang w:eastAsia="ja-JP"/>
              </w:rPr>
            </w:pPr>
            <w:r w:rsidRPr="00B66885">
              <w:t>335,316,035</w:t>
            </w:r>
          </w:p>
        </w:tc>
        <w:tc>
          <w:tcPr>
            <w:tcW w:w="1000" w:type="pct"/>
          </w:tcPr>
          <w:p w14:paraId="3C4E93E5" w14:textId="3703C09E" w:rsidR="002C5CAB" w:rsidRPr="009D73A2" w:rsidRDefault="002C5CAB" w:rsidP="002C5CAB">
            <w:pPr>
              <w:pStyle w:val="TableText"/>
              <w:jc w:val="right"/>
              <w:rPr>
                <w:lang w:eastAsia="ja-JP"/>
              </w:rPr>
            </w:pPr>
            <w:r w:rsidRPr="00B66885">
              <w:t>351,165,448</w:t>
            </w:r>
          </w:p>
        </w:tc>
        <w:tc>
          <w:tcPr>
            <w:tcW w:w="1000" w:type="pct"/>
          </w:tcPr>
          <w:p w14:paraId="2D8C8D03" w14:textId="28F645A3" w:rsidR="002C5CAB" w:rsidRPr="009D73A2" w:rsidRDefault="00B9234D" w:rsidP="002C5CAB">
            <w:pPr>
              <w:pStyle w:val="TableText"/>
              <w:jc w:val="right"/>
              <w:rPr>
                <w:lang w:eastAsia="ja-JP"/>
              </w:rPr>
            </w:pPr>
            <w:r>
              <w:t>408,259,389</w:t>
            </w:r>
          </w:p>
        </w:tc>
      </w:tr>
      <w:tr w:rsidR="002C5CAB" w:rsidRPr="009D73A2" w14:paraId="1E6E5E37" w14:textId="77777777" w:rsidTr="004124D1">
        <w:tc>
          <w:tcPr>
            <w:tcW w:w="1000" w:type="pct"/>
          </w:tcPr>
          <w:p w14:paraId="208D667C" w14:textId="6FB47EA8" w:rsidR="002C5CAB" w:rsidRPr="00405C3D" w:rsidRDefault="002C5CAB" w:rsidP="002C5CAB">
            <w:pPr>
              <w:pStyle w:val="TableText"/>
              <w:rPr>
                <w:rStyle w:val="Strong"/>
              </w:rPr>
            </w:pPr>
            <w:r w:rsidRPr="00405C3D">
              <w:rPr>
                <w:rStyle w:val="Strong"/>
              </w:rPr>
              <w:t>Balance = X</w:t>
            </w:r>
            <w:r>
              <w:rPr>
                <w:rStyle w:val="Strong"/>
              </w:rPr>
              <w:t xml:space="preserve"> </w:t>
            </w:r>
            <w:r>
              <w:rPr>
                <w:rStyle w:val="Strong"/>
                <w:rFonts w:cstheme="minorHAnsi"/>
              </w:rPr>
              <w:t xml:space="preserve">− </w:t>
            </w:r>
            <w:r w:rsidRPr="00405C3D">
              <w:rPr>
                <w:rStyle w:val="Strong"/>
              </w:rPr>
              <w:t>Y</w:t>
            </w:r>
          </w:p>
        </w:tc>
        <w:tc>
          <w:tcPr>
            <w:tcW w:w="1000" w:type="pct"/>
          </w:tcPr>
          <w:p w14:paraId="6BA1582B" w14:textId="4C1CB661" w:rsidR="002C5CAB" w:rsidRPr="00405C3D" w:rsidRDefault="004E6247" w:rsidP="002C5CAB">
            <w:pPr>
              <w:pStyle w:val="TableText"/>
              <w:jc w:val="right"/>
              <w:rPr>
                <w:rStyle w:val="Strong"/>
              </w:rPr>
            </w:pPr>
            <w:r>
              <w:rPr>
                <w:rStyle w:val="Strong"/>
              </w:rPr>
              <w:t>−</w:t>
            </w:r>
            <w:r w:rsidR="002C5CAB">
              <w:rPr>
                <w:rStyle w:val="Strong"/>
              </w:rPr>
              <w:t>20,138,764</w:t>
            </w:r>
          </w:p>
        </w:tc>
        <w:tc>
          <w:tcPr>
            <w:tcW w:w="1000" w:type="pct"/>
          </w:tcPr>
          <w:p w14:paraId="27C06182" w14:textId="139A1C56" w:rsidR="002C5CAB" w:rsidRPr="00405C3D" w:rsidRDefault="002C5CAB" w:rsidP="002C5CAB">
            <w:pPr>
              <w:pStyle w:val="TableText"/>
              <w:jc w:val="right"/>
              <w:rPr>
                <w:rStyle w:val="Strong"/>
              </w:rPr>
            </w:pPr>
            <w:r>
              <w:rPr>
                <w:rStyle w:val="Strong"/>
                <w:rFonts w:cstheme="minorHAnsi"/>
              </w:rPr>
              <w:t>−</w:t>
            </w:r>
            <w:r w:rsidRPr="00405C3D">
              <w:rPr>
                <w:rStyle w:val="Strong"/>
              </w:rPr>
              <w:t>35,639,380</w:t>
            </w:r>
          </w:p>
        </w:tc>
        <w:tc>
          <w:tcPr>
            <w:tcW w:w="1000" w:type="pct"/>
          </w:tcPr>
          <w:p w14:paraId="1A6983AF" w14:textId="260144FE" w:rsidR="002C5CAB" w:rsidRPr="00405C3D" w:rsidRDefault="002C5CAB" w:rsidP="002C5CAB">
            <w:pPr>
              <w:pStyle w:val="TableText"/>
              <w:jc w:val="right"/>
              <w:rPr>
                <w:rStyle w:val="Strong"/>
              </w:rPr>
            </w:pPr>
            <w:r w:rsidRPr="00405C3D">
              <w:rPr>
                <w:rStyle w:val="Strong"/>
              </w:rPr>
              <w:t>13,817,578</w:t>
            </w:r>
          </w:p>
        </w:tc>
        <w:tc>
          <w:tcPr>
            <w:tcW w:w="1000" w:type="pct"/>
          </w:tcPr>
          <w:p w14:paraId="5CED80AD" w14:textId="5CC871E0" w:rsidR="002C5CAB" w:rsidRPr="00405C3D" w:rsidRDefault="00B9234D" w:rsidP="002C5CAB">
            <w:pPr>
              <w:pStyle w:val="TableText"/>
              <w:jc w:val="right"/>
              <w:rPr>
                <w:rStyle w:val="Strong"/>
              </w:rPr>
            </w:pPr>
            <w:r>
              <w:rPr>
                <w:rStyle w:val="Strong"/>
              </w:rPr>
              <w:t>20,548,409</w:t>
            </w:r>
          </w:p>
        </w:tc>
      </w:tr>
      <w:tr w:rsidR="002C5CAB" w:rsidRPr="009D73A2" w14:paraId="2EEA9FEF" w14:textId="77777777" w:rsidTr="004124D1">
        <w:tc>
          <w:tcPr>
            <w:tcW w:w="1000" w:type="pct"/>
          </w:tcPr>
          <w:p w14:paraId="0B213701" w14:textId="71E8D150" w:rsidR="002C5CAB" w:rsidRPr="00405C3D" w:rsidRDefault="002C5CAB" w:rsidP="002C5CAB">
            <w:pPr>
              <w:pStyle w:val="TableText"/>
              <w:rPr>
                <w:rStyle w:val="Strong"/>
              </w:rPr>
            </w:pPr>
            <w:r w:rsidRPr="00405C3D">
              <w:rPr>
                <w:rStyle w:val="Strong"/>
              </w:rPr>
              <w:t>Accumulated results</w:t>
            </w:r>
          </w:p>
        </w:tc>
        <w:tc>
          <w:tcPr>
            <w:tcW w:w="1000" w:type="pct"/>
          </w:tcPr>
          <w:p w14:paraId="1447DEBC" w14:textId="5CE7A050" w:rsidR="002C5CAB" w:rsidRPr="00405C3D" w:rsidRDefault="002C5CAB" w:rsidP="002C5CAB">
            <w:pPr>
              <w:pStyle w:val="TableText"/>
              <w:jc w:val="right"/>
              <w:rPr>
                <w:rStyle w:val="Strong"/>
              </w:rPr>
            </w:pPr>
            <w:r>
              <w:rPr>
                <w:rStyle w:val="Strong"/>
              </w:rPr>
              <w:t>14,940,769</w:t>
            </w:r>
          </w:p>
        </w:tc>
        <w:tc>
          <w:tcPr>
            <w:tcW w:w="1000" w:type="pct"/>
          </w:tcPr>
          <w:p w14:paraId="24387CB5" w14:textId="1A3DBF33" w:rsidR="002C5CAB" w:rsidRPr="00405C3D" w:rsidRDefault="002C5CAB" w:rsidP="002C5CAB">
            <w:pPr>
              <w:pStyle w:val="TableText"/>
              <w:jc w:val="right"/>
              <w:rPr>
                <w:rStyle w:val="Strong"/>
              </w:rPr>
            </w:pPr>
            <w:r>
              <w:rPr>
                <w:rStyle w:val="Strong"/>
                <w:rFonts w:cstheme="minorHAnsi"/>
              </w:rPr>
              <w:t>−</w:t>
            </w:r>
            <w:r w:rsidRPr="00405C3D">
              <w:rPr>
                <w:rStyle w:val="Strong"/>
              </w:rPr>
              <w:t>20,698,611</w:t>
            </w:r>
          </w:p>
        </w:tc>
        <w:tc>
          <w:tcPr>
            <w:tcW w:w="1000" w:type="pct"/>
          </w:tcPr>
          <w:p w14:paraId="2614FE40" w14:textId="19C084B7" w:rsidR="002C5CAB" w:rsidRPr="00405C3D" w:rsidRDefault="002C5CAB" w:rsidP="002C5CAB">
            <w:pPr>
              <w:pStyle w:val="TableText"/>
              <w:jc w:val="right"/>
              <w:rPr>
                <w:rStyle w:val="Strong"/>
              </w:rPr>
            </w:pPr>
            <w:r>
              <w:rPr>
                <w:rStyle w:val="Strong"/>
                <w:rFonts w:cstheme="minorHAnsi"/>
              </w:rPr>
              <w:t>−</w:t>
            </w:r>
            <w:r w:rsidRPr="00405C3D">
              <w:rPr>
                <w:rStyle w:val="Strong"/>
              </w:rPr>
              <w:t>6,881,033</w:t>
            </w:r>
          </w:p>
        </w:tc>
        <w:tc>
          <w:tcPr>
            <w:tcW w:w="1000" w:type="pct"/>
          </w:tcPr>
          <w:p w14:paraId="0E6AB691" w14:textId="0E030C8A" w:rsidR="002C5CAB" w:rsidRPr="00405C3D" w:rsidRDefault="00B9234D" w:rsidP="002C5CAB">
            <w:pPr>
              <w:pStyle w:val="TableText"/>
              <w:jc w:val="right"/>
              <w:rPr>
                <w:rStyle w:val="Strong"/>
              </w:rPr>
            </w:pPr>
            <w:r>
              <w:rPr>
                <w:rStyle w:val="Strong"/>
                <w:rFonts w:cstheme="minorHAnsi"/>
              </w:rPr>
              <w:t>13,667,376</w:t>
            </w:r>
          </w:p>
        </w:tc>
      </w:tr>
    </w:tbl>
    <w:p w14:paraId="623EA38D" w14:textId="77777777" w:rsidR="00C04B9E" w:rsidRPr="00C04B9E" w:rsidRDefault="00C04B9E" w:rsidP="00647DC7">
      <w:pPr>
        <w:pStyle w:val="Heading2"/>
      </w:pPr>
      <w:bookmarkStart w:id="193" w:name="_Toc233378708"/>
      <w:r w:rsidRPr="00C04B9E">
        <w:lastRenderedPageBreak/>
        <w:t>Non-financial performance</w:t>
      </w:r>
      <w:bookmarkEnd w:id="193"/>
    </w:p>
    <w:p w14:paraId="1815513C" w14:textId="17AC5C50" w:rsidR="00C04B9E" w:rsidRPr="00C04B9E" w:rsidRDefault="00C04B9E" w:rsidP="00C04B9E">
      <w:pPr>
        <w:rPr>
          <w:rFonts w:cstheme="minorHAnsi"/>
        </w:rPr>
      </w:pPr>
      <w:r w:rsidRPr="00C04B9E">
        <w:rPr>
          <w:rFonts w:cstheme="minorHAnsi"/>
        </w:rPr>
        <w:t xml:space="preserve">Our </w:t>
      </w:r>
      <w:r w:rsidR="00202908" w:rsidRPr="0086351A">
        <w:rPr>
          <w:rStyle w:val="Emphasis"/>
          <w:i w:val="0"/>
          <w:iCs w:val="0"/>
        </w:rPr>
        <w:t>annual</w:t>
      </w:r>
      <w:r w:rsidRPr="0086351A">
        <w:rPr>
          <w:rStyle w:val="Emphasis"/>
          <w:i w:val="0"/>
          <w:iCs w:val="0"/>
        </w:rPr>
        <w:t xml:space="preserve"> </w:t>
      </w:r>
      <w:r w:rsidR="00892619" w:rsidRPr="0086351A">
        <w:rPr>
          <w:rStyle w:val="Emphasis"/>
          <w:i w:val="0"/>
          <w:iCs w:val="0"/>
        </w:rPr>
        <w:t>r</w:t>
      </w:r>
      <w:r w:rsidRPr="0086351A">
        <w:rPr>
          <w:rStyle w:val="Emphasis"/>
          <w:i w:val="0"/>
          <w:iCs w:val="0"/>
        </w:rPr>
        <w:t xml:space="preserve">eport </w:t>
      </w:r>
      <w:r w:rsidR="007D0D56" w:rsidRPr="0086351A">
        <w:rPr>
          <w:rStyle w:val="Emphasis"/>
          <w:i w:val="0"/>
          <w:iCs w:val="0"/>
        </w:rPr>
        <w:t>2024</w:t>
      </w:r>
      <w:r w:rsidR="00074964">
        <w:rPr>
          <w:rStyle w:val="Emphasis"/>
          <w:i w:val="0"/>
          <w:iCs w:val="0"/>
        </w:rPr>
        <w:t>–</w:t>
      </w:r>
      <w:r w:rsidR="007D0D56" w:rsidRPr="0086351A">
        <w:rPr>
          <w:rStyle w:val="Emphasis"/>
          <w:i w:val="0"/>
          <w:iCs w:val="0"/>
        </w:rPr>
        <w:t>25</w:t>
      </w:r>
      <w:r w:rsidR="00BD0B2F">
        <w:rPr>
          <w:rFonts w:cstheme="minorHAnsi"/>
        </w:rPr>
        <w:t xml:space="preserve"> </w:t>
      </w:r>
      <w:r w:rsidRPr="00C04B9E">
        <w:rPr>
          <w:rFonts w:cstheme="minorHAnsi"/>
        </w:rPr>
        <w:t xml:space="preserve">provides comprehensive information on performance measures and performance results. It is not intended to duplicate the information in this document but rather to draw attention to the key objectives relevant to </w:t>
      </w:r>
      <w:r w:rsidR="00472697">
        <w:rPr>
          <w:rFonts w:cstheme="minorHAnsi"/>
        </w:rPr>
        <w:t xml:space="preserve">managing </w:t>
      </w:r>
      <w:r w:rsidRPr="00C04B9E">
        <w:rPr>
          <w:rFonts w:cstheme="minorHAnsi"/>
        </w:rPr>
        <w:t>biosecurity</w:t>
      </w:r>
      <w:r w:rsidR="00472697">
        <w:rPr>
          <w:rFonts w:cstheme="minorHAnsi"/>
        </w:rPr>
        <w:t xml:space="preserve"> risk</w:t>
      </w:r>
      <w:r w:rsidRPr="00C04B9E">
        <w:rPr>
          <w:rFonts w:cstheme="minorHAnsi"/>
        </w:rPr>
        <w:t>.</w:t>
      </w:r>
    </w:p>
    <w:p w14:paraId="04DA2BB0" w14:textId="048D7BE9" w:rsidR="00C04B9E" w:rsidRPr="00C04B9E" w:rsidRDefault="00C04B9E" w:rsidP="00C04B9E">
      <w:pPr>
        <w:rPr>
          <w:rFonts w:cstheme="minorHAnsi"/>
        </w:rPr>
      </w:pPr>
      <w:r w:rsidRPr="00C04B9E">
        <w:rPr>
          <w:rFonts w:cstheme="minorHAnsi"/>
        </w:rPr>
        <w:t xml:space="preserve">Our biosecurity objective is </w:t>
      </w:r>
      <w:r w:rsidRPr="00C04B9E">
        <w:t xml:space="preserve">to ‘strengthen our national biosecurity system to provide an appropriate level of protection to Australia’s people, our environment and economy from the biosecurity threats of today and </w:t>
      </w:r>
      <w:r w:rsidRPr="004E6247">
        <w:t>tomorrow</w:t>
      </w:r>
      <w:r w:rsidR="00A530EE" w:rsidRPr="004E6247">
        <w:t>’</w:t>
      </w:r>
      <w:r w:rsidR="002110C0" w:rsidRPr="004E6247">
        <w:t>.</w:t>
      </w:r>
    </w:p>
    <w:p w14:paraId="40CABDF4" w14:textId="69B2C2FF" w:rsidR="00C04B9E" w:rsidRDefault="004D6AD1" w:rsidP="00C04B9E">
      <w:pPr>
        <w:rPr>
          <w:rFonts w:cstheme="minorHAnsi"/>
          <w:color w:val="165788"/>
          <w:u w:val="single"/>
        </w:rPr>
      </w:pPr>
      <w:r>
        <w:rPr>
          <w:rFonts w:cstheme="minorHAnsi"/>
          <w:highlight w:val="green"/>
        </w:rPr>
        <w:fldChar w:fldCharType="begin"/>
      </w:r>
      <w:r>
        <w:rPr>
          <w:rFonts w:cstheme="minorHAnsi"/>
        </w:rPr>
        <w:instrText xml:space="preserve"> REF _Ref193970000 \h </w:instrText>
      </w:r>
      <w:r>
        <w:rPr>
          <w:rFonts w:cstheme="minorHAnsi"/>
          <w:highlight w:val="green"/>
        </w:rPr>
      </w:r>
      <w:r>
        <w:rPr>
          <w:rFonts w:cstheme="minorHAnsi"/>
          <w:highlight w:val="green"/>
        </w:rPr>
        <w:fldChar w:fldCharType="separate"/>
      </w:r>
      <w:r w:rsidR="00505B0B">
        <w:t xml:space="preserve">Table </w:t>
      </w:r>
      <w:r w:rsidR="00505B0B">
        <w:rPr>
          <w:noProof/>
        </w:rPr>
        <w:t>9</w:t>
      </w:r>
      <w:r>
        <w:rPr>
          <w:rFonts w:cstheme="minorHAnsi"/>
          <w:highlight w:val="green"/>
        </w:rPr>
        <w:fldChar w:fldCharType="end"/>
      </w:r>
      <w:r w:rsidR="00C04B9E" w:rsidRPr="00C04B9E">
        <w:rPr>
          <w:rFonts w:cstheme="minorHAnsi"/>
        </w:rPr>
        <w:t xml:space="preserve"> provides non-financial performance indicators for the biosecurity regulatory charging arrangement, consistent with the </w:t>
      </w:r>
      <w:hyperlink r:id="rId52" w:history="1">
        <w:r w:rsidR="00C04B9E" w:rsidRPr="00C04B9E">
          <w:rPr>
            <w:rFonts w:cstheme="minorHAnsi"/>
            <w:color w:val="165788"/>
            <w:u w:val="single"/>
          </w:rPr>
          <w:t>Commonwealth Performance Framework</w:t>
        </w:r>
      </w:hyperlink>
      <w:r w:rsidR="00C04B9E" w:rsidRPr="00C04B9E">
        <w:rPr>
          <w:rFonts w:cstheme="minorHAnsi"/>
        </w:rPr>
        <w:t xml:space="preserve">. Additional detail on non-performance measures is included in the </w:t>
      </w:r>
      <w:hyperlink r:id="rId53" w:history="1">
        <w:r w:rsidR="00A530EE" w:rsidRPr="004E6247">
          <w:rPr>
            <w:rFonts w:cstheme="minorHAnsi"/>
            <w:color w:val="165788"/>
            <w:u w:val="single"/>
          </w:rPr>
          <w:t>a</w:t>
        </w:r>
        <w:r w:rsidR="00C04B9E" w:rsidRPr="004E6247">
          <w:rPr>
            <w:rFonts w:cstheme="minorHAnsi"/>
            <w:color w:val="165788"/>
            <w:u w:val="single"/>
          </w:rPr>
          <w:t>nnual report</w:t>
        </w:r>
      </w:hyperlink>
      <w:r w:rsidR="00C04B9E" w:rsidRPr="004E6247">
        <w:rPr>
          <w:rFonts w:cstheme="minorHAnsi"/>
        </w:rPr>
        <w:t xml:space="preserve"> and </w:t>
      </w:r>
      <w:hyperlink r:id="rId54" w:history="1">
        <w:r w:rsidR="00A530EE" w:rsidRPr="004E6247">
          <w:rPr>
            <w:rFonts w:cstheme="minorHAnsi"/>
            <w:color w:val="165788"/>
            <w:u w:val="single"/>
          </w:rPr>
          <w:t>c</w:t>
        </w:r>
        <w:r w:rsidR="00FD0AC1" w:rsidRPr="004E6247">
          <w:rPr>
            <w:rFonts w:cstheme="minorHAnsi"/>
            <w:color w:val="165788"/>
            <w:u w:val="single"/>
          </w:rPr>
          <w:t xml:space="preserve">orporate </w:t>
        </w:r>
        <w:r w:rsidR="00A530EE" w:rsidRPr="004E6247">
          <w:rPr>
            <w:rFonts w:cstheme="minorHAnsi"/>
            <w:color w:val="165788"/>
            <w:u w:val="single"/>
          </w:rPr>
          <w:t>p</w:t>
        </w:r>
        <w:r w:rsidR="00FD0AC1" w:rsidRPr="004E6247">
          <w:rPr>
            <w:rFonts w:cstheme="minorHAnsi"/>
            <w:color w:val="165788"/>
            <w:u w:val="single"/>
          </w:rPr>
          <w:t>lan</w:t>
        </w:r>
      </w:hyperlink>
      <w:r w:rsidR="00C04B9E" w:rsidRPr="001D3FAB">
        <w:t>.</w:t>
      </w:r>
    </w:p>
    <w:p w14:paraId="1DE8F1AC" w14:textId="40DE8545" w:rsidR="00ED64DF" w:rsidRPr="00C04B9E" w:rsidRDefault="00ED64DF" w:rsidP="00ED64DF">
      <w:pPr>
        <w:pStyle w:val="Caption"/>
        <w:rPr>
          <w:rFonts w:cstheme="minorHAnsi"/>
        </w:rPr>
      </w:pPr>
      <w:bookmarkStart w:id="194" w:name="_Ref193970000"/>
      <w:bookmarkStart w:id="195" w:name="_Toc233378732"/>
      <w:r>
        <w:t xml:space="preserve">Table </w:t>
      </w:r>
      <w:fldSimple w:instr=" SEQ Table \* ARABIC ">
        <w:r w:rsidR="00505B0B">
          <w:rPr>
            <w:noProof/>
          </w:rPr>
          <w:t>9</w:t>
        </w:r>
      </w:fldSimple>
      <w:bookmarkEnd w:id="194"/>
      <w:r>
        <w:t xml:space="preserve"> </w:t>
      </w:r>
      <w:proofErr w:type="gramStart"/>
      <w:r w:rsidRPr="00713E88">
        <w:t>Non-financial</w:t>
      </w:r>
      <w:proofErr w:type="gramEnd"/>
      <w:r w:rsidRPr="00713E88">
        <w:t xml:space="preserve"> performance measures for biosecurity arrangement, </w:t>
      </w:r>
      <w:r w:rsidR="009234D9" w:rsidRPr="00713E88">
        <w:t>202</w:t>
      </w:r>
      <w:r w:rsidR="009234D9">
        <w:t>4</w:t>
      </w:r>
      <w:r w:rsidR="008E2352">
        <w:t>–</w:t>
      </w:r>
      <w:r w:rsidR="009234D9" w:rsidRPr="00713E88">
        <w:t>2</w:t>
      </w:r>
      <w:r w:rsidR="009234D9">
        <w:t>5</w:t>
      </w:r>
      <w:bookmarkEnd w:id="195"/>
    </w:p>
    <w:tbl>
      <w:tblPr>
        <w:tblStyle w:val="ABAREStableleftalign"/>
        <w:tblW w:w="4991" w:type="pct"/>
        <w:tblCellMar>
          <w:left w:w="40" w:type="dxa"/>
          <w:right w:w="40" w:type="dxa"/>
        </w:tblCellMar>
        <w:tblLook w:val="04A0" w:firstRow="1" w:lastRow="0" w:firstColumn="1" w:lastColumn="0" w:noHBand="0" w:noVBand="1"/>
      </w:tblPr>
      <w:tblGrid>
        <w:gridCol w:w="1984"/>
        <w:gridCol w:w="5103"/>
        <w:gridCol w:w="1967"/>
      </w:tblGrid>
      <w:tr w:rsidR="00F83258" w:rsidRPr="00E66900" w14:paraId="246EAE2E" w14:textId="77777777" w:rsidTr="00986BB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08D097D9" w14:textId="181E31A7" w:rsidR="00F83258" w:rsidRPr="001D3FAB" w:rsidRDefault="00F83258" w:rsidP="001D3FAB">
            <w:pPr>
              <w:pStyle w:val="TableHeading"/>
              <w:rPr>
                <w:rStyle w:val="Strong"/>
                <w:b/>
                <w:bCs w:val="0"/>
              </w:rPr>
            </w:pPr>
            <w:bookmarkStart w:id="196" w:name="Table_9"/>
            <w:bookmarkEnd w:id="196"/>
            <w:r w:rsidRPr="00FD0AC1">
              <w:rPr>
                <w:rStyle w:val="Strong"/>
                <w:b/>
                <w:bCs w:val="0"/>
              </w:rPr>
              <w:t xml:space="preserve">Performance </w:t>
            </w:r>
            <w:r w:rsidR="0080648B" w:rsidRPr="00FD0AC1">
              <w:rPr>
                <w:rStyle w:val="Strong"/>
                <w:b/>
                <w:bCs w:val="0"/>
              </w:rPr>
              <w:t>measure</w:t>
            </w:r>
          </w:p>
        </w:tc>
        <w:tc>
          <w:tcPr>
            <w:tcW w:w="2818" w:type="pct"/>
            <w:tcBorders>
              <w:top w:val="single" w:sz="4" w:space="0" w:color="auto"/>
              <w:bottom w:val="single" w:sz="4" w:space="0" w:color="auto"/>
            </w:tcBorders>
            <w:tcMar>
              <w:left w:w="108" w:type="dxa"/>
              <w:right w:w="108" w:type="dxa"/>
            </w:tcMar>
          </w:tcPr>
          <w:p w14:paraId="455E0778" w14:textId="14F22D44" w:rsidR="00F83258" w:rsidRPr="00FD0AC1" w:rsidRDefault="0020383C" w:rsidP="001D3FAB">
            <w:pPr>
              <w:pStyle w:val="TableHeading"/>
              <w:cnfStyle w:val="100000000000" w:firstRow="1" w:lastRow="0" w:firstColumn="0" w:lastColumn="0" w:oddVBand="0" w:evenVBand="0" w:oddHBand="0" w:evenHBand="0" w:firstRowFirstColumn="0" w:firstRowLastColumn="0" w:lastRowFirstColumn="0" w:lastRowLastColumn="0"/>
              <w:rPr>
                <w:rStyle w:val="Strong"/>
                <w:bCs w:val="0"/>
              </w:rPr>
            </w:pPr>
            <w:r w:rsidRPr="00FD0AC1">
              <w:rPr>
                <w:rStyle w:val="Strong"/>
                <w:b/>
                <w:bCs w:val="0"/>
              </w:rPr>
              <w:t>Measure description</w:t>
            </w:r>
          </w:p>
        </w:tc>
        <w:tc>
          <w:tcPr>
            <w:tcW w:w="1086" w:type="pct"/>
            <w:tcBorders>
              <w:top w:val="single" w:sz="4" w:space="0" w:color="auto"/>
              <w:bottom w:val="single" w:sz="4" w:space="0" w:color="auto"/>
            </w:tcBorders>
            <w:tcMar>
              <w:left w:w="108" w:type="dxa"/>
              <w:right w:w="108" w:type="dxa"/>
            </w:tcMar>
          </w:tcPr>
          <w:p w14:paraId="435163CE" w14:textId="1F4B133A" w:rsidR="00F83258" w:rsidRPr="00FD0AC1" w:rsidRDefault="009234D9" w:rsidP="00FD0AC1">
            <w:pPr>
              <w:pStyle w:val="TableHeading"/>
              <w:cnfStyle w:val="100000000000" w:firstRow="1" w:lastRow="0" w:firstColumn="0" w:lastColumn="0" w:oddVBand="0" w:evenVBand="0" w:oddHBand="0" w:evenHBand="0" w:firstRowFirstColumn="0" w:firstRowLastColumn="0" w:lastRowFirstColumn="0" w:lastRowLastColumn="0"/>
              <w:rPr>
                <w:rStyle w:val="Strong"/>
                <w:b/>
                <w:bCs w:val="0"/>
              </w:rPr>
            </w:pPr>
            <w:r w:rsidRPr="00FD0AC1">
              <w:rPr>
                <w:rStyle w:val="Strong"/>
                <w:b/>
                <w:bCs w:val="0"/>
              </w:rPr>
              <w:t>202</w:t>
            </w:r>
            <w:r>
              <w:rPr>
                <w:rStyle w:val="Strong"/>
                <w:b/>
                <w:bCs w:val="0"/>
              </w:rPr>
              <w:t>4</w:t>
            </w:r>
            <w:r w:rsidR="00F83258" w:rsidRPr="00FD0AC1">
              <w:rPr>
                <w:rStyle w:val="Strong"/>
                <w:b/>
                <w:bCs w:val="0"/>
              </w:rPr>
              <w:t>–</w:t>
            </w:r>
            <w:r w:rsidRPr="00FD0AC1">
              <w:rPr>
                <w:rStyle w:val="Strong"/>
                <w:b/>
                <w:bCs w:val="0"/>
              </w:rPr>
              <w:t>2</w:t>
            </w:r>
            <w:r>
              <w:rPr>
                <w:rStyle w:val="Strong"/>
                <w:b/>
                <w:bCs w:val="0"/>
              </w:rPr>
              <w:t>5</w:t>
            </w:r>
            <w:r w:rsidRPr="00FD0AC1">
              <w:rPr>
                <w:rStyle w:val="Strong"/>
                <w:b/>
                <w:bCs w:val="0"/>
              </w:rPr>
              <w:t xml:space="preserve"> </w:t>
            </w:r>
            <w:r w:rsidR="00F83258" w:rsidRPr="00FD0AC1">
              <w:rPr>
                <w:rStyle w:val="Strong"/>
                <w:b/>
                <w:bCs w:val="0"/>
              </w:rPr>
              <w:t>performance</w:t>
            </w:r>
          </w:p>
        </w:tc>
      </w:tr>
      <w:tr w:rsidR="00FE5B62" w:rsidRPr="00E66900" w14:paraId="469C7CA3"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tcBorders>
            <w:tcMar>
              <w:left w:w="108" w:type="dxa"/>
              <w:right w:w="108" w:type="dxa"/>
            </w:tcMar>
          </w:tcPr>
          <w:p w14:paraId="7A4EB66F" w14:textId="4BC07FA2" w:rsidR="00FE5B62" w:rsidRPr="001B47A7" w:rsidRDefault="00FE5B62" w:rsidP="001B47A7">
            <w:pPr>
              <w:pStyle w:val="TableText"/>
            </w:pPr>
            <w:r w:rsidRPr="001B47A7">
              <w:t>BI-01</w:t>
            </w:r>
          </w:p>
        </w:tc>
        <w:tc>
          <w:tcPr>
            <w:tcW w:w="2818" w:type="pct"/>
            <w:tcBorders>
              <w:top w:val="single" w:sz="4" w:space="0" w:color="auto"/>
              <w:bottom w:val="single" w:sz="4" w:space="0" w:color="auto"/>
            </w:tcBorders>
            <w:tcMar>
              <w:left w:w="108" w:type="dxa"/>
              <w:right w:w="108" w:type="dxa"/>
            </w:tcMar>
          </w:tcPr>
          <w:p w14:paraId="38B9C001" w14:textId="32ED47BD" w:rsidR="00FE5B62"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Proportion of biosecurity risk assessments completed within regulatory and target timeframes.</w:t>
            </w:r>
          </w:p>
        </w:tc>
        <w:tc>
          <w:tcPr>
            <w:tcW w:w="1086" w:type="pct"/>
            <w:tcBorders>
              <w:top w:val="single" w:sz="4" w:space="0" w:color="auto"/>
              <w:bottom w:val="single" w:sz="4" w:space="0" w:color="auto"/>
            </w:tcBorders>
            <w:tcMar>
              <w:left w:w="108" w:type="dxa"/>
              <w:right w:w="108" w:type="dxa"/>
            </w:tcMar>
          </w:tcPr>
          <w:p w14:paraId="4907AD9F" w14:textId="65A2D32D" w:rsidR="00FE5B62" w:rsidRPr="001B47A7" w:rsidRDefault="00FE5B62" w:rsidP="001B47A7">
            <w:pPr>
              <w:pStyle w:val="TableText"/>
              <w:cnfStyle w:val="000000000000" w:firstRow="0" w:lastRow="0" w:firstColumn="0" w:lastColumn="0" w:oddVBand="0" w:evenVBand="0" w:oddHBand="0" w:evenHBand="0" w:firstRowFirstColumn="0" w:firstRowLastColumn="0" w:lastRowFirstColumn="0" w:lastRowLastColumn="0"/>
            </w:pPr>
            <w:r w:rsidRPr="001B47A7">
              <w:t>Achieved</w:t>
            </w:r>
          </w:p>
        </w:tc>
      </w:tr>
      <w:tr w:rsidR="0080648B" w:rsidRPr="00E66900" w14:paraId="06CDCA94"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tcBorders>
            <w:tcMar>
              <w:left w:w="108" w:type="dxa"/>
              <w:right w:w="108" w:type="dxa"/>
            </w:tcMar>
          </w:tcPr>
          <w:p w14:paraId="17C8EC15" w14:textId="09EFAF92" w:rsidR="0080648B" w:rsidRPr="001B47A7" w:rsidRDefault="0080648B" w:rsidP="001B47A7">
            <w:pPr>
              <w:pStyle w:val="TableText"/>
            </w:pPr>
            <w:r w:rsidRPr="001B47A7">
              <w:t>BI-02</w:t>
            </w:r>
          </w:p>
        </w:tc>
        <w:tc>
          <w:tcPr>
            <w:tcW w:w="2818" w:type="pct"/>
            <w:tcBorders>
              <w:top w:val="single" w:sz="4" w:space="0" w:color="auto"/>
              <w:bottom w:val="single" w:sz="4" w:space="0" w:color="auto"/>
            </w:tcBorders>
            <w:tcMar>
              <w:left w:w="108" w:type="dxa"/>
              <w:right w:w="108" w:type="dxa"/>
            </w:tcMar>
          </w:tcPr>
          <w:p w14:paraId="12159781" w14:textId="76D23720" w:rsidR="0080648B"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The import permit service standard is met.</w:t>
            </w:r>
          </w:p>
        </w:tc>
        <w:tc>
          <w:tcPr>
            <w:tcW w:w="1086" w:type="pct"/>
            <w:tcBorders>
              <w:top w:val="single" w:sz="4" w:space="0" w:color="auto"/>
              <w:bottom w:val="single" w:sz="4" w:space="0" w:color="auto"/>
            </w:tcBorders>
            <w:tcMar>
              <w:left w:w="108" w:type="dxa"/>
              <w:right w:w="108" w:type="dxa"/>
            </w:tcMar>
          </w:tcPr>
          <w:p w14:paraId="6161FA57" w14:textId="53B3093E" w:rsidR="0080648B" w:rsidRPr="001B47A7" w:rsidRDefault="00561F5C" w:rsidP="001B47A7">
            <w:pPr>
              <w:pStyle w:val="TableText"/>
              <w:cnfStyle w:val="000000000000" w:firstRow="0" w:lastRow="0" w:firstColumn="0" w:lastColumn="0" w:oddVBand="0" w:evenVBand="0" w:oddHBand="0" w:evenHBand="0" w:firstRowFirstColumn="0" w:firstRowLastColumn="0" w:lastRowFirstColumn="0" w:lastRowLastColumn="0"/>
            </w:pPr>
            <w:r w:rsidRPr="001B47A7">
              <w:t>A</w:t>
            </w:r>
            <w:r w:rsidR="0009379C" w:rsidRPr="001B47A7">
              <w:t>chieved</w:t>
            </w:r>
          </w:p>
        </w:tc>
      </w:tr>
      <w:tr w:rsidR="0009379C" w:rsidRPr="00E66900" w14:paraId="063CA677"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tcBorders>
            <w:tcMar>
              <w:left w:w="108" w:type="dxa"/>
              <w:right w:w="108" w:type="dxa"/>
            </w:tcMar>
          </w:tcPr>
          <w:p w14:paraId="51F78185" w14:textId="7999B8E3" w:rsidR="0009379C" w:rsidRPr="001B47A7" w:rsidRDefault="0009379C" w:rsidP="001B47A7">
            <w:pPr>
              <w:pStyle w:val="TableText"/>
            </w:pPr>
            <w:r w:rsidRPr="001B47A7">
              <w:t>BI-03</w:t>
            </w:r>
          </w:p>
        </w:tc>
        <w:tc>
          <w:tcPr>
            <w:tcW w:w="2818" w:type="pct"/>
            <w:tcBorders>
              <w:top w:val="single" w:sz="4" w:space="0" w:color="auto"/>
              <w:bottom w:val="single" w:sz="4" w:space="0" w:color="auto"/>
            </w:tcBorders>
            <w:tcMar>
              <w:left w:w="108" w:type="dxa"/>
              <w:right w:w="108" w:type="dxa"/>
            </w:tcMar>
          </w:tcPr>
          <w:p w14:paraId="1F30B62B" w14:textId="3316C1CA" w:rsidR="0009379C"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Increased pre-border biosecurity assurance arrangements to manage biosecurity risks in countries exporting to Australia.</w:t>
            </w:r>
          </w:p>
        </w:tc>
        <w:tc>
          <w:tcPr>
            <w:tcW w:w="1086" w:type="pct"/>
            <w:tcBorders>
              <w:top w:val="single" w:sz="4" w:space="0" w:color="auto"/>
              <w:bottom w:val="single" w:sz="4" w:space="0" w:color="auto"/>
            </w:tcBorders>
            <w:tcMar>
              <w:left w:w="108" w:type="dxa"/>
              <w:right w:w="108" w:type="dxa"/>
            </w:tcMar>
          </w:tcPr>
          <w:p w14:paraId="2AC943D9" w14:textId="0B152D3D" w:rsidR="0009379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Partially achieved</w:t>
            </w:r>
          </w:p>
        </w:tc>
      </w:tr>
      <w:tr w:rsidR="0009379C" w:rsidRPr="00E66900" w14:paraId="0F98B62F"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tcBorders>
            <w:tcMar>
              <w:left w:w="108" w:type="dxa"/>
              <w:right w:w="108" w:type="dxa"/>
            </w:tcMar>
          </w:tcPr>
          <w:p w14:paraId="1D33A641" w14:textId="4675423E" w:rsidR="0009379C" w:rsidRPr="001B47A7" w:rsidRDefault="00561F5C" w:rsidP="001B47A7">
            <w:pPr>
              <w:pStyle w:val="TableText"/>
            </w:pPr>
            <w:r w:rsidRPr="001B47A7">
              <w:t>BI-0</w:t>
            </w:r>
            <w:r w:rsidR="009234D9">
              <w:t>4</w:t>
            </w:r>
          </w:p>
        </w:tc>
        <w:tc>
          <w:tcPr>
            <w:tcW w:w="2818" w:type="pct"/>
            <w:tcBorders>
              <w:top w:val="single" w:sz="4" w:space="0" w:color="auto"/>
              <w:bottom w:val="single" w:sz="4" w:space="0" w:color="auto"/>
            </w:tcBorders>
            <w:tcMar>
              <w:left w:w="108" w:type="dxa"/>
              <w:right w:w="108" w:type="dxa"/>
            </w:tcMar>
          </w:tcPr>
          <w:p w14:paraId="617DBB7E" w14:textId="1B7B307F" w:rsidR="0009379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Targeted public communication and engagement activities.</w:t>
            </w:r>
          </w:p>
        </w:tc>
        <w:tc>
          <w:tcPr>
            <w:tcW w:w="1086" w:type="pct"/>
            <w:tcBorders>
              <w:top w:val="single" w:sz="4" w:space="0" w:color="auto"/>
              <w:bottom w:val="single" w:sz="4" w:space="0" w:color="auto"/>
            </w:tcBorders>
            <w:tcMar>
              <w:left w:w="108" w:type="dxa"/>
              <w:right w:w="108" w:type="dxa"/>
            </w:tcMar>
          </w:tcPr>
          <w:p w14:paraId="2F8EAD3C" w14:textId="05DD2670" w:rsidR="0009379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t>A</w:t>
            </w:r>
            <w:r w:rsidR="00561F5C" w:rsidRPr="001B47A7">
              <w:t>chieved</w:t>
            </w:r>
          </w:p>
        </w:tc>
      </w:tr>
      <w:tr w:rsidR="00F83258" w:rsidRPr="00E66900" w14:paraId="5AE6D5C0"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nil"/>
            </w:tcBorders>
            <w:tcMar>
              <w:left w:w="108" w:type="dxa"/>
              <w:right w:w="108" w:type="dxa"/>
            </w:tcMar>
          </w:tcPr>
          <w:p w14:paraId="3980468D" w14:textId="10184C7D" w:rsidR="00F83258" w:rsidRPr="001B47A7" w:rsidRDefault="00561F5C" w:rsidP="001B47A7">
            <w:pPr>
              <w:pStyle w:val="TableText"/>
            </w:pPr>
            <w:r w:rsidRPr="001B47A7">
              <w:t>BI-0</w:t>
            </w:r>
            <w:r w:rsidR="009234D9">
              <w:t>5</w:t>
            </w:r>
          </w:p>
        </w:tc>
        <w:tc>
          <w:tcPr>
            <w:tcW w:w="2818" w:type="pct"/>
            <w:tcBorders>
              <w:top w:val="single" w:sz="4" w:space="0" w:color="auto"/>
              <w:bottom w:val="single" w:sz="4" w:space="0" w:color="auto"/>
            </w:tcBorders>
            <w:tcMar>
              <w:left w:w="108" w:type="dxa"/>
              <w:right w:w="108" w:type="dxa"/>
            </w:tcMar>
          </w:tcPr>
          <w:p w14:paraId="091F71C2" w14:textId="7BCC0158" w:rsidR="00F83258" w:rsidRPr="001B47A7" w:rsidRDefault="009234D9" w:rsidP="00AE7F0B">
            <w:pPr>
              <w:pStyle w:val="TableText"/>
              <w:cnfStyle w:val="000000000000" w:firstRow="0" w:lastRow="0" w:firstColumn="0" w:lastColumn="0" w:oddVBand="0" w:evenVBand="0" w:oddHBand="0" w:evenHBand="0" w:firstRowFirstColumn="0" w:firstRowLastColumn="0" w:lastRowFirstColumn="0" w:lastRowLastColumn="0"/>
            </w:pPr>
            <w:r w:rsidRPr="009234D9">
              <w:t>Strengthened emergency management capabilities.</w:t>
            </w:r>
          </w:p>
        </w:tc>
        <w:tc>
          <w:tcPr>
            <w:tcW w:w="1086" w:type="pct"/>
            <w:tcBorders>
              <w:top w:val="single" w:sz="4" w:space="0" w:color="auto"/>
              <w:bottom w:val="single" w:sz="4" w:space="0" w:color="auto"/>
            </w:tcBorders>
            <w:tcMar>
              <w:left w:w="108" w:type="dxa"/>
              <w:right w:w="108" w:type="dxa"/>
            </w:tcMar>
          </w:tcPr>
          <w:p w14:paraId="165BCD7C" w14:textId="199510CF" w:rsidR="00F83258" w:rsidRPr="001B47A7" w:rsidRDefault="00561F5C" w:rsidP="001B47A7">
            <w:pPr>
              <w:pStyle w:val="TableText"/>
              <w:cnfStyle w:val="000000000000" w:firstRow="0" w:lastRow="0" w:firstColumn="0" w:lastColumn="0" w:oddVBand="0" w:evenVBand="0" w:oddHBand="0" w:evenHBand="0" w:firstRowFirstColumn="0" w:firstRowLastColumn="0" w:lastRowFirstColumn="0" w:lastRowLastColumn="0"/>
            </w:pPr>
            <w:r w:rsidRPr="001B47A7">
              <w:t>Achieved</w:t>
            </w:r>
          </w:p>
        </w:tc>
      </w:tr>
      <w:tr w:rsidR="00561F5C" w:rsidRPr="00E66900" w14:paraId="118131D2"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nil"/>
            </w:tcBorders>
            <w:tcMar>
              <w:left w:w="108" w:type="dxa"/>
              <w:right w:w="108" w:type="dxa"/>
            </w:tcMar>
          </w:tcPr>
          <w:p w14:paraId="6A659B56" w14:textId="21B9D56E" w:rsidR="00561F5C" w:rsidRPr="001B47A7" w:rsidRDefault="00561F5C" w:rsidP="001B47A7">
            <w:pPr>
              <w:pStyle w:val="TableText"/>
            </w:pPr>
            <w:r w:rsidRPr="001B47A7">
              <w:t>BI-0</w:t>
            </w:r>
            <w:r w:rsidR="009234D9">
              <w:t>6</w:t>
            </w:r>
          </w:p>
        </w:tc>
        <w:tc>
          <w:tcPr>
            <w:tcW w:w="2818" w:type="pct"/>
            <w:tcBorders>
              <w:top w:val="single" w:sz="4" w:space="0" w:color="auto"/>
              <w:bottom w:val="single" w:sz="4" w:space="0" w:color="auto"/>
            </w:tcBorders>
            <w:tcMar>
              <w:left w:w="108" w:type="dxa"/>
              <w:right w:w="108" w:type="dxa"/>
            </w:tcMar>
          </w:tcPr>
          <w:p w14:paraId="57052D59" w14:textId="713D8FFC" w:rsidR="00561F5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Reduction in risk of significant disease threats because of biosecurity measures implemented by the department.</w:t>
            </w:r>
          </w:p>
        </w:tc>
        <w:tc>
          <w:tcPr>
            <w:tcW w:w="1086" w:type="pct"/>
            <w:tcBorders>
              <w:top w:val="single" w:sz="4" w:space="0" w:color="auto"/>
              <w:bottom w:val="single" w:sz="4" w:space="0" w:color="auto"/>
            </w:tcBorders>
            <w:tcMar>
              <w:left w:w="108" w:type="dxa"/>
              <w:right w:w="108" w:type="dxa"/>
            </w:tcMar>
          </w:tcPr>
          <w:p w14:paraId="7CA999E0" w14:textId="61C9AB22" w:rsidR="00561F5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Partially achieved</w:t>
            </w:r>
            <w:r>
              <w:t xml:space="preserve"> </w:t>
            </w:r>
          </w:p>
        </w:tc>
      </w:tr>
      <w:tr w:rsidR="00561F5C" w:rsidRPr="00E66900" w14:paraId="328B9F26"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nil"/>
            </w:tcBorders>
            <w:tcMar>
              <w:left w:w="108" w:type="dxa"/>
              <w:right w:w="108" w:type="dxa"/>
            </w:tcMar>
          </w:tcPr>
          <w:p w14:paraId="6687A156" w14:textId="10B72978" w:rsidR="00561F5C" w:rsidRPr="001B47A7" w:rsidRDefault="00BD30D4" w:rsidP="001B47A7">
            <w:pPr>
              <w:pStyle w:val="TableText"/>
            </w:pPr>
            <w:r w:rsidRPr="001B47A7">
              <w:t>BI-0</w:t>
            </w:r>
            <w:r w:rsidR="009234D9">
              <w:t>7</w:t>
            </w:r>
          </w:p>
        </w:tc>
        <w:tc>
          <w:tcPr>
            <w:tcW w:w="2818" w:type="pct"/>
            <w:tcBorders>
              <w:top w:val="single" w:sz="4" w:space="0" w:color="auto"/>
              <w:bottom w:val="single" w:sz="4" w:space="0" w:color="auto"/>
            </w:tcBorders>
            <w:tcMar>
              <w:left w:w="108" w:type="dxa"/>
              <w:right w:w="108" w:type="dxa"/>
            </w:tcMar>
          </w:tcPr>
          <w:p w14:paraId="7C454B76" w14:textId="5DBEAC92" w:rsidR="00561F5C"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 xml:space="preserve">Number of consignments of imported goods with khapra beetle detections is reduced </w:t>
            </w:r>
            <w:proofErr w:type="gramStart"/>
            <w:r w:rsidRPr="009234D9">
              <w:t>as a result of</w:t>
            </w:r>
            <w:proofErr w:type="gramEnd"/>
            <w:r w:rsidRPr="009234D9">
              <w:t xml:space="preserve"> biosecurity measures implemented by the department.</w:t>
            </w:r>
          </w:p>
        </w:tc>
        <w:tc>
          <w:tcPr>
            <w:tcW w:w="1086" w:type="pct"/>
            <w:tcBorders>
              <w:top w:val="single" w:sz="4" w:space="0" w:color="auto"/>
              <w:bottom w:val="single" w:sz="4" w:space="0" w:color="auto"/>
            </w:tcBorders>
            <w:tcMar>
              <w:left w:w="108" w:type="dxa"/>
              <w:right w:w="108" w:type="dxa"/>
            </w:tcMar>
          </w:tcPr>
          <w:p w14:paraId="096CEB4D" w14:textId="4B2C9F07" w:rsidR="00561F5C" w:rsidRPr="001B47A7" w:rsidRDefault="009E6F2E" w:rsidP="001B47A7">
            <w:pPr>
              <w:pStyle w:val="TableText"/>
              <w:cnfStyle w:val="000000000000" w:firstRow="0" w:lastRow="0" w:firstColumn="0" w:lastColumn="0" w:oddVBand="0" w:evenVBand="0" w:oddHBand="0" w:evenHBand="0" w:firstRowFirstColumn="0" w:firstRowLastColumn="0" w:lastRowFirstColumn="0" w:lastRowLastColumn="0"/>
            </w:pPr>
            <w:r w:rsidRPr="001B47A7">
              <w:t>Achieved</w:t>
            </w:r>
          </w:p>
        </w:tc>
      </w:tr>
      <w:tr w:rsidR="00561F5C" w:rsidRPr="00E66900" w14:paraId="18B4162B"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4354DB14" w14:textId="76EF3DEB" w:rsidR="00561F5C" w:rsidRPr="001B47A7" w:rsidRDefault="008144AA" w:rsidP="001B47A7">
            <w:pPr>
              <w:pStyle w:val="TableText"/>
            </w:pPr>
            <w:r w:rsidRPr="001B47A7">
              <w:t>BI-0</w:t>
            </w:r>
            <w:r w:rsidR="009234D9">
              <w:t>8</w:t>
            </w:r>
          </w:p>
        </w:tc>
        <w:tc>
          <w:tcPr>
            <w:tcW w:w="2818" w:type="pct"/>
            <w:tcBorders>
              <w:top w:val="single" w:sz="4" w:space="0" w:color="auto"/>
              <w:bottom w:val="single" w:sz="4" w:space="0" w:color="auto"/>
            </w:tcBorders>
            <w:tcMar>
              <w:left w:w="108" w:type="dxa"/>
              <w:right w:w="108" w:type="dxa"/>
            </w:tcMar>
          </w:tcPr>
          <w:p w14:paraId="2965675B" w14:textId="0931890F" w:rsidR="00561F5C" w:rsidRPr="001B47A7" w:rsidRDefault="009234D9" w:rsidP="00AE7F0B">
            <w:pPr>
              <w:pStyle w:val="TableText"/>
              <w:cnfStyle w:val="000000000000" w:firstRow="0" w:lastRow="0" w:firstColumn="0" w:lastColumn="0" w:oddVBand="0" w:evenVBand="0" w:oddHBand="0" w:evenHBand="0" w:firstRowFirstColumn="0" w:firstRowLastColumn="0" w:lastRowFirstColumn="0" w:lastRowLastColumn="0"/>
            </w:pPr>
            <w:r w:rsidRPr="009234D9">
              <w:t>Reduced levels of non-compliance with biosecurity regulations that apply to high value cargo.</w:t>
            </w:r>
          </w:p>
        </w:tc>
        <w:tc>
          <w:tcPr>
            <w:tcW w:w="1086" w:type="pct"/>
            <w:tcBorders>
              <w:top w:val="single" w:sz="4" w:space="0" w:color="auto"/>
              <w:bottom w:val="single" w:sz="4" w:space="0" w:color="auto"/>
            </w:tcBorders>
            <w:tcMar>
              <w:left w:w="108" w:type="dxa"/>
              <w:right w:w="108" w:type="dxa"/>
            </w:tcMar>
          </w:tcPr>
          <w:p w14:paraId="323AE6C6" w14:textId="3CE11F33" w:rsidR="00561F5C" w:rsidRPr="001B47A7" w:rsidRDefault="00E47112" w:rsidP="001B47A7">
            <w:pPr>
              <w:pStyle w:val="TableText"/>
              <w:cnfStyle w:val="000000000000" w:firstRow="0" w:lastRow="0" w:firstColumn="0" w:lastColumn="0" w:oddVBand="0" w:evenVBand="0" w:oddHBand="0" w:evenHBand="0" w:firstRowFirstColumn="0" w:firstRowLastColumn="0" w:lastRowFirstColumn="0" w:lastRowLastColumn="0"/>
            </w:pPr>
            <w:r w:rsidRPr="001B47A7">
              <w:t>Achieved</w:t>
            </w:r>
          </w:p>
        </w:tc>
      </w:tr>
      <w:tr w:rsidR="00A917B2" w:rsidRPr="00E66900" w14:paraId="6D99A4C6"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5A2981A8" w14:textId="4C63B813" w:rsidR="00A917B2" w:rsidRPr="001B47A7" w:rsidRDefault="00A917B2" w:rsidP="00A917B2">
            <w:pPr>
              <w:pStyle w:val="TableText"/>
            </w:pPr>
            <w:r w:rsidRPr="001B47A7">
              <w:t>BI-0</w:t>
            </w:r>
            <w:r w:rsidR="009234D9">
              <w:t>9</w:t>
            </w:r>
          </w:p>
        </w:tc>
        <w:tc>
          <w:tcPr>
            <w:tcW w:w="2818" w:type="pct"/>
            <w:tcBorders>
              <w:top w:val="single" w:sz="4" w:space="0" w:color="auto"/>
              <w:bottom w:val="single" w:sz="4" w:space="0" w:color="auto"/>
            </w:tcBorders>
            <w:tcMar>
              <w:left w:w="108" w:type="dxa"/>
              <w:right w:w="108" w:type="dxa"/>
            </w:tcMar>
          </w:tcPr>
          <w:p w14:paraId="0560030C" w14:textId="76C09BA2"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Rates of non-compliance with regulations that apply to international travellers.</w:t>
            </w:r>
          </w:p>
        </w:tc>
        <w:tc>
          <w:tcPr>
            <w:tcW w:w="1086" w:type="pct"/>
            <w:tcBorders>
              <w:top w:val="single" w:sz="4" w:space="0" w:color="auto"/>
              <w:bottom w:val="single" w:sz="4" w:space="0" w:color="auto"/>
            </w:tcBorders>
            <w:tcMar>
              <w:left w:w="108" w:type="dxa"/>
              <w:right w:w="108" w:type="dxa"/>
            </w:tcMar>
          </w:tcPr>
          <w:p w14:paraId="4F6194E3" w14:textId="11A1CD4E"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Partially achieved.</w:t>
            </w:r>
          </w:p>
        </w:tc>
      </w:tr>
      <w:tr w:rsidR="00A917B2" w:rsidRPr="00E66900" w14:paraId="66C40578"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44E425A2" w14:textId="074DEE93" w:rsidR="00A917B2" w:rsidRPr="001B47A7" w:rsidRDefault="00A917B2" w:rsidP="00A917B2">
            <w:pPr>
              <w:pStyle w:val="TableText"/>
            </w:pPr>
            <w:r w:rsidRPr="001B47A7">
              <w:t>BI-</w:t>
            </w:r>
            <w:r w:rsidR="009234D9">
              <w:t>10</w:t>
            </w:r>
          </w:p>
        </w:tc>
        <w:tc>
          <w:tcPr>
            <w:tcW w:w="2818" w:type="pct"/>
            <w:tcBorders>
              <w:top w:val="single" w:sz="4" w:space="0" w:color="auto"/>
              <w:bottom w:val="single" w:sz="4" w:space="0" w:color="auto"/>
            </w:tcBorders>
            <w:tcMar>
              <w:left w:w="108" w:type="dxa"/>
              <w:right w:w="108" w:type="dxa"/>
            </w:tcMar>
          </w:tcPr>
          <w:p w14:paraId="7F84961C" w14:textId="53C62A95"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Rates of non-compliance with regulations that apply to approved arrangements.</w:t>
            </w:r>
          </w:p>
        </w:tc>
        <w:tc>
          <w:tcPr>
            <w:tcW w:w="1086" w:type="pct"/>
            <w:tcBorders>
              <w:top w:val="single" w:sz="4" w:space="0" w:color="auto"/>
              <w:bottom w:val="single" w:sz="4" w:space="0" w:color="auto"/>
            </w:tcBorders>
            <w:tcMar>
              <w:left w:w="108" w:type="dxa"/>
              <w:right w:w="108" w:type="dxa"/>
            </w:tcMar>
          </w:tcPr>
          <w:p w14:paraId="1C7F9D58" w14:textId="745C8445"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t>Not a</w:t>
            </w:r>
            <w:r w:rsidR="00A917B2" w:rsidRPr="00883D7A">
              <w:t>chieved</w:t>
            </w:r>
          </w:p>
        </w:tc>
      </w:tr>
      <w:tr w:rsidR="00A917B2" w:rsidRPr="00E66900" w14:paraId="0804D9AE"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12AF47B0" w14:textId="1C4B4BB9" w:rsidR="00A917B2" w:rsidRPr="001B47A7" w:rsidRDefault="00A917B2" w:rsidP="00A917B2">
            <w:pPr>
              <w:pStyle w:val="TableText"/>
            </w:pPr>
            <w:r w:rsidRPr="001B47A7">
              <w:t>BI-</w:t>
            </w:r>
            <w:r w:rsidR="009234D9">
              <w:t>11</w:t>
            </w:r>
          </w:p>
        </w:tc>
        <w:tc>
          <w:tcPr>
            <w:tcW w:w="2818" w:type="pct"/>
            <w:tcBorders>
              <w:top w:val="single" w:sz="4" w:space="0" w:color="auto"/>
              <w:bottom w:val="single" w:sz="4" w:space="0" w:color="auto"/>
            </w:tcBorders>
            <w:tcMar>
              <w:left w:w="108" w:type="dxa"/>
              <w:right w:w="108" w:type="dxa"/>
            </w:tcMar>
          </w:tcPr>
          <w:p w14:paraId="695DDC17" w14:textId="0FA4A70A"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Biosecurity service standards conducted at the border are met.</w:t>
            </w:r>
          </w:p>
        </w:tc>
        <w:tc>
          <w:tcPr>
            <w:tcW w:w="1086" w:type="pct"/>
            <w:tcBorders>
              <w:top w:val="single" w:sz="4" w:space="0" w:color="auto"/>
              <w:bottom w:val="single" w:sz="4" w:space="0" w:color="auto"/>
            </w:tcBorders>
            <w:tcMar>
              <w:left w:w="108" w:type="dxa"/>
              <w:right w:w="108" w:type="dxa"/>
            </w:tcMar>
          </w:tcPr>
          <w:p w14:paraId="50D149B1" w14:textId="3AA8F244" w:rsidR="00A917B2" w:rsidRPr="001B47A7" w:rsidRDefault="009234D9" w:rsidP="00A917B2">
            <w:pPr>
              <w:pStyle w:val="TableText"/>
              <w:cnfStyle w:val="000000000000" w:firstRow="0" w:lastRow="0" w:firstColumn="0" w:lastColumn="0" w:oddVBand="0" w:evenVBand="0" w:oddHBand="0" w:evenHBand="0" w:firstRowFirstColumn="0" w:firstRowLastColumn="0" w:lastRowFirstColumn="0" w:lastRowLastColumn="0"/>
            </w:pPr>
            <w:r w:rsidRPr="009234D9">
              <w:t>Partially achieved</w:t>
            </w:r>
          </w:p>
        </w:tc>
      </w:tr>
      <w:tr w:rsidR="00E47112" w:rsidRPr="00E66900" w14:paraId="5B0C1D2C" w14:textId="77777777" w:rsidTr="001D3FAB">
        <w:tc>
          <w:tcPr>
            <w:cnfStyle w:val="001000000000" w:firstRow="0" w:lastRow="0" w:firstColumn="1" w:lastColumn="0" w:oddVBand="0" w:evenVBand="0" w:oddHBand="0" w:evenHBand="0" w:firstRowFirstColumn="0" w:firstRowLastColumn="0" w:lastRowFirstColumn="0" w:lastRowLastColumn="0"/>
            <w:tcW w:w="1096" w:type="pct"/>
            <w:tcBorders>
              <w:top w:val="single" w:sz="4" w:space="0" w:color="auto"/>
              <w:bottom w:val="single" w:sz="4" w:space="0" w:color="auto"/>
            </w:tcBorders>
            <w:tcMar>
              <w:left w:w="108" w:type="dxa"/>
              <w:right w:w="108" w:type="dxa"/>
            </w:tcMar>
          </w:tcPr>
          <w:p w14:paraId="74D15F71" w14:textId="7E62E70D" w:rsidR="00E47112" w:rsidRPr="001B47A7" w:rsidRDefault="003049E8" w:rsidP="001B47A7">
            <w:pPr>
              <w:pStyle w:val="TableText"/>
            </w:pPr>
            <w:r w:rsidRPr="001B47A7">
              <w:t>BI-1</w:t>
            </w:r>
            <w:r w:rsidR="009234D9">
              <w:t>2</w:t>
            </w:r>
          </w:p>
        </w:tc>
        <w:tc>
          <w:tcPr>
            <w:tcW w:w="2818" w:type="pct"/>
            <w:tcBorders>
              <w:top w:val="single" w:sz="4" w:space="0" w:color="auto"/>
              <w:bottom w:val="single" w:sz="4" w:space="0" w:color="auto"/>
            </w:tcBorders>
            <w:tcMar>
              <w:left w:w="108" w:type="dxa"/>
              <w:right w:w="108" w:type="dxa"/>
            </w:tcMar>
          </w:tcPr>
          <w:p w14:paraId="1F476F55" w14:textId="3346E173" w:rsidR="00E47112"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9234D9">
              <w:t>Investigate and respond to incidents of high-risk non-compliance through compliance and enforcement measures.</w:t>
            </w:r>
          </w:p>
        </w:tc>
        <w:tc>
          <w:tcPr>
            <w:tcW w:w="1086" w:type="pct"/>
            <w:tcBorders>
              <w:top w:val="single" w:sz="4" w:space="0" w:color="auto"/>
              <w:bottom w:val="single" w:sz="4" w:space="0" w:color="auto"/>
            </w:tcBorders>
            <w:tcMar>
              <w:left w:w="108" w:type="dxa"/>
              <w:right w:w="108" w:type="dxa"/>
            </w:tcMar>
          </w:tcPr>
          <w:p w14:paraId="1286DE55" w14:textId="4143B8D7" w:rsidR="00E47112" w:rsidRPr="001B47A7" w:rsidRDefault="009234D9" w:rsidP="001B47A7">
            <w:pPr>
              <w:pStyle w:val="TableText"/>
              <w:cnfStyle w:val="000000000000" w:firstRow="0" w:lastRow="0" w:firstColumn="0" w:lastColumn="0" w:oddVBand="0" w:evenVBand="0" w:oddHBand="0" w:evenHBand="0" w:firstRowFirstColumn="0" w:firstRowLastColumn="0" w:lastRowFirstColumn="0" w:lastRowLastColumn="0"/>
            </w:pPr>
            <w:r w:rsidRPr="00144435">
              <w:t>Achieved</w:t>
            </w:r>
          </w:p>
        </w:tc>
      </w:tr>
    </w:tbl>
    <w:p w14:paraId="3ACDB0FC" w14:textId="6951188A" w:rsidR="00960759" w:rsidRPr="00AE1BEB" w:rsidRDefault="00A37C7E" w:rsidP="0020383C">
      <w:pPr>
        <w:pStyle w:val="FigureTableNoteSource"/>
      </w:pPr>
      <w:r w:rsidRPr="00A37C7E">
        <w:t>Note: For a complete analysis of our performance measures, see the</w:t>
      </w:r>
      <w:r w:rsidR="002D4BAE">
        <w:t xml:space="preserve"> </w:t>
      </w:r>
      <w:bookmarkStart w:id="197" w:name="_Hlk188626144"/>
      <w:r w:rsidR="002D4BAE">
        <w:fldChar w:fldCharType="begin"/>
      </w:r>
      <w:r w:rsidR="00604D06">
        <w:instrText>HYPERLINK "https://www.agriculture.gov.au/about/reporting/annual-report"</w:instrText>
      </w:r>
      <w:r w:rsidR="002D4BAE">
        <w:fldChar w:fldCharType="separate"/>
      </w:r>
      <w:r w:rsidR="00604D06">
        <w:rPr>
          <w:rStyle w:val="Hyperlink"/>
        </w:rPr>
        <w:t>Annual report 2024–25</w:t>
      </w:r>
      <w:r w:rsidR="002D4BAE">
        <w:fldChar w:fldCharType="end"/>
      </w:r>
      <w:bookmarkEnd w:id="197"/>
      <w:r w:rsidR="00041A02">
        <w:t xml:space="preserve"> </w:t>
      </w:r>
      <w:r w:rsidR="00D22E23">
        <w:t>(</w:t>
      </w:r>
      <w:r w:rsidR="00D22E23" w:rsidRPr="00D22E23">
        <w:t>p</w:t>
      </w:r>
      <w:r w:rsidRPr="00D22E23">
        <w:t>p</w:t>
      </w:r>
      <w:r w:rsidR="00D22E23" w:rsidRPr="001D3FAB">
        <w:t>.</w:t>
      </w:r>
      <w:r w:rsidRPr="00D22E23">
        <w:t xml:space="preserve"> </w:t>
      </w:r>
      <w:r w:rsidR="00144435">
        <w:t>44</w:t>
      </w:r>
      <w:r w:rsidR="001F4822">
        <w:t>–</w:t>
      </w:r>
      <w:r w:rsidR="00144435">
        <w:t>81</w:t>
      </w:r>
      <w:r w:rsidR="00D22E23" w:rsidRPr="00D22E23">
        <w:t>)</w:t>
      </w:r>
      <w:r w:rsidRPr="00A37C7E">
        <w:t xml:space="preserve"> </w:t>
      </w:r>
      <w:bookmarkStart w:id="198" w:name="_Key_dates_and"/>
      <w:bookmarkEnd w:id="198"/>
      <w:r w:rsidR="00960759">
        <w:t xml:space="preserve">and the </w:t>
      </w:r>
      <w:hyperlink r:id="rId55" w:history="1">
        <w:r w:rsidR="00604D06">
          <w:rPr>
            <w:rStyle w:val="Hyperlink"/>
          </w:rPr>
          <w:t xml:space="preserve">Corporate Plan </w:t>
        </w:r>
        <w:r w:rsidR="00831D76">
          <w:rPr>
            <w:rStyle w:val="Hyperlink"/>
          </w:rPr>
          <w:t>2024</w:t>
        </w:r>
        <w:r w:rsidR="001F4822">
          <w:rPr>
            <w:rStyle w:val="Hyperlink"/>
          </w:rPr>
          <w:t>–</w:t>
        </w:r>
        <w:r w:rsidR="00831D76">
          <w:rPr>
            <w:rStyle w:val="Hyperlink"/>
          </w:rPr>
          <w:t>25</w:t>
        </w:r>
      </w:hyperlink>
      <w:r w:rsidR="00960759">
        <w:t xml:space="preserve"> </w:t>
      </w:r>
      <w:r w:rsidR="00D22E23">
        <w:t>(</w:t>
      </w:r>
      <w:r w:rsidR="00D22E23" w:rsidRPr="00D22E23">
        <w:t>p</w:t>
      </w:r>
      <w:r w:rsidR="00960759" w:rsidRPr="00D22E23">
        <w:t>p</w:t>
      </w:r>
      <w:r w:rsidR="00D22E23" w:rsidRPr="001D3FAB">
        <w:t>.</w:t>
      </w:r>
      <w:r w:rsidR="00960759" w:rsidRPr="00D22E23">
        <w:t xml:space="preserve"> </w:t>
      </w:r>
      <w:r w:rsidR="002D6574">
        <w:t>4</w:t>
      </w:r>
      <w:r w:rsidR="00144435">
        <w:t>2</w:t>
      </w:r>
      <w:r w:rsidR="00A917B2" w:rsidRPr="00D22E23">
        <w:t>–</w:t>
      </w:r>
      <w:r w:rsidR="00144435">
        <w:t>63</w:t>
      </w:r>
      <w:r w:rsidR="00D22E23" w:rsidRPr="00D22E23">
        <w:t>)</w:t>
      </w:r>
      <w:r w:rsidR="00041A02" w:rsidRPr="00D22E23">
        <w:t>.</w:t>
      </w:r>
    </w:p>
    <w:p w14:paraId="732D5441" w14:textId="3F23ACCA" w:rsidR="00A25765" w:rsidRPr="00A25765" w:rsidRDefault="00A25765" w:rsidP="009C7C37">
      <w:pPr>
        <w:pStyle w:val="Heading2"/>
      </w:pPr>
      <w:bookmarkStart w:id="199" w:name="_Key_dates_and_1"/>
      <w:bookmarkStart w:id="200" w:name="_Toc168489269"/>
      <w:bookmarkStart w:id="201" w:name="_Toc168489566"/>
      <w:bookmarkStart w:id="202" w:name="_Toc168645264"/>
      <w:bookmarkStart w:id="203" w:name="_Toc233378709"/>
      <w:bookmarkEnd w:id="199"/>
      <w:r w:rsidRPr="00A25765">
        <w:lastRenderedPageBreak/>
        <w:t>Key dates and events</w:t>
      </w:r>
      <w:bookmarkEnd w:id="200"/>
      <w:bookmarkEnd w:id="201"/>
      <w:bookmarkEnd w:id="202"/>
      <w:bookmarkEnd w:id="203"/>
    </w:p>
    <w:p w14:paraId="2D06323B" w14:textId="61764AE6" w:rsidR="00A25765" w:rsidRPr="00AE1BEB" w:rsidRDefault="00A25765" w:rsidP="00A25765">
      <w:pPr>
        <w:rPr>
          <w:rFonts w:cstheme="minorHAnsi"/>
          <w:lang w:eastAsia="ja-JP"/>
        </w:rPr>
      </w:pPr>
      <w:r w:rsidRPr="0029663C">
        <w:rPr>
          <w:rFonts w:cstheme="minorHAnsi"/>
          <w:lang w:eastAsia="ja-JP"/>
        </w:rPr>
        <w:t xml:space="preserve">We undertake regular reviews of our financial performance and conduct stakeholder engagement activities throughout the </w:t>
      </w:r>
      <w:r w:rsidR="00ED64DF" w:rsidRPr="0029663C">
        <w:rPr>
          <w:rFonts w:cstheme="minorHAnsi"/>
          <w:lang w:eastAsia="ja-JP"/>
        </w:rPr>
        <w:t>annual review cycle</w:t>
      </w:r>
      <w:r w:rsidRPr="0029663C">
        <w:rPr>
          <w:rFonts w:cstheme="minorHAnsi"/>
          <w:lang w:eastAsia="ja-JP"/>
        </w:rPr>
        <w:t>. Key forward dates for</w:t>
      </w:r>
      <w:r w:rsidR="000738CB" w:rsidRPr="0029663C">
        <w:rPr>
          <w:rFonts w:cstheme="minorHAnsi"/>
          <w:lang w:eastAsia="ja-JP"/>
        </w:rPr>
        <w:t xml:space="preserve"> review</w:t>
      </w:r>
      <w:r w:rsidRPr="0029663C">
        <w:rPr>
          <w:rFonts w:cstheme="minorHAnsi"/>
          <w:lang w:eastAsia="ja-JP"/>
        </w:rPr>
        <w:t xml:space="preserve"> </w:t>
      </w:r>
      <w:r w:rsidR="0029663C" w:rsidRPr="0029663C">
        <w:rPr>
          <w:rFonts w:cstheme="minorHAnsi"/>
          <w:lang w:eastAsia="ja-JP"/>
        </w:rPr>
        <w:t xml:space="preserve">of </w:t>
      </w:r>
      <w:r w:rsidRPr="0029663C">
        <w:rPr>
          <w:rFonts w:cstheme="minorHAnsi"/>
          <w:lang w:eastAsia="ja-JP"/>
        </w:rPr>
        <w:t xml:space="preserve">the </w:t>
      </w:r>
      <w:r w:rsidR="00B1013F" w:rsidRPr="0029663C">
        <w:rPr>
          <w:rFonts w:cstheme="minorHAnsi"/>
          <w:lang w:eastAsia="ja-JP"/>
        </w:rPr>
        <w:t>arrangement</w:t>
      </w:r>
      <w:r w:rsidRPr="0029663C">
        <w:rPr>
          <w:rFonts w:cstheme="minorHAnsi"/>
          <w:lang w:eastAsia="ja-JP"/>
        </w:rPr>
        <w:t xml:space="preserve"> are documented in </w:t>
      </w:r>
      <w:r w:rsidR="00B1013F" w:rsidRPr="00AE1BEB">
        <w:rPr>
          <w:rFonts w:cstheme="minorHAnsi"/>
          <w:lang w:eastAsia="ja-JP"/>
        </w:rPr>
        <w:fldChar w:fldCharType="begin"/>
      </w:r>
      <w:r w:rsidR="00B1013F" w:rsidRPr="00AE1BEB">
        <w:rPr>
          <w:rFonts w:cstheme="minorHAnsi"/>
          <w:lang w:eastAsia="ja-JP"/>
        </w:rPr>
        <w:instrText xml:space="preserve"> REF _Ref193955769 \h </w:instrText>
      </w:r>
      <w:r w:rsidR="00DB32D2" w:rsidRPr="00AE1BEB">
        <w:rPr>
          <w:rFonts w:cstheme="minorHAnsi"/>
          <w:lang w:eastAsia="ja-JP"/>
        </w:rPr>
        <w:instrText xml:space="preserve"> \* MERGEFORMAT </w:instrText>
      </w:r>
      <w:r w:rsidR="00B1013F" w:rsidRPr="00AE1BEB">
        <w:rPr>
          <w:rFonts w:cstheme="minorHAnsi"/>
          <w:lang w:eastAsia="ja-JP"/>
        </w:rPr>
      </w:r>
      <w:r w:rsidR="00B1013F" w:rsidRPr="00AE1BEB">
        <w:rPr>
          <w:rFonts w:cstheme="minorHAnsi"/>
          <w:lang w:eastAsia="ja-JP"/>
        </w:rPr>
        <w:fldChar w:fldCharType="separate"/>
      </w:r>
      <w:r w:rsidR="00202908" w:rsidRPr="00AE1BEB">
        <w:t xml:space="preserve">Table </w:t>
      </w:r>
      <w:r w:rsidR="00202908">
        <w:rPr>
          <w:noProof/>
        </w:rPr>
        <w:t>13</w:t>
      </w:r>
      <w:r w:rsidR="00B1013F" w:rsidRPr="00AE1BEB">
        <w:rPr>
          <w:rFonts w:cstheme="minorHAnsi"/>
          <w:lang w:eastAsia="ja-JP"/>
        </w:rPr>
        <w:fldChar w:fldCharType="end"/>
      </w:r>
      <w:r w:rsidRPr="00AE1BEB">
        <w:rPr>
          <w:rFonts w:cstheme="minorHAnsi"/>
          <w:lang w:eastAsia="ja-JP"/>
        </w:rPr>
        <w:t>.</w:t>
      </w:r>
    </w:p>
    <w:p w14:paraId="595DA06C" w14:textId="08E36C57" w:rsidR="00D04C36" w:rsidRPr="00D04C36" w:rsidRDefault="0020383C" w:rsidP="0020383C">
      <w:pPr>
        <w:pStyle w:val="Caption"/>
        <w:rPr>
          <w:b w:val="0"/>
          <w:bCs w:val="0"/>
        </w:rPr>
      </w:pPr>
      <w:bookmarkStart w:id="204" w:name="_Ref193955769"/>
      <w:bookmarkStart w:id="205" w:name="_Toc233378733"/>
      <w:r w:rsidRPr="00AE1BEB">
        <w:t xml:space="preserve">Table </w:t>
      </w:r>
      <w:fldSimple w:instr=" SEQ Table \* ARABIC ">
        <w:r w:rsidR="00202908">
          <w:rPr>
            <w:noProof/>
          </w:rPr>
          <w:t>13</w:t>
        </w:r>
      </w:fldSimple>
      <w:bookmarkEnd w:id="204"/>
      <w:r w:rsidRPr="00AE1BEB">
        <w:t xml:space="preserve"> Key forward dates and events</w:t>
      </w:r>
      <w:bookmarkEnd w:id="205"/>
    </w:p>
    <w:tbl>
      <w:tblPr>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6380"/>
        <w:gridCol w:w="2690"/>
      </w:tblGrid>
      <w:tr w:rsidR="00640DAB" w:rsidRPr="00D74FA6" w14:paraId="68E70AFD" w14:textId="77777777" w:rsidTr="006873B6">
        <w:trPr>
          <w:cantSplit/>
          <w:tblHeader/>
        </w:trPr>
        <w:tc>
          <w:tcPr>
            <w:tcW w:w="3517" w:type="pct"/>
            <w:tcMar>
              <w:left w:w="108" w:type="dxa"/>
              <w:right w:w="108" w:type="dxa"/>
            </w:tcMar>
          </w:tcPr>
          <w:p w14:paraId="101C698B" w14:textId="36B31CFC" w:rsidR="00640DAB" w:rsidRPr="00B1013F" w:rsidRDefault="00D22E23" w:rsidP="00B1013F">
            <w:pPr>
              <w:pStyle w:val="TableHeading"/>
              <w:rPr>
                <w:rStyle w:val="Strong"/>
                <w:b/>
                <w:bCs w:val="0"/>
              </w:rPr>
            </w:pPr>
            <w:bookmarkStart w:id="206" w:name="Title_10"/>
            <w:bookmarkEnd w:id="206"/>
            <w:r>
              <w:rPr>
                <w:rStyle w:val="Strong"/>
                <w:b/>
                <w:bCs w:val="0"/>
              </w:rPr>
              <w:t>E</w:t>
            </w:r>
            <w:r>
              <w:rPr>
                <w:rStyle w:val="Strong"/>
                <w:b/>
              </w:rPr>
              <w:t>vent</w:t>
            </w:r>
          </w:p>
        </w:tc>
        <w:tc>
          <w:tcPr>
            <w:tcW w:w="1483" w:type="pct"/>
            <w:tcMar>
              <w:left w:w="108" w:type="dxa"/>
              <w:right w:w="108" w:type="dxa"/>
            </w:tcMar>
          </w:tcPr>
          <w:p w14:paraId="2D09B810" w14:textId="77777777" w:rsidR="00640DAB" w:rsidRPr="00B1013F" w:rsidRDefault="00640DAB" w:rsidP="00B1013F">
            <w:pPr>
              <w:pStyle w:val="TableHeading"/>
              <w:rPr>
                <w:rStyle w:val="Strong"/>
                <w:b/>
                <w:bCs w:val="0"/>
              </w:rPr>
            </w:pPr>
            <w:r w:rsidRPr="00B1013F">
              <w:rPr>
                <w:rStyle w:val="Strong"/>
                <w:b/>
                <w:bCs w:val="0"/>
              </w:rPr>
              <w:t>Next scheduled update</w:t>
            </w:r>
          </w:p>
        </w:tc>
      </w:tr>
      <w:tr w:rsidR="00146F8D" w:rsidRPr="00DD0541" w14:paraId="126F379A" w14:textId="77777777" w:rsidTr="006873B6">
        <w:tc>
          <w:tcPr>
            <w:tcW w:w="3517" w:type="pct"/>
            <w:tcMar>
              <w:left w:w="108" w:type="dxa"/>
              <w:right w:w="108" w:type="dxa"/>
            </w:tcMar>
          </w:tcPr>
          <w:p w14:paraId="029D6933" w14:textId="45BF3FF9" w:rsidR="00146F8D" w:rsidRPr="00DD0541" w:rsidRDefault="00146F8D" w:rsidP="00146F8D">
            <w:pPr>
              <w:pStyle w:val="TableText"/>
            </w:pPr>
            <w:r w:rsidRPr="00DD0541">
              <w:t>Portfolio charging review</w:t>
            </w:r>
          </w:p>
        </w:tc>
        <w:tc>
          <w:tcPr>
            <w:tcW w:w="1483" w:type="pct"/>
            <w:tcMar>
              <w:left w:w="108" w:type="dxa"/>
              <w:right w:w="108" w:type="dxa"/>
            </w:tcMar>
          </w:tcPr>
          <w:p w14:paraId="6BD98278" w14:textId="36D995F5" w:rsidR="00146F8D" w:rsidRPr="00DD0541" w:rsidRDefault="00146F8D" w:rsidP="00146F8D">
            <w:pPr>
              <w:pStyle w:val="TableText"/>
            </w:pPr>
            <w:r w:rsidRPr="00DD0541">
              <w:t>202</w:t>
            </w:r>
            <w:r>
              <w:t>6</w:t>
            </w:r>
          </w:p>
        </w:tc>
      </w:tr>
      <w:tr w:rsidR="00146F8D" w:rsidRPr="00DD0541" w14:paraId="2C29E9F4" w14:textId="77777777" w:rsidTr="006873B6">
        <w:tc>
          <w:tcPr>
            <w:tcW w:w="3517" w:type="pct"/>
            <w:tcMar>
              <w:left w:w="108" w:type="dxa"/>
              <w:right w:w="108" w:type="dxa"/>
            </w:tcMar>
          </w:tcPr>
          <w:p w14:paraId="0D7622BB" w14:textId="27BF5AB3" w:rsidR="00146F8D" w:rsidRPr="00DD0541" w:rsidRDefault="00146F8D" w:rsidP="00146F8D">
            <w:pPr>
              <w:pStyle w:val="TableText"/>
            </w:pPr>
            <w:r w:rsidRPr="00DD0541">
              <w:t>Portfolio charging review outcomes to be brought forward in Budget 2026</w:t>
            </w:r>
            <w:r w:rsidRPr="00DD0541">
              <w:rPr>
                <w:lang w:eastAsia="ja-JP"/>
              </w:rPr>
              <w:t>–</w:t>
            </w:r>
            <w:r w:rsidRPr="00DD0541">
              <w:t>27</w:t>
            </w:r>
          </w:p>
        </w:tc>
        <w:tc>
          <w:tcPr>
            <w:tcW w:w="1483" w:type="pct"/>
            <w:tcMar>
              <w:left w:w="108" w:type="dxa"/>
              <w:right w:w="108" w:type="dxa"/>
            </w:tcMar>
          </w:tcPr>
          <w:p w14:paraId="081F19B5" w14:textId="73073EB8" w:rsidR="00146F8D" w:rsidRPr="00195720" w:rsidRDefault="00146F8D" w:rsidP="00146F8D">
            <w:pPr>
              <w:pStyle w:val="TableText"/>
            </w:pPr>
            <w:r w:rsidRPr="00DD0541">
              <w:t>2026</w:t>
            </w:r>
          </w:p>
        </w:tc>
      </w:tr>
      <w:tr w:rsidR="00146F8D" w:rsidRPr="00DD0541" w14:paraId="0CE4515C" w14:textId="77777777" w:rsidTr="006873B6">
        <w:tc>
          <w:tcPr>
            <w:tcW w:w="3517" w:type="pct"/>
            <w:tcMar>
              <w:left w:w="108" w:type="dxa"/>
              <w:right w:w="108" w:type="dxa"/>
            </w:tcMar>
          </w:tcPr>
          <w:p w14:paraId="4692E92C" w14:textId="35B5CE04" w:rsidR="00146F8D" w:rsidRPr="00DD0541" w:rsidRDefault="00146F8D" w:rsidP="00146F8D">
            <w:pPr>
              <w:pStyle w:val="TableText"/>
            </w:pPr>
            <w:r w:rsidRPr="00DD0541">
              <w:t>Updated fees and charges implemented</w:t>
            </w:r>
          </w:p>
        </w:tc>
        <w:tc>
          <w:tcPr>
            <w:tcW w:w="1483" w:type="pct"/>
            <w:tcMar>
              <w:left w:w="108" w:type="dxa"/>
              <w:right w:w="108" w:type="dxa"/>
            </w:tcMar>
          </w:tcPr>
          <w:p w14:paraId="0D08279C" w14:textId="6CD01BC7" w:rsidR="00146F8D" w:rsidRPr="00DD0541" w:rsidRDefault="00146F8D" w:rsidP="00146F8D">
            <w:pPr>
              <w:pStyle w:val="TableText"/>
            </w:pPr>
            <w:r w:rsidRPr="00DD0541">
              <w:t>1 July 202</w:t>
            </w:r>
            <w:r>
              <w:t>6</w:t>
            </w:r>
          </w:p>
        </w:tc>
      </w:tr>
      <w:tr w:rsidR="00146F8D" w:rsidRPr="00DD0541" w14:paraId="0468E2C4" w14:textId="77777777" w:rsidTr="006873B6">
        <w:tc>
          <w:tcPr>
            <w:tcW w:w="3517" w:type="pct"/>
            <w:tcMar>
              <w:left w:w="108" w:type="dxa"/>
              <w:right w:w="108" w:type="dxa"/>
            </w:tcMar>
          </w:tcPr>
          <w:p w14:paraId="4265670F" w14:textId="4EE3E99C" w:rsidR="00146F8D" w:rsidRPr="00DD0541" w:rsidRDefault="00146F8D" w:rsidP="00146F8D">
            <w:pPr>
              <w:pStyle w:val="TableText"/>
            </w:pPr>
            <w:r w:rsidRPr="00DD0541">
              <w:t xml:space="preserve">Review of arrangement </w:t>
            </w:r>
          </w:p>
        </w:tc>
        <w:tc>
          <w:tcPr>
            <w:tcW w:w="1483" w:type="pct"/>
            <w:tcMar>
              <w:left w:w="108" w:type="dxa"/>
              <w:right w:w="108" w:type="dxa"/>
            </w:tcMar>
          </w:tcPr>
          <w:p w14:paraId="472F80B1" w14:textId="1A062E73" w:rsidR="00146F8D" w:rsidRPr="00DD0541" w:rsidRDefault="00146F8D" w:rsidP="00146F8D">
            <w:pPr>
              <w:pStyle w:val="TableText"/>
            </w:pPr>
            <w:r w:rsidRPr="00195720">
              <w:t>1</w:t>
            </w:r>
            <w:r w:rsidRPr="00195720">
              <w:rPr>
                <w:vertAlign w:val="superscript"/>
              </w:rPr>
              <w:t>st</w:t>
            </w:r>
            <w:r w:rsidRPr="00195720">
              <w:t xml:space="preserve"> quarter 202</w:t>
            </w:r>
            <w:r w:rsidR="00FF4481">
              <w:t>6</w:t>
            </w:r>
            <w:r w:rsidR="00074964">
              <w:t>–</w:t>
            </w:r>
            <w:r w:rsidR="00FF4481">
              <w:t>27</w:t>
            </w:r>
          </w:p>
        </w:tc>
      </w:tr>
      <w:tr w:rsidR="00146F8D" w:rsidRPr="00DD0541" w14:paraId="33F54927" w14:textId="77777777" w:rsidTr="006873B6">
        <w:tc>
          <w:tcPr>
            <w:tcW w:w="3517" w:type="pct"/>
            <w:tcMar>
              <w:left w:w="108" w:type="dxa"/>
              <w:right w:w="108" w:type="dxa"/>
            </w:tcMar>
          </w:tcPr>
          <w:p w14:paraId="3EDCAD5A" w14:textId="375C2D95" w:rsidR="00146F8D" w:rsidRPr="00DD0541" w:rsidRDefault="00146F8D" w:rsidP="00146F8D">
            <w:pPr>
              <w:pStyle w:val="TableText"/>
            </w:pPr>
            <w:r>
              <w:t xml:space="preserve">Consultation on </w:t>
            </w:r>
            <w:r w:rsidR="00FF4481">
              <w:t>2027</w:t>
            </w:r>
            <w:r>
              <w:t>–</w:t>
            </w:r>
            <w:r w:rsidR="00FF4481">
              <w:t xml:space="preserve">28 </w:t>
            </w:r>
            <w:r>
              <w:t>CRIS</w:t>
            </w:r>
          </w:p>
        </w:tc>
        <w:tc>
          <w:tcPr>
            <w:tcW w:w="1483" w:type="pct"/>
            <w:tcMar>
              <w:left w:w="108" w:type="dxa"/>
              <w:right w:w="108" w:type="dxa"/>
            </w:tcMar>
          </w:tcPr>
          <w:p w14:paraId="32F31EE7" w14:textId="3AB8B853" w:rsidR="00146F8D" w:rsidRPr="00DD0541" w:rsidRDefault="00146F8D" w:rsidP="00146F8D">
            <w:pPr>
              <w:pStyle w:val="TableText"/>
            </w:pPr>
            <w:r>
              <w:t>3</w:t>
            </w:r>
            <w:r w:rsidRPr="00322D85">
              <w:rPr>
                <w:vertAlign w:val="superscript"/>
              </w:rPr>
              <w:t>rd</w:t>
            </w:r>
            <w:r w:rsidRPr="00195720">
              <w:t xml:space="preserve"> quarter </w:t>
            </w:r>
            <w:r>
              <w:t>2026</w:t>
            </w:r>
            <w:r w:rsidR="00074964">
              <w:t>–</w:t>
            </w:r>
            <w:r w:rsidR="00FF4481">
              <w:t>27</w:t>
            </w:r>
          </w:p>
        </w:tc>
      </w:tr>
      <w:tr w:rsidR="00FF4481" w:rsidRPr="00DD0541" w14:paraId="5F2378A0" w14:textId="77777777" w:rsidTr="006873B6">
        <w:tc>
          <w:tcPr>
            <w:tcW w:w="3517" w:type="pct"/>
            <w:tcMar>
              <w:left w:w="108" w:type="dxa"/>
              <w:right w:w="108" w:type="dxa"/>
            </w:tcMar>
          </w:tcPr>
          <w:p w14:paraId="640430B6" w14:textId="5454051B" w:rsidR="00FF4481" w:rsidRPr="00DD0541" w:rsidRDefault="00FF4481" w:rsidP="00FF4481">
            <w:pPr>
              <w:pStyle w:val="TableText"/>
            </w:pPr>
            <w:r w:rsidRPr="00DD0541">
              <w:t>Updated fees and charges implemented</w:t>
            </w:r>
          </w:p>
        </w:tc>
        <w:tc>
          <w:tcPr>
            <w:tcW w:w="1483" w:type="pct"/>
            <w:tcMar>
              <w:left w:w="108" w:type="dxa"/>
              <w:right w:w="108" w:type="dxa"/>
            </w:tcMar>
          </w:tcPr>
          <w:p w14:paraId="0FCDA444" w14:textId="46B5C63C" w:rsidR="00FF4481" w:rsidRPr="00DD0541" w:rsidRDefault="00FF4481" w:rsidP="00FF4481">
            <w:pPr>
              <w:pStyle w:val="TableText"/>
            </w:pPr>
            <w:r w:rsidRPr="00DD0541">
              <w:t>1 July 202</w:t>
            </w:r>
            <w:r>
              <w:t>7</w:t>
            </w:r>
          </w:p>
        </w:tc>
      </w:tr>
    </w:tbl>
    <w:p w14:paraId="7367FB5A" w14:textId="77777777" w:rsidR="00873528" w:rsidRDefault="00873528" w:rsidP="009C7C37">
      <w:pPr>
        <w:pStyle w:val="Heading2"/>
      </w:pPr>
      <w:bookmarkStart w:id="207" w:name="_Toc233378710"/>
      <w:r w:rsidRPr="00873528">
        <w:lastRenderedPageBreak/>
        <w:t>CRIS approval and change register</w:t>
      </w:r>
      <w:bookmarkEnd w:id="207"/>
    </w:p>
    <w:p w14:paraId="31CDFC95" w14:textId="02EEB467" w:rsidR="00B1013F" w:rsidRPr="00AE1BEB" w:rsidRDefault="006873B6" w:rsidP="00B1013F">
      <w:pPr>
        <w:rPr>
          <w:lang w:eastAsia="ja-JP"/>
        </w:rPr>
      </w:pPr>
      <w:r>
        <w:rPr>
          <w:lang w:eastAsia="ja-JP"/>
        </w:rPr>
        <w:t>We publish</w:t>
      </w:r>
      <w:r w:rsidR="00D22E23">
        <w:rPr>
          <w:lang w:eastAsia="ja-JP"/>
        </w:rPr>
        <w:t xml:space="preserve"> an </w:t>
      </w:r>
      <w:r w:rsidR="00B1013F" w:rsidRPr="00B1013F">
        <w:rPr>
          <w:lang w:eastAsia="ja-JP"/>
        </w:rPr>
        <w:t>update</w:t>
      </w:r>
      <w:r w:rsidR="00D22E23">
        <w:rPr>
          <w:lang w:eastAsia="ja-JP"/>
        </w:rPr>
        <w:t>d</w:t>
      </w:r>
      <w:r w:rsidR="00B1013F" w:rsidRPr="00B1013F">
        <w:rPr>
          <w:lang w:eastAsia="ja-JP"/>
        </w:rPr>
        <w:t xml:space="preserve"> CRIS annually as recommended by the Australian Government Charging Framework and in conjunction with the key dates and events in </w:t>
      </w:r>
      <w:hyperlink w:anchor="_Key_dates_and_1" w:history="1">
        <w:r w:rsidR="001F4822">
          <w:rPr>
            <w:rStyle w:val="Hyperlink"/>
            <w:lang w:eastAsia="ja-JP"/>
          </w:rPr>
          <w:t>chapter 9</w:t>
        </w:r>
      </w:hyperlink>
      <w:r w:rsidR="00B1013F" w:rsidRPr="00DF58E0">
        <w:rPr>
          <w:lang w:eastAsia="ja-JP"/>
        </w:rPr>
        <w:t>.</w:t>
      </w:r>
      <w:r w:rsidR="00B1013F" w:rsidRPr="00B1013F">
        <w:rPr>
          <w:lang w:eastAsia="ja-JP"/>
        </w:rPr>
        <w:t xml:space="preserve"> The change register in </w:t>
      </w:r>
      <w:r w:rsidR="00B1013F" w:rsidRPr="00AE1BEB">
        <w:rPr>
          <w:lang w:eastAsia="ja-JP"/>
        </w:rPr>
        <w:fldChar w:fldCharType="begin"/>
      </w:r>
      <w:r w:rsidR="00B1013F" w:rsidRPr="00AE1BEB">
        <w:rPr>
          <w:lang w:eastAsia="ja-JP"/>
        </w:rPr>
        <w:instrText xml:space="preserve"> REF _Ref193990705 \h </w:instrText>
      </w:r>
      <w:r w:rsidR="0087286F" w:rsidRPr="00AE1BEB">
        <w:rPr>
          <w:lang w:eastAsia="ja-JP"/>
        </w:rPr>
        <w:instrText xml:space="preserve"> \* MERGEFORMAT </w:instrText>
      </w:r>
      <w:r w:rsidR="00B1013F" w:rsidRPr="00AE1BEB">
        <w:rPr>
          <w:lang w:eastAsia="ja-JP"/>
        </w:rPr>
      </w:r>
      <w:r w:rsidR="00B1013F" w:rsidRPr="00AE1BEB">
        <w:rPr>
          <w:lang w:eastAsia="ja-JP"/>
        </w:rPr>
        <w:fldChar w:fldCharType="separate"/>
      </w:r>
      <w:r w:rsidR="00202908" w:rsidRPr="00AE1BEB">
        <w:t xml:space="preserve">Table </w:t>
      </w:r>
      <w:r w:rsidR="00202908">
        <w:rPr>
          <w:noProof/>
        </w:rPr>
        <w:t>14</w:t>
      </w:r>
      <w:r w:rsidR="00B1013F" w:rsidRPr="00AE1BEB">
        <w:rPr>
          <w:lang w:eastAsia="ja-JP"/>
        </w:rPr>
        <w:fldChar w:fldCharType="end"/>
      </w:r>
      <w:r w:rsidR="00B1013F" w:rsidRPr="00AE1BEB">
        <w:rPr>
          <w:lang w:eastAsia="ja-JP"/>
        </w:rPr>
        <w:t xml:space="preserve"> provides a record of updates to this CRIS.</w:t>
      </w:r>
    </w:p>
    <w:p w14:paraId="29698425" w14:textId="4D5EEB45" w:rsidR="00B1013F" w:rsidRPr="00B1013F" w:rsidRDefault="00B1013F" w:rsidP="00B1013F">
      <w:pPr>
        <w:pStyle w:val="Caption"/>
        <w:rPr>
          <w:lang w:eastAsia="ja-JP"/>
        </w:rPr>
      </w:pPr>
      <w:bookmarkStart w:id="208" w:name="_Ref193990705"/>
      <w:bookmarkStart w:id="209" w:name="_Toc233378734"/>
      <w:r w:rsidRPr="00AE1BEB">
        <w:t xml:space="preserve">Table </w:t>
      </w:r>
      <w:fldSimple w:instr=" SEQ Table \* ARABIC ">
        <w:r w:rsidR="00202908">
          <w:rPr>
            <w:noProof/>
          </w:rPr>
          <w:t>14</w:t>
        </w:r>
      </w:fldSimple>
      <w:bookmarkEnd w:id="208"/>
      <w:r w:rsidRPr="00AE1BEB">
        <w:t xml:space="preserve"> Change register</w:t>
      </w:r>
      <w:bookmarkEnd w:id="209"/>
    </w:p>
    <w:tbl>
      <w:tblPr>
        <w:tblW w:w="5000" w:type="pct"/>
        <w:tblBorders>
          <w:top w:val="single" w:sz="4" w:space="0" w:color="auto"/>
          <w:bottom w:val="single" w:sz="4" w:space="0" w:color="auto"/>
        </w:tblBorders>
        <w:tblCellMar>
          <w:left w:w="40" w:type="dxa"/>
          <w:right w:w="40" w:type="dxa"/>
        </w:tblCellMar>
        <w:tblLook w:val="04A0" w:firstRow="1" w:lastRow="0" w:firstColumn="1" w:lastColumn="0" w:noHBand="0" w:noVBand="1"/>
      </w:tblPr>
      <w:tblGrid>
        <w:gridCol w:w="1031"/>
        <w:gridCol w:w="2230"/>
        <w:gridCol w:w="1419"/>
        <w:gridCol w:w="1417"/>
        <w:gridCol w:w="2973"/>
      </w:tblGrid>
      <w:tr w:rsidR="00D22E23" w:rsidRPr="00581026" w14:paraId="02C497CE" w14:textId="77777777" w:rsidTr="006873B6">
        <w:trPr>
          <w:cantSplit/>
          <w:tblHeader/>
        </w:trPr>
        <w:tc>
          <w:tcPr>
            <w:tcW w:w="568" w:type="pct"/>
            <w:tcBorders>
              <w:top w:val="single" w:sz="4" w:space="0" w:color="auto"/>
              <w:bottom w:val="single" w:sz="4" w:space="0" w:color="auto"/>
            </w:tcBorders>
            <w:tcMar>
              <w:left w:w="108" w:type="dxa"/>
              <w:right w:w="108" w:type="dxa"/>
            </w:tcMar>
          </w:tcPr>
          <w:p w14:paraId="332491D4" w14:textId="641EC49C" w:rsidR="00D22E23" w:rsidRPr="001D3FAB" w:rsidRDefault="00D22E23" w:rsidP="003306F1">
            <w:pPr>
              <w:pStyle w:val="TableHeading"/>
            </w:pPr>
            <w:bookmarkStart w:id="210" w:name="Title_11"/>
            <w:bookmarkEnd w:id="210"/>
            <w:r w:rsidRPr="003306F1">
              <w:t>Date</w:t>
            </w:r>
          </w:p>
        </w:tc>
        <w:tc>
          <w:tcPr>
            <w:tcW w:w="1229" w:type="pct"/>
            <w:tcBorders>
              <w:top w:val="single" w:sz="4" w:space="0" w:color="auto"/>
              <w:bottom w:val="single" w:sz="4" w:space="0" w:color="auto"/>
            </w:tcBorders>
            <w:tcMar>
              <w:left w:w="108" w:type="dxa"/>
              <w:right w:w="108" w:type="dxa"/>
            </w:tcMar>
          </w:tcPr>
          <w:p w14:paraId="0C3C49A1" w14:textId="4B18DA41" w:rsidR="00D22E23" w:rsidRPr="003306F1" w:rsidRDefault="00D22E23" w:rsidP="003306F1">
            <w:pPr>
              <w:pStyle w:val="TableHeading"/>
            </w:pPr>
            <w:r>
              <w:t>Document</w:t>
            </w:r>
          </w:p>
        </w:tc>
        <w:tc>
          <w:tcPr>
            <w:tcW w:w="782" w:type="pct"/>
            <w:tcBorders>
              <w:top w:val="single" w:sz="4" w:space="0" w:color="auto"/>
              <w:bottom w:val="single" w:sz="4" w:space="0" w:color="auto"/>
            </w:tcBorders>
            <w:tcMar>
              <w:left w:w="108" w:type="dxa"/>
              <w:right w:w="108" w:type="dxa"/>
            </w:tcMar>
          </w:tcPr>
          <w:p w14:paraId="1CFB377A" w14:textId="0B6970FD" w:rsidR="00D22E23" w:rsidRPr="003306F1" w:rsidRDefault="00D22E23" w:rsidP="003306F1">
            <w:pPr>
              <w:pStyle w:val="TableHeading"/>
            </w:pPr>
            <w:r>
              <w:t>C</w:t>
            </w:r>
            <w:r w:rsidRPr="003306F1">
              <w:t>hange</w:t>
            </w:r>
          </w:p>
        </w:tc>
        <w:tc>
          <w:tcPr>
            <w:tcW w:w="781" w:type="pct"/>
            <w:tcBorders>
              <w:top w:val="single" w:sz="4" w:space="0" w:color="auto"/>
              <w:bottom w:val="single" w:sz="4" w:space="0" w:color="auto"/>
            </w:tcBorders>
            <w:tcMar>
              <w:left w:w="108" w:type="dxa"/>
              <w:right w:w="108" w:type="dxa"/>
            </w:tcMar>
          </w:tcPr>
          <w:p w14:paraId="6C8C0568" w14:textId="77777777" w:rsidR="00D22E23" w:rsidRPr="003306F1" w:rsidRDefault="00D22E23" w:rsidP="003306F1">
            <w:pPr>
              <w:pStyle w:val="TableHeading"/>
            </w:pPr>
            <w:r w:rsidRPr="003306F1">
              <w:t>Approver</w:t>
            </w:r>
          </w:p>
        </w:tc>
        <w:tc>
          <w:tcPr>
            <w:tcW w:w="1639" w:type="pct"/>
            <w:tcBorders>
              <w:top w:val="single" w:sz="4" w:space="0" w:color="auto"/>
              <w:bottom w:val="single" w:sz="4" w:space="0" w:color="auto"/>
            </w:tcBorders>
            <w:tcMar>
              <w:left w:w="108" w:type="dxa"/>
              <w:right w:w="108" w:type="dxa"/>
            </w:tcMar>
          </w:tcPr>
          <w:p w14:paraId="52B84890" w14:textId="77777777" w:rsidR="00D22E23" w:rsidRPr="003306F1" w:rsidRDefault="00D22E23" w:rsidP="003306F1">
            <w:pPr>
              <w:pStyle w:val="TableHeading"/>
            </w:pPr>
            <w:r w:rsidRPr="003306F1">
              <w:t>Basis for change</w:t>
            </w:r>
          </w:p>
        </w:tc>
      </w:tr>
      <w:tr w:rsidR="00D22E23" w:rsidRPr="00581026" w14:paraId="57101C65" w14:textId="77777777" w:rsidTr="006873B6">
        <w:tc>
          <w:tcPr>
            <w:tcW w:w="568" w:type="pct"/>
            <w:tcBorders>
              <w:top w:val="single" w:sz="4" w:space="0" w:color="auto"/>
              <w:bottom w:val="single" w:sz="4" w:space="0" w:color="auto"/>
            </w:tcBorders>
            <w:tcMar>
              <w:left w:w="108" w:type="dxa"/>
              <w:right w:w="108" w:type="dxa"/>
            </w:tcMar>
          </w:tcPr>
          <w:p w14:paraId="37442F1F" w14:textId="5C03AF1F" w:rsidR="00D22E23" w:rsidRPr="00581026" w:rsidRDefault="00D22E23" w:rsidP="00A86D04">
            <w:pPr>
              <w:pStyle w:val="TableText"/>
            </w:pPr>
            <w:r w:rsidRPr="00581026">
              <w:t>May 2023</w:t>
            </w:r>
          </w:p>
        </w:tc>
        <w:tc>
          <w:tcPr>
            <w:tcW w:w="1229" w:type="pct"/>
            <w:tcBorders>
              <w:top w:val="single" w:sz="4" w:space="0" w:color="auto"/>
              <w:bottom w:val="single" w:sz="4" w:space="0" w:color="auto"/>
            </w:tcBorders>
            <w:tcMar>
              <w:left w:w="108" w:type="dxa"/>
              <w:right w:w="108" w:type="dxa"/>
            </w:tcMar>
          </w:tcPr>
          <w:p w14:paraId="05CAEEA0" w14:textId="203ADDB8" w:rsidR="00D22E23" w:rsidRPr="00581026" w:rsidRDefault="00D22E23" w:rsidP="00A86D04">
            <w:pPr>
              <w:pStyle w:val="TableText"/>
            </w:pPr>
            <w:r w:rsidRPr="00581026">
              <w:t>CRIS: Biosecurity 2023–24</w:t>
            </w:r>
          </w:p>
        </w:tc>
        <w:tc>
          <w:tcPr>
            <w:tcW w:w="782" w:type="pct"/>
            <w:tcBorders>
              <w:top w:val="single" w:sz="4" w:space="0" w:color="auto"/>
              <w:bottom w:val="single" w:sz="4" w:space="0" w:color="auto"/>
            </w:tcBorders>
            <w:tcMar>
              <w:left w:w="108" w:type="dxa"/>
              <w:right w:w="108" w:type="dxa"/>
            </w:tcMar>
          </w:tcPr>
          <w:p w14:paraId="4DD0946C" w14:textId="7FE16ACB" w:rsidR="00D22E23" w:rsidRPr="00581026" w:rsidRDefault="00D22E23" w:rsidP="00A86D04">
            <w:pPr>
              <w:pStyle w:val="TableText"/>
            </w:pPr>
            <w:r w:rsidRPr="00581026">
              <w:t>Certification of the CRIS</w:t>
            </w:r>
          </w:p>
        </w:tc>
        <w:tc>
          <w:tcPr>
            <w:tcW w:w="781" w:type="pct"/>
            <w:tcBorders>
              <w:top w:val="single" w:sz="4" w:space="0" w:color="auto"/>
              <w:bottom w:val="single" w:sz="4" w:space="0" w:color="auto"/>
            </w:tcBorders>
            <w:tcMar>
              <w:left w:w="108" w:type="dxa"/>
              <w:right w:w="108" w:type="dxa"/>
            </w:tcMar>
          </w:tcPr>
          <w:p w14:paraId="55DADD1B" w14:textId="146212DA" w:rsidR="00D22E23" w:rsidRPr="00581026" w:rsidRDefault="00D22E23" w:rsidP="00A86D04">
            <w:pPr>
              <w:pStyle w:val="TableText"/>
            </w:pPr>
            <w:r w:rsidRPr="008949A1">
              <w:t>Secretary</w:t>
            </w:r>
            <w:r w:rsidR="008949A1" w:rsidRPr="0052010F">
              <w:t xml:space="preserve"> of the Department of Agriculture, Fisheries and Forestry</w:t>
            </w:r>
          </w:p>
        </w:tc>
        <w:tc>
          <w:tcPr>
            <w:tcW w:w="1639" w:type="pct"/>
            <w:tcBorders>
              <w:top w:val="single" w:sz="4" w:space="0" w:color="auto"/>
              <w:bottom w:val="single" w:sz="4" w:space="0" w:color="auto"/>
            </w:tcBorders>
            <w:tcMar>
              <w:left w:w="108" w:type="dxa"/>
              <w:right w:w="108" w:type="dxa"/>
            </w:tcMar>
          </w:tcPr>
          <w:p w14:paraId="486147E6" w14:textId="77777777" w:rsidR="00D22E23" w:rsidRPr="00581026" w:rsidRDefault="00D22E23" w:rsidP="00A86D04">
            <w:pPr>
              <w:pStyle w:val="TableText"/>
            </w:pPr>
            <w:r w:rsidRPr="00581026">
              <w:t>Increase to regulatory charges following a comprehensive review of the cost recovery arrangement, aligning actual costs, effort, risk and prices.</w:t>
            </w:r>
          </w:p>
        </w:tc>
      </w:tr>
      <w:tr w:rsidR="00D22E23" w:rsidRPr="00581026" w14:paraId="7FF0DE1B" w14:textId="77777777" w:rsidTr="006873B6">
        <w:tc>
          <w:tcPr>
            <w:tcW w:w="568" w:type="pct"/>
            <w:tcBorders>
              <w:top w:val="single" w:sz="4" w:space="0" w:color="auto"/>
              <w:bottom w:val="single" w:sz="4" w:space="0" w:color="auto"/>
            </w:tcBorders>
            <w:tcMar>
              <w:left w:w="108" w:type="dxa"/>
              <w:right w:w="108" w:type="dxa"/>
            </w:tcMar>
          </w:tcPr>
          <w:p w14:paraId="3ECC692D" w14:textId="10581833" w:rsidR="00D22E23" w:rsidRPr="00581026" w:rsidRDefault="00D22E23" w:rsidP="00A86D04">
            <w:pPr>
              <w:pStyle w:val="TableText"/>
            </w:pPr>
            <w:r w:rsidRPr="00581026">
              <w:t>June 2023</w:t>
            </w:r>
          </w:p>
        </w:tc>
        <w:tc>
          <w:tcPr>
            <w:tcW w:w="1229" w:type="pct"/>
            <w:tcBorders>
              <w:top w:val="single" w:sz="4" w:space="0" w:color="auto"/>
              <w:bottom w:val="single" w:sz="4" w:space="0" w:color="auto"/>
            </w:tcBorders>
            <w:tcMar>
              <w:left w:w="108" w:type="dxa"/>
              <w:right w:w="108" w:type="dxa"/>
            </w:tcMar>
          </w:tcPr>
          <w:p w14:paraId="5B9C80AE" w14:textId="14D66767" w:rsidR="00D22E23" w:rsidRPr="00581026" w:rsidRDefault="00D22E23" w:rsidP="00A86D04">
            <w:pPr>
              <w:pStyle w:val="TableText"/>
            </w:pPr>
            <w:r w:rsidRPr="00581026">
              <w:t>CRIS: Biosecurity 2023–24</w:t>
            </w:r>
          </w:p>
        </w:tc>
        <w:tc>
          <w:tcPr>
            <w:tcW w:w="782" w:type="pct"/>
            <w:tcBorders>
              <w:top w:val="single" w:sz="4" w:space="0" w:color="auto"/>
              <w:bottom w:val="single" w:sz="4" w:space="0" w:color="auto"/>
            </w:tcBorders>
            <w:tcMar>
              <w:left w:w="108" w:type="dxa"/>
              <w:right w:w="108" w:type="dxa"/>
            </w:tcMar>
          </w:tcPr>
          <w:p w14:paraId="42EBB193" w14:textId="553133C9" w:rsidR="00D22E23" w:rsidRPr="00581026" w:rsidRDefault="00D22E23" w:rsidP="00A86D04">
            <w:pPr>
              <w:pStyle w:val="TableText"/>
            </w:pPr>
            <w:r w:rsidRPr="00581026">
              <w:t>Approval for the CRIS release</w:t>
            </w:r>
          </w:p>
        </w:tc>
        <w:tc>
          <w:tcPr>
            <w:tcW w:w="781" w:type="pct"/>
            <w:tcBorders>
              <w:top w:val="single" w:sz="4" w:space="0" w:color="auto"/>
              <w:bottom w:val="single" w:sz="4" w:space="0" w:color="auto"/>
            </w:tcBorders>
            <w:tcMar>
              <w:left w:w="108" w:type="dxa"/>
              <w:right w:w="108" w:type="dxa"/>
            </w:tcMar>
          </w:tcPr>
          <w:p w14:paraId="67082027" w14:textId="77777777" w:rsidR="00D22E23" w:rsidRPr="00581026" w:rsidRDefault="00D22E23" w:rsidP="00A86D04">
            <w:pPr>
              <w:pStyle w:val="TableText"/>
            </w:pPr>
            <w:r w:rsidRPr="00581026">
              <w:t>Minister for Agriculture, Fisheries and Forestry</w:t>
            </w:r>
          </w:p>
        </w:tc>
        <w:tc>
          <w:tcPr>
            <w:tcW w:w="1639" w:type="pct"/>
            <w:tcBorders>
              <w:top w:val="single" w:sz="4" w:space="0" w:color="auto"/>
              <w:bottom w:val="single" w:sz="4" w:space="0" w:color="auto"/>
            </w:tcBorders>
            <w:tcMar>
              <w:left w:w="108" w:type="dxa"/>
              <w:right w:w="108" w:type="dxa"/>
            </w:tcMar>
          </w:tcPr>
          <w:p w14:paraId="3DC66A82" w14:textId="1EA50823" w:rsidR="00D22E23" w:rsidRPr="00581026" w:rsidRDefault="00D22E23" w:rsidP="00A86D04">
            <w:pPr>
              <w:pStyle w:val="TableText"/>
            </w:pPr>
            <w:r w:rsidRPr="00581026">
              <w:t xml:space="preserve">Medium risk rating for regulatory charging activities requiring portfolio </w:t>
            </w:r>
            <w:r>
              <w:t>m</w:t>
            </w:r>
            <w:r w:rsidRPr="00581026">
              <w:t>inister approval only.</w:t>
            </w:r>
          </w:p>
        </w:tc>
      </w:tr>
      <w:tr w:rsidR="00D22E23" w:rsidRPr="00581026" w14:paraId="5289676D" w14:textId="77777777" w:rsidTr="006873B6">
        <w:tc>
          <w:tcPr>
            <w:tcW w:w="568" w:type="pct"/>
            <w:vMerge w:val="restart"/>
            <w:tcBorders>
              <w:top w:val="single" w:sz="4" w:space="0" w:color="auto"/>
            </w:tcBorders>
            <w:tcMar>
              <w:left w:w="108" w:type="dxa"/>
              <w:right w:w="108" w:type="dxa"/>
            </w:tcMar>
          </w:tcPr>
          <w:p w14:paraId="613ED7F1" w14:textId="563B022A" w:rsidR="00D22E23" w:rsidRPr="00581026" w:rsidRDefault="00D22E23" w:rsidP="00A86D04">
            <w:pPr>
              <w:pStyle w:val="TableText"/>
            </w:pPr>
            <w:r w:rsidRPr="00581026">
              <w:t>June 2024</w:t>
            </w:r>
          </w:p>
        </w:tc>
        <w:tc>
          <w:tcPr>
            <w:tcW w:w="1229" w:type="pct"/>
            <w:vMerge w:val="restart"/>
            <w:tcBorders>
              <w:top w:val="single" w:sz="4" w:space="0" w:color="auto"/>
            </w:tcBorders>
            <w:tcMar>
              <w:left w:w="108" w:type="dxa"/>
              <w:right w:w="108" w:type="dxa"/>
            </w:tcMar>
          </w:tcPr>
          <w:p w14:paraId="3C44E968" w14:textId="65A5D0FF" w:rsidR="00D22E23" w:rsidRPr="00581026" w:rsidRDefault="00D22E23" w:rsidP="00A86D04">
            <w:pPr>
              <w:pStyle w:val="TableText"/>
            </w:pPr>
            <w:r w:rsidRPr="00581026">
              <w:t>CRIS: Biosecurity 2024–25</w:t>
            </w:r>
          </w:p>
        </w:tc>
        <w:tc>
          <w:tcPr>
            <w:tcW w:w="782" w:type="pct"/>
            <w:tcBorders>
              <w:top w:val="single" w:sz="4" w:space="0" w:color="auto"/>
              <w:bottom w:val="single" w:sz="4" w:space="0" w:color="auto"/>
            </w:tcBorders>
            <w:tcMar>
              <w:left w:w="108" w:type="dxa"/>
              <w:right w:w="108" w:type="dxa"/>
            </w:tcMar>
          </w:tcPr>
          <w:p w14:paraId="42EF29FE" w14:textId="1E018B2C" w:rsidR="00D22E23" w:rsidRPr="00581026" w:rsidRDefault="00D22E23" w:rsidP="00A86D04">
            <w:pPr>
              <w:pStyle w:val="TableText"/>
            </w:pPr>
            <w:r w:rsidRPr="00581026">
              <w:t>Certification of the CRIS</w:t>
            </w:r>
          </w:p>
        </w:tc>
        <w:tc>
          <w:tcPr>
            <w:tcW w:w="781" w:type="pct"/>
            <w:tcBorders>
              <w:top w:val="single" w:sz="4" w:space="0" w:color="auto"/>
              <w:bottom w:val="single" w:sz="4" w:space="0" w:color="auto"/>
            </w:tcBorders>
            <w:tcMar>
              <w:left w:w="108" w:type="dxa"/>
              <w:right w:w="108" w:type="dxa"/>
            </w:tcMar>
          </w:tcPr>
          <w:p w14:paraId="6C2ACF43" w14:textId="30CEEF82" w:rsidR="00D22E23" w:rsidRPr="00581026" w:rsidRDefault="008949A1" w:rsidP="00A86D04">
            <w:pPr>
              <w:pStyle w:val="TableText"/>
            </w:pPr>
            <w:r w:rsidRPr="008949A1">
              <w:t>Secretary</w:t>
            </w:r>
            <w:r w:rsidRPr="00F155C8">
              <w:t xml:space="preserve"> of the Department of Agriculture, Fisheries and Forestry</w:t>
            </w:r>
          </w:p>
        </w:tc>
        <w:tc>
          <w:tcPr>
            <w:tcW w:w="1639" w:type="pct"/>
            <w:tcBorders>
              <w:top w:val="single" w:sz="4" w:space="0" w:color="auto"/>
              <w:bottom w:val="single" w:sz="4" w:space="0" w:color="auto"/>
            </w:tcBorders>
            <w:tcMar>
              <w:left w:w="108" w:type="dxa"/>
              <w:right w:w="108" w:type="dxa"/>
            </w:tcMar>
          </w:tcPr>
          <w:p w14:paraId="415E1CF3" w14:textId="77777777" w:rsidR="00D22E23" w:rsidRPr="00581026" w:rsidRDefault="00D22E23" w:rsidP="00A86D04">
            <w:pPr>
              <w:pStyle w:val="TableText"/>
            </w:pPr>
            <w:r w:rsidRPr="00581026">
              <w:t>Apply indexation to increase regulatory fees and charges for the cost recovery arrangement, to continue to align actual costs, effort, risk and prices.</w:t>
            </w:r>
          </w:p>
        </w:tc>
      </w:tr>
      <w:tr w:rsidR="00D22E23" w:rsidRPr="00581026" w14:paraId="4BD29976" w14:textId="77777777" w:rsidTr="006873B6">
        <w:tc>
          <w:tcPr>
            <w:tcW w:w="568" w:type="pct"/>
            <w:vMerge/>
            <w:tcBorders>
              <w:bottom w:val="single" w:sz="4" w:space="0" w:color="auto"/>
            </w:tcBorders>
            <w:tcMar>
              <w:left w:w="108" w:type="dxa"/>
              <w:right w:w="108" w:type="dxa"/>
            </w:tcMar>
          </w:tcPr>
          <w:p w14:paraId="5FFDBF1C" w14:textId="727EB9FB" w:rsidR="00D22E23" w:rsidRPr="00581026" w:rsidRDefault="00D22E23" w:rsidP="00A86D04">
            <w:pPr>
              <w:pStyle w:val="TableText"/>
            </w:pPr>
          </w:p>
        </w:tc>
        <w:tc>
          <w:tcPr>
            <w:tcW w:w="1229" w:type="pct"/>
            <w:vMerge/>
            <w:tcBorders>
              <w:bottom w:val="single" w:sz="4" w:space="0" w:color="auto"/>
            </w:tcBorders>
            <w:tcMar>
              <w:left w:w="108" w:type="dxa"/>
              <w:right w:w="108" w:type="dxa"/>
            </w:tcMar>
          </w:tcPr>
          <w:p w14:paraId="34F3765E" w14:textId="579CAACD" w:rsidR="00D22E23" w:rsidRPr="00581026" w:rsidRDefault="00D22E23" w:rsidP="00A86D04">
            <w:pPr>
              <w:pStyle w:val="TableText"/>
            </w:pPr>
          </w:p>
        </w:tc>
        <w:tc>
          <w:tcPr>
            <w:tcW w:w="782" w:type="pct"/>
            <w:tcBorders>
              <w:top w:val="single" w:sz="4" w:space="0" w:color="auto"/>
              <w:bottom w:val="single" w:sz="4" w:space="0" w:color="auto"/>
            </w:tcBorders>
            <w:tcMar>
              <w:left w:w="108" w:type="dxa"/>
              <w:right w:w="108" w:type="dxa"/>
            </w:tcMar>
          </w:tcPr>
          <w:p w14:paraId="249984BE" w14:textId="3ABB0D21" w:rsidR="00D22E23" w:rsidRPr="00581026" w:rsidRDefault="00D22E23" w:rsidP="00A86D04">
            <w:pPr>
              <w:pStyle w:val="TableText"/>
            </w:pPr>
            <w:r w:rsidRPr="00581026">
              <w:t>Approval for the CRIS release</w:t>
            </w:r>
          </w:p>
        </w:tc>
        <w:tc>
          <w:tcPr>
            <w:tcW w:w="781" w:type="pct"/>
            <w:tcBorders>
              <w:top w:val="single" w:sz="4" w:space="0" w:color="auto"/>
              <w:bottom w:val="single" w:sz="4" w:space="0" w:color="auto"/>
            </w:tcBorders>
            <w:tcMar>
              <w:left w:w="108" w:type="dxa"/>
              <w:right w:w="108" w:type="dxa"/>
            </w:tcMar>
          </w:tcPr>
          <w:p w14:paraId="30863242" w14:textId="77777777" w:rsidR="00D22E23" w:rsidRPr="00581026" w:rsidRDefault="00D22E23" w:rsidP="00A86D04">
            <w:pPr>
              <w:pStyle w:val="TableText"/>
            </w:pPr>
            <w:r w:rsidRPr="00581026">
              <w:t>Minister for Agriculture, Fisheries and Forestry</w:t>
            </w:r>
          </w:p>
        </w:tc>
        <w:tc>
          <w:tcPr>
            <w:tcW w:w="1639" w:type="pct"/>
            <w:tcBorders>
              <w:top w:val="single" w:sz="4" w:space="0" w:color="auto"/>
              <w:bottom w:val="single" w:sz="4" w:space="0" w:color="auto"/>
            </w:tcBorders>
            <w:tcMar>
              <w:left w:w="108" w:type="dxa"/>
              <w:right w:w="108" w:type="dxa"/>
            </w:tcMar>
            <w:vAlign w:val="center"/>
          </w:tcPr>
          <w:p w14:paraId="2742E186" w14:textId="0DC7176F" w:rsidR="00D22E23" w:rsidRPr="00581026" w:rsidRDefault="00D22E23" w:rsidP="00A86D04">
            <w:pPr>
              <w:pStyle w:val="TableText"/>
            </w:pPr>
            <w:r w:rsidRPr="00581026">
              <w:t xml:space="preserve">Medium risk rating for regulatory charging activities requiring portfolio </w:t>
            </w:r>
            <w:r>
              <w:t>m</w:t>
            </w:r>
            <w:r w:rsidRPr="00581026">
              <w:t>inister approval only.</w:t>
            </w:r>
          </w:p>
        </w:tc>
      </w:tr>
      <w:tr w:rsidR="00D22E23" w:rsidRPr="00581026" w14:paraId="6DC06956" w14:textId="77777777" w:rsidTr="006873B6">
        <w:tc>
          <w:tcPr>
            <w:tcW w:w="568" w:type="pct"/>
            <w:vMerge w:val="restart"/>
            <w:tcBorders>
              <w:top w:val="single" w:sz="4" w:space="0" w:color="auto"/>
            </w:tcBorders>
            <w:tcMar>
              <w:left w:w="108" w:type="dxa"/>
              <w:right w:w="108" w:type="dxa"/>
            </w:tcMar>
          </w:tcPr>
          <w:p w14:paraId="510713BE" w14:textId="1BA0D2B2" w:rsidR="00D22E23" w:rsidRPr="00581026" w:rsidRDefault="00D22E23" w:rsidP="00A86D04">
            <w:pPr>
              <w:pStyle w:val="TableText"/>
            </w:pPr>
            <w:r>
              <w:t>June 2025</w:t>
            </w:r>
          </w:p>
        </w:tc>
        <w:tc>
          <w:tcPr>
            <w:tcW w:w="1229" w:type="pct"/>
            <w:vMerge w:val="restart"/>
            <w:tcBorders>
              <w:top w:val="single" w:sz="4" w:space="0" w:color="auto"/>
            </w:tcBorders>
            <w:tcMar>
              <w:left w:w="108" w:type="dxa"/>
              <w:right w:w="108" w:type="dxa"/>
            </w:tcMar>
          </w:tcPr>
          <w:p w14:paraId="4D2E866E" w14:textId="3BD0D4B4" w:rsidR="00D22E23" w:rsidRPr="00581026" w:rsidRDefault="00D22E23" w:rsidP="00A86D04">
            <w:pPr>
              <w:pStyle w:val="TableText"/>
            </w:pPr>
            <w:r w:rsidRPr="00581026">
              <w:t>CRIS: Biosecurity 202</w:t>
            </w:r>
            <w:r>
              <w:t>5</w:t>
            </w:r>
            <w:r w:rsidRPr="00581026">
              <w:t>–2</w:t>
            </w:r>
            <w:r>
              <w:t>6</w:t>
            </w:r>
          </w:p>
        </w:tc>
        <w:tc>
          <w:tcPr>
            <w:tcW w:w="782" w:type="pct"/>
            <w:tcBorders>
              <w:top w:val="single" w:sz="4" w:space="0" w:color="auto"/>
              <w:bottom w:val="single" w:sz="4" w:space="0" w:color="auto"/>
            </w:tcBorders>
            <w:tcMar>
              <w:left w:w="108" w:type="dxa"/>
              <w:right w:w="108" w:type="dxa"/>
            </w:tcMar>
          </w:tcPr>
          <w:p w14:paraId="178D2FAD" w14:textId="7B10C3A5" w:rsidR="00D22E23" w:rsidRPr="00581026" w:rsidRDefault="00D22E23" w:rsidP="00A86D04">
            <w:pPr>
              <w:pStyle w:val="TableText"/>
            </w:pPr>
            <w:r w:rsidRPr="00581026">
              <w:t>Certification of the CRIS</w:t>
            </w:r>
          </w:p>
        </w:tc>
        <w:tc>
          <w:tcPr>
            <w:tcW w:w="781" w:type="pct"/>
            <w:tcBorders>
              <w:top w:val="single" w:sz="4" w:space="0" w:color="auto"/>
              <w:bottom w:val="single" w:sz="4" w:space="0" w:color="auto"/>
            </w:tcBorders>
            <w:tcMar>
              <w:left w:w="108" w:type="dxa"/>
              <w:right w:w="108" w:type="dxa"/>
            </w:tcMar>
          </w:tcPr>
          <w:p w14:paraId="1E6AB68C" w14:textId="6B1736F0" w:rsidR="00D22E23" w:rsidRPr="00581026" w:rsidRDefault="008949A1" w:rsidP="00A86D04">
            <w:pPr>
              <w:pStyle w:val="TableText"/>
            </w:pPr>
            <w:r w:rsidRPr="008949A1">
              <w:t>Secretary</w:t>
            </w:r>
            <w:r w:rsidRPr="00F155C8">
              <w:t xml:space="preserve"> of the Department of Agriculture, Fisheries and Forestry</w:t>
            </w:r>
          </w:p>
        </w:tc>
        <w:tc>
          <w:tcPr>
            <w:tcW w:w="1639" w:type="pct"/>
            <w:tcBorders>
              <w:top w:val="single" w:sz="4" w:space="0" w:color="auto"/>
              <w:bottom w:val="single" w:sz="4" w:space="0" w:color="auto"/>
            </w:tcBorders>
            <w:tcMar>
              <w:left w:w="108" w:type="dxa"/>
              <w:right w:w="108" w:type="dxa"/>
            </w:tcMar>
          </w:tcPr>
          <w:p w14:paraId="7EE9E342" w14:textId="35DAC618" w:rsidR="00D22E23" w:rsidRPr="00581026" w:rsidRDefault="00862696" w:rsidP="00A86D04">
            <w:pPr>
              <w:pStyle w:val="TableText"/>
            </w:pPr>
            <w:r w:rsidRPr="00581026">
              <w:t>Apply indexation to increase regulatory fees and charges for the cost recovery arrangement, to continue to align actual costs, effort, risk and prices</w:t>
            </w:r>
            <w:r>
              <w:t>. Introduced new charge</w:t>
            </w:r>
            <w:r w:rsidR="00892619">
              <w:t>s</w:t>
            </w:r>
            <w:r>
              <w:t xml:space="preserve"> for approved arrangements and compliance agreements. </w:t>
            </w:r>
          </w:p>
        </w:tc>
      </w:tr>
      <w:tr w:rsidR="00D22E23" w:rsidRPr="00581026" w14:paraId="4399BBF0" w14:textId="77777777" w:rsidTr="006873B6">
        <w:tc>
          <w:tcPr>
            <w:tcW w:w="568" w:type="pct"/>
            <w:vMerge/>
            <w:tcBorders>
              <w:bottom w:val="single" w:sz="4" w:space="0" w:color="auto"/>
            </w:tcBorders>
            <w:tcMar>
              <w:left w:w="108" w:type="dxa"/>
              <w:right w:w="108" w:type="dxa"/>
            </w:tcMar>
          </w:tcPr>
          <w:p w14:paraId="5975DC1C" w14:textId="6303DD1A" w:rsidR="00D22E23" w:rsidRPr="00581026" w:rsidRDefault="00D22E23" w:rsidP="00A86D04">
            <w:pPr>
              <w:pStyle w:val="TableText"/>
            </w:pPr>
          </w:p>
        </w:tc>
        <w:tc>
          <w:tcPr>
            <w:tcW w:w="1229" w:type="pct"/>
            <w:vMerge/>
            <w:tcBorders>
              <w:bottom w:val="single" w:sz="4" w:space="0" w:color="auto"/>
            </w:tcBorders>
            <w:tcMar>
              <w:left w:w="108" w:type="dxa"/>
              <w:right w:w="108" w:type="dxa"/>
            </w:tcMar>
          </w:tcPr>
          <w:p w14:paraId="3AD2AD8F" w14:textId="412EFE40" w:rsidR="00D22E23" w:rsidRPr="00581026" w:rsidRDefault="00D22E23" w:rsidP="00A86D04">
            <w:pPr>
              <w:pStyle w:val="TableText"/>
            </w:pPr>
          </w:p>
        </w:tc>
        <w:tc>
          <w:tcPr>
            <w:tcW w:w="782" w:type="pct"/>
            <w:tcBorders>
              <w:top w:val="single" w:sz="4" w:space="0" w:color="auto"/>
              <w:bottom w:val="single" w:sz="4" w:space="0" w:color="auto"/>
            </w:tcBorders>
            <w:tcMar>
              <w:left w:w="108" w:type="dxa"/>
              <w:right w:w="108" w:type="dxa"/>
            </w:tcMar>
          </w:tcPr>
          <w:p w14:paraId="198A0FC4" w14:textId="0CE7FC9C" w:rsidR="00D22E23" w:rsidRPr="00581026" w:rsidRDefault="00D22E23" w:rsidP="00A86D04">
            <w:pPr>
              <w:pStyle w:val="TableText"/>
            </w:pPr>
            <w:r w:rsidRPr="00581026">
              <w:t>Approval for the CRIS release</w:t>
            </w:r>
          </w:p>
        </w:tc>
        <w:tc>
          <w:tcPr>
            <w:tcW w:w="781" w:type="pct"/>
            <w:tcBorders>
              <w:top w:val="single" w:sz="4" w:space="0" w:color="auto"/>
              <w:bottom w:val="single" w:sz="4" w:space="0" w:color="auto"/>
            </w:tcBorders>
            <w:tcMar>
              <w:left w:w="108" w:type="dxa"/>
              <w:right w:w="108" w:type="dxa"/>
            </w:tcMar>
          </w:tcPr>
          <w:p w14:paraId="608B93C4" w14:textId="6D78E383" w:rsidR="00D22E23" w:rsidRPr="00581026" w:rsidRDefault="00D22E23" w:rsidP="00A86D04">
            <w:pPr>
              <w:pStyle w:val="TableText"/>
            </w:pPr>
            <w:r w:rsidRPr="00581026">
              <w:t>Minister for Agriculture, Fisheries and Forestry</w:t>
            </w:r>
          </w:p>
        </w:tc>
        <w:tc>
          <w:tcPr>
            <w:tcW w:w="1639" w:type="pct"/>
            <w:tcBorders>
              <w:top w:val="single" w:sz="4" w:space="0" w:color="auto"/>
              <w:bottom w:val="single" w:sz="4" w:space="0" w:color="auto"/>
            </w:tcBorders>
            <w:tcMar>
              <w:left w:w="108" w:type="dxa"/>
              <w:right w:w="108" w:type="dxa"/>
            </w:tcMar>
          </w:tcPr>
          <w:p w14:paraId="65B09D91" w14:textId="77777777" w:rsidR="00D22E23" w:rsidRPr="00581026" w:rsidRDefault="00862696" w:rsidP="00A86D04">
            <w:pPr>
              <w:pStyle w:val="TableText"/>
            </w:pPr>
            <w:r w:rsidRPr="00581026">
              <w:t xml:space="preserve">Medium risk rating for regulatory charging activities requiring portfolio </w:t>
            </w:r>
            <w:r>
              <w:t>m</w:t>
            </w:r>
            <w:r w:rsidRPr="00581026">
              <w:t>inister approval only.</w:t>
            </w:r>
          </w:p>
        </w:tc>
      </w:tr>
      <w:tr w:rsidR="001F1C2E" w:rsidRPr="00581026" w14:paraId="4A857F93" w14:textId="77777777" w:rsidTr="006873B6">
        <w:tc>
          <w:tcPr>
            <w:tcW w:w="568" w:type="pct"/>
            <w:tcBorders>
              <w:top w:val="single" w:sz="4" w:space="0" w:color="auto"/>
              <w:bottom w:val="single" w:sz="4" w:space="0" w:color="auto"/>
            </w:tcBorders>
            <w:tcMar>
              <w:left w:w="108" w:type="dxa"/>
              <w:right w:w="108" w:type="dxa"/>
            </w:tcMar>
          </w:tcPr>
          <w:p w14:paraId="2E7A4A98" w14:textId="4FC83F59" w:rsidR="001F1C2E" w:rsidRPr="00581026" w:rsidRDefault="001F1C2E" w:rsidP="00A86D04">
            <w:pPr>
              <w:pStyle w:val="TableText"/>
            </w:pPr>
            <w:r>
              <w:t>June 2026</w:t>
            </w:r>
          </w:p>
        </w:tc>
        <w:tc>
          <w:tcPr>
            <w:tcW w:w="1229" w:type="pct"/>
            <w:tcBorders>
              <w:top w:val="single" w:sz="4" w:space="0" w:color="auto"/>
              <w:bottom w:val="single" w:sz="4" w:space="0" w:color="auto"/>
            </w:tcBorders>
            <w:tcMar>
              <w:left w:w="108" w:type="dxa"/>
              <w:right w:w="108" w:type="dxa"/>
            </w:tcMar>
          </w:tcPr>
          <w:p w14:paraId="248C82FC" w14:textId="72D9EE73" w:rsidR="001F1C2E" w:rsidRPr="00581026" w:rsidRDefault="001F1C2E" w:rsidP="00A86D04">
            <w:pPr>
              <w:pStyle w:val="TableText"/>
            </w:pPr>
            <w:r w:rsidRPr="00581026">
              <w:t>CRIS: Biosecurity 202</w:t>
            </w:r>
            <w:r>
              <w:t>6</w:t>
            </w:r>
            <w:r w:rsidR="001F4822">
              <w:t>–</w:t>
            </w:r>
            <w:r>
              <w:t>27</w:t>
            </w:r>
          </w:p>
        </w:tc>
        <w:tc>
          <w:tcPr>
            <w:tcW w:w="782" w:type="pct"/>
            <w:tcBorders>
              <w:top w:val="single" w:sz="4" w:space="0" w:color="auto"/>
              <w:bottom w:val="single" w:sz="4" w:space="0" w:color="auto"/>
            </w:tcBorders>
            <w:tcMar>
              <w:left w:w="108" w:type="dxa"/>
              <w:right w:w="108" w:type="dxa"/>
            </w:tcMar>
          </w:tcPr>
          <w:p w14:paraId="3D89C840" w14:textId="3A464CBA" w:rsidR="001F1C2E" w:rsidRPr="00581026" w:rsidRDefault="001F1C2E" w:rsidP="00A86D04">
            <w:pPr>
              <w:pStyle w:val="TableText"/>
            </w:pPr>
            <w:r w:rsidRPr="00581026">
              <w:t>Certification of the CRIS</w:t>
            </w:r>
          </w:p>
        </w:tc>
        <w:tc>
          <w:tcPr>
            <w:tcW w:w="781" w:type="pct"/>
            <w:tcBorders>
              <w:top w:val="single" w:sz="4" w:space="0" w:color="auto"/>
              <w:bottom w:val="single" w:sz="4" w:space="0" w:color="auto"/>
            </w:tcBorders>
            <w:tcMar>
              <w:left w:w="108" w:type="dxa"/>
              <w:right w:w="108" w:type="dxa"/>
            </w:tcMar>
          </w:tcPr>
          <w:p w14:paraId="69D41CC2" w14:textId="1FAC8BFB" w:rsidR="001F1C2E" w:rsidRPr="00581026" w:rsidRDefault="001F1C2E" w:rsidP="00A86D04">
            <w:pPr>
              <w:pStyle w:val="TableText"/>
            </w:pPr>
            <w:r w:rsidRPr="008949A1">
              <w:t>Secretary</w:t>
            </w:r>
            <w:r w:rsidRPr="00F155C8">
              <w:t xml:space="preserve"> of the Department of Agriculture, Fisheries and Forestry</w:t>
            </w:r>
          </w:p>
        </w:tc>
        <w:tc>
          <w:tcPr>
            <w:tcW w:w="1639" w:type="pct"/>
            <w:tcBorders>
              <w:top w:val="single" w:sz="4" w:space="0" w:color="auto"/>
              <w:bottom w:val="single" w:sz="4" w:space="0" w:color="auto"/>
            </w:tcBorders>
            <w:tcMar>
              <w:left w:w="108" w:type="dxa"/>
              <w:right w:w="108" w:type="dxa"/>
            </w:tcMar>
          </w:tcPr>
          <w:p w14:paraId="096032B2" w14:textId="1C624914" w:rsidR="001F1C2E" w:rsidRPr="00581026" w:rsidRDefault="001F1C2E" w:rsidP="00A86D04">
            <w:pPr>
              <w:pStyle w:val="TableText"/>
            </w:pPr>
            <w:r w:rsidRPr="00713B36">
              <w:rPr>
                <w:szCs w:val="18"/>
              </w:rPr>
              <w:t xml:space="preserve">Apply indexation to increase regulatory fees and charges for the cost recovery arrangement, to continue to align actual costs, effort, risk and prices. Introduced new charges for </w:t>
            </w:r>
            <w:r w:rsidRPr="00713B36">
              <w:rPr>
                <w:rFonts w:ascii="Calibri" w:eastAsia="Calibri" w:hAnsi="Calibri" w:cs="Times New Roman"/>
                <w:szCs w:val="18"/>
              </w:rPr>
              <w:t xml:space="preserve">live garden snails housed at the </w:t>
            </w:r>
            <w:r w:rsidR="00743835">
              <w:rPr>
                <w:rFonts w:ascii="Calibri" w:eastAsia="Calibri" w:hAnsi="Calibri" w:cs="Times New Roman"/>
                <w:szCs w:val="18"/>
              </w:rPr>
              <w:t>PEQ</w:t>
            </w:r>
            <w:r w:rsidRPr="00713B36">
              <w:rPr>
                <w:rFonts w:ascii="Calibri" w:eastAsia="Calibri" w:hAnsi="Calibri" w:cs="Times New Roman"/>
                <w:szCs w:val="18"/>
              </w:rPr>
              <w:t xml:space="preserve"> facility, remove </w:t>
            </w:r>
            <w:r w:rsidR="002B327E">
              <w:rPr>
                <w:rFonts w:ascii="Calibri" w:eastAsia="Calibri" w:hAnsi="Calibri" w:cs="Times New Roman"/>
                <w:szCs w:val="18"/>
              </w:rPr>
              <w:t xml:space="preserve">redundant </w:t>
            </w:r>
            <w:r w:rsidRPr="00713B36">
              <w:rPr>
                <w:rFonts w:ascii="Calibri" w:eastAsia="Calibri" w:hAnsi="Calibri" w:cs="Times New Roman"/>
                <w:szCs w:val="18"/>
              </w:rPr>
              <w:t>fees for outside ordinary hours import permit assessment and horse husbandry, revise provisions for avian imports and include provisions to support improved charging for diagnostic activities</w:t>
            </w:r>
            <w:r w:rsidR="00743835">
              <w:rPr>
                <w:rFonts w:ascii="Calibri" w:eastAsia="Calibri" w:hAnsi="Calibri" w:cs="Times New Roman"/>
                <w:szCs w:val="18"/>
              </w:rPr>
              <w:t>.</w:t>
            </w:r>
          </w:p>
        </w:tc>
      </w:tr>
      <w:tr w:rsidR="001F1C2E" w:rsidRPr="00581026" w14:paraId="1FAFF6DD" w14:textId="77777777" w:rsidTr="006873B6">
        <w:tc>
          <w:tcPr>
            <w:tcW w:w="568" w:type="pct"/>
            <w:tcBorders>
              <w:top w:val="single" w:sz="4" w:space="0" w:color="auto"/>
              <w:bottom w:val="single" w:sz="4" w:space="0" w:color="auto"/>
            </w:tcBorders>
            <w:tcMar>
              <w:left w:w="108" w:type="dxa"/>
              <w:right w:w="108" w:type="dxa"/>
            </w:tcMar>
          </w:tcPr>
          <w:p w14:paraId="6FF62B8D" w14:textId="1F1044F5" w:rsidR="001F1C2E" w:rsidRPr="00581026" w:rsidRDefault="00743835" w:rsidP="00A86D04">
            <w:pPr>
              <w:pStyle w:val="TableText"/>
            </w:pPr>
            <w:r w:rsidRPr="00743835">
              <w:t>June 2026</w:t>
            </w:r>
          </w:p>
        </w:tc>
        <w:tc>
          <w:tcPr>
            <w:tcW w:w="1229" w:type="pct"/>
            <w:tcBorders>
              <w:top w:val="single" w:sz="4" w:space="0" w:color="auto"/>
              <w:bottom w:val="single" w:sz="4" w:space="0" w:color="auto"/>
            </w:tcBorders>
            <w:tcMar>
              <w:left w:w="108" w:type="dxa"/>
              <w:right w:w="108" w:type="dxa"/>
            </w:tcMar>
          </w:tcPr>
          <w:p w14:paraId="51F1A18E" w14:textId="2D9DAB9D" w:rsidR="001F1C2E" w:rsidRPr="00581026" w:rsidRDefault="00743835" w:rsidP="00A86D04">
            <w:pPr>
              <w:pStyle w:val="TableText"/>
            </w:pPr>
            <w:r w:rsidRPr="00743835">
              <w:t>CRIS: Biosecurity 2026</w:t>
            </w:r>
            <w:r w:rsidR="001F4822">
              <w:t>–</w:t>
            </w:r>
            <w:r w:rsidRPr="00743835">
              <w:t>27</w:t>
            </w:r>
          </w:p>
        </w:tc>
        <w:tc>
          <w:tcPr>
            <w:tcW w:w="782" w:type="pct"/>
            <w:tcBorders>
              <w:top w:val="single" w:sz="4" w:space="0" w:color="auto"/>
              <w:bottom w:val="single" w:sz="4" w:space="0" w:color="auto"/>
            </w:tcBorders>
            <w:tcMar>
              <w:left w:w="108" w:type="dxa"/>
              <w:right w:w="108" w:type="dxa"/>
            </w:tcMar>
          </w:tcPr>
          <w:p w14:paraId="3DCF9CA1" w14:textId="657AD7C7" w:rsidR="001F1C2E" w:rsidRPr="00581026" w:rsidRDefault="001F1C2E" w:rsidP="00A86D04">
            <w:pPr>
              <w:pStyle w:val="TableText"/>
            </w:pPr>
            <w:r w:rsidRPr="00581026">
              <w:t>Approval for the CRIS release</w:t>
            </w:r>
          </w:p>
        </w:tc>
        <w:tc>
          <w:tcPr>
            <w:tcW w:w="781" w:type="pct"/>
            <w:tcBorders>
              <w:top w:val="single" w:sz="4" w:space="0" w:color="auto"/>
              <w:bottom w:val="single" w:sz="4" w:space="0" w:color="auto"/>
            </w:tcBorders>
            <w:tcMar>
              <w:left w:w="108" w:type="dxa"/>
              <w:right w:w="108" w:type="dxa"/>
            </w:tcMar>
          </w:tcPr>
          <w:p w14:paraId="60B8905F" w14:textId="6AED572D" w:rsidR="001F1C2E" w:rsidRPr="00581026" w:rsidRDefault="001F1C2E" w:rsidP="00A86D04">
            <w:pPr>
              <w:pStyle w:val="TableText"/>
            </w:pPr>
            <w:r w:rsidRPr="00581026">
              <w:t>Minister for Agriculture, Fisheries and Forestry</w:t>
            </w:r>
          </w:p>
        </w:tc>
        <w:tc>
          <w:tcPr>
            <w:tcW w:w="1639" w:type="pct"/>
            <w:tcBorders>
              <w:top w:val="single" w:sz="4" w:space="0" w:color="auto"/>
              <w:bottom w:val="single" w:sz="4" w:space="0" w:color="auto"/>
            </w:tcBorders>
            <w:tcMar>
              <w:left w:w="108" w:type="dxa"/>
              <w:right w:w="108" w:type="dxa"/>
            </w:tcMar>
          </w:tcPr>
          <w:p w14:paraId="23877C15" w14:textId="66C7B0E7" w:rsidR="001F1C2E" w:rsidRPr="00581026" w:rsidRDefault="001F1C2E" w:rsidP="00A86D04">
            <w:pPr>
              <w:pStyle w:val="TableText"/>
            </w:pPr>
            <w:r w:rsidRPr="00581026">
              <w:t xml:space="preserve">Medium risk rating for regulatory charging activities requiring portfolio </w:t>
            </w:r>
            <w:r>
              <w:t>m</w:t>
            </w:r>
            <w:r w:rsidRPr="00581026">
              <w:t>inister approval only.</w:t>
            </w:r>
          </w:p>
        </w:tc>
      </w:tr>
    </w:tbl>
    <w:p w14:paraId="1DBD2CD5" w14:textId="7B323FBB" w:rsidR="00A11C6F" w:rsidRPr="00FA52DE" w:rsidRDefault="00A11C6F">
      <w:pPr>
        <w:pStyle w:val="Heading2"/>
        <w:numPr>
          <w:ilvl w:val="0"/>
          <w:numId w:val="0"/>
        </w:numPr>
      </w:pPr>
      <w:bookmarkStart w:id="211" w:name="_Appendix_A:_Summary"/>
      <w:bookmarkStart w:id="212" w:name="_Appendix_B:_Description"/>
      <w:bookmarkStart w:id="213" w:name="_Appendix_B:_Indexation"/>
      <w:bookmarkStart w:id="214" w:name="_Appendix_B:_Cost"/>
      <w:bookmarkStart w:id="215" w:name="_Toc198788508"/>
      <w:bookmarkStart w:id="216" w:name="_Toc168489271"/>
      <w:bookmarkStart w:id="217" w:name="_Toc168489568"/>
      <w:bookmarkStart w:id="218" w:name="_Toc168645266"/>
      <w:bookmarkStart w:id="219" w:name="_Toc233378711"/>
      <w:bookmarkEnd w:id="211"/>
      <w:bookmarkEnd w:id="212"/>
      <w:bookmarkEnd w:id="213"/>
      <w:bookmarkEnd w:id="214"/>
      <w:r w:rsidRPr="00FA52DE">
        <w:lastRenderedPageBreak/>
        <w:t>Appendix A: Summary of key regulatory</w:t>
      </w:r>
      <w:r w:rsidR="001F736D">
        <w:t xml:space="preserve"> </w:t>
      </w:r>
      <w:r w:rsidRPr="00FA52DE">
        <w:t>activity volumes</w:t>
      </w:r>
      <w:bookmarkEnd w:id="215"/>
      <w:bookmarkEnd w:id="216"/>
      <w:bookmarkEnd w:id="217"/>
      <w:bookmarkEnd w:id="218"/>
      <w:bookmarkEnd w:id="219"/>
    </w:p>
    <w:p w14:paraId="249A680D" w14:textId="033A10B5" w:rsidR="008E4D51" w:rsidRDefault="008E4D51" w:rsidP="00E7520E">
      <w:r w:rsidRPr="008E4D51">
        <w:t>During 2024–25, over 154 million cargo declarations were made, of which 4.5 million were full import declarations and 150.3 million were for low</w:t>
      </w:r>
      <w:r w:rsidR="00A86D04">
        <w:t>-</w:t>
      </w:r>
      <w:r w:rsidRPr="008E4D51">
        <w:t>value cargo under $1,000 in value. Over</w:t>
      </w:r>
      <w:r w:rsidR="00A86D04">
        <w:t> </w:t>
      </w:r>
      <w:r w:rsidRPr="008E4D51">
        <w:t>109,000</w:t>
      </w:r>
      <w:r w:rsidR="00A86D04">
        <w:t> </w:t>
      </w:r>
      <w:r w:rsidRPr="008E4D51">
        <w:t>international flights arrived at international airports and over 19,000 international vessels entered seaports around the country. Around 18,500 import permit applications were submitted and nearly 9,000 animals were processed at PEQ facilities.</w:t>
      </w:r>
    </w:p>
    <w:p w14:paraId="71814DBA" w14:textId="3599BEE3" w:rsidR="00A11C6F" w:rsidRPr="003232D5" w:rsidRDefault="00A11C6F" w:rsidP="00E7520E">
      <w:r w:rsidRPr="006731D8">
        <w:t xml:space="preserve">This data may differ to other reported figures due to updates associated with data reporting protocols and corrections arising </w:t>
      </w:r>
      <w:r>
        <w:t xml:space="preserve">and made </w:t>
      </w:r>
      <w:r w:rsidRPr="006731D8">
        <w:t>from time</w:t>
      </w:r>
      <w:r w:rsidR="00A86D04">
        <w:t xml:space="preserve"> </w:t>
      </w:r>
      <w:r w:rsidRPr="006731D8">
        <w:t>to</w:t>
      </w:r>
      <w:r w:rsidR="00A86D04">
        <w:t xml:space="preserve"> </w:t>
      </w:r>
      <w:r w:rsidRPr="006731D8">
        <w:t>time.</w:t>
      </w:r>
    </w:p>
    <w:p w14:paraId="088FCF7C" w14:textId="56626726" w:rsidR="00A11C6F" w:rsidRDefault="0066767A" w:rsidP="00A86D04">
      <w:pPr>
        <w:pStyle w:val="Caption"/>
      </w:pPr>
      <w:bookmarkStart w:id="220" w:name="_Toc232769881"/>
      <w:r w:rsidRPr="00A86D04">
        <w:t>Table A</w:t>
      </w:r>
      <w:fldSimple w:instr=" SEQ Table_A \* ARABIC ">
        <w:r w:rsidR="00581023" w:rsidRPr="00A86D04">
          <w:t>1</w:t>
        </w:r>
      </w:fldSimple>
      <w:r w:rsidRPr="00A86D04">
        <w:t xml:space="preserve"> Vessel and aircraft</w:t>
      </w:r>
      <w:r w:rsidR="00D95EF9">
        <w:t xml:space="preserve"> volumes, 2021–22 to </w:t>
      </w:r>
      <w:r w:rsidR="00270499">
        <w:t>2024–25</w:t>
      </w:r>
      <w:bookmarkEnd w:id="220"/>
    </w:p>
    <w:tbl>
      <w:tblPr>
        <w:tblpPr w:leftFromText="180" w:rightFromText="180" w:vertAnchor="text" w:horzAnchor="margin" w:tblpY="-39"/>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040"/>
        <w:gridCol w:w="2677"/>
        <w:gridCol w:w="2677"/>
        <w:gridCol w:w="2676"/>
      </w:tblGrid>
      <w:tr w:rsidR="00A86D04" w:rsidRPr="0029167F" w14:paraId="7DC8EE73" w14:textId="77777777" w:rsidTr="00EB4AAF">
        <w:trPr>
          <w:tblHeader/>
        </w:trPr>
        <w:tc>
          <w:tcPr>
            <w:tcW w:w="573" w:type="pct"/>
            <w:tcMar>
              <w:left w:w="108" w:type="dxa"/>
              <w:right w:w="108" w:type="dxa"/>
            </w:tcMar>
          </w:tcPr>
          <w:p w14:paraId="2383E6B5" w14:textId="77777777" w:rsidR="00A86D04" w:rsidRPr="003248F8" w:rsidRDefault="00A86D04" w:rsidP="00A86D04">
            <w:pPr>
              <w:pStyle w:val="TableHeading"/>
              <w:rPr>
                <w:rStyle w:val="Strong"/>
                <w:b/>
                <w:bCs w:val="0"/>
              </w:rPr>
            </w:pPr>
            <w:r w:rsidRPr="00A86D04">
              <w:rPr>
                <w:rStyle w:val="Strong"/>
                <w:b/>
                <w:bCs w:val="0"/>
              </w:rPr>
              <w:t>Year</w:t>
            </w:r>
          </w:p>
        </w:tc>
        <w:tc>
          <w:tcPr>
            <w:tcW w:w="1476" w:type="pct"/>
            <w:tcMar>
              <w:left w:w="108" w:type="dxa"/>
              <w:right w:w="108" w:type="dxa"/>
            </w:tcMar>
          </w:tcPr>
          <w:p w14:paraId="16366ECB" w14:textId="77777777" w:rsidR="00A86D04" w:rsidRPr="003248F8" w:rsidRDefault="00A86D04" w:rsidP="00EB4AAF">
            <w:pPr>
              <w:pStyle w:val="TableHeading"/>
              <w:jc w:val="right"/>
              <w:rPr>
                <w:rStyle w:val="Strong"/>
                <w:rFonts w:ascii="Calibri" w:hAnsi="Calibri"/>
                <w:b/>
                <w:bCs w:val="0"/>
                <w:sz w:val="24"/>
                <w:szCs w:val="18"/>
              </w:rPr>
            </w:pPr>
            <w:r w:rsidRPr="003248F8">
              <w:rPr>
                <w:rStyle w:val="Strong"/>
                <w:b/>
                <w:bCs w:val="0"/>
              </w:rPr>
              <w:t>Total number of international voyages</w:t>
            </w:r>
          </w:p>
        </w:tc>
        <w:tc>
          <w:tcPr>
            <w:tcW w:w="1476" w:type="pct"/>
            <w:tcMar>
              <w:left w:w="108" w:type="dxa"/>
              <w:right w:w="108" w:type="dxa"/>
            </w:tcMar>
          </w:tcPr>
          <w:p w14:paraId="41452EB3" w14:textId="77777777" w:rsidR="00A86D04" w:rsidRPr="003248F8" w:rsidRDefault="00A86D04" w:rsidP="00EB4AAF">
            <w:pPr>
              <w:pStyle w:val="TableHeading"/>
              <w:jc w:val="right"/>
              <w:rPr>
                <w:rStyle w:val="Strong"/>
                <w:rFonts w:ascii="Calibri" w:hAnsi="Calibri"/>
                <w:b/>
                <w:bCs w:val="0"/>
                <w:sz w:val="24"/>
                <w:szCs w:val="18"/>
              </w:rPr>
            </w:pPr>
            <w:bookmarkStart w:id="221" w:name="_Hlk167262314"/>
            <w:r w:rsidRPr="003248F8">
              <w:rPr>
                <w:rStyle w:val="Strong"/>
                <w:b/>
                <w:bCs w:val="0"/>
              </w:rPr>
              <w:t>Number of voyage inspections</w:t>
            </w:r>
            <w:bookmarkEnd w:id="221"/>
          </w:p>
        </w:tc>
        <w:tc>
          <w:tcPr>
            <w:tcW w:w="1475" w:type="pct"/>
            <w:tcMar>
              <w:left w:w="108" w:type="dxa"/>
              <w:right w:w="108" w:type="dxa"/>
            </w:tcMar>
          </w:tcPr>
          <w:p w14:paraId="161D5169" w14:textId="77777777" w:rsidR="00A86D04" w:rsidRPr="003248F8" w:rsidRDefault="00A86D04" w:rsidP="00EB4AAF">
            <w:pPr>
              <w:pStyle w:val="TableHeading"/>
              <w:jc w:val="right"/>
              <w:rPr>
                <w:rStyle w:val="Strong"/>
                <w:rFonts w:ascii="Calibri" w:hAnsi="Calibri"/>
                <w:b/>
                <w:bCs w:val="0"/>
                <w:sz w:val="24"/>
                <w:szCs w:val="18"/>
              </w:rPr>
            </w:pPr>
            <w:r w:rsidRPr="003248F8">
              <w:rPr>
                <w:rStyle w:val="Strong"/>
                <w:b/>
                <w:bCs w:val="0"/>
              </w:rPr>
              <w:t>Total number of international aircraft arrivals</w:t>
            </w:r>
          </w:p>
        </w:tc>
      </w:tr>
      <w:tr w:rsidR="00A86D04" w:rsidRPr="0029167F" w14:paraId="74792BEF" w14:textId="77777777" w:rsidTr="00EB4AAF">
        <w:trPr>
          <w:tblHeader/>
        </w:trPr>
        <w:tc>
          <w:tcPr>
            <w:tcW w:w="573" w:type="pct"/>
            <w:tcMar>
              <w:left w:w="108" w:type="dxa"/>
              <w:right w:w="108" w:type="dxa"/>
            </w:tcMar>
          </w:tcPr>
          <w:p w14:paraId="2070B2A8" w14:textId="77777777" w:rsidR="00A86D04" w:rsidRPr="00D74FA6" w:rsidRDefault="00A86D04" w:rsidP="00A86D04">
            <w:pPr>
              <w:pStyle w:val="TableHeading"/>
              <w:rPr>
                <w:rStyle w:val="Strong"/>
              </w:rPr>
            </w:pPr>
            <w:r w:rsidRPr="00A86D04">
              <w:rPr>
                <w:rStyle w:val="Strong"/>
              </w:rPr>
              <w:t>2024–25</w:t>
            </w:r>
          </w:p>
        </w:tc>
        <w:tc>
          <w:tcPr>
            <w:tcW w:w="1476" w:type="pct"/>
            <w:tcMar>
              <w:left w:w="108" w:type="dxa"/>
              <w:right w:w="108" w:type="dxa"/>
            </w:tcMar>
          </w:tcPr>
          <w:p w14:paraId="1E829AB2" w14:textId="77777777" w:rsidR="00A86D04" w:rsidRPr="00D74FA6" w:rsidRDefault="00A86D04" w:rsidP="00A86D04">
            <w:pPr>
              <w:pStyle w:val="TableHeading"/>
              <w:jc w:val="right"/>
              <w:rPr>
                <w:rStyle w:val="Strong"/>
              </w:rPr>
            </w:pPr>
            <w:r w:rsidRPr="00994562">
              <w:rPr>
                <w:rStyle w:val="Strong"/>
              </w:rPr>
              <w:t>19,195</w:t>
            </w:r>
          </w:p>
        </w:tc>
        <w:tc>
          <w:tcPr>
            <w:tcW w:w="1476" w:type="pct"/>
            <w:tcMar>
              <w:left w:w="108" w:type="dxa"/>
              <w:right w:w="108" w:type="dxa"/>
            </w:tcMar>
          </w:tcPr>
          <w:p w14:paraId="137552F8" w14:textId="77777777" w:rsidR="00A86D04" w:rsidRPr="00D74FA6" w:rsidRDefault="00A86D04" w:rsidP="00A86D04">
            <w:pPr>
              <w:pStyle w:val="TableHeading"/>
              <w:jc w:val="right"/>
              <w:rPr>
                <w:rStyle w:val="Strong"/>
              </w:rPr>
            </w:pPr>
            <w:r w:rsidRPr="00994562">
              <w:rPr>
                <w:rStyle w:val="Strong"/>
              </w:rPr>
              <w:t>10,803</w:t>
            </w:r>
          </w:p>
        </w:tc>
        <w:tc>
          <w:tcPr>
            <w:tcW w:w="1475" w:type="pct"/>
            <w:tcMar>
              <w:left w:w="108" w:type="dxa"/>
              <w:right w:w="108" w:type="dxa"/>
            </w:tcMar>
          </w:tcPr>
          <w:p w14:paraId="16FC9F55" w14:textId="77777777" w:rsidR="00A86D04" w:rsidRPr="00D74FA6" w:rsidRDefault="00A86D04" w:rsidP="00A86D04">
            <w:pPr>
              <w:pStyle w:val="TableHeading"/>
              <w:jc w:val="right"/>
              <w:rPr>
                <w:rStyle w:val="Strong"/>
              </w:rPr>
            </w:pPr>
            <w:r w:rsidRPr="00035AFF">
              <w:rPr>
                <w:rStyle w:val="Strong"/>
              </w:rPr>
              <w:t>109,803</w:t>
            </w:r>
          </w:p>
        </w:tc>
      </w:tr>
      <w:tr w:rsidR="00A86D04" w:rsidRPr="0029167F" w14:paraId="39E1C4B7" w14:textId="77777777" w:rsidTr="00EB4AAF">
        <w:tc>
          <w:tcPr>
            <w:tcW w:w="573" w:type="pct"/>
            <w:tcMar>
              <w:left w:w="108" w:type="dxa"/>
              <w:right w:w="108" w:type="dxa"/>
            </w:tcMar>
          </w:tcPr>
          <w:p w14:paraId="67976888" w14:textId="77777777" w:rsidR="00A86D04" w:rsidRPr="0029167F" w:rsidRDefault="00A86D04" w:rsidP="00A86D04">
            <w:pPr>
              <w:pStyle w:val="TableText"/>
              <w:rPr>
                <w:rFonts w:cstheme="minorHAnsi"/>
              </w:rPr>
            </w:pPr>
            <w:r w:rsidRPr="00520464">
              <w:t>2023</w:t>
            </w:r>
            <w:r>
              <w:t>–</w:t>
            </w:r>
            <w:r w:rsidRPr="00520464">
              <w:t>24</w:t>
            </w:r>
          </w:p>
        </w:tc>
        <w:tc>
          <w:tcPr>
            <w:tcW w:w="1476" w:type="pct"/>
            <w:tcMar>
              <w:left w:w="108" w:type="dxa"/>
              <w:right w:w="108" w:type="dxa"/>
            </w:tcMar>
          </w:tcPr>
          <w:p w14:paraId="36921B39" w14:textId="77777777" w:rsidR="00A86D04" w:rsidRPr="0029167F" w:rsidRDefault="00A86D04" w:rsidP="00A86D04">
            <w:pPr>
              <w:pStyle w:val="TableText"/>
              <w:jc w:val="right"/>
              <w:rPr>
                <w:rFonts w:cstheme="minorHAnsi"/>
              </w:rPr>
            </w:pPr>
            <w:r w:rsidRPr="00994562">
              <w:t>19,822</w:t>
            </w:r>
          </w:p>
        </w:tc>
        <w:tc>
          <w:tcPr>
            <w:tcW w:w="1476" w:type="pct"/>
            <w:tcMar>
              <w:left w:w="108" w:type="dxa"/>
              <w:right w:w="108" w:type="dxa"/>
            </w:tcMar>
          </w:tcPr>
          <w:p w14:paraId="1E2B302D" w14:textId="77777777" w:rsidR="00A86D04" w:rsidRPr="0029167F" w:rsidRDefault="00A86D04" w:rsidP="00A86D04">
            <w:pPr>
              <w:pStyle w:val="TableText"/>
              <w:jc w:val="right"/>
              <w:rPr>
                <w:rFonts w:cstheme="minorHAnsi"/>
              </w:rPr>
            </w:pPr>
            <w:r w:rsidRPr="00520464">
              <w:t>11,089</w:t>
            </w:r>
          </w:p>
        </w:tc>
        <w:tc>
          <w:tcPr>
            <w:tcW w:w="1475" w:type="pct"/>
            <w:tcMar>
              <w:left w:w="108" w:type="dxa"/>
              <w:right w:w="108" w:type="dxa"/>
            </w:tcMar>
          </w:tcPr>
          <w:p w14:paraId="79E3F959" w14:textId="77777777" w:rsidR="00A86D04" w:rsidRPr="0029167F" w:rsidRDefault="00A86D04" w:rsidP="00A86D04">
            <w:pPr>
              <w:pStyle w:val="TableText"/>
              <w:jc w:val="right"/>
              <w:rPr>
                <w:rFonts w:cstheme="minorHAnsi"/>
              </w:rPr>
            </w:pPr>
            <w:r w:rsidRPr="00520464">
              <w:t>104,530</w:t>
            </w:r>
          </w:p>
        </w:tc>
      </w:tr>
      <w:tr w:rsidR="00A86D04" w:rsidRPr="0029167F" w14:paraId="28A2365A" w14:textId="77777777" w:rsidTr="00EB4AAF">
        <w:tc>
          <w:tcPr>
            <w:tcW w:w="573" w:type="pct"/>
            <w:tcMar>
              <w:left w:w="108" w:type="dxa"/>
              <w:right w:w="108" w:type="dxa"/>
            </w:tcMar>
          </w:tcPr>
          <w:p w14:paraId="25448436" w14:textId="77777777" w:rsidR="00A86D04" w:rsidRPr="0029167F" w:rsidRDefault="00A86D04" w:rsidP="00A86D04">
            <w:pPr>
              <w:pStyle w:val="TableText"/>
              <w:rPr>
                <w:rFonts w:cstheme="minorHAnsi"/>
              </w:rPr>
            </w:pPr>
            <w:r w:rsidRPr="00A26910">
              <w:rPr>
                <w:rFonts w:cstheme="minorHAnsi"/>
              </w:rPr>
              <w:t>2022</w:t>
            </w:r>
            <w:r>
              <w:rPr>
                <w:rFonts w:cstheme="minorHAnsi"/>
              </w:rPr>
              <w:t>–</w:t>
            </w:r>
            <w:r w:rsidRPr="00A26910">
              <w:rPr>
                <w:rFonts w:cstheme="minorHAnsi"/>
              </w:rPr>
              <w:t>23</w:t>
            </w:r>
          </w:p>
        </w:tc>
        <w:tc>
          <w:tcPr>
            <w:tcW w:w="1476" w:type="pct"/>
            <w:tcMar>
              <w:left w:w="108" w:type="dxa"/>
              <w:right w:w="108" w:type="dxa"/>
            </w:tcMar>
          </w:tcPr>
          <w:p w14:paraId="5090DC64" w14:textId="77777777" w:rsidR="00A86D04" w:rsidRPr="0029167F" w:rsidRDefault="00A86D04" w:rsidP="00A86D04">
            <w:pPr>
              <w:pStyle w:val="TableText"/>
              <w:jc w:val="right"/>
              <w:rPr>
                <w:rFonts w:cstheme="minorHAnsi"/>
              </w:rPr>
            </w:pPr>
            <w:r w:rsidRPr="00994562">
              <w:rPr>
                <w:rFonts w:cstheme="minorHAnsi"/>
              </w:rPr>
              <w:t>19,320</w:t>
            </w:r>
          </w:p>
        </w:tc>
        <w:tc>
          <w:tcPr>
            <w:tcW w:w="1476" w:type="pct"/>
            <w:tcMar>
              <w:left w:w="108" w:type="dxa"/>
              <w:right w:w="108" w:type="dxa"/>
            </w:tcMar>
          </w:tcPr>
          <w:p w14:paraId="6063BAD3" w14:textId="77777777" w:rsidR="00A86D04" w:rsidRPr="0029167F" w:rsidRDefault="00A86D04" w:rsidP="00A86D04">
            <w:pPr>
              <w:pStyle w:val="TableText"/>
              <w:jc w:val="right"/>
              <w:rPr>
                <w:rFonts w:cstheme="minorHAnsi"/>
              </w:rPr>
            </w:pPr>
            <w:r w:rsidRPr="00035AFF">
              <w:rPr>
                <w:rFonts w:cstheme="minorHAnsi"/>
              </w:rPr>
              <w:t>10,951</w:t>
            </w:r>
          </w:p>
        </w:tc>
        <w:tc>
          <w:tcPr>
            <w:tcW w:w="1475" w:type="pct"/>
            <w:tcMar>
              <w:left w:w="108" w:type="dxa"/>
              <w:right w:w="108" w:type="dxa"/>
            </w:tcMar>
          </w:tcPr>
          <w:p w14:paraId="6D0309F7" w14:textId="77777777" w:rsidR="00A86D04" w:rsidRPr="0029167F" w:rsidRDefault="00A86D04" w:rsidP="00A86D04">
            <w:pPr>
              <w:pStyle w:val="TableText"/>
              <w:jc w:val="right"/>
              <w:rPr>
                <w:rFonts w:cstheme="minorHAnsi"/>
              </w:rPr>
            </w:pPr>
            <w:r w:rsidRPr="00035AFF">
              <w:rPr>
                <w:rFonts w:cstheme="minorHAnsi"/>
              </w:rPr>
              <w:t>81,990</w:t>
            </w:r>
          </w:p>
        </w:tc>
      </w:tr>
      <w:tr w:rsidR="00A86D04" w:rsidRPr="0029167F" w14:paraId="2AB7D8C5" w14:textId="77777777" w:rsidTr="00EB4AAF">
        <w:tc>
          <w:tcPr>
            <w:tcW w:w="573" w:type="pct"/>
            <w:tcMar>
              <w:left w:w="108" w:type="dxa"/>
              <w:right w:w="108" w:type="dxa"/>
            </w:tcMar>
          </w:tcPr>
          <w:p w14:paraId="720BEAA4" w14:textId="77777777" w:rsidR="00A86D04" w:rsidRPr="0029167F" w:rsidRDefault="00A86D04" w:rsidP="00A86D04">
            <w:pPr>
              <w:pStyle w:val="TableText"/>
              <w:spacing w:after="120"/>
              <w:rPr>
                <w:rFonts w:cstheme="minorHAnsi"/>
              </w:rPr>
            </w:pPr>
            <w:r>
              <w:rPr>
                <w:rFonts w:cstheme="minorHAnsi"/>
              </w:rPr>
              <w:t>2021–22</w:t>
            </w:r>
          </w:p>
        </w:tc>
        <w:tc>
          <w:tcPr>
            <w:tcW w:w="1476" w:type="pct"/>
            <w:tcMar>
              <w:left w:w="108" w:type="dxa"/>
              <w:right w:w="108" w:type="dxa"/>
            </w:tcMar>
          </w:tcPr>
          <w:p w14:paraId="4E358E83" w14:textId="77777777" w:rsidR="00A86D04" w:rsidRPr="0029167F" w:rsidRDefault="00A86D04" w:rsidP="00A86D04">
            <w:pPr>
              <w:pStyle w:val="TableText"/>
              <w:jc w:val="right"/>
              <w:rPr>
                <w:rFonts w:cstheme="minorHAnsi"/>
              </w:rPr>
            </w:pPr>
            <w:r w:rsidRPr="00994562">
              <w:rPr>
                <w:rFonts w:cstheme="minorHAnsi"/>
              </w:rPr>
              <w:t>18,253</w:t>
            </w:r>
          </w:p>
        </w:tc>
        <w:tc>
          <w:tcPr>
            <w:tcW w:w="1476" w:type="pct"/>
            <w:tcMar>
              <w:left w:w="108" w:type="dxa"/>
              <w:right w:w="108" w:type="dxa"/>
            </w:tcMar>
          </w:tcPr>
          <w:p w14:paraId="77A91805" w14:textId="77777777" w:rsidR="00A86D04" w:rsidRPr="0029167F" w:rsidRDefault="00A86D04" w:rsidP="00A86D04">
            <w:pPr>
              <w:pStyle w:val="TableText"/>
              <w:jc w:val="right"/>
              <w:rPr>
                <w:rFonts w:cstheme="minorHAnsi"/>
              </w:rPr>
            </w:pPr>
            <w:r w:rsidRPr="00035AFF">
              <w:rPr>
                <w:rFonts w:cstheme="minorHAnsi"/>
              </w:rPr>
              <w:t>10,851</w:t>
            </w:r>
          </w:p>
        </w:tc>
        <w:tc>
          <w:tcPr>
            <w:tcW w:w="1475" w:type="pct"/>
            <w:tcMar>
              <w:left w:w="108" w:type="dxa"/>
              <w:right w:w="108" w:type="dxa"/>
            </w:tcMar>
          </w:tcPr>
          <w:p w14:paraId="2D0B6F41" w14:textId="77777777" w:rsidR="00A86D04" w:rsidRPr="0029167F" w:rsidRDefault="00A86D04" w:rsidP="00A86D04">
            <w:pPr>
              <w:pStyle w:val="TableText"/>
              <w:jc w:val="right"/>
              <w:rPr>
                <w:rFonts w:cstheme="minorHAnsi"/>
              </w:rPr>
            </w:pPr>
            <w:r w:rsidRPr="00035AFF">
              <w:rPr>
                <w:rFonts w:cstheme="minorHAnsi"/>
              </w:rPr>
              <w:t>38,046</w:t>
            </w:r>
          </w:p>
        </w:tc>
      </w:tr>
    </w:tbl>
    <w:p w14:paraId="5D230506" w14:textId="0EFBCE50" w:rsidR="00A11C6F" w:rsidRPr="004545CF" w:rsidRDefault="00A11C6F" w:rsidP="00E7520E">
      <w:pPr>
        <w:pStyle w:val="FigureTableNoteSource"/>
      </w:pPr>
      <w:bookmarkStart w:id="222" w:name="Title_A1"/>
      <w:bookmarkEnd w:id="222"/>
      <w:r w:rsidRPr="004545CF">
        <w:t xml:space="preserve">Note: </w:t>
      </w:r>
      <w:r w:rsidR="00AE0643" w:rsidRPr="00AE0643">
        <w:t xml:space="preserve">For 2022–23, the ‘Number of voyage inspections’ data has been revised to reflect an updated methodology. The measure is now calculated based on the number of conveyances inspected following international arrival, rather than the total number of inspection activities, which may have included multiple inspections of a single </w:t>
      </w:r>
      <w:r w:rsidR="00594FDD" w:rsidRPr="00AE0643">
        <w:t>conveyance.</w:t>
      </w:r>
    </w:p>
    <w:p w14:paraId="23849FA2" w14:textId="0C3D8303" w:rsidR="00A11C6F" w:rsidRPr="004545CF" w:rsidRDefault="00A11C6F" w:rsidP="00E7520E">
      <w:pPr>
        <w:pStyle w:val="Caption"/>
        <w:rPr>
          <w:b w:val="0"/>
          <w:bCs w:val="0"/>
        </w:rPr>
      </w:pPr>
      <w:bookmarkStart w:id="223" w:name="_Toc193971034"/>
      <w:bookmarkStart w:id="224" w:name="_Toc197952972"/>
      <w:bookmarkStart w:id="225" w:name="_Toc232769882"/>
      <w:r>
        <w:t>Table A</w:t>
      </w:r>
      <w:fldSimple w:instr=" SEQ Table_A \* ARABIC ">
        <w:r w:rsidR="0066767A">
          <w:rPr>
            <w:noProof/>
          </w:rPr>
          <w:t>2</w:t>
        </w:r>
      </w:fldSimple>
      <w:r w:rsidRPr="004545CF">
        <w:t xml:space="preserve"> Cargo</w:t>
      </w:r>
      <w:bookmarkEnd w:id="223"/>
      <w:bookmarkEnd w:id="224"/>
      <w:r w:rsidR="00270499">
        <w:t xml:space="preserve"> volumes, 2021–22 to 2024–25</w:t>
      </w:r>
      <w:bookmarkEnd w:id="225"/>
    </w:p>
    <w:tbl>
      <w:tblPr>
        <w:tblW w:w="4923"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999"/>
        <w:gridCol w:w="1700"/>
        <w:gridCol w:w="1698"/>
        <w:gridCol w:w="1559"/>
        <w:gridCol w:w="1559"/>
        <w:gridCol w:w="1415"/>
      </w:tblGrid>
      <w:tr w:rsidR="00A11C6F" w:rsidRPr="0029167F" w14:paraId="290155D3" w14:textId="77777777" w:rsidTr="00AE0643">
        <w:trPr>
          <w:tblHeader/>
        </w:trPr>
        <w:tc>
          <w:tcPr>
            <w:tcW w:w="559" w:type="pct"/>
            <w:tcMar>
              <w:left w:w="108" w:type="dxa"/>
              <w:right w:w="108" w:type="dxa"/>
            </w:tcMar>
          </w:tcPr>
          <w:p w14:paraId="31ECC545" w14:textId="77777777" w:rsidR="00A11C6F" w:rsidRPr="003248F8" w:rsidRDefault="00A11C6F" w:rsidP="003248F8">
            <w:pPr>
              <w:pStyle w:val="TableHeading"/>
              <w:rPr>
                <w:rStyle w:val="Strong"/>
                <w:b/>
                <w:bCs w:val="0"/>
              </w:rPr>
            </w:pPr>
            <w:bookmarkStart w:id="226" w:name="Title_A2"/>
            <w:bookmarkEnd w:id="226"/>
            <w:r w:rsidRPr="00A86D04">
              <w:rPr>
                <w:rStyle w:val="Strong"/>
                <w:b/>
                <w:bCs w:val="0"/>
              </w:rPr>
              <w:t>Year</w:t>
            </w:r>
          </w:p>
        </w:tc>
        <w:tc>
          <w:tcPr>
            <w:tcW w:w="952" w:type="pct"/>
            <w:tcMar>
              <w:left w:w="108" w:type="dxa"/>
              <w:right w:w="108" w:type="dxa"/>
            </w:tcMar>
          </w:tcPr>
          <w:p w14:paraId="6358C37A" w14:textId="77777777"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Total international cargo import declarations</w:t>
            </w:r>
          </w:p>
        </w:tc>
        <w:tc>
          <w:tcPr>
            <w:tcW w:w="951" w:type="pct"/>
            <w:tcMar>
              <w:left w:w="108" w:type="dxa"/>
              <w:right w:w="108" w:type="dxa"/>
            </w:tcMar>
          </w:tcPr>
          <w:p w14:paraId="5F50103C" w14:textId="77777777"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Number of cargo imports assessed</w:t>
            </w:r>
          </w:p>
        </w:tc>
        <w:tc>
          <w:tcPr>
            <w:tcW w:w="873" w:type="pct"/>
            <w:tcMar>
              <w:left w:w="108" w:type="dxa"/>
              <w:right w:w="108" w:type="dxa"/>
            </w:tcMar>
          </w:tcPr>
          <w:p w14:paraId="1D8BC3BD" w14:textId="77777777"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Number of cargo import inspections</w:t>
            </w:r>
          </w:p>
        </w:tc>
        <w:tc>
          <w:tcPr>
            <w:tcW w:w="873" w:type="pct"/>
            <w:tcMar>
              <w:left w:w="108" w:type="dxa"/>
              <w:right w:w="108" w:type="dxa"/>
            </w:tcMar>
          </w:tcPr>
          <w:p w14:paraId="15E0D964" w14:textId="5DAEDE5D"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Total high</w:t>
            </w:r>
            <w:r w:rsidR="00A86D04">
              <w:rPr>
                <w:rStyle w:val="Strong"/>
                <w:b/>
                <w:bCs w:val="0"/>
              </w:rPr>
              <w:t>-</w:t>
            </w:r>
            <w:r w:rsidRPr="003248F8">
              <w:rPr>
                <w:rStyle w:val="Strong"/>
                <w:b/>
                <w:bCs w:val="0"/>
              </w:rPr>
              <w:t>value cargo import declarations</w:t>
            </w:r>
          </w:p>
        </w:tc>
        <w:tc>
          <w:tcPr>
            <w:tcW w:w="792" w:type="pct"/>
            <w:tcMar>
              <w:left w:w="108" w:type="dxa"/>
              <w:right w:w="108" w:type="dxa"/>
            </w:tcMar>
          </w:tcPr>
          <w:p w14:paraId="6E009FDA" w14:textId="18958462"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Total low</w:t>
            </w:r>
            <w:r w:rsidR="00A86D04">
              <w:rPr>
                <w:rStyle w:val="Strong"/>
                <w:b/>
                <w:bCs w:val="0"/>
              </w:rPr>
              <w:t>-</w:t>
            </w:r>
            <w:r w:rsidRPr="003248F8">
              <w:rPr>
                <w:rStyle w:val="Strong"/>
                <w:b/>
                <w:bCs w:val="0"/>
              </w:rPr>
              <w:t>value cargo import declarations</w:t>
            </w:r>
          </w:p>
        </w:tc>
      </w:tr>
      <w:tr w:rsidR="00A11C6F" w:rsidRPr="0029167F" w14:paraId="18F1ACA1" w14:textId="77777777" w:rsidTr="00AE0643">
        <w:tc>
          <w:tcPr>
            <w:tcW w:w="559" w:type="pct"/>
            <w:tcMar>
              <w:left w:w="108" w:type="dxa"/>
              <w:right w:w="108" w:type="dxa"/>
            </w:tcMar>
          </w:tcPr>
          <w:p w14:paraId="3C9681CF" w14:textId="201EE5E2" w:rsidR="00A11C6F" w:rsidRDefault="00A11C6F" w:rsidP="001109B7">
            <w:pPr>
              <w:pStyle w:val="TableText"/>
            </w:pPr>
            <w:r>
              <w:t>2024</w:t>
            </w:r>
            <w:r w:rsidR="001578C9">
              <w:t>–</w:t>
            </w:r>
            <w:r>
              <w:t>25</w:t>
            </w:r>
          </w:p>
        </w:tc>
        <w:tc>
          <w:tcPr>
            <w:tcW w:w="952" w:type="pct"/>
            <w:tcMar>
              <w:left w:w="108" w:type="dxa"/>
              <w:right w:w="108" w:type="dxa"/>
            </w:tcMar>
          </w:tcPr>
          <w:p w14:paraId="74FEB658" w14:textId="77777777" w:rsidR="00A11C6F" w:rsidRPr="00C11E2C" w:rsidRDefault="00A11C6F" w:rsidP="001109B7">
            <w:pPr>
              <w:pStyle w:val="TableText"/>
              <w:jc w:val="right"/>
            </w:pPr>
            <w:r w:rsidRPr="00C11E2C">
              <w:t>154,827,890</w:t>
            </w:r>
          </w:p>
        </w:tc>
        <w:tc>
          <w:tcPr>
            <w:tcW w:w="951" w:type="pct"/>
            <w:tcMar>
              <w:left w:w="108" w:type="dxa"/>
              <w:right w:w="108" w:type="dxa"/>
            </w:tcMar>
          </w:tcPr>
          <w:p w14:paraId="6AA63584" w14:textId="77777777" w:rsidR="00A11C6F" w:rsidRPr="003711D4" w:rsidRDefault="00A11C6F" w:rsidP="001109B7">
            <w:pPr>
              <w:pStyle w:val="TableText"/>
              <w:jc w:val="right"/>
            </w:pPr>
            <w:r w:rsidRPr="00C11E2C">
              <w:t>658,413</w:t>
            </w:r>
          </w:p>
        </w:tc>
        <w:tc>
          <w:tcPr>
            <w:tcW w:w="873" w:type="pct"/>
            <w:tcMar>
              <w:left w:w="108" w:type="dxa"/>
              <w:right w:w="108" w:type="dxa"/>
            </w:tcMar>
          </w:tcPr>
          <w:p w14:paraId="05600A5C" w14:textId="77777777" w:rsidR="00A11C6F" w:rsidRPr="003711D4" w:rsidRDefault="00A11C6F" w:rsidP="001109B7">
            <w:pPr>
              <w:pStyle w:val="TableText"/>
              <w:jc w:val="right"/>
            </w:pPr>
            <w:r w:rsidRPr="00C11E2C">
              <w:t>288,225</w:t>
            </w:r>
          </w:p>
        </w:tc>
        <w:tc>
          <w:tcPr>
            <w:tcW w:w="873" w:type="pct"/>
            <w:tcMar>
              <w:left w:w="108" w:type="dxa"/>
              <w:right w:w="108" w:type="dxa"/>
            </w:tcMar>
          </w:tcPr>
          <w:p w14:paraId="507A1322" w14:textId="77777777" w:rsidR="00A11C6F" w:rsidRPr="003711D4" w:rsidRDefault="00A11C6F" w:rsidP="001109B7">
            <w:pPr>
              <w:pStyle w:val="TableText"/>
              <w:jc w:val="right"/>
            </w:pPr>
            <w:r w:rsidRPr="00C11E2C">
              <w:t>4,513,368</w:t>
            </w:r>
          </w:p>
        </w:tc>
        <w:tc>
          <w:tcPr>
            <w:tcW w:w="792" w:type="pct"/>
            <w:tcMar>
              <w:left w:w="108" w:type="dxa"/>
              <w:right w:w="108" w:type="dxa"/>
            </w:tcMar>
          </w:tcPr>
          <w:p w14:paraId="763CE387" w14:textId="77777777" w:rsidR="00A11C6F" w:rsidRPr="003711D4" w:rsidRDefault="00A11C6F" w:rsidP="001109B7">
            <w:pPr>
              <w:pStyle w:val="TableText"/>
              <w:jc w:val="right"/>
            </w:pPr>
            <w:r w:rsidRPr="00994562">
              <w:t>150,314,522</w:t>
            </w:r>
          </w:p>
        </w:tc>
      </w:tr>
      <w:tr w:rsidR="00A11C6F" w:rsidRPr="0029167F" w14:paraId="34AD9458" w14:textId="77777777" w:rsidTr="00AE0643">
        <w:tc>
          <w:tcPr>
            <w:tcW w:w="559" w:type="pct"/>
            <w:tcMar>
              <w:left w:w="108" w:type="dxa"/>
              <w:right w:w="108" w:type="dxa"/>
            </w:tcMar>
          </w:tcPr>
          <w:p w14:paraId="0A785643" w14:textId="4A89CF89" w:rsidR="00A11C6F" w:rsidRPr="0029167F" w:rsidRDefault="00A11C6F" w:rsidP="001109B7">
            <w:pPr>
              <w:pStyle w:val="TableText"/>
              <w:rPr>
                <w:rFonts w:cstheme="minorHAnsi"/>
              </w:rPr>
            </w:pPr>
            <w:r w:rsidRPr="003711D4">
              <w:t>2023</w:t>
            </w:r>
            <w:r w:rsidR="001578C9">
              <w:t>–</w:t>
            </w:r>
            <w:r w:rsidRPr="003711D4">
              <w:t>24</w:t>
            </w:r>
          </w:p>
        </w:tc>
        <w:tc>
          <w:tcPr>
            <w:tcW w:w="952" w:type="pct"/>
            <w:tcMar>
              <w:left w:w="108" w:type="dxa"/>
              <w:right w:w="108" w:type="dxa"/>
            </w:tcMar>
          </w:tcPr>
          <w:p w14:paraId="4591FD8A" w14:textId="77777777" w:rsidR="00A11C6F" w:rsidRPr="0029167F" w:rsidRDefault="00A11C6F" w:rsidP="001109B7">
            <w:pPr>
              <w:pStyle w:val="TableText"/>
              <w:jc w:val="right"/>
              <w:rPr>
                <w:rFonts w:cstheme="minorHAnsi"/>
              </w:rPr>
            </w:pPr>
            <w:r w:rsidRPr="003711D4">
              <w:t>124,043,244</w:t>
            </w:r>
          </w:p>
        </w:tc>
        <w:tc>
          <w:tcPr>
            <w:tcW w:w="951" w:type="pct"/>
            <w:tcMar>
              <w:left w:w="108" w:type="dxa"/>
              <w:right w:w="108" w:type="dxa"/>
            </w:tcMar>
          </w:tcPr>
          <w:p w14:paraId="0CB86FA0" w14:textId="77777777" w:rsidR="00A11C6F" w:rsidRPr="0029167F" w:rsidRDefault="00A11C6F" w:rsidP="001109B7">
            <w:pPr>
              <w:pStyle w:val="TableText"/>
              <w:jc w:val="right"/>
              <w:rPr>
                <w:rFonts w:cstheme="minorHAnsi"/>
              </w:rPr>
            </w:pPr>
            <w:r w:rsidRPr="00C11E2C">
              <w:t>620,823</w:t>
            </w:r>
          </w:p>
        </w:tc>
        <w:tc>
          <w:tcPr>
            <w:tcW w:w="873" w:type="pct"/>
            <w:tcMar>
              <w:left w:w="108" w:type="dxa"/>
              <w:right w:w="108" w:type="dxa"/>
            </w:tcMar>
          </w:tcPr>
          <w:p w14:paraId="1A9F1476" w14:textId="77777777" w:rsidR="00A11C6F" w:rsidRPr="0029167F" w:rsidRDefault="00A11C6F" w:rsidP="001109B7">
            <w:pPr>
              <w:pStyle w:val="TableText"/>
              <w:jc w:val="right"/>
              <w:rPr>
                <w:rFonts w:cstheme="minorHAnsi"/>
              </w:rPr>
            </w:pPr>
            <w:r w:rsidRPr="00C11E2C">
              <w:t>273,832</w:t>
            </w:r>
          </w:p>
        </w:tc>
        <w:tc>
          <w:tcPr>
            <w:tcW w:w="873" w:type="pct"/>
            <w:tcMar>
              <w:left w:w="108" w:type="dxa"/>
              <w:right w:w="108" w:type="dxa"/>
            </w:tcMar>
          </w:tcPr>
          <w:p w14:paraId="63E0A358" w14:textId="77777777" w:rsidR="00A11C6F" w:rsidRPr="0029167F" w:rsidRDefault="00A11C6F" w:rsidP="001109B7">
            <w:pPr>
              <w:pStyle w:val="TableText"/>
              <w:jc w:val="right"/>
              <w:rPr>
                <w:rFonts w:cstheme="minorHAnsi"/>
              </w:rPr>
            </w:pPr>
            <w:r w:rsidRPr="00C11E2C">
              <w:t>4,353,716</w:t>
            </w:r>
          </w:p>
        </w:tc>
        <w:tc>
          <w:tcPr>
            <w:tcW w:w="792" w:type="pct"/>
            <w:tcMar>
              <w:left w:w="108" w:type="dxa"/>
              <w:right w:w="108" w:type="dxa"/>
            </w:tcMar>
          </w:tcPr>
          <w:p w14:paraId="3BE754D0" w14:textId="77777777" w:rsidR="00A11C6F" w:rsidRPr="0029167F" w:rsidRDefault="00A11C6F" w:rsidP="001109B7">
            <w:pPr>
              <w:pStyle w:val="TableText"/>
              <w:jc w:val="right"/>
              <w:rPr>
                <w:rFonts w:cstheme="minorHAnsi"/>
              </w:rPr>
            </w:pPr>
            <w:r w:rsidRPr="00994562">
              <w:t>119,689,528</w:t>
            </w:r>
          </w:p>
        </w:tc>
      </w:tr>
      <w:tr w:rsidR="00A11C6F" w:rsidRPr="0029167F" w14:paraId="2F880907" w14:textId="77777777" w:rsidTr="00AE0643">
        <w:tc>
          <w:tcPr>
            <w:tcW w:w="559" w:type="pct"/>
            <w:tcMar>
              <w:left w:w="108" w:type="dxa"/>
              <w:right w:w="108" w:type="dxa"/>
            </w:tcMar>
          </w:tcPr>
          <w:p w14:paraId="0220B336" w14:textId="20BF2A30" w:rsidR="00A11C6F" w:rsidRPr="0029167F" w:rsidRDefault="00A11C6F" w:rsidP="001109B7">
            <w:pPr>
              <w:pStyle w:val="TableText"/>
              <w:rPr>
                <w:rFonts w:cstheme="minorHAnsi"/>
              </w:rPr>
            </w:pPr>
            <w:r w:rsidRPr="003711D4">
              <w:t>2022</w:t>
            </w:r>
            <w:r w:rsidR="001578C9">
              <w:t>–</w:t>
            </w:r>
            <w:r w:rsidRPr="003711D4">
              <w:t>23</w:t>
            </w:r>
          </w:p>
        </w:tc>
        <w:tc>
          <w:tcPr>
            <w:tcW w:w="952" w:type="pct"/>
            <w:tcMar>
              <w:left w:w="108" w:type="dxa"/>
              <w:right w:w="108" w:type="dxa"/>
            </w:tcMar>
          </w:tcPr>
          <w:p w14:paraId="3B87DDC8" w14:textId="77777777" w:rsidR="00A11C6F" w:rsidRPr="0029167F" w:rsidRDefault="00A11C6F" w:rsidP="001109B7">
            <w:pPr>
              <w:pStyle w:val="TableText"/>
              <w:jc w:val="right"/>
              <w:rPr>
                <w:rFonts w:cstheme="minorHAnsi"/>
              </w:rPr>
            </w:pPr>
            <w:r w:rsidRPr="003711D4">
              <w:t>89,875,509</w:t>
            </w:r>
          </w:p>
        </w:tc>
        <w:tc>
          <w:tcPr>
            <w:tcW w:w="951" w:type="pct"/>
            <w:tcMar>
              <w:left w:w="108" w:type="dxa"/>
              <w:right w:w="108" w:type="dxa"/>
            </w:tcMar>
          </w:tcPr>
          <w:p w14:paraId="66542037" w14:textId="77777777" w:rsidR="00A11C6F" w:rsidRPr="0029167F" w:rsidRDefault="00A11C6F" w:rsidP="001109B7">
            <w:pPr>
              <w:pStyle w:val="TableText"/>
              <w:jc w:val="right"/>
              <w:rPr>
                <w:rFonts w:cstheme="minorHAnsi"/>
              </w:rPr>
            </w:pPr>
            <w:r w:rsidRPr="00C11E2C">
              <w:t>679,307</w:t>
            </w:r>
          </w:p>
        </w:tc>
        <w:tc>
          <w:tcPr>
            <w:tcW w:w="873" w:type="pct"/>
            <w:tcMar>
              <w:left w:w="108" w:type="dxa"/>
              <w:right w:w="108" w:type="dxa"/>
            </w:tcMar>
          </w:tcPr>
          <w:p w14:paraId="4464D7AA" w14:textId="77777777" w:rsidR="00A11C6F" w:rsidRPr="0029167F" w:rsidRDefault="00A11C6F" w:rsidP="001109B7">
            <w:pPr>
              <w:pStyle w:val="TableText"/>
              <w:jc w:val="right"/>
              <w:rPr>
                <w:rFonts w:cstheme="minorHAnsi"/>
              </w:rPr>
            </w:pPr>
            <w:r w:rsidRPr="00C11E2C">
              <w:t>271,491</w:t>
            </w:r>
          </w:p>
        </w:tc>
        <w:tc>
          <w:tcPr>
            <w:tcW w:w="873" w:type="pct"/>
            <w:tcMar>
              <w:left w:w="108" w:type="dxa"/>
              <w:right w:w="108" w:type="dxa"/>
            </w:tcMar>
          </w:tcPr>
          <w:p w14:paraId="6BB26DFF" w14:textId="77777777" w:rsidR="00A11C6F" w:rsidRPr="0029167F" w:rsidRDefault="00A11C6F" w:rsidP="001109B7">
            <w:pPr>
              <w:pStyle w:val="TableText"/>
              <w:jc w:val="right"/>
              <w:rPr>
                <w:rFonts w:cstheme="minorHAnsi"/>
              </w:rPr>
            </w:pPr>
            <w:r w:rsidRPr="00C11E2C">
              <w:t>4,327,283</w:t>
            </w:r>
          </w:p>
        </w:tc>
        <w:tc>
          <w:tcPr>
            <w:tcW w:w="792" w:type="pct"/>
            <w:tcMar>
              <w:left w:w="108" w:type="dxa"/>
              <w:right w:w="108" w:type="dxa"/>
            </w:tcMar>
          </w:tcPr>
          <w:p w14:paraId="3732B64A" w14:textId="77777777" w:rsidR="00A11C6F" w:rsidRPr="0029167F" w:rsidRDefault="00A11C6F" w:rsidP="001109B7">
            <w:pPr>
              <w:pStyle w:val="TableText"/>
              <w:jc w:val="right"/>
              <w:rPr>
                <w:rFonts w:cstheme="minorHAnsi"/>
              </w:rPr>
            </w:pPr>
            <w:r w:rsidRPr="003711D4">
              <w:t>85,548,226</w:t>
            </w:r>
          </w:p>
        </w:tc>
      </w:tr>
      <w:tr w:rsidR="00A11C6F" w:rsidRPr="0029167F" w14:paraId="717D236C" w14:textId="77777777" w:rsidTr="00AE0643">
        <w:tc>
          <w:tcPr>
            <w:tcW w:w="559" w:type="pct"/>
            <w:tcMar>
              <w:left w:w="108" w:type="dxa"/>
              <w:right w:w="108" w:type="dxa"/>
            </w:tcMar>
          </w:tcPr>
          <w:p w14:paraId="10CF2AB6" w14:textId="187A75B6" w:rsidR="00A11C6F" w:rsidRPr="0029167F" w:rsidRDefault="00A11C6F" w:rsidP="001109B7">
            <w:pPr>
              <w:pStyle w:val="TableText"/>
              <w:rPr>
                <w:rFonts w:cstheme="minorHAnsi"/>
              </w:rPr>
            </w:pPr>
            <w:r w:rsidRPr="003711D4">
              <w:t>2021</w:t>
            </w:r>
            <w:r w:rsidR="001578C9">
              <w:t>–</w:t>
            </w:r>
            <w:r w:rsidRPr="003711D4">
              <w:t>22</w:t>
            </w:r>
          </w:p>
        </w:tc>
        <w:tc>
          <w:tcPr>
            <w:tcW w:w="952" w:type="pct"/>
            <w:tcMar>
              <w:left w:w="108" w:type="dxa"/>
              <w:right w:w="108" w:type="dxa"/>
            </w:tcMar>
          </w:tcPr>
          <w:p w14:paraId="76A6416F" w14:textId="77777777" w:rsidR="00A11C6F" w:rsidRPr="0029167F" w:rsidRDefault="00A11C6F" w:rsidP="001109B7">
            <w:pPr>
              <w:pStyle w:val="TableText"/>
              <w:jc w:val="right"/>
              <w:rPr>
                <w:rFonts w:cstheme="minorHAnsi"/>
              </w:rPr>
            </w:pPr>
            <w:r w:rsidRPr="003711D4">
              <w:t>88,955,196</w:t>
            </w:r>
          </w:p>
        </w:tc>
        <w:tc>
          <w:tcPr>
            <w:tcW w:w="951" w:type="pct"/>
            <w:tcMar>
              <w:left w:w="108" w:type="dxa"/>
              <w:right w:w="108" w:type="dxa"/>
            </w:tcMar>
          </w:tcPr>
          <w:p w14:paraId="63293DCD" w14:textId="77777777" w:rsidR="00A11C6F" w:rsidRPr="0029167F" w:rsidRDefault="00A11C6F" w:rsidP="001109B7">
            <w:pPr>
              <w:pStyle w:val="TableText"/>
              <w:jc w:val="right"/>
              <w:rPr>
                <w:rFonts w:cstheme="minorHAnsi"/>
              </w:rPr>
            </w:pPr>
            <w:r w:rsidRPr="00C11E2C">
              <w:t>496,263</w:t>
            </w:r>
          </w:p>
        </w:tc>
        <w:tc>
          <w:tcPr>
            <w:tcW w:w="873" w:type="pct"/>
            <w:tcMar>
              <w:left w:w="108" w:type="dxa"/>
              <w:right w:w="108" w:type="dxa"/>
            </w:tcMar>
          </w:tcPr>
          <w:p w14:paraId="4034D2B1" w14:textId="77777777" w:rsidR="00A11C6F" w:rsidRPr="0029167F" w:rsidRDefault="00A11C6F" w:rsidP="001109B7">
            <w:pPr>
              <w:pStyle w:val="TableText"/>
              <w:jc w:val="right"/>
              <w:rPr>
                <w:rFonts w:cstheme="minorHAnsi"/>
              </w:rPr>
            </w:pPr>
            <w:r w:rsidRPr="00C11E2C">
              <w:t>334,337</w:t>
            </w:r>
          </w:p>
        </w:tc>
        <w:tc>
          <w:tcPr>
            <w:tcW w:w="873" w:type="pct"/>
            <w:tcMar>
              <w:left w:w="108" w:type="dxa"/>
              <w:right w:w="108" w:type="dxa"/>
            </w:tcMar>
          </w:tcPr>
          <w:p w14:paraId="45839562" w14:textId="77777777" w:rsidR="00A11C6F" w:rsidRPr="0029167F" w:rsidRDefault="00A11C6F" w:rsidP="001109B7">
            <w:pPr>
              <w:pStyle w:val="TableText"/>
              <w:jc w:val="right"/>
              <w:rPr>
                <w:rFonts w:cstheme="minorHAnsi"/>
              </w:rPr>
            </w:pPr>
            <w:r w:rsidRPr="003711D4">
              <w:t>4,385,366</w:t>
            </w:r>
          </w:p>
        </w:tc>
        <w:tc>
          <w:tcPr>
            <w:tcW w:w="792" w:type="pct"/>
            <w:tcMar>
              <w:left w:w="108" w:type="dxa"/>
              <w:right w:w="108" w:type="dxa"/>
            </w:tcMar>
          </w:tcPr>
          <w:p w14:paraId="6406BC92" w14:textId="77777777" w:rsidR="00A11C6F" w:rsidRPr="0029167F" w:rsidRDefault="00A11C6F" w:rsidP="001109B7">
            <w:pPr>
              <w:pStyle w:val="TableText"/>
              <w:jc w:val="right"/>
              <w:rPr>
                <w:rFonts w:cstheme="minorHAnsi"/>
              </w:rPr>
            </w:pPr>
            <w:r w:rsidRPr="003711D4">
              <w:t>84,569,830</w:t>
            </w:r>
          </w:p>
        </w:tc>
      </w:tr>
    </w:tbl>
    <w:p w14:paraId="68C4E623" w14:textId="77777777" w:rsidR="00A11C6F" w:rsidRDefault="00A11C6F" w:rsidP="00E7520E">
      <w:pPr>
        <w:pStyle w:val="FigureTableNoteSource"/>
        <w:rPr>
          <w:rFonts w:asciiTheme="minorHAnsi" w:hAnsiTheme="minorHAnsi" w:cstheme="minorHAnsi"/>
        </w:rPr>
      </w:pPr>
      <w:r w:rsidRPr="0029167F">
        <w:rPr>
          <w:rFonts w:asciiTheme="minorHAnsi" w:hAnsiTheme="minorHAnsi" w:cstheme="minorHAnsi"/>
        </w:rPr>
        <w:t xml:space="preserve">Note: </w:t>
      </w:r>
      <w:r>
        <w:rPr>
          <w:rFonts w:asciiTheme="minorHAnsi" w:hAnsiTheme="minorHAnsi" w:cstheme="minorHAnsi"/>
        </w:rPr>
        <w:t>C</w:t>
      </w:r>
      <w:r w:rsidRPr="0029167F">
        <w:rPr>
          <w:rFonts w:asciiTheme="minorHAnsi" w:hAnsiTheme="minorHAnsi" w:cstheme="minorHAnsi"/>
        </w:rPr>
        <w:t xml:space="preserve">argo import declarations are profiled for biosecurity </w:t>
      </w:r>
      <w:r>
        <w:rPr>
          <w:rFonts w:asciiTheme="minorHAnsi" w:hAnsiTheme="minorHAnsi" w:cstheme="minorHAnsi"/>
        </w:rPr>
        <w:t>and food safety risks</w:t>
      </w:r>
      <w:r w:rsidRPr="0029167F">
        <w:rPr>
          <w:rFonts w:asciiTheme="minorHAnsi" w:hAnsiTheme="minorHAnsi" w:cstheme="minorHAnsi"/>
        </w:rPr>
        <w:t>. Declarations that match a profile are referred to the department for action.</w:t>
      </w:r>
    </w:p>
    <w:p w14:paraId="64BDA8F3" w14:textId="539D9AC1" w:rsidR="00A11C6F" w:rsidRPr="005B4D28" w:rsidRDefault="00A11C6F" w:rsidP="00E7520E">
      <w:pPr>
        <w:pStyle w:val="Caption"/>
      </w:pPr>
      <w:bookmarkStart w:id="227" w:name="_Toc197952973"/>
      <w:bookmarkStart w:id="228" w:name="_Toc232769883"/>
      <w:r>
        <w:t>Table A</w:t>
      </w:r>
      <w:fldSimple w:instr=" SEQ Table_A \* ARABIC ">
        <w:r w:rsidR="0066767A">
          <w:rPr>
            <w:noProof/>
          </w:rPr>
          <w:t>3</w:t>
        </w:r>
      </w:fldSimple>
      <w:r>
        <w:t xml:space="preserve"> Import permit applications and animals processed at PEQ</w:t>
      </w:r>
      <w:bookmarkEnd w:id="227"/>
      <w:r w:rsidR="00270499">
        <w:t>, 2021–22 to 2024–25</w:t>
      </w:r>
      <w:bookmarkEnd w:id="228"/>
    </w:p>
    <w:tbl>
      <w:tblPr>
        <w:tblW w:w="5000" w:type="pct"/>
        <w:tblBorders>
          <w:top w:val="single" w:sz="4" w:space="0" w:color="auto"/>
          <w:bottom w:val="single" w:sz="4" w:space="0" w:color="auto"/>
          <w:insideH w:val="single" w:sz="4" w:space="0" w:color="auto"/>
        </w:tblBorders>
        <w:tblCellMar>
          <w:left w:w="40" w:type="dxa"/>
          <w:right w:w="40" w:type="dxa"/>
        </w:tblCellMar>
        <w:tblLook w:val="04A0" w:firstRow="1" w:lastRow="0" w:firstColumn="1" w:lastColumn="0" w:noHBand="0" w:noVBand="1"/>
      </w:tblPr>
      <w:tblGrid>
        <w:gridCol w:w="1037"/>
        <w:gridCol w:w="3719"/>
        <w:gridCol w:w="4314"/>
      </w:tblGrid>
      <w:tr w:rsidR="00A11C6F" w:rsidRPr="001C66E2" w14:paraId="6A07566F" w14:textId="77777777" w:rsidTr="00AE0643">
        <w:trPr>
          <w:tblHeader/>
        </w:trPr>
        <w:tc>
          <w:tcPr>
            <w:tcW w:w="572" w:type="pct"/>
            <w:tcMar>
              <w:left w:w="108" w:type="dxa"/>
              <w:right w:w="108" w:type="dxa"/>
            </w:tcMar>
          </w:tcPr>
          <w:p w14:paraId="5B07631E" w14:textId="77777777" w:rsidR="00A11C6F" w:rsidRPr="003248F8" w:rsidRDefault="00A11C6F" w:rsidP="003248F8">
            <w:pPr>
              <w:pStyle w:val="TableHeading"/>
              <w:rPr>
                <w:rStyle w:val="Strong"/>
                <w:b/>
                <w:bCs w:val="0"/>
              </w:rPr>
            </w:pPr>
            <w:bookmarkStart w:id="229" w:name="Table_A3"/>
            <w:bookmarkStart w:id="230" w:name="Table_A4" w:colFirst="0" w:colLast="0"/>
            <w:bookmarkEnd w:id="229"/>
            <w:r w:rsidRPr="00A86D04">
              <w:rPr>
                <w:rStyle w:val="Strong"/>
                <w:b/>
                <w:bCs w:val="0"/>
              </w:rPr>
              <w:t>Year</w:t>
            </w:r>
          </w:p>
        </w:tc>
        <w:tc>
          <w:tcPr>
            <w:tcW w:w="2050" w:type="pct"/>
            <w:tcMar>
              <w:left w:w="108" w:type="dxa"/>
              <w:right w:w="108" w:type="dxa"/>
            </w:tcMar>
          </w:tcPr>
          <w:p w14:paraId="457264DE" w14:textId="77777777"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Total volume of permit applications submitted and paid to the department</w:t>
            </w:r>
          </w:p>
        </w:tc>
        <w:tc>
          <w:tcPr>
            <w:tcW w:w="2378" w:type="pct"/>
            <w:tcMar>
              <w:left w:w="108" w:type="dxa"/>
              <w:right w:w="108" w:type="dxa"/>
            </w:tcMar>
          </w:tcPr>
          <w:p w14:paraId="509472DD" w14:textId="77777777" w:rsidR="00A11C6F" w:rsidRPr="003248F8" w:rsidRDefault="00A11C6F" w:rsidP="00AE0643">
            <w:pPr>
              <w:pStyle w:val="TableHeading"/>
              <w:jc w:val="right"/>
              <w:rPr>
                <w:rStyle w:val="Strong"/>
                <w:rFonts w:ascii="Calibri" w:hAnsi="Calibri"/>
                <w:b/>
                <w:bCs w:val="0"/>
                <w:sz w:val="24"/>
                <w:szCs w:val="18"/>
              </w:rPr>
            </w:pPr>
            <w:r w:rsidRPr="003248F8">
              <w:rPr>
                <w:rStyle w:val="Strong"/>
                <w:b/>
                <w:bCs w:val="0"/>
              </w:rPr>
              <w:t>Number of animals (cats, dogs &amp; horses) processed at the PEQ</w:t>
            </w:r>
          </w:p>
        </w:tc>
      </w:tr>
      <w:bookmarkEnd w:id="230"/>
      <w:tr w:rsidR="00A11C6F" w:rsidRPr="001C66E2" w14:paraId="588B45DF" w14:textId="77777777" w:rsidTr="00AE0643">
        <w:tc>
          <w:tcPr>
            <w:tcW w:w="572" w:type="pct"/>
            <w:tcMar>
              <w:left w:w="108" w:type="dxa"/>
              <w:right w:w="108" w:type="dxa"/>
            </w:tcMar>
          </w:tcPr>
          <w:p w14:paraId="25B0873A" w14:textId="2FAFECC7" w:rsidR="00A11C6F" w:rsidRPr="0010050B" w:rsidRDefault="00A11C6F" w:rsidP="001109B7">
            <w:pPr>
              <w:pStyle w:val="TableText"/>
            </w:pPr>
            <w:r w:rsidRPr="00A25F07">
              <w:t>202</w:t>
            </w:r>
            <w:r>
              <w:t>4</w:t>
            </w:r>
            <w:r w:rsidR="008433D6">
              <w:t>–</w:t>
            </w:r>
            <w:r w:rsidRPr="00A25F07">
              <w:t>2</w:t>
            </w:r>
            <w:r>
              <w:t>5</w:t>
            </w:r>
          </w:p>
        </w:tc>
        <w:tc>
          <w:tcPr>
            <w:tcW w:w="2050" w:type="pct"/>
            <w:tcMar>
              <w:left w:w="108" w:type="dxa"/>
              <w:right w:w="108" w:type="dxa"/>
            </w:tcMar>
          </w:tcPr>
          <w:p w14:paraId="0040856E" w14:textId="77777777" w:rsidR="00A11C6F" w:rsidRPr="0010050B" w:rsidRDefault="00A11C6F" w:rsidP="001109B7">
            <w:pPr>
              <w:pStyle w:val="TableText"/>
              <w:jc w:val="right"/>
            </w:pPr>
            <w:r>
              <w:t>18,525</w:t>
            </w:r>
          </w:p>
        </w:tc>
        <w:tc>
          <w:tcPr>
            <w:tcW w:w="2378" w:type="pct"/>
            <w:tcMar>
              <w:left w:w="108" w:type="dxa"/>
              <w:right w:w="108" w:type="dxa"/>
            </w:tcMar>
          </w:tcPr>
          <w:p w14:paraId="464B79C5" w14:textId="77777777" w:rsidR="00A11C6F" w:rsidRPr="0010050B" w:rsidRDefault="00A11C6F" w:rsidP="001109B7">
            <w:pPr>
              <w:pStyle w:val="TableText"/>
              <w:jc w:val="right"/>
            </w:pPr>
            <w:r>
              <w:t>8,877</w:t>
            </w:r>
          </w:p>
        </w:tc>
      </w:tr>
      <w:tr w:rsidR="00A11C6F" w:rsidRPr="001C66E2" w14:paraId="6D65E0D1" w14:textId="77777777" w:rsidTr="00AE0643">
        <w:tc>
          <w:tcPr>
            <w:tcW w:w="572" w:type="pct"/>
            <w:tcMar>
              <w:left w:w="108" w:type="dxa"/>
              <w:right w:w="108" w:type="dxa"/>
            </w:tcMar>
          </w:tcPr>
          <w:p w14:paraId="720452ED" w14:textId="3309CDF5" w:rsidR="00A11C6F" w:rsidRPr="0010050B" w:rsidRDefault="00A11C6F" w:rsidP="001109B7">
            <w:pPr>
              <w:pStyle w:val="TableText"/>
            </w:pPr>
            <w:r w:rsidRPr="00A25F07">
              <w:t>202</w:t>
            </w:r>
            <w:r>
              <w:t>3</w:t>
            </w:r>
            <w:r w:rsidR="008433D6">
              <w:t>–</w:t>
            </w:r>
            <w:r w:rsidRPr="00A25F07">
              <w:t>2</w:t>
            </w:r>
            <w:r>
              <w:t>4</w:t>
            </w:r>
          </w:p>
        </w:tc>
        <w:tc>
          <w:tcPr>
            <w:tcW w:w="2050" w:type="pct"/>
            <w:tcMar>
              <w:left w:w="108" w:type="dxa"/>
              <w:right w:w="108" w:type="dxa"/>
            </w:tcMar>
          </w:tcPr>
          <w:p w14:paraId="2AEE42EA" w14:textId="77777777" w:rsidR="00A11C6F" w:rsidRPr="0010050B" w:rsidRDefault="00A11C6F" w:rsidP="001109B7">
            <w:pPr>
              <w:pStyle w:val="TableText"/>
              <w:jc w:val="right"/>
            </w:pPr>
            <w:r>
              <w:t>18,734</w:t>
            </w:r>
          </w:p>
        </w:tc>
        <w:tc>
          <w:tcPr>
            <w:tcW w:w="2378" w:type="pct"/>
            <w:tcMar>
              <w:left w:w="108" w:type="dxa"/>
              <w:right w:w="108" w:type="dxa"/>
            </w:tcMar>
          </w:tcPr>
          <w:p w14:paraId="1189C561" w14:textId="77777777" w:rsidR="00A11C6F" w:rsidRPr="0010050B" w:rsidRDefault="00A11C6F" w:rsidP="001109B7">
            <w:pPr>
              <w:pStyle w:val="TableText"/>
              <w:jc w:val="right"/>
            </w:pPr>
            <w:r>
              <w:t>9,066</w:t>
            </w:r>
          </w:p>
        </w:tc>
      </w:tr>
      <w:tr w:rsidR="00A11C6F" w:rsidRPr="001C66E2" w14:paraId="2915B2F5" w14:textId="77777777" w:rsidTr="00AE0643">
        <w:tc>
          <w:tcPr>
            <w:tcW w:w="572" w:type="pct"/>
            <w:tcMar>
              <w:left w:w="108" w:type="dxa"/>
              <w:right w:w="108" w:type="dxa"/>
            </w:tcMar>
          </w:tcPr>
          <w:p w14:paraId="786EB62C" w14:textId="1AB32878" w:rsidR="00A11C6F" w:rsidRPr="0010050B" w:rsidRDefault="00A11C6F" w:rsidP="001109B7">
            <w:pPr>
              <w:pStyle w:val="TableText"/>
            </w:pPr>
            <w:r w:rsidRPr="00A25F07">
              <w:t>202</w:t>
            </w:r>
            <w:r>
              <w:t>2</w:t>
            </w:r>
            <w:r w:rsidR="008433D6">
              <w:t>–</w:t>
            </w:r>
            <w:r w:rsidRPr="00A25F07">
              <w:t>2</w:t>
            </w:r>
            <w:r>
              <w:t>3</w:t>
            </w:r>
          </w:p>
        </w:tc>
        <w:tc>
          <w:tcPr>
            <w:tcW w:w="2050" w:type="pct"/>
            <w:tcMar>
              <w:left w:w="108" w:type="dxa"/>
              <w:right w:w="108" w:type="dxa"/>
            </w:tcMar>
          </w:tcPr>
          <w:p w14:paraId="4A4FA6C0" w14:textId="77777777" w:rsidR="00A11C6F" w:rsidRPr="0010050B" w:rsidRDefault="00A11C6F" w:rsidP="001109B7">
            <w:pPr>
              <w:pStyle w:val="TableText"/>
              <w:jc w:val="right"/>
            </w:pPr>
            <w:r>
              <w:t>19,030</w:t>
            </w:r>
          </w:p>
        </w:tc>
        <w:tc>
          <w:tcPr>
            <w:tcW w:w="2378" w:type="pct"/>
            <w:tcMar>
              <w:left w:w="108" w:type="dxa"/>
              <w:right w:w="108" w:type="dxa"/>
            </w:tcMar>
          </w:tcPr>
          <w:p w14:paraId="6CBCFBD3" w14:textId="77777777" w:rsidR="00A11C6F" w:rsidRPr="0010050B" w:rsidRDefault="00A11C6F" w:rsidP="001109B7">
            <w:pPr>
              <w:pStyle w:val="TableText"/>
              <w:jc w:val="right"/>
            </w:pPr>
            <w:r>
              <w:t>8,292</w:t>
            </w:r>
          </w:p>
        </w:tc>
      </w:tr>
      <w:tr w:rsidR="00A11C6F" w:rsidRPr="001C66E2" w14:paraId="56467605" w14:textId="77777777" w:rsidTr="00AE0643">
        <w:tc>
          <w:tcPr>
            <w:tcW w:w="572" w:type="pct"/>
            <w:tcMar>
              <w:left w:w="108" w:type="dxa"/>
              <w:right w:w="108" w:type="dxa"/>
            </w:tcMar>
          </w:tcPr>
          <w:p w14:paraId="407F2AA9" w14:textId="1907E0B1" w:rsidR="00A11C6F" w:rsidRPr="00A25F07" w:rsidRDefault="00A11C6F" w:rsidP="001109B7">
            <w:pPr>
              <w:pStyle w:val="TableText"/>
            </w:pPr>
            <w:r>
              <w:t>2021</w:t>
            </w:r>
            <w:r w:rsidR="008433D6">
              <w:t>–</w:t>
            </w:r>
            <w:r>
              <w:t>22</w:t>
            </w:r>
          </w:p>
        </w:tc>
        <w:tc>
          <w:tcPr>
            <w:tcW w:w="2050" w:type="pct"/>
            <w:tcMar>
              <w:left w:w="108" w:type="dxa"/>
              <w:right w:w="108" w:type="dxa"/>
            </w:tcMar>
          </w:tcPr>
          <w:p w14:paraId="69945E13" w14:textId="77777777" w:rsidR="00A11C6F" w:rsidRPr="00A25F07" w:rsidRDefault="00A11C6F" w:rsidP="001109B7">
            <w:pPr>
              <w:pStyle w:val="TableText"/>
              <w:jc w:val="right"/>
            </w:pPr>
            <w:r>
              <w:t>17,555</w:t>
            </w:r>
          </w:p>
        </w:tc>
        <w:tc>
          <w:tcPr>
            <w:tcW w:w="2378" w:type="pct"/>
            <w:tcMar>
              <w:left w:w="108" w:type="dxa"/>
              <w:right w:w="108" w:type="dxa"/>
            </w:tcMar>
          </w:tcPr>
          <w:p w14:paraId="7BE9E015" w14:textId="77777777" w:rsidR="00A11C6F" w:rsidRPr="00A25F07" w:rsidRDefault="00A11C6F" w:rsidP="001109B7">
            <w:pPr>
              <w:pStyle w:val="TableText"/>
              <w:jc w:val="right"/>
            </w:pPr>
            <w:r>
              <w:t>7,841</w:t>
            </w:r>
          </w:p>
        </w:tc>
      </w:tr>
    </w:tbl>
    <w:p w14:paraId="4A85D13F" w14:textId="473F9DFD" w:rsidR="00022816" w:rsidRPr="006E77C9" w:rsidRDefault="00022816" w:rsidP="00022816">
      <w:pPr>
        <w:pStyle w:val="Heading2"/>
        <w:numPr>
          <w:ilvl w:val="0"/>
          <w:numId w:val="0"/>
        </w:numPr>
        <w:ind w:left="720" w:hanging="720"/>
      </w:pPr>
      <w:bookmarkStart w:id="231" w:name="_Appendix_B:_Cost-model"/>
      <w:bookmarkStart w:id="232" w:name="_Ref230256109"/>
      <w:bookmarkStart w:id="233" w:name="_Ref230256395"/>
      <w:bookmarkStart w:id="234" w:name="_Toc233378712"/>
      <w:bookmarkEnd w:id="231"/>
      <w:r w:rsidRPr="006E77C9">
        <w:lastRenderedPageBreak/>
        <w:t xml:space="preserve">Appendix </w:t>
      </w:r>
      <w:r>
        <w:t>B</w:t>
      </w:r>
      <w:r w:rsidRPr="006E77C9">
        <w:t xml:space="preserve">: </w:t>
      </w:r>
      <w:r>
        <w:t>C</w:t>
      </w:r>
      <w:r w:rsidRPr="006E77C9">
        <w:t>ost</w:t>
      </w:r>
      <w:r w:rsidR="0066545A">
        <w:t>-</w:t>
      </w:r>
      <w:r w:rsidRPr="006E77C9">
        <w:t>model activities</w:t>
      </w:r>
      <w:bookmarkEnd w:id="232"/>
      <w:bookmarkEnd w:id="233"/>
      <w:bookmarkEnd w:id="234"/>
    </w:p>
    <w:p w14:paraId="0AB942F8" w14:textId="19691FC8" w:rsidR="00022816" w:rsidRPr="003328FE" w:rsidRDefault="00022816" w:rsidP="00022816">
      <w:pPr>
        <w:rPr>
          <w:rFonts w:cstheme="minorHAnsi"/>
          <w:lang w:eastAsia="ja-JP"/>
        </w:rPr>
      </w:pPr>
      <w:r w:rsidRPr="003328FE">
        <w:rPr>
          <w:rFonts w:cstheme="minorHAnsi"/>
          <w:lang w:eastAsia="ja-JP"/>
        </w:rPr>
        <w:t>This section details the cost</w:t>
      </w:r>
      <w:r w:rsidR="0066545A">
        <w:rPr>
          <w:rFonts w:cstheme="minorHAnsi"/>
          <w:lang w:eastAsia="ja-JP"/>
        </w:rPr>
        <w:t>-</w:t>
      </w:r>
      <w:r w:rsidRPr="003328FE">
        <w:rPr>
          <w:rFonts w:cstheme="minorHAnsi"/>
          <w:lang w:eastAsia="ja-JP"/>
        </w:rPr>
        <w:t xml:space="preserve">model activities </w:t>
      </w:r>
      <w:r w:rsidR="00FE03BE">
        <w:rPr>
          <w:rFonts w:cstheme="minorHAnsi"/>
          <w:lang w:eastAsia="ja-JP"/>
        </w:rPr>
        <w:t>included under</w:t>
      </w:r>
      <w:r w:rsidRPr="003328FE">
        <w:rPr>
          <w:rFonts w:cstheme="minorHAnsi"/>
          <w:lang w:eastAsia="ja-JP"/>
        </w:rPr>
        <w:t xml:space="preserve"> our regulatory charging arrangements.</w:t>
      </w:r>
    </w:p>
    <w:p w14:paraId="004AD8D9" w14:textId="77777777" w:rsidR="00022816" w:rsidRPr="00010C9A" w:rsidRDefault="00022816" w:rsidP="00022816">
      <w:pPr>
        <w:pStyle w:val="Heading3"/>
        <w:numPr>
          <w:ilvl w:val="0"/>
          <w:numId w:val="0"/>
        </w:numPr>
        <w:rPr>
          <w:sz w:val="36"/>
          <w:szCs w:val="36"/>
          <w:lang w:eastAsia="ja-JP"/>
        </w:rPr>
      </w:pPr>
      <w:bookmarkStart w:id="235" w:name="_Toc233378713"/>
      <w:r w:rsidRPr="00010C9A">
        <w:rPr>
          <w:sz w:val="36"/>
          <w:szCs w:val="36"/>
          <w:lang w:eastAsia="ja-JP"/>
        </w:rPr>
        <w:t>Program management and administration activities (charge)</w:t>
      </w:r>
      <w:bookmarkEnd w:id="235"/>
    </w:p>
    <w:p w14:paraId="526DAB83" w14:textId="77777777" w:rsidR="00022816" w:rsidRPr="00EE36F3" w:rsidRDefault="00022816" w:rsidP="00EE36F3">
      <w:pPr>
        <w:pStyle w:val="Heading4"/>
        <w:numPr>
          <w:ilvl w:val="0"/>
          <w:numId w:val="0"/>
        </w:numPr>
        <w:ind w:left="964" w:hanging="964"/>
      </w:pPr>
      <w:r w:rsidRPr="00EE36F3">
        <w:rPr>
          <w:rFonts w:eastAsiaTheme="minorHAnsi"/>
        </w:rPr>
        <w:t>Workforce and business management</w:t>
      </w:r>
    </w:p>
    <w:p w14:paraId="0D74E34A" w14:textId="0A06ABE1" w:rsidR="00022816" w:rsidRPr="00220E8F" w:rsidRDefault="00022816" w:rsidP="00104E08">
      <w:pPr>
        <w:pStyle w:val="ListBullet"/>
        <w:rPr>
          <w:lang w:eastAsia="ja-JP"/>
        </w:rPr>
      </w:pPr>
      <w:r w:rsidRPr="00220E8F">
        <w:rPr>
          <w:lang w:eastAsia="ja-JP"/>
        </w:rPr>
        <w:t xml:space="preserve">Workforce management </w:t>
      </w:r>
      <w:r w:rsidR="0066545A">
        <w:rPr>
          <w:lang w:eastAsia="ja-JP"/>
        </w:rPr>
        <w:t xml:space="preserve">– </w:t>
      </w:r>
      <w:r w:rsidRPr="00220E8F">
        <w:rPr>
          <w:lang w:eastAsia="ja-JP"/>
        </w:rPr>
        <w:t>staff supervision, allocating workforce resources, managing employee performance, leave, training and other conditions, managing work, health and safety requirements, recruitment and termination.</w:t>
      </w:r>
    </w:p>
    <w:p w14:paraId="58403F56" w14:textId="748EB514" w:rsidR="00022816" w:rsidRPr="00220E8F" w:rsidRDefault="00022816" w:rsidP="00104E08">
      <w:pPr>
        <w:pStyle w:val="ListBullet"/>
        <w:rPr>
          <w:lang w:eastAsia="ja-JP"/>
        </w:rPr>
      </w:pPr>
      <w:r w:rsidRPr="00220E8F">
        <w:rPr>
          <w:lang w:eastAsia="ja-JP"/>
        </w:rPr>
        <w:t xml:space="preserve">Business management </w:t>
      </w:r>
      <w:r w:rsidR="0066545A">
        <w:rPr>
          <w:lang w:eastAsia="ja-JP"/>
        </w:rPr>
        <w:t xml:space="preserve">– </w:t>
      </w:r>
      <w:r w:rsidRPr="00220E8F">
        <w:rPr>
          <w:lang w:eastAsia="ja-JP"/>
        </w:rPr>
        <w:t>business planning and continuity, requesting legal advice, procurement and contracts, program and project administration, assurance, design and management, management of fixtures, facilities, equipment, supplies and logistics.</w:t>
      </w:r>
    </w:p>
    <w:p w14:paraId="33CA9B96" w14:textId="36FD5561" w:rsidR="00022816" w:rsidRPr="00220E8F" w:rsidRDefault="00022816" w:rsidP="00104E08">
      <w:pPr>
        <w:pStyle w:val="ListBullet"/>
        <w:rPr>
          <w:lang w:eastAsia="ja-JP"/>
        </w:rPr>
      </w:pPr>
      <w:r w:rsidRPr="00220E8F">
        <w:rPr>
          <w:lang w:eastAsia="ja-JP"/>
        </w:rPr>
        <w:t>Financial management</w:t>
      </w:r>
      <w:r w:rsidR="0066545A">
        <w:rPr>
          <w:lang w:eastAsia="ja-JP"/>
        </w:rPr>
        <w:t xml:space="preserve"> –</w:t>
      </w:r>
      <w:r w:rsidRPr="00220E8F">
        <w:rPr>
          <w:lang w:eastAsia="ja-JP"/>
        </w:rPr>
        <w:t xml:space="preserve"> billing and accounting, budgeting, charges and payments, collections and receivables, debt management, financial accounts, reporting and policy development.</w:t>
      </w:r>
    </w:p>
    <w:p w14:paraId="7EBF9F0F" w14:textId="2FC1329F" w:rsidR="00022816" w:rsidRPr="00446A2A" w:rsidRDefault="00022816" w:rsidP="008336F3">
      <w:pPr>
        <w:pStyle w:val="ListBullet"/>
      </w:pPr>
      <w:r w:rsidRPr="00446A2A">
        <w:t>Information management</w:t>
      </w:r>
      <w:r w:rsidR="0066545A">
        <w:t xml:space="preserve"> –</w:t>
      </w:r>
      <w:r w:rsidRPr="00446A2A">
        <w:t xml:space="preserve"> data management, information and records management, and information sharing and collaboration.</w:t>
      </w:r>
    </w:p>
    <w:p w14:paraId="1845ECED" w14:textId="77777777" w:rsidR="00022816" w:rsidRPr="00A7069B" w:rsidRDefault="00022816" w:rsidP="00EE36F3">
      <w:pPr>
        <w:pStyle w:val="Heading4"/>
        <w:numPr>
          <w:ilvl w:val="0"/>
          <w:numId w:val="0"/>
        </w:numPr>
        <w:ind w:left="964" w:hanging="964"/>
        <w:rPr>
          <w:lang w:eastAsia="ja-JP"/>
        </w:rPr>
      </w:pPr>
      <w:r w:rsidRPr="00A7069B">
        <w:rPr>
          <w:lang w:eastAsia="ja-JP"/>
        </w:rPr>
        <w:t>Business systems administration</w:t>
      </w:r>
    </w:p>
    <w:p w14:paraId="4D9EF7EB" w14:textId="15C4B112" w:rsidR="00022816" w:rsidRPr="00A7069B" w:rsidRDefault="0066545A" w:rsidP="00E8435C">
      <w:pPr>
        <w:rPr>
          <w:lang w:eastAsia="ja-JP"/>
        </w:rPr>
      </w:pPr>
      <w:r>
        <w:rPr>
          <w:lang w:eastAsia="ja-JP"/>
        </w:rPr>
        <w:t>This activity i</w:t>
      </w:r>
      <w:r w:rsidR="00022816" w:rsidRPr="00A7069B">
        <w:rPr>
          <w:lang w:eastAsia="ja-JP"/>
        </w:rPr>
        <w:t>ncludes developing, acquiring, testing, implementing, and supporting applications and business systems. It encompasses technical support and maintenance of all business systems, including information and communication technology.</w:t>
      </w:r>
    </w:p>
    <w:p w14:paraId="6699D892" w14:textId="77777777" w:rsidR="00022816" w:rsidRPr="00A7069B" w:rsidRDefault="00022816" w:rsidP="00EE36F3">
      <w:pPr>
        <w:pStyle w:val="Heading4"/>
        <w:numPr>
          <w:ilvl w:val="0"/>
          <w:numId w:val="0"/>
        </w:numPr>
        <w:ind w:left="964" w:hanging="964"/>
        <w:rPr>
          <w:lang w:eastAsia="ja-JP"/>
        </w:rPr>
      </w:pPr>
      <w:r w:rsidRPr="00A7069B">
        <w:rPr>
          <w:lang w:eastAsia="ja-JP"/>
        </w:rPr>
        <w:t>Stakeholder engagement</w:t>
      </w:r>
    </w:p>
    <w:p w14:paraId="37164FF3" w14:textId="511B5834" w:rsidR="00022816" w:rsidRPr="00E8435C" w:rsidRDefault="0066545A" w:rsidP="00E8435C">
      <w:r w:rsidRPr="00E8435C">
        <w:t>This activity i</w:t>
      </w:r>
      <w:r w:rsidR="00022816" w:rsidRPr="00E8435C">
        <w:t>nvolves proactive engagement with any person, business, or organisation, including any associated travel. It includes engaging with peak industry bodies, secretariat support and attendance at industry consultative committee meetings, consultation on new standards and requirements, publishing website content and other information.</w:t>
      </w:r>
    </w:p>
    <w:p w14:paraId="6E06013B" w14:textId="77777777" w:rsidR="00022816" w:rsidRPr="00A7069B" w:rsidRDefault="00022816" w:rsidP="00EE36F3">
      <w:pPr>
        <w:pStyle w:val="Heading4"/>
        <w:numPr>
          <w:ilvl w:val="0"/>
          <w:numId w:val="0"/>
        </w:numPr>
        <w:ind w:left="964" w:hanging="964"/>
        <w:rPr>
          <w:lang w:eastAsia="ja-JP"/>
        </w:rPr>
      </w:pPr>
      <w:r w:rsidRPr="00A7069B">
        <w:rPr>
          <w:lang w:eastAsia="ja-JP"/>
        </w:rPr>
        <w:t>Policy and instructional material</w:t>
      </w:r>
    </w:p>
    <w:p w14:paraId="776A1A1C" w14:textId="50B667F2" w:rsidR="00022816" w:rsidRPr="00A7069B" w:rsidRDefault="0066545A" w:rsidP="00022816">
      <w:pPr>
        <w:rPr>
          <w:rFonts w:cstheme="minorHAnsi"/>
          <w:lang w:eastAsia="ja-JP"/>
        </w:rPr>
      </w:pPr>
      <w:r>
        <w:rPr>
          <w:rFonts w:cstheme="minorHAnsi"/>
          <w:lang w:eastAsia="ja-JP"/>
        </w:rPr>
        <w:t>This</w:t>
      </w:r>
      <w:r w:rsidR="00596A1C">
        <w:rPr>
          <w:rFonts w:cstheme="minorHAnsi"/>
          <w:lang w:eastAsia="ja-JP"/>
        </w:rPr>
        <w:t xml:space="preserve"> activity</w:t>
      </w:r>
      <w:r>
        <w:rPr>
          <w:rFonts w:cstheme="minorHAnsi"/>
          <w:lang w:eastAsia="ja-JP"/>
        </w:rPr>
        <w:t xml:space="preserve"> </w:t>
      </w:r>
      <w:r w:rsidR="00596A1C">
        <w:rPr>
          <w:rFonts w:cstheme="minorHAnsi"/>
          <w:lang w:eastAsia="ja-JP"/>
        </w:rPr>
        <w:t>i</w:t>
      </w:r>
      <w:r w:rsidR="00022816" w:rsidRPr="00A7069B">
        <w:rPr>
          <w:rFonts w:cstheme="minorHAnsi"/>
          <w:lang w:eastAsia="ja-JP"/>
        </w:rPr>
        <w:t>ncludes developing, maintaining, and communicating our policy and instructional material, such as operational and corporate policies, scientific advice, guidelines and work instructions, and associated training development and delivery. Examples include developing or revising policy, processes and developing new instructional material.</w:t>
      </w:r>
    </w:p>
    <w:p w14:paraId="3C7890BE" w14:textId="77777777" w:rsidR="00022816" w:rsidRPr="001B4256" w:rsidRDefault="00022816" w:rsidP="00EE36F3">
      <w:pPr>
        <w:pStyle w:val="Heading4"/>
        <w:numPr>
          <w:ilvl w:val="0"/>
          <w:numId w:val="0"/>
        </w:numPr>
        <w:ind w:left="964" w:hanging="964"/>
        <w:rPr>
          <w:lang w:eastAsia="ja-JP"/>
        </w:rPr>
      </w:pPr>
      <w:r w:rsidRPr="001B4256">
        <w:rPr>
          <w:lang w:eastAsia="ja-JP"/>
        </w:rPr>
        <w:t>Business improvement</w:t>
      </w:r>
    </w:p>
    <w:p w14:paraId="7855AA81" w14:textId="715CD149" w:rsidR="00022816" w:rsidRPr="001B4256" w:rsidRDefault="00271472" w:rsidP="00022816">
      <w:pPr>
        <w:rPr>
          <w:rFonts w:cstheme="minorHAnsi"/>
          <w:lang w:eastAsia="ja-JP"/>
        </w:rPr>
      </w:pPr>
      <w:r>
        <w:rPr>
          <w:rFonts w:cstheme="minorHAnsi"/>
          <w:lang w:eastAsia="ja-JP"/>
        </w:rPr>
        <w:t xml:space="preserve">This </w:t>
      </w:r>
      <w:r w:rsidR="00892619">
        <w:rPr>
          <w:rFonts w:cstheme="minorHAnsi"/>
          <w:lang w:eastAsia="ja-JP"/>
        </w:rPr>
        <w:t xml:space="preserve">activity </w:t>
      </w:r>
      <w:r w:rsidR="00596A1C">
        <w:rPr>
          <w:rFonts w:cstheme="minorHAnsi"/>
          <w:lang w:eastAsia="ja-JP"/>
        </w:rPr>
        <w:t>i</w:t>
      </w:r>
      <w:r w:rsidR="00022816" w:rsidRPr="001B4256">
        <w:rPr>
          <w:rFonts w:cstheme="minorHAnsi"/>
          <w:lang w:eastAsia="ja-JP"/>
        </w:rPr>
        <w:t>ncludes assessment, monitoring and development of initiatives to improve performance. Examples include adjustments to improve program and service delivery, business performance reports against key performance indicators and similar activities.</w:t>
      </w:r>
    </w:p>
    <w:p w14:paraId="097AFCC5" w14:textId="77777777" w:rsidR="00022816" w:rsidRPr="001B4256" w:rsidRDefault="00022816" w:rsidP="00022816">
      <w:pPr>
        <w:pStyle w:val="Heading3"/>
        <w:numPr>
          <w:ilvl w:val="0"/>
          <w:numId w:val="0"/>
        </w:numPr>
        <w:rPr>
          <w:lang w:eastAsia="ja-JP"/>
        </w:rPr>
      </w:pPr>
      <w:bookmarkStart w:id="236" w:name="_Toc233378714"/>
      <w:r w:rsidRPr="001B4256">
        <w:rPr>
          <w:lang w:eastAsia="ja-JP"/>
        </w:rPr>
        <w:lastRenderedPageBreak/>
        <w:t>Assurance activities (charge)</w:t>
      </w:r>
      <w:bookmarkEnd w:id="236"/>
    </w:p>
    <w:p w14:paraId="4E3FC63E" w14:textId="77777777" w:rsidR="00022816" w:rsidRPr="001B4256" w:rsidRDefault="00022816" w:rsidP="00EE36F3">
      <w:pPr>
        <w:pStyle w:val="Heading4"/>
        <w:numPr>
          <w:ilvl w:val="0"/>
          <w:numId w:val="0"/>
        </w:numPr>
        <w:ind w:left="964" w:hanging="964"/>
        <w:rPr>
          <w:lang w:eastAsia="ja-JP"/>
        </w:rPr>
      </w:pPr>
      <w:r w:rsidRPr="001B4256">
        <w:rPr>
          <w:lang w:eastAsia="ja-JP"/>
        </w:rPr>
        <w:t>Risk management</w:t>
      </w:r>
    </w:p>
    <w:p w14:paraId="7FA50698" w14:textId="794C9F66" w:rsidR="00022816" w:rsidRPr="001B4256" w:rsidRDefault="00596A1C" w:rsidP="00022816">
      <w:pPr>
        <w:rPr>
          <w:rFonts w:cstheme="minorHAnsi"/>
          <w:lang w:eastAsia="ja-JP"/>
        </w:rPr>
      </w:pPr>
      <w:r>
        <w:rPr>
          <w:rFonts w:cstheme="minorHAnsi"/>
          <w:lang w:eastAsia="ja-JP"/>
        </w:rPr>
        <w:t>A</w:t>
      </w:r>
      <w:r w:rsidR="00022816" w:rsidRPr="001B4256">
        <w:rPr>
          <w:rFonts w:cstheme="minorHAnsi"/>
          <w:lang w:eastAsia="ja-JP"/>
        </w:rPr>
        <w:t>ssessing and managing the risks posed to Australia’s biosecurity and imported food systems. This includes communicating</w:t>
      </w:r>
      <w:r w:rsidR="00664207">
        <w:rPr>
          <w:rFonts w:cstheme="minorHAnsi"/>
          <w:lang w:eastAsia="ja-JP"/>
        </w:rPr>
        <w:t xml:space="preserve"> strategic intelligence advice to the department’s decision makers,</w:t>
      </w:r>
      <w:r w:rsidR="00022816" w:rsidRPr="001B4256">
        <w:rPr>
          <w:rFonts w:cstheme="minorHAnsi"/>
          <w:lang w:eastAsia="ja-JP"/>
        </w:rPr>
        <w:t xml:space="preserve"> results of risk analysis, modelling and forecasting to operational areas and the collection, receipt and use of data, information and intelligence to meet our compliance objectives. This work also includes any associated travel and client assistance work, such as assessment of </w:t>
      </w:r>
      <w:r w:rsidR="00664207">
        <w:rPr>
          <w:rFonts w:cstheme="minorHAnsi"/>
          <w:lang w:eastAsia="ja-JP"/>
        </w:rPr>
        <w:t xml:space="preserve">threats and risks </w:t>
      </w:r>
      <w:r w:rsidR="00022816" w:rsidRPr="001B4256">
        <w:rPr>
          <w:rFonts w:cstheme="minorHAnsi"/>
          <w:lang w:eastAsia="ja-JP"/>
        </w:rPr>
        <w:t>associated with cargo, vessels, plants, animals, food, biological and genetic material.</w:t>
      </w:r>
    </w:p>
    <w:p w14:paraId="78FAFFC2" w14:textId="77777777" w:rsidR="00022816" w:rsidRPr="001B4256" w:rsidRDefault="00022816" w:rsidP="00EE36F3">
      <w:pPr>
        <w:pStyle w:val="Heading4"/>
        <w:numPr>
          <w:ilvl w:val="0"/>
          <w:numId w:val="0"/>
        </w:numPr>
        <w:ind w:left="964" w:hanging="964"/>
        <w:rPr>
          <w:lang w:eastAsia="ja-JP"/>
        </w:rPr>
      </w:pPr>
      <w:r w:rsidRPr="001B4256">
        <w:rPr>
          <w:lang w:eastAsia="ja-JP"/>
        </w:rPr>
        <w:t>Verification</w:t>
      </w:r>
    </w:p>
    <w:p w14:paraId="5032B022" w14:textId="6220385D" w:rsidR="00022816" w:rsidRPr="001B4256" w:rsidRDefault="00596A1C" w:rsidP="00022816">
      <w:pPr>
        <w:rPr>
          <w:rFonts w:cstheme="minorHAnsi"/>
          <w:lang w:eastAsia="ja-JP"/>
        </w:rPr>
      </w:pPr>
      <w:r>
        <w:rPr>
          <w:rFonts w:cstheme="minorHAnsi"/>
          <w:lang w:eastAsia="ja-JP"/>
        </w:rPr>
        <w:t>A</w:t>
      </w:r>
      <w:r w:rsidR="00022816" w:rsidRPr="001B4256">
        <w:rPr>
          <w:rFonts w:cstheme="minorHAnsi"/>
          <w:lang w:eastAsia="ja-JP"/>
        </w:rPr>
        <w:t>ctivities that provide our executive and stakeholders with confidence that our systems and processes are operating in accordance with their intended design and associated documentation and managing the identified risk. For example, internal quality assurance systems and verification activities to ensure officers are following procedures, processes or instructional material and are making appropriate decisions.</w:t>
      </w:r>
    </w:p>
    <w:p w14:paraId="439BEF87" w14:textId="77777777" w:rsidR="00022816" w:rsidRPr="001B4256" w:rsidRDefault="00022816" w:rsidP="00EE36F3">
      <w:pPr>
        <w:pStyle w:val="Heading4"/>
        <w:numPr>
          <w:ilvl w:val="0"/>
          <w:numId w:val="0"/>
        </w:numPr>
        <w:ind w:left="964" w:hanging="964"/>
        <w:rPr>
          <w:lang w:eastAsia="ja-JP"/>
        </w:rPr>
      </w:pPr>
      <w:r w:rsidRPr="001B4256">
        <w:rPr>
          <w:lang w:eastAsia="ja-JP"/>
        </w:rPr>
        <w:t>Surveillance</w:t>
      </w:r>
    </w:p>
    <w:p w14:paraId="5040EC74" w14:textId="097D7084" w:rsidR="00022816" w:rsidRPr="001B4256" w:rsidRDefault="00596A1C" w:rsidP="00022816">
      <w:pPr>
        <w:rPr>
          <w:rFonts w:cstheme="minorHAnsi"/>
          <w:lang w:eastAsia="ja-JP"/>
        </w:rPr>
      </w:pPr>
      <w:r>
        <w:rPr>
          <w:rFonts w:cstheme="minorHAnsi"/>
          <w:lang w:eastAsia="ja-JP"/>
        </w:rPr>
        <w:t>F</w:t>
      </w:r>
      <w:r w:rsidR="00022816" w:rsidRPr="001B4256">
        <w:rPr>
          <w:rFonts w:cstheme="minorHAnsi"/>
          <w:lang w:eastAsia="ja-JP"/>
        </w:rPr>
        <w:t>ormal and informal monitoring to detect changes in Australia’s pest or disease status, or the presence of food safety concerns which may affect imports and onshore production. Surveillance differs from an inspection as it is not conducted for a specific client.</w:t>
      </w:r>
    </w:p>
    <w:p w14:paraId="65BBF2E2" w14:textId="77777777" w:rsidR="00022816" w:rsidRPr="001B4256" w:rsidRDefault="00022816" w:rsidP="00022816">
      <w:pPr>
        <w:rPr>
          <w:rFonts w:cstheme="minorHAnsi"/>
          <w:lang w:eastAsia="ja-JP"/>
        </w:rPr>
      </w:pPr>
      <w:r w:rsidRPr="001B4256">
        <w:rPr>
          <w:rFonts w:cstheme="minorHAnsi"/>
          <w:lang w:eastAsia="ja-JP"/>
        </w:rPr>
        <w:t>It includes all pre and post work, travel and client assistance in relation to surveillance. Examples include deploying detector dogs, wharf surveillance, vector monitoring at proclaimed ports, new car surveillance, break bulk surveillance, monitoring the entry of exotic pests, weeds and disease across passenger and cargo pathways, monitoring of animal welfare issues and monitoring for microbiological or chemical hazards in food.</w:t>
      </w:r>
    </w:p>
    <w:p w14:paraId="7661B2A6" w14:textId="77777777" w:rsidR="00022816" w:rsidRPr="00000ABC" w:rsidRDefault="00022816" w:rsidP="00022816">
      <w:pPr>
        <w:pStyle w:val="Heading3"/>
        <w:numPr>
          <w:ilvl w:val="0"/>
          <w:numId w:val="0"/>
        </w:numPr>
      </w:pPr>
      <w:bookmarkStart w:id="237" w:name="_Toc233378715"/>
      <w:r w:rsidRPr="00000ABC">
        <w:t>Incident management activities (charge)</w:t>
      </w:r>
      <w:bookmarkEnd w:id="237"/>
    </w:p>
    <w:p w14:paraId="1D0F6F63" w14:textId="77777777" w:rsidR="00022816" w:rsidRPr="001B4256" w:rsidRDefault="00022816" w:rsidP="00EE36F3">
      <w:pPr>
        <w:pStyle w:val="Heading4"/>
        <w:numPr>
          <w:ilvl w:val="0"/>
          <w:numId w:val="0"/>
        </w:numPr>
        <w:ind w:left="964" w:hanging="964"/>
        <w:rPr>
          <w:lang w:eastAsia="ja-JP"/>
        </w:rPr>
      </w:pPr>
      <w:r w:rsidRPr="001B4256">
        <w:rPr>
          <w:lang w:eastAsia="ja-JP"/>
        </w:rPr>
        <w:t>Incident management</w:t>
      </w:r>
    </w:p>
    <w:p w14:paraId="7430DDC9" w14:textId="32B4B161" w:rsidR="00022816" w:rsidRPr="001B4256" w:rsidRDefault="00596A1C" w:rsidP="00022816">
      <w:pPr>
        <w:rPr>
          <w:rFonts w:cstheme="minorHAnsi"/>
          <w:lang w:eastAsia="ja-JP"/>
        </w:rPr>
      </w:pPr>
      <w:r>
        <w:rPr>
          <w:rFonts w:cstheme="minorHAnsi"/>
          <w:lang w:eastAsia="ja-JP"/>
        </w:rPr>
        <w:t>C</w:t>
      </w:r>
      <w:r w:rsidR="00022816" w:rsidRPr="001B4256">
        <w:rPr>
          <w:rFonts w:cstheme="minorHAnsi"/>
          <w:lang w:eastAsia="ja-JP"/>
        </w:rPr>
        <w:t>oordination and management of any incident, including post-border detections and biosecurity and imported food incidents. This includes all associated pre and post work, travel and client assistance in relation to an incident. It excludes cost-sharing for emergency responses under the formal national disease and pest response arrangements.</w:t>
      </w:r>
    </w:p>
    <w:p w14:paraId="11B96A66" w14:textId="77777777" w:rsidR="00022816" w:rsidRPr="001B4256" w:rsidRDefault="00022816" w:rsidP="00EE36F3">
      <w:pPr>
        <w:pStyle w:val="Heading4"/>
        <w:numPr>
          <w:ilvl w:val="0"/>
          <w:numId w:val="0"/>
        </w:numPr>
        <w:ind w:left="964" w:hanging="964"/>
        <w:rPr>
          <w:lang w:eastAsia="ja-JP"/>
        </w:rPr>
      </w:pPr>
      <w:r w:rsidRPr="001B4256">
        <w:rPr>
          <w:lang w:eastAsia="ja-JP"/>
        </w:rPr>
        <w:t xml:space="preserve">Investigation </w:t>
      </w:r>
      <w:r w:rsidRPr="0062405B">
        <w:t>support</w:t>
      </w:r>
    </w:p>
    <w:p w14:paraId="113380A2" w14:textId="4694CB3A" w:rsidR="00022816" w:rsidRPr="001B4256" w:rsidRDefault="00596A1C" w:rsidP="00022816">
      <w:pPr>
        <w:rPr>
          <w:rFonts w:cstheme="minorHAnsi"/>
          <w:lang w:eastAsia="ja-JP"/>
        </w:rPr>
      </w:pPr>
      <w:r>
        <w:rPr>
          <w:rFonts w:cstheme="minorHAnsi"/>
          <w:lang w:eastAsia="ja-JP"/>
        </w:rPr>
        <w:t>S</w:t>
      </w:r>
      <w:r w:rsidR="00022816" w:rsidRPr="001B4256">
        <w:rPr>
          <w:rFonts w:cstheme="minorHAnsi"/>
          <w:lang w:eastAsia="ja-JP"/>
        </w:rPr>
        <w:t>upport for enforcement activities relating to an alleged breach of portfolio legislation, including any related client assistance and travel. It does not include the work of the enforcement officers. Examples of investigation support include data extraction and analysis to support an investigation.</w:t>
      </w:r>
    </w:p>
    <w:p w14:paraId="7FDA7574" w14:textId="77777777" w:rsidR="00022816" w:rsidRPr="002A5E46" w:rsidRDefault="00022816" w:rsidP="00EE36F3">
      <w:pPr>
        <w:pStyle w:val="Heading4"/>
        <w:numPr>
          <w:ilvl w:val="0"/>
          <w:numId w:val="0"/>
        </w:numPr>
        <w:ind w:left="964" w:hanging="964"/>
        <w:rPr>
          <w:lang w:eastAsia="ja-JP"/>
        </w:rPr>
      </w:pPr>
      <w:r w:rsidRPr="002A5E46">
        <w:rPr>
          <w:lang w:eastAsia="ja-JP"/>
        </w:rPr>
        <w:t>Corrective action</w:t>
      </w:r>
    </w:p>
    <w:p w14:paraId="7AD8E297" w14:textId="5EDAD9AF" w:rsidR="00022816" w:rsidRPr="00AE1BEB" w:rsidRDefault="00596A1C" w:rsidP="00AE1BEB">
      <w:r>
        <w:t>A</w:t>
      </w:r>
      <w:r w:rsidR="00022816" w:rsidRPr="00AE1BEB">
        <w:t>ctions taken in response to non-compliance with or contravention of legislation or procedures that are managed without a formal investigation by an Enforcement officer. Corrective action activities include advice and support to operational staff and clients on the management of non-compliance and the development of options to effectively manage the risk.</w:t>
      </w:r>
    </w:p>
    <w:p w14:paraId="6D79BA02" w14:textId="77777777" w:rsidR="00022816" w:rsidRPr="002A5E46" w:rsidRDefault="00022816" w:rsidP="00022816">
      <w:pPr>
        <w:pStyle w:val="Heading3"/>
        <w:numPr>
          <w:ilvl w:val="0"/>
          <w:numId w:val="0"/>
        </w:numPr>
        <w:rPr>
          <w:lang w:eastAsia="ja-JP"/>
        </w:rPr>
      </w:pPr>
      <w:bookmarkStart w:id="238" w:name="_Toc233378716"/>
      <w:r w:rsidRPr="002A5E46">
        <w:rPr>
          <w:lang w:eastAsia="ja-JP"/>
        </w:rPr>
        <w:lastRenderedPageBreak/>
        <w:t>Intervention activities (fee)</w:t>
      </w:r>
      <w:bookmarkEnd w:id="238"/>
    </w:p>
    <w:p w14:paraId="71E1C201" w14:textId="77777777" w:rsidR="00022816" w:rsidRPr="002A5E46" w:rsidRDefault="00022816" w:rsidP="00EE36F3">
      <w:pPr>
        <w:pStyle w:val="Heading4"/>
        <w:numPr>
          <w:ilvl w:val="0"/>
          <w:numId w:val="0"/>
        </w:numPr>
        <w:ind w:left="964" w:hanging="964"/>
        <w:rPr>
          <w:lang w:eastAsia="ja-JP"/>
        </w:rPr>
      </w:pPr>
      <w:r w:rsidRPr="002A5E46">
        <w:rPr>
          <w:lang w:eastAsia="ja-JP"/>
        </w:rPr>
        <w:t>Assessment</w:t>
      </w:r>
    </w:p>
    <w:p w14:paraId="7CDC9420" w14:textId="4DB0B18E" w:rsidR="00022816" w:rsidRPr="002A5E46" w:rsidRDefault="00596A1C" w:rsidP="00022816">
      <w:pPr>
        <w:rPr>
          <w:rFonts w:cstheme="minorHAnsi"/>
          <w:lang w:eastAsia="ja-JP"/>
        </w:rPr>
      </w:pPr>
      <w:r>
        <w:rPr>
          <w:rFonts w:cstheme="minorHAnsi"/>
          <w:lang w:eastAsia="ja-JP"/>
        </w:rPr>
        <w:t>A</w:t>
      </w:r>
      <w:r w:rsidR="00022816" w:rsidRPr="002A5E46">
        <w:rPr>
          <w:rFonts w:cstheme="minorHAnsi"/>
          <w:lang w:eastAsia="ja-JP"/>
        </w:rPr>
        <w:t xml:space="preserve">ssessing information to determine if it meets the department’s requirements. This includes the assessment of import-related documentation for cargo, </w:t>
      </w:r>
      <w:r w:rsidR="002C6E38">
        <w:rPr>
          <w:rFonts w:cstheme="minorHAnsi"/>
          <w:lang w:eastAsia="ja-JP"/>
        </w:rPr>
        <w:t>conveyances</w:t>
      </w:r>
      <w:r w:rsidR="00022816" w:rsidRPr="002A5E46">
        <w:rPr>
          <w:rFonts w:cstheme="minorHAnsi"/>
          <w:lang w:eastAsia="ja-JP"/>
        </w:rPr>
        <w:t>, plants, animals, food, biological and genetic material, including administration of applications.</w:t>
      </w:r>
    </w:p>
    <w:p w14:paraId="352B81E4" w14:textId="77777777" w:rsidR="00022816" w:rsidRPr="002A5E46" w:rsidRDefault="00022816" w:rsidP="00EE36F3">
      <w:pPr>
        <w:pStyle w:val="Heading4"/>
        <w:numPr>
          <w:ilvl w:val="0"/>
          <w:numId w:val="0"/>
        </w:numPr>
        <w:ind w:left="964" w:hanging="964"/>
      </w:pPr>
      <w:r w:rsidRPr="002A5E46">
        <w:t>Issue approvals and certification</w:t>
      </w:r>
    </w:p>
    <w:p w14:paraId="6122E1D1" w14:textId="0BBF5B85" w:rsidR="00022816" w:rsidRPr="002A5E46" w:rsidRDefault="00596A1C" w:rsidP="00022816">
      <w:pPr>
        <w:rPr>
          <w:rFonts w:cstheme="minorHAnsi"/>
          <w:lang w:eastAsia="ja-JP"/>
        </w:rPr>
      </w:pPr>
      <w:r>
        <w:rPr>
          <w:rFonts w:cstheme="minorHAnsi"/>
          <w:lang w:eastAsia="ja-JP"/>
        </w:rPr>
        <w:t>I</w:t>
      </w:r>
      <w:r w:rsidR="00022816" w:rsidRPr="002A5E46">
        <w:rPr>
          <w:rFonts w:cstheme="minorHAnsi"/>
          <w:lang w:eastAsia="ja-JP"/>
        </w:rPr>
        <w:t xml:space="preserve">ssuing of a decision in relation to an assessment for cargo, </w:t>
      </w:r>
      <w:r w:rsidR="002C6E38">
        <w:rPr>
          <w:rFonts w:cstheme="minorHAnsi"/>
          <w:lang w:eastAsia="ja-JP"/>
        </w:rPr>
        <w:t>conveyances</w:t>
      </w:r>
      <w:r w:rsidR="00022816" w:rsidRPr="002A5E46">
        <w:rPr>
          <w:rFonts w:cstheme="minorHAnsi"/>
          <w:lang w:eastAsia="ja-JP"/>
        </w:rPr>
        <w:t>, plants, animals, food, biological and genetic material. This includes the work from the end of the assessment period to the completion of the decision-notification process.</w:t>
      </w:r>
    </w:p>
    <w:p w14:paraId="123DEE8A" w14:textId="77777777" w:rsidR="00022816" w:rsidRPr="002A5E46" w:rsidRDefault="00022816" w:rsidP="00EE36F3">
      <w:pPr>
        <w:pStyle w:val="Heading4"/>
        <w:numPr>
          <w:ilvl w:val="0"/>
          <w:numId w:val="0"/>
        </w:numPr>
        <w:ind w:left="964" w:hanging="964"/>
        <w:rPr>
          <w:lang w:eastAsia="ja-JP"/>
        </w:rPr>
      </w:pPr>
      <w:r w:rsidRPr="002A5E46">
        <w:rPr>
          <w:lang w:eastAsia="ja-JP"/>
        </w:rPr>
        <w:t>Inspection</w:t>
      </w:r>
    </w:p>
    <w:p w14:paraId="6CF4CEEA" w14:textId="1800563D" w:rsidR="00022816" w:rsidRPr="002A5E46" w:rsidRDefault="00596A1C" w:rsidP="00022816">
      <w:pPr>
        <w:rPr>
          <w:rFonts w:cstheme="minorHAnsi"/>
          <w:lang w:eastAsia="ja-JP"/>
        </w:rPr>
      </w:pPr>
      <w:r>
        <w:rPr>
          <w:rFonts w:cstheme="minorHAnsi"/>
          <w:lang w:eastAsia="ja-JP"/>
        </w:rPr>
        <w:t>P</w:t>
      </w:r>
      <w:r w:rsidR="00022816" w:rsidRPr="002A5E46">
        <w:rPr>
          <w:rFonts w:cstheme="minorHAnsi"/>
          <w:lang w:eastAsia="ja-JP"/>
        </w:rPr>
        <w:t xml:space="preserve">hysical examination and supervision of a physical examination, of cargo, </w:t>
      </w:r>
      <w:r w:rsidR="002C6E38">
        <w:rPr>
          <w:rFonts w:cstheme="minorHAnsi"/>
          <w:lang w:eastAsia="ja-JP"/>
        </w:rPr>
        <w:t>conveyances</w:t>
      </w:r>
      <w:r w:rsidR="00022816" w:rsidRPr="002A5E46">
        <w:rPr>
          <w:rFonts w:cstheme="minorHAnsi"/>
          <w:lang w:eastAsia="ja-JP"/>
        </w:rPr>
        <w:t>, plants, animals, food, biological and genetic material, to determine compliance with biosecurity and food safety requirements. Inspections also include activities related to post-quarantine detections of biosecurity-risk goods.</w:t>
      </w:r>
    </w:p>
    <w:p w14:paraId="06B2DC59" w14:textId="77777777" w:rsidR="00022816" w:rsidRPr="002A5E46" w:rsidRDefault="00022816" w:rsidP="00EE36F3">
      <w:pPr>
        <w:pStyle w:val="Heading4"/>
        <w:numPr>
          <w:ilvl w:val="0"/>
          <w:numId w:val="0"/>
        </w:numPr>
        <w:ind w:left="964" w:hanging="964"/>
        <w:rPr>
          <w:lang w:eastAsia="ja-JP"/>
        </w:rPr>
      </w:pPr>
      <w:r w:rsidRPr="002A5E46">
        <w:rPr>
          <w:lang w:eastAsia="ja-JP"/>
        </w:rPr>
        <w:t>Treatments</w:t>
      </w:r>
    </w:p>
    <w:p w14:paraId="16BC0732" w14:textId="557B83C9" w:rsidR="00022816" w:rsidRPr="002A5E46" w:rsidRDefault="00596A1C" w:rsidP="00022816">
      <w:pPr>
        <w:rPr>
          <w:rFonts w:cstheme="minorHAnsi"/>
          <w:lang w:eastAsia="ja-JP"/>
        </w:rPr>
      </w:pPr>
      <w:r>
        <w:rPr>
          <w:rFonts w:cstheme="minorHAnsi"/>
          <w:lang w:eastAsia="ja-JP"/>
        </w:rPr>
        <w:t>P</w:t>
      </w:r>
      <w:r w:rsidR="00022816" w:rsidRPr="002A5E46">
        <w:rPr>
          <w:rFonts w:cstheme="minorHAnsi"/>
          <w:lang w:eastAsia="ja-JP"/>
        </w:rPr>
        <w:t>hysical treatment of cargo, vessels, plants, animals, food, biological and genetic material, other conveyances or premises, to prevent an adverse biosecurity outcome from occurring.</w:t>
      </w:r>
    </w:p>
    <w:p w14:paraId="466CB9DE" w14:textId="77777777" w:rsidR="00022816" w:rsidRPr="002A5E46" w:rsidRDefault="00022816" w:rsidP="00EE36F3">
      <w:pPr>
        <w:pStyle w:val="Heading4"/>
        <w:numPr>
          <w:ilvl w:val="0"/>
          <w:numId w:val="0"/>
        </w:numPr>
        <w:ind w:left="964" w:hanging="964"/>
        <w:rPr>
          <w:lang w:eastAsia="ja-JP"/>
        </w:rPr>
      </w:pPr>
      <w:r w:rsidRPr="002A5E46">
        <w:rPr>
          <w:lang w:eastAsia="ja-JP"/>
        </w:rPr>
        <w:t>Husbandry</w:t>
      </w:r>
    </w:p>
    <w:p w14:paraId="54235609" w14:textId="69724CBE" w:rsidR="00022816" w:rsidRPr="002A5E46" w:rsidRDefault="00596A1C" w:rsidP="00022816">
      <w:pPr>
        <w:rPr>
          <w:rFonts w:cstheme="minorHAnsi"/>
          <w:lang w:eastAsia="ja-JP"/>
        </w:rPr>
      </w:pPr>
      <w:r>
        <w:rPr>
          <w:rFonts w:cstheme="minorHAnsi"/>
          <w:lang w:eastAsia="ja-JP"/>
        </w:rPr>
        <w:t>A</w:t>
      </w:r>
      <w:r w:rsidR="00022816" w:rsidRPr="002A5E46">
        <w:rPr>
          <w:rFonts w:cstheme="minorHAnsi"/>
          <w:lang w:eastAsia="ja-JP"/>
        </w:rPr>
        <w:t>ctivities relating to the care of plants and animals that we are responsible for, including transport of plants and animals, housing, daily monitoring, feeding, cleaning of facilities, administering of medication, bookings and client assistance.</w:t>
      </w:r>
    </w:p>
    <w:p w14:paraId="6AA86FAF" w14:textId="77777777" w:rsidR="00022816" w:rsidRPr="002A5E46" w:rsidRDefault="00022816" w:rsidP="00EE36F3">
      <w:pPr>
        <w:pStyle w:val="Heading4"/>
        <w:numPr>
          <w:ilvl w:val="0"/>
          <w:numId w:val="0"/>
        </w:numPr>
        <w:ind w:left="964" w:hanging="964"/>
        <w:rPr>
          <w:lang w:eastAsia="ja-JP"/>
        </w:rPr>
      </w:pPr>
      <w:r w:rsidRPr="002A5E46">
        <w:rPr>
          <w:lang w:eastAsia="ja-JP"/>
        </w:rPr>
        <w:t>Audit</w:t>
      </w:r>
    </w:p>
    <w:p w14:paraId="5AD1734D" w14:textId="7D9AD5EB" w:rsidR="00022816" w:rsidRPr="002A5E46" w:rsidRDefault="00596A1C" w:rsidP="00022816">
      <w:pPr>
        <w:rPr>
          <w:rFonts w:cstheme="minorHAnsi"/>
          <w:lang w:eastAsia="ja-JP"/>
        </w:rPr>
      </w:pPr>
      <w:r>
        <w:rPr>
          <w:rFonts w:cstheme="minorHAnsi"/>
          <w:lang w:eastAsia="ja-JP"/>
        </w:rPr>
        <w:t>S</w:t>
      </w:r>
      <w:r w:rsidR="00022816" w:rsidRPr="002A5E46">
        <w:rPr>
          <w:rFonts w:cstheme="minorHAnsi"/>
          <w:lang w:eastAsia="ja-JP"/>
        </w:rPr>
        <w:t>ystematic and functionally independent examination of industry systems and processes to determine whether activities and related results comply with legislative or documented requirements. This includes desktop audits, remote audits, site audits (including travel), reviews of standard operating procedures for new and existing approved arrangement sites, overseas manufacturing facilities and pre-export quarantine facilities and their procedures.</w:t>
      </w:r>
    </w:p>
    <w:p w14:paraId="3C9B51E5" w14:textId="26E0DAFF" w:rsidR="00704D72" w:rsidRPr="0029663C" w:rsidRDefault="00704D72" w:rsidP="006E77C9">
      <w:pPr>
        <w:pStyle w:val="Heading2"/>
        <w:numPr>
          <w:ilvl w:val="0"/>
          <w:numId w:val="0"/>
        </w:numPr>
        <w:ind w:left="720" w:hanging="720"/>
      </w:pPr>
      <w:bookmarkStart w:id="239" w:name="_Appendix_C:_Indexation"/>
      <w:bookmarkStart w:id="240" w:name="_Toc233378717"/>
      <w:bookmarkEnd w:id="239"/>
      <w:r w:rsidRPr="0029663C">
        <w:lastRenderedPageBreak/>
        <w:t xml:space="preserve">Appendix </w:t>
      </w:r>
      <w:r w:rsidR="00022816" w:rsidRPr="0029663C">
        <w:t>C</w:t>
      </w:r>
      <w:r w:rsidRPr="0029663C">
        <w:t>:</w:t>
      </w:r>
      <w:r w:rsidR="00FA0890">
        <w:t xml:space="preserve"> </w:t>
      </w:r>
      <w:r w:rsidRPr="0029663C">
        <w:t>Indexation</w:t>
      </w:r>
      <w:bookmarkEnd w:id="240"/>
    </w:p>
    <w:p w14:paraId="09F3008F" w14:textId="6747FFF0" w:rsidR="006E77C9" w:rsidRPr="0029663C" w:rsidRDefault="006E77C9" w:rsidP="006E77C9">
      <w:r w:rsidRPr="0029663C">
        <w:t>This section provides details of the application of indexation and sets out how it is applied to calculate new prices for regulatory charges.</w:t>
      </w:r>
    </w:p>
    <w:p w14:paraId="22E69373" w14:textId="5FC7AADE" w:rsidR="001736F4" w:rsidRPr="0029663C" w:rsidRDefault="001736F4" w:rsidP="007C2F94">
      <w:pPr>
        <w:pStyle w:val="Heading3"/>
        <w:numPr>
          <w:ilvl w:val="0"/>
          <w:numId w:val="0"/>
        </w:numPr>
        <w:ind w:left="964" w:hanging="964"/>
      </w:pPr>
      <w:bookmarkStart w:id="241" w:name="_Toc233378718"/>
      <w:r w:rsidRPr="0029663C">
        <w:t>Legislation</w:t>
      </w:r>
      <w:bookmarkEnd w:id="241"/>
    </w:p>
    <w:p w14:paraId="7F1D39F9" w14:textId="77777777" w:rsidR="001736F4" w:rsidRPr="0029663C" w:rsidRDefault="001736F4" w:rsidP="001736F4">
      <w:r w:rsidRPr="0029663C">
        <w:t>New prices for regulatory charges have been calculated using methodology prescribed in legislation:</w:t>
      </w:r>
    </w:p>
    <w:p w14:paraId="36E6976E" w14:textId="1F53B4F3" w:rsidR="001736F4" w:rsidRPr="0029663C" w:rsidRDefault="001736F4" w:rsidP="001736F4">
      <w:pPr>
        <w:pStyle w:val="ListBullet"/>
      </w:pPr>
      <w:r w:rsidRPr="0029663C">
        <w:t xml:space="preserve">Biosecurity Regulation 2016 </w:t>
      </w:r>
      <w:r w:rsidR="00092669">
        <w:t>–</w:t>
      </w:r>
      <w:r w:rsidRPr="0029663C">
        <w:t xml:space="preserve"> Chapter 9, Part 2, Division 1, Section 107A </w:t>
      </w:r>
      <w:r w:rsidR="00092669">
        <w:t>‘</w:t>
      </w:r>
      <w:r w:rsidRPr="00092669">
        <w:t>Indexation of fees</w:t>
      </w:r>
      <w:r w:rsidR="00092669">
        <w:t>’</w:t>
      </w:r>
      <w:r w:rsidRPr="00092669">
        <w:t>.</w:t>
      </w:r>
    </w:p>
    <w:p w14:paraId="474C2A6F" w14:textId="78E58405" w:rsidR="001736F4" w:rsidRPr="0029663C" w:rsidRDefault="001736F4" w:rsidP="001736F4">
      <w:pPr>
        <w:pStyle w:val="ListBullet"/>
      </w:pPr>
      <w:r w:rsidRPr="0029663C">
        <w:t xml:space="preserve">Biosecurity Charges Imposition (Customs) Regulation 2016, and Biosecurity Charges Imposition (General) Regulation 2016 </w:t>
      </w:r>
      <w:r w:rsidR="00092669">
        <w:t>–</w:t>
      </w:r>
      <w:r w:rsidRPr="0029663C">
        <w:t xml:space="preserve"> Part 2, Section 9A </w:t>
      </w:r>
      <w:r w:rsidR="00EF33ED">
        <w:t>‘</w:t>
      </w:r>
      <w:r w:rsidRPr="0029663C">
        <w:t xml:space="preserve">Indexation of </w:t>
      </w:r>
      <w:r w:rsidR="00EF33ED">
        <w:t>c</w:t>
      </w:r>
      <w:r w:rsidRPr="0029663C">
        <w:t>harges</w:t>
      </w:r>
      <w:r w:rsidR="00EF33ED">
        <w:t>’</w:t>
      </w:r>
      <w:r w:rsidRPr="0029663C">
        <w:t>.</w:t>
      </w:r>
    </w:p>
    <w:p w14:paraId="5004BC24" w14:textId="54ADB021" w:rsidR="001736F4" w:rsidRPr="0029663C" w:rsidRDefault="001736F4" w:rsidP="001736F4">
      <w:pPr>
        <w:pStyle w:val="ListBullet"/>
      </w:pPr>
      <w:r w:rsidRPr="0029663C">
        <w:t xml:space="preserve">Imported Food Control Regulations 2019 </w:t>
      </w:r>
      <w:r w:rsidR="00092669">
        <w:t>–</w:t>
      </w:r>
      <w:r w:rsidRPr="0029663C">
        <w:t xml:space="preserve"> Part 4, Section 30A </w:t>
      </w:r>
      <w:r w:rsidR="00EF33ED">
        <w:t>‘</w:t>
      </w:r>
      <w:r w:rsidRPr="0029663C">
        <w:t>Indexation of charges</w:t>
      </w:r>
      <w:r w:rsidR="00EF33ED">
        <w:t>’</w:t>
      </w:r>
      <w:r w:rsidRPr="0029663C">
        <w:t>.</w:t>
      </w:r>
    </w:p>
    <w:p w14:paraId="60B2866B" w14:textId="050AEF7C" w:rsidR="001736F4" w:rsidRPr="0029663C" w:rsidRDefault="001736F4" w:rsidP="001736F4">
      <w:pPr>
        <w:pStyle w:val="ListBullet"/>
        <w:rPr>
          <w:lang w:eastAsia="ja-JP"/>
        </w:rPr>
      </w:pPr>
      <w:r w:rsidRPr="0029663C">
        <w:t xml:space="preserve">Imported Food Charges (Imposition – Customs) Regulation 2015 and the Imported Food Charges (Imposition </w:t>
      </w:r>
      <w:r w:rsidR="00EF33ED">
        <w:t>–</w:t>
      </w:r>
      <w:r w:rsidRPr="0029663C">
        <w:t xml:space="preserve"> General) Regulation 2015 </w:t>
      </w:r>
      <w:r w:rsidR="00EF33ED">
        <w:t>–</w:t>
      </w:r>
      <w:r w:rsidRPr="0029663C">
        <w:t xml:space="preserve"> Part 2, Section 6A </w:t>
      </w:r>
      <w:r w:rsidR="00EF33ED">
        <w:t>‘</w:t>
      </w:r>
      <w:r w:rsidRPr="0029663C">
        <w:t>Indexation of charges</w:t>
      </w:r>
      <w:r w:rsidR="00EF33ED">
        <w:t>’</w:t>
      </w:r>
      <w:r w:rsidRPr="0029663C">
        <w:t>.</w:t>
      </w:r>
    </w:p>
    <w:p w14:paraId="1C5716D0" w14:textId="57A19B30" w:rsidR="000D0275" w:rsidRPr="0029663C" w:rsidRDefault="001736F4" w:rsidP="007C2F94">
      <w:pPr>
        <w:pStyle w:val="Heading3"/>
        <w:numPr>
          <w:ilvl w:val="0"/>
          <w:numId w:val="0"/>
        </w:numPr>
        <w:ind w:left="964" w:hanging="964"/>
      </w:pPr>
      <w:bookmarkStart w:id="242" w:name="_Toc233378719"/>
      <w:r w:rsidRPr="0029663C">
        <w:t>Price calculation methodology</w:t>
      </w:r>
      <w:bookmarkEnd w:id="242"/>
    </w:p>
    <w:p w14:paraId="5DA1BF30" w14:textId="6C49D63E" w:rsidR="00102904" w:rsidRPr="0029663C" w:rsidRDefault="00102904" w:rsidP="00102904">
      <w:r w:rsidRPr="0029663C">
        <w:t>Indexation provisions in biosecurity and imported food legislation provide the methodology for determining if indexation will increase the prices (fees and charges) for cost</w:t>
      </w:r>
      <w:r w:rsidR="00EB4AAF">
        <w:t>-</w:t>
      </w:r>
      <w:r w:rsidRPr="0029663C">
        <w:t>recovered regulatory activities. This is a 2</w:t>
      </w:r>
      <w:r w:rsidRPr="0029663C">
        <w:noBreakHyphen/>
        <w:t>step process where the indexation factor is calculated and</w:t>
      </w:r>
      <w:r w:rsidR="00EF33ED">
        <w:t>,</w:t>
      </w:r>
      <w:r w:rsidRPr="0029663C">
        <w:t xml:space="preserve"> if greater than </w:t>
      </w:r>
      <w:r w:rsidR="001736F4" w:rsidRPr="0029663C">
        <w:t>1</w:t>
      </w:r>
      <w:r w:rsidRPr="0029663C">
        <w:t xml:space="preserve">, is used to calculate new indexed </w:t>
      </w:r>
      <w:r w:rsidR="001736F4" w:rsidRPr="0029663C">
        <w:t>fee or charge.</w:t>
      </w:r>
    </w:p>
    <w:p w14:paraId="2DAB2D65" w14:textId="21AD4F64" w:rsidR="00AF62A6" w:rsidRPr="00D22887" w:rsidRDefault="00AF62A6" w:rsidP="00AF62A6">
      <w:pPr>
        <w:pStyle w:val="Heading4"/>
        <w:numPr>
          <w:ilvl w:val="0"/>
          <w:numId w:val="0"/>
        </w:numPr>
      </w:pPr>
      <w:bookmarkStart w:id="243" w:name="_Step__1"/>
      <w:bookmarkStart w:id="244" w:name="_Step_2_Calculate"/>
      <w:bookmarkStart w:id="245" w:name="Box_1"/>
      <w:bookmarkStart w:id="246" w:name="_Hlk167957406"/>
      <w:bookmarkEnd w:id="243"/>
      <w:bookmarkEnd w:id="244"/>
      <w:bookmarkEnd w:id="245"/>
      <w:r w:rsidRPr="00D22887">
        <w:t>Step 1 Calculate the ‘indexation factor’ for 1 July 2</w:t>
      </w:r>
      <w:r w:rsidR="00A77092" w:rsidRPr="00D22887">
        <w:t>02</w:t>
      </w:r>
      <w:r w:rsidR="00A77092">
        <w:t>6</w:t>
      </w:r>
    </w:p>
    <w:p w14:paraId="686A6A10" w14:textId="5B3BDF8C" w:rsidR="00AF62A6" w:rsidRPr="00485201" w:rsidRDefault="00AF62A6" w:rsidP="00AF62A6">
      <w:r w:rsidRPr="00485201">
        <w:t>The indexation factor for 1 July 202</w:t>
      </w:r>
      <w:r>
        <w:t>5</w:t>
      </w:r>
      <w:r w:rsidRPr="00485201">
        <w:t xml:space="preserve"> is calculated using the </w:t>
      </w:r>
      <w:hyperlink r:id="rId56" w:history="1">
        <w:r w:rsidRPr="00485201">
          <w:rPr>
            <w:rStyle w:val="Hyperlink"/>
          </w:rPr>
          <w:t>All-Groups Consumer Price Index (CPI) number</w:t>
        </w:r>
      </w:hyperlink>
      <w:r w:rsidRPr="00485201">
        <w:t xml:space="preserve"> for the </w:t>
      </w:r>
      <w:r w:rsidR="009E6E97" w:rsidRPr="00485201">
        <w:t>202</w:t>
      </w:r>
      <w:r w:rsidR="009E6E97">
        <w:t>5</w:t>
      </w:r>
      <w:r w:rsidR="009E6E97" w:rsidRPr="00485201">
        <w:t xml:space="preserve"> </w:t>
      </w:r>
      <w:r w:rsidRPr="00485201">
        <w:t>December quarter and the CPI for the 202</w:t>
      </w:r>
      <w:r w:rsidR="009E6E97">
        <w:t>4</w:t>
      </w:r>
      <w:r w:rsidRPr="00485201">
        <w:t xml:space="preserve"> December quarter.</w:t>
      </w:r>
      <w:r w:rsidR="00594FDD">
        <w:t xml:space="preserve"> </w:t>
      </w:r>
      <w:r w:rsidRPr="00485201">
        <w:t>The formula is:</w:t>
      </w:r>
    </w:p>
    <w:p w14:paraId="5573CB3E" w14:textId="1112DE15" w:rsidR="00AF62A6" w:rsidRPr="009D42CA" w:rsidRDefault="00AF62A6" w:rsidP="00AF62A6">
      <w:pPr>
        <w:pStyle w:val="Quote"/>
        <w:rPr>
          <w:color w:val="auto"/>
        </w:rPr>
      </w:pPr>
      <w:bookmarkStart w:id="247" w:name="_Hlk168051739"/>
      <w:r w:rsidRPr="00485201">
        <w:t xml:space="preserve">CPI for the </w:t>
      </w:r>
      <w:r w:rsidR="009E6E97" w:rsidRPr="00485201">
        <w:t>202</w:t>
      </w:r>
      <w:r w:rsidR="009E6E97">
        <w:t>5</w:t>
      </w:r>
      <w:r w:rsidR="009E6E97" w:rsidRPr="00485201">
        <w:t xml:space="preserve"> </w:t>
      </w:r>
      <w:r w:rsidRPr="00485201">
        <w:t xml:space="preserve">December quarter (reference quarter) ÷ CPI for the </w:t>
      </w:r>
      <w:r w:rsidR="009E6E97" w:rsidRPr="00485201">
        <w:t>202</w:t>
      </w:r>
      <w:r w:rsidR="009E6E97">
        <w:t>4</w:t>
      </w:r>
      <w:r w:rsidR="009E6E97" w:rsidRPr="00485201">
        <w:t xml:space="preserve"> </w:t>
      </w:r>
      <w:r w:rsidRPr="00485201">
        <w:t xml:space="preserve">December </w:t>
      </w:r>
      <w:r w:rsidRPr="009D42CA">
        <w:rPr>
          <w:color w:val="auto"/>
        </w:rPr>
        <w:t>quarter (base quarter) = Indexation factor (</w:t>
      </w:r>
      <w:r w:rsidR="008A5B9E">
        <w:rPr>
          <w:color w:val="auto"/>
        </w:rPr>
        <w:t>100.97</w:t>
      </w:r>
      <w:r w:rsidRPr="009D42CA">
        <w:rPr>
          <w:color w:val="auto"/>
        </w:rPr>
        <w:t xml:space="preserve"> ÷ </w:t>
      </w:r>
      <w:r w:rsidR="008A5B9E">
        <w:rPr>
          <w:color w:val="auto"/>
        </w:rPr>
        <w:t>97.31</w:t>
      </w:r>
      <w:r w:rsidRPr="009D42CA">
        <w:rPr>
          <w:color w:val="auto"/>
        </w:rPr>
        <w:t xml:space="preserve"> = </w:t>
      </w:r>
      <w:r w:rsidR="008A5B9E">
        <w:rPr>
          <w:color w:val="auto"/>
        </w:rPr>
        <w:t>1.038</w:t>
      </w:r>
      <w:r w:rsidRPr="009D42CA">
        <w:rPr>
          <w:color w:val="auto"/>
        </w:rPr>
        <w:t>)</w:t>
      </w:r>
      <w:bookmarkEnd w:id="247"/>
    </w:p>
    <w:p w14:paraId="5648E4C9" w14:textId="2C738B9A" w:rsidR="00AF62A6" w:rsidRPr="00D53FE2" w:rsidRDefault="00AF62A6" w:rsidP="00AF62A6">
      <w:bookmarkStart w:id="248" w:name="_Hlk168051761"/>
      <w:r w:rsidRPr="00D53FE2">
        <w:t>Based on this formula, the indexation factor for July 202</w:t>
      </w:r>
      <w:r w:rsidR="008A5B9E">
        <w:t>6</w:t>
      </w:r>
      <w:r w:rsidRPr="00D53FE2">
        <w:t xml:space="preserve"> is </w:t>
      </w:r>
      <w:r w:rsidR="008A5B9E">
        <w:t>1.038</w:t>
      </w:r>
      <w:r w:rsidRPr="00D53FE2">
        <w:t>.</w:t>
      </w:r>
      <w:bookmarkStart w:id="249" w:name="Box_2"/>
      <w:bookmarkStart w:id="250" w:name="_Hlk167957697"/>
      <w:bookmarkEnd w:id="246"/>
      <w:bookmarkEnd w:id="248"/>
      <w:bookmarkEnd w:id="249"/>
    </w:p>
    <w:p w14:paraId="457DD600" w14:textId="77777777" w:rsidR="00AF62A6" w:rsidRPr="00485201" w:rsidRDefault="00AF62A6" w:rsidP="00AF62A6">
      <w:pPr>
        <w:pStyle w:val="Heading4"/>
        <w:numPr>
          <w:ilvl w:val="0"/>
          <w:numId w:val="0"/>
        </w:numPr>
      </w:pPr>
      <w:r w:rsidRPr="00485201">
        <w:t>Step 2 Calculate the ‘</w:t>
      </w:r>
      <w:r w:rsidRPr="00D22887">
        <w:t>indexed amount’</w:t>
      </w:r>
      <w:r w:rsidRPr="00485201">
        <w:t xml:space="preserve"> for the fee or charge in question</w:t>
      </w:r>
    </w:p>
    <w:p w14:paraId="078795D2" w14:textId="67BF5255" w:rsidR="00AF62A6" w:rsidRDefault="00AF62A6" w:rsidP="00AF62A6">
      <w:bookmarkStart w:id="251" w:name="_Hlk168051861"/>
      <w:r w:rsidRPr="00485201">
        <w:t>Because the indexation factor for 1 July 202</w:t>
      </w:r>
      <w:r w:rsidR="008A5B9E">
        <w:t>6</w:t>
      </w:r>
      <w:r w:rsidRPr="00485201">
        <w:t xml:space="preserve"> is greater than</w:t>
      </w:r>
      <w:r w:rsidRPr="00D22887">
        <w:t xml:space="preserve"> 1</w:t>
      </w:r>
      <w:r w:rsidRPr="00485201">
        <w:t>, fees and charges covered by an indexation provision will be indexed using</w:t>
      </w:r>
      <w:r>
        <w:t>:</w:t>
      </w:r>
    </w:p>
    <w:p w14:paraId="778B4844" w14:textId="0A38048B" w:rsidR="00AF62A6" w:rsidRDefault="00AF62A6" w:rsidP="00AF62A6">
      <w:pPr>
        <w:pStyle w:val="Quote"/>
      </w:pPr>
      <w:bookmarkStart w:id="252" w:name="_Hlk168051871"/>
      <w:bookmarkEnd w:id="251"/>
      <w:r w:rsidRPr="00485201">
        <w:t>the dollar amount of the relevant fee or charge immediately before 1 July 202</w:t>
      </w:r>
      <w:r w:rsidR="008A5B9E">
        <w:t>6</w:t>
      </w:r>
      <w:r w:rsidRPr="00485201">
        <w:t xml:space="preserve"> × </w:t>
      </w:r>
      <w:r w:rsidRPr="00D22887">
        <w:t>t</w:t>
      </w:r>
      <w:r w:rsidRPr="00485201">
        <w:t>he indexation factor for 1 July 202</w:t>
      </w:r>
      <w:r w:rsidR="008A5B9E">
        <w:t>6</w:t>
      </w:r>
      <w:r w:rsidRPr="00485201">
        <w:t xml:space="preserve"> (</w:t>
      </w:r>
      <w:r w:rsidR="008A5B9E">
        <w:t>1.038</w:t>
      </w:r>
      <w:r w:rsidRPr="00485201">
        <w:t>)</w:t>
      </w:r>
      <w:r w:rsidRPr="00D22887">
        <w:t>.</w:t>
      </w:r>
    </w:p>
    <w:p w14:paraId="065BB819" w14:textId="77777777" w:rsidR="004D20AC" w:rsidRDefault="004D20AC" w:rsidP="004D20AC">
      <w:r>
        <w:t>The indexed amount of the fee is to the nearest whole dollar. The indexed amount for a charge is rounded to:</w:t>
      </w:r>
    </w:p>
    <w:p w14:paraId="07B25760" w14:textId="19F552A3" w:rsidR="004D20AC" w:rsidRDefault="00AB01AD" w:rsidP="004D20AC">
      <w:pPr>
        <w:pStyle w:val="ListNumber2"/>
      </w:pPr>
      <w:r>
        <w:t>the nearest cent i</w:t>
      </w:r>
      <w:r w:rsidR="004D20AC">
        <w:t>f the amount is below $1 (rounding 0.5 cents upwards) or</w:t>
      </w:r>
    </w:p>
    <w:p w14:paraId="446605C7" w14:textId="1632BD3F" w:rsidR="004D20AC" w:rsidRPr="004D20AC" w:rsidRDefault="004D20AC" w:rsidP="004D20AC">
      <w:pPr>
        <w:pStyle w:val="ListNumber2"/>
      </w:pPr>
      <w:r>
        <w:t>In any other case, the nearest whole dollar (rounding 50 cents upwards).</w:t>
      </w:r>
    </w:p>
    <w:p w14:paraId="6B780181" w14:textId="2B794000" w:rsidR="00764D6A" w:rsidRDefault="00E91D72" w:rsidP="00717DEB">
      <w:pPr>
        <w:pStyle w:val="Heading2"/>
        <w:numPr>
          <w:ilvl w:val="0"/>
          <w:numId w:val="0"/>
        </w:numPr>
      </w:pPr>
      <w:bookmarkStart w:id="253" w:name="Box_3"/>
      <w:bookmarkStart w:id="254" w:name="_Appendix_C:_Description"/>
      <w:bookmarkStart w:id="255" w:name="_Appendix_D:_Government_1"/>
      <w:bookmarkStart w:id="256" w:name="_Appendix_E:_Government"/>
      <w:bookmarkStart w:id="257" w:name="_Appendix_A:_Statistical"/>
      <w:bookmarkStart w:id="258" w:name="_Toc430782162"/>
      <w:bookmarkStart w:id="259" w:name="_Toc183501118"/>
      <w:bookmarkStart w:id="260" w:name="_Toc233378720"/>
      <w:bookmarkEnd w:id="31"/>
      <w:bookmarkEnd w:id="32"/>
      <w:bookmarkEnd w:id="250"/>
      <w:bookmarkEnd w:id="252"/>
      <w:bookmarkEnd w:id="253"/>
      <w:bookmarkEnd w:id="254"/>
      <w:bookmarkEnd w:id="255"/>
      <w:bookmarkEnd w:id="256"/>
      <w:bookmarkEnd w:id="257"/>
      <w:r w:rsidRPr="00717DEB">
        <w:lastRenderedPageBreak/>
        <w:t>References</w:t>
      </w:r>
      <w:bookmarkEnd w:id="258"/>
      <w:bookmarkEnd w:id="259"/>
      <w:bookmarkEnd w:id="260"/>
    </w:p>
    <w:p w14:paraId="12CBCC4C" w14:textId="4E29CA46" w:rsidR="0012672E" w:rsidRDefault="0012672E" w:rsidP="0012672E">
      <w:r>
        <w:t xml:space="preserve">DAFF </w:t>
      </w:r>
      <w:r w:rsidR="00F56984">
        <w:t>2026</w:t>
      </w:r>
      <w:r w:rsidR="00B92132">
        <w:t>,</w:t>
      </w:r>
      <w:r w:rsidR="00F56984">
        <w:t xml:space="preserve"> </w:t>
      </w:r>
      <w:hyperlink r:id="rId57" w:history="1">
        <w:r w:rsidR="00D01DFC">
          <w:rPr>
            <w:rStyle w:val="Hyperlink"/>
          </w:rPr>
          <w:t xml:space="preserve">Portfolio Budget Statements </w:t>
        </w:r>
        <w:r w:rsidR="00F56984">
          <w:rPr>
            <w:rStyle w:val="Hyperlink"/>
          </w:rPr>
          <w:t>2026</w:t>
        </w:r>
        <w:r w:rsidR="00B92132">
          <w:rPr>
            <w:rStyle w:val="Hyperlink"/>
          </w:rPr>
          <w:t>–</w:t>
        </w:r>
        <w:r w:rsidR="00D01DFC">
          <w:rPr>
            <w:rStyle w:val="Hyperlink"/>
          </w:rPr>
          <w:t>2</w:t>
        </w:r>
        <w:r w:rsidR="00F56984">
          <w:rPr>
            <w:rStyle w:val="Hyperlink"/>
          </w:rPr>
          <w:t>7</w:t>
        </w:r>
      </w:hyperlink>
      <w:r w:rsidR="0096669E">
        <w:t>,</w:t>
      </w:r>
      <w:r>
        <w:t xml:space="preserve"> Department of Agriculture Fisheries and Forestry, Canberra, </w:t>
      </w:r>
      <w:r w:rsidR="00F56984">
        <w:t>May</w:t>
      </w:r>
      <w:r>
        <w:t xml:space="preserve">, accessed </w:t>
      </w:r>
      <w:r w:rsidR="00F56984">
        <w:t xml:space="preserve">15 May </w:t>
      </w:r>
      <w:r w:rsidR="00BB295E">
        <w:t>2026</w:t>
      </w:r>
      <w:r>
        <w:t>.</w:t>
      </w:r>
    </w:p>
    <w:p w14:paraId="3B8EB5EE" w14:textId="3441B35A" w:rsidR="0096669E" w:rsidRDefault="00A92F7D" w:rsidP="0096669E">
      <w:r>
        <w:t>ABS</w:t>
      </w:r>
      <w:r w:rsidR="0096669E" w:rsidRPr="0096669E">
        <w:t xml:space="preserve"> </w:t>
      </w:r>
      <w:r w:rsidR="00BB295E" w:rsidRPr="0096669E">
        <w:t>202</w:t>
      </w:r>
      <w:r w:rsidR="00BB295E">
        <w:t>5</w:t>
      </w:r>
      <w:r w:rsidR="00B92132">
        <w:t>,</w:t>
      </w:r>
      <w:r w:rsidR="00BB295E">
        <w:t xml:space="preserve"> </w:t>
      </w:r>
      <w:hyperlink r:id="rId58" w:history="1">
        <w:r w:rsidR="0096669E" w:rsidRPr="0096669E">
          <w:rPr>
            <w:rStyle w:val="Hyperlink"/>
          </w:rPr>
          <w:t>Australian National Accounts: National Income, Expenditure and Product</w:t>
        </w:r>
      </w:hyperlink>
      <w:r w:rsidR="0096669E">
        <w:t xml:space="preserve">, </w:t>
      </w:r>
      <w:r w:rsidRPr="0096669E">
        <w:t>Australian Bureau of Statistics</w:t>
      </w:r>
      <w:r>
        <w:t>,</w:t>
      </w:r>
      <w:r w:rsidR="0096669E">
        <w:t xml:space="preserve"> accessed </w:t>
      </w:r>
      <w:r w:rsidR="00E33612">
        <w:t xml:space="preserve">15 May </w:t>
      </w:r>
      <w:r w:rsidR="00BB295E">
        <w:t>2026</w:t>
      </w:r>
      <w:r w:rsidR="00B92132">
        <w:t>.</w:t>
      </w:r>
    </w:p>
    <w:sectPr w:rsidR="0096669E" w:rsidSect="00866A1F">
      <w:pgSz w:w="11906" w:h="16838"/>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2FB23" w14:textId="77777777" w:rsidR="000B5D5B" w:rsidRDefault="000B5D5B">
      <w:r>
        <w:separator/>
      </w:r>
    </w:p>
    <w:p w14:paraId="6399673F" w14:textId="77777777" w:rsidR="000B5D5B" w:rsidRDefault="000B5D5B"/>
    <w:p w14:paraId="0F1ACDB5" w14:textId="77777777" w:rsidR="000B5D5B" w:rsidRDefault="000B5D5B"/>
  </w:endnote>
  <w:endnote w:type="continuationSeparator" w:id="0">
    <w:p w14:paraId="79C1EAEC" w14:textId="77777777" w:rsidR="000B5D5B" w:rsidRDefault="000B5D5B">
      <w:r>
        <w:continuationSeparator/>
      </w:r>
    </w:p>
    <w:p w14:paraId="1F5E591F" w14:textId="77777777" w:rsidR="000B5D5B" w:rsidRDefault="000B5D5B"/>
    <w:p w14:paraId="018DB7A2" w14:textId="77777777" w:rsidR="000B5D5B" w:rsidRDefault="000B5D5B"/>
  </w:endnote>
  <w:endnote w:type="continuationNotice" w:id="1">
    <w:p w14:paraId="54A818D6" w14:textId="77777777" w:rsidR="000B5D5B" w:rsidRDefault="000B5D5B" w:rsidP="00274B73">
      <w:pPr>
        <w:pStyle w:val="Footer"/>
      </w:pPr>
    </w:p>
    <w:p w14:paraId="4FCDAE8F" w14:textId="77777777" w:rsidR="000B5D5B" w:rsidRDefault="000B5D5B"/>
    <w:p w14:paraId="20AE79D2" w14:textId="77777777" w:rsidR="000B5D5B" w:rsidRDefault="000B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C97D" w14:textId="48BB2320" w:rsidR="00331180" w:rsidRDefault="00331180">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CC9A" w14:textId="77777777" w:rsidR="00CA6C9D" w:rsidRDefault="009622CD" w:rsidP="00274B73">
    <w:pPr>
      <w:pStyle w:val="Footer"/>
    </w:pPr>
    <w:r>
      <w:rPr>
        <w:noProof/>
      </w:rPr>
      <mc:AlternateContent>
        <mc:Choice Requires="wps">
          <w:drawing>
            <wp:anchor distT="0" distB="0" distL="0" distR="0" simplePos="0" relativeHeight="251658752" behindDoc="0" locked="0" layoutInCell="1" allowOverlap="1" wp14:anchorId="5E8CDD71" wp14:editId="62BC84FC">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3E60A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CDD71"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343E60A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2B59" w14:textId="669F0D06" w:rsidR="00B861B4" w:rsidRDefault="00DE0AAE" w:rsidP="00274B73">
    <w:pPr>
      <w:pStyle w:val="Footer"/>
    </w:pPr>
    <w:r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889B" w14:textId="77777777" w:rsidR="007A4DDB" w:rsidRDefault="009622CD" w:rsidP="00274B73">
    <w:pPr>
      <w:pStyle w:val="Footer"/>
    </w:pPr>
    <w:r>
      <w:rPr>
        <w:noProof/>
      </w:rPr>
      <mc:AlternateContent>
        <mc:Choice Requires="wps">
          <w:drawing>
            <wp:anchor distT="0" distB="0" distL="0" distR="0" simplePos="0" relativeHeight="251657728" behindDoc="0" locked="0" layoutInCell="1" allowOverlap="1" wp14:anchorId="30A17867" wp14:editId="37696E6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F07DEA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A17867" id="_x0000_t202" coordsize="21600,21600" o:spt="202" path="m,l,21600r21600,l21600,xe">
              <v:stroke joinstyle="miter"/>
              <v:path gradientshapeok="t" o:connecttype="rect"/>
            </v:shapetype>
            <v:shape id="Text Box 4" o:spid="_x0000_s1029"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6F07DEA2"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1EBD" w14:textId="77777777" w:rsidR="000B5D5B" w:rsidRDefault="000B5D5B">
      <w:r>
        <w:separator/>
      </w:r>
    </w:p>
  </w:footnote>
  <w:footnote w:type="continuationSeparator" w:id="0">
    <w:p w14:paraId="578C99BF" w14:textId="77777777" w:rsidR="000B5D5B" w:rsidRDefault="000B5D5B">
      <w:r>
        <w:continuationSeparator/>
      </w:r>
    </w:p>
  </w:footnote>
  <w:footnote w:type="continuationNotice" w:id="1">
    <w:p w14:paraId="547261DA" w14:textId="77777777" w:rsidR="000B5D5B" w:rsidRDefault="000B5D5B" w:rsidP="00274B73">
      <w:pPr>
        <w:pStyle w:val="Footer"/>
      </w:pPr>
    </w:p>
    <w:p w14:paraId="4320C10F" w14:textId="77777777" w:rsidR="000B5D5B" w:rsidRDefault="000B5D5B"/>
    <w:p w14:paraId="5A9B469F" w14:textId="77777777" w:rsidR="000B5D5B" w:rsidRDefault="000B5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8B7C" w14:textId="5F13B25E" w:rsidR="00395FD7" w:rsidRDefault="00B262C0" w:rsidP="007D2283">
    <w:pPr>
      <w:pStyle w:val="Header"/>
    </w:pPr>
    <w:r w:rsidRPr="00B262C0">
      <w:t xml:space="preserve">Biosecurity cost recovery implementation statement </w:t>
    </w:r>
    <w:r w:rsidR="00395FD7">
      <w:t>2026</w:t>
    </w:r>
    <w:r w:rsidR="007F234A">
      <w:t>–</w:t>
    </w:r>
    <w:r w:rsidR="00395FD7">
      <w:t>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0A34" w14:textId="19449739" w:rsidR="00331180" w:rsidRDefault="00331180">
    <w:pPr>
      <w:pStyle w:val="Header"/>
    </w:pPr>
    <w:r>
      <w:rPr>
        <w:noProof/>
      </w:rPr>
      <w:drawing>
        <wp:anchor distT="0" distB="0" distL="114300" distR="114300" simplePos="0" relativeHeight="251659776" behindDoc="1" locked="0" layoutInCell="1" allowOverlap="1" wp14:anchorId="7E179277" wp14:editId="44AE7996">
          <wp:simplePos x="0" y="0"/>
          <wp:positionH relativeFrom="page">
            <wp:align>left</wp:align>
          </wp:positionH>
          <wp:positionV relativeFrom="paragraph">
            <wp:posOffset>-361902</wp:posOffset>
          </wp:positionV>
          <wp:extent cx="7565594" cy="10701655"/>
          <wp:effectExtent l="0" t="0" r="0" b="4445"/>
          <wp:wrapNone/>
          <wp:docPr id="1814632477" name="Picture 181463247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4980" w14:textId="79BA7258" w:rsidR="00B861B4" w:rsidRDefault="009622CD">
    <w:pPr>
      <w:pStyle w:val="Header"/>
    </w:pPr>
    <w:r>
      <w:rPr>
        <w:noProof/>
        <w:lang w:val="en-US"/>
      </w:rPr>
      <mc:AlternateContent>
        <mc:Choice Requires="wps">
          <w:drawing>
            <wp:anchor distT="0" distB="0" distL="0" distR="0" simplePos="0" relativeHeight="251654656" behindDoc="0" locked="0" layoutInCell="1" allowOverlap="1" wp14:anchorId="46CD53A9" wp14:editId="55BE0F9B">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061B8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CD53A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10061B8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5787" w14:textId="09E67E40" w:rsidR="00B861B4" w:rsidRDefault="00B262C0">
    <w:pPr>
      <w:pStyle w:val="Header"/>
    </w:pPr>
    <w:r w:rsidRPr="00B262C0">
      <w:t xml:space="preserve">Biosecurity cost recovery implementation statement </w:t>
    </w:r>
    <w:r w:rsidR="00395FD7">
      <w:t>2026</w:t>
    </w:r>
    <w:r w:rsidR="002D1DCB">
      <w:t>–</w:t>
    </w:r>
    <w:r w:rsidR="00395FD7">
      <w:t>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84C0" w14:textId="08DF4DDB" w:rsidR="00B861B4" w:rsidRDefault="006B3546">
    <w:pPr>
      <w:pStyle w:val="Header"/>
      <w:jc w:val="left"/>
    </w:pPr>
    <w:r>
      <w:rPr>
        <w:noProof/>
      </w:rPr>
      <w:drawing>
        <wp:anchor distT="0" distB="0" distL="114300" distR="114300" simplePos="0" relativeHeight="251655680" behindDoc="1" locked="0" layoutInCell="1" allowOverlap="1" wp14:anchorId="3272CA2E" wp14:editId="776980ED">
          <wp:simplePos x="0" y="0"/>
          <wp:positionH relativeFrom="page">
            <wp:posOffset>0</wp:posOffset>
          </wp:positionH>
          <wp:positionV relativeFrom="paragraph">
            <wp:posOffset>-387341</wp:posOffset>
          </wp:positionV>
          <wp:extent cx="7565594" cy="10701655"/>
          <wp:effectExtent l="0" t="0" r="0" b="4445"/>
          <wp:wrapNone/>
          <wp:docPr id="792571428" name="Picture 792571428"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6704" behindDoc="0" locked="0" layoutInCell="1" allowOverlap="1" wp14:anchorId="6F744206" wp14:editId="2583F936">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3951BA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744206" id="_x0000_t202" coordsize="21600,21600" o:spt="202" path="m,l,21600r21600,l21600,xe">
              <v:stroke joinstyle="miter"/>
              <v:path gradientshapeok="t" o:connecttype="rect"/>
            </v:shapetype>
            <v:shape id="Text Box 1" o:spid="_x0000_s1028" type="#_x0000_t202" alt="OFFICIAL" style="position:absolute;margin-left:0;margin-top:0;width:43.45pt;height:31.8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textbox style="mso-fit-shape-to-text:t" inset="0,15pt,0,0">
                <w:txbxContent>
                  <w:p w14:paraId="33951BA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9FCE1960"/>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6"/>
  </w:num>
  <w:num w:numId="2" w16cid:durableId="1639215797">
    <w:abstractNumId w:val="7"/>
  </w:num>
  <w:num w:numId="3" w16cid:durableId="1643265712">
    <w:abstractNumId w:val="2"/>
    <w:lvlOverride w:ilvl="0">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Heading3"/>
        <w:lvlText w:val="%1.%2"/>
        <w:lvlJc w:val="left"/>
        <w:pPr>
          <w:ind w:left="964" w:hanging="964"/>
        </w:pPr>
        <w:rPr>
          <w:rFonts w:hint="default"/>
          <w:strike w:val="0"/>
        </w:rPr>
      </w:lvl>
    </w:lvlOverride>
    <w:lvlOverride w:ilvl="2">
      <w:lvl w:ilvl="2">
        <w:start w:val="1"/>
        <w:numFmt w:val="decimal"/>
        <w:pStyle w:val="Heading4"/>
        <w:lvlText w:val="%1.%2.%3"/>
        <w:lvlJc w:val="left"/>
        <w:pPr>
          <w:ind w:left="964" w:hanging="96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626202022">
    <w:abstractNumId w:val="4"/>
  </w:num>
  <w:num w:numId="5" w16cid:durableId="281765065">
    <w:abstractNumId w:val="5"/>
  </w:num>
  <w:num w:numId="6" w16cid:durableId="2092000146">
    <w:abstractNumId w:val="3"/>
  </w:num>
  <w:num w:numId="7" w16cid:durableId="1469322956">
    <w:abstractNumId w:val="6"/>
  </w:num>
  <w:num w:numId="8" w16cid:durableId="1341661948">
    <w:abstractNumId w:val="7"/>
  </w:num>
  <w:num w:numId="9" w16cid:durableId="1983389004">
    <w:abstractNumId w:val="1"/>
  </w:num>
  <w:num w:numId="10" w16cid:durableId="1385720017">
    <w:abstractNumId w:val="8"/>
  </w:num>
  <w:num w:numId="11" w16cid:durableId="2119637520">
    <w:abstractNumId w:val="0"/>
  </w:num>
  <w:num w:numId="12" w16cid:durableId="1079210861">
    <w:abstractNumId w:val="2"/>
  </w:num>
  <w:num w:numId="13" w16cid:durableId="1540777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8723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133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6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1963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146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1316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8613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365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2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58983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5848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67909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8630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4691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701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17080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5710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96D"/>
    <w:rsid w:val="00000ABC"/>
    <w:rsid w:val="00001614"/>
    <w:rsid w:val="00001D88"/>
    <w:rsid w:val="000032AD"/>
    <w:rsid w:val="00006408"/>
    <w:rsid w:val="00006D71"/>
    <w:rsid w:val="00006F2A"/>
    <w:rsid w:val="000101D7"/>
    <w:rsid w:val="00010C9A"/>
    <w:rsid w:val="000114AE"/>
    <w:rsid w:val="00012D9C"/>
    <w:rsid w:val="00012DBA"/>
    <w:rsid w:val="00016630"/>
    <w:rsid w:val="0002040D"/>
    <w:rsid w:val="00020EEA"/>
    <w:rsid w:val="00022816"/>
    <w:rsid w:val="00022A3C"/>
    <w:rsid w:val="00022C14"/>
    <w:rsid w:val="000247C7"/>
    <w:rsid w:val="00025FD2"/>
    <w:rsid w:val="00026B77"/>
    <w:rsid w:val="00026E13"/>
    <w:rsid w:val="0002712A"/>
    <w:rsid w:val="0002768F"/>
    <w:rsid w:val="00030277"/>
    <w:rsid w:val="000306B1"/>
    <w:rsid w:val="0003192E"/>
    <w:rsid w:val="00032789"/>
    <w:rsid w:val="00033E60"/>
    <w:rsid w:val="00034CAE"/>
    <w:rsid w:val="000359AF"/>
    <w:rsid w:val="0003681E"/>
    <w:rsid w:val="000373C5"/>
    <w:rsid w:val="000400F9"/>
    <w:rsid w:val="000411F0"/>
    <w:rsid w:val="00041A02"/>
    <w:rsid w:val="00042265"/>
    <w:rsid w:val="000438BE"/>
    <w:rsid w:val="00043D3A"/>
    <w:rsid w:val="00043D85"/>
    <w:rsid w:val="00044EE9"/>
    <w:rsid w:val="00044F2A"/>
    <w:rsid w:val="0004660F"/>
    <w:rsid w:val="00052DA1"/>
    <w:rsid w:val="000542FF"/>
    <w:rsid w:val="000548BB"/>
    <w:rsid w:val="00056E1D"/>
    <w:rsid w:val="000606DF"/>
    <w:rsid w:val="00060C48"/>
    <w:rsid w:val="00061A8F"/>
    <w:rsid w:val="000625F9"/>
    <w:rsid w:val="00062B71"/>
    <w:rsid w:val="00063FF1"/>
    <w:rsid w:val="00064056"/>
    <w:rsid w:val="0006415B"/>
    <w:rsid w:val="00064166"/>
    <w:rsid w:val="00065B24"/>
    <w:rsid w:val="000660E7"/>
    <w:rsid w:val="00070E11"/>
    <w:rsid w:val="00071927"/>
    <w:rsid w:val="00071C4E"/>
    <w:rsid w:val="00072A4B"/>
    <w:rsid w:val="000738CB"/>
    <w:rsid w:val="000743B7"/>
    <w:rsid w:val="00074964"/>
    <w:rsid w:val="00075A80"/>
    <w:rsid w:val="0007617D"/>
    <w:rsid w:val="000771EB"/>
    <w:rsid w:val="000835D4"/>
    <w:rsid w:val="0008414D"/>
    <w:rsid w:val="00084BCA"/>
    <w:rsid w:val="0008609C"/>
    <w:rsid w:val="00086878"/>
    <w:rsid w:val="000869AB"/>
    <w:rsid w:val="00086EFA"/>
    <w:rsid w:val="0009235E"/>
    <w:rsid w:val="00092669"/>
    <w:rsid w:val="000928B6"/>
    <w:rsid w:val="0009379C"/>
    <w:rsid w:val="00093DBD"/>
    <w:rsid w:val="00093EE3"/>
    <w:rsid w:val="000942EE"/>
    <w:rsid w:val="0009720B"/>
    <w:rsid w:val="0009783E"/>
    <w:rsid w:val="00097FA8"/>
    <w:rsid w:val="000A1437"/>
    <w:rsid w:val="000A1447"/>
    <w:rsid w:val="000A16BF"/>
    <w:rsid w:val="000A4222"/>
    <w:rsid w:val="000A5170"/>
    <w:rsid w:val="000A778E"/>
    <w:rsid w:val="000A7A40"/>
    <w:rsid w:val="000A7AAF"/>
    <w:rsid w:val="000A7AFA"/>
    <w:rsid w:val="000B005F"/>
    <w:rsid w:val="000B02B5"/>
    <w:rsid w:val="000B1FE9"/>
    <w:rsid w:val="000B2C5C"/>
    <w:rsid w:val="000B39FD"/>
    <w:rsid w:val="000B477E"/>
    <w:rsid w:val="000B4F87"/>
    <w:rsid w:val="000B5A9E"/>
    <w:rsid w:val="000B5D5B"/>
    <w:rsid w:val="000B5FA0"/>
    <w:rsid w:val="000B70D7"/>
    <w:rsid w:val="000C0F45"/>
    <w:rsid w:val="000C2C89"/>
    <w:rsid w:val="000C544C"/>
    <w:rsid w:val="000C59AE"/>
    <w:rsid w:val="000C6C4A"/>
    <w:rsid w:val="000C6CB3"/>
    <w:rsid w:val="000D0275"/>
    <w:rsid w:val="000D21F9"/>
    <w:rsid w:val="000D5F07"/>
    <w:rsid w:val="000E09F3"/>
    <w:rsid w:val="000E267A"/>
    <w:rsid w:val="000E290C"/>
    <w:rsid w:val="000E2A3E"/>
    <w:rsid w:val="000E32DA"/>
    <w:rsid w:val="000E3712"/>
    <w:rsid w:val="000E3C0F"/>
    <w:rsid w:val="000E3DA3"/>
    <w:rsid w:val="000E3F18"/>
    <w:rsid w:val="000E5499"/>
    <w:rsid w:val="000E557A"/>
    <w:rsid w:val="000E6E1B"/>
    <w:rsid w:val="000E7788"/>
    <w:rsid w:val="000F0162"/>
    <w:rsid w:val="000F03C0"/>
    <w:rsid w:val="000F320E"/>
    <w:rsid w:val="000F3CE3"/>
    <w:rsid w:val="000F690E"/>
    <w:rsid w:val="000F6910"/>
    <w:rsid w:val="0010050B"/>
    <w:rsid w:val="001013AD"/>
    <w:rsid w:val="00102904"/>
    <w:rsid w:val="00104C3C"/>
    <w:rsid w:val="00104E08"/>
    <w:rsid w:val="001068A4"/>
    <w:rsid w:val="00111143"/>
    <w:rsid w:val="001116C3"/>
    <w:rsid w:val="00112962"/>
    <w:rsid w:val="00112965"/>
    <w:rsid w:val="00117835"/>
    <w:rsid w:val="00117CDE"/>
    <w:rsid w:val="0012193F"/>
    <w:rsid w:val="00121C20"/>
    <w:rsid w:val="00122B1B"/>
    <w:rsid w:val="001231A9"/>
    <w:rsid w:val="00124DC8"/>
    <w:rsid w:val="001261DE"/>
    <w:rsid w:val="0012672E"/>
    <w:rsid w:val="00126945"/>
    <w:rsid w:val="00127F2F"/>
    <w:rsid w:val="001308CB"/>
    <w:rsid w:val="00130CA9"/>
    <w:rsid w:val="0013191B"/>
    <w:rsid w:val="00132546"/>
    <w:rsid w:val="001325E4"/>
    <w:rsid w:val="00132718"/>
    <w:rsid w:val="00133440"/>
    <w:rsid w:val="00133B0B"/>
    <w:rsid w:val="00135A8C"/>
    <w:rsid w:val="00135E5D"/>
    <w:rsid w:val="00136B2B"/>
    <w:rsid w:val="00140A3C"/>
    <w:rsid w:val="0014204F"/>
    <w:rsid w:val="001443B6"/>
    <w:rsid w:val="00144435"/>
    <w:rsid w:val="00146F8D"/>
    <w:rsid w:val="00147B2E"/>
    <w:rsid w:val="00150527"/>
    <w:rsid w:val="00150D36"/>
    <w:rsid w:val="00150D4F"/>
    <w:rsid w:val="0015123F"/>
    <w:rsid w:val="00151F05"/>
    <w:rsid w:val="00155E63"/>
    <w:rsid w:val="001578C9"/>
    <w:rsid w:val="001579A2"/>
    <w:rsid w:val="001618C5"/>
    <w:rsid w:val="0016201B"/>
    <w:rsid w:val="00162673"/>
    <w:rsid w:val="001631B6"/>
    <w:rsid w:val="001641A3"/>
    <w:rsid w:val="00165D47"/>
    <w:rsid w:val="0016754C"/>
    <w:rsid w:val="0017015D"/>
    <w:rsid w:val="00170442"/>
    <w:rsid w:val="001728AE"/>
    <w:rsid w:val="001736F4"/>
    <w:rsid w:val="00175B50"/>
    <w:rsid w:val="00176594"/>
    <w:rsid w:val="0017699C"/>
    <w:rsid w:val="00176A9B"/>
    <w:rsid w:val="00176D2D"/>
    <w:rsid w:val="00180660"/>
    <w:rsid w:val="00182200"/>
    <w:rsid w:val="001846F3"/>
    <w:rsid w:val="00184AA3"/>
    <w:rsid w:val="001852C5"/>
    <w:rsid w:val="0018559C"/>
    <w:rsid w:val="00185EF6"/>
    <w:rsid w:val="001868A1"/>
    <w:rsid w:val="00186D1B"/>
    <w:rsid w:val="00187EA9"/>
    <w:rsid w:val="00192355"/>
    <w:rsid w:val="0019267A"/>
    <w:rsid w:val="00192E9B"/>
    <w:rsid w:val="00194478"/>
    <w:rsid w:val="00194D15"/>
    <w:rsid w:val="00195F02"/>
    <w:rsid w:val="0019667C"/>
    <w:rsid w:val="00196B1B"/>
    <w:rsid w:val="00196E0C"/>
    <w:rsid w:val="001A1665"/>
    <w:rsid w:val="001A32E2"/>
    <w:rsid w:val="001A3BC8"/>
    <w:rsid w:val="001A6551"/>
    <w:rsid w:val="001B0402"/>
    <w:rsid w:val="001B2C4C"/>
    <w:rsid w:val="001B4256"/>
    <w:rsid w:val="001B47A7"/>
    <w:rsid w:val="001B5879"/>
    <w:rsid w:val="001B597D"/>
    <w:rsid w:val="001B62D1"/>
    <w:rsid w:val="001B69E5"/>
    <w:rsid w:val="001B7806"/>
    <w:rsid w:val="001B7F78"/>
    <w:rsid w:val="001C12FB"/>
    <w:rsid w:val="001C1865"/>
    <w:rsid w:val="001C22A4"/>
    <w:rsid w:val="001C32ED"/>
    <w:rsid w:val="001C4121"/>
    <w:rsid w:val="001C46C6"/>
    <w:rsid w:val="001C4A08"/>
    <w:rsid w:val="001C4FEF"/>
    <w:rsid w:val="001C51F2"/>
    <w:rsid w:val="001C66E2"/>
    <w:rsid w:val="001C70DC"/>
    <w:rsid w:val="001C782B"/>
    <w:rsid w:val="001D0C12"/>
    <w:rsid w:val="001D1A2A"/>
    <w:rsid w:val="001D3FAB"/>
    <w:rsid w:val="001D5290"/>
    <w:rsid w:val="001E057F"/>
    <w:rsid w:val="001E1B41"/>
    <w:rsid w:val="001E4930"/>
    <w:rsid w:val="001E5006"/>
    <w:rsid w:val="001E50A9"/>
    <w:rsid w:val="001E5CC1"/>
    <w:rsid w:val="001E62F7"/>
    <w:rsid w:val="001E760C"/>
    <w:rsid w:val="001E7877"/>
    <w:rsid w:val="001F0058"/>
    <w:rsid w:val="001F0ADC"/>
    <w:rsid w:val="001F115E"/>
    <w:rsid w:val="001F1C2E"/>
    <w:rsid w:val="001F1FA9"/>
    <w:rsid w:val="001F3327"/>
    <w:rsid w:val="001F365E"/>
    <w:rsid w:val="001F39B1"/>
    <w:rsid w:val="001F4822"/>
    <w:rsid w:val="001F5CE0"/>
    <w:rsid w:val="001F65FC"/>
    <w:rsid w:val="001F736D"/>
    <w:rsid w:val="001F73AF"/>
    <w:rsid w:val="00201A37"/>
    <w:rsid w:val="00202908"/>
    <w:rsid w:val="0020383C"/>
    <w:rsid w:val="00203E1C"/>
    <w:rsid w:val="002104BC"/>
    <w:rsid w:val="002110C0"/>
    <w:rsid w:val="00211245"/>
    <w:rsid w:val="00215CF0"/>
    <w:rsid w:val="0021649B"/>
    <w:rsid w:val="002165DC"/>
    <w:rsid w:val="00216882"/>
    <w:rsid w:val="002170F1"/>
    <w:rsid w:val="0022064F"/>
    <w:rsid w:val="00220E8F"/>
    <w:rsid w:val="0022130B"/>
    <w:rsid w:val="0022147F"/>
    <w:rsid w:val="0022198B"/>
    <w:rsid w:val="00222137"/>
    <w:rsid w:val="00224414"/>
    <w:rsid w:val="00224749"/>
    <w:rsid w:val="00224F3B"/>
    <w:rsid w:val="00230379"/>
    <w:rsid w:val="002305A4"/>
    <w:rsid w:val="002324FA"/>
    <w:rsid w:val="00232F52"/>
    <w:rsid w:val="00233961"/>
    <w:rsid w:val="00233FCD"/>
    <w:rsid w:val="002349E0"/>
    <w:rsid w:val="0024200A"/>
    <w:rsid w:val="00242244"/>
    <w:rsid w:val="00242247"/>
    <w:rsid w:val="00243864"/>
    <w:rsid w:val="002466F4"/>
    <w:rsid w:val="00247C06"/>
    <w:rsid w:val="00251093"/>
    <w:rsid w:val="00253987"/>
    <w:rsid w:val="00254661"/>
    <w:rsid w:val="002558EA"/>
    <w:rsid w:val="00256115"/>
    <w:rsid w:val="00257487"/>
    <w:rsid w:val="00257A16"/>
    <w:rsid w:val="00261C20"/>
    <w:rsid w:val="00262118"/>
    <w:rsid w:val="002621CA"/>
    <w:rsid w:val="00262F07"/>
    <w:rsid w:val="002630DB"/>
    <w:rsid w:val="00263CB6"/>
    <w:rsid w:val="002652ED"/>
    <w:rsid w:val="00265978"/>
    <w:rsid w:val="00265A2D"/>
    <w:rsid w:val="00266255"/>
    <w:rsid w:val="0026637F"/>
    <w:rsid w:val="0026662E"/>
    <w:rsid w:val="00266B5E"/>
    <w:rsid w:val="00266C5A"/>
    <w:rsid w:val="0026723C"/>
    <w:rsid w:val="00267F7F"/>
    <w:rsid w:val="00270499"/>
    <w:rsid w:val="0027120A"/>
    <w:rsid w:val="00271472"/>
    <w:rsid w:val="00272273"/>
    <w:rsid w:val="00274B73"/>
    <w:rsid w:val="00274FFC"/>
    <w:rsid w:val="00275281"/>
    <w:rsid w:val="00277C65"/>
    <w:rsid w:val="00281BB6"/>
    <w:rsid w:val="00283676"/>
    <w:rsid w:val="00283B02"/>
    <w:rsid w:val="0028443F"/>
    <w:rsid w:val="00284C5A"/>
    <w:rsid w:val="00284D14"/>
    <w:rsid w:val="00284E48"/>
    <w:rsid w:val="00285C0A"/>
    <w:rsid w:val="00286307"/>
    <w:rsid w:val="00291FEE"/>
    <w:rsid w:val="002939FE"/>
    <w:rsid w:val="0029663C"/>
    <w:rsid w:val="002971AB"/>
    <w:rsid w:val="002A06B4"/>
    <w:rsid w:val="002A5E46"/>
    <w:rsid w:val="002A6A12"/>
    <w:rsid w:val="002A6A1D"/>
    <w:rsid w:val="002A72E7"/>
    <w:rsid w:val="002A7EB4"/>
    <w:rsid w:val="002B0FE5"/>
    <w:rsid w:val="002B1817"/>
    <w:rsid w:val="002B189F"/>
    <w:rsid w:val="002B327E"/>
    <w:rsid w:val="002B36E5"/>
    <w:rsid w:val="002B382C"/>
    <w:rsid w:val="002B627B"/>
    <w:rsid w:val="002B71C6"/>
    <w:rsid w:val="002B7DC5"/>
    <w:rsid w:val="002C0706"/>
    <w:rsid w:val="002C13C0"/>
    <w:rsid w:val="002C2571"/>
    <w:rsid w:val="002C31E6"/>
    <w:rsid w:val="002C37BA"/>
    <w:rsid w:val="002C5CAB"/>
    <w:rsid w:val="002C6782"/>
    <w:rsid w:val="002C6E38"/>
    <w:rsid w:val="002D09F0"/>
    <w:rsid w:val="002D1438"/>
    <w:rsid w:val="002D1DCB"/>
    <w:rsid w:val="002D2627"/>
    <w:rsid w:val="002D3E17"/>
    <w:rsid w:val="002D4BAE"/>
    <w:rsid w:val="002D4BDA"/>
    <w:rsid w:val="002D5B0A"/>
    <w:rsid w:val="002D61F6"/>
    <w:rsid w:val="002D6574"/>
    <w:rsid w:val="002D67C2"/>
    <w:rsid w:val="002D6968"/>
    <w:rsid w:val="002D6C46"/>
    <w:rsid w:val="002D7345"/>
    <w:rsid w:val="002E0FC4"/>
    <w:rsid w:val="002E1CA8"/>
    <w:rsid w:val="002E2DE4"/>
    <w:rsid w:val="002E301B"/>
    <w:rsid w:val="002E3568"/>
    <w:rsid w:val="002E4341"/>
    <w:rsid w:val="002E6FA0"/>
    <w:rsid w:val="002F070E"/>
    <w:rsid w:val="002F0D32"/>
    <w:rsid w:val="002F1457"/>
    <w:rsid w:val="002F1980"/>
    <w:rsid w:val="002F2ECB"/>
    <w:rsid w:val="002F3278"/>
    <w:rsid w:val="002F3D9D"/>
    <w:rsid w:val="002F456B"/>
    <w:rsid w:val="002F4E18"/>
    <w:rsid w:val="002F4F1F"/>
    <w:rsid w:val="002F5C8A"/>
    <w:rsid w:val="002F74D1"/>
    <w:rsid w:val="002F75C1"/>
    <w:rsid w:val="00301723"/>
    <w:rsid w:val="003024BD"/>
    <w:rsid w:val="00302BD0"/>
    <w:rsid w:val="003049E8"/>
    <w:rsid w:val="00304AB4"/>
    <w:rsid w:val="00304C37"/>
    <w:rsid w:val="00304CA8"/>
    <w:rsid w:val="00310911"/>
    <w:rsid w:val="00311204"/>
    <w:rsid w:val="00312821"/>
    <w:rsid w:val="00312BD0"/>
    <w:rsid w:val="00314123"/>
    <w:rsid w:val="00316294"/>
    <w:rsid w:val="0031683D"/>
    <w:rsid w:val="00316BEE"/>
    <w:rsid w:val="00317369"/>
    <w:rsid w:val="00320AD9"/>
    <w:rsid w:val="003213B4"/>
    <w:rsid w:val="003214B3"/>
    <w:rsid w:val="003215E5"/>
    <w:rsid w:val="003232D5"/>
    <w:rsid w:val="003248F8"/>
    <w:rsid w:val="00324BD0"/>
    <w:rsid w:val="0032791A"/>
    <w:rsid w:val="003306F1"/>
    <w:rsid w:val="00331180"/>
    <w:rsid w:val="00331760"/>
    <w:rsid w:val="003322C2"/>
    <w:rsid w:val="003328FE"/>
    <w:rsid w:val="00333AA7"/>
    <w:rsid w:val="00333F03"/>
    <w:rsid w:val="003347FA"/>
    <w:rsid w:val="00334D9F"/>
    <w:rsid w:val="0033567B"/>
    <w:rsid w:val="0033709B"/>
    <w:rsid w:val="00341111"/>
    <w:rsid w:val="003412E8"/>
    <w:rsid w:val="003421C3"/>
    <w:rsid w:val="00343DB0"/>
    <w:rsid w:val="00344030"/>
    <w:rsid w:val="00344216"/>
    <w:rsid w:val="00347D5F"/>
    <w:rsid w:val="00350D80"/>
    <w:rsid w:val="0035187F"/>
    <w:rsid w:val="00352028"/>
    <w:rsid w:val="00352306"/>
    <w:rsid w:val="00352C17"/>
    <w:rsid w:val="003537AD"/>
    <w:rsid w:val="00354C6A"/>
    <w:rsid w:val="00355DB8"/>
    <w:rsid w:val="003567DD"/>
    <w:rsid w:val="00360039"/>
    <w:rsid w:val="0036006F"/>
    <w:rsid w:val="00360C03"/>
    <w:rsid w:val="00360E8F"/>
    <w:rsid w:val="003639D9"/>
    <w:rsid w:val="003646EC"/>
    <w:rsid w:val="00364A4A"/>
    <w:rsid w:val="00365130"/>
    <w:rsid w:val="003654AC"/>
    <w:rsid w:val="00365F27"/>
    <w:rsid w:val="00366F2B"/>
    <w:rsid w:val="0036759C"/>
    <w:rsid w:val="0037073B"/>
    <w:rsid w:val="003709C9"/>
    <w:rsid w:val="0037260F"/>
    <w:rsid w:val="003727A0"/>
    <w:rsid w:val="003733C0"/>
    <w:rsid w:val="00375B3E"/>
    <w:rsid w:val="00382B63"/>
    <w:rsid w:val="00382F7A"/>
    <w:rsid w:val="00383345"/>
    <w:rsid w:val="003858A7"/>
    <w:rsid w:val="00391A46"/>
    <w:rsid w:val="00395407"/>
    <w:rsid w:val="003955E1"/>
    <w:rsid w:val="00395FD7"/>
    <w:rsid w:val="003A25D0"/>
    <w:rsid w:val="003A271F"/>
    <w:rsid w:val="003A291E"/>
    <w:rsid w:val="003A3905"/>
    <w:rsid w:val="003A4089"/>
    <w:rsid w:val="003A5150"/>
    <w:rsid w:val="003A5290"/>
    <w:rsid w:val="003A65E0"/>
    <w:rsid w:val="003A6CD2"/>
    <w:rsid w:val="003A6F9D"/>
    <w:rsid w:val="003B03CA"/>
    <w:rsid w:val="003B10F4"/>
    <w:rsid w:val="003B1B26"/>
    <w:rsid w:val="003B1E29"/>
    <w:rsid w:val="003B2683"/>
    <w:rsid w:val="003B2895"/>
    <w:rsid w:val="003B2E59"/>
    <w:rsid w:val="003B324E"/>
    <w:rsid w:val="003B5888"/>
    <w:rsid w:val="003B77B3"/>
    <w:rsid w:val="003B7F79"/>
    <w:rsid w:val="003C1849"/>
    <w:rsid w:val="003C1FCE"/>
    <w:rsid w:val="003C2304"/>
    <w:rsid w:val="003C32E1"/>
    <w:rsid w:val="003C5B03"/>
    <w:rsid w:val="003C6518"/>
    <w:rsid w:val="003D0CCE"/>
    <w:rsid w:val="003D4B92"/>
    <w:rsid w:val="003D572C"/>
    <w:rsid w:val="003D7303"/>
    <w:rsid w:val="003E186A"/>
    <w:rsid w:val="003E216A"/>
    <w:rsid w:val="003F0145"/>
    <w:rsid w:val="003F07B6"/>
    <w:rsid w:val="003F0B72"/>
    <w:rsid w:val="003F1096"/>
    <w:rsid w:val="003F44F7"/>
    <w:rsid w:val="003F5006"/>
    <w:rsid w:val="003F5044"/>
    <w:rsid w:val="003F5054"/>
    <w:rsid w:val="003F58F8"/>
    <w:rsid w:val="003F5B3C"/>
    <w:rsid w:val="003F6992"/>
    <w:rsid w:val="00401C08"/>
    <w:rsid w:val="004031B6"/>
    <w:rsid w:val="004052E9"/>
    <w:rsid w:val="00405861"/>
    <w:rsid w:val="00405C3D"/>
    <w:rsid w:val="004106E7"/>
    <w:rsid w:val="00410B27"/>
    <w:rsid w:val="004119A5"/>
    <w:rsid w:val="004124D1"/>
    <w:rsid w:val="0041465A"/>
    <w:rsid w:val="00414FFF"/>
    <w:rsid w:val="004206D3"/>
    <w:rsid w:val="004209B0"/>
    <w:rsid w:val="00420C7E"/>
    <w:rsid w:val="00420FC9"/>
    <w:rsid w:val="004210ED"/>
    <w:rsid w:val="00421DEB"/>
    <w:rsid w:val="00421E96"/>
    <w:rsid w:val="0042229C"/>
    <w:rsid w:val="004225C9"/>
    <w:rsid w:val="00422F86"/>
    <w:rsid w:val="00423966"/>
    <w:rsid w:val="0042443D"/>
    <w:rsid w:val="00424514"/>
    <w:rsid w:val="00425AED"/>
    <w:rsid w:val="00425D8C"/>
    <w:rsid w:val="00427F34"/>
    <w:rsid w:val="00432172"/>
    <w:rsid w:val="004322DD"/>
    <w:rsid w:val="00434559"/>
    <w:rsid w:val="0043470E"/>
    <w:rsid w:val="004347D5"/>
    <w:rsid w:val="004350D1"/>
    <w:rsid w:val="004352B3"/>
    <w:rsid w:val="00436B38"/>
    <w:rsid w:val="00437495"/>
    <w:rsid w:val="004376FC"/>
    <w:rsid w:val="00437A44"/>
    <w:rsid w:val="00437F0A"/>
    <w:rsid w:val="0044128C"/>
    <w:rsid w:val="00441BFD"/>
    <w:rsid w:val="00441FFC"/>
    <w:rsid w:val="004425D1"/>
    <w:rsid w:val="004445AD"/>
    <w:rsid w:val="00444ED6"/>
    <w:rsid w:val="004458F6"/>
    <w:rsid w:val="00446881"/>
    <w:rsid w:val="00446A2A"/>
    <w:rsid w:val="00447039"/>
    <w:rsid w:val="00451B82"/>
    <w:rsid w:val="00452C11"/>
    <w:rsid w:val="00453AFD"/>
    <w:rsid w:val="004545CF"/>
    <w:rsid w:val="0045724C"/>
    <w:rsid w:val="00457418"/>
    <w:rsid w:val="00461957"/>
    <w:rsid w:val="00463288"/>
    <w:rsid w:val="00464C9A"/>
    <w:rsid w:val="0046564A"/>
    <w:rsid w:val="0046625C"/>
    <w:rsid w:val="004667B7"/>
    <w:rsid w:val="00470C21"/>
    <w:rsid w:val="00470FDD"/>
    <w:rsid w:val="00472697"/>
    <w:rsid w:val="00472805"/>
    <w:rsid w:val="004732DD"/>
    <w:rsid w:val="00474BF7"/>
    <w:rsid w:val="00474BFE"/>
    <w:rsid w:val="00474F28"/>
    <w:rsid w:val="00475116"/>
    <w:rsid w:val="00476001"/>
    <w:rsid w:val="00476C9E"/>
    <w:rsid w:val="004847A3"/>
    <w:rsid w:val="0048526C"/>
    <w:rsid w:val="00485BA5"/>
    <w:rsid w:val="00490BF9"/>
    <w:rsid w:val="004917E8"/>
    <w:rsid w:val="00491E5F"/>
    <w:rsid w:val="00492607"/>
    <w:rsid w:val="00492732"/>
    <w:rsid w:val="00493146"/>
    <w:rsid w:val="00493AFB"/>
    <w:rsid w:val="00493F3C"/>
    <w:rsid w:val="004944FC"/>
    <w:rsid w:val="00496D0B"/>
    <w:rsid w:val="00496D14"/>
    <w:rsid w:val="00497BC6"/>
    <w:rsid w:val="004A024A"/>
    <w:rsid w:val="004A038E"/>
    <w:rsid w:val="004A0536"/>
    <w:rsid w:val="004A1F26"/>
    <w:rsid w:val="004A36A4"/>
    <w:rsid w:val="004A4EBF"/>
    <w:rsid w:val="004A4FE5"/>
    <w:rsid w:val="004A50F9"/>
    <w:rsid w:val="004A5566"/>
    <w:rsid w:val="004A59B9"/>
    <w:rsid w:val="004A7401"/>
    <w:rsid w:val="004A775D"/>
    <w:rsid w:val="004A7D79"/>
    <w:rsid w:val="004B1AF1"/>
    <w:rsid w:val="004B1B4C"/>
    <w:rsid w:val="004B1D54"/>
    <w:rsid w:val="004B2D8E"/>
    <w:rsid w:val="004B36FD"/>
    <w:rsid w:val="004B3F30"/>
    <w:rsid w:val="004B51E6"/>
    <w:rsid w:val="004B5217"/>
    <w:rsid w:val="004B5936"/>
    <w:rsid w:val="004B5E36"/>
    <w:rsid w:val="004B6E01"/>
    <w:rsid w:val="004B6EC5"/>
    <w:rsid w:val="004C024B"/>
    <w:rsid w:val="004C10AA"/>
    <w:rsid w:val="004C292B"/>
    <w:rsid w:val="004C2B62"/>
    <w:rsid w:val="004C320D"/>
    <w:rsid w:val="004C44DD"/>
    <w:rsid w:val="004C4ED2"/>
    <w:rsid w:val="004C625C"/>
    <w:rsid w:val="004C7150"/>
    <w:rsid w:val="004C7943"/>
    <w:rsid w:val="004C7FE6"/>
    <w:rsid w:val="004D1EEF"/>
    <w:rsid w:val="004D1F0E"/>
    <w:rsid w:val="004D20AC"/>
    <w:rsid w:val="004D25E3"/>
    <w:rsid w:val="004D2C61"/>
    <w:rsid w:val="004D2F80"/>
    <w:rsid w:val="004D6AD1"/>
    <w:rsid w:val="004D6DD4"/>
    <w:rsid w:val="004D70D4"/>
    <w:rsid w:val="004E0ED0"/>
    <w:rsid w:val="004E0F77"/>
    <w:rsid w:val="004E1314"/>
    <w:rsid w:val="004E267C"/>
    <w:rsid w:val="004E284A"/>
    <w:rsid w:val="004E31EA"/>
    <w:rsid w:val="004E34C4"/>
    <w:rsid w:val="004E5900"/>
    <w:rsid w:val="004E5F7B"/>
    <w:rsid w:val="004E6247"/>
    <w:rsid w:val="004E667E"/>
    <w:rsid w:val="004E7BF6"/>
    <w:rsid w:val="004F2A85"/>
    <w:rsid w:val="004F3DF8"/>
    <w:rsid w:val="004F3F2A"/>
    <w:rsid w:val="004F47B0"/>
    <w:rsid w:val="004F5EC6"/>
    <w:rsid w:val="004F78FB"/>
    <w:rsid w:val="00502D35"/>
    <w:rsid w:val="005043EB"/>
    <w:rsid w:val="00505697"/>
    <w:rsid w:val="005059A2"/>
    <w:rsid w:val="00505B0B"/>
    <w:rsid w:val="00506475"/>
    <w:rsid w:val="005079D7"/>
    <w:rsid w:val="00510886"/>
    <w:rsid w:val="00511939"/>
    <w:rsid w:val="00511E60"/>
    <w:rsid w:val="0051212B"/>
    <w:rsid w:val="00512738"/>
    <w:rsid w:val="00512828"/>
    <w:rsid w:val="0051302E"/>
    <w:rsid w:val="00514A31"/>
    <w:rsid w:val="00515577"/>
    <w:rsid w:val="00517306"/>
    <w:rsid w:val="00517A68"/>
    <w:rsid w:val="0052010F"/>
    <w:rsid w:val="0052143D"/>
    <w:rsid w:val="0052220B"/>
    <w:rsid w:val="00522D3B"/>
    <w:rsid w:val="00523BF0"/>
    <w:rsid w:val="005245DD"/>
    <w:rsid w:val="00526664"/>
    <w:rsid w:val="00527416"/>
    <w:rsid w:val="0052764F"/>
    <w:rsid w:val="00530AB1"/>
    <w:rsid w:val="00531C26"/>
    <w:rsid w:val="0053275D"/>
    <w:rsid w:val="00533B7F"/>
    <w:rsid w:val="0053602B"/>
    <w:rsid w:val="0053608D"/>
    <w:rsid w:val="0053744B"/>
    <w:rsid w:val="00540EF1"/>
    <w:rsid w:val="005426EB"/>
    <w:rsid w:val="00544064"/>
    <w:rsid w:val="00544D73"/>
    <w:rsid w:val="005452AA"/>
    <w:rsid w:val="005459BE"/>
    <w:rsid w:val="00546E9E"/>
    <w:rsid w:val="00551407"/>
    <w:rsid w:val="00551B7F"/>
    <w:rsid w:val="0055280C"/>
    <w:rsid w:val="00553C0D"/>
    <w:rsid w:val="005547D5"/>
    <w:rsid w:val="0055555B"/>
    <w:rsid w:val="00556365"/>
    <w:rsid w:val="0055752D"/>
    <w:rsid w:val="00561F5C"/>
    <w:rsid w:val="00562C39"/>
    <w:rsid w:val="005633C6"/>
    <w:rsid w:val="0056422F"/>
    <w:rsid w:val="00566143"/>
    <w:rsid w:val="005665CE"/>
    <w:rsid w:val="0056674E"/>
    <w:rsid w:val="00567C2B"/>
    <w:rsid w:val="0057056C"/>
    <w:rsid w:val="00571EA0"/>
    <w:rsid w:val="00574557"/>
    <w:rsid w:val="00574C81"/>
    <w:rsid w:val="00577C37"/>
    <w:rsid w:val="00581023"/>
    <w:rsid w:val="00581026"/>
    <w:rsid w:val="00581D3D"/>
    <w:rsid w:val="0058491F"/>
    <w:rsid w:val="00585CBB"/>
    <w:rsid w:val="0058626F"/>
    <w:rsid w:val="005863AB"/>
    <w:rsid w:val="00591F29"/>
    <w:rsid w:val="00592E8F"/>
    <w:rsid w:val="0059380F"/>
    <w:rsid w:val="00593D91"/>
    <w:rsid w:val="00594FDD"/>
    <w:rsid w:val="00596A1C"/>
    <w:rsid w:val="00596E5C"/>
    <w:rsid w:val="005A08B1"/>
    <w:rsid w:val="005A19AC"/>
    <w:rsid w:val="005A1C83"/>
    <w:rsid w:val="005A1D14"/>
    <w:rsid w:val="005A24CD"/>
    <w:rsid w:val="005A290D"/>
    <w:rsid w:val="005A549F"/>
    <w:rsid w:val="005A6B32"/>
    <w:rsid w:val="005A6F44"/>
    <w:rsid w:val="005A6FAF"/>
    <w:rsid w:val="005A7193"/>
    <w:rsid w:val="005A72F2"/>
    <w:rsid w:val="005A7CBF"/>
    <w:rsid w:val="005B02B3"/>
    <w:rsid w:val="005B0C22"/>
    <w:rsid w:val="005B18D1"/>
    <w:rsid w:val="005B29CD"/>
    <w:rsid w:val="005B4125"/>
    <w:rsid w:val="005B4D28"/>
    <w:rsid w:val="005B56AA"/>
    <w:rsid w:val="005B5E4F"/>
    <w:rsid w:val="005B6516"/>
    <w:rsid w:val="005C0D85"/>
    <w:rsid w:val="005C130B"/>
    <w:rsid w:val="005C36F6"/>
    <w:rsid w:val="005C380C"/>
    <w:rsid w:val="005C5602"/>
    <w:rsid w:val="005C7CFB"/>
    <w:rsid w:val="005C7DF4"/>
    <w:rsid w:val="005D042F"/>
    <w:rsid w:val="005D15E0"/>
    <w:rsid w:val="005D1688"/>
    <w:rsid w:val="005D185C"/>
    <w:rsid w:val="005D1CB0"/>
    <w:rsid w:val="005D2535"/>
    <w:rsid w:val="005D3790"/>
    <w:rsid w:val="005D4383"/>
    <w:rsid w:val="005D4506"/>
    <w:rsid w:val="005D5037"/>
    <w:rsid w:val="005D5501"/>
    <w:rsid w:val="005E0A4A"/>
    <w:rsid w:val="005E25BD"/>
    <w:rsid w:val="005E2F05"/>
    <w:rsid w:val="005E3E93"/>
    <w:rsid w:val="005E5BB3"/>
    <w:rsid w:val="005F04E1"/>
    <w:rsid w:val="005F09FC"/>
    <w:rsid w:val="005F21D3"/>
    <w:rsid w:val="005F277E"/>
    <w:rsid w:val="005F2DB5"/>
    <w:rsid w:val="005F3122"/>
    <w:rsid w:val="005F3F07"/>
    <w:rsid w:val="005F70B0"/>
    <w:rsid w:val="00602811"/>
    <w:rsid w:val="00603565"/>
    <w:rsid w:val="00604D06"/>
    <w:rsid w:val="0060605C"/>
    <w:rsid w:val="0061071D"/>
    <w:rsid w:val="006108E8"/>
    <w:rsid w:val="00611CFB"/>
    <w:rsid w:val="006134AC"/>
    <w:rsid w:val="006138D1"/>
    <w:rsid w:val="00615FA5"/>
    <w:rsid w:val="00617DED"/>
    <w:rsid w:val="0062170B"/>
    <w:rsid w:val="00622E91"/>
    <w:rsid w:val="006236BA"/>
    <w:rsid w:val="0062405B"/>
    <w:rsid w:val="00625260"/>
    <w:rsid w:val="0062581F"/>
    <w:rsid w:val="0062657E"/>
    <w:rsid w:val="0062729F"/>
    <w:rsid w:val="00627A5B"/>
    <w:rsid w:val="00631754"/>
    <w:rsid w:val="00633537"/>
    <w:rsid w:val="00634A16"/>
    <w:rsid w:val="00635509"/>
    <w:rsid w:val="00635C53"/>
    <w:rsid w:val="00636F4E"/>
    <w:rsid w:val="00637C7F"/>
    <w:rsid w:val="00640DAB"/>
    <w:rsid w:val="00641A48"/>
    <w:rsid w:val="00642088"/>
    <w:rsid w:val="006420C2"/>
    <w:rsid w:val="00643C78"/>
    <w:rsid w:val="006440A9"/>
    <w:rsid w:val="006454AF"/>
    <w:rsid w:val="00645BDC"/>
    <w:rsid w:val="00647B21"/>
    <w:rsid w:val="00647DC7"/>
    <w:rsid w:val="00647F55"/>
    <w:rsid w:val="006537B9"/>
    <w:rsid w:val="006547B2"/>
    <w:rsid w:val="0065490A"/>
    <w:rsid w:val="00661450"/>
    <w:rsid w:val="006615B1"/>
    <w:rsid w:val="0066189A"/>
    <w:rsid w:val="006632CD"/>
    <w:rsid w:val="00663317"/>
    <w:rsid w:val="006641FE"/>
    <w:rsid w:val="00664207"/>
    <w:rsid w:val="00664266"/>
    <w:rsid w:val="0066545A"/>
    <w:rsid w:val="00666BC6"/>
    <w:rsid w:val="0066767A"/>
    <w:rsid w:val="00670818"/>
    <w:rsid w:val="006713A7"/>
    <w:rsid w:val="00671FA9"/>
    <w:rsid w:val="00672071"/>
    <w:rsid w:val="00672889"/>
    <w:rsid w:val="00674BC2"/>
    <w:rsid w:val="006769C4"/>
    <w:rsid w:val="00677BBE"/>
    <w:rsid w:val="00680970"/>
    <w:rsid w:val="00680ADB"/>
    <w:rsid w:val="006821C9"/>
    <w:rsid w:val="006822EF"/>
    <w:rsid w:val="006829F0"/>
    <w:rsid w:val="00682F4A"/>
    <w:rsid w:val="006852C1"/>
    <w:rsid w:val="0068698F"/>
    <w:rsid w:val="006873B6"/>
    <w:rsid w:val="00687B56"/>
    <w:rsid w:val="00687CB7"/>
    <w:rsid w:val="0069009B"/>
    <w:rsid w:val="006931CC"/>
    <w:rsid w:val="0069502D"/>
    <w:rsid w:val="006952EF"/>
    <w:rsid w:val="006954F6"/>
    <w:rsid w:val="006959AF"/>
    <w:rsid w:val="006A148A"/>
    <w:rsid w:val="006A1874"/>
    <w:rsid w:val="006A2962"/>
    <w:rsid w:val="006A6863"/>
    <w:rsid w:val="006B222A"/>
    <w:rsid w:val="006B2AAD"/>
    <w:rsid w:val="006B3546"/>
    <w:rsid w:val="006B4548"/>
    <w:rsid w:val="006B4BFC"/>
    <w:rsid w:val="006B5FEF"/>
    <w:rsid w:val="006B60D3"/>
    <w:rsid w:val="006B7D62"/>
    <w:rsid w:val="006C0745"/>
    <w:rsid w:val="006C16FF"/>
    <w:rsid w:val="006C170B"/>
    <w:rsid w:val="006C1B39"/>
    <w:rsid w:val="006C238E"/>
    <w:rsid w:val="006C261F"/>
    <w:rsid w:val="006C2F60"/>
    <w:rsid w:val="006C350D"/>
    <w:rsid w:val="006C458F"/>
    <w:rsid w:val="006C4809"/>
    <w:rsid w:val="006C4B3F"/>
    <w:rsid w:val="006C4CB8"/>
    <w:rsid w:val="006C5145"/>
    <w:rsid w:val="006C718F"/>
    <w:rsid w:val="006C73B4"/>
    <w:rsid w:val="006C74AA"/>
    <w:rsid w:val="006D0F47"/>
    <w:rsid w:val="006D12C7"/>
    <w:rsid w:val="006D1999"/>
    <w:rsid w:val="006D2063"/>
    <w:rsid w:val="006D25CF"/>
    <w:rsid w:val="006D60E4"/>
    <w:rsid w:val="006D78D5"/>
    <w:rsid w:val="006E03F2"/>
    <w:rsid w:val="006E1A6F"/>
    <w:rsid w:val="006E1CC4"/>
    <w:rsid w:val="006E24AB"/>
    <w:rsid w:val="006E3294"/>
    <w:rsid w:val="006E6712"/>
    <w:rsid w:val="006E77C9"/>
    <w:rsid w:val="006F12E2"/>
    <w:rsid w:val="006F1E17"/>
    <w:rsid w:val="006F27EC"/>
    <w:rsid w:val="006F2E13"/>
    <w:rsid w:val="006F3929"/>
    <w:rsid w:val="006F5C2E"/>
    <w:rsid w:val="006F6390"/>
    <w:rsid w:val="006F6656"/>
    <w:rsid w:val="00701185"/>
    <w:rsid w:val="0070123E"/>
    <w:rsid w:val="00701729"/>
    <w:rsid w:val="00701F1F"/>
    <w:rsid w:val="00702ACF"/>
    <w:rsid w:val="00704D72"/>
    <w:rsid w:val="00706147"/>
    <w:rsid w:val="00706362"/>
    <w:rsid w:val="00706B45"/>
    <w:rsid w:val="00706D85"/>
    <w:rsid w:val="007110AA"/>
    <w:rsid w:val="007112DF"/>
    <w:rsid w:val="007113C4"/>
    <w:rsid w:val="00711BFE"/>
    <w:rsid w:val="007135C0"/>
    <w:rsid w:val="0071381A"/>
    <w:rsid w:val="0071457B"/>
    <w:rsid w:val="007169D6"/>
    <w:rsid w:val="00717DEB"/>
    <w:rsid w:val="007218D5"/>
    <w:rsid w:val="007271E9"/>
    <w:rsid w:val="00727DCD"/>
    <w:rsid w:val="00733389"/>
    <w:rsid w:val="00733737"/>
    <w:rsid w:val="00733CEF"/>
    <w:rsid w:val="007353B6"/>
    <w:rsid w:val="00735D92"/>
    <w:rsid w:val="00740947"/>
    <w:rsid w:val="0074133B"/>
    <w:rsid w:val="00743835"/>
    <w:rsid w:val="00745085"/>
    <w:rsid w:val="007467C8"/>
    <w:rsid w:val="00746FE4"/>
    <w:rsid w:val="00750EB7"/>
    <w:rsid w:val="00754173"/>
    <w:rsid w:val="007546B7"/>
    <w:rsid w:val="007547BD"/>
    <w:rsid w:val="00755F5C"/>
    <w:rsid w:val="007604BB"/>
    <w:rsid w:val="00760CAF"/>
    <w:rsid w:val="00761705"/>
    <w:rsid w:val="00761FCF"/>
    <w:rsid w:val="00763E8C"/>
    <w:rsid w:val="00764252"/>
    <w:rsid w:val="00764D6A"/>
    <w:rsid w:val="00765656"/>
    <w:rsid w:val="00765692"/>
    <w:rsid w:val="00772A50"/>
    <w:rsid w:val="00773056"/>
    <w:rsid w:val="007735B1"/>
    <w:rsid w:val="00773C5C"/>
    <w:rsid w:val="00774EB4"/>
    <w:rsid w:val="00777AFF"/>
    <w:rsid w:val="0078070E"/>
    <w:rsid w:val="00780980"/>
    <w:rsid w:val="00780BEB"/>
    <w:rsid w:val="00784979"/>
    <w:rsid w:val="00786E76"/>
    <w:rsid w:val="007904D6"/>
    <w:rsid w:val="00790D54"/>
    <w:rsid w:val="007912C3"/>
    <w:rsid w:val="007917EB"/>
    <w:rsid w:val="00793EDA"/>
    <w:rsid w:val="00795A69"/>
    <w:rsid w:val="007961BD"/>
    <w:rsid w:val="00796B66"/>
    <w:rsid w:val="00797460"/>
    <w:rsid w:val="007A19C5"/>
    <w:rsid w:val="007A27E5"/>
    <w:rsid w:val="007A3B49"/>
    <w:rsid w:val="007A47DF"/>
    <w:rsid w:val="007A4DDB"/>
    <w:rsid w:val="007A510D"/>
    <w:rsid w:val="007A5B40"/>
    <w:rsid w:val="007A5D10"/>
    <w:rsid w:val="007A730B"/>
    <w:rsid w:val="007B018C"/>
    <w:rsid w:val="007B0C36"/>
    <w:rsid w:val="007B1841"/>
    <w:rsid w:val="007B5726"/>
    <w:rsid w:val="007B66C4"/>
    <w:rsid w:val="007B66F1"/>
    <w:rsid w:val="007B7E13"/>
    <w:rsid w:val="007C2F94"/>
    <w:rsid w:val="007C358A"/>
    <w:rsid w:val="007C4794"/>
    <w:rsid w:val="007C53A9"/>
    <w:rsid w:val="007C5DEF"/>
    <w:rsid w:val="007C5ED6"/>
    <w:rsid w:val="007D0D56"/>
    <w:rsid w:val="007D10EA"/>
    <w:rsid w:val="007D1B7C"/>
    <w:rsid w:val="007D2076"/>
    <w:rsid w:val="007D2283"/>
    <w:rsid w:val="007D2395"/>
    <w:rsid w:val="007D2C52"/>
    <w:rsid w:val="007D458C"/>
    <w:rsid w:val="007D5BC3"/>
    <w:rsid w:val="007D7238"/>
    <w:rsid w:val="007E08FD"/>
    <w:rsid w:val="007E0BB7"/>
    <w:rsid w:val="007E1660"/>
    <w:rsid w:val="007E2BC6"/>
    <w:rsid w:val="007E39EF"/>
    <w:rsid w:val="007E48EF"/>
    <w:rsid w:val="007E5799"/>
    <w:rsid w:val="007E7070"/>
    <w:rsid w:val="007E7417"/>
    <w:rsid w:val="007E758D"/>
    <w:rsid w:val="007F0E93"/>
    <w:rsid w:val="007F1EAF"/>
    <w:rsid w:val="007F234A"/>
    <w:rsid w:val="007F2991"/>
    <w:rsid w:val="007F410F"/>
    <w:rsid w:val="007F4D3F"/>
    <w:rsid w:val="00800FE1"/>
    <w:rsid w:val="0080372F"/>
    <w:rsid w:val="008037E2"/>
    <w:rsid w:val="0080442C"/>
    <w:rsid w:val="008049B0"/>
    <w:rsid w:val="00804C6C"/>
    <w:rsid w:val="00804CCF"/>
    <w:rsid w:val="0080648B"/>
    <w:rsid w:val="00806FC5"/>
    <w:rsid w:val="008103A5"/>
    <w:rsid w:val="00810642"/>
    <w:rsid w:val="00811A82"/>
    <w:rsid w:val="00811B44"/>
    <w:rsid w:val="00812821"/>
    <w:rsid w:val="00812D5B"/>
    <w:rsid w:val="008135D6"/>
    <w:rsid w:val="008144AA"/>
    <w:rsid w:val="00814A92"/>
    <w:rsid w:val="00815198"/>
    <w:rsid w:val="0081538F"/>
    <w:rsid w:val="00820F04"/>
    <w:rsid w:val="00821B22"/>
    <w:rsid w:val="00822649"/>
    <w:rsid w:val="00822F6A"/>
    <w:rsid w:val="00827EEC"/>
    <w:rsid w:val="00830967"/>
    <w:rsid w:val="00831D76"/>
    <w:rsid w:val="00831DED"/>
    <w:rsid w:val="008330DB"/>
    <w:rsid w:val="008336F3"/>
    <w:rsid w:val="0083384D"/>
    <w:rsid w:val="008351D1"/>
    <w:rsid w:val="00836000"/>
    <w:rsid w:val="008365BD"/>
    <w:rsid w:val="00836BBB"/>
    <w:rsid w:val="00837B06"/>
    <w:rsid w:val="0084011B"/>
    <w:rsid w:val="008433D6"/>
    <w:rsid w:val="00845621"/>
    <w:rsid w:val="00846841"/>
    <w:rsid w:val="00846B6F"/>
    <w:rsid w:val="00847396"/>
    <w:rsid w:val="008508EC"/>
    <w:rsid w:val="0085166E"/>
    <w:rsid w:val="0085191B"/>
    <w:rsid w:val="00853440"/>
    <w:rsid w:val="0085381B"/>
    <w:rsid w:val="0085444F"/>
    <w:rsid w:val="0085478D"/>
    <w:rsid w:val="008556AC"/>
    <w:rsid w:val="008579F6"/>
    <w:rsid w:val="00857DB4"/>
    <w:rsid w:val="0086057C"/>
    <w:rsid w:val="00862696"/>
    <w:rsid w:val="00863135"/>
    <w:rsid w:val="0086351A"/>
    <w:rsid w:val="008649CE"/>
    <w:rsid w:val="00866A1F"/>
    <w:rsid w:val="0087054E"/>
    <w:rsid w:val="0087286F"/>
    <w:rsid w:val="00873528"/>
    <w:rsid w:val="0087752B"/>
    <w:rsid w:val="00880725"/>
    <w:rsid w:val="00881A38"/>
    <w:rsid w:val="008831B5"/>
    <w:rsid w:val="00883C7E"/>
    <w:rsid w:val="00885126"/>
    <w:rsid w:val="008858B1"/>
    <w:rsid w:val="00885EA4"/>
    <w:rsid w:val="00886462"/>
    <w:rsid w:val="00886A82"/>
    <w:rsid w:val="00886EB4"/>
    <w:rsid w:val="00891A51"/>
    <w:rsid w:val="00891BF7"/>
    <w:rsid w:val="00891E47"/>
    <w:rsid w:val="00892619"/>
    <w:rsid w:val="00892CC1"/>
    <w:rsid w:val="0089320B"/>
    <w:rsid w:val="008949A1"/>
    <w:rsid w:val="00894B92"/>
    <w:rsid w:val="00895C3B"/>
    <w:rsid w:val="008960AE"/>
    <w:rsid w:val="00897B06"/>
    <w:rsid w:val="008A0EE3"/>
    <w:rsid w:val="008A1B79"/>
    <w:rsid w:val="008A2941"/>
    <w:rsid w:val="008A370F"/>
    <w:rsid w:val="008A3887"/>
    <w:rsid w:val="008A3D9E"/>
    <w:rsid w:val="008A4077"/>
    <w:rsid w:val="008A5B9E"/>
    <w:rsid w:val="008A6E6A"/>
    <w:rsid w:val="008A72CF"/>
    <w:rsid w:val="008A75F4"/>
    <w:rsid w:val="008B0111"/>
    <w:rsid w:val="008B0333"/>
    <w:rsid w:val="008B14E1"/>
    <w:rsid w:val="008B164E"/>
    <w:rsid w:val="008B1766"/>
    <w:rsid w:val="008B34EE"/>
    <w:rsid w:val="008B50B1"/>
    <w:rsid w:val="008B5210"/>
    <w:rsid w:val="008C1BA1"/>
    <w:rsid w:val="008C27F6"/>
    <w:rsid w:val="008C38E0"/>
    <w:rsid w:val="008C39D9"/>
    <w:rsid w:val="008C47F4"/>
    <w:rsid w:val="008C56EB"/>
    <w:rsid w:val="008C584E"/>
    <w:rsid w:val="008C66D1"/>
    <w:rsid w:val="008D07B2"/>
    <w:rsid w:val="008D2679"/>
    <w:rsid w:val="008D363C"/>
    <w:rsid w:val="008D3DE9"/>
    <w:rsid w:val="008D619B"/>
    <w:rsid w:val="008D6C0F"/>
    <w:rsid w:val="008E0D4E"/>
    <w:rsid w:val="008E2231"/>
    <w:rsid w:val="008E2352"/>
    <w:rsid w:val="008E35B8"/>
    <w:rsid w:val="008E43AF"/>
    <w:rsid w:val="008E4D51"/>
    <w:rsid w:val="008E53A2"/>
    <w:rsid w:val="008E5C45"/>
    <w:rsid w:val="008F0DB9"/>
    <w:rsid w:val="008F45F7"/>
    <w:rsid w:val="008F4830"/>
    <w:rsid w:val="008F5066"/>
    <w:rsid w:val="008F5E3F"/>
    <w:rsid w:val="008F71BA"/>
    <w:rsid w:val="008F7418"/>
    <w:rsid w:val="00900F76"/>
    <w:rsid w:val="00901D3A"/>
    <w:rsid w:val="009020C3"/>
    <w:rsid w:val="00905E7D"/>
    <w:rsid w:val="009109BB"/>
    <w:rsid w:val="00912538"/>
    <w:rsid w:val="0091290E"/>
    <w:rsid w:val="0091352C"/>
    <w:rsid w:val="009142FD"/>
    <w:rsid w:val="00917CCC"/>
    <w:rsid w:val="0092040B"/>
    <w:rsid w:val="00920CE5"/>
    <w:rsid w:val="009210E0"/>
    <w:rsid w:val="00921D99"/>
    <w:rsid w:val="0092200B"/>
    <w:rsid w:val="009223A2"/>
    <w:rsid w:val="009234D9"/>
    <w:rsid w:val="00923CC9"/>
    <w:rsid w:val="00925226"/>
    <w:rsid w:val="009263B9"/>
    <w:rsid w:val="0092654F"/>
    <w:rsid w:val="00931C1E"/>
    <w:rsid w:val="00931F8D"/>
    <w:rsid w:val="00932A46"/>
    <w:rsid w:val="00932AC7"/>
    <w:rsid w:val="00933CAE"/>
    <w:rsid w:val="00935D12"/>
    <w:rsid w:val="009369AC"/>
    <w:rsid w:val="0093737F"/>
    <w:rsid w:val="0093763A"/>
    <w:rsid w:val="009407D8"/>
    <w:rsid w:val="00942C22"/>
    <w:rsid w:val="00943CF5"/>
    <w:rsid w:val="00944998"/>
    <w:rsid w:val="0095040A"/>
    <w:rsid w:val="00950AEB"/>
    <w:rsid w:val="0095290B"/>
    <w:rsid w:val="00955554"/>
    <w:rsid w:val="00955B35"/>
    <w:rsid w:val="00960759"/>
    <w:rsid w:val="00960AC9"/>
    <w:rsid w:val="00961054"/>
    <w:rsid w:val="0096188B"/>
    <w:rsid w:val="009622CD"/>
    <w:rsid w:val="0096267B"/>
    <w:rsid w:val="00964641"/>
    <w:rsid w:val="009661AE"/>
    <w:rsid w:val="0096669E"/>
    <w:rsid w:val="00967262"/>
    <w:rsid w:val="00970F69"/>
    <w:rsid w:val="0097139F"/>
    <w:rsid w:val="00972162"/>
    <w:rsid w:val="00973546"/>
    <w:rsid w:val="00974177"/>
    <w:rsid w:val="009753E8"/>
    <w:rsid w:val="0097615E"/>
    <w:rsid w:val="00976F22"/>
    <w:rsid w:val="00977137"/>
    <w:rsid w:val="0097750F"/>
    <w:rsid w:val="00977A52"/>
    <w:rsid w:val="00977ACB"/>
    <w:rsid w:val="0098023E"/>
    <w:rsid w:val="00981C43"/>
    <w:rsid w:val="00981D58"/>
    <w:rsid w:val="00982AB2"/>
    <w:rsid w:val="00985C81"/>
    <w:rsid w:val="0098606A"/>
    <w:rsid w:val="00986BB3"/>
    <w:rsid w:val="00986C44"/>
    <w:rsid w:val="00987785"/>
    <w:rsid w:val="00987A1B"/>
    <w:rsid w:val="009903FA"/>
    <w:rsid w:val="009920DB"/>
    <w:rsid w:val="00995D54"/>
    <w:rsid w:val="009978EE"/>
    <w:rsid w:val="009A0CDB"/>
    <w:rsid w:val="009A149D"/>
    <w:rsid w:val="009A3B19"/>
    <w:rsid w:val="009A3D2E"/>
    <w:rsid w:val="009A501D"/>
    <w:rsid w:val="009A523C"/>
    <w:rsid w:val="009A6E27"/>
    <w:rsid w:val="009B12C7"/>
    <w:rsid w:val="009B1B50"/>
    <w:rsid w:val="009B2AC9"/>
    <w:rsid w:val="009B2EDC"/>
    <w:rsid w:val="009B3A71"/>
    <w:rsid w:val="009B44B5"/>
    <w:rsid w:val="009B4CD7"/>
    <w:rsid w:val="009B558A"/>
    <w:rsid w:val="009B697B"/>
    <w:rsid w:val="009B774A"/>
    <w:rsid w:val="009B790D"/>
    <w:rsid w:val="009C0C8A"/>
    <w:rsid w:val="009C2097"/>
    <w:rsid w:val="009C2166"/>
    <w:rsid w:val="009C21AF"/>
    <w:rsid w:val="009C2D57"/>
    <w:rsid w:val="009C7453"/>
    <w:rsid w:val="009C7C37"/>
    <w:rsid w:val="009C7C53"/>
    <w:rsid w:val="009D0141"/>
    <w:rsid w:val="009D0C98"/>
    <w:rsid w:val="009D181E"/>
    <w:rsid w:val="009D21E4"/>
    <w:rsid w:val="009D23C4"/>
    <w:rsid w:val="009D263F"/>
    <w:rsid w:val="009D29DF"/>
    <w:rsid w:val="009D4F48"/>
    <w:rsid w:val="009D5007"/>
    <w:rsid w:val="009D5301"/>
    <w:rsid w:val="009D565A"/>
    <w:rsid w:val="009D73A2"/>
    <w:rsid w:val="009D783D"/>
    <w:rsid w:val="009E0FC1"/>
    <w:rsid w:val="009E1AFB"/>
    <w:rsid w:val="009E2823"/>
    <w:rsid w:val="009E298F"/>
    <w:rsid w:val="009E3A91"/>
    <w:rsid w:val="009E6E97"/>
    <w:rsid w:val="009E6F2E"/>
    <w:rsid w:val="009F2B22"/>
    <w:rsid w:val="009F3268"/>
    <w:rsid w:val="009F3420"/>
    <w:rsid w:val="009F48A2"/>
    <w:rsid w:val="009F6831"/>
    <w:rsid w:val="009F7749"/>
    <w:rsid w:val="009F776E"/>
    <w:rsid w:val="00A00A8D"/>
    <w:rsid w:val="00A0327F"/>
    <w:rsid w:val="00A035AB"/>
    <w:rsid w:val="00A03CA2"/>
    <w:rsid w:val="00A04325"/>
    <w:rsid w:val="00A07A8A"/>
    <w:rsid w:val="00A1039F"/>
    <w:rsid w:val="00A10BE3"/>
    <w:rsid w:val="00A10F95"/>
    <w:rsid w:val="00A11C6F"/>
    <w:rsid w:val="00A12B41"/>
    <w:rsid w:val="00A13BF0"/>
    <w:rsid w:val="00A1550F"/>
    <w:rsid w:val="00A174AD"/>
    <w:rsid w:val="00A21F2A"/>
    <w:rsid w:val="00A222E7"/>
    <w:rsid w:val="00A24217"/>
    <w:rsid w:val="00A25765"/>
    <w:rsid w:val="00A25FB0"/>
    <w:rsid w:val="00A2616C"/>
    <w:rsid w:val="00A26EF8"/>
    <w:rsid w:val="00A306C3"/>
    <w:rsid w:val="00A31366"/>
    <w:rsid w:val="00A31640"/>
    <w:rsid w:val="00A32257"/>
    <w:rsid w:val="00A32E25"/>
    <w:rsid w:val="00A33260"/>
    <w:rsid w:val="00A339B9"/>
    <w:rsid w:val="00A37C7E"/>
    <w:rsid w:val="00A411A8"/>
    <w:rsid w:val="00A42077"/>
    <w:rsid w:val="00A434E2"/>
    <w:rsid w:val="00A4398E"/>
    <w:rsid w:val="00A44FF8"/>
    <w:rsid w:val="00A45A19"/>
    <w:rsid w:val="00A468C1"/>
    <w:rsid w:val="00A4727E"/>
    <w:rsid w:val="00A50675"/>
    <w:rsid w:val="00A50EBC"/>
    <w:rsid w:val="00A530EE"/>
    <w:rsid w:val="00A53D09"/>
    <w:rsid w:val="00A56A25"/>
    <w:rsid w:val="00A614BE"/>
    <w:rsid w:val="00A626C5"/>
    <w:rsid w:val="00A6699F"/>
    <w:rsid w:val="00A670C3"/>
    <w:rsid w:val="00A67C66"/>
    <w:rsid w:val="00A67C95"/>
    <w:rsid w:val="00A67F5F"/>
    <w:rsid w:val="00A70624"/>
    <w:rsid w:val="00A7069B"/>
    <w:rsid w:val="00A721A9"/>
    <w:rsid w:val="00A73CE6"/>
    <w:rsid w:val="00A75C84"/>
    <w:rsid w:val="00A77092"/>
    <w:rsid w:val="00A77D47"/>
    <w:rsid w:val="00A8022E"/>
    <w:rsid w:val="00A80E6D"/>
    <w:rsid w:val="00A812AF"/>
    <w:rsid w:val="00A8228B"/>
    <w:rsid w:val="00A82C4A"/>
    <w:rsid w:val="00A8387F"/>
    <w:rsid w:val="00A85690"/>
    <w:rsid w:val="00A86D04"/>
    <w:rsid w:val="00A87308"/>
    <w:rsid w:val="00A906AD"/>
    <w:rsid w:val="00A91307"/>
    <w:rsid w:val="00A917B2"/>
    <w:rsid w:val="00A91BC8"/>
    <w:rsid w:val="00A92F7D"/>
    <w:rsid w:val="00A93BF3"/>
    <w:rsid w:val="00A97DEA"/>
    <w:rsid w:val="00AA1D58"/>
    <w:rsid w:val="00AA557D"/>
    <w:rsid w:val="00AA587C"/>
    <w:rsid w:val="00AA6670"/>
    <w:rsid w:val="00AA68BD"/>
    <w:rsid w:val="00AA7640"/>
    <w:rsid w:val="00AB01AD"/>
    <w:rsid w:val="00AB0721"/>
    <w:rsid w:val="00AB0D77"/>
    <w:rsid w:val="00AB1441"/>
    <w:rsid w:val="00AB165D"/>
    <w:rsid w:val="00AB5F2B"/>
    <w:rsid w:val="00AB665C"/>
    <w:rsid w:val="00AB7911"/>
    <w:rsid w:val="00AC02D8"/>
    <w:rsid w:val="00AC1075"/>
    <w:rsid w:val="00AC153F"/>
    <w:rsid w:val="00AC16AD"/>
    <w:rsid w:val="00AC2EEC"/>
    <w:rsid w:val="00AC35F5"/>
    <w:rsid w:val="00AC4DA8"/>
    <w:rsid w:val="00AC4F0B"/>
    <w:rsid w:val="00AC68AE"/>
    <w:rsid w:val="00AC6E41"/>
    <w:rsid w:val="00AD0227"/>
    <w:rsid w:val="00AD1AC3"/>
    <w:rsid w:val="00AD1F66"/>
    <w:rsid w:val="00AD2B08"/>
    <w:rsid w:val="00AD2CA4"/>
    <w:rsid w:val="00AD2D22"/>
    <w:rsid w:val="00AD2E81"/>
    <w:rsid w:val="00AD344F"/>
    <w:rsid w:val="00AD3B94"/>
    <w:rsid w:val="00AD4D7D"/>
    <w:rsid w:val="00AD4EE4"/>
    <w:rsid w:val="00AD5224"/>
    <w:rsid w:val="00AD547D"/>
    <w:rsid w:val="00AD54FE"/>
    <w:rsid w:val="00AD555A"/>
    <w:rsid w:val="00AD7D30"/>
    <w:rsid w:val="00AD7F3B"/>
    <w:rsid w:val="00AE0643"/>
    <w:rsid w:val="00AE071D"/>
    <w:rsid w:val="00AE1BEB"/>
    <w:rsid w:val="00AE1CA8"/>
    <w:rsid w:val="00AE1EA1"/>
    <w:rsid w:val="00AE2452"/>
    <w:rsid w:val="00AE2FDE"/>
    <w:rsid w:val="00AE3B3C"/>
    <w:rsid w:val="00AE4237"/>
    <w:rsid w:val="00AE6907"/>
    <w:rsid w:val="00AE719E"/>
    <w:rsid w:val="00AE7F0B"/>
    <w:rsid w:val="00AF006E"/>
    <w:rsid w:val="00AF2102"/>
    <w:rsid w:val="00AF345C"/>
    <w:rsid w:val="00AF54F6"/>
    <w:rsid w:val="00AF62A6"/>
    <w:rsid w:val="00AF6341"/>
    <w:rsid w:val="00AF6DD0"/>
    <w:rsid w:val="00AF7997"/>
    <w:rsid w:val="00B005E0"/>
    <w:rsid w:val="00B02B9B"/>
    <w:rsid w:val="00B0432E"/>
    <w:rsid w:val="00B0489C"/>
    <w:rsid w:val="00B07921"/>
    <w:rsid w:val="00B1013F"/>
    <w:rsid w:val="00B1089C"/>
    <w:rsid w:val="00B110AD"/>
    <w:rsid w:val="00B1542C"/>
    <w:rsid w:val="00B20F1E"/>
    <w:rsid w:val="00B23108"/>
    <w:rsid w:val="00B240A5"/>
    <w:rsid w:val="00B2557D"/>
    <w:rsid w:val="00B255F4"/>
    <w:rsid w:val="00B262C0"/>
    <w:rsid w:val="00B27CFC"/>
    <w:rsid w:val="00B301FB"/>
    <w:rsid w:val="00B31D04"/>
    <w:rsid w:val="00B34FDD"/>
    <w:rsid w:val="00B37F99"/>
    <w:rsid w:val="00B4058A"/>
    <w:rsid w:val="00B44102"/>
    <w:rsid w:val="00B44CE7"/>
    <w:rsid w:val="00B44E06"/>
    <w:rsid w:val="00B4642C"/>
    <w:rsid w:val="00B52559"/>
    <w:rsid w:val="00B53321"/>
    <w:rsid w:val="00B54B30"/>
    <w:rsid w:val="00B5740E"/>
    <w:rsid w:val="00B578ED"/>
    <w:rsid w:val="00B57964"/>
    <w:rsid w:val="00B57D24"/>
    <w:rsid w:val="00B603F6"/>
    <w:rsid w:val="00B60E2B"/>
    <w:rsid w:val="00B63B5D"/>
    <w:rsid w:val="00B63D80"/>
    <w:rsid w:val="00B63ED5"/>
    <w:rsid w:val="00B65249"/>
    <w:rsid w:val="00B65BB7"/>
    <w:rsid w:val="00B65BBA"/>
    <w:rsid w:val="00B672EC"/>
    <w:rsid w:val="00B74826"/>
    <w:rsid w:val="00B806A3"/>
    <w:rsid w:val="00B80DA6"/>
    <w:rsid w:val="00B81E2F"/>
    <w:rsid w:val="00B83E08"/>
    <w:rsid w:val="00B84485"/>
    <w:rsid w:val="00B861B4"/>
    <w:rsid w:val="00B87D9F"/>
    <w:rsid w:val="00B87F60"/>
    <w:rsid w:val="00B902AF"/>
    <w:rsid w:val="00B91407"/>
    <w:rsid w:val="00B92132"/>
    <w:rsid w:val="00B9234D"/>
    <w:rsid w:val="00B93C7A"/>
    <w:rsid w:val="00B9700B"/>
    <w:rsid w:val="00B97E61"/>
    <w:rsid w:val="00BA003E"/>
    <w:rsid w:val="00BA0A85"/>
    <w:rsid w:val="00BA0E21"/>
    <w:rsid w:val="00BA114C"/>
    <w:rsid w:val="00BA37AB"/>
    <w:rsid w:val="00BA3CC9"/>
    <w:rsid w:val="00BA49CB"/>
    <w:rsid w:val="00BA5B0F"/>
    <w:rsid w:val="00BA6ADD"/>
    <w:rsid w:val="00BA70FC"/>
    <w:rsid w:val="00BB032D"/>
    <w:rsid w:val="00BB040D"/>
    <w:rsid w:val="00BB2122"/>
    <w:rsid w:val="00BB295E"/>
    <w:rsid w:val="00BB44CB"/>
    <w:rsid w:val="00BB4E52"/>
    <w:rsid w:val="00BB5667"/>
    <w:rsid w:val="00BB6209"/>
    <w:rsid w:val="00BB62FC"/>
    <w:rsid w:val="00BB7AAB"/>
    <w:rsid w:val="00BC0EDB"/>
    <w:rsid w:val="00BC1616"/>
    <w:rsid w:val="00BC174E"/>
    <w:rsid w:val="00BC257E"/>
    <w:rsid w:val="00BC577C"/>
    <w:rsid w:val="00BC6780"/>
    <w:rsid w:val="00BD0600"/>
    <w:rsid w:val="00BD0B2F"/>
    <w:rsid w:val="00BD1D60"/>
    <w:rsid w:val="00BD1DFC"/>
    <w:rsid w:val="00BD2528"/>
    <w:rsid w:val="00BD28DE"/>
    <w:rsid w:val="00BD2ECB"/>
    <w:rsid w:val="00BD30D4"/>
    <w:rsid w:val="00BD36B4"/>
    <w:rsid w:val="00BD3CF9"/>
    <w:rsid w:val="00BD61ED"/>
    <w:rsid w:val="00BD671A"/>
    <w:rsid w:val="00BD6E04"/>
    <w:rsid w:val="00BE02B3"/>
    <w:rsid w:val="00BE292F"/>
    <w:rsid w:val="00BE4A8B"/>
    <w:rsid w:val="00BE53DD"/>
    <w:rsid w:val="00BE561A"/>
    <w:rsid w:val="00BF0428"/>
    <w:rsid w:val="00BF1CA0"/>
    <w:rsid w:val="00BF4D87"/>
    <w:rsid w:val="00BF4E55"/>
    <w:rsid w:val="00BF6B40"/>
    <w:rsid w:val="00C00243"/>
    <w:rsid w:val="00C003C5"/>
    <w:rsid w:val="00C00773"/>
    <w:rsid w:val="00C00D2C"/>
    <w:rsid w:val="00C02519"/>
    <w:rsid w:val="00C02D4D"/>
    <w:rsid w:val="00C031C0"/>
    <w:rsid w:val="00C047D8"/>
    <w:rsid w:val="00C04B9E"/>
    <w:rsid w:val="00C05FB9"/>
    <w:rsid w:val="00C06112"/>
    <w:rsid w:val="00C06EA3"/>
    <w:rsid w:val="00C078F2"/>
    <w:rsid w:val="00C10B18"/>
    <w:rsid w:val="00C123D9"/>
    <w:rsid w:val="00C12ACE"/>
    <w:rsid w:val="00C12D66"/>
    <w:rsid w:val="00C14DEE"/>
    <w:rsid w:val="00C1536C"/>
    <w:rsid w:val="00C15DFC"/>
    <w:rsid w:val="00C16B39"/>
    <w:rsid w:val="00C16B75"/>
    <w:rsid w:val="00C16E60"/>
    <w:rsid w:val="00C20EF9"/>
    <w:rsid w:val="00C22610"/>
    <w:rsid w:val="00C23C7B"/>
    <w:rsid w:val="00C277AE"/>
    <w:rsid w:val="00C277CE"/>
    <w:rsid w:val="00C30C7A"/>
    <w:rsid w:val="00C3109F"/>
    <w:rsid w:val="00C32040"/>
    <w:rsid w:val="00C33358"/>
    <w:rsid w:val="00C35B5B"/>
    <w:rsid w:val="00C37068"/>
    <w:rsid w:val="00C37AC2"/>
    <w:rsid w:val="00C413AD"/>
    <w:rsid w:val="00C416EC"/>
    <w:rsid w:val="00C42046"/>
    <w:rsid w:val="00C445F7"/>
    <w:rsid w:val="00C45884"/>
    <w:rsid w:val="00C51923"/>
    <w:rsid w:val="00C531BA"/>
    <w:rsid w:val="00C53563"/>
    <w:rsid w:val="00C53952"/>
    <w:rsid w:val="00C548D7"/>
    <w:rsid w:val="00C54C29"/>
    <w:rsid w:val="00C55426"/>
    <w:rsid w:val="00C60817"/>
    <w:rsid w:val="00C618E0"/>
    <w:rsid w:val="00C62448"/>
    <w:rsid w:val="00C63E3B"/>
    <w:rsid w:val="00C64680"/>
    <w:rsid w:val="00C646F7"/>
    <w:rsid w:val="00C674B7"/>
    <w:rsid w:val="00C7062F"/>
    <w:rsid w:val="00C7093C"/>
    <w:rsid w:val="00C7397A"/>
    <w:rsid w:val="00C742C1"/>
    <w:rsid w:val="00C76A59"/>
    <w:rsid w:val="00C77FAD"/>
    <w:rsid w:val="00C810BF"/>
    <w:rsid w:val="00C82D32"/>
    <w:rsid w:val="00C84903"/>
    <w:rsid w:val="00C84F44"/>
    <w:rsid w:val="00C85114"/>
    <w:rsid w:val="00C856B8"/>
    <w:rsid w:val="00C859C9"/>
    <w:rsid w:val="00C85C62"/>
    <w:rsid w:val="00C907E2"/>
    <w:rsid w:val="00C90D8F"/>
    <w:rsid w:val="00C91806"/>
    <w:rsid w:val="00C91F07"/>
    <w:rsid w:val="00C91FB4"/>
    <w:rsid w:val="00C951F2"/>
    <w:rsid w:val="00C959C4"/>
    <w:rsid w:val="00CA408B"/>
    <w:rsid w:val="00CA4189"/>
    <w:rsid w:val="00CA5C13"/>
    <w:rsid w:val="00CA6C9D"/>
    <w:rsid w:val="00CB137E"/>
    <w:rsid w:val="00CB22B2"/>
    <w:rsid w:val="00CC0AF9"/>
    <w:rsid w:val="00CC266B"/>
    <w:rsid w:val="00CC4E55"/>
    <w:rsid w:val="00CD3743"/>
    <w:rsid w:val="00CD49C3"/>
    <w:rsid w:val="00CD4F96"/>
    <w:rsid w:val="00CD507C"/>
    <w:rsid w:val="00CD5A5B"/>
    <w:rsid w:val="00CD6120"/>
    <w:rsid w:val="00CD701E"/>
    <w:rsid w:val="00CE015E"/>
    <w:rsid w:val="00CE0686"/>
    <w:rsid w:val="00CE141D"/>
    <w:rsid w:val="00CE3101"/>
    <w:rsid w:val="00CE5218"/>
    <w:rsid w:val="00CE5D96"/>
    <w:rsid w:val="00CE7874"/>
    <w:rsid w:val="00CF03CB"/>
    <w:rsid w:val="00CF1BD1"/>
    <w:rsid w:val="00CF39FC"/>
    <w:rsid w:val="00CF3ECC"/>
    <w:rsid w:val="00CF4520"/>
    <w:rsid w:val="00CF4F5E"/>
    <w:rsid w:val="00CF52C1"/>
    <w:rsid w:val="00D0019A"/>
    <w:rsid w:val="00D01BA5"/>
    <w:rsid w:val="00D01DFC"/>
    <w:rsid w:val="00D01F48"/>
    <w:rsid w:val="00D03DA6"/>
    <w:rsid w:val="00D04C36"/>
    <w:rsid w:val="00D04C5B"/>
    <w:rsid w:val="00D05AEB"/>
    <w:rsid w:val="00D07F7D"/>
    <w:rsid w:val="00D1032B"/>
    <w:rsid w:val="00D13906"/>
    <w:rsid w:val="00D160B7"/>
    <w:rsid w:val="00D16926"/>
    <w:rsid w:val="00D177AC"/>
    <w:rsid w:val="00D20DAF"/>
    <w:rsid w:val="00D21424"/>
    <w:rsid w:val="00D216A6"/>
    <w:rsid w:val="00D226AE"/>
    <w:rsid w:val="00D22E23"/>
    <w:rsid w:val="00D252BE"/>
    <w:rsid w:val="00D26DEB"/>
    <w:rsid w:val="00D2787F"/>
    <w:rsid w:val="00D32286"/>
    <w:rsid w:val="00D324B9"/>
    <w:rsid w:val="00D3256E"/>
    <w:rsid w:val="00D33FF7"/>
    <w:rsid w:val="00D35CE1"/>
    <w:rsid w:val="00D365A9"/>
    <w:rsid w:val="00D404F9"/>
    <w:rsid w:val="00D40B71"/>
    <w:rsid w:val="00D41432"/>
    <w:rsid w:val="00D4152B"/>
    <w:rsid w:val="00D41EF7"/>
    <w:rsid w:val="00D425D4"/>
    <w:rsid w:val="00D43316"/>
    <w:rsid w:val="00D4456E"/>
    <w:rsid w:val="00D4550F"/>
    <w:rsid w:val="00D45A58"/>
    <w:rsid w:val="00D46506"/>
    <w:rsid w:val="00D46CA3"/>
    <w:rsid w:val="00D47121"/>
    <w:rsid w:val="00D47932"/>
    <w:rsid w:val="00D51BE4"/>
    <w:rsid w:val="00D525DE"/>
    <w:rsid w:val="00D55656"/>
    <w:rsid w:val="00D57527"/>
    <w:rsid w:val="00D627CC"/>
    <w:rsid w:val="00D62C8A"/>
    <w:rsid w:val="00D62FA0"/>
    <w:rsid w:val="00D63410"/>
    <w:rsid w:val="00D6561B"/>
    <w:rsid w:val="00D65CD1"/>
    <w:rsid w:val="00D6626A"/>
    <w:rsid w:val="00D707F9"/>
    <w:rsid w:val="00D71345"/>
    <w:rsid w:val="00D726F2"/>
    <w:rsid w:val="00D72F35"/>
    <w:rsid w:val="00D731EC"/>
    <w:rsid w:val="00D7381E"/>
    <w:rsid w:val="00D73F5C"/>
    <w:rsid w:val="00D743A1"/>
    <w:rsid w:val="00D75BE2"/>
    <w:rsid w:val="00D761C9"/>
    <w:rsid w:val="00D76D9F"/>
    <w:rsid w:val="00D77C8A"/>
    <w:rsid w:val="00D807E9"/>
    <w:rsid w:val="00D81B08"/>
    <w:rsid w:val="00D84C0F"/>
    <w:rsid w:val="00D8513A"/>
    <w:rsid w:val="00D854EC"/>
    <w:rsid w:val="00D87B8D"/>
    <w:rsid w:val="00D92E99"/>
    <w:rsid w:val="00D95EF9"/>
    <w:rsid w:val="00D96A23"/>
    <w:rsid w:val="00D96A45"/>
    <w:rsid w:val="00D975B5"/>
    <w:rsid w:val="00D97C23"/>
    <w:rsid w:val="00DA022D"/>
    <w:rsid w:val="00DA0B38"/>
    <w:rsid w:val="00DA14D6"/>
    <w:rsid w:val="00DA1F76"/>
    <w:rsid w:val="00DA1F98"/>
    <w:rsid w:val="00DA24B4"/>
    <w:rsid w:val="00DA4F0B"/>
    <w:rsid w:val="00DA5F2E"/>
    <w:rsid w:val="00DA71B8"/>
    <w:rsid w:val="00DB1009"/>
    <w:rsid w:val="00DB1BA9"/>
    <w:rsid w:val="00DB31EB"/>
    <w:rsid w:val="00DB32D2"/>
    <w:rsid w:val="00DB3E16"/>
    <w:rsid w:val="00DB5AE9"/>
    <w:rsid w:val="00DB71A3"/>
    <w:rsid w:val="00DC1DCD"/>
    <w:rsid w:val="00DC41DE"/>
    <w:rsid w:val="00DC450F"/>
    <w:rsid w:val="00DC53C2"/>
    <w:rsid w:val="00DC55BE"/>
    <w:rsid w:val="00DC5716"/>
    <w:rsid w:val="00DC5AC7"/>
    <w:rsid w:val="00DC6537"/>
    <w:rsid w:val="00DC6963"/>
    <w:rsid w:val="00DC7AA9"/>
    <w:rsid w:val="00DD0CDF"/>
    <w:rsid w:val="00DD3612"/>
    <w:rsid w:val="00DD38D4"/>
    <w:rsid w:val="00DD41FC"/>
    <w:rsid w:val="00DD4CDB"/>
    <w:rsid w:val="00DD6311"/>
    <w:rsid w:val="00DD69A0"/>
    <w:rsid w:val="00DD79B4"/>
    <w:rsid w:val="00DD7AA8"/>
    <w:rsid w:val="00DE0AAE"/>
    <w:rsid w:val="00DE21ED"/>
    <w:rsid w:val="00DE258D"/>
    <w:rsid w:val="00DE2F47"/>
    <w:rsid w:val="00DE386D"/>
    <w:rsid w:val="00DE58F9"/>
    <w:rsid w:val="00DE6E5D"/>
    <w:rsid w:val="00DF2CC7"/>
    <w:rsid w:val="00DF58E0"/>
    <w:rsid w:val="00DF5A66"/>
    <w:rsid w:val="00DF7DE3"/>
    <w:rsid w:val="00E00F93"/>
    <w:rsid w:val="00E029F4"/>
    <w:rsid w:val="00E03801"/>
    <w:rsid w:val="00E0634F"/>
    <w:rsid w:val="00E06BC3"/>
    <w:rsid w:val="00E11A41"/>
    <w:rsid w:val="00E11AC7"/>
    <w:rsid w:val="00E128DB"/>
    <w:rsid w:val="00E14760"/>
    <w:rsid w:val="00E16344"/>
    <w:rsid w:val="00E2038E"/>
    <w:rsid w:val="00E20810"/>
    <w:rsid w:val="00E2091C"/>
    <w:rsid w:val="00E223F4"/>
    <w:rsid w:val="00E252FE"/>
    <w:rsid w:val="00E27A2C"/>
    <w:rsid w:val="00E31D99"/>
    <w:rsid w:val="00E33612"/>
    <w:rsid w:val="00E336D6"/>
    <w:rsid w:val="00E33AE3"/>
    <w:rsid w:val="00E402E3"/>
    <w:rsid w:val="00E40A71"/>
    <w:rsid w:val="00E41913"/>
    <w:rsid w:val="00E422F7"/>
    <w:rsid w:val="00E459E0"/>
    <w:rsid w:val="00E47112"/>
    <w:rsid w:val="00E47514"/>
    <w:rsid w:val="00E477AA"/>
    <w:rsid w:val="00E5196B"/>
    <w:rsid w:val="00E5351A"/>
    <w:rsid w:val="00E54992"/>
    <w:rsid w:val="00E556DA"/>
    <w:rsid w:val="00E5596D"/>
    <w:rsid w:val="00E55BC4"/>
    <w:rsid w:val="00E576FA"/>
    <w:rsid w:val="00E57988"/>
    <w:rsid w:val="00E57E4A"/>
    <w:rsid w:val="00E60C39"/>
    <w:rsid w:val="00E60C52"/>
    <w:rsid w:val="00E61AAD"/>
    <w:rsid w:val="00E61AE9"/>
    <w:rsid w:val="00E63F33"/>
    <w:rsid w:val="00E6418B"/>
    <w:rsid w:val="00E65CC3"/>
    <w:rsid w:val="00E65DFD"/>
    <w:rsid w:val="00E66B2C"/>
    <w:rsid w:val="00E67096"/>
    <w:rsid w:val="00E70494"/>
    <w:rsid w:val="00E70C06"/>
    <w:rsid w:val="00E723CE"/>
    <w:rsid w:val="00E72E63"/>
    <w:rsid w:val="00E73732"/>
    <w:rsid w:val="00E765B8"/>
    <w:rsid w:val="00E80730"/>
    <w:rsid w:val="00E80B01"/>
    <w:rsid w:val="00E8173A"/>
    <w:rsid w:val="00E83BAC"/>
    <w:rsid w:val="00E83CB8"/>
    <w:rsid w:val="00E8435C"/>
    <w:rsid w:val="00E84F8D"/>
    <w:rsid w:val="00E85F56"/>
    <w:rsid w:val="00E87CEC"/>
    <w:rsid w:val="00E9112B"/>
    <w:rsid w:val="00E91D72"/>
    <w:rsid w:val="00E95561"/>
    <w:rsid w:val="00E95785"/>
    <w:rsid w:val="00E95A4F"/>
    <w:rsid w:val="00E96102"/>
    <w:rsid w:val="00E96693"/>
    <w:rsid w:val="00E966A7"/>
    <w:rsid w:val="00E97CE1"/>
    <w:rsid w:val="00E97F13"/>
    <w:rsid w:val="00EA1201"/>
    <w:rsid w:val="00EA3E22"/>
    <w:rsid w:val="00EA5678"/>
    <w:rsid w:val="00EA56AE"/>
    <w:rsid w:val="00EA6830"/>
    <w:rsid w:val="00EA7163"/>
    <w:rsid w:val="00EB1D91"/>
    <w:rsid w:val="00EB30DE"/>
    <w:rsid w:val="00EB4650"/>
    <w:rsid w:val="00EB4AAF"/>
    <w:rsid w:val="00EB4AC0"/>
    <w:rsid w:val="00EB4DA2"/>
    <w:rsid w:val="00EB4DE8"/>
    <w:rsid w:val="00EB4F6E"/>
    <w:rsid w:val="00EB6626"/>
    <w:rsid w:val="00EB744D"/>
    <w:rsid w:val="00EC0E87"/>
    <w:rsid w:val="00EC0F98"/>
    <w:rsid w:val="00EC2327"/>
    <w:rsid w:val="00EC237C"/>
    <w:rsid w:val="00EC40D3"/>
    <w:rsid w:val="00EC4A2A"/>
    <w:rsid w:val="00ED01BB"/>
    <w:rsid w:val="00ED149D"/>
    <w:rsid w:val="00ED5E15"/>
    <w:rsid w:val="00ED64DF"/>
    <w:rsid w:val="00ED75D5"/>
    <w:rsid w:val="00ED78A6"/>
    <w:rsid w:val="00ED79B7"/>
    <w:rsid w:val="00EE06B1"/>
    <w:rsid w:val="00EE1AB1"/>
    <w:rsid w:val="00EE1BEE"/>
    <w:rsid w:val="00EE1CC2"/>
    <w:rsid w:val="00EE2B46"/>
    <w:rsid w:val="00EE2EBF"/>
    <w:rsid w:val="00EE36F3"/>
    <w:rsid w:val="00EE42DC"/>
    <w:rsid w:val="00EE4833"/>
    <w:rsid w:val="00EE77D5"/>
    <w:rsid w:val="00EF029D"/>
    <w:rsid w:val="00EF33ED"/>
    <w:rsid w:val="00EF537A"/>
    <w:rsid w:val="00EF55CC"/>
    <w:rsid w:val="00F00DB0"/>
    <w:rsid w:val="00F01D00"/>
    <w:rsid w:val="00F0237D"/>
    <w:rsid w:val="00F02D17"/>
    <w:rsid w:val="00F02EAA"/>
    <w:rsid w:val="00F033DA"/>
    <w:rsid w:val="00F041D6"/>
    <w:rsid w:val="00F04322"/>
    <w:rsid w:val="00F04729"/>
    <w:rsid w:val="00F04D65"/>
    <w:rsid w:val="00F07B17"/>
    <w:rsid w:val="00F15D6F"/>
    <w:rsid w:val="00F2489D"/>
    <w:rsid w:val="00F25D42"/>
    <w:rsid w:val="00F25E4E"/>
    <w:rsid w:val="00F2666F"/>
    <w:rsid w:val="00F3255C"/>
    <w:rsid w:val="00F32600"/>
    <w:rsid w:val="00F32E02"/>
    <w:rsid w:val="00F333E9"/>
    <w:rsid w:val="00F34776"/>
    <w:rsid w:val="00F347F6"/>
    <w:rsid w:val="00F34B2D"/>
    <w:rsid w:val="00F3684B"/>
    <w:rsid w:val="00F3714D"/>
    <w:rsid w:val="00F37622"/>
    <w:rsid w:val="00F37B54"/>
    <w:rsid w:val="00F41F46"/>
    <w:rsid w:val="00F423BD"/>
    <w:rsid w:val="00F43092"/>
    <w:rsid w:val="00F44199"/>
    <w:rsid w:val="00F453BF"/>
    <w:rsid w:val="00F46684"/>
    <w:rsid w:val="00F51EC6"/>
    <w:rsid w:val="00F5304F"/>
    <w:rsid w:val="00F53598"/>
    <w:rsid w:val="00F53AA1"/>
    <w:rsid w:val="00F5459E"/>
    <w:rsid w:val="00F56984"/>
    <w:rsid w:val="00F62403"/>
    <w:rsid w:val="00F65A7A"/>
    <w:rsid w:val="00F66006"/>
    <w:rsid w:val="00F672D4"/>
    <w:rsid w:val="00F67AFC"/>
    <w:rsid w:val="00F70CBD"/>
    <w:rsid w:val="00F70EFB"/>
    <w:rsid w:val="00F71378"/>
    <w:rsid w:val="00F71579"/>
    <w:rsid w:val="00F71B6F"/>
    <w:rsid w:val="00F72175"/>
    <w:rsid w:val="00F7258B"/>
    <w:rsid w:val="00F72CD8"/>
    <w:rsid w:val="00F75070"/>
    <w:rsid w:val="00F75130"/>
    <w:rsid w:val="00F76C4C"/>
    <w:rsid w:val="00F8075F"/>
    <w:rsid w:val="00F81227"/>
    <w:rsid w:val="00F81297"/>
    <w:rsid w:val="00F82C59"/>
    <w:rsid w:val="00F82F27"/>
    <w:rsid w:val="00F83258"/>
    <w:rsid w:val="00F853D4"/>
    <w:rsid w:val="00F86608"/>
    <w:rsid w:val="00F87FB2"/>
    <w:rsid w:val="00F9088A"/>
    <w:rsid w:val="00F93868"/>
    <w:rsid w:val="00F96194"/>
    <w:rsid w:val="00F974C9"/>
    <w:rsid w:val="00FA0890"/>
    <w:rsid w:val="00FA0B2E"/>
    <w:rsid w:val="00FA2743"/>
    <w:rsid w:val="00FA3D7E"/>
    <w:rsid w:val="00FA52B0"/>
    <w:rsid w:val="00FA52DE"/>
    <w:rsid w:val="00FA63E2"/>
    <w:rsid w:val="00FA6F58"/>
    <w:rsid w:val="00FB0630"/>
    <w:rsid w:val="00FB3B1C"/>
    <w:rsid w:val="00FC04C5"/>
    <w:rsid w:val="00FC1214"/>
    <w:rsid w:val="00FC1759"/>
    <w:rsid w:val="00FC2305"/>
    <w:rsid w:val="00FC3025"/>
    <w:rsid w:val="00FC3978"/>
    <w:rsid w:val="00FC559E"/>
    <w:rsid w:val="00FC577F"/>
    <w:rsid w:val="00FC5A2A"/>
    <w:rsid w:val="00FC608A"/>
    <w:rsid w:val="00FC74A5"/>
    <w:rsid w:val="00FD0AC1"/>
    <w:rsid w:val="00FD1C69"/>
    <w:rsid w:val="00FD3D83"/>
    <w:rsid w:val="00FD5231"/>
    <w:rsid w:val="00FD5A9F"/>
    <w:rsid w:val="00FD6B77"/>
    <w:rsid w:val="00FD7468"/>
    <w:rsid w:val="00FE03BE"/>
    <w:rsid w:val="00FE05A1"/>
    <w:rsid w:val="00FE0DBE"/>
    <w:rsid w:val="00FE0EFC"/>
    <w:rsid w:val="00FE1731"/>
    <w:rsid w:val="00FE274C"/>
    <w:rsid w:val="00FE2B2A"/>
    <w:rsid w:val="00FE3585"/>
    <w:rsid w:val="00FE3F56"/>
    <w:rsid w:val="00FE4203"/>
    <w:rsid w:val="00FE4DDE"/>
    <w:rsid w:val="00FE5B62"/>
    <w:rsid w:val="00FE64BC"/>
    <w:rsid w:val="00FE6D22"/>
    <w:rsid w:val="00FF0CBE"/>
    <w:rsid w:val="00FF1791"/>
    <w:rsid w:val="00FF2F78"/>
    <w:rsid w:val="00FF448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8A1AD"/>
  <w15:docId w15:val="{9C69834B-18F9-4FBD-A895-A1737EAB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6A7"/>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3"/>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3"/>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3"/>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41BFD"/>
    <w:rPr>
      <w:sz w:val="20"/>
      <w:szCs w:val="20"/>
    </w:rPr>
  </w:style>
  <w:style w:type="character" w:customStyle="1" w:styleId="CommentTextChar">
    <w:name w:val="Comment Text Char"/>
    <w:basedOn w:val="DefaultParagraphFont"/>
    <w:link w:val="CommentText"/>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031C0"/>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7"/>
      </w:numPr>
      <w:spacing w:before="120" w:after="120"/>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7"/>
      </w:numPr>
      <w:spacing w:before="120" w:after="120"/>
      <w:ind w:left="908" w:hanging="454"/>
      <w:contextualSpacing/>
    </w:pPr>
  </w:style>
  <w:style w:type="paragraph" w:styleId="ListNumber">
    <w:name w:val="List Number"/>
    <w:basedOn w:val="Normal"/>
    <w:uiPriority w:val="9"/>
    <w:qFormat/>
    <w:rsid w:val="00CA6C9D"/>
    <w:pPr>
      <w:numPr>
        <w:numId w:val="8"/>
      </w:numPr>
      <w:tabs>
        <w:tab w:val="left" w:pos="142"/>
      </w:tabs>
      <w:spacing w:before="120" w:after="120"/>
      <w:ind w:left="454" w:hanging="454"/>
    </w:pPr>
  </w:style>
  <w:style w:type="paragraph" w:styleId="ListNumber2">
    <w:name w:val="List Number 2"/>
    <w:uiPriority w:val="10"/>
    <w:qFormat/>
    <w:rsid w:val="002B382C"/>
    <w:pPr>
      <w:numPr>
        <w:ilvl w:val="1"/>
        <w:numId w:val="8"/>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8"/>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6"/>
      </w:numPr>
      <w:ind w:left="357" w:hanging="357"/>
    </w:pPr>
  </w:style>
  <w:style w:type="paragraph" w:customStyle="1" w:styleId="TableBullet">
    <w:name w:val="Table Bullet"/>
    <w:basedOn w:val="TableText"/>
    <w:uiPriority w:val="15"/>
    <w:qFormat/>
    <w:rsid w:val="00ED01BB"/>
    <w:pPr>
      <w:numPr>
        <w:numId w:val="5"/>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12"/>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0"/>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9"/>
      </w:numPr>
      <w:tabs>
        <w:tab w:val="num" w:pos="361"/>
      </w:tabs>
      <w:ind w:left="568" w:hanging="284"/>
    </w:pPr>
  </w:style>
  <w:style w:type="numbering" w:customStyle="1" w:styleId="TableBulletlist">
    <w:name w:val="Table Bullet list"/>
    <w:uiPriority w:val="99"/>
    <w:rsid w:val="00441BFD"/>
    <w:pPr>
      <w:numPr>
        <w:numId w:val="4"/>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0"/>
      </w:numPr>
    </w:pPr>
  </w:style>
  <w:style w:type="paragraph" w:customStyle="1" w:styleId="TableListNumber3">
    <w:name w:val="Table List Number 3"/>
    <w:basedOn w:val="TableText"/>
    <w:qFormat/>
    <w:rsid w:val="0071381A"/>
    <w:pPr>
      <w:numPr>
        <w:ilvl w:val="2"/>
        <w:numId w:val="10"/>
      </w:numPr>
    </w:pPr>
  </w:style>
  <w:style w:type="numbering" w:customStyle="1" w:styleId="Tablenumberedlists">
    <w:name w:val="Table numbered lists"/>
    <w:uiPriority w:val="99"/>
    <w:rsid w:val="0071381A"/>
    <w:pPr>
      <w:numPr>
        <w:numId w:val="10"/>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1"/>
      </w:numPr>
    </w:pPr>
  </w:style>
  <w:style w:type="numbering" w:customStyle="1" w:styleId="Headinglist1">
    <w:name w:val="Heading list1"/>
    <w:uiPriority w:val="99"/>
    <w:rsid w:val="003955E1"/>
  </w:style>
  <w:style w:type="numbering" w:customStyle="1" w:styleId="Headinglist2">
    <w:name w:val="Heading list2"/>
    <w:uiPriority w:val="99"/>
    <w:rsid w:val="0053608D"/>
  </w:style>
  <w:style w:type="numbering" w:customStyle="1" w:styleId="Headinglist3">
    <w:name w:val="Heading list3"/>
    <w:uiPriority w:val="99"/>
    <w:rsid w:val="009920DB"/>
  </w:style>
  <w:style w:type="numbering" w:customStyle="1" w:styleId="Headinglist4">
    <w:name w:val="Heading list4"/>
    <w:uiPriority w:val="99"/>
    <w:rsid w:val="008049B0"/>
  </w:style>
  <w:style w:type="numbering" w:customStyle="1" w:styleId="List11">
    <w:name w:val="List11"/>
    <w:basedOn w:val="NoList"/>
    <w:uiPriority w:val="99"/>
    <w:rsid w:val="00C22610"/>
  </w:style>
  <w:style w:type="numbering" w:customStyle="1" w:styleId="Headinglist5">
    <w:name w:val="Heading list5"/>
    <w:uiPriority w:val="99"/>
    <w:rsid w:val="00C22610"/>
  </w:style>
  <w:style w:type="numbering" w:customStyle="1" w:styleId="Headinglist6">
    <w:name w:val="Heading list6"/>
    <w:uiPriority w:val="99"/>
    <w:rsid w:val="004C292B"/>
  </w:style>
  <w:style w:type="numbering" w:customStyle="1" w:styleId="Headinglist7">
    <w:name w:val="Heading list7"/>
    <w:uiPriority w:val="99"/>
    <w:rsid w:val="00DF7DE3"/>
  </w:style>
  <w:style w:type="numbering" w:customStyle="1" w:styleId="Headinglist8">
    <w:name w:val="Heading list8"/>
    <w:uiPriority w:val="99"/>
    <w:rsid w:val="00B20F1E"/>
  </w:style>
  <w:style w:type="numbering" w:customStyle="1" w:styleId="Headinglist9">
    <w:name w:val="Heading list9"/>
    <w:uiPriority w:val="99"/>
    <w:rsid w:val="00F70CBD"/>
  </w:style>
  <w:style w:type="numbering" w:customStyle="1" w:styleId="Headinglist10">
    <w:name w:val="Heading list10"/>
    <w:uiPriority w:val="99"/>
    <w:rsid w:val="007A19C5"/>
  </w:style>
  <w:style w:type="numbering" w:customStyle="1" w:styleId="List12">
    <w:name w:val="List12"/>
    <w:basedOn w:val="NoList"/>
    <w:uiPriority w:val="99"/>
    <w:rsid w:val="00A12B41"/>
  </w:style>
  <w:style w:type="numbering" w:customStyle="1" w:styleId="Headinglist11">
    <w:name w:val="Heading list11"/>
    <w:uiPriority w:val="99"/>
    <w:rsid w:val="00596E5C"/>
  </w:style>
  <w:style w:type="numbering" w:customStyle="1" w:styleId="Headinglist12">
    <w:name w:val="Heading list12"/>
    <w:uiPriority w:val="99"/>
    <w:rsid w:val="00405861"/>
  </w:style>
  <w:style w:type="numbering" w:customStyle="1" w:styleId="Headinglist13">
    <w:name w:val="Heading list13"/>
    <w:uiPriority w:val="99"/>
    <w:rsid w:val="00C04B9E"/>
  </w:style>
  <w:style w:type="numbering" w:customStyle="1" w:styleId="Headinglist14">
    <w:name w:val="Heading list14"/>
    <w:uiPriority w:val="99"/>
    <w:rsid w:val="00A25765"/>
  </w:style>
  <w:style w:type="numbering" w:customStyle="1" w:styleId="Headinglist15">
    <w:name w:val="Heading list15"/>
    <w:uiPriority w:val="99"/>
    <w:rsid w:val="00873528"/>
  </w:style>
  <w:style w:type="paragraph" w:styleId="Revision">
    <w:name w:val="Revision"/>
    <w:hidden/>
    <w:uiPriority w:val="99"/>
    <w:semiHidden/>
    <w:rsid w:val="001C51F2"/>
    <w:rPr>
      <w:rFonts w:asciiTheme="minorHAnsi" w:eastAsiaTheme="minorHAnsi" w:hAnsiTheme="minorHAnsi" w:cstheme="minorBidi"/>
      <w:sz w:val="22"/>
      <w:szCs w:val="22"/>
      <w:lang w:eastAsia="en-US"/>
    </w:rPr>
  </w:style>
  <w:style w:type="numbering" w:customStyle="1" w:styleId="Headinglist16">
    <w:name w:val="Heading list16"/>
    <w:uiPriority w:val="99"/>
    <w:rsid w:val="009C7453"/>
  </w:style>
  <w:style w:type="paragraph" w:styleId="TOC4">
    <w:name w:val="toc 4"/>
    <w:basedOn w:val="Normal"/>
    <w:next w:val="Normal"/>
    <w:autoRedefine/>
    <w:uiPriority w:val="39"/>
    <w:rsid w:val="00B672EC"/>
    <w:pPr>
      <w:spacing w:after="100"/>
      <w:ind w:left="660"/>
    </w:pPr>
  </w:style>
  <w:style w:type="paragraph" w:styleId="TOC5">
    <w:name w:val="toc 5"/>
    <w:basedOn w:val="Normal"/>
    <w:next w:val="Normal"/>
    <w:autoRedefine/>
    <w:uiPriority w:val="39"/>
    <w:rsid w:val="00B672EC"/>
    <w:pPr>
      <w:spacing w:after="100"/>
      <w:ind w:left="880"/>
    </w:pPr>
  </w:style>
  <w:style w:type="character" w:styleId="Mention">
    <w:name w:val="Mention"/>
    <w:basedOn w:val="DefaultParagraphFont"/>
    <w:uiPriority w:val="99"/>
    <w:unhideWhenUsed/>
    <w:rsid w:val="00E55BC4"/>
    <w:rPr>
      <w:color w:val="2B579A"/>
      <w:shd w:val="clear" w:color="auto" w:fill="E1DFDD"/>
    </w:rPr>
  </w:style>
  <w:style w:type="numbering" w:customStyle="1" w:styleId="Headinglist17">
    <w:name w:val="Heading list17"/>
    <w:uiPriority w:val="99"/>
    <w:rsid w:val="00E76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92767086">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02177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2909297">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29525586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about/fees/biosecurity-cris" TargetMode="External"/><Relationship Id="rId18" Type="http://schemas.openxmlformats.org/officeDocument/2006/relationships/hyperlink" Target="https://www.agriculture.gov.au/biosecurity-trade/policy/biosecurity-2030-roadmap" TargetMode="External"/><Relationship Id="rId26" Type="http://schemas.openxmlformats.org/officeDocument/2006/relationships/hyperlink" Target="https://www.legislation.gov.au/Details/C2016C00675" TargetMode="External"/><Relationship Id="rId39" Type="http://schemas.openxmlformats.org/officeDocument/2006/relationships/hyperlink" Target="https://www.finance.gov.au/government/managing-commonwealth-resources/implementing-charging-framework-rmg-302/australian-government-charging-policy" TargetMode="External"/><Relationship Id="rId21" Type="http://schemas.openxmlformats.org/officeDocument/2006/relationships/hyperlink" Target="https://www.legislation.gov.au/C2004A04512/latest/text" TargetMode="External"/><Relationship Id="rId34" Type="http://schemas.openxmlformats.org/officeDocument/2006/relationships/hyperlink" Target="https://www.legislation.gov.au/F2016L00727/latest/text" TargetMode="External"/><Relationship Id="rId42" Type="http://schemas.openxmlformats.org/officeDocument/2006/relationships/footer" Target="footer2.xml"/><Relationship Id="rId47" Type="http://schemas.openxmlformats.org/officeDocument/2006/relationships/hyperlink" Target="https://www.agriculture.gov.au/about/fees/biosecurity-cris" TargetMode="External"/><Relationship Id="rId50" Type="http://schemas.openxmlformats.org/officeDocument/2006/relationships/hyperlink" Target="https://www.agriculture.gov.au/biosecurity/partnerships/consultative-committees" TargetMode="External"/><Relationship Id="rId55" Type="http://schemas.openxmlformats.org/officeDocument/2006/relationships/hyperlink" Target="https://www.agriculture.gov.au/about/reporting/corporate-pla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legislation.gov.au/Details/C2016C00819" TargetMode="External"/><Relationship Id="rId11" Type="http://schemas.openxmlformats.org/officeDocument/2006/relationships/hyperlink" Target="https://creativecommons.org/licenses/by/4.0/legalcode" TargetMode="External"/><Relationship Id="rId24" Type="http://schemas.openxmlformats.org/officeDocument/2006/relationships/hyperlink" Target="https://www.legislation.gov.au/F2016L00756/latest/text" TargetMode="External"/><Relationship Id="rId32" Type="http://schemas.openxmlformats.org/officeDocument/2006/relationships/hyperlink" Target="https://www.legislation.gov.au/C2015A00096/latest/text" TargetMode="External"/><Relationship Id="rId37" Type="http://schemas.openxmlformats.org/officeDocument/2006/relationships/image" Target="media/image3.jpg"/><Relationship Id="rId40" Type="http://schemas.openxmlformats.org/officeDocument/2006/relationships/header" Target="header3.xml"/><Relationship Id="rId45" Type="http://schemas.openxmlformats.org/officeDocument/2006/relationships/footer" Target="footer4.xml"/><Relationship Id="rId53" Type="http://schemas.openxmlformats.org/officeDocument/2006/relationships/hyperlink" Target="https://www.agriculture.gov.au/about/reporting/annual-report" TargetMode="External"/><Relationship Id="rId58" Type="http://schemas.openxmlformats.org/officeDocument/2006/relationships/hyperlink" Target="https://www.abs.gov.au/statistics/economy/national-accounts/australian-national-accounts-national-income-expenditure-and-product/dec-2025" TargetMode="External"/><Relationship Id="rId5" Type="http://schemas.openxmlformats.org/officeDocument/2006/relationships/numbering" Target="numbering.xml"/><Relationship Id="rId19" Type="http://schemas.openxmlformats.org/officeDocument/2006/relationships/hyperlink" Target="https://www.biosecurity.gov.au/about/national-biosecurity-committee/n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legislation.gov.au/C2015A00061/latest/text" TargetMode="External"/><Relationship Id="rId27" Type="http://schemas.openxmlformats.org/officeDocument/2006/relationships/hyperlink" Target="https://www.legislation.gov.au/Details/C2016C00674" TargetMode="External"/><Relationship Id="rId30" Type="http://schemas.openxmlformats.org/officeDocument/2006/relationships/hyperlink" Target="https://www.legislation.gov.au/Details/C2016C00821" TargetMode="External"/><Relationship Id="rId35" Type="http://schemas.openxmlformats.org/officeDocument/2006/relationships/hyperlink" Target="https://www.legislation.gov.au/F2015L01869/latest/text" TargetMode="External"/><Relationship Id="rId43" Type="http://schemas.openxmlformats.org/officeDocument/2006/relationships/footer" Target="footer3.xml"/><Relationship Id="rId48" Type="http://schemas.openxmlformats.org/officeDocument/2006/relationships/hyperlink" Target="https://www.agriculture.gov.au/biosecurity-trade/policy/risk-analysis/animal/importation-of-live-garden-snails" TargetMode="External"/><Relationship Id="rId56" Type="http://schemas.openxmlformats.org/officeDocument/2006/relationships/hyperlink" Target="https://www.abs.gov.au/statistics/economy/price-indexes-and-inflation/consumer-price-index-australia/latest-release" TargetMode="External"/><Relationship Id="rId8" Type="http://schemas.openxmlformats.org/officeDocument/2006/relationships/webSettings" Target="webSettings.xml"/><Relationship Id="rId51" Type="http://schemas.openxmlformats.org/officeDocument/2006/relationships/hyperlink" Target="mailto:BioCRIS@aff.gov.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www.legislation.gov.au/F2019L01006/latest/text" TargetMode="External"/><Relationship Id="rId33" Type="http://schemas.openxmlformats.org/officeDocument/2006/relationships/hyperlink" Target="https://www.legislation.gov.au/F2016L00723/latest/text" TargetMode="External"/><Relationship Id="rId38" Type="http://schemas.openxmlformats.org/officeDocument/2006/relationships/image" Target="media/image4.tmp"/><Relationship Id="rId46" Type="http://schemas.openxmlformats.org/officeDocument/2006/relationships/hyperlink" Target="https://www.abs.gov.au/statistics/economy/price-indexes-and-inflation/consumer-price-index-australia/latest-release" TargetMode="External"/><Relationship Id="rId59" Type="http://schemas.openxmlformats.org/officeDocument/2006/relationships/fontTable" Target="fontTable.xml"/><Relationship Id="rId20" Type="http://schemas.openxmlformats.org/officeDocument/2006/relationships/hyperlink" Target="https://www.legislation.gov.au/C2015A00061/latest/text" TargetMode="External"/><Relationship Id="rId41" Type="http://schemas.openxmlformats.org/officeDocument/2006/relationships/header" Target="header4.xml"/><Relationship Id="rId54" Type="http://schemas.openxmlformats.org/officeDocument/2006/relationships/hyperlink" Target="https://www.agriculture.gov.au/about/reporting/corporate-pla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legislation.gov.au/C2004A04512/latest/text" TargetMode="External"/><Relationship Id="rId28" Type="http://schemas.openxmlformats.org/officeDocument/2006/relationships/hyperlink" Target="https://www.legislation.gov.au/Details/C2016C00676" TargetMode="External"/><Relationship Id="rId36" Type="http://schemas.openxmlformats.org/officeDocument/2006/relationships/hyperlink" Target="https://www.legislation.gov.au/F2015L01866/latest/text" TargetMode="External"/><Relationship Id="rId49" Type="http://schemas.openxmlformats.org/officeDocument/2006/relationships/hyperlink" Target="https://www.agriculture.gov.au/about/fees/biosecurity-cris" TargetMode="External"/><Relationship Id="rId57" Type="http://schemas.openxmlformats.org/officeDocument/2006/relationships/hyperlink" Target="https://www.agriculture.gov.au/about/reporting/budget" TargetMode="External"/><Relationship Id="rId10" Type="http://schemas.openxmlformats.org/officeDocument/2006/relationships/endnotes" Target="endnotes.xml"/><Relationship Id="rId31" Type="http://schemas.openxmlformats.org/officeDocument/2006/relationships/hyperlink" Target="https://www.legislation.gov.au/Details/C2016C00823" TargetMode="External"/><Relationship Id="rId44" Type="http://schemas.openxmlformats.org/officeDocument/2006/relationships/header" Target="header5.xml"/><Relationship Id="rId52" Type="http://schemas.openxmlformats.org/officeDocument/2006/relationships/hyperlink" Target="https://www.finance.gov.au/government/managing-commonwealth-resources/planning-and-reporting/commonwealth-performance-framework" TargetMode="External"/><Relationship Id="rId6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A88CA253-9759-4F51-9651-DE08EDB4E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9</TotalTime>
  <Pages>46</Pages>
  <Words>14251</Words>
  <Characters>81234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Biosecurity cost recovery implementation statement 2026–27</vt:lpstr>
    </vt:vector>
  </TitlesOfParts>
  <Company/>
  <LinksUpToDate>false</LinksUpToDate>
  <CharactersWithSpaces>95295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cost recovery implementation statement 2026–27</dc:title>
  <dc:subject/>
  <dc:creator>Department of Agriculture, Fisheries and Forestry</dc:creator>
  <cp:keywords/>
  <dc:description/>
  <cp:revision>6</cp:revision>
  <cp:lastPrinted>2026-06-26T05:05:00Z</cp:lastPrinted>
  <dcterms:created xsi:type="dcterms:W3CDTF">2026-06-26T03:37:00Z</dcterms:created>
  <dcterms:modified xsi:type="dcterms:W3CDTF">2026-06-29T00:35:00Z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608e1b88,7444fd5b,75fc0370,12adc790,4af551bd</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8d70cd,f055d4a,5a99da05,77ad2429,3cb13c64</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2024-07-12T05:27:22Z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99b1a1e8-51bf-4650-b895-c4c5a219e14e</vt:lpwstr>
  </property>
  <property fmtid="{D5CDD505-2E9C-101B-9397-08002B2CF9AE}" pid="14" name="MSIP_Label_933d8be6-3c40-4052-87a2-9c2adcba8759_ContentBits">
    <vt:lpwstr>3</vt:lpwstr>
  </property>
  <property fmtid="{D5CDD505-2E9C-101B-9397-08002B2CF9AE}" pid="15" name="PM_SecurityClassification">
    <vt:lpwstr>OFFICIAL</vt:lpwstr>
  </property>
  <property fmtid="{D5CDD505-2E9C-101B-9397-08002B2CF9AE}" pid="16" name="PM_Namespace">
    <vt:lpwstr>gov.au</vt:lpwstr>
  </property>
  <property fmtid="{D5CDD505-2E9C-101B-9397-08002B2CF9AE}" pid="17" name="PM_Caveats_Count">
    <vt:lpwstr>0</vt:lpwstr>
  </property>
  <property fmtid="{D5CDD505-2E9C-101B-9397-08002B2CF9AE}" pid="18" name="PM_ProtectiveMarkingImage_Header">
    <vt:lpwstr>C:\Program Files\Common Files\janusNET Shared\janusSEAL\Images\DocumentSlashBlue.png</vt:lpwstr>
  </property>
  <property fmtid="{D5CDD505-2E9C-101B-9397-08002B2CF9AE}" pid="19" name="PM_Version">
    <vt:lpwstr>2018.4</vt:lpwstr>
  </property>
  <property fmtid="{D5CDD505-2E9C-101B-9397-08002B2CF9AE}" pid="20" name="PMHMAC">
    <vt:lpwstr>v=2022.1;a=SHA256;h=7927B6EC8717828DCDC3F9F620CE7A90581D2407FE5060D1D830B7878C4796FC</vt:lpwstr>
  </property>
  <property fmtid="{D5CDD505-2E9C-101B-9397-08002B2CF9AE}" pid="21" name="PM_Qualifier">
    <vt:lpwstr/>
  </property>
  <property fmtid="{D5CDD505-2E9C-101B-9397-08002B2CF9AE}" pid="22" name="PM_ProtectiveMarkingValue_Header">
    <vt:lpwstr>OFFICIAL</vt:lpwstr>
  </property>
  <property fmtid="{D5CDD505-2E9C-101B-9397-08002B2CF9AE}" pid="23" name="PM_OriginationTimeStamp">
    <vt:lpwstr>2025-04-29T03:35:34Z</vt:lpwstr>
  </property>
  <property fmtid="{D5CDD505-2E9C-101B-9397-08002B2CF9AE}" pid="24" name="PM_Note">
    <vt:lpwstr/>
  </property>
  <property fmtid="{D5CDD505-2E9C-101B-9397-08002B2CF9AE}" pid="25" name="PM_Markers">
    <vt:lpwstr/>
  </property>
  <property fmtid="{D5CDD505-2E9C-101B-9397-08002B2CF9AE}" pid="26" name="MSIP_Label_87d6481e-ccdd-4ab6-8b26-05a0df5699e7_Name">
    <vt:lpwstr>OFFICIAL</vt:lpwstr>
  </property>
  <property fmtid="{D5CDD505-2E9C-101B-9397-08002B2CF9AE}" pid="27" name="MSIP_Label_87d6481e-ccdd-4ab6-8b26-05a0df5699e7_SiteId">
    <vt:lpwstr>08954cee-4782-4ff6-9ad5-1997dccef4b0</vt:lpwstr>
  </property>
  <property fmtid="{D5CDD505-2E9C-101B-9397-08002B2CF9AE}" pid="28" name="MSIP_Label_87d6481e-ccdd-4ab6-8b26-05a0df5699e7_Enabled">
    <vt:lpwstr>true</vt:lpwstr>
  </property>
  <property fmtid="{D5CDD505-2E9C-101B-9397-08002B2CF9AE}" pid="29" name="PM_OriginatorUserAccountName_SHA256">
    <vt:lpwstr>9C0D0B09893BE2EAB6117FA692AAD5A3EB0EA40417C488F466CB44683ABC8F58</vt:lpwstr>
  </property>
  <property fmtid="{D5CDD505-2E9C-101B-9397-08002B2CF9AE}" pid="30" name="MSIP_Label_87d6481e-ccdd-4ab6-8b26-05a0df5699e7_SetDate">
    <vt:lpwstr>2025-04-29T03:35:34Z</vt:lpwstr>
  </property>
  <property fmtid="{D5CDD505-2E9C-101B-9397-08002B2CF9AE}" pid="31" name="MSIP_Label_87d6481e-ccdd-4ab6-8b26-05a0df5699e7_Method">
    <vt:lpwstr>Privileged</vt:lpwstr>
  </property>
  <property fmtid="{D5CDD505-2E9C-101B-9397-08002B2CF9AE}" pid="32" name="MSIP_Label_87d6481e-ccdd-4ab6-8b26-05a0df5699e7_ContentBits">
    <vt:lpwstr>0</vt:lpwstr>
  </property>
  <property fmtid="{D5CDD505-2E9C-101B-9397-08002B2CF9AE}" pid="33" name="MSIP_Label_87d6481e-ccdd-4ab6-8b26-05a0df5699e7_ActionId">
    <vt:lpwstr>5bc91dff199b4c67863a41f2f2cd0335</vt:lpwstr>
  </property>
  <property fmtid="{D5CDD505-2E9C-101B-9397-08002B2CF9AE}" pid="34" name="PM_InsertionValue">
    <vt:lpwstr>OFFICIAL</vt:lpwstr>
  </property>
  <property fmtid="{D5CDD505-2E9C-101B-9397-08002B2CF9AE}" pid="35" name="PM_Originator_Hash_SHA1">
    <vt:lpwstr>2A0C81B6CA320C7166B4B190F3F85A0BB222FF98</vt:lpwstr>
  </property>
  <property fmtid="{D5CDD505-2E9C-101B-9397-08002B2CF9AE}" pid="36" name="PM_DisplayValueSecClassificationWithQualifier">
    <vt:lpwstr>OFFICIAL</vt:lpwstr>
  </property>
  <property fmtid="{D5CDD505-2E9C-101B-9397-08002B2CF9AE}" pid="37" name="PM_Originating_FileId">
    <vt:lpwstr>5F0D9DE8C20D4F4499161F786A64911B</vt:lpwstr>
  </property>
  <property fmtid="{D5CDD505-2E9C-101B-9397-08002B2CF9AE}" pid="38" name="PM_ProtectiveMarkingValue_Footer">
    <vt:lpwstr>OFFICIAL</vt:lpwstr>
  </property>
  <property fmtid="{D5CDD505-2E9C-101B-9397-08002B2CF9AE}" pid="39" name="PM_ProtectiveMarkingImage_Footer">
    <vt:lpwstr>C:\Program Files\Common Files\janusNET Shared\janusSEAL\Images\DocumentSlashBlue.png</vt:lpwstr>
  </property>
  <property fmtid="{D5CDD505-2E9C-101B-9397-08002B2CF9AE}" pid="40" name="PM_Display">
    <vt:lpwstr>OFFICIAL</vt:lpwstr>
  </property>
  <property fmtid="{D5CDD505-2E9C-101B-9397-08002B2CF9AE}" pid="41" name="PM_OriginatorDomainName_SHA256">
    <vt:lpwstr>325440F6CA31C4C3BCE4433552DC42928CAAD3E2731ABE35FDE729ECEB763AF0</vt:lpwstr>
  </property>
  <property fmtid="{D5CDD505-2E9C-101B-9397-08002B2CF9AE}" pid="42" name="PMUuid">
    <vt:lpwstr>v=2022.2;d=gov.au;g=46DD6D7C-8107-577B-BC6E-F348953B2E44</vt:lpwstr>
  </property>
  <property fmtid="{D5CDD505-2E9C-101B-9397-08002B2CF9AE}" pid="43" name="PM_Hash_Version">
    <vt:lpwstr>2022.1</vt:lpwstr>
  </property>
  <property fmtid="{D5CDD505-2E9C-101B-9397-08002B2CF9AE}" pid="44" name="PM_Hash_Salt_Prev">
    <vt:lpwstr>C2279EDC6A0C94449791D2DA7DC79AAD</vt:lpwstr>
  </property>
  <property fmtid="{D5CDD505-2E9C-101B-9397-08002B2CF9AE}" pid="45" name="PM_Hash_Salt">
    <vt:lpwstr>31960859B35A673E47227239B764F85A</vt:lpwstr>
  </property>
  <property fmtid="{D5CDD505-2E9C-101B-9397-08002B2CF9AE}" pid="46" name="PM_Hash_SHA1">
    <vt:lpwstr>70C3CA407AF81CCBCDA0D8088276EBB79C19EF7F</vt:lpwstr>
  </property>
  <property fmtid="{D5CDD505-2E9C-101B-9397-08002B2CF9AE}" pid="47" name="ContentTypeId">
    <vt:lpwstr>0x0101008991DB94C8E2E14F9D69CDF9B52A3286</vt:lpwstr>
  </property>
  <property fmtid="{D5CDD505-2E9C-101B-9397-08002B2CF9AE}" pid="48" name="TaxKeyword">
    <vt:lpwstr>25;#[SEC=OFFICIAL]|07351cc0-de73-4913-be2f-56f124cbf8bb</vt:lpwstr>
  </property>
  <property fmtid="{D5CDD505-2E9C-101B-9397-08002B2CF9AE}" pid="49" name="MediaServiceImageTags">
    <vt:lpwstr/>
  </property>
  <property fmtid="{D5CDD505-2E9C-101B-9397-08002B2CF9AE}" pid="50" name="About_x0020_Entity">
    <vt:lpwstr>1;#Department of Finance|fd660e8f-8f31-49bd-92a3-d31d4da31afe</vt:lpwstr>
  </property>
  <property fmtid="{D5CDD505-2E9C-101B-9397-08002B2CF9AE}" pid="51" name="Organisation Unit">
    <vt:lpwstr>2;#Charging Policy|cbcf5b89-4aab-4c5d-ba02-041c19cdb5b1</vt:lpwstr>
  </property>
  <property fmtid="{D5CDD505-2E9C-101B-9397-08002B2CF9AE}" pid="52" name="Function_x0020_and_x0020_Activity">
    <vt:lpwstr/>
  </property>
  <property fmtid="{D5CDD505-2E9C-101B-9397-08002B2CF9AE}" pid="53" name="About Entity">
    <vt:lpwstr>1;#Department of Finance|fd660e8f-8f31-49bd-92a3-d31d4da31afe</vt:lpwstr>
  </property>
  <property fmtid="{D5CDD505-2E9C-101B-9397-08002B2CF9AE}" pid="54" name="Initiating Entity">
    <vt:lpwstr>1;#Department of Finance|fd660e8f-8f31-49bd-92a3-d31d4da31afe</vt:lpwstr>
  </property>
  <property fmtid="{D5CDD505-2E9C-101B-9397-08002B2CF9AE}" pid="55" name="Function and Activity">
    <vt:lpwstr/>
  </property>
  <property fmtid="{D5CDD505-2E9C-101B-9397-08002B2CF9AE}" pid="56" name="Initiating_x0020_Entity">
    <vt:lpwstr>1;#Department of Finance|fd660e8f-8f31-49bd-92a3-d31d4da31afe</vt:lpwstr>
  </property>
  <property fmtid="{D5CDD505-2E9C-101B-9397-08002B2CF9AE}" pid="57" name="Organisation_x0020_Unit">
    <vt:lpwstr>2;#Charging Policy|cbcf5b89-4aab-4c5d-ba02-041c19cdb5b1</vt:lpwstr>
  </property>
  <property fmtid="{D5CDD505-2E9C-101B-9397-08002B2CF9AE}" pid="58" name="_dlc_DocIdItemGuid">
    <vt:lpwstr>d50473bf-62a2-4aea-be04-134d4386585c</vt:lpwstr>
  </property>
</Properties>
</file>