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EBB2" w14:textId="12E6BD66" w:rsidR="00764D6A" w:rsidRPr="006231AF" w:rsidRDefault="001E3F22" w:rsidP="004C320D">
      <w:pPr>
        <w:pStyle w:val="Heading1"/>
      </w:pPr>
      <w:r w:rsidRPr="006231AF">
        <w:t xml:space="preserve">Biosecurity Import Risk Analysis Guidelines </w:t>
      </w:r>
    </w:p>
    <w:p w14:paraId="2ADE5328" w14:textId="2179B62D" w:rsidR="00B6497F" w:rsidRPr="006231AF" w:rsidRDefault="00B6497F" w:rsidP="00B6497F">
      <w:pPr>
        <w:rPr>
          <w:sz w:val="48"/>
          <w:szCs w:val="48"/>
        </w:rPr>
      </w:pPr>
      <w:r w:rsidRPr="006231AF">
        <w:rPr>
          <w:sz w:val="48"/>
          <w:szCs w:val="48"/>
        </w:rPr>
        <w:t>Managing biosecurity risks for imports into Australia</w:t>
      </w:r>
    </w:p>
    <w:p w14:paraId="4F7D748B" w14:textId="1CF9067D" w:rsidR="00816BE5" w:rsidRPr="006231AF" w:rsidRDefault="00816BE5" w:rsidP="00B6497F">
      <w:pPr>
        <w:rPr>
          <w:sz w:val="32"/>
          <w:szCs w:val="32"/>
        </w:rPr>
      </w:pPr>
      <w:r w:rsidRPr="006231AF">
        <w:rPr>
          <w:sz w:val="32"/>
          <w:szCs w:val="32"/>
        </w:rPr>
        <w:t xml:space="preserve">March 2026 </w:t>
      </w:r>
    </w:p>
    <w:p w14:paraId="0BC8BC39" w14:textId="542878D5" w:rsidR="00764D6A" w:rsidRPr="006231AF" w:rsidRDefault="00E91D72">
      <w:pPr>
        <w:pStyle w:val="Normalsmall"/>
      </w:pPr>
      <w:r w:rsidRPr="006231AF">
        <w:br w:type="page"/>
      </w:r>
      <w:r w:rsidRPr="006231AF">
        <w:lastRenderedPageBreak/>
        <w:t xml:space="preserve">© Commonwealth of Australia </w:t>
      </w:r>
      <w:r w:rsidR="00B97E61" w:rsidRPr="006231AF">
        <w:t>202</w:t>
      </w:r>
      <w:r w:rsidR="00900B61" w:rsidRPr="006231AF">
        <w:t>6</w:t>
      </w:r>
    </w:p>
    <w:p w14:paraId="2EE97ECC" w14:textId="77777777" w:rsidR="00764D6A" w:rsidRPr="006231AF" w:rsidRDefault="00E91D72">
      <w:pPr>
        <w:pStyle w:val="Normalsmall"/>
        <w:rPr>
          <w:rStyle w:val="Strong"/>
        </w:rPr>
      </w:pPr>
      <w:r w:rsidRPr="006231AF">
        <w:rPr>
          <w:rStyle w:val="Strong"/>
        </w:rPr>
        <w:t>Ownership of intellectual property rights</w:t>
      </w:r>
    </w:p>
    <w:p w14:paraId="4EB21267" w14:textId="77777777" w:rsidR="00764D6A" w:rsidRPr="006231AF" w:rsidRDefault="00E91D72">
      <w:pPr>
        <w:pStyle w:val="Normalsmall"/>
      </w:pPr>
      <w:r w:rsidRPr="006231AF">
        <w:t>Unless otherwise noted, copyright (and any other intellectual property rights) in this publication is owned by the Commonwealth of Australia (referred to as the Commonwealth).</w:t>
      </w:r>
    </w:p>
    <w:p w14:paraId="2078DF66" w14:textId="77777777" w:rsidR="00764D6A" w:rsidRPr="006231AF" w:rsidRDefault="00E91D72">
      <w:pPr>
        <w:pStyle w:val="Normalsmall"/>
        <w:rPr>
          <w:rStyle w:val="Strong"/>
        </w:rPr>
      </w:pPr>
      <w:r w:rsidRPr="006231AF">
        <w:rPr>
          <w:rStyle w:val="Strong"/>
        </w:rPr>
        <w:t>Creative Commons licence</w:t>
      </w:r>
    </w:p>
    <w:p w14:paraId="581F07B2" w14:textId="77777777" w:rsidR="00764D6A" w:rsidRPr="006231AF" w:rsidRDefault="00E91D72">
      <w:pPr>
        <w:pStyle w:val="Normalsmall"/>
      </w:pPr>
      <w:r w:rsidRPr="006231AF">
        <w:t xml:space="preserve">All material in this publication is licensed under a </w:t>
      </w:r>
      <w:hyperlink r:id="rId11" w:history="1">
        <w:r w:rsidRPr="006231AF">
          <w:rPr>
            <w:rStyle w:val="Hyperlink"/>
          </w:rPr>
          <w:t>Creative Commons Attribution 4.0 International Licence</w:t>
        </w:r>
      </w:hyperlink>
      <w:r w:rsidRPr="006231AF">
        <w:t xml:space="preserve"> except content supplied by third parties, logos and the Commonwealth Coat of Arms.</w:t>
      </w:r>
    </w:p>
    <w:p w14:paraId="397727FB" w14:textId="77777777" w:rsidR="00764D6A" w:rsidRPr="006231AF" w:rsidRDefault="00E91D72">
      <w:pPr>
        <w:pStyle w:val="Normalsmall"/>
      </w:pPr>
      <w:r w:rsidRPr="006231AF">
        <w:rPr>
          <w:noProof/>
          <w:lang w:eastAsia="en-AU"/>
        </w:rPr>
        <w:drawing>
          <wp:inline distT="0" distB="0" distL="0" distR="0" wp14:anchorId="348E219E" wp14:editId="4BAC7507">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2B45ACBD" w14:textId="77777777" w:rsidR="00764D6A" w:rsidRPr="006231AF" w:rsidRDefault="00E91D72">
      <w:pPr>
        <w:pStyle w:val="Normalsmall"/>
        <w:rPr>
          <w:rStyle w:val="Strong"/>
        </w:rPr>
      </w:pPr>
      <w:r w:rsidRPr="006231AF">
        <w:rPr>
          <w:rStyle w:val="Strong"/>
        </w:rPr>
        <w:t>Cataloguing data</w:t>
      </w:r>
    </w:p>
    <w:p w14:paraId="2B009F5C" w14:textId="56764E8B" w:rsidR="00764D6A" w:rsidRPr="006231AF" w:rsidRDefault="00E91D72">
      <w:pPr>
        <w:pStyle w:val="Normalsmall"/>
      </w:pPr>
      <w:r w:rsidRPr="006231AF">
        <w:t xml:space="preserve">This publication (and any material sourced from it) should be attributed as: </w:t>
      </w:r>
      <w:r w:rsidR="009D5007" w:rsidRPr="006231AF">
        <w:t>DA</w:t>
      </w:r>
      <w:r w:rsidR="00DE0AAE" w:rsidRPr="006231AF">
        <w:t>FF</w:t>
      </w:r>
      <w:r w:rsidR="00B97E61" w:rsidRPr="006231AF">
        <w:t xml:space="preserve"> 202</w:t>
      </w:r>
      <w:r w:rsidR="00272D69" w:rsidRPr="006231AF">
        <w:t>6</w:t>
      </w:r>
      <w:r w:rsidRPr="006231AF">
        <w:t xml:space="preserve">, </w:t>
      </w:r>
      <w:r w:rsidR="00A730A5" w:rsidRPr="006231AF">
        <w:rPr>
          <w:i/>
        </w:rPr>
        <w:t>Biosecurity Import Risk Analysis Guidelines</w:t>
      </w:r>
      <w:r w:rsidRPr="006231AF">
        <w:t xml:space="preserve">, </w:t>
      </w:r>
      <w:r w:rsidR="00DE0AAE" w:rsidRPr="006231AF">
        <w:t>Department of Agriculture, Fisheries and Forestry</w:t>
      </w:r>
      <w:r w:rsidRPr="006231AF">
        <w:t xml:space="preserve">, </w:t>
      </w:r>
      <w:r w:rsidR="00881299" w:rsidRPr="006231AF">
        <w:t>Canberra.</w:t>
      </w:r>
      <w:r w:rsidRPr="006231AF">
        <w:t xml:space="preserve"> CC BY 4.0.</w:t>
      </w:r>
    </w:p>
    <w:p w14:paraId="51EE57F3" w14:textId="77777777" w:rsidR="00764D6A" w:rsidRPr="006231AF" w:rsidRDefault="00E91D72">
      <w:pPr>
        <w:pStyle w:val="Normalsmall"/>
      </w:pPr>
      <w:r w:rsidRPr="006231AF">
        <w:t xml:space="preserve">This publication is available at </w:t>
      </w:r>
      <w:hyperlink r:id="rId13" w:history="1">
        <w:r w:rsidR="00DE0AAE" w:rsidRPr="006231AF">
          <w:rPr>
            <w:rStyle w:val="Hyperlink"/>
          </w:rPr>
          <w:t>agriculture.gov.au/publications</w:t>
        </w:r>
      </w:hyperlink>
      <w:r w:rsidRPr="006231AF">
        <w:t>.</w:t>
      </w:r>
    </w:p>
    <w:p w14:paraId="3FB0E2B7" w14:textId="77777777" w:rsidR="00DE0AAE" w:rsidRPr="006231AF" w:rsidRDefault="00DE0AAE">
      <w:pPr>
        <w:pStyle w:val="Normalsmall"/>
        <w:spacing w:after="0"/>
      </w:pPr>
      <w:r w:rsidRPr="006231AF">
        <w:t>Department of Agriculture, Fisheries and Forestry</w:t>
      </w:r>
    </w:p>
    <w:p w14:paraId="7FF64D5C" w14:textId="77777777" w:rsidR="00764D6A" w:rsidRPr="006231AF" w:rsidRDefault="00E91D72">
      <w:pPr>
        <w:pStyle w:val="Normalsmall"/>
        <w:spacing w:after="0"/>
      </w:pPr>
      <w:r w:rsidRPr="006231AF">
        <w:t>GPO Box 858 Canberra ACT 2601</w:t>
      </w:r>
    </w:p>
    <w:p w14:paraId="2702BC2F" w14:textId="77777777" w:rsidR="00764D6A" w:rsidRPr="006231AF" w:rsidRDefault="00E91D72">
      <w:pPr>
        <w:pStyle w:val="Normalsmall"/>
        <w:spacing w:after="0"/>
      </w:pPr>
      <w:r w:rsidRPr="006231AF">
        <w:t>Telephone 1800 900 090</w:t>
      </w:r>
    </w:p>
    <w:p w14:paraId="2EFA10FF" w14:textId="77777777" w:rsidR="00764D6A" w:rsidRPr="006231AF" w:rsidRDefault="00E91D72">
      <w:pPr>
        <w:pStyle w:val="Normalsmall"/>
      </w:pPr>
      <w:r w:rsidRPr="006231AF">
        <w:t xml:space="preserve">Web </w:t>
      </w:r>
      <w:hyperlink r:id="rId14" w:history="1">
        <w:r w:rsidR="00DE0AAE" w:rsidRPr="006231AF">
          <w:rPr>
            <w:rStyle w:val="Hyperlink"/>
          </w:rPr>
          <w:t>agriculture.gov.au</w:t>
        </w:r>
      </w:hyperlink>
    </w:p>
    <w:p w14:paraId="4A6AC9C6" w14:textId="77777777" w:rsidR="007C358A" w:rsidRPr="006231AF" w:rsidRDefault="007C358A">
      <w:pPr>
        <w:pStyle w:val="Normalsmall"/>
      </w:pPr>
      <w:r w:rsidRPr="006231AF">
        <w:rPr>
          <w:rStyle w:val="Strong"/>
        </w:rPr>
        <w:t>Disclaimer</w:t>
      </w:r>
    </w:p>
    <w:p w14:paraId="7DCB812D" w14:textId="77777777" w:rsidR="00764D6A" w:rsidRPr="006231AF" w:rsidRDefault="00E91D72">
      <w:pPr>
        <w:pStyle w:val="Normalsmall"/>
      </w:pPr>
      <w:r w:rsidRPr="006231AF">
        <w:t xml:space="preserve">The Australian Government acting through the </w:t>
      </w:r>
      <w:r w:rsidR="00DE0AAE" w:rsidRPr="006231AF">
        <w:t>Department of Agriculture, Fisheries and Forestry</w:t>
      </w:r>
      <w:r w:rsidRPr="006231AF">
        <w:t xml:space="preserve"> has exercised due care and skill in preparing and compiling the information and data in this publication. Notwithstanding, the </w:t>
      </w:r>
      <w:r w:rsidR="00DE0AAE" w:rsidRPr="006231AF">
        <w:t>Department of Agriculture, Fisheries and Forestry</w:t>
      </w:r>
      <w:r w:rsidRPr="006231AF">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45CD7F3D" w14:textId="77777777" w:rsidR="00B02B9B" w:rsidRPr="006231AF" w:rsidRDefault="00B02B9B" w:rsidP="00B02B9B">
      <w:pPr>
        <w:pStyle w:val="Normalsmall"/>
      </w:pPr>
      <w:r w:rsidRPr="006231AF">
        <w:rPr>
          <w:rStyle w:val="Strong"/>
        </w:rPr>
        <w:t>Acknowledgement of Country</w:t>
      </w:r>
    </w:p>
    <w:p w14:paraId="77971814" w14:textId="3351B495" w:rsidR="00517A68" w:rsidRPr="006231AF" w:rsidRDefault="00DE21ED" w:rsidP="00432172">
      <w:pPr>
        <w:pStyle w:val="Normalsmall"/>
      </w:pPr>
      <w:r w:rsidRPr="006231AF">
        <w:t xml:space="preserve">We acknowledge the continuous connection of First Nations Traditional Owners and Custodians to the lands, </w:t>
      </w:r>
      <w:r w:rsidR="003366DB" w:rsidRPr="006231AF">
        <w:t>seas,</w:t>
      </w:r>
      <w:r w:rsidRPr="006231AF">
        <w:t xml:space="preserve"> and waters of Australia. We recognise their care for and cultivation of Country. We pay respect to Elders past and present, and recognise their knowledge and contribution to the productivity, innovation and sustainability of Australia’s agriculture, </w:t>
      </w:r>
      <w:r w:rsidR="003366DB" w:rsidRPr="006231AF">
        <w:t>fisheries,</w:t>
      </w:r>
      <w:r w:rsidRPr="006231AF">
        <w:t xml:space="preserve"> and forestry industries.</w:t>
      </w:r>
    </w:p>
    <w:p w14:paraId="7A83BE0F" w14:textId="632B454A" w:rsidR="0066394A" w:rsidRPr="006231AF" w:rsidRDefault="00E91D72" w:rsidP="0066394A">
      <w:pPr>
        <w:pStyle w:val="Heading2"/>
        <w:ind w:left="720" w:hanging="720"/>
      </w:pPr>
      <w:bookmarkStart w:id="0" w:name="_Toc224822371"/>
      <w:bookmarkStart w:id="1" w:name="_Toc430782148"/>
      <w:r w:rsidRPr="006231AF">
        <w:lastRenderedPageBreak/>
        <w:t>Foreword</w:t>
      </w:r>
      <w:bookmarkEnd w:id="0"/>
      <w:r w:rsidRPr="006231AF">
        <w:t xml:space="preserve"> </w:t>
      </w:r>
      <w:bookmarkEnd w:id="1"/>
    </w:p>
    <w:p w14:paraId="7E9CCA0A" w14:textId="466D004B" w:rsidR="00AD46F9" w:rsidRPr="006231AF" w:rsidRDefault="00AD46F9" w:rsidP="00FD1F17">
      <w:r w:rsidRPr="006231AF">
        <w:t xml:space="preserve">Australia is </w:t>
      </w:r>
      <w:r w:rsidR="00F20556" w:rsidRPr="006231AF">
        <w:t>committed</w:t>
      </w:r>
      <w:r w:rsidRPr="006231AF">
        <w:t xml:space="preserve"> to maintaining a world-leading biosecurity system which</w:t>
      </w:r>
      <w:r w:rsidR="00DF0692" w:rsidRPr="006231AF">
        <w:t xml:space="preserve"> plays a critical role</w:t>
      </w:r>
      <w:r w:rsidR="00ED3B09" w:rsidRPr="006231AF">
        <w:t xml:space="preserve"> </w:t>
      </w:r>
      <w:r w:rsidRPr="006231AF">
        <w:t xml:space="preserve">in protecting our unique environment, </w:t>
      </w:r>
      <w:r w:rsidR="0003658D" w:rsidRPr="006231AF">
        <w:t>ecosystems,</w:t>
      </w:r>
      <w:r w:rsidRPr="006231AF">
        <w:t xml:space="preserve"> and agriculture. Our robust biosecurity measures not only protect the health of animals, plants and people but also strengthen our position as a global trading partner. Australia’s proactive biosecurity approach reflects our responsibility to uphold international standards while supporting sustainable development and environmental protection.</w:t>
      </w:r>
    </w:p>
    <w:p w14:paraId="444225F1" w14:textId="3EF90C81" w:rsidR="00787B7B" w:rsidRPr="006231AF" w:rsidRDefault="00787B7B" w:rsidP="00FD1F17">
      <w:r w:rsidRPr="006231AF">
        <w:t xml:space="preserve">In an increasingly dynamic and interconnected world, the importance of robust biosecurity measures cannot be overstated. </w:t>
      </w:r>
      <w:r w:rsidR="00654800" w:rsidRPr="006231AF">
        <w:t xml:space="preserve">As </w:t>
      </w:r>
      <w:r w:rsidR="00DF6E84" w:rsidRPr="006231AF">
        <w:t xml:space="preserve">global trade and </w:t>
      </w:r>
      <w:r w:rsidR="00AD46A7" w:rsidRPr="006231AF">
        <w:t xml:space="preserve">travel </w:t>
      </w:r>
      <w:r w:rsidR="0035266C" w:rsidRPr="006231AF">
        <w:t xml:space="preserve">levels </w:t>
      </w:r>
      <w:r w:rsidR="00AD46A7" w:rsidRPr="006231AF">
        <w:t>continue to</w:t>
      </w:r>
      <w:r w:rsidR="00185B80" w:rsidRPr="006231AF">
        <w:t xml:space="preserve"> </w:t>
      </w:r>
      <w:r w:rsidR="0035266C" w:rsidRPr="006231AF">
        <w:t>increase</w:t>
      </w:r>
      <w:r w:rsidR="00EC5CB8" w:rsidRPr="006231AF">
        <w:t xml:space="preserve">, the </w:t>
      </w:r>
      <w:r w:rsidR="005A0381" w:rsidRPr="006231AF">
        <w:t xml:space="preserve">likelihood </w:t>
      </w:r>
      <w:r w:rsidR="00EC5CB8" w:rsidRPr="006231AF">
        <w:t xml:space="preserve">of </w:t>
      </w:r>
      <w:r w:rsidR="0006584E" w:rsidRPr="006231AF">
        <w:t xml:space="preserve">introducing </w:t>
      </w:r>
      <w:r w:rsidR="00DB362D" w:rsidRPr="006231AF">
        <w:t xml:space="preserve">diseases </w:t>
      </w:r>
      <w:r w:rsidR="008E4215" w:rsidRPr="006231AF">
        <w:t xml:space="preserve">and </w:t>
      </w:r>
      <w:r w:rsidR="00CC4928" w:rsidRPr="006231AF">
        <w:t xml:space="preserve">pests </w:t>
      </w:r>
      <w:r w:rsidR="005E38D6" w:rsidRPr="006231AF">
        <w:t xml:space="preserve">to </w:t>
      </w:r>
      <w:r w:rsidR="000C08AB" w:rsidRPr="006231AF">
        <w:t xml:space="preserve">new environments </w:t>
      </w:r>
      <w:r w:rsidR="001C6EF2" w:rsidRPr="006231AF">
        <w:t>rises</w:t>
      </w:r>
      <w:r w:rsidR="000C08AB" w:rsidRPr="006231AF">
        <w:t xml:space="preserve"> si</w:t>
      </w:r>
      <w:r w:rsidR="007C0AB7" w:rsidRPr="006231AF">
        <w:t>gnificantly</w:t>
      </w:r>
      <w:r w:rsidR="00593AAA" w:rsidRPr="006231AF">
        <w:t>.</w:t>
      </w:r>
      <w:r w:rsidRPr="006231AF">
        <w:t xml:space="preserve"> The Biosecurity Import Risk Analysis (BIRA) </w:t>
      </w:r>
      <w:r w:rsidR="003828D4" w:rsidRPr="006231AF">
        <w:t xml:space="preserve">process </w:t>
      </w:r>
      <w:r w:rsidR="00AC46F7" w:rsidRPr="006231AF">
        <w:t>play</w:t>
      </w:r>
      <w:r w:rsidR="001770D7" w:rsidRPr="006231AF">
        <w:t>s</w:t>
      </w:r>
      <w:r w:rsidR="00AC46F7" w:rsidRPr="006231AF">
        <w:t xml:space="preserve"> </w:t>
      </w:r>
      <w:r w:rsidR="00916FB0" w:rsidRPr="006231AF">
        <w:t xml:space="preserve">an important </w:t>
      </w:r>
      <w:r w:rsidR="00AC46F7" w:rsidRPr="006231AF">
        <w:t xml:space="preserve">role in </w:t>
      </w:r>
      <w:r w:rsidR="00603E04" w:rsidRPr="006231AF">
        <w:t>establishing the</w:t>
      </w:r>
      <w:r w:rsidR="0022419B" w:rsidRPr="006231AF">
        <w:t>se</w:t>
      </w:r>
      <w:r w:rsidR="00A5608C" w:rsidRPr="006231AF">
        <w:t xml:space="preserve"> </w:t>
      </w:r>
      <w:r w:rsidR="00E70843" w:rsidRPr="006231AF">
        <w:t>robust biosecurity</w:t>
      </w:r>
      <w:r w:rsidR="003B1C28" w:rsidRPr="006231AF">
        <w:t xml:space="preserve"> measures.</w:t>
      </w:r>
      <w:r w:rsidR="00412F90" w:rsidRPr="006231AF">
        <w:t xml:space="preserve"> </w:t>
      </w:r>
    </w:p>
    <w:p w14:paraId="0E3C50F7" w14:textId="7A9FCCAB" w:rsidR="007C560B" w:rsidRPr="006231AF" w:rsidRDefault="00787B7B" w:rsidP="00FD1F17">
      <w:r w:rsidRPr="006231AF">
        <w:t xml:space="preserve">These guidelines set out matters </w:t>
      </w:r>
      <w:r w:rsidR="00AF162A" w:rsidRPr="006231AF">
        <w:t>to be considered</w:t>
      </w:r>
      <w:r w:rsidR="00F21EA0" w:rsidRPr="006231AF">
        <w:t xml:space="preserve"> </w:t>
      </w:r>
      <w:r w:rsidRPr="006231AF">
        <w:t xml:space="preserve">when conducting a Biosecurity Import Risk Analysis under the </w:t>
      </w:r>
      <w:r w:rsidRPr="006231AF">
        <w:rPr>
          <w:i/>
          <w:iCs/>
        </w:rPr>
        <w:t>Biosecurity Act</w:t>
      </w:r>
      <w:r w:rsidR="00E1052D" w:rsidRPr="006231AF">
        <w:rPr>
          <w:i/>
          <w:iCs/>
        </w:rPr>
        <w:t xml:space="preserve"> </w:t>
      </w:r>
      <w:r w:rsidRPr="006231AF">
        <w:rPr>
          <w:i/>
          <w:iCs/>
        </w:rPr>
        <w:t>2015</w:t>
      </w:r>
      <w:r w:rsidR="004E3CA8" w:rsidRPr="006231AF">
        <w:t xml:space="preserve"> (Biosecurity Act)</w:t>
      </w:r>
      <w:r w:rsidRPr="006231AF">
        <w:t xml:space="preserve"> and the </w:t>
      </w:r>
      <w:r w:rsidRPr="006231AF">
        <w:rPr>
          <w:i/>
          <w:iCs/>
        </w:rPr>
        <w:t>Biosecurity Regulation 2016</w:t>
      </w:r>
      <w:r w:rsidR="004E3CA8" w:rsidRPr="006231AF">
        <w:t xml:space="preserve"> (Biosecurity Regulation)</w:t>
      </w:r>
      <w:r w:rsidRPr="006231AF">
        <w:t>. The</w:t>
      </w:r>
      <w:r w:rsidR="005D71A4" w:rsidRPr="006231AF">
        <w:t xml:space="preserve"> </w:t>
      </w:r>
      <w:r w:rsidR="00E50AB6" w:rsidRPr="006231AF">
        <w:t>g</w:t>
      </w:r>
      <w:r w:rsidR="00946665" w:rsidRPr="006231AF">
        <w:t>uidelines</w:t>
      </w:r>
      <w:r w:rsidRPr="006231AF">
        <w:t xml:space="preserve"> are aligned with international standards and </w:t>
      </w:r>
      <w:r w:rsidR="006C780E" w:rsidRPr="006231AF">
        <w:t>emphasise</w:t>
      </w:r>
      <w:r w:rsidRPr="006231AF">
        <w:t xml:space="preserve"> </w:t>
      </w:r>
      <w:r w:rsidR="006C780E" w:rsidRPr="006231AF">
        <w:t xml:space="preserve">use of </w:t>
      </w:r>
      <w:r w:rsidRPr="006231AF">
        <w:t xml:space="preserve">a science-based methodology to ensure that biosecurity measures are both efficient and effective, balancing the need to facilitate trade and safeguard Australia’s strong plant, </w:t>
      </w:r>
      <w:r w:rsidR="003366DB" w:rsidRPr="006231AF">
        <w:t>animal,</w:t>
      </w:r>
      <w:r w:rsidRPr="006231AF">
        <w:t xml:space="preserve"> and human health status. </w:t>
      </w:r>
    </w:p>
    <w:p w14:paraId="384B6B2D" w14:textId="2239CAE7" w:rsidR="002E312F" w:rsidRPr="006231AF" w:rsidRDefault="00C81CC7" w:rsidP="00FD1F17">
      <w:r w:rsidRPr="006231AF">
        <w:t>The BIRA</w:t>
      </w:r>
      <w:r w:rsidR="00B64E37" w:rsidRPr="006231AF">
        <w:t xml:space="preserve"> </w:t>
      </w:r>
      <w:r w:rsidRPr="006231AF">
        <w:t xml:space="preserve">guidelines </w:t>
      </w:r>
      <w:r w:rsidR="00DC3CBC" w:rsidRPr="006231AF">
        <w:t xml:space="preserve">help ensure </w:t>
      </w:r>
      <w:r w:rsidR="00620FDD" w:rsidRPr="006231AF">
        <w:t>import risk analys</w:t>
      </w:r>
      <w:r w:rsidR="00CA649C" w:rsidRPr="006231AF">
        <w:t>es</w:t>
      </w:r>
      <w:r w:rsidR="00620FDD" w:rsidRPr="006231AF">
        <w:t xml:space="preserve"> are consistent</w:t>
      </w:r>
      <w:r w:rsidR="00F24634" w:rsidRPr="006231AF">
        <w:t xml:space="preserve"> with </w:t>
      </w:r>
      <w:r w:rsidR="00620FDD" w:rsidRPr="006231AF">
        <w:t>international standards</w:t>
      </w:r>
      <w:r w:rsidR="004E7FFD" w:rsidRPr="006231AF">
        <w:t xml:space="preserve"> and </w:t>
      </w:r>
      <w:r w:rsidR="006F4A62" w:rsidRPr="006231AF">
        <w:t>suppor</w:t>
      </w:r>
      <w:r w:rsidR="004E7FFD" w:rsidRPr="006231AF">
        <w:t>t</w:t>
      </w:r>
      <w:r w:rsidR="006F4A62" w:rsidRPr="006231AF">
        <w:t xml:space="preserve"> a robust biosecurity system that protects public health</w:t>
      </w:r>
      <w:r w:rsidR="00416715" w:rsidRPr="006231AF">
        <w:t xml:space="preserve"> and</w:t>
      </w:r>
      <w:r w:rsidR="006F4A62" w:rsidRPr="006231AF">
        <w:t xml:space="preserve"> the environment, and promotes economic growth</w:t>
      </w:r>
      <w:r w:rsidR="000E6018" w:rsidRPr="006231AF">
        <w:t xml:space="preserve"> now and in the future</w:t>
      </w:r>
      <w:r w:rsidR="006F4A62" w:rsidRPr="006231AF">
        <w:t>.</w:t>
      </w:r>
    </w:p>
    <w:p w14:paraId="10EFBDDF" w14:textId="5D5E5098" w:rsidR="00764D6A" w:rsidRPr="006231AF" w:rsidRDefault="00E91D72">
      <w:pPr>
        <w:spacing w:after="0" w:line="240" w:lineRule="auto"/>
      </w:pPr>
      <w:r w:rsidRPr="006231AF">
        <w:br w:type="page"/>
      </w:r>
    </w:p>
    <w:bookmarkStart w:id="2" w:name="_Toc224822372" w:displacedByCustomXml="next"/>
    <w:sdt>
      <w:sdtPr>
        <w:rPr>
          <w:rFonts w:ascii="Cambria" w:eastAsiaTheme="minorEastAsia" w:hAnsi="Cambria" w:cstheme="minorBidi"/>
          <w:b w:val="0"/>
          <w:bCs w:val="0"/>
          <w:noProof/>
          <w:sz w:val="22"/>
          <w:szCs w:val="22"/>
        </w:rPr>
        <w:id w:val="-760297017"/>
        <w:docPartObj>
          <w:docPartGallery w:val="Table of Contents"/>
          <w:docPartUnique/>
        </w:docPartObj>
      </w:sdtPr>
      <w:sdtEndPr>
        <w:rPr>
          <w:rFonts w:asciiTheme="minorHAnsi" w:hAnsiTheme="minorHAnsi"/>
          <w:b/>
          <w:bCs/>
        </w:rPr>
      </w:sdtEndPr>
      <w:sdtContent>
        <w:p w14:paraId="5853D918" w14:textId="17741B84" w:rsidR="00764D6A" w:rsidRPr="006231AF" w:rsidRDefault="00E91D72" w:rsidP="00EC704E">
          <w:pPr>
            <w:pStyle w:val="Heading3"/>
            <w:numPr>
              <w:ilvl w:val="0"/>
              <w:numId w:val="0"/>
            </w:numPr>
            <w:ind w:left="964" w:hanging="964"/>
            <w:rPr>
              <w:rFonts w:eastAsiaTheme="minorEastAsia" w:cstheme="minorBidi"/>
              <w:b w:val="0"/>
              <w:sz w:val="56"/>
              <w:szCs w:val="28"/>
              <w:lang w:eastAsia="ja-JP"/>
            </w:rPr>
          </w:pPr>
          <w:r w:rsidRPr="006231AF">
            <w:rPr>
              <w:rFonts w:eastAsiaTheme="minorEastAsia" w:cstheme="minorBidi"/>
              <w:b w:val="0"/>
              <w:sz w:val="56"/>
              <w:szCs w:val="28"/>
              <w:lang w:eastAsia="ja-JP"/>
            </w:rPr>
            <w:t>Contents</w:t>
          </w:r>
          <w:bookmarkEnd w:id="2"/>
          <w:r w:rsidRPr="006231AF">
            <w:rPr>
              <w:rFonts w:eastAsiaTheme="minorEastAsia" w:cstheme="minorBidi"/>
              <w:b w:val="0"/>
              <w:sz w:val="56"/>
              <w:szCs w:val="28"/>
              <w:lang w:eastAsia="ja-JP"/>
            </w:rPr>
            <w:t xml:space="preserve"> </w:t>
          </w:r>
        </w:p>
        <w:p w14:paraId="4B04CD41" w14:textId="11618F47" w:rsidR="00ED1A30" w:rsidRPr="006231AF" w:rsidRDefault="00E91D72">
          <w:pPr>
            <w:pStyle w:val="TOC1"/>
            <w:rPr>
              <w:rFonts w:eastAsiaTheme="minorEastAsia"/>
              <w:b w:val="0"/>
              <w:kern w:val="2"/>
              <w:sz w:val="24"/>
              <w:szCs w:val="24"/>
              <w:lang w:eastAsia="en-AU"/>
              <w14:ligatures w14:val="standardContextual"/>
            </w:rPr>
          </w:pPr>
          <w:r w:rsidRPr="006231AF">
            <w:rPr>
              <w:b w:val="0"/>
              <w:noProof w:val="0"/>
            </w:rPr>
            <w:fldChar w:fldCharType="begin"/>
          </w:r>
          <w:r w:rsidRPr="006231AF">
            <w:rPr>
              <w:b w:val="0"/>
              <w:noProof w:val="0"/>
            </w:rPr>
            <w:instrText xml:space="preserve"> TOC \h \z \u \t "Heading 2,1,Heading 3,2,Style1,2,TOA Heading,1" </w:instrText>
          </w:r>
          <w:r w:rsidRPr="006231AF">
            <w:rPr>
              <w:b w:val="0"/>
              <w:noProof w:val="0"/>
            </w:rPr>
            <w:fldChar w:fldCharType="separate"/>
          </w:r>
          <w:hyperlink w:anchor="_Toc224822371" w:history="1">
            <w:r w:rsidR="00ED1A30" w:rsidRPr="006231AF">
              <w:rPr>
                <w:rStyle w:val="Hyperlink"/>
              </w:rPr>
              <w:t>Foreword</w:t>
            </w:r>
            <w:r w:rsidR="00ED1A30" w:rsidRPr="006231AF">
              <w:rPr>
                <w:webHidden/>
              </w:rPr>
              <w:tab/>
            </w:r>
            <w:r w:rsidR="00ED1A30" w:rsidRPr="006231AF">
              <w:rPr>
                <w:webHidden/>
              </w:rPr>
              <w:fldChar w:fldCharType="begin"/>
            </w:r>
            <w:r w:rsidR="00ED1A30" w:rsidRPr="006231AF">
              <w:rPr>
                <w:webHidden/>
              </w:rPr>
              <w:instrText xml:space="preserve"> PAGEREF _Toc224822371 \h </w:instrText>
            </w:r>
            <w:r w:rsidR="00ED1A30" w:rsidRPr="006231AF">
              <w:rPr>
                <w:webHidden/>
              </w:rPr>
            </w:r>
            <w:r w:rsidR="00ED1A30" w:rsidRPr="006231AF">
              <w:rPr>
                <w:webHidden/>
              </w:rPr>
              <w:fldChar w:fldCharType="separate"/>
            </w:r>
            <w:r w:rsidR="00E34E7D">
              <w:rPr>
                <w:webHidden/>
              </w:rPr>
              <w:t>3</w:t>
            </w:r>
            <w:r w:rsidR="00ED1A30" w:rsidRPr="006231AF">
              <w:rPr>
                <w:webHidden/>
              </w:rPr>
              <w:fldChar w:fldCharType="end"/>
            </w:r>
          </w:hyperlink>
        </w:p>
        <w:p w14:paraId="124300F2" w14:textId="6C282AE4" w:rsidR="00ED1A30" w:rsidRPr="006231AF" w:rsidRDefault="00ED1A30">
          <w:pPr>
            <w:pStyle w:val="TOC2"/>
            <w:rPr>
              <w:rFonts w:eastAsiaTheme="minorEastAsia"/>
              <w:kern w:val="2"/>
              <w:sz w:val="24"/>
              <w:szCs w:val="24"/>
              <w:lang w:eastAsia="en-AU"/>
              <w14:ligatures w14:val="standardContextual"/>
            </w:rPr>
          </w:pPr>
          <w:hyperlink w:anchor="_Toc224822372" w:history="1">
            <w:r w:rsidRPr="006231AF">
              <w:rPr>
                <w:rStyle w:val="Hyperlink"/>
                <w:lang w:eastAsia="ja-JP"/>
              </w:rPr>
              <w:t>Contents</w:t>
            </w:r>
            <w:r w:rsidRPr="006231AF">
              <w:rPr>
                <w:webHidden/>
              </w:rPr>
              <w:tab/>
            </w:r>
            <w:r w:rsidRPr="006231AF">
              <w:rPr>
                <w:webHidden/>
              </w:rPr>
              <w:fldChar w:fldCharType="begin"/>
            </w:r>
            <w:r w:rsidRPr="006231AF">
              <w:rPr>
                <w:webHidden/>
              </w:rPr>
              <w:instrText xml:space="preserve"> PAGEREF _Toc224822372 \h </w:instrText>
            </w:r>
            <w:r w:rsidRPr="006231AF">
              <w:rPr>
                <w:webHidden/>
              </w:rPr>
            </w:r>
            <w:r w:rsidRPr="006231AF">
              <w:rPr>
                <w:webHidden/>
              </w:rPr>
              <w:fldChar w:fldCharType="separate"/>
            </w:r>
            <w:r w:rsidR="00E34E7D">
              <w:rPr>
                <w:webHidden/>
              </w:rPr>
              <w:t>4</w:t>
            </w:r>
            <w:r w:rsidRPr="006231AF">
              <w:rPr>
                <w:webHidden/>
              </w:rPr>
              <w:fldChar w:fldCharType="end"/>
            </w:r>
          </w:hyperlink>
        </w:p>
        <w:p w14:paraId="2F87FE96" w14:textId="6193FAE1" w:rsidR="00ED1A30" w:rsidRPr="006231AF" w:rsidRDefault="00ED1A30">
          <w:pPr>
            <w:pStyle w:val="TOC1"/>
            <w:rPr>
              <w:rFonts w:eastAsiaTheme="minorEastAsia"/>
              <w:b w:val="0"/>
              <w:kern w:val="2"/>
              <w:sz w:val="24"/>
              <w:szCs w:val="24"/>
              <w:lang w:eastAsia="en-AU"/>
              <w14:ligatures w14:val="standardContextual"/>
            </w:rPr>
          </w:pPr>
          <w:hyperlink w:anchor="_Toc224822373" w:history="1">
            <w:r w:rsidRPr="006231AF">
              <w:rPr>
                <w:rStyle w:val="Hyperlink"/>
              </w:rPr>
              <w:t>Introduction</w:t>
            </w:r>
            <w:r w:rsidRPr="006231AF">
              <w:rPr>
                <w:webHidden/>
              </w:rPr>
              <w:tab/>
            </w:r>
            <w:r w:rsidRPr="006231AF">
              <w:rPr>
                <w:webHidden/>
              </w:rPr>
              <w:fldChar w:fldCharType="begin"/>
            </w:r>
            <w:r w:rsidRPr="006231AF">
              <w:rPr>
                <w:webHidden/>
              </w:rPr>
              <w:instrText xml:space="preserve"> PAGEREF _Toc224822373 \h </w:instrText>
            </w:r>
            <w:r w:rsidRPr="006231AF">
              <w:rPr>
                <w:webHidden/>
              </w:rPr>
            </w:r>
            <w:r w:rsidRPr="006231AF">
              <w:rPr>
                <w:webHidden/>
              </w:rPr>
              <w:fldChar w:fldCharType="separate"/>
            </w:r>
            <w:r w:rsidR="00E34E7D">
              <w:rPr>
                <w:webHidden/>
              </w:rPr>
              <w:t>5</w:t>
            </w:r>
            <w:r w:rsidRPr="006231AF">
              <w:rPr>
                <w:webHidden/>
              </w:rPr>
              <w:fldChar w:fldCharType="end"/>
            </w:r>
          </w:hyperlink>
        </w:p>
        <w:p w14:paraId="0F3E7C97" w14:textId="49E738D2" w:rsidR="00ED1A30" w:rsidRPr="006231AF" w:rsidRDefault="00ED1A30">
          <w:pPr>
            <w:pStyle w:val="TOC1"/>
            <w:rPr>
              <w:rFonts w:eastAsiaTheme="minorEastAsia"/>
              <w:b w:val="0"/>
              <w:kern w:val="2"/>
              <w:sz w:val="24"/>
              <w:szCs w:val="24"/>
              <w:lang w:eastAsia="en-AU"/>
              <w14:ligatures w14:val="standardContextual"/>
            </w:rPr>
          </w:pPr>
          <w:hyperlink w:anchor="_Toc224822374" w:history="1">
            <w:r w:rsidRPr="006231AF">
              <w:rPr>
                <w:rStyle w:val="Hyperlink"/>
              </w:rPr>
              <w:t>1 Biosecurity risks and Australia’s biosecurity framework</w:t>
            </w:r>
            <w:r w:rsidRPr="006231AF">
              <w:rPr>
                <w:webHidden/>
              </w:rPr>
              <w:tab/>
            </w:r>
            <w:r w:rsidRPr="006231AF">
              <w:rPr>
                <w:webHidden/>
              </w:rPr>
              <w:fldChar w:fldCharType="begin"/>
            </w:r>
            <w:r w:rsidRPr="006231AF">
              <w:rPr>
                <w:webHidden/>
              </w:rPr>
              <w:instrText xml:space="preserve"> PAGEREF _Toc224822374 \h </w:instrText>
            </w:r>
            <w:r w:rsidRPr="006231AF">
              <w:rPr>
                <w:webHidden/>
              </w:rPr>
            </w:r>
            <w:r w:rsidRPr="006231AF">
              <w:rPr>
                <w:webHidden/>
              </w:rPr>
              <w:fldChar w:fldCharType="separate"/>
            </w:r>
            <w:r w:rsidR="00E34E7D">
              <w:rPr>
                <w:webHidden/>
              </w:rPr>
              <w:t>6</w:t>
            </w:r>
            <w:r w:rsidRPr="006231AF">
              <w:rPr>
                <w:webHidden/>
              </w:rPr>
              <w:fldChar w:fldCharType="end"/>
            </w:r>
          </w:hyperlink>
        </w:p>
        <w:p w14:paraId="6B3E53E4" w14:textId="13768BED" w:rsidR="00ED1A30" w:rsidRPr="006231AF" w:rsidRDefault="00ED1A30">
          <w:pPr>
            <w:pStyle w:val="TOC2"/>
            <w:tabs>
              <w:tab w:val="left" w:pos="1200"/>
            </w:tabs>
            <w:rPr>
              <w:rFonts w:eastAsiaTheme="minorEastAsia"/>
              <w:kern w:val="2"/>
              <w:sz w:val="24"/>
              <w:szCs w:val="24"/>
              <w:lang w:eastAsia="en-AU"/>
              <w14:ligatures w14:val="standardContextual"/>
            </w:rPr>
          </w:pPr>
          <w:hyperlink w:anchor="_Toc224822375" w:history="1">
            <w:r w:rsidRPr="006231AF">
              <w:rPr>
                <w:rStyle w:val="Hyperlink"/>
              </w:rPr>
              <w:t>1.1</w:t>
            </w:r>
            <w:r w:rsidRPr="006231AF">
              <w:rPr>
                <w:rFonts w:eastAsiaTheme="minorEastAsia"/>
                <w:kern w:val="2"/>
                <w:sz w:val="24"/>
                <w:szCs w:val="24"/>
                <w:lang w:eastAsia="en-AU"/>
                <w14:ligatures w14:val="standardContextual"/>
              </w:rPr>
              <w:tab/>
            </w:r>
            <w:r w:rsidRPr="006231AF">
              <w:rPr>
                <w:rStyle w:val="Hyperlink"/>
              </w:rPr>
              <w:t>Biosecurity risks</w:t>
            </w:r>
            <w:r w:rsidRPr="006231AF">
              <w:rPr>
                <w:webHidden/>
              </w:rPr>
              <w:tab/>
            </w:r>
            <w:r w:rsidRPr="006231AF">
              <w:rPr>
                <w:webHidden/>
              </w:rPr>
              <w:fldChar w:fldCharType="begin"/>
            </w:r>
            <w:r w:rsidRPr="006231AF">
              <w:rPr>
                <w:webHidden/>
              </w:rPr>
              <w:instrText xml:space="preserve"> PAGEREF _Toc224822375 \h </w:instrText>
            </w:r>
            <w:r w:rsidRPr="006231AF">
              <w:rPr>
                <w:webHidden/>
              </w:rPr>
            </w:r>
            <w:r w:rsidRPr="006231AF">
              <w:rPr>
                <w:webHidden/>
              </w:rPr>
              <w:fldChar w:fldCharType="separate"/>
            </w:r>
            <w:r w:rsidR="00E34E7D">
              <w:rPr>
                <w:webHidden/>
              </w:rPr>
              <w:t>6</w:t>
            </w:r>
            <w:r w:rsidRPr="006231AF">
              <w:rPr>
                <w:webHidden/>
              </w:rPr>
              <w:fldChar w:fldCharType="end"/>
            </w:r>
          </w:hyperlink>
        </w:p>
        <w:p w14:paraId="51254405" w14:textId="2906AE99" w:rsidR="00ED1A30" w:rsidRPr="006231AF" w:rsidRDefault="00ED1A30">
          <w:pPr>
            <w:pStyle w:val="TOC2"/>
            <w:tabs>
              <w:tab w:val="left" w:pos="1200"/>
            </w:tabs>
            <w:rPr>
              <w:rFonts w:eastAsiaTheme="minorEastAsia"/>
              <w:kern w:val="2"/>
              <w:sz w:val="24"/>
              <w:szCs w:val="24"/>
              <w:lang w:eastAsia="en-AU"/>
              <w14:ligatures w14:val="standardContextual"/>
            </w:rPr>
          </w:pPr>
          <w:hyperlink w:anchor="_Toc224822376" w:history="1">
            <w:r w:rsidRPr="006231AF">
              <w:rPr>
                <w:rStyle w:val="Hyperlink"/>
              </w:rPr>
              <w:t>1.2</w:t>
            </w:r>
            <w:r w:rsidRPr="006231AF">
              <w:rPr>
                <w:rFonts w:eastAsiaTheme="minorEastAsia"/>
                <w:kern w:val="2"/>
                <w:sz w:val="24"/>
                <w:szCs w:val="24"/>
                <w:lang w:eastAsia="en-AU"/>
                <w14:ligatures w14:val="standardContextual"/>
              </w:rPr>
              <w:tab/>
            </w:r>
            <w:r w:rsidRPr="006231AF">
              <w:rPr>
                <w:rStyle w:val="Hyperlink"/>
              </w:rPr>
              <w:t>Biosecurity framework</w:t>
            </w:r>
            <w:r w:rsidRPr="006231AF">
              <w:rPr>
                <w:webHidden/>
              </w:rPr>
              <w:tab/>
            </w:r>
            <w:r w:rsidRPr="006231AF">
              <w:rPr>
                <w:webHidden/>
              </w:rPr>
              <w:fldChar w:fldCharType="begin"/>
            </w:r>
            <w:r w:rsidRPr="006231AF">
              <w:rPr>
                <w:webHidden/>
              </w:rPr>
              <w:instrText xml:space="preserve"> PAGEREF _Toc224822376 \h </w:instrText>
            </w:r>
            <w:r w:rsidRPr="006231AF">
              <w:rPr>
                <w:webHidden/>
              </w:rPr>
            </w:r>
            <w:r w:rsidRPr="006231AF">
              <w:rPr>
                <w:webHidden/>
              </w:rPr>
              <w:fldChar w:fldCharType="separate"/>
            </w:r>
            <w:r w:rsidR="00E34E7D">
              <w:rPr>
                <w:webHidden/>
              </w:rPr>
              <w:t>6</w:t>
            </w:r>
            <w:r w:rsidRPr="006231AF">
              <w:rPr>
                <w:webHidden/>
              </w:rPr>
              <w:fldChar w:fldCharType="end"/>
            </w:r>
          </w:hyperlink>
        </w:p>
        <w:p w14:paraId="1DAF46C4" w14:textId="39B4B3F0" w:rsidR="00ED1A30" w:rsidRPr="006231AF" w:rsidRDefault="00ED1A30">
          <w:pPr>
            <w:pStyle w:val="TOC1"/>
            <w:rPr>
              <w:rFonts w:eastAsiaTheme="minorEastAsia"/>
              <w:b w:val="0"/>
              <w:kern w:val="2"/>
              <w:sz w:val="24"/>
              <w:szCs w:val="24"/>
              <w:lang w:eastAsia="en-AU"/>
              <w14:ligatures w14:val="standardContextual"/>
            </w:rPr>
          </w:pPr>
          <w:hyperlink w:anchor="_Toc224822377" w:history="1">
            <w:r w:rsidRPr="006231AF">
              <w:rPr>
                <w:rStyle w:val="Hyperlink"/>
              </w:rPr>
              <w:t>2 Australia’s biosecurity import risk analysis process</w:t>
            </w:r>
            <w:r w:rsidRPr="006231AF">
              <w:rPr>
                <w:webHidden/>
              </w:rPr>
              <w:tab/>
            </w:r>
            <w:r w:rsidRPr="006231AF">
              <w:rPr>
                <w:webHidden/>
              </w:rPr>
              <w:fldChar w:fldCharType="begin"/>
            </w:r>
            <w:r w:rsidRPr="006231AF">
              <w:rPr>
                <w:webHidden/>
              </w:rPr>
              <w:instrText xml:space="preserve"> PAGEREF _Toc224822377 \h </w:instrText>
            </w:r>
            <w:r w:rsidRPr="006231AF">
              <w:rPr>
                <w:webHidden/>
              </w:rPr>
            </w:r>
            <w:r w:rsidRPr="006231AF">
              <w:rPr>
                <w:webHidden/>
              </w:rPr>
              <w:fldChar w:fldCharType="separate"/>
            </w:r>
            <w:r w:rsidR="00E34E7D">
              <w:rPr>
                <w:webHidden/>
              </w:rPr>
              <w:t>8</w:t>
            </w:r>
            <w:r w:rsidRPr="006231AF">
              <w:rPr>
                <w:webHidden/>
              </w:rPr>
              <w:fldChar w:fldCharType="end"/>
            </w:r>
          </w:hyperlink>
        </w:p>
        <w:p w14:paraId="683A8399" w14:textId="7E44CB31" w:rsidR="00ED1A30" w:rsidRPr="006231AF" w:rsidRDefault="00ED1A30">
          <w:pPr>
            <w:pStyle w:val="TOC2"/>
            <w:tabs>
              <w:tab w:val="left" w:pos="1200"/>
            </w:tabs>
            <w:rPr>
              <w:rFonts w:eastAsiaTheme="minorEastAsia"/>
              <w:kern w:val="2"/>
              <w:sz w:val="24"/>
              <w:szCs w:val="24"/>
              <w:lang w:eastAsia="en-AU"/>
              <w14:ligatures w14:val="standardContextual"/>
            </w:rPr>
          </w:pPr>
          <w:hyperlink w:anchor="_Toc224822378" w:history="1">
            <w:r w:rsidRPr="006231AF">
              <w:rPr>
                <w:rStyle w:val="Hyperlink"/>
              </w:rPr>
              <w:t>2.1</w:t>
            </w:r>
            <w:r w:rsidRPr="006231AF">
              <w:rPr>
                <w:rFonts w:eastAsiaTheme="minorEastAsia"/>
                <w:kern w:val="2"/>
                <w:sz w:val="24"/>
                <w:szCs w:val="24"/>
                <w:lang w:eastAsia="en-AU"/>
                <w14:ligatures w14:val="standardContextual"/>
              </w:rPr>
              <w:tab/>
            </w:r>
            <w:r w:rsidRPr="006231AF">
              <w:rPr>
                <w:rStyle w:val="Hyperlink"/>
              </w:rPr>
              <w:t>Decision to commence a BIRA</w:t>
            </w:r>
            <w:r w:rsidRPr="006231AF">
              <w:rPr>
                <w:webHidden/>
              </w:rPr>
              <w:tab/>
            </w:r>
            <w:r w:rsidRPr="006231AF">
              <w:rPr>
                <w:webHidden/>
              </w:rPr>
              <w:fldChar w:fldCharType="begin"/>
            </w:r>
            <w:r w:rsidRPr="006231AF">
              <w:rPr>
                <w:webHidden/>
              </w:rPr>
              <w:instrText xml:space="preserve"> PAGEREF _Toc224822378 \h </w:instrText>
            </w:r>
            <w:r w:rsidRPr="006231AF">
              <w:rPr>
                <w:webHidden/>
              </w:rPr>
            </w:r>
            <w:r w:rsidRPr="006231AF">
              <w:rPr>
                <w:webHidden/>
              </w:rPr>
              <w:fldChar w:fldCharType="separate"/>
            </w:r>
            <w:r w:rsidR="00E34E7D">
              <w:rPr>
                <w:webHidden/>
              </w:rPr>
              <w:t>8</w:t>
            </w:r>
            <w:r w:rsidRPr="006231AF">
              <w:rPr>
                <w:webHidden/>
              </w:rPr>
              <w:fldChar w:fldCharType="end"/>
            </w:r>
          </w:hyperlink>
        </w:p>
        <w:p w14:paraId="27D77FD7" w14:textId="5B5A5C8D" w:rsidR="00ED1A30" w:rsidRPr="006231AF" w:rsidRDefault="00ED1A30">
          <w:pPr>
            <w:pStyle w:val="TOC2"/>
            <w:tabs>
              <w:tab w:val="left" w:pos="1200"/>
            </w:tabs>
            <w:rPr>
              <w:rFonts w:eastAsiaTheme="minorEastAsia"/>
              <w:kern w:val="2"/>
              <w:sz w:val="24"/>
              <w:szCs w:val="24"/>
              <w:lang w:eastAsia="en-AU"/>
              <w14:ligatures w14:val="standardContextual"/>
            </w:rPr>
          </w:pPr>
          <w:hyperlink w:anchor="_Toc224822379" w:history="1">
            <w:r w:rsidRPr="006231AF">
              <w:rPr>
                <w:rStyle w:val="Hyperlink"/>
              </w:rPr>
              <w:t>2.2</w:t>
            </w:r>
            <w:r w:rsidRPr="006231AF">
              <w:rPr>
                <w:rFonts w:eastAsiaTheme="minorEastAsia"/>
                <w:kern w:val="2"/>
                <w:sz w:val="24"/>
                <w:szCs w:val="24"/>
                <w:lang w:eastAsia="en-AU"/>
                <w14:ligatures w14:val="standardContextual"/>
              </w:rPr>
              <w:tab/>
            </w:r>
            <w:r w:rsidRPr="006231AF">
              <w:rPr>
                <w:rStyle w:val="Hyperlink"/>
              </w:rPr>
              <w:t>Decision to terminate a BIRA</w:t>
            </w:r>
            <w:r w:rsidRPr="006231AF">
              <w:rPr>
                <w:webHidden/>
              </w:rPr>
              <w:tab/>
            </w:r>
            <w:r w:rsidRPr="006231AF">
              <w:rPr>
                <w:webHidden/>
              </w:rPr>
              <w:fldChar w:fldCharType="begin"/>
            </w:r>
            <w:r w:rsidRPr="006231AF">
              <w:rPr>
                <w:webHidden/>
              </w:rPr>
              <w:instrText xml:space="preserve"> PAGEREF _Toc224822379 \h </w:instrText>
            </w:r>
            <w:r w:rsidRPr="006231AF">
              <w:rPr>
                <w:webHidden/>
              </w:rPr>
            </w:r>
            <w:r w:rsidRPr="006231AF">
              <w:rPr>
                <w:webHidden/>
              </w:rPr>
              <w:fldChar w:fldCharType="separate"/>
            </w:r>
            <w:r w:rsidR="00E34E7D">
              <w:rPr>
                <w:webHidden/>
              </w:rPr>
              <w:t>8</w:t>
            </w:r>
            <w:r w:rsidRPr="006231AF">
              <w:rPr>
                <w:webHidden/>
              </w:rPr>
              <w:fldChar w:fldCharType="end"/>
            </w:r>
          </w:hyperlink>
        </w:p>
        <w:p w14:paraId="11502D3B" w14:textId="18B51DE3" w:rsidR="00ED1A30" w:rsidRPr="006231AF" w:rsidRDefault="00ED1A30">
          <w:pPr>
            <w:pStyle w:val="TOC2"/>
            <w:tabs>
              <w:tab w:val="left" w:pos="1200"/>
            </w:tabs>
            <w:rPr>
              <w:rFonts w:eastAsiaTheme="minorEastAsia"/>
              <w:kern w:val="2"/>
              <w:sz w:val="24"/>
              <w:szCs w:val="24"/>
              <w:lang w:eastAsia="en-AU"/>
              <w14:ligatures w14:val="standardContextual"/>
            </w:rPr>
          </w:pPr>
          <w:hyperlink w:anchor="_Toc224822380" w:history="1">
            <w:r w:rsidRPr="006231AF">
              <w:rPr>
                <w:rStyle w:val="Hyperlink"/>
              </w:rPr>
              <w:t>2.3</w:t>
            </w:r>
            <w:r w:rsidRPr="006231AF">
              <w:rPr>
                <w:rFonts w:eastAsiaTheme="minorEastAsia"/>
                <w:kern w:val="2"/>
                <w:sz w:val="24"/>
                <w:szCs w:val="24"/>
                <w:lang w:eastAsia="en-AU"/>
                <w14:ligatures w14:val="standardContextual"/>
              </w:rPr>
              <w:tab/>
            </w:r>
            <w:r w:rsidRPr="006231AF">
              <w:rPr>
                <w:rStyle w:val="Hyperlink"/>
              </w:rPr>
              <w:t>How biosecurity risk is assessed</w:t>
            </w:r>
            <w:r w:rsidRPr="006231AF">
              <w:rPr>
                <w:webHidden/>
              </w:rPr>
              <w:tab/>
            </w:r>
            <w:r w:rsidRPr="006231AF">
              <w:rPr>
                <w:webHidden/>
              </w:rPr>
              <w:fldChar w:fldCharType="begin"/>
            </w:r>
            <w:r w:rsidRPr="006231AF">
              <w:rPr>
                <w:webHidden/>
              </w:rPr>
              <w:instrText xml:space="preserve"> PAGEREF _Toc224822380 \h </w:instrText>
            </w:r>
            <w:r w:rsidRPr="006231AF">
              <w:rPr>
                <w:webHidden/>
              </w:rPr>
            </w:r>
            <w:r w:rsidRPr="006231AF">
              <w:rPr>
                <w:webHidden/>
              </w:rPr>
              <w:fldChar w:fldCharType="separate"/>
            </w:r>
            <w:r w:rsidR="00E34E7D">
              <w:rPr>
                <w:webHidden/>
              </w:rPr>
              <w:t>8</w:t>
            </w:r>
            <w:r w:rsidRPr="006231AF">
              <w:rPr>
                <w:webHidden/>
              </w:rPr>
              <w:fldChar w:fldCharType="end"/>
            </w:r>
          </w:hyperlink>
        </w:p>
        <w:p w14:paraId="4BE3E6E8" w14:textId="2D51684C" w:rsidR="00ED1A30" w:rsidRPr="006231AF" w:rsidRDefault="00ED1A30">
          <w:pPr>
            <w:pStyle w:val="TOC1"/>
            <w:rPr>
              <w:rFonts w:eastAsiaTheme="minorEastAsia"/>
              <w:b w:val="0"/>
              <w:kern w:val="2"/>
              <w:sz w:val="24"/>
              <w:szCs w:val="24"/>
              <w:lang w:eastAsia="en-AU"/>
              <w14:ligatures w14:val="standardContextual"/>
            </w:rPr>
          </w:pPr>
          <w:hyperlink w:anchor="_Toc224822381" w:history="1">
            <w:r w:rsidRPr="006231AF">
              <w:rPr>
                <w:rStyle w:val="Hyperlink"/>
              </w:rPr>
              <w:t>3 Matters to be taken into account in conducting a BIRA</w:t>
            </w:r>
            <w:r w:rsidRPr="006231AF">
              <w:rPr>
                <w:webHidden/>
              </w:rPr>
              <w:tab/>
            </w:r>
            <w:r w:rsidRPr="006231AF">
              <w:rPr>
                <w:webHidden/>
              </w:rPr>
              <w:fldChar w:fldCharType="begin"/>
            </w:r>
            <w:r w:rsidRPr="006231AF">
              <w:rPr>
                <w:webHidden/>
              </w:rPr>
              <w:instrText xml:space="preserve"> PAGEREF _Toc224822381 \h </w:instrText>
            </w:r>
            <w:r w:rsidRPr="006231AF">
              <w:rPr>
                <w:webHidden/>
              </w:rPr>
            </w:r>
            <w:r w:rsidRPr="006231AF">
              <w:rPr>
                <w:webHidden/>
              </w:rPr>
              <w:fldChar w:fldCharType="separate"/>
            </w:r>
            <w:r w:rsidR="00E34E7D">
              <w:rPr>
                <w:webHidden/>
              </w:rPr>
              <w:t>10</w:t>
            </w:r>
            <w:r w:rsidRPr="006231AF">
              <w:rPr>
                <w:webHidden/>
              </w:rPr>
              <w:fldChar w:fldCharType="end"/>
            </w:r>
          </w:hyperlink>
        </w:p>
        <w:p w14:paraId="011E2E26" w14:textId="50B2F536" w:rsidR="00ED1A30" w:rsidRPr="006231AF" w:rsidRDefault="00ED1A30">
          <w:pPr>
            <w:pStyle w:val="TOC2"/>
            <w:tabs>
              <w:tab w:val="left" w:pos="1200"/>
            </w:tabs>
            <w:rPr>
              <w:rFonts w:eastAsiaTheme="minorEastAsia"/>
              <w:kern w:val="2"/>
              <w:sz w:val="24"/>
              <w:szCs w:val="24"/>
              <w:lang w:eastAsia="en-AU"/>
              <w14:ligatures w14:val="standardContextual"/>
            </w:rPr>
          </w:pPr>
          <w:hyperlink w:anchor="_Toc224822382" w:history="1">
            <w:r w:rsidRPr="006231AF">
              <w:rPr>
                <w:rStyle w:val="Hyperlink"/>
              </w:rPr>
              <w:t>3.1</w:t>
            </w:r>
            <w:r w:rsidRPr="006231AF">
              <w:rPr>
                <w:rFonts w:eastAsiaTheme="minorEastAsia"/>
                <w:kern w:val="2"/>
                <w:sz w:val="24"/>
                <w:szCs w:val="24"/>
                <w:lang w:eastAsia="en-AU"/>
                <w14:ligatures w14:val="standardContextual"/>
              </w:rPr>
              <w:tab/>
            </w:r>
            <w:r w:rsidRPr="006231AF">
              <w:rPr>
                <w:rStyle w:val="Hyperlink"/>
              </w:rPr>
              <w:t>BIRA Principles</w:t>
            </w:r>
            <w:r w:rsidRPr="006231AF">
              <w:rPr>
                <w:webHidden/>
              </w:rPr>
              <w:tab/>
            </w:r>
            <w:r w:rsidRPr="006231AF">
              <w:rPr>
                <w:webHidden/>
              </w:rPr>
              <w:fldChar w:fldCharType="begin"/>
            </w:r>
            <w:r w:rsidRPr="006231AF">
              <w:rPr>
                <w:webHidden/>
              </w:rPr>
              <w:instrText xml:space="preserve"> PAGEREF _Toc224822382 \h </w:instrText>
            </w:r>
            <w:r w:rsidRPr="006231AF">
              <w:rPr>
                <w:webHidden/>
              </w:rPr>
            </w:r>
            <w:r w:rsidRPr="006231AF">
              <w:rPr>
                <w:webHidden/>
              </w:rPr>
              <w:fldChar w:fldCharType="separate"/>
            </w:r>
            <w:r w:rsidR="00E34E7D">
              <w:rPr>
                <w:webHidden/>
              </w:rPr>
              <w:t>10</w:t>
            </w:r>
            <w:r w:rsidRPr="006231AF">
              <w:rPr>
                <w:webHidden/>
              </w:rPr>
              <w:fldChar w:fldCharType="end"/>
            </w:r>
          </w:hyperlink>
        </w:p>
        <w:p w14:paraId="7DDD0F70" w14:textId="53480B29" w:rsidR="00ED1A30" w:rsidRPr="006231AF" w:rsidRDefault="00ED1A30">
          <w:pPr>
            <w:pStyle w:val="TOC1"/>
            <w:rPr>
              <w:rFonts w:eastAsiaTheme="minorEastAsia"/>
              <w:b w:val="0"/>
              <w:kern w:val="2"/>
              <w:sz w:val="24"/>
              <w:szCs w:val="24"/>
              <w:lang w:eastAsia="en-AU"/>
              <w14:ligatures w14:val="standardContextual"/>
            </w:rPr>
          </w:pPr>
          <w:hyperlink w:anchor="_Toc224822383" w:history="1">
            <w:r w:rsidRPr="006231AF">
              <w:rPr>
                <w:rStyle w:val="Hyperlink"/>
              </w:rPr>
              <w:t>4 Consultation and communication</w:t>
            </w:r>
            <w:r w:rsidRPr="006231AF">
              <w:rPr>
                <w:webHidden/>
              </w:rPr>
              <w:tab/>
            </w:r>
            <w:r w:rsidRPr="006231AF">
              <w:rPr>
                <w:webHidden/>
              </w:rPr>
              <w:fldChar w:fldCharType="begin"/>
            </w:r>
            <w:r w:rsidRPr="006231AF">
              <w:rPr>
                <w:webHidden/>
              </w:rPr>
              <w:instrText xml:space="preserve"> PAGEREF _Toc224822383 \h </w:instrText>
            </w:r>
            <w:r w:rsidRPr="006231AF">
              <w:rPr>
                <w:webHidden/>
              </w:rPr>
            </w:r>
            <w:r w:rsidRPr="006231AF">
              <w:rPr>
                <w:webHidden/>
              </w:rPr>
              <w:fldChar w:fldCharType="separate"/>
            </w:r>
            <w:r w:rsidR="00E34E7D">
              <w:rPr>
                <w:webHidden/>
              </w:rPr>
              <w:t>12</w:t>
            </w:r>
            <w:r w:rsidRPr="006231AF">
              <w:rPr>
                <w:webHidden/>
              </w:rPr>
              <w:fldChar w:fldCharType="end"/>
            </w:r>
          </w:hyperlink>
        </w:p>
        <w:p w14:paraId="24A63F44" w14:textId="0A3C74F1" w:rsidR="00ED1A30" w:rsidRPr="006231AF" w:rsidRDefault="00ED1A30">
          <w:pPr>
            <w:pStyle w:val="TOC2"/>
            <w:tabs>
              <w:tab w:val="left" w:pos="1200"/>
            </w:tabs>
            <w:rPr>
              <w:rFonts w:eastAsiaTheme="minorEastAsia"/>
              <w:kern w:val="2"/>
              <w:sz w:val="24"/>
              <w:szCs w:val="24"/>
              <w:lang w:eastAsia="en-AU"/>
              <w14:ligatures w14:val="standardContextual"/>
            </w:rPr>
          </w:pPr>
          <w:hyperlink w:anchor="_Toc224822384" w:history="1">
            <w:r w:rsidRPr="006231AF">
              <w:rPr>
                <w:rStyle w:val="Hyperlink"/>
              </w:rPr>
              <w:t>4.1</w:t>
            </w:r>
            <w:r w:rsidRPr="006231AF">
              <w:rPr>
                <w:rFonts w:eastAsiaTheme="minorEastAsia"/>
                <w:kern w:val="2"/>
                <w:sz w:val="24"/>
                <w:szCs w:val="24"/>
                <w:lang w:eastAsia="en-AU"/>
                <w14:ligatures w14:val="standardContextual"/>
              </w:rPr>
              <w:tab/>
            </w:r>
            <w:r w:rsidRPr="006231AF">
              <w:rPr>
                <w:rStyle w:val="Hyperlink"/>
              </w:rPr>
              <w:t>Communication with stakeholders</w:t>
            </w:r>
            <w:r w:rsidRPr="006231AF">
              <w:rPr>
                <w:webHidden/>
              </w:rPr>
              <w:tab/>
            </w:r>
            <w:r w:rsidRPr="006231AF">
              <w:rPr>
                <w:webHidden/>
              </w:rPr>
              <w:fldChar w:fldCharType="begin"/>
            </w:r>
            <w:r w:rsidRPr="006231AF">
              <w:rPr>
                <w:webHidden/>
              </w:rPr>
              <w:instrText xml:space="preserve"> PAGEREF _Toc224822384 \h </w:instrText>
            </w:r>
            <w:r w:rsidRPr="006231AF">
              <w:rPr>
                <w:webHidden/>
              </w:rPr>
            </w:r>
            <w:r w:rsidRPr="006231AF">
              <w:rPr>
                <w:webHidden/>
              </w:rPr>
              <w:fldChar w:fldCharType="separate"/>
            </w:r>
            <w:r w:rsidR="00E34E7D">
              <w:rPr>
                <w:webHidden/>
              </w:rPr>
              <w:t>12</w:t>
            </w:r>
            <w:r w:rsidRPr="006231AF">
              <w:rPr>
                <w:webHidden/>
              </w:rPr>
              <w:fldChar w:fldCharType="end"/>
            </w:r>
          </w:hyperlink>
        </w:p>
        <w:p w14:paraId="18D5D139" w14:textId="6F8F3A5F" w:rsidR="00ED1A30" w:rsidRPr="006231AF" w:rsidRDefault="00ED1A30">
          <w:pPr>
            <w:pStyle w:val="TOC2"/>
            <w:tabs>
              <w:tab w:val="left" w:pos="1200"/>
            </w:tabs>
            <w:rPr>
              <w:rFonts w:eastAsiaTheme="minorEastAsia"/>
              <w:kern w:val="2"/>
              <w:sz w:val="24"/>
              <w:szCs w:val="24"/>
              <w:lang w:eastAsia="en-AU"/>
              <w14:ligatures w14:val="standardContextual"/>
            </w:rPr>
          </w:pPr>
          <w:hyperlink w:anchor="_Toc224822385" w:history="1">
            <w:r w:rsidRPr="006231AF">
              <w:rPr>
                <w:rStyle w:val="Hyperlink"/>
              </w:rPr>
              <w:t>4.2</w:t>
            </w:r>
            <w:r w:rsidRPr="006231AF">
              <w:rPr>
                <w:rFonts w:eastAsiaTheme="minorEastAsia"/>
                <w:kern w:val="2"/>
                <w:sz w:val="24"/>
                <w:szCs w:val="24"/>
                <w:lang w:eastAsia="en-AU"/>
                <w14:ligatures w14:val="standardContextual"/>
              </w:rPr>
              <w:tab/>
            </w:r>
            <w:r w:rsidRPr="006231AF">
              <w:rPr>
                <w:rStyle w:val="Hyperlink"/>
              </w:rPr>
              <w:t>Opportunities for stakeholders to contribute to the BIRA process</w:t>
            </w:r>
            <w:r w:rsidRPr="006231AF">
              <w:rPr>
                <w:webHidden/>
              </w:rPr>
              <w:tab/>
            </w:r>
            <w:r w:rsidRPr="006231AF">
              <w:rPr>
                <w:webHidden/>
              </w:rPr>
              <w:fldChar w:fldCharType="begin"/>
            </w:r>
            <w:r w:rsidRPr="006231AF">
              <w:rPr>
                <w:webHidden/>
              </w:rPr>
              <w:instrText xml:space="preserve"> PAGEREF _Toc224822385 \h </w:instrText>
            </w:r>
            <w:r w:rsidRPr="006231AF">
              <w:rPr>
                <w:webHidden/>
              </w:rPr>
            </w:r>
            <w:r w:rsidRPr="006231AF">
              <w:rPr>
                <w:webHidden/>
              </w:rPr>
              <w:fldChar w:fldCharType="separate"/>
            </w:r>
            <w:r w:rsidR="00E34E7D">
              <w:rPr>
                <w:webHidden/>
              </w:rPr>
              <w:t>12</w:t>
            </w:r>
            <w:r w:rsidRPr="006231AF">
              <w:rPr>
                <w:webHidden/>
              </w:rPr>
              <w:fldChar w:fldCharType="end"/>
            </w:r>
          </w:hyperlink>
        </w:p>
        <w:p w14:paraId="5DC8300D" w14:textId="17A0B23C" w:rsidR="00ED1A30" w:rsidRPr="006231AF" w:rsidRDefault="00ED1A30">
          <w:pPr>
            <w:pStyle w:val="TOC1"/>
            <w:rPr>
              <w:rFonts w:eastAsiaTheme="minorEastAsia"/>
              <w:b w:val="0"/>
              <w:kern w:val="2"/>
              <w:sz w:val="24"/>
              <w:szCs w:val="24"/>
              <w:lang w:eastAsia="en-AU"/>
              <w14:ligatures w14:val="standardContextual"/>
            </w:rPr>
          </w:pPr>
          <w:hyperlink w:anchor="_Toc224822386" w:history="1">
            <w:r w:rsidRPr="006231AF">
              <w:rPr>
                <w:rStyle w:val="Hyperlink"/>
              </w:rPr>
              <w:t>5 Inspector-General of Biosecurity</w:t>
            </w:r>
            <w:r w:rsidRPr="006231AF">
              <w:rPr>
                <w:webHidden/>
              </w:rPr>
              <w:tab/>
            </w:r>
            <w:r w:rsidRPr="006231AF">
              <w:rPr>
                <w:webHidden/>
              </w:rPr>
              <w:fldChar w:fldCharType="begin"/>
            </w:r>
            <w:r w:rsidRPr="006231AF">
              <w:rPr>
                <w:webHidden/>
              </w:rPr>
              <w:instrText xml:space="preserve"> PAGEREF _Toc224822386 \h </w:instrText>
            </w:r>
            <w:r w:rsidRPr="006231AF">
              <w:rPr>
                <w:webHidden/>
              </w:rPr>
            </w:r>
            <w:r w:rsidRPr="006231AF">
              <w:rPr>
                <w:webHidden/>
              </w:rPr>
              <w:fldChar w:fldCharType="separate"/>
            </w:r>
            <w:r w:rsidR="00E34E7D">
              <w:rPr>
                <w:webHidden/>
              </w:rPr>
              <w:t>13</w:t>
            </w:r>
            <w:r w:rsidRPr="006231AF">
              <w:rPr>
                <w:webHidden/>
              </w:rPr>
              <w:fldChar w:fldCharType="end"/>
            </w:r>
          </w:hyperlink>
        </w:p>
        <w:p w14:paraId="63E85357" w14:textId="295B7806" w:rsidR="00ED1A30" w:rsidRPr="006231AF" w:rsidRDefault="00ED1A30">
          <w:pPr>
            <w:pStyle w:val="TOC1"/>
            <w:rPr>
              <w:rFonts w:eastAsiaTheme="minorEastAsia"/>
              <w:b w:val="0"/>
              <w:kern w:val="2"/>
              <w:sz w:val="24"/>
              <w:szCs w:val="24"/>
              <w:lang w:eastAsia="en-AU"/>
              <w14:ligatures w14:val="standardContextual"/>
            </w:rPr>
          </w:pPr>
          <w:hyperlink w:anchor="_Toc224822387" w:history="1">
            <w:r w:rsidRPr="006231AF">
              <w:rPr>
                <w:rStyle w:val="Hyperlink"/>
                <w:rFonts w:eastAsia="Times New Roman"/>
              </w:rPr>
              <w:t>Appendix A: Biosecurity contact details</w:t>
            </w:r>
            <w:r w:rsidRPr="006231AF">
              <w:rPr>
                <w:webHidden/>
              </w:rPr>
              <w:tab/>
            </w:r>
            <w:r w:rsidRPr="006231AF">
              <w:rPr>
                <w:webHidden/>
              </w:rPr>
              <w:fldChar w:fldCharType="begin"/>
            </w:r>
            <w:r w:rsidRPr="006231AF">
              <w:rPr>
                <w:webHidden/>
              </w:rPr>
              <w:instrText xml:space="preserve"> PAGEREF _Toc224822387 \h </w:instrText>
            </w:r>
            <w:r w:rsidRPr="006231AF">
              <w:rPr>
                <w:webHidden/>
              </w:rPr>
            </w:r>
            <w:r w:rsidRPr="006231AF">
              <w:rPr>
                <w:webHidden/>
              </w:rPr>
              <w:fldChar w:fldCharType="separate"/>
            </w:r>
            <w:r w:rsidR="00E34E7D">
              <w:rPr>
                <w:webHidden/>
              </w:rPr>
              <w:t>14</w:t>
            </w:r>
            <w:r w:rsidRPr="006231AF">
              <w:rPr>
                <w:webHidden/>
              </w:rPr>
              <w:fldChar w:fldCharType="end"/>
            </w:r>
          </w:hyperlink>
        </w:p>
        <w:p w14:paraId="62D20AAB" w14:textId="019C6D80" w:rsidR="00ED1A30" w:rsidRPr="006231AF" w:rsidRDefault="00ED1A30">
          <w:pPr>
            <w:pStyle w:val="TOC1"/>
            <w:rPr>
              <w:rFonts w:eastAsiaTheme="minorEastAsia"/>
              <w:b w:val="0"/>
              <w:kern w:val="2"/>
              <w:sz w:val="24"/>
              <w:szCs w:val="24"/>
              <w:lang w:eastAsia="en-AU"/>
              <w14:ligatures w14:val="standardContextual"/>
            </w:rPr>
          </w:pPr>
          <w:hyperlink w:anchor="_Toc224822388" w:history="1">
            <w:r w:rsidRPr="006231AF">
              <w:rPr>
                <w:rStyle w:val="Hyperlink"/>
              </w:rPr>
              <w:t>Glossary</w:t>
            </w:r>
            <w:r w:rsidRPr="006231AF">
              <w:rPr>
                <w:webHidden/>
              </w:rPr>
              <w:tab/>
            </w:r>
            <w:r w:rsidRPr="006231AF">
              <w:rPr>
                <w:webHidden/>
              </w:rPr>
              <w:fldChar w:fldCharType="begin"/>
            </w:r>
            <w:r w:rsidRPr="006231AF">
              <w:rPr>
                <w:webHidden/>
              </w:rPr>
              <w:instrText xml:space="preserve"> PAGEREF _Toc224822388 \h </w:instrText>
            </w:r>
            <w:r w:rsidRPr="006231AF">
              <w:rPr>
                <w:webHidden/>
              </w:rPr>
            </w:r>
            <w:r w:rsidRPr="006231AF">
              <w:rPr>
                <w:webHidden/>
              </w:rPr>
              <w:fldChar w:fldCharType="separate"/>
            </w:r>
            <w:r w:rsidR="00E34E7D">
              <w:rPr>
                <w:webHidden/>
              </w:rPr>
              <w:t>15</w:t>
            </w:r>
            <w:r w:rsidRPr="006231AF">
              <w:rPr>
                <w:webHidden/>
              </w:rPr>
              <w:fldChar w:fldCharType="end"/>
            </w:r>
          </w:hyperlink>
        </w:p>
        <w:p w14:paraId="1896764D" w14:textId="2EF028B3" w:rsidR="00E550F9" w:rsidRPr="006231AF" w:rsidRDefault="00E91D72" w:rsidP="00E550F9">
          <w:pPr>
            <w:pStyle w:val="TOC1"/>
            <w:rPr>
              <w:noProof w:val="0"/>
            </w:rPr>
          </w:pPr>
          <w:r w:rsidRPr="006231AF">
            <w:rPr>
              <w:b w:val="0"/>
              <w:noProof w:val="0"/>
            </w:rPr>
            <w:fldChar w:fldCharType="end"/>
          </w:r>
        </w:p>
      </w:sdtContent>
    </w:sdt>
    <w:p w14:paraId="32B538C4" w14:textId="6CADFB48" w:rsidR="000768B8" w:rsidRPr="006231AF" w:rsidRDefault="000768B8" w:rsidP="000768B8">
      <w:pPr>
        <w:pStyle w:val="TOCHeading2"/>
      </w:pPr>
      <w:r w:rsidRPr="006231AF">
        <w:t xml:space="preserve"> </w:t>
      </w:r>
    </w:p>
    <w:p w14:paraId="7A481F42" w14:textId="0CDBFBA2" w:rsidR="00764D6A" w:rsidRPr="006231AF" w:rsidRDefault="00E91D72" w:rsidP="00AC4522">
      <w:pPr>
        <w:pStyle w:val="Heading2"/>
      </w:pPr>
      <w:bookmarkStart w:id="3" w:name="_Toc430782150"/>
      <w:bookmarkStart w:id="4" w:name="_Toc224822373"/>
      <w:r w:rsidRPr="006231AF">
        <w:lastRenderedPageBreak/>
        <w:t>Introduction</w:t>
      </w:r>
      <w:bookmarkEnd w:id="3"/>
      <w:bookmarkEnd w:id="4"/>
    </w:p>
    <w:p w14:paraId="10902182" w14:textId="3968CC0B" w:rsidR="00013EBF" w:rsidRPr="006231AF" w:rsidRDefault="001A42C9" w:rsidP="000F5622">
      <w:r w:rsidRPr="006231AF">
        <w:t>The department is tasked with safeguarding Australia’s animal and plant health status from the impact of diseases and pests</w:t>
      </w:r>
      <w:r w:rsidR="002F7E70" w:rsidRPr="006231AF">
        <w:t xml:space="preserve"> of biosecurity concern</w:t>
      </w:r>
      <w:r w:rsidRPr="006231AF">
        <w:t xml:space="preserve">, through risk analysis, risk mitigation measures, inspection and certification, and </w:t>
      </w:r>
      <w:r w:rsidR="00785133" w:rsidRPr="006231AF">
        <w:t xml:space="preserve">the </w:t>
      </w:r>
      <w:r w:rsidRPr="006231AF">
        <w:t xml:space="preserve">implementation of emergency response arrangements for Australian agricultural, food and fibre industries. This work is done </w:t>
      </w:r>
      <w:r w:rsidR="00F93813" w:rsidRPr="006231AF">
        <w:t xml:space="preserve">in collaboration </w:t>
      </w:r>
      <w:r w:rsidRPr="006231AF">
        <w:t>with state and territory governments.</w:t>
      </w:r>
    </w:p>
    <w:p w14:paraId="442AF5F6" w14:textId="6A2A23A9" w:rsidR="00013EBF" w:rsidRPr="006231AF" w:rsidRDefault="001A42C9" w:rsidP="000F5622">
      <w:r w:rsidRPr="006231AF">
        <w:t xml:space="preserve">Australia’s agriculture sector has a strong trade focus and relies on the biosecurity system to safeguard the nation’s favourable human, </w:t>
      </w:r>
      <w:r w:rsidR="003366DB" w:rsidRPr="006231AF">
        <w:t>animal,</w:t>
      </w:r>
      <w:r w:rsidRPr="006231AF">
        <w:t xml:space="preserve"> and plant health status to protect both our domestic production and to maintain competitiveness and access to overseas markets. </w:t>
      </w:r>
    </w:p>
    <w:p w14:paraId="608AB730" w14:textId="1B658A3D" w:rsidR="006F583A" w:rsidRPr="006231AF" w:rsidRDefault="001A42C9" w:rsidP="000F5622">
      <w:r w:rsidRPr="006231AF">
        <w:t xml:space="preserve">The department undertakes a range of risk analyses in response to </w:t>
      </w:r>
      <w:r w:rsidR="00C216CB" w:rsidRPr="006231AF">
        <w:t xml:space="preserve">goods import </w:t>
      </w:r>
      <w:r w:rsidRPr="006231AF">
        <w:t>requests, where those goods have not been imported</w:t>
      </w:r>
      <w:r w:rsidR="00C216CB" w:rsidRPr="006231AF">
        <w:t xml:space="preserve"> to Australia</w:t>
      </w:r>
      <w:r w:rsidRPr="006231AF">
        <w:t xml:space="preserve"> before, or have not been imported from a particular country or region. The department also undertakes reviews of existing trade. </w:t>
      </w:r>
    </w:p>
    <w:p w14:paraId="2A849DC7" w14:textId="481D6C43" w:rsidR="006F583A" w:rsidRPr="006231AF" w:rsidRDefault="001A42C9" w:rsidP="000F5622">
      <w:r w:rsidRPr="006231AF">
        <w:t xml:space="preserve">Risk analyses consider the level of biosecurity risk that may be associated with the importation of a </w:t>
      </w:r>
      <w:r w:rsidR="007C54EF" w:rsidRPr="006231AF">
        <w:t>good and</w:t>
      </w:r>
      <w:r w:rsidRPr="006231AF">
        <w:t xml:space="preserve"> identif</w:t>
      </w:r>
      <w:r w:rsidR="00D76DA3" w:rsidRPr="006231AF">
        <w:t>ies</w:t>
      </w:r>
      <w:r w:rsidRPr="006231AF">
        <w:t xml:space="preserve"> appropriate ways to manage these risks. </w:t>
      </w:r>
    </w:p>
    <w:p w14:paraId="5535A61C" w14:textId="1E68992D" w:rsidR="007A62D7" w:rsidRPr="006231AF" w:rsidRDefault="007A62D7" w:rsidP="000F5622">
      <w:r w:rsidRPr="006231AF">
        <w:t xml:space="preserve">A BIRA is an assessment of the level of biosecurity risk associated with particular goods, or a </w:t>
      </w:r>
      <w:r w:rsidR="003371DF" w:rsidRPr="006231AF">
        <w:t>particular</w:t>
      </w:r>
      <w:r w:rsidRPr="006231AF">
        <w:t xml:space="preserve"> class of goods, that may be imported, or are proposed to be imported, into </w:t>
      </w:r>
      <w:r w:rsidR="00F7186F" w:rsidRPr="006231AF">
        <w:t xml:space="preserve">an </w:t>
      </w:r>
      <w:r w:rsidRPr="006231AF">
        <w:t>Australian territory. Where necessary, the assessment includes identification of conditions that must be met to manage the biosecurity risk to a level that achieves Australia’s Appropriate Level of Protection (ALOP).</w:t>
      </w:r>
    </w:p>
    <w:p w14:paraId="532D6C46" w14:textId="05A8E508" w:rsidR="00F652DC" w:rsidRPr="006231AF" w:rsidRDefault="00B364F4" w:rsidP="000F5622">
      <w:r w:rsidRPr="006231AF">
        <w:t>BIRA</w:t>
      </w:r>
      <w:r w:rsidR="009F3B8B" w:rsidRPr="006231AF">
        <w:t>s</w:t>
      </w:r>
      <w:r w:rsidRPr="006231AF">
        <w:t xml:space="preserve"> assist the department in considering the level of biosecurity risk that may be associated with the importation of goods into Australia. If the biosecurity risks do not achieve </w:t>
      </w:r>
      <w:r w:rsidR="005C4146" w:rsidRPr="006231AF">
        <w:t>Australia’s</w:t>
      </w:r>
      <w:r w:rsidRPr="006231AF">
        <w:t xml:space="preserve"> ALOP, risk management measures are proposed to reduce the risks to an acceptable level. If the risks cannot be reduced to an acceptable level, the goods will not be </w:t>
      </w:r>
      <w:r w:rsidR="009E4A81" w:rsidRPr="006231AF">
        <w:t>eligible for import</w:t>
      </w:r>
      <w:r w:rsidR="00E469AE" w:rsidRPr="006231AF">
        <w:t xml:space="preserve"> </w:t>
      </w:r>
      <w:r w:rsidRPr="006231AF">
        <w:t xml:space="preserve">into Australia. </w:t>
      </w:r>
    </w:p>
    <w:p w14:paraId="49A745E5" w14:textId="207B9149" w:rsidR="00764D6A" w:rsidRPr="006231AF" w:rsidRDefault="008E409F" w:rsidP="007E39EF">
      <w:pPr>
        <w:pStyle w:val="Heading2"/>
      </w:pPr>
      <w:bookmarkStart w:id="5" w:name="_Toc224822374"/>
      <w:r w:rsidRPr="006231AF">
        <w:lastRenderedPageBreak/>
        <w:t xml:space="preserve">1 </w:t>
      </w:r>
      <w:r w:rsidR="009A5328" w:rsidRPr="006231AF">
        <w:t>Biosecurity risks and Australia’s biosecurity framework</w:t>
      </w:r>
      <w:bookmarkEnd w:id="5"/>
    </w:p>
    <w:p w14:paraId="4957B657" w14:textId="51197450" w:rsidR="00057D02" w:rsidRPr="006231AF" w:rsidRDefault="00057D02" w:rsidP="008E409F">
      <w:pPr>
        <w:pStyle w:val="Heading3"/>
      </w:pPr>
      <w:bookmarkStart w:id="6" w:name="_Toc452647296"/>
      <w:bookmarkStart w:id="7" w:name="_Toc224822375"/>
      <w:r w:rsidRPr="006231AF">
        <w:t>Biosecurity risks</w:t>
      </w:r>
      <w:bookmarkEnd w:id="6"/>
      <w:bookmarkEnd w:id="7"/>
    </w:p>
    <w:p w14:paraId="293D733F" w14:textId="4B0B3A38" w:rsidR="00315DD7" w:rsidRPr="006231AF" w:rsidRDefault="00315DD7" w:rsidP="00315DD7">
      <w:bookmarkStart w:id="8" w:name="_Toc430782152"/>
      <w:r w:rsidRPr="006231AF">
        <w:t xml:space="preserve">The term ‘biosecurity risk’ is defined in the </w:t>
      </w:r>
      <w:r w:rsidR="00274F97" w:rsidRPr="006231AF">
        <w:t>Biosecurity Act</w:t>
      </w:r>
      <w:r w:rsidRPr="006231AF">
        <w:t xml:space="preserve">. It refers to the likelihood of a disease or pest entering, </w:t>
      </w:r>
      <w:r w:rsidR="00965C4D" w:rsidRPr="006231AF">
        <w:t>establishing,</w:t>
      </w:r>
      <w:r w:rsidRPr="006231AF">
        <w:t xml:space="preserve"> or spreading in Australian territory, and the potential for the disease or pest causing harm to human, animal or plant health, the </w:t>
      </w:r>
      <w:r w:rsidR="0003658D" w:rsidRPr="006231AF">
        <w:t>environment,</w:t>
      </w:r>
      <w:r w:rsidR="0067556C" w:rsidRPr="006231AF">
        <w:t xml:space="preserve"> </w:t>
      </w:r>
      <w:r w:rsidR="008A67AC" w:rsidRPr="006231AF">
        <w:t>or the</w:t>
      </w:r>
      <w:r w:rsidR="0067556C" w:rsidRPr="006231AF">
        <w:t xml:space="preserve"> </w:t>
      </w:r>
      <w:r w:rsidRPr="006231AF">
        <w:t>econom</w:t>
      </w:r>
      <w:r w:rsidR="0067556C" w:rsidRPr="006231AF">
        <w:t>y</w:t>
      </w:r>
      <w:r w:rsidRPr="006231AF">
        <w:t>. As part of the BIRA, a risk assessment is undertaken.</w:t>
      </w:r>
    </w:p>
    <w:p w14:paraId="025B588B" w14:textId="7857DC11" w:rsidR="00315DD7" w:rsidRPr="006231AF" w:rsidRDefault="00315DD7" w:rsidP="00315DD7">
      <w:pPr>
        <w:rPr>
          <w:rFonts w:cstheme="minorHAnsi"/>
        </w:rPr>
      </w:pPr>
      <w:r w:rsidRPr="006231AF">
        <w:rPr>
          <w:rFonts w:cstheme="minorHAnsi"/>
        </w:rPr>
        <w:t>BIRAs are risk assessments</w:t>
      </w:r>
      <w:r w:rsidR="0090309E" w:rsidRPr="006231AF">
        <w:rPr>
          <w:rFonts w:cstheme="minorHAnsi"/>
        </w:rPr>
        <w:t xml:space="preserve"> of goods</w:t>
      </w:r>
      <w:r w:rsidRPr="006231AF">
        <w:rPr>
          <w:rFonts w:cstheme="minorHAnsi"/>
        </w:rPr>
        <w:t xml:space="preserve"> conducted under the Biosecurity Act</w:t>
      </w:r>
      <w:r w:rsidR="00291C1C" w:rsidRPr="006231AF">
        <w:rPr>
          <w:rFonts w:cstheme="minorHAnsi"/>
        </w:rPr>
        <w:t xml:space="preserve"> and in accordance with the</w:t>
      </w:r>
      <w:r w:rsidR="001E1C51" w:rsidRPr="006231AF">
        <w:rPr>
          <w:rFonts w:cstheme="minorHAnsi"/>
        </w:rPr>
        <w:t xml:space="preserve"> World Trade Organi</w:t>
      </w:r>
      <w:r w:rsidR="002D3CB2" w:rsidRPr="006231AF">
        <w:rPr>
          <w:rFonts w:cstheme="minorHAnsi"/>
        </w:rPr>
        <w:t>z</w:t>
      </w:r>
      <w:r w:rsidR="001E1C51" w:rsidRPr="006231AF">
        <w:rPr>
          <w:rFonts w:cstheme="minorHAnsi"/>
        </w:rPr>
        <w:t>ation (WTO) Agreement on the Application of Sanitary and Phytosanitary Measures (</w:t>
      </w:r>
      <w:r w:rsidR="00291C1C" w:rsidRPr="006231AF">
        <w:rPr>
          <w:rFonts w:cstheme="minorHAnsi"/>
        </w:rPr>
        <w:t>SPS</w:t>
      </w:r>
      <w:r w:rsidR="001E1C51" w:rsidRPr="006231AF">
        <w:rPr>
          <w:rFonts w:cstheme="minorHAnsi"/>
        </w:rPr>
        <w:t>)</w:t>
      </w:r>
      <w:r w:rsidR="00291C1C" w:rsidRPr="006231AF">
        <w:rPr>
          <w:rFonts w:cstheme="minorHAnsi"/>
        </w:rPr>
        <w:t xml:space="preserve"> and other international obligations</w:t>
      </w:r>
      <w:r w:rsidRPr="006231AF">
        <w:rPr>
          <w:rFonts w:cstheme="minorHAnsi"/>
          <w:i/>
        </w:rPr>
        <w:t>.</w:t>
      </w:r>
      <w:r w:rsidRPr="006231AF">
        <w:rPr>
          <w:rFonts w:cstheme="minorHAnsi"/>
        </w:rPr>
        <w:t xml:space="preserve"> Under a BIRA, </w:t>
      </w:r>
      <w:r w:rsidR="00D735FE" w:rsidRPr="006231AF">
        <w:rPr>
          <w:rFonts w:cstheme="minorHAnsi"/>
        </w:rPr>
        <w:t>the level of biosecurity</w:t>
      </w:r>
      <w:r w:rsidRPr="006231AF">
        <w:rPr>
          <w:rFonts w:cstheme="minorHAnsi"/>
        </w:rPr>
        <w:t xml:space="preserve"> risk </w:t>
      </w:r>
      <w:r w:rsidR="00F94E0F" w:rsidRPr="006231AF">
        <w:rPr>
          <w:rFonts w:cstheme="minorHAnsi"/>
        </w:rPr>
        <w:t xml:space="preserve">for </w:t>
      </w:r>
      <w:r w:rsidR="00AD6C52" w:rsidRPr="006231AF">
        <w:rPr>
          <w:rFonts w:cstheme="minorHAnsi"/>
        </w:rPr>
        <w:t>a particular disease or pest</w:t>
      </w:r>
      <w:r w:rsidRPr="006231AF">
        <w:rPr>
          <w:rFonts w:cstheme="minorHAnsi"/>
        </w:rPr>
        <w:t xml:space="preserve"> is determined by combining the likelihood of the entry, establishment </w:t>
      </w:r>
      <w:r w:rsidR="00224877" w:rsidRPr="006231AF">
        <w:rPr>
          <w:rFonts w:cstheme="minorHAnsi"/>
        </w:rPr>
        <w:t xml:space="preserve">and </w:t>
      </w:r>
      <w:r w:rsidRPr="006231AF">
        <w:rPr>
          <w:rFonts w:cstheme="minorHAnsi"/>
        </w:rPr>
        <w:t xml:space="preserve">spread with </w:t>
      </w:r>
      <w:r w:rsidR="00457AA1" w:rsidRPr="006231AF">
        <w:rPr>
          <w:rFonts w:cstheme="minorHAnsi"/>
        </w:rPr>
        <w:t xml:space="preserve">its </w:t>
      </w:r>
      <w:r w:rsidRPr="006231AF">
        <w:rPr>
          <w:rFonts w:cstheme="minorHAnsi"/>
        </w:rPr>
        <w:t xml:space="preserve">potential consequences. It </w:t>
      </w:r>
      <w:r w:rsidR="005D067F" w:rsidRPr="006231AF">
        <w:rPr>
          <w:rFonts w:cstheme="minorHAnsi"/>
        </w:rPr>
        <w:t>considers</w:t>
      </w:r>
      <w:r w:rsidRPr="006231AF">
        <w:rPr>
          <w:rFonts w:cstheme="minorHAnsi"/>
        </w:rPr>
        <w:t xml:space="preserve"> the whole risk pathway from the </w:t>
      </w:r>
      <w:r w:rsidR="002560A0" w:rsidRPr="006231AF">
        <w:rPr>
          <w:rFonts w:cstheme="minorHAnsi"/>
        </w:rPr>
        <w:t>identification of diseases or pests</w:t>
      </w:r>
      <w:r w:rsidRPr="006231AF">
        <w:rPr>
          <w:rFonts w:cstheme="minorHAnsi"/>
        </w:rPr>
        <w:t xml:space="preserve"> to the </w:t>
      </w:r>
      <w:r w:rsidR="000A7280" w:rsidRPr="006231AF">
        <w:rPr>
          <w:rFonts w:cstheme="minorHAnsi"/>
        </w:rPr>
        <w:t xml:space="preserve">harm </w:t>
      </w:r>
      <w:r w:rsidRPr="006231AF">
        <w:rPr>
          <w:rFonts w:cstheme="minorHAnsi"/>
        </w:rPr>
        <w:t>or consequence</w:t>
      </w:r>
      <w:r w:rsidR="00C56549" w:rsidRPr="006231AF">
        <w:rPr>
          <w:rFonts w:cstheme="minorHAnsi"/>
        </w:rPr>
        <w:t xml:space="preserve"> with</w:t>
      </w:r>
      <w:r w:rsidR="007A3897" w:rsidRPr="006231AF">
        <w:rPr>
          <w:rFonts w:cstheme="minorHAnsi"/>
        </w:rPr>
        <w:t>in Australia.</w:t>
      </w:r>
      <w:r w:rsidR="009324F7" w:rsidRPr="006231AF">
        <w:rPr>
          <w:rFonts w:cstheme="minorHAnsi"/>
        </w:rPr>
        <w:t xml:space="preserve"> </w:t>
      </w:r>
    </w:p>
    <w:p w14:paraId="05606C7F" w14:textId="05265AF4" w:rsidR="00315DD7" w:rsidRPr="006231AF" w:rsidRDefault="00315DD7" w:rsidP="00315DD7">
      <w:r w:rsidRPr="006231AF">
        <w:t xml:space="preserve">These two components of likelihood and consequence are combined to give an estimate of the </w:t>
      </w:r>
      <w:r w:rsidR="003760F9" w:rsidRPr="006231AF">
        <w:t xml:space="preserve">level of </w:t>
      </w:r>
      <w:r w:rsidR="00290A38" w:rsidRPr="006231AF">
        <w:t>biosecurity</w:t>
      </w:r>
      <w:r w:rsidRPr="006231AF">
        <w:t xml:space="preserve"> risk for each disease or pest associated with an imported good and whether sanitary or phytosanitary measures are required</w:t>
      </w:r>
      <w:r w:rsidR="00E34E29" w:rsidRPr="006231AF">
        <w:t xml:space="preserve"> to reduce risk to a level which achieves Australia’s ALOP</w:t>
      </w:r>
      <w:r w:rsidRPr="006231AF">
        <w:t>.</w:t>
      </w:r>
    </w:p>
    <w:p w14:paraId="5F8A3E68" w14:textId="0B2AE28C" w:rsidR="00EF5553" w:rsidRPr="006231AF" w:rsidRDefault="00EF5553" w:rsidP="00ED1A30">
      <w:pPr>
        <w:pStyle w:val="Heading3"/>
      </w:pPr>
      <w:bookmarkStart w:id="9" w:name="_Toc430767798"/>
      <w:bookmarkStart w:id="10" w:name="_Toc452647297"/>
      <w:bookmarkStart w:id="11" w:name="_Toc215554953"/>
      <w:bookmarkStart w:id="12" w:name="_Toc224822376"/>
      <w:r w:rsidRPr="006231AF">
        <w:t>Biosecurity framework</w:t>
      </w:r>
      <w:bookmarkEnd w:id="9"/>
      <w:bookmarkEnd w:id="10"/>
      <w:bookmarkEnd w:id="11"/>
      <w:bookmarkEnd w:id="12"/>
    </w:p>
    <w:p w14:paraId="627F3884" w14:textId="4828E984" w:rsidR="008E409F" w:rsidRPr="006231AF" w:rsidRDefault="00EF5553" w:rsidP="00516958">
      <w:pPr>
        <w:rPr>
          <w:rFonts w:cstheme="minorHAnsi"/>
        </w:rPr>
      </w:pPr>
      <w:r w:rsidRPr="006231AF">
        <w:t>BIRAs are one part of Australia’s biosecurity system. Australia’s approach to managing the risk of diseases and pests is a multi-layered system involving complementary measures applied along the biosecurity continuum—offshore, at the border and onshore. This section</w:t>
      </w:r>
      <w:r w:rsidR="0063084B" w:rsidRPr="006231AF">
        <w:t xml:space="preserve"> of the guidelines</w:t>
      </w:r>
      <w:r w:rsidRPr="006231AF">
        <w:t xml:space="preserve"> outlines Australia’s biosecurity laws and policies and the international standards that apply to Australia’s biosecurity risk framework.</w:t>
      </w:r>
    </w:p>
    <w:p w14:paraId="34E9F115" w14:textId="4BD857E9" w:rsidR="002848EC" w:rsidRPr="006231AF" w:rsidRDefault="00C93FB7" w:rsidP="00ED1A30">
      <w:pPr>
        <w:pStyle w:val="Heading4"/>
      </w:pPr>
      <w:r w:rsidRPr="006231AF">
        <w:t xml:space="preserve">Australia’s </w:t>
      </w:r>
      <w:r w:rsidR="006338FD" w:rsidRPr="006231AF">
        <w:t xml:space="preserve">federal </w:t>
      </w:r>
      <w:r w:rsidRPr="006231AF">
        <w:t xml:space="preserve">biosecurity legislation </w:t>
      </w:r>
    </w:p>
    <w:p w14:paraId="04B31CCE" w14:textId="4DAB7CBB" w:rsidR="00C93FB7" w:rsidRPr="006231AF" w:rsidRDefault="00C93FB7" w:rsidP="005C0796">
      <w:r w:rsidRPr="006231AF">
        <w:t>Australia’s biosecurity system is supported by</w:t>
      </w:r>
      <w:r w:rsidR="00394829" w:rsidRPr="006231AF">
        <w:t xml:space="preserve"> </w:t>
      </w:r>
      <w:r w:rsidR="00F01834" w:rsidRPr="006231AF">
        <w:t xml:space="preserve">Commonwealth </w:t>
      </w:r>
      <w:r w:rsidR="00944D50" w:rsidRPr="006231AF">
        <w:t>biosecurity laws</w:t>
      </w:r>
      <w:r w:rsidRPr="006231AF">
        <w:t xml:space="preserve"> includ</w:t>
      </w:r>
      <w:r w:rsidR="00A8522C" w:rsidRPr="006231AF">
        <w:t>ing</w:t>
      </w:r>
      <w:r w:rsidRPr="006231AF">
        <w:t xml:space="preserve"> the Biosecurity Act and subordinate legislation made under the </w:t>
      </w:r>
      <w:r w:rsidR="00ED4138" w:rsidRPr="006231AF">
        <w:t xml:space="preserve">Biosecurity </w:t>
      </w:r>
      <w:r w:rsidRPr="006231AF">
        <w:t>Act.</w:t>
      </w:r>
    </w:p>
    <w:p w14:paraId="6C357585" w14:textId="77777777" w:rsidR="002848EC" w:rsidRPr="006231AF" w:rsidRDefault="00C93FB7" w:rsidP="005C0796">
      <w:r w:rsidRPr="006231AF">
        <w:t xml:space="preserve">The Biosecurity Act provides for certain matters to be dealt with in more detail in subordinate legislation such as the Biosecurity Regulation and supporting administrative documents such as these guidelines. </w:t>
      </w:r>
    </w:p>
    <w:p w14:paraId="30D55E68" w14:textId="5162D7CF" w:rsidR="005407F8" w:rsidRPr="006231AF" w:rsidRDefault="090601E8" w:rsidP="005C0796">
      <w:r w:rsidRPr="006231AF">
        <w:t xml:space="preserve">It also outlines the role of the </w:t>
      </w:r>
      <w:r w:rsidR="7A9FF097" w:rsidRPr="006231AF">
        <w:t xml:space="preserve">Minister </w:t>
      </w:r>
      <w:r w:rsidR="25096CC6" w:rsidRPr="006231AF">
        <w:t>for</w:t>
      </w:r>
      <w:r w:rsidR="7A9FF097" w:rsidRPr="006231AF">
        <w:t xml:space="preserve"> </w:t>
      </w:r>
      <w:r w:rsidR="1795A6B9" w:rsidRPr="006231AF">
        <w:t>Agriculture</w:t>
      </w:r>
      <w:r w:rsidR="4532C49F" w:rsidRPr="006231AF">
        <w:t>, Fisheries and Forestry</w:t>
      </w:r>
      <w:r w:rsidRPr="006231AF">
        <w:t xml:space="preserve"> </w:t>
      </w:r>
      <w:r w:rsidR="2926BF72" w:rsidRPr="006231AF">
        <w:t xml:space="preserve">who may </w:t>
      </w:r>
      <w:r w:rsidRPr="006231AF">
        <w:t>direct</w:t>
      </w:r>
      <w:r w:rsidR="2926BF72" w:rsidRPr="006231AF">
        <w:t xml:space="preserve"> </w:t>
      </w:r>
      <w:r w:rsidRPr="006231AF">
        <w:t>the Director of Biosecurity to commence a BIRA.</w:t>
      </w:r>
    </w:p>
    <w:p w14:paraId="2BEE514C" w14:textId="77777777" w:rsidR="005407F8" w:rsidRPr="006231AF" w:rsidRDefault="00C93FB7" w:rsidP="005C0796">
      <w:r w:rsidRPr="006231AF">
        <w:t xml:space="preserve">The Biosecurity Regulation sets out and regulates the process for conducting a BIRA. It: </w:t>
      </w:r>
    </w:p>
    <w:p w14:paraId="6AF60EAC" w14:textId="3135C641" w:rsidR="005407F8" w:rsidRPr="006231AF" w:rsidRDefault="00C93FB7" w:rsidP="00D6634F">
      <w:pPr>
        <w:pStyle w:val="ListBullet"/>
      </w:pPr>
      <w:r w:rsidRPr="006231AF">
        <w:t xml:space="preserve">identifies the steps that must be included in a BIRA </w:t>
      </w:r>
    </w:p>
    <w:p w14:paraId="4B624923" w14:textId="5DE9DBE3" w:rsidR="005407F8" w:rsidRPr="006231AF" w:rsidRDefault="00C93FB7" w:rsidP="00D6634F">
      <w:pPr>
        <w:pStyle w:val="ListBullet"/>
      </w:pPr>
      <w:r w:rsidRPr="006231AF">
        <w:t xml:space="preserve">specifies time frames for BIRAs </w:t>
      </w:r>
    </w:p>
    <w:p w14:paraId="19F71F17" w14:textId="202B5F01" w:rsidR="00C93FB7" w:rsidRPr="006231AF" w:rsidRDefault="00C93FB7" w:rsidP="00D6634F">
      <w:pPr>
        <w:pStyle w:val="ListBullet"/>
      </w:pPr>
      <w:r w:rsidRPr="006231AF">
        <w:t>specifies publication and consultation requirement</w:t>
      </w:r>
      <w:r w:rsidR="003E18CD" w:rsidRPr="001A1617">
        <w:t>s</w:t>
      </w:r>
    </w:p>
    <w:p w14:paraId="7F6D13B5" w14:textId="0ABDDD06" w:rsidR="008A15B4" w:rsidRPr="006231AF" w:rsidRDefault="008A15B4" w:rsidP="00D6634F">
      <w:pPr>
        <w:pStyle w:val="ListBullet"/>
      </w:pPr>
      <w:r w:rsidRPr="006231AF">
        <w:lastRenderedPageBreak/>
        <w:t xml:space="preserve">specifies that at any stage in the BIRA process the Director of Biosecurity may request the </w:t>
      </w:r>
      <w:r w:rsidR="00820C9D" w:rsidRPr="006231AF">
        <w:t>S</w:t>
      </w:r>
      <w:r w:rsidRPr="006231AF">
        <w:t xml:space="preserve">cientific </w:t>
      </w:r>
      <w:r w:rsidR="00820C9D" w:rsidRPr="006231AF">
        <w:t>A</w:t>
      </w:r>
      <w:r w:rsidRPr="006231AF">
        <w:t xml:space="preserve">dvisory </w:t>
      </w:r>
      <w:r w:rsidR="00820C9D" w:rsidRPr="006231AF">
        <w:t>G</w:t>
      </w:r>
      <w:r w:rsidRPr="006231AF">
        <w:t>roup</w:t>
      </w:r>
      <w:r w:rsidR="00820C9D" w:rsidRPr="006231AF">
        <w:t xml:space="preserve"> (SAG)</w:t>
      </w:r>
      <w:r w:rsidRPr="006231AF">
        <w:t xml:space="preserve"> to examine and provide comment on any aspect of the BIRA </w:t>
      </w:r>
    </w:p>
    <w:p w14:paraId="2E267575" w14:textId="299BC0C2" w:rsidR="008A15B4" w:rsidRPr="006231AF" w:rsidRDefault="008A15B4" w:rsidP="00D6634F">
      <w:pPr>
        <w:pStyle w:val="ListBullet"/>
      </w:pPr>
      <w:r w:rsidRPr="006231AF">
        <w:t xml:space="preserve">specifies that a provisional BIRA report must be released to communicate the results of the BIRA </w:t>
      </w:r>
    </w:p>
    <w:p w14:paraId="6C3C500D" w14:textId="124D4EC1" w:rsidR="008906E5" w:rsidRPr="006231AF" w:rsidRDefault="008906E5" w:rsidP="00D6634F">
      <w:pPr>
        <w:pStyle w:val="ListBullet"/>
      </w:pPr>
      <w:r w:rsidRPr="006231AF">
        <w:t xml:space="preserve">specifies that </w:t>
      </w:r>
      <w:r w:rsidR="002557DB" w:rsidRPr="006231AF">
        <w:t>a person may request the Inspector-General of Biosecurity to review</w:t>
      </w:r>
      <w:r w:rsidR="007530F7" w:rsidRPr="006231AF">
        <w:t xml:space="preserve"> a</w:t>
      </w:r>
      <w:r w:rsidR="002557DB" w:rsidRPr="006231AF">
        <w:t xml:space="preserve"> </w:t>
      </w:r>
      <w:r w:rsidR="00A56379" w:rsidRPr="006231AF">
        <w:t>B</w:t>
      </w:r>
      <w:r w:rsidR="002557DB" w:rsidRPr="006231AF">
        <w:t>IRA process</w:t>
      </w:r>
    </w:p>
    <w:p w14:paraId="2674FCA6" w14:textId="75430A54" w:rsidR="008A15B4" w:rsidRPr="006231AF" w:rsidRDefault="008A15B4" w:rsidP="00D6634F">
      <w:pPr>
        <w:pStyle w:val="ListBullet"/>
      </w:pPr>
      <w:r w:rsidRPr="006231AF">
        <w:t>makes provisions for the termination of a BIRA</w:t>
      </w:r>
    </w:p>
    <w:p w14:paraId="0849C022" w14:textId="4DFF2DC6" w:rsidR="002557DB" w:rsidRPr="006231AF" w:rsidRDefault="00C30169" w:rsidP="00516958">
      <w:pPr>
        <w:pStyle w:val="ListBullet"/>
        <w:spacing w:after="200"/>
        <w:rPr>
          <w:rFonts w:cstheme="minorHAnsi"/>
        </w:rPr>
      </w:pPr>
      <w:r w:rsidRPr="006231AF">
        <w:rPr>
          <w:rFonts w:cstheme="minorHAnsi"/>
        </w:rPr>
        <w:t>describes the role of the Director of Biosecurity in the BIRA process</w:t>
      </w:r>
      <w:r w:rsidR="003E18CD" w:rsidRPr="006231AF">
        <w:rPr>
          <w:rFonts w:cstheme="minorHAnsi"/>
        </w:rPr>
        <w:t>.</w:t>
      </w:r>
    </w:p>
    <w:p w14:paraId="67C744D1" w14:textId="52219F4D" w:rsidR="00E220CF" w:rsidRPr="006231AF" w:rsidRDefault="00E220CF" w:rsidP="00ED1A30">
      <w:pPr>
        <w:pStyle w:val="Heading4"/>
      </w:pPr>
      <w:bookmarkStart w:id="13" w:name="_Toc357584505"/>
      <w:bookmarkStart w:id="14" w:name="_Toc425164301"/>
      <w:bookmarkStart w:id="15" w:name="_Toc430767801"/>
      <w:bookmarkStart w:id="16" w:name="_Toc432160922"/>
      <w:bookmarkStart w:id="17" w:name="_Toc452647300"/>
      <w:r w:rsidRPr="006231AF">
        <w:t>International agreements and standards</w:t>
      </w:r>
      <w:bookmarkEnd w:id="13"/>
      <w:bookmarkEnd w:id="14"/>
      <w:bookmarkEnd w:id="15"/>
      <w:bookmarkEnd w:id="16"/>
      <w:bookmarkEnd w:id="17"/>
    </w:p>
    <w:p w14:paraId="5F3A1D1D" w14:textId="54397B42" w:rsidR="00E220CF" w:rsidRPr="006231AF" w:rsidRDefault="00AC74A2" w:rsidP="00E220CF">
      <w:r w:rsidRPr="006231AF">
        <w:t xml:space="preserve">International agreements to which Australia is a party </w:t>
      </w:r>
      <w:r w:rsidR="00E220CF" w:rsidRPr="006231AF">
        <w:t>define the rights and obligations of countries in relation to implementing biosecurity arrangements. These agreements include the</w:t>
      </w:r>
      <w:r w:rsidR="0081474D" w:rsidRPr="006231AF">
        <w:t xml:space="preserve"> </w:t>
      </w:r>
      <w:r w:rsidR="00E220CF" w:rsidRPr="006231AF">
        <w:t>SPS</w:t>
      </w:r>
      <w:r w:rsidR="00D42F51" w:rsidRPr="006231AF">
        <w:t xml:space="preserve"> </w:t>
      </w:r>
      <w:r w:rsidR="00E220CF" w:rsidRPr="006231AF">
        <w:t>agreement and the</w:t>
      </w:r>
      <w:r w:rsidR="00826793" w:rsidRPr="006231AF">
        <w:t xml:space="preserve"> World Health Organiza</w:t>
      </w:r>
      <w:r w:rsidR="007E5614" w:rsidRPr="006231AF">
        <w:t>t</w:t>
      </w:r>
      <w:r w:rsidR="00826793" w:rsidRPr="006231AF">
        <w:t>ion</w:t>
      </w:r>
      <w:r w:rsidR="00E220CF" w:rsidRPr="006231AF">
        <w:t xml:space="preserve"> </w:t>
      </w:r>
      <w:r w:rsidR="00826793" w:rsidRPr="006231AF">
        <w:t>(</w:t>
      </w:r>
      <w:r w:rsidR="0081474D" w:rsidRPr="006231AF">
        <w:t>WHO</w:t>
      </w:r>
      <w:r w:rsidR="00826793" w:rsidRPr="006231AF">
        <w:t>)</w:t>
      </w:r>
      <w:r w:rsidR="00E220CF" w:rsidRPr="006231AF">
        <w:t xml:space="preserve"> International Health Regulations. </w:t>
      </w:r>
    </w:p>
    <w:p w14:paraId="537BBE85" w14:textId="0581D4C0" w:rsidR="00E220CF" w:rsidRPr="006231AF" w:rsidRDefault="00E220CF" w:rsidP="00E220CF">
      <w:r w:rsidRPr="006231AF">
        <w:t>All WTO members are signatories to the SPS</w:t>
      </w:r>
      <w:r w:rsidR="00C55435" w:rsidRPr="006231AF">
        <w:t xml:space="preserve"> </w:t>
      </w:r>
      <w:r w:rsidRPr="006231AF">
        <w:t>agreement, under which they have both rights and obligations. The SPS</w:t>
      </w:r>
      <w:r w:rsidR="00C55435" w:rsidRPr="006231AF">
        <w:t xml:space="preserve"> </w:t>
      </w:r>
      <w:r w:rsidRPr="006231AF">
        <w:t xml:space="preserve">agreement provides WTO members with the right to use sanitary (human and animal health) and phytosanitary (plant health) measures to protect human, animal and plant life or health. </w:t>
      </w:r>
    </w:p>
    <w:p w14:paraId="4F3E5E45" w14:textId="343BA55E" w:rsidR="00A359EE" w:rsidRPr="006231AF" w:rsidRDefault="00E220CF" w:rsidP="00E220CF">
      <w:r w:rsidRPr="006231AF">
        <w:t xml:space="preserve">The agreement requires governments to base their SPS measures on international standards, </w:t>
      </w:r>
      <w:r w:rsidR="00965C4D" w:rsidRPr="006231AF">
        <w:t>guidelines,</w:t>
      </w:r>
      <w:r w:rsidRPr="006231AF">
        <w:t xml:space="preserve"> and recommendations, </w:t>
      </w:r>
      <w:r w:rsidR="00664622" w:rsidRPr="006231AF">
        <w:t xml:space="preserve">including, for plant health, the International Standards for Phytosanitary Measures (ISPMs) adopted under the </w:t>
      </w:r>
      <w:r w:rsidR="009A728D" w:rsidRPr="006231AF">
        <w:t>International Plant Protection Convention (</w:t>
      </w:r>
      <w:r w:rsidR="00664622" w:rsidRPr="006231AF">
        <w:t>IPPC</w:t>
      </w:r>
      <w:r w:rsidR="009A728D" w:rsidRPr="006231AF">
        <w:t>)</w:t>
      </w:r>
      <w:r w:rsidR="00664622" w:rsidRPr="006231AF">
        <w:t>, and, for animal health, the standards of the World Organisation for Animal Health</w:t>
      </w:r>
      <w:r w:rsidR="00AB0242" w:rsidRPr="006231AF">
        <w:t xml:space="preserve"> (WOAH)</w:t>
      </w:r>
      <w:r w:rsidR="00AF29CF" w:rsidRPr="006231AF">
        <w:t>.</w:t>
      </w:r>
    </w:p>
    <w:p w14:paraId="0776BDAB" w14:textId="41A42006" w:rsidR="00D0787C" w:rsidRPr="006231AF" w:rsidRDefault="05585E16" w:rsidP="00315DD7">
      <w:r w:rsidRPr="006231AF">
        <w:t xml:space="preserve">Australia bases its risk analysis methodologies and </w:t>
      </w:r>
      <w:r w:rsidR="00C4304F" w:rsidRPr="006231AF">
        <w:t>import</w:t>
      </w:r>
      <w:r w:rsidRPr="006231AF">
        <w:t xml:space="preserve"> risk management measures on the standards, guidelines and recommendations set by the</w:t>
      </w:r>
      <w:r w:rsidR="586C52AE" w:rsidRPr="006231AF">
        <w:t xml:space="preserve"> </w:t>
      </w:r>
      <w:r w:rsidRPr="006231AF">
        <w:t xml:space="preserve">IPPC and </w:t>
      </w:r>
      <w:r w:rsidR="1D473555" w:rsidRPr="006231AF">
        <w:t>WOAH</w:t>
      </w:r>
      <w:r w:rsidRPr="006231AF">
        <w:t>. However, when such standards do not achieve Australia’s ALOP, or relevant standards do not exist, Australia exercises its right under the SPS</w:t>
      </w:r>
      <w:r w:rsidR="7D3BA656" w:rsidRPr="006231AF">
        <w:t xml:space="preserve"> </w:t>
      </w:r>
      <w:r w:rsidRPr="006231AF">
        <w:t>agreement to apply appropriate measures, justified on scientific grounds and supported by risk analysis.</w:t>
      </w:r>
    </w:p>
    <w:p w14:paraId="056D60C1" w14:textId="7729FA7D" w:rsidR="005B6A58" w:rsidRPr="006231AF" w:rsidRDefault="008E409F" w:rsidP="005B6A58">
      <w:pPr>
        <w:pStyle w:val="Heading2"/>
      </w:pPr>
      <w:bookmarkStart w:id="18" w:name="_Toc452647301"/>
      <w:bookmarkStart w:id="19" w:name="_Toc224822377"/>
      <w:bookmarkStart w:id="20" w:name="_Hlk119936897"/>
      <w:bookmarkStart w:id="21" w:name="_Hlk119935358"/>
      <w:bookmarkStart w:id="22" w:name="_Ref445985101"/>
      <w:bookmarkStart w:id="23" w:name="_Toc409769090"/>
      <w:bookmarkEnd w:id="8"/>
      <w:r w:rsidRPr="006231AF">
        <w:lastRenderedPageBreak/>
        <w:t xml:space="preserve">2 </w:t>
      </w:r>
      <w:r w:rsidR="005B6A58" w:rsidRPr="006231AF">
        <w:t>Australia’s biosecurity import risk analysis process</w:t>
      </w:r>
      <w:bookmarkEnd w:id="18"/>
      <w:bookmarkEnd w:id="19"/>
      <w:r w:rsidR="005B6A58" w:rsidRPr="006231AF">
        <w:t xml:space="preserve"> </w:t>
      </w:r>
    </w:p>
    <w:p w14:paraId="4E867C4D" w14:textId="77777777" w:rsidR="006A013B" w:rsidRPr="006231AF" w:rsidRDefault="006A013B" w:rsidP="00ED1A30">
      <w:pPr>
        <w:pStyle w:val="ListParagraph"/>
        <w:keepNext/>
        <w:keepLines/>
        <w:numPr>
          <w:ilvl w:val="0"/>
          <w:numId w:val="7"/>
        </w:numPr>
        <w:outlineLvl w:val="2"/>
        <w:rPr>
          <w:rFonts w:eastAsia="Times New Roman" w:cs="Times New Roman"/>
          <w:b/>
          <w:bCs/>
          <w:vanish/>
          <w:sz w:val="40"/>
          <w:szCs w:val="24"/>
        </w:rPr>
      </w:pPr>
      <w:bookmarkStart w:id="24" w:name="_Toc452647302"/>
    </w:p>
    <w:p w14:paraId="2A08B3E5" w14:textId="7A7DFE02" w:rsidR="009756D3" w:rsidRPr="006231AF" w:rsidRDefault="00A8522C" w:rsidP="00ED1A30">
      <w:pPr>
        <w:pStyle w:val="Heading3"/>
      </w:pPr>
      <w:bookmarkStart w:id="25" w:name="_Toc224822378"/>
      <w:r w:rsidRPr="006231AF">
        <w:t xml:space="preserve">Decision to commence </w:t>
      </w:r>
      <w:r w:rsidR="009756D3" w:rsidRPr="006231AF">
        <w:t>a BIRA</w:t>
      </w:r>
      <w:bookmarkStart w:id="26" w:name="_Toc430767803"/>
      <w:bookmarkEnd w:id="25"/>
      <w:r w:rsidR="009756D3" w:rsidRPr="006231AF">
        <w:t xml:space="preserve"> </w:t>
      </w:r>
      <w:bookmarkEnd w:id="24"/>
      <w:bookmarkEnd w:id="26"/>
    </w:p>
    <w:p w14:paraId="6F06059F" w14:textId="15B77133" w:rsidR="00735022" w:rsidRPr="006231AF" w:rsidRDefault="00DC7043" w:rsidP="00DC7043">
      <w:r w:rsidRPr="006231AF">
        <w:t xml:space="preserve">Under the Biosecurity Act, the decision to commence a BIRA is </w:t>
      </w:r>
      <w:r w:rsidR="00004F69" w:rsidRPr="006231AF">
        <w:t xml:space="preserve">only </w:t>
      </w:r>
      <w:r w:rsidRPr="006231AF">
        <w:t>exercised by the Minister for Agriculture, Fisheries and Forestry (by directing the Director of Biosecurity)</w:t>
      </w:r>
      <w:r w:rsidR="00735022" w:rsidRPr="006231AF">
        <w:t>,</w:t>
      </w:r>
      <w:r w:rsidRPr="006231AF">
        <w:t xml:space="preserve"> or by the Director of Biosecurity, to ensure import settings remain consistent with Australia’s biosecurity policy objectives and ALOP. This includes</w:t>
      </w:r>
      <w:r w:rsidR="00735022" w:rsidRPr="006231AF">
        <w:t>,</w:t>
      </w:r>
      <w:r w:rsidRPr="006231AF">
        <w:t xml:space="preserve"> but is not limited to</w:t>
      </w:r>
      <w:r w:rsidR="00735022" w:rsidRPr="006231AF">
        <w:t>:</w:t>
      </w:r>
    </w:p>
    <w:p w14:paraId="05DDFE3E" w14:textId="77777777" w:rsidR="00735022" w:rsidRPr="006231AF" w:rsidRDefault="00DC7043" w:rsidP="00735022">
      <w:pPr>
        <w:pStyle w:val="ListParagraph"/>
        <w:numPr>
          <w:ilvl w:val="0"/>
          <w:numId w:val="14"/>
        </w:numPr>
        <w:spacing w:after="200" w:line="276" w:lineRule="auto"/>
        <w:ind w:left="760" w:hanging="357"/>
      </w:pPr>
      <w:r w:rsidRPr="006231AF">
        <w:t xml:space="preserve">where new import pathways are proposed, </w:t>
      </w:r>
    </w:p>
    <w:p w14:paraId="373D296C" w14:textId="77777777" w:rsidR="00735022" w:rsidRPr="006231AF" w:rsidRDefault="00DC7043" w:rsidP="00735022">
      <w:pPr>
        <w:pStyle w:val="ListParagraph"/>
        <w:numPr>
          <w:ilvl w:val="0"/>
          <w:numId w:val="14"/>
        </w:numPr>
        <w:spacing w:after="200" w:line="276" w:lineRule="auto"/>
        <w:ind w:left="760" w:hanging="357"/>
      </w:pPr>
      <w:r w:rsidRPr="006231AF">
        <w:t xml:space="preserve">where existing risk management measures are not established, or </w:t>
      </w:r>
    </w:p>
    <w:p w14:paraId="48C073F0" w14:textId="306F41D4" w:rsidR="00DC7043" w:rsidRPr="006231AF" w:rsidRDefault="00DC7043" w:rsidP="00735022">
      <w:pPr>
        <w:pStyle w:val="ListParagraph"/>
        <w:numPr>
          <w:ilvl w:val="0"/>
          <w:numId w:val="14"/>
        </w:numPr>
        <w:spacing w:after="200" w:line="276" w:lineRule="auto"/>
        <w:ind w:left="760" w:hanging="357"/>
      </w:pPr>
      <w:r w:rsidRPr="006231AF">
        <w:t>where previously assessed measures may no longer be sufficient because the likelihood or consequences of pest or disease entry, establishment or spread could differ materially from comparable goods or country/region combinations.</w:t>
      </w:r>
    </w:p>
    <w:p w14:paraId="185F9928" w14:textId="4B223381" w:rsidR="002D321C" w:rsidRPr="006231AF" w:rsidRDefault="002D321C" w:rsidP="2D6AC2C4">
      <w:r w:rsidRPr="006231AF">
        <w:t>The department work</w:t>
      </w:r>
      <w:r w:rsidR="00B06D64" w:rsidRPr="006231AF">
        <w:t>s</w:t>
      </w:r>
      <w:r w:rsidRPr="006231AF">
        <w:t xml:space="preserve"> to identify </w:t>
      </w:r>
      <w:r w:rsidR="00A920F1" w:rsidRPr="006231AF">
        <w:t>and</w:t>
      </w:r>
      <w:r w:rsidR="00A5657F" w:rsidRPr="006231AF">
        <w:t>, as much as possible,</w:t>
      </w:r>
      <w:r w:rsidR="00A920F1" w:rsidRPr="006231AF">
        <w:t xml:space="preserve"> notify </w:t>
      </w:r>
      <w:r w:rsidRPr="006231AF">
        <w:t>stakeholders directly related to the potential BIRA</w:t>
      </w:r>
      <w:r w:rsidR="00A5657F" w:rsidRPr="006231AF">
        <w:t>, including</w:t>
      </w:r>
      <w:r w:rsidR="00581933" w:rsidRPr="006231AF">
        <w:t xml:space="preserve"> through publication of a</w:t>
      </w:r>
      <w:r w:rsidRPr="006231AF">
        <w:t xml:space="preserve"> Biosecurity Advice Notice</w:t>
      </w:r>
      <w:r w:rsidR="00581933" w:rsidRPr="006231AF">
        <w:t xml:space="preserve">, </w:t>
      </w:r>
      <w:r w:rsidR="00CD1FAC" w:rsidRPr="006231AF">
        <w:t xml:space="preserve">on the department’s website </w:t>
      </w:r>
      <w:r w:rsidR="003B3E8C" w:rsidRPr="006231AF">
        <w:t>and</w:t>
      </w:r>
      <w:r w:rsidR="00581933" w:rsidRPr="006231AF">
        <w:t xml:space="preserve"> directly</w:t>
      </w:r>
      <w:r w:rsidRPr="006231AF">
        <w:t xml:space="preserve"> </w:t>
      </w:r>
      <w:r w:rsidR="00581933" w:rsidRPr="006231AF">
        <w:t xml:space="preserve">to </w:t>
      </w:r>
      <w:r w:rsidRPr="006231AF">
        <w:t xml:space="preserve">stakeholders </w:t>
      </w:r>
      <w:r w:rsidR="008C6BFD" w:rsidRPr="006231AF">
        <w:t>who have subscribed</w:t>
      </w:r>
      <w:r w:rsidR="006D7A68" w:rsidRPr="006231AF">
        <w:t xml:space="preserve"> </w:t>
      </w:r>
      <w:r w:rsidR="00AE5347" w:rsidRPr="006231AF">
        <w:t xml:space="preserve">to </w:t>
      </w:r>
      <w:r w:rsidRPr="006231AF">
        <w:t xml:space="preserve">receive </w:t>
      </w:r>
      <w:r w:rsidR="00EF2F6F" w:rsidRPr="006231AF">
        <w:t xml:space="preserve">email </w:t>
      </w:r>
      <w:r w:rsidRPr="006231AF">
        <w:t>notifications.</w:t>
      </w:r>
    </w:p>
    <w:p w14:paraId="40B8C655" w14:textId="4BDF0B99" w:rsidR="003A5C0D" w:rsidRPr="006231AF" w:rsidRDefault="002D321C" w:rsidP="00E46E8C">
      <w:pPr>
        <w:rPr>
          <w:rFonts w:cstheme="minorHAnsi"/>
        </w:rPr>
      </w:pPr>
      <w:r w:rsidRPr="006231AF">
        <w:rPr>
          <w:rFonts w:cstheme="minorHAnsi"/>
        </w:rPr>
        <w:t xml:space="preserve">The department also contacts relevant </w:t>
      </w:r>
      <w:r w:rsidR="00053EC8" w:rsidRPr="006231AF">
        <w:rPr>
          <w:rFonts w:cstheme="minorHAnsi"/>
        </w:rPr>
        <w:t>C</w:t>
      </w:r>
      <w:r w:rsidR="00A95B59" w:rsidRPr="006231AF">
        <w:rPr>
          <w:rFonts w:cstheme="minorHAnsi"/>
        </w:rPr>
        <w:t>ommonwealth</w:t>
      </w:r>
      <w:r w:rsidR="00FB7FC2" w:rsidRPr="006231AF">
        <w:rPr>
          <w:rFonts w:cstheme="minorHAnsi"/>
        </w:rPr>
        <w:t>,</w:t>
      </w:r>
      <w:r w:rsidRPr="006231AF">
        <w:rPr>
          <w:rFonts w:cstheme="minorHAnsi"/>
        </w:rPr>
        <w:t xml:space="preserve"> state and territory </w:t>
      </w:r>
      <w:r w:rsidR="002E5FEB" w:rsidRPr="006231AF">
        <w:rPr>
          <w:rFonts w:cstheme="minorHAnsi"/>
        </w:rPr>
        <w:t xml:space="preserve">government </w:t>
      </w:r>
      <w:r w:rsidRPr="006231AF">
        <w:rPr>
          <w:rFonts w:cstheme="minorHAnsi"/>
        </w:rPr>
        <w:t xml:space="preserve">departments and agencies when </w:t>
      </w:r>
      <w:r w:rsidR="006135FD" w:rsidRPr="006231AF">
        <w:rPr>
          <w:rFonts w:cstheme="minorHAnsi"/>
        </w:rPr>
        <w:t xml:space="preserve">necessary. </w:t>
      </w:r>
    </w:p>
    <w:p w14:paraId="204109A9" w14:textId="25BD39DD" w:rsidR="00FD54A2" w:rsidRPr="006231AF" w:rsidRDefault="00FD54A2" w:rsidP="00ED1A30">
      <w:pPr>
        <w:pStyle w:val="Heading3"/>
      </w:pPr>
      <w:bookmarkStart w:id="27" w:name="_Toc224822379"/>
      <w:bookmarkStart w:id="28" w:name="_Toc452647305"/>
      <w:r w:rsidRPr="006231AF">
        <w:t>Decision to terminate a BIRA</w:t>
      </w:r>
      <w:bookmarkEnd w:id="27"/>
    </w:p>
    <w:p w14:paraId="4C0B89F7" w14:textId="277B7641" w:rsidR="00C1655C" w:rsidRPr="006231AF" w:rsidRDefault="00FD54A2" w:rsidP="00C7321D">
      <w:r w:rsidRPr="006231AF">
        <w:t>The Director of Biosecurity may decide to terminate a BIRA before it is completed if they</w:t>
      </w:r>
      <w:r w:rsidR="00C1655C" w:rsidRPr="006231AF">
        <w:t xml:space="preserve"> are satisfied that there is insufficient information or policy rationale to complete the BIRA; or it </w:t>
      </w:r>
      <w:r w:rsidR="003E18CD" w:rsidRPr="006231AF">
        <w:t xml:space="preserve">is </w:t>
      </w:r>
      <w:r w:rsidR="00C1655C" w:rsidRPr="006231AF">
        <w:t>not appropriate to complete the BIRA for any other reason.</w:t>
      </w:r>
    </w:p>
    <w:p w14:paraId="53AF6A73" w14:textId="42FFADE2" w:rsidR="005E5CDF" w:rsidRPr="006231AF" w:rsidRDefault="005E5CDF" w:rsidP="00ED1A30">
      <w:pPr>
        <w:pStyle w:val="Heading3"/>
      </w:pPr>
      <w:bookmarkStart w:id="29" w:name="_Toc224822380"/>
      <w:r w:rsidRPr="006231AF">
        <w:t>How biosecurity risk is assessed</w:t>
      </w:r>
      <w:bookmarkEnd w:id="28"/>
      <w:bookmarkEnd w:id="29"/>
    </w:p>
    <w:p w14:paraId="448B43E9" w14:textId="639249AF" w:rsidR="001220C3" w:rsidRPr="006231AF" w:rsidRDefault="001220C3" w:rsidP="001220C3">
      <w:pPr>
        <w:rPr>
          <w:rFonts w:cstheme="minorHAnsi"/>
        </w:rPr>
      </w:pPr>
      <w:r w:rsidRPr="006231AF">
        <w:rPr>
          <w:rFonts w:cstheme="minorHAnsi"/>
        </w:rPr>
        <w:t>The department evaluates the likelihood of entry, establishment and spread of a disease or pest and the magnitude of potential consequences, using biological or other scientific evidence and economic evidence. The evaluation follows internationally agreed principles and standards relating to import risk analyses.</w:t>
      </w:r>
      <w:r w:rsidR="00B55BBD" w:rsidRPr="006231AF">
        <w:rPr>
          <w:rFonts w:cstheme="minorHAnsi"/>
        </w:rPr>
        <w:t xml:space="preserve"> </w:t>
      </w:r>
    </w:p>
    <w:p w14:paraId="2DB92A9F" w14:textId="7BAF2D4E" w:rsidR="001220C3" w:rsidRPr="006231AF" w:rsidRDefault="001220C3" w:rsidP="00ED1A30">
      <w:pPr>
        <w:pStyle w:val="Heading4"/>
      </w:pPr>
      <w:bookmarkStart w:id="30" w:name="_Toc432160928"/>
      <w:bookmarkStart w:id="31" w:name="_Toc452647306"/>
      <w:r w:rsidRPr="006231AF">
        <w:t>Within the department</w:t>
      </w:r>
      <w:bookmarkEnd w:id="30"/>
      <w:bookmarkEnd w:id="31"/>
    </w:p>
    <w:p w14:paraId="03C7EB31" w14:textId="104396D3" w:rsidR="00A26E35" w:rsidRPr="006231AF" w:rsidRDefault="001220C3" w:rsidP="00A26E35">
      <w:r w:rsidRPr="006231AF">
        <w:t xml:space="preserve">BIRAs </w:t>
      </w:r>
      <w:r w:rsidR="00A26E35" w:rsidRPr="006231AF">
        <w:t xml:space="preserve">are conducted by departmental staff with appropriate technical expertise and experience in biosecurity risk assessment. These analyses are informed by scientific knowledge and draw on input from officers with tertiary qualifications across a broad range of relevant disciplines, including plant and animal health, environmental and biological sciences, veterinary science, microbiology, and quantitative and analytical fields. This </w:t>
      </w:r>
      <w:r w:rsidR="00132EA1" w:rsidRPr="006231AF">
        <w:t xml:space="preserve">supports </w:t>
      </w:r>
      <w:r w:rsidR="00A26E35" w:rsidRPr="006231AF">
        <w:t xml:space="preserve">assessments </w:t>
      </w:r>
      <w:r w:rsidR="00C2778F" w:rsidRPr="006231AF">
        <w:t xml:space="preserve">that </w:t>
      </w:r>
      <w:r w:rsidR="00A26E35" w:rsidRPr="006231AF">
        <w:t xml:space="preserve">are </w:t>
      </w:r>
      <w:r w:rsidR="0059527C" w:rsidRPr="006231AF">
        <w:t>evidence</w:t>
      </w:r>
      <w:r w:rsidR="0005476E" w:rsidRPr="006231AF">
        <w:t>-</w:t>
      </w:r>
      <w:r w:rsidR="0059527C" w:rsidRPr="006231AF">
        <w:t>based</w:t>
      </w:r>
      <w:r w:rsidR="00C43530" w:rsidRPr="006231AF">
        <w:t xml:space="preserve"> and scientifically</w:t>
      </w:r>
      <w:r w:rsidR="00A26E35" w:rsidRPr="006231AF">
        <w:t xml:space="preserve"> robust</w:t>
      </w:r>
      <w:r w:rsidR="00C43530" w:rsidRPr="006231AF">
        <w:t>.</w:t>
      </w:r>
      <w:r w:rsidR="00A26E35" w:rsidRPr="006231AF">
        <w:t xml:space="preserve"> </w:t>
      </w:r>
    </w:p>
    <w:p w14:paraId="69AEEDFB" w14:textId="238BCBE6" w:rsidR="001220C3" w:rsidRPr="006231AF" w:rsidRDefault="001220C3" w:rsidP="001F506E">
      <w:pPr>
        <w:pStyle w:val="Heading4"/>
      </w:pPr>
      <w:bookmarkStart w:id="32" w:name="_Toc432160929"/>
      <w:bookmarkStart w:id="33" w:name="_Toc452647307"/>
      <w:r w:rsidRPr="006231AF">
        <w:lastRenderedPageBreak/>
        <w:t>Use of external expertise</w:t>
      </w:r>
      <w:bookmarkEnd w:id="32"/>
      <w:bookmarkEnd w:id="33"/>
    </w:p>
    <w:p w14:paraId="37854D14" w14:textId="330551AB" w:rsidR="000E226C" w:rsidRPr="006231AF" w:rsidRDefault="0059527C" w:rsidP="001220C3">
      <w:pPr>
        <w:rPr>
          <w:rFonts w:cstheme="minorHAnsi"/>
        </w:rPr>
      </w:pPr>
      <w:r w:rsidRPr="006231AF">
        <w:rPr>
          <w:rFonts w:cstheme="minorHAnsi"/>
        </w:rPr>
        <w:t xml:space="preserve">Where appropriate, the department draws on external expertise in addition to </w:t>
      </w:r>
      <w:r w:rsidR="00FD4AEE" w:rsidRPr="006231AF">
        <w:rPr>
          <w:rFonts w:cstheme="minorHAnsi"/>
        </w:rPr>
        <w:t>the</w:t>
      </w:r>
      <w:r w:rsidRPr="006231AF">
        <w:rPr>
          <w:rFonts w:cstheme="minorHAnsi"/>
        </w:rPr>
        <w:t xml:space="preserve"> </w:t>
      </w:r>
      <w:r w:rsidR="00946419" w:rsidRPr="006231AF">
        <w:rPr>
          <w:rFonts w:cstheme="minorHAnsi"/>
        </w:rPr>
        <w:t>SAG</w:t>
      </w:r>
      <w:r w:rsidRPr="006231AF">
        <w:rPr>
          <w:rFonts w:cstheme="minorHAnsi"/>
        </w:rPr>
        <w:t xml:space="preserve">. This may include collaboration with state and territory biosecurity agencies, the Commonwealth Scientific and Industrial Research Organisation (CSIRO), the Centre of Excellence for Biosecurity Risk Analysis (CEBRA), </w:t>
      </w:r>
      <w:r w:rsidR="0003658D" w:rsidRPr="006231AF">
        <w:rPr>
          <w:rFonts w:cstheme="minorHAnsi"/>
        </w:rPr>
        <w:t>universities,</w:t>
      </w:r>
      <w:r w:rsidRPr="006231AF">
        <w:rPr>
          <w:rFonts w:cstheme="minorHAnsi"/>
        </w:rPr>
        <w:t xml:space="preserve"> and industry. When required, the department may also convene formal meetings or workshops with scientific and technical experts to inform its assessments.</w:t>
      </w:r>
    </w:p>
    <w:p w14:paraId="1DB85FD0" w14:textId="31B880B4" w:rsidR="001815A1" w:rsidRPr="006231AF" w:rsidRDefault="000659CB" w:rsidP="00301DDA">
      <w:pPr>
        <w:pStyle w:val="Heading4"/>
      </w:pPr>
      <w:r w:rsidRPr="006231AF">
        <w:t>Methodology</w:t>
      </w:r>
    </w:p>
    <w:p w14:paraId="550048A5" w14:textId="6911CCDF" w:rsidR="001815A1" w:rsidRPr="006231AF" w:rsidRDefault="001815A1" w:rsidP="001815A1">
      <w:pPr>
        <w:rPr>
          <w:rFonts w:cstheme="minorHAnsi"/>
        </w:rPr>
      </w:pPr>
      <w:r w:rsidRPr="006231AF">
        <w:rPr>
          <w:rFonts w:cstheme="minorHAnsi"/>
        </w:rPr>
        <w:t>Because plant and animal analyses are covered by two different international standards, detail on the specific methodology used to conduct a given BIRA are contained in individual BIRA reports and are appropriate to the circumstances, as required by the SPS agreement.</w:t>
      </w:r>
    </w:p>
    <w:p w14:paraId="06EFC36D" w14:textId="4A47832A" w:rsidR="001815A1" w:rsidRPr="006231AF" w:rsidRDefault="006D3D77" w:rsidP="00FC5198">
      <w:pPr>
        <w:rPr>
          <w:rFonts w:cstheme="minorHAnsi"/>
        </w:rPr>
      </w:pPr>
      <w:r w:rsidRPr="006231AF">
        <w:rPr>
          <w:rFonts w:cstheme="minorHAnsi"/>
        </w:rPr>
        <w:t xml:space="preserve">Risk estimation is used by the department to </w:t>
      </w:r>
      <w:r w:rsidR="00DA617D" w:rsidRPr="006231AF">
        <w:rPr>
          <w:rFonts w:cstheme="minorHAnsi"/>
        </w:rPr>
        <w:t xml:space="preserve">combine the likelihood of </w:t>
      </w:r>
      <w:r w:rsidR="001815A1" w:rsidRPr="006231AF">
        <w:rPr>
          <w:rFonts w:cstheme="minorHAnsi"/>
        </w:rPr>
        <w:t xml:space="preserve">a disease or pest entering, </w:t>
      </w:r>
      <w:r w:rsidR="0003658D" w:rsidRPr="006231AF">
        <w:rPr>
          <w:rFonts w:cstheme="minorHAnsi"/>
        </w:rPr>
        <w:t>establishing,</w:t>
      </w:r>
      <w:r w:rsidR="001815A1" w:rsidRPr="006231AF">
        <w:rPr>
          <w:rFonts w:cstheme="minorHAnsi"/>
        </w:rPr>
        <w:t xml:space="preserve"> and spreading in Australia with the potential consequences </w:t>
      </w:r>
      <w:r w:rsidR="00664FA4" w:rsidRPr="006231AF">
        <w:rPr>
          <w:rFonts w:cstheme="minorHAnsi"/>
        </w:rPr>
        <w:t>should</w:t>
      </w:r>
      <w:r w:rsidR="001815A1" w:rsidRPr="006231AF">
        <w:rPr>
          <w:rFonts w:cstheme="minorHAnsi"/>
        </w:rPr>
        <w:t xml:space="preserve"> that occur, and to determine whether specific risk management measures are required to achieve Australia’s ALOP.</w:t>
      </w:r>
    </w:p>
    <w:p w14:paraId="3728EC23" w14:textId="1C70D3A7" w:rsidR="001815A1" w:rsidRPr="006231AF" w:rsidRDefault="001815A1" w:rsidP="001815A1">
      <w:pPr>
        <w:rPr>
          <w:rFonts w:cstheme="minorHAnsi"/>
        </w:rPr>
      </w:pPr>
      <w:r w:rsidRPr="006231AF">
        <w:rPr>
          <w:rFonts w:cstheme="minorHAnsi"/>
        </w:rPr>
        <w:t xml:space="preserve">The components of </w:t>
      </w:r>
      <w:r w:rsidR="00D86205" w:rsidRPr="006231AF">
        <w:rPr>
          <w:rFonts w:cstheme="minorHAnsi"/>
        </w:rPr>
        <w:t>biosecurity</w:t>
      </w:r>
      <w:r w:rsidRPr="006231AF">
        <w:rPr>
          <w:rFonts w:cstheme="minorHAnsi"/>
        </w:rPr>
        <w:t xml:space="preserve"> risk</w:t>
      </w:r>
      <w:r w:rsidR="008D7D48" w:rsidRPr="006231AF">
        <w:rPr>
          <w:rFonts w:cstheme="minorHAnsi"/>
        </w:rPr>
        <w:t>, as previously outlined</w:t>
      </w:r>
      <w:r w:rsidR="00D24D8B" w:rsidRPr="006231AF">
        <w:rPr>
          <w:rFonts w:cstheme="minorHAnsi"/>
        </w:rPr>
        <w:t>,</w:t>
      </w:r>
      <w:r w:rsidRPr="006231AF">
        <w:rPr>
          <w:rFonts w:cstheme="minorHAnsi"/>
        </w:rPr>
        <w:t xml:space="preserve"> are combined to give an overall estimate of the unrestricted risks for each disease or pest associated with an imported good and whether those risks achieve Australia’s ALOP. If the estimated risk does not achieve Australia’s ALOP, the department considers whether sanitary or phytosanitary measures will be considered to mitigate the risk. Australia’s ALOP is achieved if the estimated risk is at or below ‘very low</w:t>
      </w:r>
      <w:r w:rsidR="00965C4D" w:rsidRPr="006231AF">
        <w:rPr>
          <w:rFonts w:cstheme="minorHAnsi"/>
        </w:rPr>
        <w:t>.’</w:t>
      </w:r>
    </w:p>
    <w:p w14:paraId="74226256" w14:textId="6D5D87EE" w:rsidR="00C95C0C" w:rsidRPr="006231AF" w:rsidRDefault="00C95C0C" w:rsidP="001815A1">
      <w:pPr>
        <w:rPr>
          <w:rFonts w:cstheme="minorHAnsi"/>
        </w:rPr>
      </w:pPr>
    </w:p>
    <w:p w14:paraId="06D59D0B" w14:textId="58BA1E51" w:rsidR="00335E7D" w:rsidRPr="006231AF" w:rsidRDefault="00F623EA" w:rsidP="00335E7D">
      <w:pPr>
        <w:pStyle w:val="Heading2"/>
      </w:pPr>
      <w:bookmarkStart w:id="34" w:name="_Toc452647309"/>
      <w:bookmarkStart w:id="35" w:name="_Toc224822381"/>
      <w:r w:rsidRPr="006231AF">
        <w:lastRenderedPageBreak/>
        <w:t xml:space="preserve">3 </w:t>
      </w:r>
      <w:r w:rsidR="00335E7D" w:rsidRPr="006231AF">
        <w:t>Matters to be taken into account in conducting a BIRA</w:t>
      </w:r>
      <w:bookmarkEnd w:id="34"/>
      <w:bookmarkEnd w:id="35"/>
    </w:p>
    <w:p w14:paraId="11ACF8FD" w14:textId="77777777" w:rsidR="00301DDA" w:rsidRPr="006231AF" w:rsidRDefault="00301DDA" w:rsidP="00ED1A30">
      <w:pPr>
        <w:pStyle w:val="ListParagraph"/>
        <w:keepNext/>
        <w:keepLines/>
        <w:numPr>
          <w:ilvl w:val="0"/>
          <w:numId w:val="7"/>
        </w:numPr>
        <w:outlineLvl w:val="2"/>
        <w:rPr>
          <w:rFonts w:eastAsia="Times New Roman" w:cs="Times New Roman"/>
          <w:b/>
          <w:bCs/>
          <w:vanish/>
          <w:sz w:val="40"/>
          <w:szCs w:val="24"/>
        </w:rPr>
      </w:pPr>
      <w:bookmarkStart w:id="36" w:name="_Toc430081861"/>
      <w:bookmarkStart w:id="37" w:name="_Toc430767809"/>
      <w:bookmarkStart w:id="38" w:name="_Toc452647310"/>
    </w:p>
    <w:p w14:paraId="69DF1588" w14:textId="63CEDACE" w:rsidR="001D6AE8" w:rsidRPr="006231AF" w:rsidRDefault="00C82FBB" w:rsidP="00827A09">
      <w:pPr>
        <w:pStyle w:val="Heading3"/>
      </w:pPr>
      <w:bookmarkStart w:id="39" w:name="_Toc224822382"/>
      <w:r w:rsidRPr="006231AF">
        <w:t>BIRA Principles</w:t>
      </w:r>
      <w:bookmarkEnd w:id="39"/>
    </w:p>
    <w:p w14:paraId="71382891" w14:textId="3E5809B4" w:rsidR="00572E91" w:rsidRPr="006231AF" w:rsidRDefault="1DF689E5" w:rsidP="002F30C6">
      <w:pPr>
        <w:rPr>
          <w:lang w:eastAsia="ja-JP"/>
        </w:rPr>
      </w:pPr>
      <w:r w:rsidRPr="006231AF">
        <w:t xml:space="preserve">A </w:t>
      </w:r>
      <w:r w:rsidR="2EF8BA3D" w:rsidRPr="006231AF">
        <w:t xml:space="preserve">BIRA </w:t>
      </w:r>
      <w:r w:rsidR="0D9755DD" w:rsidRPr="006231AF">
        <w:t xml:space="preserve">must first </w:t>
      </w:r>
      <w:r w:rsidR="527D5B87" w:rsidRPr="006231AF">
        <w:t xml:space="preserve">completely </w:t>
      </w:r>
      <w:r w:rsidR="3A1D706C" w:rsidRPr="006231AF">
        <w:t>align with</w:t>
      </w:r>
      <w:r w:rsidR="2EF8BA3D" w:rsidRPr="006231AF">
        <w:t xml:space="preserve"> </w:t>
      </w:r>
      <w:r w:rsidR="106B7550" w:rsidRPr="006231AF">
        <w:t xml:space="preserve">Commonwealth legislation, specifically </w:t>
      </w:r>
      <w:r w:rsidR="2EF8BA3D" w:rsidRPr="006231AF">
        <w:t>the Biosecurity Act and Biosecurity Reg</w:t>
      </w:r>
      <w:r w:rsidR="3D9C57CD" w:rsidRPr="006231AF">
        <w:t xml:space="preserve">ulation. In addition, </w:t>
      </w:r>
      <w:bookmarkEnd w:id="36"/>
      <w:bookmarkEnd w:id="37"/>
      <w:bookmarkEnd w:id="38"/>
      <w:r w:rsidR="0299E471" w:rsidRPr="006231AF">
        <w:rPr>
          <w:lang w:eastAsia="ja-JP"/>
        </w:rPr>
        <w:t xml:space="preserve">a </w:t>
      </w:r>
      <w:r w:rsidR="187A82E7" w:rsidRPr="006231AF">
        <w:rPr>
          <w:lang w:eastAsia="ja-JP"/>
        </w:rPr>
        <w:t xml:space="preserve">BIRA must be conducted with regard to the following principles: </w:t>
      </w:r>
    </w:p>
    <w:p w14:paraId="12792835" w14:textId="6C305F75" w:rsidR="00572E91" w:rsidRPr="006231AF" w:rsidRDefault="00572E91" w:rsidP="00827A09">
      <w:pPr>
        <w:pStyle w:val="Heading4"/>
      </w:pPr>
      <w:r w:rsidRPr="006231AF">
        <w:t xml:space="preserve">Alignment with international standards </w:t>
      </w:r>
    </w:p>
    <w:p w14:paraId="4D083186" w14:textId="1592A9B8" w:rsidR="00572E91" w:rsidRPr="006231AF" w:rsidRDefault="00572E91" w:rsidP="00A22841">
      <w:pPr>
        <w:rPr>
          <w:lang w:eastAsia="ja-JP"/>
        </w:rPr>
      </w:pPr>
      <w:r w:rsidRPr="006231AF">
        <w:rPr>
          <w:lang w:eastAsia="ja-JP"/>
        </w:rPr>
        <w:t xml:space="preserve">Risk assessments and associated biosecurity measures are science-based, proportionate to the level of assessed risk, applied consistently, and no more trade restrictive than necessary to achieve </w:t>
      </w:r>
      <w:r w:rsidR="006231AF">
        <w:rPr>
          <w:lang w:eastAsia="ja-JP"/>
        </w:rPr>
        <w:t xml:space="preserve">the </w:t>
      </w:r>
      <w:r w:rsidRPr="006231AF">
        <w:rPr>
          <w:lang w:eastAsia="ja-JP"/>
        </w:rPr>
        <w:t>ALOP.</w:t>
      </w:r>
    </w:p>
    <w:p w14:paraId="4E60CB54" w14:textId="65E04F2A" w:rsidR="00572E91" w:rsidRPr="006231AF" w:rsidRDefault="0AC1D30E" w:rsidP="00A22841">
      <w:pPr>
        <w:rPr>
          <w:lang w:eastAsia="ja-JP"/>
        </w:rPr>
      </w:pPr>
      <w:r w:rsidRPr="006231AF">
        <w:rPr>
          <w:lang w:eastAsia="ja-JP"/>
        </w:rPr>
        <w:t xml:space="preserve">Where appropriate, internationally recognised </w:t>
      </w:r>
      <w:r w:rsidR="00572E91" w:rsidRPr="006231AF">
        <w:rPr>
          <w:lang w:eastAsia="ja-JP"/>
        </w:rPr>
        <w:t>standard</w:t>
      </w:r>
      <w:r w:rsidRPr="006231AF">
        <w:rPr>
          <w:lang w:eastAsia="ja-JP"/>
        </w:rPr>
        <w:t>s</w:t>
      </w:r>
      <w:r w:rsidR="3554F768" w:rsidRPr="006231AF">
        <w:rPr>
          <w:lang w:eastAsia="ja-JP"/>
        </w:rPr>
        <w:t>,</w:t>
      </w:r>
      <w:r w:rsidRPr="006231AF">
        <w:rPr>
          <w:lang w:eastAsia="ja-JP"/>
        </w:rPr>
        <w:t xml:space="preserve"> </w:t>
      </w:r>
      <w:r w:rsidR="46040D2B" w:rsidRPr="006231AF">
        <w:rPr>
          <w:lang w:eastAsia="ja-JP"/>
        </w:rPr>
        <w:t>including those developed by the</w:t>
      </w:r>
      <w:r w:rsidR="003D4C4E" w:rsidRPr="006231AF">
        <w:rPr>
          <w:lang w:eastAsia="ja-JP"/>
        </w:rPr>
        <w:t xml:space="preserve"> </w:t>
      </w:r>
      <w:r w:rsidRPr="006231AF">
        <w:rPr>
          <w:lang w:eastAsia="ja-JP"/>
        </w:rPr>
        <w:t>WOAH</w:t>
      </w:r>
      <w:r w:rsidR="69141B7D" w:rsidRPr="006231AF">
        <w:rPr>
          <w:lang w:eastAsia="ja-JP"/>
        </w:rPr>
        <w:t>,</w:t>
      </w:r>
      <w:r w:rsidRPr="006231AF">
        <w:rPr>
          <w:lang w:eastAsia="ja-JP"/>
        </w:rPr>
        <w:t xml:space="preserve"> IPPC</w:t>
      </w:r>
      <w:r w:rsidR="69141B7D" w:rsidRPr="006231AF">
        <w:rPr>
          <w:lang w:eastAsia="ja-JP"/>
        </w:rPr>
        <w:t xml:space="preserve"> and C</w:t>
      </w:r>
      <w:r w:rsidR="5767211A" w:rsidRPr="006231AF">
        <w:rPr>
          <w:lang w:eastAsia="ja-JP"/>
        </w:rPr>
        <w:t>odex Alimentarius Commission</w:t>
      </w:r>
      <w:r w:rsidR="009E3615" w:rsidRPr="006231AF">
        <w:rPr>
          <w:lang w:eastAsia="ja-JP"/>
        </w:rPr>
        <w:t>, and the</w:t>
      </w:r>
      <w:r w:rsidRPr="006231AF">
        <w:rPr>
          <w:lang w:eastAsia="ja-JP"/>
        </w:rPr>
        <w:t xml:space="preserve"> WTO Agreement on the Application of Sanitary and Phytosanitary Measures (SPS Agreement) are </w:t>
      </w:r>
      <w:proofErr w:type="gramStart"/>
      <w:r w:rsidRPr="006231AF">
        <w:rPr>
          <w:lang w:eastAsia="ja-JP"/>
        </w:rPr>
        <w:t>taken into account</w:t>
      </w:r>
      <w:proofErr w:type="gramEnd"/>
      <w:r w:rsidRPr="006231AF">
        <w:rPr>
          <w:lang w:eastAsia="ja-JP"/>
        </w:rPr>
        <w:t xml:space="preserve"> to support</w:t>
      </w:r>
      <w:r w:rsidR="001B0EF7" w:rsidRPr="006231AF">
        <w:rPr>
          <w:lang w:eastAsia="ja-JP"/>
        </w:rPr>
        <w:t xml:space="preserve"> a </w:t>
      </w:r>
      <w:r w:rsidRPr="006231AF">
        <w:rPr>
          <w:lang w:eastAsia="ja-JP"/>
        </w:rPr>
        <w:t xml:space="preserve">credible and internationally defensible </w:t>
      </w:r>
      <w:r w:rsidR="001B0EF7" w:rsidRPr="006231AF">
        <w:rPr>
          <w:lang w:eastAsia="ja-JP"/>
        </w:rPr>
        <w:t>assessment</w:t>
      </w:r>
      <w:r w:rsidRPr="006231AF">
        <w:rPr>
          <w:lang w:eastAsia="ja-JP"/>
        </w:rPr>
        <w:t>.</w:t>
      </w:r>
    </w:p>
    <w:p w14:paraId="29DA56EF" w14:textId="0899E1A2" w:rsidR="00572E91" w:rsidRPr="006231AF" w:rsidRDefault="50BF5122" w:rsidP="00827A09">
      <w:pPr>
        <w:pStyle w:val="Heading4"/>
      </w:pPr>
      <w:r w:rsidRPr="006231AF">
        <w:t xml:space="preserve">Fit-for-purpose </w:t>
      </w:r>
      <w:r w:rsidR="00D66954" w:rsidRPr="006231AF">
        <w:t>m</w:t>
      </w:r>
      <w:r w:rsidRPr="006231AF">
        <w:t>ethodology</w:t>
      </w:r>
    </w:p>
    <w:p w14:paraId="55A37DDA" w14:textId="5B82703C" w:rsidR="00C7412D" w:rsidRPr="006231AF" w:rsidRDefault="00C7412D" w:rsidP="00ED1A30">
      <w:pPr>
        <w:rPr>
          <w:lang w:eastAsia="ja-JP"/>
        </w:rPr>
      </w:pPr>
      <w:r w:rsidRPr="006231AF">
        <w:rPr>
          <w:lang w:eastAsia="ja-JP"/>
        </w:rPr>
        <w:t>Each BIRA appl</w:t>
      </w:r>
      <w:r w:rsidR="00CB6F70" w:rsidRPr="006231AF">
        <w:rPr>
          <w:lang w:eastAsia="ja-JP"/>
        </w:rPr>
        <w:t>ies</w:t>
      </w:r>
      <w:r w:rsidRPr="006231AF">
        <w:rPr>
          <w:lang w:eastAsia="ja-JP"/>
        </w:rPr>
        <w:t xml:space="preserve"> a sound and fit</w:t>
      </w:r>
      <w:r w:rsidRPr="006231AF">
        <w:rPr>
          <w:rFonts w:ascii="Cambria Math" w:hAnsi="Cambria Math" w:cs="Cambria Math"/>
          <w:lang w:eastAsia="ja-JP"/>
        </w:rPr>
        <w:t>‑</w:t>
      </w:r>
      <w:r w:rsidRPr="006231AF">
        <w:rPr>
          <w:lang w:eastAsia="ja-JP"/>
        </w:rPr>
        <w:t>for</w:t>
      </w:r>
      <w:r w:rsidRPr="006231AF">
        <w:rPr>
          <w:rFonts w:ascii="Cambria Math" w:hAnsi="Cambria Math" w:cs="Cambria Math"/>
          <w:lang w:eastAsia="ja-JP"/>
        </w:rPr>
        <w:t>‑</w:t>
      </w:r>
      <w:r w:rsidRPr="006231AF">
        <w:rPr>
          <w:lang w:eastAsia="ja-JP"/>
        </w:rPr>
        <w:t xml:space="preserve">purpose technical methodology that is appropriate to the commodity, pathway and risk context being assessed. </w:t>
      </w:r>
    </w:p>
    <w:p w14:paraId="4BB905AB" w14:textId="59A48717" w:rsidR="00C0375D" w:rsidRPr="006231AF" w:rsidRDefault="00C7412D" w:rsidP="00C0375D">
      <w:pPr>
        <w:rPr>
          <w:lang w:eastAsia="ja-JP"/>
        </w:rPr>
      </w:pPr>
      <w:r w:rsidRPr="006231AF">
        <w:rPr>
          <w:lang w:eastAsia="ja-JP"/>
        </w:rPr>
        <w:t xml:space="preserve">Where an alternative methodology is used, it </w:t>
      </w:r>
      <w:r w:rsidR="00C0489B" w:rsidRPr="006231AF">
        <w:rPr>
          <w:lang w:eastAsia="ja-JP"/>
        </w:rPr>
        <w:t xml:space="preserve">is expected to </w:t>
      </w:r>
      <w:r w:rsidRPr="006231AF">
        <w:rPr>
          <w:lang w:eastAsia="ja-JP"/>
        </w:rPr>
        <w:t>emulate the essential features of the department’s formal approach. This includes providing a structured, science</w:t>
      </w:r>
      <w:r w:rsidRPr="006231AF">
        <w:rPr>
          <w:rFonts w:ascii="Cambria Math" w:hAnsi="Cambria Math" w:cs="Cambria Math"/>
          <w:lang w:eastAsia="ja-JP"/>
        </w:rPr>
        <w:t>‑</w:t>
      </w:r>
      <w:r w:rsidRPr="006231AF">
        <w:rPr>
          <w:lang w:eastAsia="ja-JP"/>
        </w:rPr>
        <w:t xml:space="preserve">based assessment of the likelihood of pest or disease entry, establishment </w:t>
      </w:r>
      <w:r w:rsidR="00224877" w:rsidRPr="006231AF">
        <w:rPr>
          <w:lang w:eastAsia="ja-JP"/>
        </w:rPr>
        <w:t xml:space="preserve">and </w:t>
      </w:r>
      <w:r w:rsidRPr="006231AF">
        <w:rPr>
          <w:lang w:eastAsia="ja-JP"/>
        </w:rPr>
        <w:t xml:space="preserve">spread, and the magnitude of potential consequences, consistent with Australia’s international obligations and ALOP. </w:t>
      </w:r>
    </w:p>
    <w:p w14:paraId="189129F0" w14:textId="316F4D5F" w:rsidR="00C7412D" w:rsidRPr="006231AF" w:rsidRDefault="00C7412D" w:rsidP="00AC4522">
      <w:pPr>
        <w:rPr>
          <w:lang w:eastAsia="ja-JP"/>
        </w:rPr>
      </w:pPr>
      <w:r w:rsidRPr="006231AF">
        <w:rPr>
          <w:lang w:eastAsia="ja-JP"/>
        </w:rPr>
        <w:t>Regardless of the methodology selected, a BIRA must remain a systematic, evidence</w:t>
      </w:r>
      <w:r w:rsidRPr="006231AF">
        <w:rPr>
          <w:rFonts w:ascii="Cambria Math" w:hAnsi="Cambria Math" w:cs="Cambria Math"/>
          <w:lang w:eastAsia="ja-JP"/>
        </w:rPr>
        <w:t>‑</w:t>
      </w:r>
      <w:r w:rsidRPr="006231AF">
        <w:rPr>
          <w:lang w:eastAsia="ja-JP"/>
        </w:rPr>
        <w:t xml:space="preserve">based assessment, grounded in the best available biological, </w:t>
      </w:r>
      <w:r w:rsidR="0003658D" w:rsidRPr="006231AF">
        <w:rPr>
          <w:lang w:eastAsia="ja-JP"/>
        </w:rPr>
        <w:t>scientific,</w:t>
      </w:r>
      <w:r w:rsidRPr="006231AF">
        <w:rPr>
          <w:lang w:eastAsia="ja-JP"/>
        </w:rPr>
        <w:t xml:space="preserve"> and relevant economic information. </w:t>
      </w:r>
      <w:r w:rsidR="00E7752D" w:rsidRPr="006231AF">
        <w:rPr>
          <w:lang w:eastAsia="ja-JP"/>
        </w:rPr>
        <w:t xml:space="preserve">Where gaps or uncertainties are identified, the </w:t>
      </w:r>
      <w:r w:rsidR="003E18CD" w:rsidRPr="006231AF">
        <w:rPr>
          <w:lang w:eastAsia="ja-JP"/>
        </w:rPr>
        <w:t>d</w:t>
      </w:r>
      <w:r w:rsidR="00E7752D" w:rsidRPr="006231AF">
        <w:rPr>
          <w:lang w:eastAsia="ja-JP"/>
        </w:rPr>
        <w:t>epartment may undertake further research or gather additional information to address them.</w:t>
      </w:r>
    </w:p>
    <w:p w14:paraId="5D70F363" w14:textId="65CF31E5" w:rsidR="00E50AB6" w:rsidRPr="006231AF" w:rsidRDefault="00C7412D" w:rsidP="00A22841">
      <w:pPr>
        <w:rPr>
          <w:lang w:eastAsia="ja-JP"/>
        </w:rPr>
      </w:pPr>
      <w:r w:rsidRPr="006231AF">
        <w:rPr>
          <w:lang w:eastAsia="ja-JP"/>
        </w:rPr>
        <w:t xml:space="preserve">The methodology </w:t>
      </w:r>
      <w:r w:rsidR="00E7752D" w:rsidRPr="006231AF">
        <w:rPr>
          <w:lang w:eastAsia="ja-JP"/>
        </w:rPr>
        <w:t>aims to</w:t>
      </w:r>
      <w:r w:rsidRPr="006231AF">
        <w:rPr>
          <w:lang w:eastAsia="ja-JP"/>
        </w:rPr>
        <w:t xml:space="preserve"> recognise and respond to regional differences, including variation in pest and disease status, climate, host and vector distribution and management practices.</w:t>
      </w:r>
      <w:r w:rsidR="00C0375D" w:rsidRPr="006231AF">
        <w:rPr>
          <w:lang w:eastAsia="ja-JP"/>
        </w:rPr>
        <w:t xml:space="preserve"> </w:t>
      </w:r>
      <w:r w:rsidR="00E140EF" w:rsidRPr="006231AF">
        <w:rPr>
          <w:lang w:eastAsia="ja-JP"/>
        </w:rPr>
        <w:t>The department may also collaborate</w:t>
      </w:r>
      <w:r w:rsidR="00C0375D" w:rsidRPr="006231AF">
        <w:rPr>
          <w:lang w:eastAsia="ja-JP"/>
        </w:rPr>
        <w:t xml:space="preserve"> </w:t>
      </w:r>
      <w:r w:rsidRPr="006231AF">
        <w:rPr>
          <w:lang w:eastAsia="ja-JP"/>
        </w:rPr>
        <w:t xml:space="preserve">with state and territory </w:t>
      </w:r>
      <w:r w:rsidR="00BA34FE" w:rsidRPr="006231AF">
        <w:rPr>
          <w:lang w:eastAsia="ja-JP"/>
        </w:rPr>
        <w:t>agencies</w:t>
      </w:r>
      <w:r w:rsidR="00C01CE7" w:rsidRPr="006231AF">
        <w:rPr>
          <w:lang w:eastAsia="ja-JP"/>
        </w:rPr>
        <w:t xml:space="preserve"> where appropriate to inform the analysis, including the consideration of </w:t>
      </w:r>
      <w:r w:rsidRPr="006231AF">
        <w:rPr>
          <w:lang w:eastAsia="ja-JP"/>
        </w:rPr>
        <w:t>regional biosecurity conditions into the analysis.</w:t>
      </w:r>
      <w:bookmarkStart w:id="40" w:name="Table1BIRAriskmatrix"/>
    </w:p>
    <w:bookmarkEnd w:id="40"/>
    <w:p w14:paraId="2A716C24" w14:textId="08BB0E55" w:rsidR="00572E91" w:rsidRPr="006231AF" w:rsidRDefault="00572E91" w:rsidP="00E71F05">
      <w:pPr>
        <w:pStyle w:val="Heading4"/>
      </w:pPr>
      <w:r w:rsidRPr="006231AF">
        <w:t xml:space="preserve">Conclusions are drawn from an </w:t>
      </w:r>
      <w:r w:rsidR="00310F81" w:rsidRPr="006231AF">
        <w:t>evidence-based</w:t>
      </w:r>
      <w:r w:rsidR="00B74539" w:rsidRPr="006231AF">
        <w:t xml:space="preserve"> </w:t>
      </w:r>
      <w:r w:rsidRPr="006231AF">
        <w:t xml:space="preserve">assessment of scientific information </w:t>
      </w:r>
    </w:p>
    <w:p w14:paraId="5C4E608A" w14:textId="244B3E0E" w:rsidR="00572E91" w:rsidRPr="006231AF" w:rsidRDefault="00572E91" w:rsidP="00A22841">
      <w:pPr>
        <w:rPr>
          <w:lang w:eastAsia="ja-JP"/>
        </w:rPr>
      </w:pPr>
      <w:r w:rsidRPr="006231AF">
        <w:rPr>
          <w:lang w:eastAsia="ja-JP"/>
        </w:rPr>
        <w:t xml:space="preserve">The scientific evidence is evaluated to determine whether the unrestricted risk exceeds </w:t>
      </w:r>
      <w:r w:rsidR="0005476E" w:rsidRPr="006231AF">
        <w:rPr>
          <w:lang w:eastAsia="ja-JP"/>
        </w:rPr>
        <w:t xml:space="preserve">the </w:t>
      </w:r>
      <w:r w:rsidRPr="006231AF">
        <w:rPr>
          <w:lang w:eastAsia="ja-JP"/>
        </w:rPr>
        <w:t xml:space="preserve">ALOP. Risk is considered in terms of both the likelihood of </w:t>
      </w:r>
      <w:r w:rsidR="00CE70EC" w:rsidRPr="006231AF">
        <w:rPr>
          <w:lang w:eastAsia="ja-JP"/>
        </w:rPr>
        <w:t xml:space="preserve">disease </w:t>
      </w:r>
      <w:r w:rsidRPr="006231AF">
        <w:rPr>
          <w:lang w:eastAsia="ja-JP"/>
        </w:rPr>
        <w:t xml:space="preserve">or </w:t>
      </w:r>
      <w:r w:rsidR="00CE70EC" w:rsidRPr="006231AF">
        <w:rPr>
          <w:lang w:eastAsia="ja-JP"/>
        </w:rPr>
        <w:t xml:space="preserve">pest </w:t>
      </w:r>
      <w:r w:rsidRPr="006231AF">
        <w:rPr>
          <w:lang w:eastAsia="ja-JP"/>
        </w:rPr>
        <w:t xml:space="preserve">entry, establishment, or spread, and the potential consequences. </w:t>
      </w:r>
      <w:r w:rsidR="00610FD0" w:rsidRPr="006231AF">
        <w:rPr>
          <w:lang w:eastAsia="ja-JP"/>
        </w:rPr>
        <w:t xml:space="preserve">Conclusions </w:t>
      </w:r>
      <w:r w:rsidRPr="006231AF">
        <w:rPr>
          <w:lang w:eastAsia="ja-JP"/>
        </w:rPr>
        <w:t xml:space="preserve">are based on the best available science, consistent across comparable situations, and aligned with the </w:t>
      </w:r>
      <w:r w:rsidR="00CD74A6" w:rsidRPr="006231AF">
        <w:rPr>
          <w:lang w:eastAsia="ja-JP"/>
        </w:rPr>
        <w:t>Biosecurity Act</w:t>
      </w:r>
      <w:r w:rsidRPr="006231AF">
        <w:rPr>
          <w:lang w:eastAsia="ja-JP"/>
        </w:rPr>
        <w:t>, the</w:t>
      </w:r>
      <w:r w:rsidR="00CD74A6" w:rsidRPr="006231AF">
        <w:rPr>
          <w:lang w:eastAsia="ja-JP"/>
        </w:rPr>
        <w:t xml:space="preserve"> Biosecurity</w:t>
      </w:r>
      <w:r w:rsidRPr="006231AF">
        <w:rPr>
          <w:lang w:eastAsia="ja-JP"/>
        </w:rPr>
        <w:t xml:space="preserve"> Regulation, and Australia’s obligations under the SPS Agreement. </w:t>
      </w:r>
    </w:p>
    <w:p w14:paraId="45DA8891" w14:textId="69F7ABB3" w:rsidR="00572E91" w:rsidRPr="006231AF" w:rsidRDefault="00572E91" w:rsidP="00E71F05">
      <w:pPr>
        <w:pStyle w:val="Heading4"/>
      </w:pPr>
      <w:r w:rsidRPr="006231AF">
        <w:lastRenderedPageBreak/>
        <w:t>Use of expert advice</w:t>
      </w:r>
    </w:p>
    <w:p w14:paraId="5560B838" w14:textId="00346697" w:rsidR="002B418C" w:rsidRPr="006231AF" w:rsidRDefault="00572E91" w:rsidP="00A22841">
      <w:r w:rsidRPr="006231AF">
        <w:t>BIRA</w:t>
      </w:r>
      <w:r w:rsidR="001753A6" w:rsidRPr="006231AF">
        <w:t>s</w:t>
      </w:r>
      <w:r w:rsidRPr="006231AF">
        <w:t xml:space="preserve"> </w:t>
      </w:r>
      <w:r w:rsidR="001753A6" w:rsidRPr="006231AF">
        <w:t>are</w:t>
      </w:r>
      <w:r w:rsidRPr="006231AF">
        <w:t xml:space="preserve"> informed by relevant scientific and technical expertise to support robust and transparent decision-making. Where further information, research, or specialised advice is considered necessary to complete the assessment, the Director of Biosecurity may seek input from an appropriate person. </w:t>
      </w:r>
    </w:p>
    <w:p w14:paraId="2FBFC342" w14:textId="4D60706A" w:rsidR="00370150" w:rsidRPr="006231AF" w:rsidRDefault="00572E91" w:rsidP="00A22841">
      <w:r w:rsidRPr="006231AF">
        <w:rPr>
          <w:lang w:eastAsia="ja-JP"/>
        </w:rPr>
        <w:t>The Director</w:t>
      </w:r>
      <w:r w:rsidR="0057441B" w:rsidRPr="006231AF">
        <w:rPr>
          <w:lang w:eastAsia="ja-JP"/>
        </w:rPr>
        <w:t xml:space="preserve"> of Biosecurity</w:t>
      </w:r>
      <w:r w:rsidRPr="006231AF">
        <w:rPr>
          <w:lang w:eastAsia="ja-JP"/>
        </w:rPr>
        <w:t xml:space="preserve"> may also consult </w:t>
      </w:r>
      <w:r w:rsidRPr="006231AF">
        <w:t xml:space="preserve">the </w:t>
      </w:r>
      <w:r w:rsidR="18E7689D" w:rsidRPr="006231AF">
        <w:t>SAG</w:t>
      </w:r>
      <w:r w:rsidRPr="006231AF">
        <w:t xml:space="preserve"> to examine and provide comments on </w:t>
      </w:r>
      <w:r w:rsidR="00C1655C" w:rsidRPr="006231AF">
        <w:t xml:space="preserve">any </w:t>
      </w:r>
      <w:r w:rsidRPr="006231AF">
        <w:t>aspects of the BIRA</w:t>
      </w:r>
      <w:r w:rsidR="00370150" w:rsidRPr="006231AF">
        <w:t>. The SAG is available for use only for a BIRA and only where necessary</w:t>
      </w:r>
      <w:r w:rsidR="006201EB" w:rsidRPr="006231AF">
        <w:t>. F</w:t>
      </w:r>
      <w:r w:rsidR="00370150" w:rsidRPr="006231AF">
        <w:t>or example</w:t>
      </w:r>
      <w:r w:rsidR="006201EB" w:rsidRPr="006231AF">
        <w:t>,</w:t>
      </w:r>
      <w:r w:rsidR="00370150" w:rsidRPr="006231AF">
        <w:t xml:space="preserve"> where the BIRA is of highly complex nature or where differing stakeholder views make it difficult to reach </w:t>
      </w:r>
      <w:r w:rsidR="006201EB" w:rsidRPr="006231AF">
        <w:t xml:space="preserve">scientific based </w:t>
      </w:r>
      <w:r w:rsidR="00370150" w:rsidRPr="006231AF">
        <w:t>conclusions. The</w:t>
      </w:r>
      <w:r w:rsidR="00E020F5" w:rsidRPr="006231AF">
        <w:t xml:space="preserve"> </w:t>
      </w:r>
      <w:r w:rsidR="00B40824" w:rsidRPr="006231AF">
        <w:t>SAG</w:t>
      </w:r>
      <w:r w:rsidR="00E020F5" w:rsidRPr="006231AF">
        <w:t>’s</w:t>
      </w:r>
      <w:r w:rsidR="00B40824" w:rsidRPr="006231AF">
        <w:t xml:space="preserve"> </w:t>
      </w:r>
      <w:r w:rsidR="00C1655C" w:rsidRPr="006231AF">
        <w:t xml:space="preserve">comments and any </w:t>
      </w:r>
      <w:r w:rsidR="00B40824" w:rsidRPr="006231AF">
        <w:t>f</w:t>
      </w:r>
      <w:r w:rsidRPr="006231AF">
        <w:t>indings must be taken into account in preparing the provisional BIRA report.</w:t>
      </w:r>
      <w:r w:rsidR="001F77E2" w:rsidRPr="006231AF">
        <w:t xml:space="preserve"> </w:t>
      </w:r>
    </w:p>
    <w:p w14:paraId="4D9313AB" w14:textId="45F4E3E1" w:rsidR="00572E91" w:rsidRPr="006231AF" w:rsidRDefault="00572E91" w:rsidP="00E71F05">
      <w:pPr>
        <w:pStyle w:val="Heading4"/>
      </w:pPr>
      <w:r w:rsidRPr="006231AF">
        <w:t xml:space="preserve">Adheres to </w:t>
      </w:r>
      <w:r w:rsidR="006231AF">
        <w:t xml:space="preserve">the </w:t>
      </w:r>
      <w:r w:rsidRPr="006231AF">
        <w:t>ALOP</w:t>
      </w:r>
    </w:p>
    <w:p w14:paraId="1E665580" w14:textId="4F122E5D" w:rsidR="00572E91" w:rsidRPr="006231AF" w:rsidRDefault="006231AF" w:rsidP="00A22841">
      <w:pPr>
        <w:rPr>
          <w:lang w:eastAsia="ja-JP"/>
        </w:rPr>
      </w:pPr>
      <w:r>
        <w:rPr>
          <w:lang w:eastAsia="ja-JP"/>
        </w:rPr>
        <w:t xml:space="preserve">The </w:t>
      </w:r>
      <w:r w:rsidR="00BF5DE6" w:rsidRPr="006231AF">
        <w:rPr>
          <w:lang w:eastAsia="ja-JP"/>
        </w:rPr>
        <w:t>ALOP</w:t>
      </w:r>
      <w:r w:rsidR="00572E91" w:rsidRPr="006231AF">
        <w:rPr>
          <w:lang w:eastAsia="ja-JP"/>
        </w:rPr>
        <w:t xml:space="preserve"> articulates the level of biosecurity protection that Australia considers acceptable to safeguard human, animal, and plant health. It recognises that biosecurity risk cannot be reduced to zero</w:t>
      </w:r>
      <w:r w:rsidR="7FD4393C" w:rsidRPr="006231AF">
        <w:rPr>
          <w:lang w:eastAsia="ja-JP"/>
        </w:rPr>
        <w:t xml:space="preserve"> </w:t>
      </w:r>
      <w:r w:rsidR="00572E91" w:rsidRPr="006231AF">
        <w:rPr>
          <w:lang w:eastAsia="ja-JP"/>
        </w:rPr>
        <w:t>and instead establishes an acceptable level of risk that reflects national policy objectives.</w:t>
      </w:r>
    </w:p>
    <w:p w14:paraId="56EAC2D3" w14:textId="31A828F7" w:rsidR="00572E91" w:rsidRPr="006231AF" w:rsidRDefault="00572E91" w:rsidP="00A22841">
      <w:pPr>
        <w:rPr>
          <w:lang w:eastAsia="ja-JP"/>
        </w:rPr>
      </w:pPr>
      <w:r w:rsidRPr="006231AF">
        <w:rPr>
          <w:lang w:eastAsia="ja-JP"/>
        </w:rPr>
        <w:t>Within a BIRA,</w:t>
      </w:r>
      <w:r w:rsidR="006231AF">
        <w:rPr>
          <w:lang w:eastAsia="ja-JP"/>
        </w:rPr>
        <w:t xml:space="preserve"> the</w:t>
      </w:r>
      <w:r w:rsidRPr="006231AF">
        <w:rPr>
          <w:lang w:eastAsia="ja-JP"/>
        </w:rPr>
        <w:t xml:space="preserve"> ALOP operates as a fundamental policy benchmark against which identified biosecurity risks are evaluated and managed. Risk assessment processes estimate the likelihood and consequences of </w:t>
      </w:r>
      <w:r w:rsidR="00543D77" w:rsidRPr="006231AF">
        <w:rPr>
          <w:lang w:eastAsia="ja-JP"/>
        </w:rPr>
        <w:t xml:space="preserve">disease </w:t>
      </w:r>
      <w:r w:rsidRPr="006231AF">
        <w:rPr>
          <w:lang w:eastAsia="ja-JP"/>
        </w:rPr>
        <w:t xml:space="preserve">or </w:t>
      </w:r>
      <w:r w:rsidR="0008745A" w:rsidRPr="006231AF">
        <w:rPr>
          <w:lang w:eastAsia="ja-JP"/>
        </w:rPr>
        <w:t xml:space="preserve">pest </w:t>
      </w:r>
      <w:r w:rsidRPr="006231AF">
        <w:rPr>
          <w:lang w:eastAsia="ja-JP"/>
        </w:rPr>
        <w:t xml:space="preserve">entry, establishment, and spread, while risk management measures are selected and calibrated to reduce those risks to a level </w:t>
      </w:r>
      <w:r w:rsidR="00747CA3" w:rsidRPr="006231AF">
        <w:rPr>
          <w:lang w:eastAsia="ja-JP"/>
        </w:rPr>
        <w:t xml:space="preserve">that achieves </w:t>
      </w:r>
      <w:r w:rsidR="006231AF">
        <w:rPr>
          <w:lang w:eastAsia="ja-JP"/>
        </w:rPr>
        <w:t xml:space="preserve">the </w:t>
      </w:r>
      <w:r w:rsidRPr="006231AF">
        <w:rPr>
          <w:lang w:eastAsia="ja-JP"/>
        </w:rPr>
        <w:t>ALOP.</w:t>
      </w:r>
    </w:p>
    <w:p w14:paraId="568BBA14" w14:textId="2808B1FF" w:rsidR="00572E91" w:rsidRPr="006231AF" w:rsidRDefault="00572E91" w:rsidP="00E71F05">
      <w:pPr>
        <w:pStyle w:val="Heading4"/>
      </w:pPr>
      <w:r w:rsidRPr="006231AF">
        <w:t>Consultation and transparency</w:t>
      </w:r>
    </w:p>
    <w:p w14:paraId="41D019AE" w14:textId="77777777" w:rsidR="00411D02" w:rsidRPr="006231AF" w:rsidRDefault="00572E91" w:rsidP="002F30C6">
      <w:r w:rsidRPr="006231AF">
        <w:t xml:space="preserve">The BIRA process is designed to be transparent, evidence-based, and inclusive of expert and stakeholder input. Stakeholder engagement is built into the BIRA process through the publication of draft, provisional, and final reports, allowing for consultation at key stages. </w:t>
      </w:r>
    </w:p>
    <w:p w14:paraId="496E6410" w14:textId="05CE0F12" w:rsidR="00572E91" w:rsidRPr="006231AF" w:rsidRDefault="00411D02" w:rsidP="002F30C6">
      <w:r w:rsidRPr="006231AF">
        <w:t>A</w:t>
      </w:r>
      <w:r w:rsidR="00572E91" w:rsidRPr="006231AF">
        <w:t>rrangements are made to engage relevant stakeholders, from risk identification through to the design of mitigation measures. Sufficient time is allowed for stakeholders and the public to consider and respond to provisional reports.</w:t>
      </w:r>
    </w:p>
    <w:p w14:paraId="76EBD890" w14:textId="0DA0F2E6" w:rsidR="00FF14D2" w:rsidRPr="006231AF" w:rsidRDefault="00572E91" w:rsidP="008729EC">
      <w:pPr>
        <w:rPr>
          <w:rFonts w:cstheme="minorHAnsi"/>
        </w:rPr>
      </w:pPr>
      <w:r w:rsidRPr="006231AF">
        <w:t xml:space="preserve">The BIRA process </w:t>
      </w:r>
      <w:r w:rsidR="00F74C32" w:rsidRPr="006231AF">
        <w:t xml:space="preserve">may be </w:t>
      </w:r>
      <w:r w:rsidRPr="006231AF">
        <w:t>subject to independent review by the Inspector-General of Biosecurity to ensure integrity and adherence to the regulatory framework.</w:t>
      </w:r>
    </w:p>
    <w:p w14:paraId="308540BE" w14:textId="77777777" w:rsidR="00CA007E" w:rsidRPr="006231AF" w:rsidRDefault="00CA007E" w:rsidP="00CA007E">
      <w:pPr>
        <w:rPr>
          <w:lang w:eastAsia="ja-JP"/>
        </w:rPr>
      </w:pPr>
    </w:p>
    <w:p w14:paraId="37ACF786" w14:textId="091321D5" w:rsidR="00665D9A" w:rsidRPr="006231AF" w:rsidRDefault="00665D9A" w:rsidP="00665D9A">
      <w:pPr>
        <w:tabs>
          <w:tab w:val="left" w:pos="2160"/>
        </w:tabs>
        <w:rPr>
          <w:rFonts w:cstheme="minorHAnsi"/>
        </w:rPr>
      </w:pPr>
    </w:p>
    <w:p w14:paraId="08880D0E" w14:textId="57D4C640" w:rsidR="00C1546F" w:rsidRPr="006231AF" w:rsidRDefault="00D520C6" w:rsidP="00C1546F">
      <w:pPr>
        <w:pStyle w:val="Heading2"/>
      </w:pPr>
      <w:bookmarkStart w:id="41" w:name="_Toc452647319"/>
      <w:bookmarkStart w:id="42" w:name="_Toc224822383"/>
      <w:r w:rsidRPr="006231AF">
        <w:lastRenderedPageBreak/>
        <w:t>4</w:t>
      </w:r>
      <w:r w:rsidR="001A698F" w:rsidRPr="006231AF">
        <w:t xml:space="preserve"> </w:t>
      </w:r>
      <w:r w:rsidR="00C1546F" w:rsidRPr="006231AF">
        <w:t>Consultation and communication</w:t>
      </w:r>
      <w:bookmarkEnd w:id="41"/>
      <w:bookmarkEnd w:id="42"/>
    </w:p>
    <w:p w14:paraId="483580A2" w14:textId="77777777" w:rsidR="00ED1A30" w:rsidRPr="006231AF" w:rsidRDefault="00ED1A30" w:rsidP="00ED1A30">
      <w:pPr>
        <w:pStyle w:val="ListParagraph"/>
        <w:keepNext/>
        <w:keepLines/>
        <w:numPr>
          <w:ilvl w:val="0"/>
          <w:numId w:val="7"/>
        </w:numPr>
        <w:outlineLvl w:val="2"/>
        <w:rPr>
          <w:rFonts w:eastAsia="Times New Roman" w:cs="Times New Roman"/>
          <w:b/>
          <w:bCs/>
          <w:vanish/>
          <w:sz w:val="40"/>
          <w:szCs w:val="24"/>
        </w:rPr>
      </w:pPr>
      <w:bookmarkStart w:id="43" w:name="_Toc430767817"/>
      <w:bookmarkStart w:id="44" w:name="_Toc452647320"/>
    </w:p>
    <w:p w14:paraId="78CB11D5" w14:textId="5C4B1A1C" w:rsidR="00207B89" w:rsidRPr="006231AF" w:rsidRDefault="00207B89" w:rsidP="00ED1A30">
      <w:pPr>
        <w:pStyle w:val="Heading3"/>
      </w:pPr>
      <w:bookmarkStart w:id="45" w:name="_Toc224822384"/>
      <w:r w:rsidRPr="006231AF">
        <w:t>Communication with stakeholders</w:t>
      </w:r>
      <w:bookmarkEnd w:id="43"/>
      <w:bookmarkEnd w:id="44"/>
      <w:bookmarkEnd w:id="45"/>
    </w:p>
    <w:p w14:paraId="21781CC8" w14:textId="719F735F" w:rsidR="00207B89" w:rsidRPr="006231AF" w:rsidRDefault="00207B89" w:rsidP="1BF1D705">
      <w:r w:rsidRPr="006231AF">
        <w:t xml:space="preserve">Stakeholders include anyone with an interest in the specific BIRA underway and may include, but are not limited to, foreign governments, industry groups, state and territory governments, other federal agencies, research organisations, environmental organisations, farmers, importers, </w:t>
      </w:r>
      <w:r w:rsidR="00965C4D" w:rsidRPr="006231AF">
        <w:t>exporters,</w:t>
      </w:r>
      <w:r w:rsidRPr="006231AF">
        <w:t xml:space="preserve"> and the </w:t>
      </w:r>
      <w:r w:rsidR="00580979" w:rsidRPr="006231AF">
        <w:t>public</w:t>
      </w:r>
      <w:r w:rsidRPr="006231AF">
        <w:t>.</w:t>
      </w:r>
    </w:p>
    <w:p w14:paraId="17F4D6A3" w14:textId="15DE8BF2" w:rsidR="00207B89" w:rsidRPr="006231AF" w:rsidRDefault="00207B89" w:rsidP="1BF1D705">
      <w:r w:rsidRPr="006231AF">
        <w:t xml:space="preserve">Consultation throughout the BIRA process is both formal and informal and aims to </w:t>
      </w:r>
      <w:r w:rsidR="50F33485" w:rsidRPr="006231AF">
        <w:t>obtain</w:t>
      </w:r>
      <w:r w:rsidRPr="006231AF">
        <w:t xml:space="preserve"> stakeholder views on technical issues relevant to the risk analysis. Engagement with stakeholders occurs through conversations and meetings, as well as through website updates, publication of biosecurity advice notices and information sent directly to registered stakeholders.</w:t>
      </w:r>
    </w:p>
    <w:p w14:paraId="67F2A6DE" w14:textId="4CFE5B23" w:rsidR="00CF58CA" w:rsidRPr="006231AF" w:rsidRDefault="1F4B8EF1" w:rsidP="1BF1D705">
      <w:r w:rsidRPr="006231AF">
        <w:t>Interested stakeholders may register for inclusion on the department’s communication</w:t>
      </w:r>
      <w:r w:rsidR="57756F94" w:rsidRPr="006231AF">
        <w:t xml:space="preserve">s database.  </w:t>
      </w:r>
      <w:r w:rsidR="00207B89" w:rsidRPr="006231AF">
        <w:t>The database enables stakeholders to indicate areas of interest and the</w:t>
      </w:r>
      <w:r w:rsidR="3A9BDA81" w:rsidRPr="006231AF">
        <w:t>ir preferred form of communication</w:t>
      </w:r>
      <w:r w:rsidR="00CF58CA" w:rsidRPr="006231AF">
        <w:t xml:space="preserve">. </w:t>
      </w:r>
    </w:p>
    <w:p w14:paraId="368113C2" w14:textId="5DF298DC" w:rsidR="00207B89" w:rsidRPr="006231AF" w:rsidRDefault="00207B89" w:rsidP="00207B89">
      <w:pPr>
        <w:rPr>
          <w:rFonts w:cstheme="minorHAnsi"/>
        </w:rPr>
      </w:pPr>
      <w:r w:rsidRPr="006231AF">
        <w:rPr>
          <w:rFonts w:cstheme="minorHAnsi"/>
        </w:rPr>
        <w:t>The department also welcomes stakeholder comments or submissions at any time on matters relevant to the BIRA or other import conditions.</w:t>
      </w:r>
      <w:r w:rsidR="005271E4" w:rsidRPr="006231AF">
        <w:rPr>
          <w:rFonts w:cstheme="minorHAnsi"/>
        </w:rPr>
        <w:t xml:space="preserve"> </w:t>
      </w:r>
    </w:p>
    <w:p w14:paraId="10DFC036" w14:textId="19607F61" w:rsidR="00207B89" w:rsidRPr="006231AF" w:rsidRDefault="00207B89" w:rsidP="00ED1A30">
      <w:pPr>
        <w:pStyle w:val="Heading3"/>
      </w:pPr>
      <w:bookmarkStart w:id="46" w:name="_Toc452647321"/>
      <w:bookmarkStart w:id="47" w:name="_Toc224822385"/>
      <w:r w:rsidRPr="006231AF">
        <w:t>Opportunities for stakeholders to contribute to the BIRA process</w:t>
      </w:r>
      <w:bookmarkEnd w:id="46"/>
      <w:bookmarkEnd w:id="47"/>
    </w:p>
    <w:p w14:paraId="72DD9D13" w14:textId="6A73C518" w:rsidR="00207B89" w:rsidRPr="006231AF" w:rsidRDefault="00207B89" w:rsidP="00207B89">
      <w:pPr>
        <w:rPr>
          <w:rFonts w:cstheme="minorHAnsi"/>
        </w:rPr>
      </w:pPr>
      <w:r w:rsidRPr="006231AF">
        <w:rPr>
          <w:rFonts w:cstheme="minorHAnsi"/>
        </w:rPr>
        <w:t xml:space="preserve">The Biosecurity Regulation specifies the stages of the BIRA process at which stakeholder consultation is required. This is in the form of a formal </w:t>
      </w:r>
      <w:r w:rsidR="00455BBF" w:rsidRPr="006231AF">
        <w:rPr>
          <w:rFonts w:cstheme="minorHAnsi"/>
        </w:rPr>
        <w:t xml:space="preserve">written </w:t>
      </w:r>
      <w:r w:rsidRPr="006231AF">
        <w:rPr>
          <w:rFonts w:cstheme="minorHAnsi"/>
        </w:rPr>
        <w:t>submission process with set time frames.</w:t>
      </w:r>
    </w:p>
    <w:p w14:paraId="0AB299D2" w14:textId="18BC2F4E" w:rsidR="00BC081A" w:rsidRPr="006231AF" w:rsidRDefault="00D520C6" w:rsidP="00BC081A">
      <w:pPr>
        <w:pStyle w:val="Heading2"/>
      </w:pPr>
      <w:bookmarkStart w:id="48" w:name="_Toc432160948"/>
      <w:bookmarkStart w:id="49" w:name="_Toc452647329"/>
      <w:bookmarkStart w:id="50" w:name="_Toc224822386"/>
      <w:r w:rsidRPr="006231AF">
        <w:lastRenderedPageBreak/>
        <w:t>5</w:t>
      </w:r>
      <w:r w:rsidR="00D028CF" w:rsidRPr="006231AF">
        <w:t xml:space="preserve"> </w:t>
      </w:r>
      <w:r w:rsidR="00BC081A" w:rsidRPr="006231AF">
        <w:t>Inspector-General of Biosecurity</w:t>
      </w:r>
      <w:bookmarkEnd w:id="48"/>
      <w:bookmarkEnd w:id="49"/>
      <w:bookmarkEnd w:id="50"/>
    </w:p>
    <w:p w14:paraId="75EB6229" w14:textId="5852F0C0" w:rsidR="001915EA" w:rsidRPr="006231AF" w:rsidRDefault="001915EA" w:rsidP="001915EA">
      <w:pPr>
        <w:rPr>
          <w:rFonts w:cstheme="minorHAnsi"/>
        </w:rPr>
      </w:pPr>
      <w:r w:rsidRPr="006231AF">
        <w:rPr>
          <w:rFonts w:cstheme="minorHAnsi"/>
        </w:rPr>
        <w:t>The Inspector-General of Biosecurity is a</w:t>
      </w:r>
      <w:r w:rsidR="000D61FB" w:rsidRPr="006231AF">
        <w:rPr>
          <w:rFonts w:cstheme="minorHAnsi"/>
        </w:rPr>
        <w:t xml:space="preserve">n </w:t>
      </w:r>
      <w:r w:rsidR="004F4AB2" w:rsidRPr="006231AF">
        <w:rPr>
          <w:rFonts w:cstheme="minorHAnsi"/>
        </w:rPr>
        <w:t>independent statutory</w:t>
      </w:r>
      <w:r w:rsidRPr="006231AF">
        <w:rPr>
          <w:rFonts w:cstheme="minorHAnsi"/>
        </w:rPr>
        <w:t xml:space="preserve"> </w:t>
      </w:r>
      <w:r w:rsidR="008D5F06" w:rsidRPr="006231AF">
        <w:rPr>
          <w:rFonts w:cstheme="minorHAnsi"/>
        </w:rPr>
        <w:t>officer appointed by the Federal</w:t>
      </w:r>
      <w:r w:rsidR="00963E38" w:rsidRPr="006231AF">
        <w:rPr>
          <w:rFonts w:cstheme="minorHAnsi"/>
        </w:rPr>
        <w:t xml:space="preserve"> </w:t>
      </w:r>
      <w:r w:rsidRPr="006231AF">
        <w:rPr>
          <w:rFonts w:cstheme="minorHAnsi"/>
        </w:rPr>
        <w:t>Minister</w:t>
      </w:r>
      <w:r w:rsidR="00537289" w:rsidRPr="006231AF">
        <w:rPr>
          <w:rFonts w:cstheme="minorHAnsi"/>
        </w:rPr>
        <w:t xml:space="preserve"> for</w:t>
      </w:r>
      <w:r w:rsidR="00EC22B3" w:rsidRPr="006231AF">
        <w:rPr>
          <w:rFonts w:cstheme="minorHAnsi"/>
        </w:rPr>
        <w:t xml:space="preserve"> Agriculture, Fisher</w:t>
      </w:r>
      <w:r w:rsidR="0058301A" w:rsidRPr="006231AF">
        <w:rPr>
          <w:rFonts w:cstheme="minorHAnsi"/>
        </w:rPr>
        <w:t>ies and Forestry</w:t>
      </w:r>
      <w:r w:rsidRPr="006231AF">
        <w:rPr>
          <w:rFonts w:cstheme="minorHAnsi"/>
        </w:rPr>
        <w:t>.</w:t>
      </w:r>
    </w:p>
    <w:p w14:paraId="05C8E6C4" w14:textId="72E6CA43" w:rsidR="009E2205" w:rsidRPr="006231AF" w:rsidRDefault="00831313" w:rsidP="001915EA">
      <w:pPr>
        <w:rPr>
          <w:rFonts w:cstheme="minorHAnsi"/>
        </w:rPr>
      </w:pPr>
      <w:r w:rsidRPr="006231AF">
        <w:rPr>
          <w:rFonts w:cstheme="minorHAnsi"/>
        </w:rPr>
        <w:t xml:space="preserve">Any person may request in writing that the Inspector-General review a BIRA process where they believe the process did not accord with the process required by the </w:t>
      </w:r>
      <w:r w:rsidR="00600E45" w:rsidRPr="006231AF">
        <w:rPr>
          <w:rFonts w:cstheme="minorHAnsi"/>
        </w:rPr>
        <w:t xml:space="preserve">Biosecurity </w:t>
      </w:r>
      <w:r w:rsidRPr="006231AF">
        <w:rPr>
          <w:rFonts w:cstheme="minorHAnsi"/>
        </w:rPr>
        <w:t xml:space="preserve">Regulation, the departure from the process was significant, and the person’s interests were, are or may be adversely affected by the failure to conduct the process in accordance with the </w:t>
      </w:r>
      <w:r w:rsidR="00600E45" w:rsidRPr="006231AF">
        <w:rPr>
          <w:rFonts w:cstheme="minorHAnsi"/>
        </w:rPr>
        <w:t xml:space="preserve">Biosecurity </w:t>
      </w:r>
      <w:r w:rsidRPr="006231AF">
        <w:rPr>
          <w:rFonts w:cstheme="minorHAnsi"/>
        </w:rPr>
        <w:t xml:space="preserve">Regulation. </w:t>
      </w:r>
      <w:r w:rsidR="00F443D9" w:rsidRPr="006231AF">
        <w:rPr>
          <w:rFonts w:cstheme="minorHAnsi"/>
        </w:rPr>
        <w:t xml:space="preserve">The Inspector-General must consider any request for review made in accordance with the </w:t>
      </w:r>
      <w:r w:rsidR="00600E45" w:rsidRPr="006231AF">
        <w:rPr>
          <w:rFonts w:cstheme="minorHAnsi"/>
        </w:rPr>
        <w:t xml:space="preserve">Biosecurity </w:t>
      </w:r>
      <w:r w:rsidR="00F443D9" w:rsidRPr="006231AF">
        <w:rPr>
          <w:rFonts w:cstheme="minorHAnsi"/>
        </w:rPr>
        <w:t>Regulation.</w:t>
      </w:r>
    </w:p>
    <w:p w14:paraId="5E39DC21" w14:textId="77777777" w:rsidR="00C1202F" w:rsidRPr="006231AF" w:rsidRDefault="00C1202F" w:rsidP="001915EA">
      <w:pPr>
        <w:rPr>
          <w:rFonts w:cstheme="minorHAnsi"/>
        </w:rPr>
      </w:pPr>
    </w:p>
    <w:p w14:paraId="484A3760" w14:textId="565B1C35" w:rsidR="00830A38" w:rsidRPr="006231AF" w:rsidRDefault="00830A38" w:rsidP="001726F9">
      <w:pPr>
        <w:pStyle w:val="Heading2"/>
        <w:spacing w:after="120"/>
        <w:ind w:left="567" w:hanging="567"/>
        <w:rPr>
          <w:rFonts w:eastAsia="Times New Roman"/>
          <w:color w:val="000000"/>
        </w:rPr>
      </w:pPr>
      <w:bookmarkStart w:id="51" w:name="Appendix_B"/>
      <w:bookmarkStart w:id="52" w:name="_Toc432162354"/>
      <w:bookmarkStart w:id="53" w:name="_Toc452647330"/>
      <w:bookmarkStart w:id="54" w:name="_Toc224822387"/>
      <w:r w:rsidRPr="006231AF">
        <w:rPr>
          <w:rFonts w:eastAsia="Times New Roman"/>
          <w:color w:val="000000"/>
        </w:rPr>
        <w:lastRenderedPageBreak/>
        <w:t>Appendix</w:t>
      </w:r>
      <w:r w:rsidR="002C1B93" w:rsidRPr="006231AF">
        <w:rPr>
          <w:rFonts w:eastAsia="Times New Roman"/>
          <w:color w:val="000000"/>
        </w:rPr>
        <w:t xml:space="preserve"> </w:t>
      </w:r>
      <w:bookmarkEnd w:id="51"/>
      <w:r w:rsidR="002B0A23" w:rsidRPr="006231AF">
        <w:rPr>
          <w:rFonts w:eastAsia="Times New Roman"/>
          <w:color w:val="000000"/>
        </w:rPr>
        <w:t>A</w:t>
      </w:r>
      <w:r w:rsidRPr="006231AF">
        <w:rPr>
          <w:rFonts w:eastAsia="Times New Roman"/>
          <w:color w:val="000000"/>
        </w:rPr>
        <w:t>: Biosecurity contact details</w:t>
      </w:r>
      <w:bookmarkEnd w:id="52"/>
      <w:bookmarkEnd w:id="53"/>
      <w:bookmarkEnd w:id="54"/>
    </w:p>
    <w:p w14:paraId="623B4114" w14:textId="5222C9A2" w:rsidR="00830A38" w:rsidRPr="006231AF" w:rsidRDefault="00830A38" w:rsidP="00830A38">
      <w:pPr>
        <w:rPr>
          <w:rFonts w:cstheme="minorHAnsi"/>
        </w:rPr>
      </w:pPr>
      <w:r w:rsidRPr="006231AF">
        <w:rPr>
          <w:rFonts w:cstheme="minorHAnsi"/>
        </w:rPr>
        <w:t xml:space="preserve">Australian stakeholders are encouraged to provide any information to the department regarding what may be a biosecurity risk by calling the department’s hotline on </w:t>
      </w:r>
      <w:r w:rsidRPr="006231AF">
        <w:rPr>
          <w:rFonts w:cstheme="minorHAnsi"/>
          <w:b/>
        </w:rPr>
        <w:t>1800</w:t>
      </w:r>
      <w:r w:rsidR="000133C2" w:rsidRPr="006231AF">
        <w:rPr>
          <w:rFonts w:cstheme="minorHAnsi"/>
          <w:b/>
        </w:rPr>
        <w:t xml:space="preserve"> 900 090</w:t>
      </w:r>
      <w:r w:rsidRPr="006231AF">
        <w:rPr>
          <w:rFonts w:cstheme="minorHAnsi"/>
        </w:rPr>
        <w:t xml:space="preserve">. </w:t>
      </w:r>
    </w:p>
    <w:p w14:paraId="163C88FD" w14:textId="77777777" w:rsidR="00830A38" w:rsidRPr="006231AF" w:rsidRDefault="00830A38" w:rsidP="00830A38">
      <w:pPr>
        <w:rPr>
          <w:rFonts w:cstheme="minorHAnsi"/>
          <w:b/>
        </w:rPr>
      </w:pPr>
      <w:r w:rsidRPr="006231AF">
        <w:rPr>
          <w:rFonts w:cstheme="minorHAnsi"/>
        </w:rPr>
        <w:t>Domestic stakeholders can also contact the department through the following contact points:</w:t>
      </w:r>
    </w:p>
    <w:p w14:paraId="2B601AE4" w14:textId="3B3A49E4" w:rsidR="00830A38" w:rsidRPr="006231AF" w:rsidRDefault="00830A38" w:rsidP="00830A38">
      <w:pPr>
        <w:rPr>
          <w:rFonts w:cstheme="minorHAnsi"/>
        </w:rPr>
      </w:pPr>
      <w:r w:rsidRPr="006231AF">
        <w:rPr>
          <w:rFonts w:cstheme="minorHAnsi"/>
          <w:b/>
        </w:rPr>
        <w:t>Animal Biosecurity</w:t>
      </w:r>
      <w:r w:rsidRPr="006231AF">
        <w:rPr>
          <w:rFonts w:cstheme="minorHAnsi"/>
          <w:b/>
        </w:rPr>
        <w:br/>
      </w:r>
      <w:r w:rsidRPr="006231AF">
        <w:rPr>
          <w:rFonts w:cstheme="minorHAnsi"/>
        </w:rPr>
        <w:t xml:space="preserve">Email </w:t>
      </w:r>
      <w:hyperlink r:id="rId15" w:history="1">
        <w:r w:rsidR="001C35C7" w:rsidRPr="006231AF">
          <w:rPr>
            <w:rStyle w:val="Hyperlink"/>
            <w:rFonts w:cstheme="minorHAnsi"/>
          </w:rPr>
          <w:t>animalbiosecurity@aff.gov.au</w:t>
        </w:r>
      </w:hyperlink>
      <w:r w:rsidRPr="006231AF">
        <w:rPr>
          <w:rFonts w:cstheme="minorHAnsi"/>
        </w:rPr>
        <w:t xml:space="preserve"> </w:t>
      </w:r>
    </w:p>
    <w:p w14:paraId="20F47386" w14:textId="47F65B97" w:rsidR="00830A38" w:rsidRPr="006231AF" w:rsidRDefault="00830A38" w:rsidP="00830A38">
      <w:pPr>
        <w:rPr>
          <w:rFonts w:cstheme="minorHAnsi"/>
        </w:rPr>
      </w:pPr>
      <w:r w:rsidRPr="006231AF">
        <w:rPr>
          <w:rStyle w:val="IntenseEmphasis"/>
          <w:rFonts w:cstheme="minorHAnsi"/>
          <w:b/>
          <w:bCs/>
          <w:i w:val="0"/>
          <w:iCs w:val="0"/>
          <w:color w:val="auto"/>
        </w:rPr>
        <w:t>Plant Biosecurity</w:t>
      </w:r>
      <w:r w:rsidRPr="006231AF">
        <w:rPr>
          <w:rStyle w:val="IntenseEmphasis"/>
          <w:rFonts w:cstheme="minorHAnsi"/>
          <w:color w:val="auto"/>
        </w:rPr>
        <w:br/>
      </w:r>
      <w:r w:rsidRPr="006231AF">
        <w:rPr>
          <w:rFonts w:cstheme="minorHAnsi"/>
        </w:rPr>
        <w:t xml:space="preserve">Email </w:t>
      </w:r>
      <w:hyperlink r:id="rId16" w:history="1">
        <w:r w:rsidR="002873ED" w:rsidRPr="006231AF">
          <w:rPr>
            <w:rStyle w:val="Hyperlink"/>
            <w:rFonts w:cstheme="minorHAnsi"/>
          </w:rPr>
          <w:t>plantstakeholders@aff.gov.au</w:t>
        </w:r>
      </w:hyperlink>
    </w:p>
    <w:p w14:paraId="7A6998B9" w14:textId="77777777" w:rsidR="00830A38" w:rsidRPr="006231AF" w:rsidRDefault="00830A38" w:rsidP="00830A38">
      <w:pPr>
        <w:rPr>
          <w:rFonts w:cstheme="minorHAnsi"/>
        </w:rPr>
      </w:pPr>
      <w:r w:rsidRPr="006231AF">
        <w:rPr>
          <w:rFonts w:cstheme="minorHAnsi"/>
        </w:rPr>
        <w:t>International stakeholders can contact the department through the following contact points:</w:t>
      </w:r>
    </w:p>
    <w:p w14:paraId="4014FC6D" w14:textId="788F9C76" w:rsidR="00830A38" w:rsidRPr="006231AF" w:rsidRDefault="00830A38" w:rsidP="00830A38">
      <w:pPr>
        <w:rPr>
          <w:rFonts w:cstheme="minorHAnsi"/>
        </w:rPr>
      </w:pPr>
      <w:r w:rsidRPr="006231AF">
        <w:rPr>
          <w:rStyle w:val="IntenseEmphasis"/>
          <w:rFonts w:cstheme="minorHAnsi"/>
          <w:b/>
          <w:bCs/>
          <w:i w:val="0"/>
          <w:iCs w:val="0"/>
          <w:color w:val="auto"/>
        </w:rPr>
        <w:t>Chief Veterinary Officer</w:t>
      </w:r>
      <w:r w:rsidRPr="006231AF">
        <w:rPr>
          <w:rFonts w:cstheme="minorHAnsi"/>
        </w:rPr>
        <w:br/>
        <w:t xml:space="preserve">Email </w:t>
      </w:r>
      <w:hyperlink r:id="rId17" w:history="1">
        <w:r w:rsidR="006065F0" w:rsidRPr="006231AF">
          <w:rPr>
            <w:rStyle w:val="Hyperlink"/>
            <w:rFonts w:cstheme="minorHAnsi"/>
          </w:rPr>
          <w:t>OCVO@aff.gov.au</w:t>
        </w:r>
      </w:hyperlink>
    </w:p>
    <w:p w14:paraId="0024A7F6" w14:textId="64D4DC8B" w:rsidR="00830A38" w:rsidRPr="006231AF" w:rsidRDefault="00830A38" w:rsidP="00830A38">
      <w:pPr>
        <w:rPr>
          <w:rFonts w:cstheme="minorHAnsi"/>
        </w:rPr>
      </w:pPr>
      <w:r w:rsidRPr="006231AF">
        <w:rPr>
          <w:rStyle w:val="IntenseEmphasis"/>
          <w:rFonts w:cstheme="minorHAnsi"/>
          <w:b/>
          <w:bCs/>
          <w:i w:val="0"/>
          <w:iCs w:val="0"/>
          <w:color w:val="auto"/>
        </w:rPr>
        <w:t>Chief Plant Protection Officer</w:t>
      </w:r>
      <w:r w:rsidRPr="006231AF">
        <w:rPr>
          <w:rStyle w:val="IntenseEmphasis"/>
          <w:rFonts w:cstheme="minorHAnsi"/>
          <w:color w:val="auto"/>
        </w:rPr>
        <w:br/>
      </w:r>
      <w:r w:rsidRPr="006231AF">
        <w:rPr>
          <w:rFonts w:cstheme="minorHAnsi"/>
        </w:rPr>
        <w:t xml:space="preserve">Email </w:t>
      </w:r>
      <w:hyperlink r:id="rId18" w:history="1">
        <w:r w:rsidR="00151C1E" w:rsidRPr="006231AF">
          <w:rPr>
            <w:rStyle w:val="Hyperlink"/>
            <w:rFonts w:cstheme="minorHAnsi"/>
          </w:rPr>
          <w:t>ippc.contactpoint@aff.gov.au</w:t>
        </w:r>
      </w:hyperlink>
    </w:p>
    <w:p w14:paraId="194C2AFD" w14:textId="77777777" w:rsidR="00830A38" w:rsidRPr="006231AF" w:rsidRDefault="00830A38" w:rsidP="00830A38">
      <w:pPr>
        <w:spacing w:before="240"/>
        <w:rPr>
          <w:rFonts w:cstheme="minorHAnsi"/>
          <w:b/>
        </w:rPr>
      </w:pPr>
      <w:r w:rsidRPr="006231AF">
        <w:rPr>
          <w:rFonts w:cstheme="minorHAnsi"/>
        </w:rPr>
        <w:t>The department’s postal address is:</w:t>
      </w:r>
    </w:p>
    <w:p w14:paraId="1A19DC3E" w14:textId="24F1E55F" w:rsidR="00830A38" w:rsidRPr="006231AF" w:rsidRDefault="00830A38" w:rsidP="00830A38">
      <w:pPr>
        <w:rPr>
          <w:rFonts w:cstheme="minorHAnsi"/>
        </w:rPr>
      </w:pPr>
      <w:r w:rsidRPr="006231AF">
        <w:rPr>
          <w:rFonts w:cstheme="minorHAnsi"/>
        </w:rPr>
        <w:t>Department of Agriculture</w:t>
      </w:r>
      <w:r w:rsidR="00C76E49" w:rsidRPr="006231AF">
        <w:rPr>
          <w:rFonts w:cstheme="minorHAnsi"/>
        </w:rPr>
        <w:t>, Fisheries and Forestry</w:t>
      </w:r>
      <w:r w:rsidRPr="006231AF">
        <w:rPr>
          <w:rFonts w:cstheme="minorHAnsi"/>
        </w:rPr>
        <w:br/>
        <w:t>GPO Box 858</w:t>
      </w:r>
      <w:r w:rsidRPr="006231AF">
        <w:rPr>
          <w:rFonts w:cstheme="minorHAnsi"/>
        </w:rPr>
        <w:br/>
        <w:t>Canberra ACT 2601</w:t>
      </w:r>
      <w:r w:rsidRPr="006231AF">
        <w:rPr>
          <w:rFonts w:cstheme="minorHAnsi"/>
        </w:rPr>
        <w:br/>
        <w:t>Australia</w:t>
      </w:r>
    </w:p>
    <w:p w14:paraId="31BD5EEB" w14:textId="77777777" w:rsidR="00006E36" w:rsidRPr="006231AF" w:rsidRDefault="00006E36" w:rsidP="0011041B">
      <w:pPr>
        <w:rPr>
          <w:rFonts w:cstheme="minorHAnsi"/>
        </w:rPr>
      </w:pPr>
    </w:p>
    <w:p w14:paraId="1CEDECB9" w14:textId="77777777" w:rsidR="00BC3D18" w:rsidRPr="006231AF" w:rsidRDefault="00BC3D18" w:rsidP="00BC3D18"/>
    <w:bookmarkEnd w:id="20"/>
    <w:bookmarkEnd w:id="21"/>
    <w:bookmarkEnd w:id="22"/>
    <w:bookmarkEnd w:id="23"/>
    <w:p w14:paraId="353104B3" w14:textId="5DD147B5" w:rsidR="00764D6A" w:rsidRPr="006231AF" w:rsidRDefault="00764D6A" w:rsidP="00284D14"/>
    <w:p w14:paraId="3B9774DE" w14:textId="77777777" w:rsidR="000759FB" w:rsidRPr="006231AF" w:rsidRDefault="000759FB" w:rsidP="00284D14"/>
    <w:p w14:paraId="78A09590" w14:textId="77777777" w:rsidR="000759FB" w:rsidRPr="006231AF" w:rsidRDefault="000759FB" w:rsidP="00284D14"/>
    <w:p w14:paraId="07DB1969" w14:textId="77777777" w:rsidR="000759FB" w:rsidRPr="006231AF" w:rsidRDefault="000759FB" w:rsidP="00284D14"/>
    <w:p w14:paraId="40FB7319" w14:textId="77777777" w:rsidR="000759FB" w:rsidRPr="006231AF" w:rsidRDefault="000759FB" w:rsidP="00284D14"/>
    <w:p w14:paraId="5B894483" w14:textId="77777777" w:rsidR="000759FB" w:rsidRPr="006231AF" w:rsidRDefault="000759FB" w:rsidP="00284D14"/>
    <w:p w14:paraId="752FCAB5" w14:textId="3CDF1918" w:rsidR="000759FB" w:rsidRPr="006231AF" w:rsidRDefault="000759FB" w:rsidP="000759FB">
      <w:pPr>
        <w:pStyle w:val="Heading2"/>
        <w:ind w:left="567" w:hanging="567"/>
      </w:pPr>
      <w:bookmarkStart w:id="55" w:name="_Toc432162355"/>
      <w:bookmarkStart w:id="56" w:name="_Toc452647331"/>
      <w:bookmarkStart w:id="57" w:name="_Toc224822388"/>
      <w:r w:rsidRPr="006231AF">
        <w:lastRenderedPageBreak/>
        <w:t>Glossary</w:t>
      </w:r>
      <w:bookmarkEnd w:id="55"/>
      <w:bookmarkEnd w:id="56"/>
      <w:bookmarkEnd w:id="5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5"/>
      </w:tblGrid>
      <w:tr w:rsidR="00C71605" w:rsidRPr="006231AF" w14:paraId="691C0E45" w14:textId="77777777" w:rsidTr="00CF2C60">
        <w:tc>
          <w:tcPr>
            <w:tcW w:w="2835" w:type="dxa"/>
          </w:tcPr>
          <w:p w14:paraId="45807B96" w14:textId="68431EC0" w:rsidR="000759FB" w:rsidRPr="006231AF" w:rsidRDefault="0037312E" w:rsidP="00CF2C60">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A</w:t>
            </w:r>
            <w:r w:rsidR="000759FB" w:rsidRPr="006231AF">
              <w:rPr>
                <w:rFonts w:asciiTheme="minorHAnsi" w:hAnsiTheme="minorHAnsi" w:cstheme="minorHAnsi"/>
                <w:lang w:val="en-AU"/>
              </w:rPr>
              <w:t xml:space="preserve">ppropriate </w:t>
            </w:r>
            <w:r w:rsidRPr="006231AF">
              <w:rPr>
                <w:rFonts w:asciiTheme="minorHAnsi" w:hAnsiTheme="minorHAnsi" w:cstheme="minorHAnsi"/>
                <w:lang w:val="en-AU"/>
              </w:rPr>
              <w:t>L</w:t>
            </w:r>
            <w:r w:rsidR="000759FB" w:rsidRPr="006231AF">
              <w:rPr>
                <w:rFonts w:asciiTheme="minorHAnsi" w:hAnsiTheme="minorHAnsi" w:cstheme="minorHAnsi"/>
                <w:lang w:val="en-AU"/>
              </w:rPr>
              <w:t xml:space="preserve">evel </w:t>
            </w:r>
            <w:r w:rsidR="0017218D" w:rsidRPr="006231AF">
              <w:rPr>
                <w:rFonts w:asciiTheme="minorHAnsi" w:hAnsiTheme="minorHAnsi" w:cstheme="minorHAnsi"/>
                <w:lang w:val="en-AU"/>
              </w:rPr>
              <w:t>of</w:t>
            </w:r>
            <w:r w:rsidR="000759FB" w:rsidRPr="006231AF">
              <w:rPr>
                <w:rFonts w:asciiTheme="minorHAnsi" w:hAnsiTheme="minorHAnsi" w:cstheme="minorHAnsi"/>
                <w:lang w:val="en-AU"/>
              </w:rPr>
              <w:t xml:space="preserve"> </w:t>
            </w:r>
            <w:r w:rsidRPr="006231AF">
              <w:rPr>
                <w:rFonts w:asciiTheme="minorHAnsi" w:hAnsiTheme="minorHAnsi" w:cstheme="minorHAnsi"/>
                <w:lang w:val="en-AU"/>
              </w:rPr>
              <w:t>P</w:t>
            </w:r>
            <w:r w:rsidR="000759FB" w:rsidRPr="006231AF">
              <w:rPr>
                <w:rFonts w:asciiTheme="minorHAnsi" w:hAnsiTheme="minorHAnsi" w:cstheme="minorHAnsi"/>
                <w:lang w:val="en-AU"/>
              </w:rPr>
              <w:t>rotection (ALOP)</w:t>
            </w:r>
          </w:p>
        </w:tc>
        <w:tc>
          <w:tcPr>
            <w:tcW w:w="6235" w:type="dxa"/>
          </w:tcPr>
          <w:p w14:paraId="6D1210D1" w14:textId="77777777" w:rsidR="000759FB" w:rsidRPr="006231AF" w:rsidRDefault="000759FB" w:rsidP="00CF2C60">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The level of protection that a country considers appropriate to protect human, animal or plant life or health within its territory.</w:t>
            </w:r>
          </w:p>
        </w:tc>
      </w:tr>
      <w:tr w:rsidR="00C71605" w:rsidRPr="006231AF" w14:paraId="7E247C70" w14:textId="77777777" w:rsidTr="00CF2C60">
        <w:tc>
          <w:tcPr>
            <w:tcW w:w="2835" w:type="dxa"/>
          </w:tcPr>
          <w:p w14:paraId="745C6014" w14:textId="77777777" w:rsidR="000759FB" w:rsidRPr="006231AF" w:rsidRDefault="000759FB" w:rsidP="00CF2C60">
            <w:pPr>
              <w:pStyle w:val="glossarytext"/>
              <w:tabs>
                <w:tab w:val="clear" w:pos="1560"/>
              </w:tabs>
              <w:rPr>
                <w:rFonts w:asciiTheme="minorHAnsi" w:hAnsiTheme="minorHAnsi" w:cstheme="minorHAnsi"/>
                <w:lang w:val="en-AU"/>
              </w:rPr>
            </w:pPr>
            <w:r w:rsidRPr="006231AF">
              <w:rPr>
                <w:rFonts w:asciiTheme="minorHAnsi" w:hAnsiTheme="minorHAnsi" w:cstheme="minorHAnsi"/>
                <w:lang w:val="en-AU"/>
              </w:rPr>
              <w:t>Biosecurity Import Risk Analysis (BIRA)</w:t>
            </w:r>
          </w:p>
        </w:tc>
        <w:tc>
          <w:tcPr>
            <w:tcW w:w="6235" w:type="dxa"/>
          </w:tcPr>
          <w:p w14:paraId="16DED881" w14:textId="77777777" w:rsidR="000759FB" w:rsidRPr="006231AF" w:rsidRDefault="000759FB" w:rsidP="00CF2C60">
            <w:pPr>
              <w:pStyle w:val="glossarytext"/>
              <w:tabs>
                <w:tab w:val="clear" w:pos="1560"/>
              </w:tabs>
              <w:rPr>
                <w:rFonts w:asciiTheme="minorHAnsi" w:hAnsiTheme="minorHAnsi" w:cstheme="minorHAnsi"/>
                <w:lang w:val="en-AU"/>
              </w:rPr>
            </w:pPr>
            <w:r w:rsidRPr="006231AF">
              <w:rPr>
                <w:rFonts w:asciiTheme="minorHAnsi" w:hAnsiTheme="minorHAnsi" w:cstheme="minorHAnsi"/>
                <w:lang w:val="en-AU"/>
              </w:rPr>
              <w:t>A regulated scientific evaluation of the level of biosecurity risk associated with particular goods, or a class of goods, that may be imported into Australian territory. A BIRA can identify conditions that must be satisfied to manage the level of biosecurity risk to achieve Australia’s ALOP.</w:t>
            </w:r>
          </w:p>
        </w:tc>
      </w:tr>
      <w:tr w:rsidR="0082469E" w:rsidRPr="006231AF" w14:paraId="03E9BEB7" w14:textId="77777777" w:rsidTr="00CF2C60">
        <w:tc>
          <w:tcPr>
            <w:tcW w:w="2835" w:type="dxa"/>
          </w:tcPr>
          <w:p w14:paraId="6EF941DF" w14:textId="48976D1E" w:rsidR="0082469E" w:rsidRPr="006231AF" w:rsidRDefault="0082469E" w:rsidP="00AC4522">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Biosecurity Act 2015</w:t>
            </w:r>
          </w:p>
        </w:tc>
        <w:tc>
          <w:tcPr>
            <w:tcW w:w="6235" w:type="dxa"/>
          </w:tcPr>
          <w:p w14:paraId="6B61042A" w14:textId="3383D319" w:rsidR="0082469E" w:rsidRPr="006231AF" w:rsidRDefault="0082469E" w:rsidP="00AC4522">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This Act is about managing diseases and pests that may cause harm to human, animal or plant health or the environment</w:t>
            </w:r>
            <w:r w:rsidR="003A565D" w:rsidRPr="006231AF">
              <w:rPr>
                <w:rFonts w:asciiTheme="minorHAnsi" w:hAnsiTheme="minorHAnsi" w:cstheme="minorHAnsi"/>
                <w:lang w:val="en-AU"/>
              </w:rPr>
              <w:t>.</w:t>
            </w:r>
          </w:p>
        </w:tc>
      </w:tr>
      <w:tr w:rsidR="00C71605" w:rsidRPr="006231AF" w14:paraId="01622A80" w14:textId="77777777" w:rsidTr="00CF2C60">
        <w:tc>
          <w:tcPr>
            <w:tcW w:w="2835" w:type="dxa"/>
          </w:tcPr>
          <w:p w14:paraId="58C6E200" w14:textId="28C18850" w:rsidR="000759FB" w:rsidRPr="006231AF" w:rsidRDefault="000759FB" w:rsidP="00CF2C60">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Biosecurity Regulation 2016</w:t>
            </w:r>
          </w:p>
        </w:tc>
        <w:tc>
          <w:tcPr>
            <w:tcW w:w="6235" w:type="dxa"/>
          </w:tcPr>
          <w:p w14:paraId="60D90A04" w14:textId="5C45B61B" w:rsidR="000759FB" w:rsidRPr="006231AF" w:rsidRDefault="000759FB" w:rsidP="00CF2C60">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 xml:space="preserve">A legislative instrument that sets out and regulates key steps of the BIRA process. </w:t>
            </w:r>
          </w:p>
        </w:tc>
      </w:tr>
      <w:tr w:rsidR="00C71605" w:rsidRPr="006231AF" w14:paraId="33E7F2F3" w14:textId="77777777" w:rsidTr="00CF2C60">
        <w:tc>
          <w:tcPr>
            <w:tcW w:w="2835" w:type="dxa"/>
          </w:tcPr>
          <w:p w14:paraId="2E052B52" w14:textId="77777777" w:rsidR="000759FB" w:rsidRPr="006231AF" w:rsidRDefault="000759FB" w:rsidP="00CF2C60">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International Plant Protection Convention (IPPC)</w:t>
            </w:r>
          </w:p>
        </w:tc>
        <w:tc>
          <w:tcPr>
            <w:tcW w:w="6235" w:type="dxa"/>
          </w:tcPr>
          <w:p w14:paraId="175BB2D2" w14:textId="77777777" w:rsidR="000759FB" w:rsidRPr="006231AF" w:rsidRDefault="000759FB" w:rsidP="00CF2C60">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An international plant health agreement established in 1951 that aims to protect cultivated and wild plants from harmful pests that may be introduced through international trade. WTO members are expected to base their phytosanitary measures on international standards developed by the IPPC.</w:t>
            </w:r>
          </w:p>
        </w:tc>
      </w:tr>
      <w:tr w:rsidR="00C71605" w:rsidRPr="006231AF" w14:paraId="1DDD8F72" w14:textId="77777777" w:rsidTr="00CF2C60">
        <w:tc>
          <w:tcPr>
            <w:tcW w:w="2835" w:type="dxa"/>
          </w:tcPr>
          <w:p w14:paraId="64602F80" w14:textId="77777777" w:rsidR="000759FB" w:rsidRPr="006231AF" w:rsidRDefault="000759FB" w:rsidP="00CF2C60">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International Standards for Phytosanitary Measures (ISPMs)</w:t>
            </w:r>
          </w:p>
        </w:tc>
        <w:tc>
          <w:tcPr>
            <w:tcW w:w="6235" w:type="dxa"/>
          </w:tcPr>
          <w:p w14:paraId="590B342D" w14:textId="77777777" w:rsidR="000759FB" w:rsidRPr="006231AF" w:rsidRDefault="000759FB" w:rsidP="00CF2C60">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Standards adopted by the Commission on Phytosanitary Measures, the governing body of the IPPC. ISPMs are recognised as the basis for phytosanitary measures applied in trade by WTO members under the SPS agreement.</w:t>
            </w:r>
          </w:p>
        </w:tc>
      </w:tr>
      <w:tr w:rsidR="00C71605" w:rsidRPr="006231AF" w14:paraId="602010A0" w14:textId="77777777" w:rsidTr="00CF2C60">
        <w:tc>
          <w:tcPr>
            <w:tcW w:w="2835" w:type="dxa"/>
          </w:tcPr>
          <w:p w14:paraId="649637B7" w14:textId="6F3403CA" w:rsidR="000759FB" w:rsidRPr="006231AF" w:rsidRDefault="000759FB" w:rsidP="00CF2C60">
            <w:pPr>
              <w:pStyle w:val="glossarytext"/>
              <w:rPr>
                <w:rFonts w:asciiTheme="minorHAnsi" w:hAnsiTheme="minorHAnsi" w:cstheme="minorHAnsi"/>
                <w:lang w:val="en-AU"/>
              </w:rPr>
            </w:pPr>
            <w:r w:rsidRPr="006231AF">
              <w:rPr>
                <w:rFonts w:asciiTheme="minorHAnsi" w:hAnsiTheme="minorHAnsi" w:cstheme="minorHAnsi"/>
                <w:lang w:val="en-AU"/>
              </w:rPr>
              <w:t>World Organi</w:t>
            </w:r>
            <w:r w:rsidR="00C14700" w:rsidRPr="006231AF">
              <w:rPr>
                <w:rFonts w:asciiTheme="minorHAnsi" w:hAnsiTheme="minorHAnsi" w:cstheme="minorHAnsi"/>
                <w:lang w:val="en-AU"/>
              </w:rPr>
              <w:t>s</w:t>
            </w:r>
            <w:r w:rsidRPr="006231AF">
              <w:rPr>
                <w:rFonts w:asciiTheme="minorHAnsi" w:hAnsiTheme="minorHAnsi" w:cstheme="minorHAnsi"/>
                <w:lang w:val="en-AU"/>
              </w:rPr>
              <w:t>ation for Animal Health (</w:t>
            </w:r>
            <w:r w:rsidR="00325322" w:rsidRPr="006231AF">
              <w:rPr>
                <w:rFonts w:asciiTheme="minorHAnsi" w:hAnsiTheme="minorHAnsi" w:cstheme="minorHAnsi"/>
                <w:lang w:val="en-AU"/>
              </w:rPr>
              <w:t>WOAH</w:t>
            </w:r>
            <w:r w:rsidRPr="006231AF">
              <w:rPr>
                <w:rFonts w:asciiTheme="minorHAnsi" w:hAnsiTheme="minorHAnsi" w:cstheme="minorHAnsi"/>
                <w:lang w:val="en-AU"/>
              </w:rPr>
              <w:t>)</w:t>
            </w:r>
          </w:p>
        </w:tc>
        <w:tc>
          <w:tcPr>
            <w:tcW w:w="6235" w:type="dxa"/>
          </w:tcPr>
          <w:p w14:paraId="71E45865" w14:textId="4F217922" w:rsidR="000759FB" w:rsidRPr="006231AF" w:rsidRDefault="000759FB" w:rsidP="00CF2C60">
            <w:pPr>
              <w:pStyle w:val="glossarytext"/>
              <w:rPr>
                <w:rFonts w:asciiTheme="minorHAnsi" w:hAnsiTheme="minorHAnsi" w:cstheme="minorHAnsi"/>
                <w:lang w:val="en-AU"/>
              </w:rPr>
            </w:pPr>
            <w:r w:rsidRPr="006231AF">
              <w:rPr>
                <w:rFonts w:asciiTheme="minorHAnsi" w:hAnsiTheme="minorHAnsi" w:cstheme="minorHAnsi"/>
                <w:lang w:val="en-AU"/>
              </w:rPr>
              <w:t xml:space="preserve">The intergovernmental organisation responsible for improving animal health worldwide. </w:t>
            </w:r>
            <w:r w:rsidR="00474ACC" w:rsidRPr="006231AF">
              <w:rPr>
                <w:rFonts w:asciiTheme="minorHAnsi" w:hAnsiTheme="minorHAnsi" w:cstheme="minorHAnsi"/>
                <w:lang w:val="en-AU"/>
              </w:rPr>
              <w:t>WOAH</w:t>
            </w:r>
            <w:r w:rsidRPr="006231AF">
              <w:rPr>
                <w:rFonts w:asciiTheme="minorHAnsi" w:hAnsiTheme="minorHAnsi" w:cstheme="minorHAnsi"/>
                <w:lang w:val="en-AU"/>
              </w:rPr>
              <w:t xml:space="preserve"> develops documents relating to rules that WTO members can use to protect themselves from the introduction of diseases and pathogens, without setting up unjustified sanitary barriers.</w:t>
            </w:r>
          </w:p>
        </w:tc>
      </w:tr>
      <w:tr w:rsidR="00C71605" w:rsidRPr="006231AF" w14:paraId="4B459213" w14:textId="77777777" w:rsidTr="00CF2C60">
        <w:tc>
          <w:tcPr>
            <w:tcW w:w="2835" w:type="dxa"/>
          </w:tcPr>
          <w:p w14:paraId="492AC6BB" w14:textId="041D45DE" w:rsidR="000759FB" w:rsidRPr="006231AF" w:rsidRDefault="00060097" w:rsidP="00CF2C60">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R</w:t>
            </w:r>
            <w:r w:rsidR="000759FB" w:rsidRPr="006231AF">
              <w:rPr>
                <w:rFonts w:asciiTheme="minorHAnsi" w:hAnsiTheme="minorHAnsi" w:cstheme="minorHAnsi"/>
                <w:lang w:val="en-AU"/>
              </w:rPr>
              <w:t xml:space="preserve">isk </w:t>
            </w:r>
            <w:r w:rsidRPr="006231AF">
              <w:rPr>
                <w:rFonts w:asciiTheme="minorHAnsi" w:hAnsiTheme="minorHAnsi" w:cstheme="minorHAnsi"/>
                <w:lang w:val="en-AU"/>
              </w:rPr>
              <w:t>M</w:t>
            </w:r>
            <w:r w:rsidR="000759FB" w:rsidRPr="006231AF">
              <w:rPr>
                <w:rFonts w:asciiTheme="minorHAnsi" w:hAnsiTheme="minorHAnsi" w:cstheme="minorHAnsi"/>
                <w:lang w:val="en-AU"/>
              </w:rPr>
              <w:t xml:space="preserve">anagement </w:t>
            </w:r>
          </w:p>
        </w:tc>
        <w:tc>
          <w:tcPr>
            <w:tcW w:w="6235" w:type="dxa"/>
          </w:tcPr>
          <w:p w14:paraId="0916D066" w14:textId="2DA872CB" w:rsidR="000759FB" w:rsidRPr="006231AF" w:rsidRDefault="000759FB" w:rsidP="00CF2C60">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 xml:space="preserve">The process of identifying, </w:t>
            </w:r>
            <w:r w:rsidR="00965C4D" w:rsidRPr="006231AF">
              <w:rPr>
                <w:rFonts w:asciiTheme="minorHAnsi" w:hAnsiTheme="minorHAnsi" w:cstheme="minorHAnsi"/>
                <w:lang w:val="en-AU"/>
              </w:rPr>
              <w:t>selecting,</w:t>
            </w:r>
            <w:r w:rsidRPr="006231AF">
              <w:rPr>
                <w:rFonts w:asciiTheme="minorHAnsi" w:hAnsiTheme="minorHAnsi" w:cstheme="minorHAnsi"/>
                <w:lang w:val="en-AU"/>
              </w:rPr>
              <w:t xml:space="preserve"> and implementing measures that can be applied to reduce and manage the level of biosecurity risk.</w:t>
            </w:r>
          </w:p>
        </w:tc>
      </w:tr>
      <w:tr w:rsidR="00C71605" w:rsidRPr="006231AF" w14:paraId="4C7A6943" w14:textId="77777777" w:rsidTr="00CF2C60">
        <w:tc>
          <w:tcPr>
            <w:tcW w:w="2835" w:type="dxa"/>
          </w:tcPr>
          <w:p w14:paraId="4701C582" w14:textId="77777777" w:rsidR="000759FB" w:rsidRPr="006231AF" w:rsidRDefault="000759FB" w:rsidP="00CF2C60">
            <w:pPr>
              <w:pStyle w:val="glossarytext"/>
              <w:keepLines/>
              <w:rPr>
                <w:rFonts w:asciiTheme="minorHAnsi" w:hAnsiTheme="minorHAnsi" w:cstheme="minorHAnsi"/>
                <w:lang w:val="en-AU"/>
              </w:rPr>
            </w:pPr>
            <w:r w:rsidRPr="006231AF">
              <w:rPr>
                <w:rFonts w:asciiTheme="minorHAnsi" w:hAnsiTheme="minorHAnsi" w:cstheme="minorHAnsi"/>
                <w:lang w:val="en-AU"/>
              </w:rPr>
              <w:t>SPS agreement</w:t>
            </w:r>
          </w:p>
        </w:tc>
        <w:tc>
          <w:tcPr>
            <w:tcW w:w="6235" w:type="dxa"/>
          </w:tcPr>
          <w:p w14:paraId="2A02E791" w14:textId="6566254E" w:rsidR="000759FB" w:rsidRPr="006231AF" w:rsidRDefault="000759FB" w:rsidP="00CF2C60">
            <w:pPr>
              <w:pStyle w:val="glossarytext"/>
              <w:keepLines/>
              <w:rPr>
                <w:rFonts w:asciiTheme="minorHAnsi" w:hAnsiTheme="minorHAnsi" w:cstheme="minorHAnsi"/>
                <w:lang w:val="en-AU"/>
              </w:rPr>
            </w:pPr>
            <w:r w:rsidRPr="006231AF">
              <w:rPr>
                <w:rFonts w:asciiTheme="minorHAnsi" w:hAnsiTheme="minorHAnsi" w:cstheme="minorHAnsi"/>
                <w:lang w:val="en-AU"/>
              </w:rPr>
              <w:t xml:space="preserve">The WTO Agreement on the Application of Sanitary and Phytosanitary Measures, which establishes rights and obligations of WTO members when applying measures to protect human, </w:t>
            </w:r>
            <w:r w:rsidR="00965C4D" w:rsidRPr="006231AF">
              <w:rPr>
                <w:rFonts w:asciiTheme="minorHAnsi" w:hAnsiTheme="minorHAnsi" w:cstheme="minorHAnsi"/>
                <w:lang w:val="en-AU"/>
              </w:rPr>
              <w:t>animal,</w:t>
            </w:r>
            <w:r w:rsidRPr="006231AF">
              <w:rPr>
                <w:rFonts w:asciiTheme="minorHAnsi" w:hAnsiTheme="minorHAnsi" w:cstheme="minorHAnsi"/>
                <w:lang w:val="en-AU"/>
              </w:rPr>
              <w:t xml:space="preserve"> or plant health in international trade.</w:t>
            </w:r>
          </w:p>
        </w:tc>
      </w:tr>
      <w:tr w:rsidR="00C71605" w:rsidRPr="00A51BFD" w14:paraId="7E73CCF4" w14:textId="77777777" w:rsidTr="00CF2C60">
        <w:tc>
          <w:tcPr>
            <w:tcW w:w="2835" w:type="dxa"/>
          </w:tcPr>
          <w:p w14:paraId="0F25030A" w14:textId="77777777" w:rsidR="000759FB" w:rsidRPr="006231AF" w:rsidRDefault="000759FB" w:rsidP="00CF2C60">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World Trade Organization (WTO)</w:t>
            </w:r>
          </w:p>
        </w:tc>
        <w:tc>
          <w:tcPr>
            <w:tcW w:w="6235" w:type="dxa"/>
          </w:tcPr>
          <w:p w14:paraId="19F245FD" w14:textId="77777777" w:rsidR="000759FB" w:rsidRPr="00A51BFD" w:rsidRDefault="000759FB" w:rsidP="00CF2C60">
            <w:pPr>
              <w:pStyle w:val="glossarytext"/>
              <w:tabs>
                <w:tab w:val="clear" w:pos="1560"/>
                <w:tab w:val="left" w:pos="2552"/>
              </w:tabs>
              <w:rPr>
                <w:rFonts w:asciiTheme="minorHAnsi" w:hAnsiTheme="minorHAnsi" w:cstheme="minorHAnsi"/>
                <w:lang w:val="en-AU"/>
              </w:rPr>
            </w:pPr>
            <w:r w:rsidRPr="006231AF">
              <w:rPr>
                <w:rFonts w:asciiTheme="minorHAnsi" w:hAnsiTheme="minorHAnsi" w:cstheme="minorHAnsi"/>
                <w:lang w:val="en-AU"/>
              </w:rPr>
              <w:t>A global international organisation dealing with the rules of trade between nations.</w:t>
            </w:r>
          </w:p>
        </w:tc>
      </w:tr>
    </w:tbl>
    <w:p w14:paraId="3A4E9ED3" w14:textId="77777777" w:rsidR="000759FB" w:rsidRDefault="000759FB" w:rsidP="00000DDB"/>
    <w:sectPr w:rsidR="000759FB" w:rsidSect="008D65C5">
      <w:headerReference w:type="default" r:id="rId19"/>
      <w:footerReference w:type="default" r:id="rId20"/>
      <w:headerReference w:type="first" r:id="rId21"/>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76F8" w14:textId="77777777" w:rsidR="005F71E7" w:rsidRPr="00A51BFD" w:rsidRDefault="005F71E7">
      <w:r w:rsidRPr="00A51BFD">
        <w:separator/>
      </w:r>
    </w:p>
    <w:p w14:paraId="7196F171" w14:textId="77777777" w:rsidR="005F71E7" w:rsidRPr="00A51BFD" w:rsidRDefault="005F71E7"/>
    <w:p w14:paraId="46B964BA" w14:textId="77777777" w:rsidR="005F71E7" w:rsidRPr="00A51BFD" w:rsidRDefault="005F71E7"/>
  </w:endnote>
  <w:endnote w:type="continuationSeparator" w:id="0">
    <w:p w14:paraId="0557171E" w14:textId="77777777" w:rsidR="005F71E7" w:rsidRPr="00A51BFD" w:rsidRDefault="005F71E7">
      <w:r w:rsidRPr="00A51BFD">
        <w:continuationSeparator/>
      </w:r>
    </w:p>
    <w:p w14:paraId="791E7B17" w14:textId="77777777" w:rsidR="005F71E7" w:rsidRPr="00A51BFD" w:rsidRDefault="005F71E7"/>
    <w:p w14:paraId="21650D1B" w14:textId="77777777" w:rsidR="005F71E7" w:rsidRPr="00A51BFD" w:rsidRDefault="005F71E7"/>
  </w:endnote>
  <w:endnote w:type="continuationNotice" w:id="1">
    <w:p w14:paraId="73A24CBD" w14:textId="77777777" w:rsidR="005F71E7" w:rsidRPr="00A51BFD" w:rsidRDefault="005F71E7" w:rsidP="00274B73">
      <w:pPr>
        <w:pStyle w:val="Footer"/>
      </w:pPr>
    </w:p>
    <w:p w14:paraId="3466E7D2" w14:textId="77777777" w:rsidR="005F71E7" w:rsidRPr="00A51BFD" w:rsidRDefault="005F71E7"/>
    <w:p w14:paraId="6AD83230" w14:textId="77777777" w:rsidR="005F71E7" w:rsidRPr="00A51BFD" w:rsidRDefault="005F7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4B14" w14:textId="5E610C57" w:rsidR="00F72221" w:rsidRPr="00A51BFD" w:rsidRDefault="00F72221" w:rsidP="00274B73">
    <w:pPr>
      <w:pStyle w:val="Footer"/>
    </w:pPr>
    <w:r w:rsidRPr="006231AF">
      <w:rPr>
        <w:noProof/>
      </w:rPr>
      <mc:AlternateContent>
        <mc:Choice Requires="wps">
          <w:drawing>
            <wp:anchor distT="0" distB="0" distL="0" distR="0" simplePos="0" relativeHeight="251658240" behindDoc="0" locked="0" layoutInCell="1" allowOverlap="1" wp14:anchorId="01D30AC6" wp14:editId="1850EC81">
              <wp:simplePos x="901065" y="10053320"/>
              <wp:positionH relativeFrom="page">
                <wp:align>center</wp:align>
              </wp:positionH>
              <wp:positionV relativeFrom="page">
                <wp:align>bottom</wp:align>
              </wp:positionV>
              <wp:extent cx="551815" cy="404495"/>
              <wp:effectExtent l="0" t="0" r="635" b="0"/>
              <wp:wrapNone/>
              <wp:docPr id="5169296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0A920F5" w14:textId="77777777" w:rsidR="00F72221" w:rsidRPr="00A51BFD" w:rsidRDefault="00F72221" w:rsidP="009622CD">
                          <w:pPr>
                            <w:spacing w:after="0"/>
                            <w:rPr>
                              <w:rFonts w:ascii="Calibri" w:eastAsia="Calibri" w:hAnsi="Calibri" w:cs="Calibri"/>
                              <w:color w:val="FF0000"/>
                              <w:sz w:val="24"/>
                              <w:szCs w:val="24"/>
                            </w:rPr>
                          </w:pPr>
                          <w:r w:rsidRPr="00A51BFD">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30AC6" id="_x0000_t202" coordsize="21600,21600" o:spt="202" path="m,l,21600r21600,l21600,xe">
              <v:stroke joinstyle="miter"/>
              <v:path gradientshapeok="t" o:connecttype="rect"/>
            </v:shapetype>
            <v:shape id="Text Box 6" o:spid="_x0000_s1026"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" filled="f" stroked="f">
              <v:textbox style="mso-fit-shape-to-text:t" inset="0,0,0,15pt">
                <w:txbxContent>
                  <w:p w14:paraId="30A920F5" w14:textId="77777777" w:rsidR="00F72221" w:rsidRPr="00A51BFD" w:rsidRDefault="00F72221" w:rsidP="009622CD">
                    <w:pPr>
                      <w:spacing w:after="0"/>
                      <w:rPr>
                        <w:rFonts w:ascii="Calibri" w:eastAsia="Calibri" w:hAnsi="Calibri" w:cs="Calibri"/>
                        <w:color w:val="FF0000"/>
                        <w:sz w:val="24"/>
                        <w:szCs w:val="24"/>
                      </w:rPr>
                    </w:pPr>
                    <w:r w:rsidRPr="00A51BFD">
                      <w:rPr>
                        <w:rFonts w:ascii="Calibri" w:eastAsia="Calibri" w:hAnsi="Calibri" w:cs="Calibri"/>
                        <w:color w:val="FF0000"/>
                        <w:sz w:val="24"/>
                        <w:szCs w:val="24"/>
                      </w:rPr>
                      <w:t>OFFICIAL</w:t>
                    </w:r>
                  </w:p>
                </w:txbxContent>
              </v:textbox>
              <w10:wrap anchorx="page" anchory="page"/>
            </v:shape>
          </w:pict>
        </mc:Fallback>
      </mc:AlternateContent>
    </w:r>
    <w:r w:rsidRPr="006231AF">
      <w:t>Department of Agriculture, Fisheries and Forestry</w:t>
    </w:r>
    <w:r w:rsidRPr="00A51BFD">
      <w:tab/>
    </w:r>
    <w:r w:rsidRPr="00A51BFD">
      <w:fldChar w:fldCharType="begin"/>
    </w:r>
    <w:r w:rsidRPr="00A51BFD">
      <w:instrText xml:space="preserve"> PAGE   \* MERGEFORMAT </w:instrText>
    </w:r>
    <w:r w:rsidRPr="00A51BFD">
      <w:fldChar w:fldCharType="separate"/>
    </w:r>
    <w:r w:rsidRPr="00A51BFD">
      <w:t>12</w:t>
    </w:r>
    <w:r w:rsidRPr="00A51B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369C" w14:textId="77777777" w:rsidR="005F71E7" w:rsidRPr="00A51BFD" w:rsidRDefault="005F71E7">
      <w:r w:rsidRPr="00A51BFD">
        <w:separator/>
      </w:r>
    </w:p>
    <w:p w14:paraId="271D02EC" w14:textId="77777777" w:rsidR="005F71E7" w:rsidRPr="00A51BFD" w:rsidRDefault="005F71E7"/>
    <w:p w14:paraId="1F05E224" w14:textId="77777777" w:rsidR="005F71E7" w:rsidRPr="00A51BFD" w:rsidRDefault="005F71E7"/>
  </w:footnote>
  <w:footnote w:type="continuationSeparator" w:id="0">
    <w:p w14:paraId="73DC8AD0" w14:textId="77777777" w:rsidR="005F71E7" w:rsidRPr="00A51BFD" w:rsidRDefault="005F71E7">
      <w:r w:rsidRPr="00A51BFD">
        <w:continuationSeparator/>
      </w:r>
    </w:p>
    <w:p w14:paraId="6EC641B3" w14:textId="77777777" w:rsidR="005F71E7" w:rsidRPr="00A51BFD" w:rsidRDefault="005F71E7"/>
    <w:p w14:paraId="46D35ED9" w14:textId="77777777" w:rsidR="005F71E7" w:rsidRPr="00A51BFD" w:rsidRDefault="005F71E7"/>
  </w:footnote>
  <w:footnote w:type="continuationNotice" w:id="1">
    <w:p w14:paraId="7EEB236E" w14:textId="77777777" w:rsidR="005F71E7" w:rsidRPr="00A51BFD" w:rsidRDefault="005F71E7" w:rsidP="00274B73">
      <w:pPr>
        <w:pStyle w:val="Footer"/>
      </w:pPr>
    </w:p>
    <w:p w14:paraId="1DBB3F9B" w14:textId="77777777" w:rsidR="005F71E7" w:rsidRPr="00A51BFD" w:rsidRDefault="005F71E7"/>
    <w:p w14:paraId="3383CE8A" w14:textId="77777777" w:rsidR="005F71E7" w:rsidRPr="00A51BFD" w:rsidRDefault="005F7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0D88" w14:textId="33699398" w:rsidR="008D65C5" w:rsidRDefault="008D65C5" w:rsidP="008D65C5">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685E" w14:textId="7CBC81B5" w:rsidR="008D65C5" w:rsidRDefault="008D65C5" w:rsidP="008D65C5">
    <w:pPr>
      <w:pStyle w:val="Header"/>
      <w:jc w:val="left"/>
    </w:pPr>
    <w:r>
      <w:rPr>
        <w:noProof/>
      </w:rPr>
      <w:drawing>
        <wp:anchor distT="0" distB="0" distL="114300" distR="114300" simplePos="0" relativeHeight="251658241" behindDoc="1" locked="0" layoutInCell="1" allowOverlap="1" wp14:anchorId="66C902F3" wp14:editId="2A596613">
          <wp:simplePos x="0" y="0"/>
          <wp:positionH relativeFrom="page">
            <wp:posOffset>-105855</wp:posOffset>
          </wp:positionH>
          <wp:positionV relativeFrom="paragraph">
            <wp:posOffset>-419100</wp:posOffset>
          </wp:positionV>
          <wp:extent cx="7565594" cy="10701655"/>
          <wp:effectExtent l="0" t="0" r="0" b="4445"/>
          <wp:wrapNone/>
          <wp:docPr id="1481752902" name="Picture 1481752902"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903D34"/>
    <w:multiLevelType w:val="hybridMultilevel"/>
    <w:tmpl w:val="8494AB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1E20078"/>
    <w:multiLevelType w:val="multilevel"/>
    <w:tmpl w:val="01EAB528"/>
    <w:styleLink w:val="Headinglist"/>
    <w:lvl w:ilvl="0">
      <w:start w:val="1"/>
      <w:numFmt w:val="decimal"/>
      <w:lvlText w:val="%1"/>
      <w:lvlJc w:val="left"/>
      <w:pPr>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EC122A0"/>
    <w:multiLevelType w:val="multilevel"/>
    <w:tmpl w:val="BC8603C0"/>
    <w:styleLink w:val="ListNumbers"/>
    <w:lvl w:ilvl="0">
      <w:start w:val="1"/>
      <w:numFmt w:val="decimal"/>
      <w:lvlText w:val="%1)"/>
      <w:lvlJc w:val="left"/>
      <w:pPr>
        <w:ind w:left="425" w:hanging="425"/>
      </w:pPr>
      <w:rPr>
        <w:rFonts w:hint="default"/>
        <w:color w:val="auto"/>
      </w:rPr>
    </w:lvl>
    <w:lvl w:ilvl="1">
      <w:start w:val="1"/>
      <w:numFmt w:val="lowerLetter"/>
      <w:lvlText w:val="%2)"/>
      <w:lvlJc w:val="left"/>
      <w:pPr>
        <w:ind w:left="794" w:hanging="369"/>
      </w:pPr>
      <w:rPr>
        <w:rFonts w:hint="default"/>
      </w:rPr>
    </w:lvl>
    <w:lvl w:ilvl="2">
      <w:start w:val="1"/>
      <w:numFmt w:val="lowerRoman"/>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7"/>
  </w:num>
  <w:num w:numId="2" w16cid:durableId="1639215797">
    <w:abstractNumId w:val="8"/>
  </w:num>
  <w:num w:numId="3" w16cid:durableId="1643265712">
    <w:abstractNumId w:val="3"/>
  </w:num>
  <w:num w:numId="4" w16cid:durableId="626202022">
    <w:abstractNumId w:val="5"/>
  </w:num>
  <w:num w:numId="5" w16cid:durableId="281765065">
    <w:abstractNumId w:val="6"/>
  </w:num>
  <w:num w:numId="6" w16cid:durableId="2092000146">
    <w:abstractNumId w:val="4"/>
  </w:num>
  <w:num w:numId="7" w16cid:durableId="864908900">
    <w:abstractNumId w:val="3"/>
    <w:lvlOverride w:ilvl="0">
      <w:lvl w:ilvl="0">
        <w:start w:val="1"/>
        <w:numFmt w:val="decimal"/>
        <w:lvlText w:val="%1"/>
        <w:lvlJc w:val="left"/>
        <w:pPr>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1469322956">
    <w:abstractNumId w:val="7"/>
  </w:num>
  <w:num w:numId="9" w16cid:durableId="1341661948">
    <w:abstractNumId w:val="8"/>
  </w:num>
  <w:num w:numId="10" w16cid:durableId="1983389004">
    <w:abstractNumId w:val="2"/>
  </w:num>
  <w:num w:numId="11" w16cid:durableId="1385720017">
    <w:abstractNumId w:val="10"/>
  </w:num>
  <w:num w:numId="12" w16cid:durableId="2119637520">
    <w:abstractNumId w:val="0"/>
  </w:num>
  <w:num w:numId="13" w16cid:durableId="56706897">
    <w:abstractNumId w:val="9"/>
  </w:num>
  <w:num w:numId="14" w16cid:durableId="135850824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51"/>
    <w:rsid w:val="00000DDB"/>
    <w:rsid w:val="000032AD"/>
    <w:rsid w:val="00003467"/>
    <w:rsid w:val="000044FA"/>
    <w:rsid w:val="000045D9"/>
    <w:rsid w:val="00004F69"/>
    <w:rsid w:val="00005858"/>
    <w:rsid w:val="00006291"/>
    <w:rsid w:val="0000672D"/>
    <w:rsid w:val="00006D71"/>
    <w:rsid w:val="00006E36"/>
    <w:rsid w:val="0000791B"/>
    <w:rsid w:val="00010C98"/>
    <w:rsid w:val="00011287"/>
    <w:rsid w:val="0001260F"/>
    <w:rsid w:val="00013155"/>
    <w:rsid w:val="000133C2"/>
    <w:rsid w:val="00013442"/>
    <w:rsid w:val="000139C9"/>
    <w:rsid w:val="00013B75"/>
    <w:rsid w:val="00013B7C"/>
    <w:rsid w:val="00013EBF"/>
    <w:rsid w:val="00015E62"/>
    <w:rsid w:val="00016B9A"/>
    <w:rsid w:val="0001743C"/>
    <w:rsid w:val="0001790D"/>
    <w:rsid w:val="000202BF"/>
    <w:rsid w:val="00020372"/>
    <w:rsid w:val="000229DB"/>
    <w:rsid w:val="00023181"/>
    <w:rsid w:val="00024004"/>
    <w:rsid w:val="00024C60"/>
    <w:rsid w:val="000255FB"/>
    <w:rsid w:val="000259C2"/>
    <w:rsid w:val="00026730"/>
    <w:rsid w:val="000273A8"/>
    <w:rsid w:val="000300BA"/>
    <w:rsid w:val="000304C9"/>
    <w:rsid w:val="000312AE"/>
    <w:rsid w:val="0003164F"/>
    <w:rsid w:val="00032521"/>
    <w:rsid w:val="00032789"/>
    <w:rsid w:val="0003340F"/>
    <w:rsid w:val="00033E60"/>
    <w:rsid w:val="000362D5"/>
    <w:rsid w:val="0003658D"/>
    <w:rsid w:val="00037044"/>
    <w:rsid w:val="000373C5"/>
    <w:rsid w:val="0004020D"/>
    <w:rsid w:val="0004062E"/>
    <w:rsid w:val="0004140A"/>
    <w:rsid w:val="00041461"/>
    <w:rsid w:val="00041ECD"/>
    <w:rsid w:val="000424A4"/>
    <w:rsid w:val="00042EDD"/>
    <w:rsid w:val="0004364D"/>
    <w:rsid w:val="000436AC"/>
    <w:rsid w:val="00043D85"/>
    <w:rsid w:val="00043F13"/>
    <w:rsid w:val="00046274"/>
    <w:rsid w:val="00046564"/>
    <w:rsid w:val="0005131B"/>
    <w:rsid w:val="000518F5"/>
    <w:rsid w:val="00051E45"/>
    <w:rsid w:val="000529D4"/>
    <w:rsid w:val="000531B1"/>
    <w:rsid w:val="00053EC8"/>
    <w:rsid w:val="000542FF"/>
    <w:rsid w:val="0005476E"/>
    <w:rsid w:val="000552C9"/>
    <w:rsid w:val="00055B3C"/>
    <w:rsid w:val="000569B7"/>
    <w:rsid w:val="00057D02"/>
    <w:rsid w:val="00060097"/>
    <w:rsid w:val="0006040E"/>
    <w:rsid w:val="00060C06"/>
    <w:rsid w:val="00062E67"/>
    <w:rsid w:val="0006466E"/>
    <w:rsid w:val="00064C39"/>
    <w:rsid w:val="00065716"/>
    <w:rsid w:val="0006584E"/>
    <w:rsid w:val="000659CB"/>
    <w:rsid w:val="0006609E"/>
    <w:rsid w:val="00067187"/>
    <w:rsid w:val="000675BF"/>
    <w:rsid w:val="0007012D"/>
    <w:rsid w:val="00070A35"/>
    <w:rsid w:val="00071927"/>
    <w:rsid w:val="00072045"/>
    <w:rsid w:val="00072819"/>
    <w:rsid w:val="0007286C"/>
    <w:rsid w:val="00073613"/>
    <w:rsid w:val="000738D0"/>
    <w:rsid w:val="00073AA0"/>
    <w:rsid w:val="00073EA7"/>
    <w:rsid w:val="0007450A"/>
    <w:rsid w:val="00074791"/>
    <w:rsid w:val="00074A4C"/>
    <w:rsid w:val="000759FB"/>
    <w:rsid w:val="000768B8"/>
    <w:rsid w:val="00077243"/>
    <w:rsid w:val="00077DDF"/>
    <w:rsid w:val="00080866"/>
    <w:rsid w:val="00080B8C"/>
    <w:rsid w:val="000816EF"/>
    <w:rsid w:val="00083B7E"/>
    <w:rsid w:val="00085A97"/>
    <w:rsid w:val="000869AB"/>
    <w:rsid w:val="0008745A"/>
    <w:rsid w:val="00087855"/>
    <w:rsid w:val="00091C89"/>
    <w:rsid w:val="000926C1"/>
    <w:rsid w:val="00092964"/>
    <w:rsid w:val="00092DE8"/>
    <w:rsid w:val="00094295"/>
    <w:rsid w:val="000942EE"/>
    <w:rsid w:val="00094933"/>
    <w:rsid w:val="000962D5"/>
    <w:rsid w:val="00096CF7"/>
    <w:rsid w:val="0009777A"/>
    <w:rsid w:val="00097FA8"/>
    <w:rsid w:val="000A1447"/>
    <w:rsid w:val="000A1707"/>
    <w:rsid w:val="000A1C64"/>
    <w:rsid w:val="000A3711"/>
    <w:rsid w:val="000A3E0B"/>
    <w:rsid w:val="000A3E55"/>
    <w:rsid w:val="000A4056"/>
    <w:rsid w:val="000A5170"/>
    <w:rsid w:val="000A65D8"/>
    <w:rsid w:val="000A7280"/>
    <w:rsid w:val="000A7AAF"/>
    <w:rsid w:val="000B160F"/>
    <w:rsid w:val="000B1A59"/>
    <w:rsid w:val="000B2201"/>
    <w:rsid w:val="000B26D3"/>
    <w:rsid w:val="000B2FAF"/>
    <w:rsid w:val="000B488B"/>
    <w:rsid w:val="000B4BA6"/>
    <w:rsid w:val="000B4EEE"/>
    <w:rsid w:val="000B5DF3"/>
    <w:rsid w:val="000B5FA0"/>
    <w:rsid w:val="000B651D"/>
    <w:rsid w:val="000B7F11"/>
    <w:rsid w:val="000C08AB"/>
    <w:rsid w:val="000C0A77"/>
    <w:rsid w:val="000C0F45"/>
    <w:rsid w:val="000C25E0"/>
    <w:rsid w:val="000C3BCA"/>
    <w:rsid w:val="000C43D2"/>
    <w:rsid w:val="000C43E1"/>
    <w:rsid w:val="000C4884"/>
    <w:rsid w:val="000C4B3E"/>
    <w:rsid w:val="000C5A26"/>
    <w:rsid w:val="000C60F1"/>
    <w:rsid w:val="000C6813"/>
    <w:rsid w:val="000D0D21"/>
    <w:rsid w:val="000D193C"/>
    <w:rsid w:val="000D3096"/>
    <w:rsid w:val="000D497F"/>
    <w:rsid w:val="000D514C"/>
    <w:rsid w:val="000D61FB"/>
    <w:rsid w:val="000D6A2A"/>
    <w:rsid w:val="000D6BCA"/>
    <w:rsid w:val="000D6F2A"/>
    <w:rsid w:val="000D72B8"/>
    <w:rsid w:val="000E1619"/>
    <w:rsid w:val="000E226C"/>
    <w:rsid w:val="000E2537"/>
    <w:rsid w:val="000E2F35"/>
    <w:rsid w:val="000E3340"/>
    <w:rsid w:val="000E3C0F"/>
    <w:rsid w:val="000E6018"/>
    <w:rsid w:val="000F0510"/>
    <w:rsid w:val="000F09EB"/>
    <w:rsid w:val="000F1766"/>
    <w:rsid w:val="000F1EC2"/>
    <w:rsid w:val="000F20CE"/>
    <w:rsid w:val="000F2A79"/>
    <w:rsid w:val="000F37FE"/>
    <w:rsid w:val="000F5622"/>
    <w:rsid w:val="000F56E3"/>
    <w:rsid w:val="000F598C"/>
    <w:rsid w:val="000F6140"/>
    <w:rsid w:val="000F6156"/>
    <w:rsid w:val="000F794A"/>
    <w:rsid w:val="00100F79"/>
    <w:rsid w:val="001013AD"/>
    <w:rsid w:val="00101453"/>
    <w:rsid w:val="001047E2"/>
    <w:rsid w:val="0010571B"/>
    <w:rsid w:val="00105878"/>
    <w:rsid w:val="00106E99"/>
    <w:rsid w:val="0011041B"/>
    <w:rsid w:val="001116C3"/>
    <w:rsid w:val="00114B9D"/>
    <w:rsid w:val="00115846"/>
    <w:rsid w:val="00120291"/>
    <w:rsid w:val="00121922"/>
    <w:rsid w:val="001220C3"/>
    <w:rsid w:val="00122218"/>
    <w:rsid w:val="001222C3"/>
    <w:rsid w:val="00122D4A"/>
    <w:rsid w:val="00123441"/>
    <w:rsid w:val="00123CFB"/>
    <w:rsid w:val="00124B95"/>
    <w:rsid w:val="00124D3B"/>
    <w:rsid w:val="00124ED6"/>
    <w:rsid w:val="00127984"/>
    <w:rsid w:val="001279AE"/>
    <w:rsid w:val="00131043"/>
    <w:rsid w:val="0013106B"/>
    <w:rsid w:val="0013172C"/>
    <w:rsid w:val="00131870"/>
    <w:rsid w:val="0013191B"/>
    <w:rsid w:val="00132058"/>
    <w:rsid w:val="00132EA1"/>
    <w:rsid w:val="00135AD8"/>
    <w:rsid w:val="00135F55"/>
    <w:rsid w:val="00137326"/>
    <w:rsid w:val="00137B2B"/>
    <w:rsid w:val="0014250F"/>
    <w:rsid w:val="00145484"/>
    <w:rsid w:val="00147A7C"/>
    <w:rsid w:val="00150F11"/>
    <w:rsid w:val="0015123F"/>
    <w:rsid w:val="00151C1E"/>
    <w:rsid w:val="00151DAF"/>
    <w:rsid w:val="001524F1"/>
    <w:rsid w:val="00152F2E"/>
    <w:rsid w:val="00153044"/>
    <w:rsid w:val="0015478F"/>
    <w:rsid w:val="00154825"/>
    <w:rsid w:val="00155474"/>
    <w:rsid w:val="001608FD"/>
    <w:rsid w:val="0016123D"/>
    <w:rsid w:val="00161FA4"/>
    <w:rsid w:val="0016201B"/>
    <w:rsid w:val="00162E8C"/>
    <w:rsid w:val="001641A3"/>
    <w:rsid w:val="0016459E"/>
    <w:rsid w:val="00164A83"/>
    <w:rsid w:val="00164BEF"/>
    <w:rsid w:val="0016633C"/>
    <w:rsid w:val="00167288"/>
    <w:rsid w:val="00167343"/>
    <w:rsid w:val="001717CD"/>
    <w:rsid w:val="00171BFF"/>
    <w:rsid w:val="00171F50"/>
    <w:rsid w:val="0017218D"/>
    <w:rsid w:val="001726F9"/>
    <w:rsid w:val="001728AE"/>
    <w:rsid w:val="00172A49"/>
    <w:rsid w:val="00172DB5"/>
    <w:rsid w:val="001730DB"/>
    <w:rsid w:val="001733B8"/>
    <w:rsid w:val="00173843"/>
    <w:rsid w:val="00173DA9"/>
    <w:rsid w:val="001749B1"/>
    <w:rsid w:val="00174CA9"/>
    <w:rsid w:val="001753A6"/>
    <w:rsid w:val="00175DE0"/>
    <w:rsid w:val="00176594"/>
    <w:rsid w:val="0017699C"/>
    <w:rsid w:val="00176CF7"/>
    <w:rsid w:val="00176F06"/>
    <w:rsid w:val="001770D7"/>
    <w:rsid w:val="00177532"/>
    <w:rsid w:val="0017798F"/>
    <w:rsid w:val="001809E9"/>
    <w:rsid w:val="00181344"/>
    <w:rsid w:val="001815A1"/>
    <w:rsid w:val="001824F7"/>
    <w:rsid w:val="00182A44"/>
    <w:rsid w:val="00182EA0"/>
    <w:rsid w:val="001834DF"/>
    <w:rsid w:val="00183A8A"/>
    <w:rsid w:val="00183F74"/>
    <w:rsid w:val="00185B80"/>
    <w:rsid w:val="001868A1"/>
    <w:rsid w:val="00186B8B"/>
    <w:rsid w:val="00187A92"/>
    <w:rsid w:val="00190191"/>
    <w:rsid w:val="00190CBB"/>
    <w:rsid w:val="001915EA"/>
    <w:rsid w:val="00192832"/>
    <w:rsid w:val="00192EA2"/>
    <w:rsid w:val="00196507"/>
    <w:rsid w:val="00197F47"/>
    <w:rsid w:val="001A0B54"/>
    <w:rsid w:val="001A42C9"/>
    <w:rsid w:val="001A4338"/>
    <w:rsid w:val="001A57C4"/>
    <w:rsid w:val="001A680E"/>
    <w:rsid w:val="001A698F"/>
    <w:rsid w:val="001A6FA9"/>
    <w:rsid w:val="001B09A0"/>
    <w:rsid w:val="001B0EF7"/>
    <w:rsid w:val="001B1CA4"/>
    <w:rsid w:val="001B1F15"/>
    <w:rsid w:val="001B3090"/>
    <w:rsid w:val="001B482D"/>
    <w:rsid w:val="001B5106"/>
    <w:rsid w:val="001B5BB7"/>
    <w:rsid w:val="001B62D1"/>
    <w:rsid w:val="001B69E5"/>
    <w:rsid w:val="001B6A52"/>
    <w:rsid w:val="001B70F1"/>
    <w:rsid w:val="001B7944"/>
    <w:rsid w:val="001C1185"/>
    <w:rsid w:val="001C1865"/>
    <w:rsid w:val="001C2675"/>
    <w:rsid w:val="001C2E85"/>
    <w:rsid w:val="001C35C7"/>
    <w:rsid w:val="001C6AE7"/>
    <w:rsid w:val="001C6EF2"/>
    <w:rsid w:val="001C718C"/>
    <w:rsid w:val="001C782B"/>
    <w:rsid w:val="001D0DFC"/>
    <w:rsid w:val="001D1BD7"/>
    <w:rsid w:val="001D2790"/>
    <w:rsid w:val="001D3022"/>
    <w:rsid w:val="001D3BDD"/>
    <w:rsid w:val="001D6AE8"/>
    <w:rsid w:val="001D774A"/>
    <w:rsid w:val="001E01FB"/>
    <w:rsid w:val="001E111A"/>
    <w:rsid w:val="001E1798"/>
    <w:rsid w:val="001E1C51"/>
    <w:rsid w:val="001E2189"/>
    <w:rsid w:val="001E31DB"/>
    <w:rsid w:val="001E3F22"/>
    <w:rsid w:val="001E40E6"/>
    <w:rsid w:val="001E4633"/>
    <w:rsid w:val="001E50A9"/>
    <w:rsid w:val="001E56AF"/>
    <w:rsid w:val="001E6570"/>
    <w:rsid w:val="001E68F7"/>
    <w:rsid w:val="001E7630"/>
    <w:rsid w:val="001E7CA9"/>
    <w:rsid w:val="001F18FB"/>
    <w:rsid w:val="001F3E6A"/>
    <w:rsid w:val="001F430E"/>
    <w:rsid w:val="001F4510"/>
    <w:rsid w:val="001F506E"/>
    <w:rsid w:val="001F698C"/>
    <w:rsid w:val="001F73AF"/>
    <w:rsid w:val="001F77E2"/>
    <w:rsid w:val="00200AEF"/>
    <w:rsid w:val="002010EC"/>
    <w:rsid w:val="00202E48"/>
    <w:rsid w:val="00204498"/>
    <w:rsid w:val="0020454E"/>
    <w:rsid w:val="00204934"/>
    <w:rsid w:val="002051FB"/>
    <w:rsid w:val="00206852"/>
    <w:rsid w:val="0020695C"/>
    <w:rsid w:val="00207859"/>
    <w:rsid w:val="00207B89"/>
    <w:rsid w:val="00210BDE"/>
    <w:rsid w:val="00211455"/>
    <w:rsid w:val="00211BAB"/>
    <w:rsid w:val="00213917"/>
    <w:rsid w:val="00213CC5"/>
    <w:rsid w:val="00213ECC"/>
    <w:rsid w:val="00215CF0"/>
    <w:rsid w:val="0021649B"/>
    <w:rsid w:val="00216882"/>
    <w:rsid w:val="0022001F"/>
    <w:rsid w:val="002204E1"/>
    <w:rsid w:val="00220960"/>
    <w:rsid w:val="002213CE"/>
    <w:rsid w:val="00221676"/>
    <w:rsid w:val="00222137"/>
    <w:rsid w:val="00222C3D"/>
    <w:rsid w:val="00222F09"/>
    <w:rsid w:val="0022419B"/>
    <w:rsid w:val="00224877"/>
    <w:rsid w:val="002262F3"/>
    <w:rsid w:val="002265A7"/>
    <w:rsid w:val="002268CB"/>
    <w:rsid w:val="002276A8"/>
    <w:rsid w:val="002311B1"/>
    <w:rsid w:val="0023152C"/>
    <w:rsid w:val="00231BF9"/>
    <w:rsid w:val="00231FBE"/>
    <w:rsid w:val="0023276A"/>
    <w:rsid w:val="002327FA"/>
    <w:rsid w:val="00232F52"/>
    <w:rsid w:val="00233756"/>
    <w:rsid w:val="0023451F"/>
    <w:rsid w:val="002364D9"/>
    <w:rsid w:val="00237B71"/>
    <w:rsid w:val="0024027F"/>
    <w:rsid w:val="00241090"/>
    <w:rsid w:val="002415BD"/>
    <w:rsid w:val="00241848"/>
    <w:rsid w:val="00243856"/>
    <w:rsid w:val="0024448C"/>
    <w:rsid w:val="00245038"/>
    <w:rsid w:val="002452A2"/>
    <w:rsid w:val="002452B7"/>
    <w:rsid w:val="00246B4E"/>
    <w:rsid w:val="0025178D"/>
    <w:rsid w:val="00252B7D"/>
    <w:rsid w:val="00253BB5"/>
    <w:rsid w:val="00254439"/>
    <w:rsid w:val="002557DB"/>
    <w:rsid w:val="00255E57"/>
    <w:rsid w:val="002560A0"/>
    <w:rsid w:val="00260E90"/>
    <w:rsid w:val="0026234A"/>
    <w:rsid w:val="00262B0B"/>
    <w:rsid w:val="00263CB6"/>
    <w:rsid w:val="002649C9"/>
    <w:rsid w:val="00264EF6"/>
    <w:rsid w:val="0026560B"/>
    <w:rsid w:val="00265A2D"/>
    <w:rsid w:val="00265AFE"/>
    <w:rsid w:val="00266B5E"/>
    <w:rsid w:val="00266C5A"/>
    <w:rsid w:val="00267DB9"/>
    <w:rsid w:val="002700B5"/>
    <w:rsid w:val="002711A1"/>
    <w:rsid w:val="00271344"/>
    <w:rsid w:val="002716FC"/>
    <w:rsid w:val="0027204F"/>
    <w:rsid w:val="00272D69"/>
    <w:rsid w:val="00272F64"/>
    <w:rsid w:val="002732C0"/>
    <w:rsid w:val="00274B73"/>
    <w:rsid w:val="00274F97"/>
    <w:rsid w:val="00274FFC"/>
    <w:rsid w:val="00275281"/>
    <w:rsid w:val="002755F3"/>
    <w:rsid w:val="0027575B"/>
    <w:rsid w:val="002767FA"/>
    <w:rsid w:val="00276BDB"/>
    <w:rsid w:val="00276EC5"/>
    <w:rsid w:val="0027778C"/>
    <w:rsid w:val="00277EB0"/>
    <w:rsid w:val="00280D32"/>
    <w:rsid w:val="00280DEF"/>
    <w:rsid w:val="00281BB6"/>
    <w:rsid w:val="0028348E"/>
    <w:rsid w:val="00283A16"/>
    <w:rsid w:val="002844B7"/>
    <w:rsid w:val="002845F5"/>
    <w:rsid w:val="002848EC"/>
    <w:rsid w:val="00284B84"/>
    <w:rsid w:val="00284C5A"/>
    <w:rsid w:val="00284D14"/>
    <w:rsid w:val="00285F31"/>
    <w:rsid w:val="00286307"/>
    <w:rsid w:val="00286463"/>
    <w:rsid w:val="00286832"/>
    <w:rsid w:val="002873ED"/>
    <w:rsid w:val="0028756E"/>
    <w:rsid w:val="0029013E"/>
    <w:rsid w:val="00290A38"/>
    <w:rsid w:val="00291A05"/>
    <w:rsid w:val="00291C1C"/>
    <w:rsid w:val="00295C2F"/>
    <w:rsid w:val="00296F0D"/>
    <w:rsid w:val="0029767A"/>
    <w:rsid w:val="002A0332"/>
    <w:rsid w:val="002A135C"/>
    <w:rsid w:val="002A3B2F"/>
    <w:rsid w:val="002A56EA"/>
    <w:rsid w:val="002A5826"/>
    <w:rsid w:val="002A5AC3"/>
    <w:rsid w:val="002A672E"/>
    <w:rsid w:val="002A7928"/>
    <w:rsid w:val="002A7E88"/>
    <w:rsid w:val="002B0A23"/>
    <w:rsid w:val="002B375E"/>
    <w:rsid w:val="002B382C"/>
    <w:rsid w:val="002B400C"/>
    <w:rsid w:val="002B418C"/>
    <w:rsid w:val="002B5C60"/>
    <w:rsid w:val="002B675F"/>
    <w:rsid w:val="002C064C"/>
    <w:rsid w:val="002C0F70"/>
    <w:rsid w:val="002C14BB"/>
    <w:rsid w:val="002C1B93"/>
    <w:rsid w:val="002C2571"/>
    <w:rsid w:val="002C606F"/>
    <w:rsid w:val="002C6EE0"/>
    <w:rsid w:val="002D0E18"/>
    <w:rsid w:val="002D17B5"/>
    <w:rsid w:val="002D1991"/>
    <w:rsid w:val="002D1AA9"/>
    <w:rsid w:val="002D321C"/>
    <w:rsid w:val="002D3CB2"/>
    <w:rsid w:val="002D3EDB"/>
    <w:rsid w:val="002D4BDA"/>
    <w:rsid w:val="002D4EDA"/>
    <w:rsid w:val="002D5755"/>
    <w:rsid w:val="002D5B0A"/>
    <w:rsid w:val="002D6696"/>
    <w:rsid w:val="002D67C2"/>
    <w:rsid w:val="002D7F3F"/>
    <w:rsid w:val="002E0ACF"/>
    <w:rsid w:val="002E30FD"/>
    <w:rsid w:val="002E312F"/>
    <w:rsid w:val="002E3F0B"/>
    <w:rsid w:val="002E4B9A"/>
    <w:rsid w:val="002E56CB"/>
    <w:rsid w:val="002E5FEB"/>
    <w:rsid w:val="002F093D"/>
    <w:rsid w:val="002F0DA6"/>
    <w:rsid w:val="002F1457"/>
    <w:rsid w:val="002F2397"/>
    <w:rsid w:val="002F2457"/>
    <w:rsid w:val="002F2907"/>
    <w:rsid w:val="002F29DB"/>
    <w:rsid w:val="002F30C6"/>
    <w:rsid w:val="002F31B6"/>
    <w:rsid w:val="002F327D"/>
    <w:rsid w:val="002F4C38"/>
    <w:rsid w:val="002F5544"/>
    <w:rsid w:val="002F6DE0"/>
    <w:rsid w:val="002F7E70"/>
    <w:rsid w:val="00301DDA"/>
    <w:rsid w:val="0030243A"/>
    <w:rsid w:val="003024BD"/>
    <w:rsid w:val="003033B8"/>
    <w:rsid w:val="00303C9F"/>
    <w:rsid w:val="00303FA6"/>
    <w:rsid w:val="00304A82"/>
    <w:rsid w:val="00304AB4"/>
    <w:rsid w:val="00304DC7"/>
    <w:rsid w:val="00305551"/>
    <w:rsid w:val="00305C33"/>
    <w:rsid w:val="00306515"/>
    <w:rsid w:val="00306655"/>
    <w:rsid w:val="00306DA7"/>
    <w:rsid w:val="00310070"/>
    <w:rsid w:val="00310F81"/>
    <w:rsid w:val="003115E2"/>
    <w:rsid w:val="00311B02"/>
    <w:rsid w:val="00313386"/>
    <w:rsid w:val="00313DC4"/>
    <w:rsid w:val="00314D6C"/>
    <w:rsid w:val="00315DD7"/>
    <w:rsid w:val="0031620C"/>
    <w:rsid w:val="003171D1"/>
    <w:rsid w:val="00317FE7"/>
    <w:rsid w:val="00320D8A"/>
    <w:rsid w:val="00320FD0"/>
    <w:rsid w:val="003214B3"/>
    <w:rsid w:val="00321958"/>
    <w:rsid w:val="00322184"/>
    <w:rsid w:val="003224B1"/>
    <w:rsid w:val="003232F6"/>
    <w:rsid w:val="00324BD0"/>
    <w:rsid w:val="00325322"/>
    <w:rsid w:val="00326BE8"/>
    <w:rsid w:val="00327A20"/>
    <w:rsid w:val="0033029C"/>
    <w:rsid w:val="003319CB"/>
    <w:rsid w:val="00333498"/>
    <w:rsid w:val="00334E77"/>
    <w:rsid w:val="00335A2C"/>
    <w:rsid w:val="00335E7D"/>
    <w:rsid w:val="0033654D"/>
    <w:rsid w:val="003366DB"/>
    <w:rsid w:val="003371DF"/>
    <w:rsid w:val="00341111"/>
    <w:rsid w:val="003418EA"/>
    <w:rsid w:val="003432BC"/>
    <w:rsid w:val="00345AA6"/>
    <w:rsid w:val="00346193"/>
    <w:rsid w:val="00346C21"/>
    <w:rsid w:val="00346CD3"/>
    <w:rsid w:val="00346E3B"/>
    <w:rsid w:val="00347FED"/>
    <w:rsid w:val="00350589"/>
    <w:rsid w:val="00350C38"/>
    <w:rsid w:val="00350D80"/>
    <w:rsid w:val="003517CE"/>
    <w:rsid w:val="0035187F"/>
    <w:rsid w:val="003520DD"/>
    <w:rsid w:val="00352281"/>
    <w:rsid w:val="0035266C"/>
    <w:rsid w:val="003537AD"/>
    <w:rsid w:val="00353F39"/>
    <w:rsid w:val="00354C6A"/>
    <w:rsid w:val="00355563"/>
    <w:rsid w:val="00356C59"/>
    <w:rsid w:val="00356DE3"/>
    <w:rsid w:val="003572BD"/>
    <w:rsid w:val="00357B57"/>
    <w:rsid w:val="00360039"/>
    <w:rsid w:val="00360768"/>
    <w:rsid w:val="00360A28"/>
    <w:rsid w:val="00362206"/>
    <w:rsid w:val="00362468"/>
    <w:rsid w:val="0036307D"/>
    <w:rsid w:val="0036475E"/>
    <w:rsid w:val="00364A4A"/>
    <w:rsid w:val="00364B0E"/>
    <w:rsid w:val="003654AC"/>
    <w:rsid w:val="0036614A"/>
    <w:rsid w:val="003662ED"/>
    <w:rsid w:val="00367043"/>
    <w:rsid w:val="003671CF"/>
    <w:rsid w:val="00367546"/>
    <w:rsid w:val="00370150"/>
    <w:rsid w:val="0037073B"/>
    <w:rsid w:val="00370B46"/>
    <w:rsid w:val="00371094"/>
    <w:rsid w:val="0037128B"/>
    <w:rsid w:val="00372090"/>
    <w:rsid w:val="00372997"/>
    <w:rsid w:val="0037312E"/>
    <w:rsid w:val="00373B99"/>
    <w:rsid w:val="0037417B"/>
    <w:rsid w:val="0037589E"/>
    <w:rsid w:val="00376028"/>
    <w:rsid w:val="003760F9"/>
    <w:rsid w:val="00376EE5"/>
    <w:rsid w:val="00377060"/>
    <w:rsid w:val="003776C9"/>
    <w:rsid w:val="00380359"/>
    <w:rsid w:val="00380D80"/>
    <w:rsid w:val="003812BE"/>
    <w:rsid w:val="00381689"/>
    <w:rsid w:val="003828D4"/>
    <w:rsid w:val="00383D8B"/>
    <w:rsid w:val="00383F80"/>
    <w:rsid w:val="00385727"/>
    <w:rsid w:val="00385A25"/>
    <w:rsid w:val="00386DDA"/>
    <w:rsid w:val="00386E7D"/>
    <w:rsid w:val="003906B7"/>
    <w:rsid w:val="00390B04"/>
    <w:rsid w:val="00390D57"/>
    <w:rsid w:val="00393567"/>
    <w:rsid w:val="00394282"/>
    <w:rsid w:val="00394829"/>
    <w:rsid w:val="00394952"/>
    <w:rsid w:val="00395407"/>
    <w:rsid w:val="003956BF"/>
    <w:rsid w:val="003A016C"/>
    <w:rsid w:val="003A09B4"/>
    <w:rsid w:val="003A1B80"/>
    <w:rsid w:val="003A26BC"/>
    <w:rsid w:val="003A3A49"/>
    <w:rsid w:val="003A3D07"/>
    <w:rsid w:val="003A4119"/>
    <w:rsid w:val="003A4F55"/>
    <w:rsid w:val="003A565D"/>
    <w:rsid w:val="003A5C0D"/>
    <w:rsid w:val="003A6113"/>
    <w:rsid w:val="003A6F9D"/>
    <w:rsid w:val="003A7AF5"/>
    <w:rsid w:val="003B1C28"/>
    <w:rsid w:val="003B1E29"/>
    <w:rsid w:val="003B2B7C"/>
    <w:rsid w:val="003B316E"/>
    <w:rsid w:val="003B34FD"/>
    <w:rsid w:val="003B3E8C"/>
    <w:rsid w:val="003B4685"/>
    <w:rsid w:val="003B5499"/>
    <w:rsid w:val="003B5946"/>
    <w:rsid w:val="003B78EE"/>
    <w:rsid w:val="003C005F"/>
    <w:rsid w:val="003C0FD1"/>
    <w:rsid w:val="003C16F1"/>
    <w:rsid w:val="003C1D00"/>
    <w:rsid w:val="003C1FCE"/>
    <w:rsid w:val="003C3321"/>
    <w:rsid w:val="003C33A3"/>
    <w:rsid w:val="003C3637"/>
    <w:rsid w:val="003C614C"/>
    <w:rsid w:val="003C6374"/>
    <w:rsid w:val="003C6565"/>
    <w:rsid w:val="003C767D"/>
    <w:rsid w:val="003C7698"/>
    <w:rsid w:val="003D006C"/>
    <w:rsid w:val="003D07C3"/>
    <w:rsid w:val="003D0EAE"/>
    <w:rsid w:val="003D1353"/>
    <w:rsid w:val="003D1972"/>
    <w:rsid w:val="003D37E9"/>
    <w:rsid w:val="003D3AB1"/>
    <w:rsid w:val="003D4509"/>
    <w:rsid w:val="003D489E"/>
    <w:rsid w:val="003D4C4E"/>
    <w:rsid w:val="003D5BB8"/>
    <w:rsid w:val="003D6537"/>
    <w:rsid w:val="003D65EE"/>
    <w:rsid w:val="003D6F9B"/>
    <w:rsid w:val="003E1120"/>
    <w:rsid w:val="003E18CD"/>
    <w:rsid w:val="003E1AEF"/>
    <w:rsid w:val="003E24EA"/>
    <w:rsid w:val="003E38D3"/>
    <w:rsid w:val="003E4CA2"/>
    <w:rsid w:val="003E55F1"/>
    <w:rsid w:val="003E55F9"/>
    <w:rsid w:val="003E67F2"/>
    <w:rsid w:val="003F0093"/>
    <w:rsid w:val="003F0145"/>
    <w:rsid w:val="003F0274"/>
    <w:rsid w:val="003F3F1B"/>
    <w:rsid w:val="003F5121"/>
    <w:rsid w:val="003F5618"/>
    <w:rsid w:val="003F58F8"/>
    <w:rsid w:val="003F71CB"/>
    <w:rsid w:val="004027EE"/>
    <w:rsid w:val="00404378"/>
    <w:rsid w:val="004049C9"/>
    <w:rsid w:val="00404AAC"/>
    <w:rsid w:val="0040579C"/>
    <w:rsid w:val="00407BAF"/>
    <w:rsid w:val="00407CD9"/>
    <w:rsid w:val="00410B27"/>
    <w:rsid w:val="004119A5"/>
    <w:rsid w:val="00411D02"/>
    <w:rsid w:val="0041249F"/>
    <w:rsid w:val="00412F90"/>
    <w:rsid w:val="0041350C"/>
    <w:rsid w:val="004138CD"/>
    <w:rsid w:val="00416715"/>
    <w:rsid w:val="00416D72"/>
    <w:rsid w:val="00417221"/>
    <w:rsid w:val="00417CCF"/>
    <w:rsid w:val="00420868"/>
    <w:rsid w:val="00421A40"/>
    <w:rsid w:val="00423678"/>
    <w:rsid w:val="00423B6C"/>
    <w:rsid w:val="0042443D"/>
    <w:rsid w:val="00425DE6"/>
    <w:rsid w:val="0042604D"/>
    <w:rsid w:val="00431BBB"/>
    <w:rsid w:val="00432172"/>
    <w:rsid w:val="00434307"/>
    <w:rsid w:val="00434F17"/>
    <w:rsid w:val="00435B10"/>
    <w:rsid w:val="004360BF"/>
    <w:rsid w:val="00437495"/>
    <w:rsid w:val="00437BEF"/>
    <w:rsid w:val="004409DD"/>
    <w:rsid w:val="00441BFD"/>
    <w:rsid w:val="00441D57"/>
    <w:rsid w:val="004423CB"/>
    <w:rsid w:val="00444098"/>
    <w:rsid w:val="00444D4A"/>
    <w:rsid w:val="004455CA"/>
    <w:rsid w:val="00445A20"/>
    <w:rsid w:val="00445E10"/>
    <w:rsid w:val="00446881"/>
    <w:rsid w:val="00450F39"/>
    <w:rsid w:val="0045101C"/>
    <w:rsid w:val="0045114B"/>
    <w:rsid w:val="004517CC"/>
    <w:rsid w:val="00451B82"/>
    <w:rsid w:val="0045205F"/>
    <w:rsid w:val="00452301"/>
    <w:rsid w:val="004524EF"/>
    <w:rsid w:val="0045262C"/>
    <w:rsid w:val="004534EA"/>
    <w:rsid w:val="00454CE2"/>
    <w:rsid w:val="00454D09"/>
    <w:rsid w:val="0045595F"/>
    <w:rsid w:val="00455BBF"/>
    <w:rsid w:val="00455BFA"/>
    <w:rsid w:val="00457AA1"/>
    <w:rsid w:val="00457DCF"/>
    <w:rsid w:val="00457F2C"/>
    <w:rsid w:val="004601EE"/>
    <w:rsid w:val="004611AB"/>
    <w:rsid w:val="004618A2"/>
    <w:rsid w:val="00461957"/>
    <w:rsid w:val="004619EC"/>
    <w:rsid w:val="00464040"/>
    <w:rsid w:val="004641D2"/>
    <w:rsid w:val="00465575"/>
    <w:rsid w:val="0046576E"/>
    <w:rsid w:val="0046625C"/>
    <w:rsid w:val="00466A6D"/>
    <w:rsid w:val="00467633"/>
    <w:rsid w:val="004708F1"/>
    <w:rsid w:val="00470C21"/>
    <w:rsid w:val="00471B18"/>
    <w:rsid w:val="00472B9D"/>
    <w:rsid w:val="00472CAB"/>
    <w:rsid w:val="00474928"/>
    <w:rsid w:val="00474ACC"/>
    <w:rsid w:val="00474CED"/>
    <w:rsid w:val="00475277"/>
    <w:rsid w:val="00475DD9"/>
    <w:rsid w:val="0047674B"/>
    <w:rsid w:val="00476C9E"/>
    <w:rsid w:val="004773BD"/>
    <w:rsid w:val="00477AFF"/>
    <w:rsid w:val="00481304"/>
    <w:rsid w:val="004826C6"/>
    <w:rsid w:val="00483F02"/>
    <w:rsid w:val="00485B79"/>
    <w:rsid w:val="00485C42"/>
    <w:rsid w:val="00487F70"/>
    <w:rsid w:val="004905BC"/>
    <w:rsid w:val="0049114F"/>
    <w:rsid w:val="0049172A"/>
    <w:rsid w:val="0049173B"/>
    <w:rsid w:val="00491ACC"/>
    <w:rsid w:val="00491E5F"/>
    <w:rsid w:val="0049208C"/>
    <w:rsid w:val="00492CFA"/>
    <w:rsid w:val="0049359C"/>
    <w:rsid w:val="00493CCF"/>
    <w:rsid w:val="00493F3C"/>
    <w:rsid w:val="0049476B"/>
    <w:rsid w:val="00494DC0"/>
    <w:rsid w:val="00494EAF"/>
    <w:rsid w:val="00495041"/>
    <w:rsid w:val="00495CD9"/>
    <w:rsid w:val="00495E3B"/>
    <w:rsid w:val="004962EA"/>
    <w:rsid w:val="00496947"/>
    <w:rsid w:val="00496D0B"/>
    <w:rsid w:val="00497BA6"/>
    <w:rsid w:val="004A0690"/>
    <w:rsid w:val="004A0DDD"/>
    <w:rsid w:val="004A2AAD"/>
    <w:rsid w:val="004A329D"/>
    <w:rsid w:val="004A338B"/>
    <w:rsid w:val="004A44B2"/>
    <w:rsid w:val="004A45CF"/>
    <w:rsid w:val="004A4612"/>
    <w:rsid w:val="004A6DBE"/>
    <w:rsid w:val="004A74C8"/>
    <w:rsid w:val="004A775D"/>
    <w:rsid w:val="004B0E25"/>
    <w:rsid w:val="004B1D54"/>
    <w:rsid w:val="004B2AA3"/>
    <w:rsid w:val="004B3A25"/>
    <w:rsid w:val="004B3F30"/>
    <w:rsid w:val="004B4C75"/>
    <w:rsid w:val="004B4EA3"/>
    <w:rsid w:val="004B51E6"/>
    <w:rsid w:val="004B5582"/>
    <w:rsid w:val="004B685C"/>
    <w:rsid w:val="004B6B2D"/>
    <w:rsid w:val="004B6E01"/>
    <w:rsid w:val="004B7707"/>
    <w:rsid w:val="004C0088"/>
    <w:rsid w:val="004C20E5"/>
    <w:rsid w:val="004C2601"/>
    <w:rsid w:val="004C2EA4"/>
    <w:rsid w:val="004C320D"/>
    <w:rsid w:val="004C48D0"/>
    <w:rsid w:val="004C4A76"/>
    <w:rsid w:val="004C6625"/>
    <w:rsid w:val="004C6FB3"/>
    <w:rsid w:val="004D085F"/>
    <w:rsid w:val="004D108C"/>
    <w:rsid w:val="004D275B"/>
    <w:rsid w:val="004D3DBE"/>
    <w:rsid w:val="004D3EFA"/>
    <w:rsid w:val="004D488A"/>
    <w:rsid w:val="004D49E7"/>
    <w:rsid w:val="004D4ED4"/>
    <w:rsid w:val="004D58D1"/>
    <w:rsid w:val="004D6D50"/>
    <w:rsid w:val="004D6DD4"/>
    <w:rsid w:val="004D74EF"/>
    <w:rsid w:val="004D778D"/>
    <w:rsid w:val="004E0F77"/>
    <w:rsid w:val="004E1FA0"/>
    <w:rsid w:val="004E325F"/>
    <w:rsid w:val="004E3CA8"/>
    <w:rsid w:val="004E41E3"/>
    <w:rsid w:val="004E424B"/>
    <w:rsid w:val="004E5347"/>
    <w:rsid w:val="004E7490"/>
    <w:rsid w:val="004E7FFD"/>
    <w:rsid w:val="004F0879"/>
    <w:rsid w:val="004F1ACC"/>
    <w:rsid w:val="004F2FED"/>
    <w:rsid w:val="004F338A"/>
    <w:rsid w:val="004F3F2A"/>
    <w:rsid w:val="004F4AB2"/>
    <w:rsid w:val="004F4CC6"/>
    <w:rsid w:val="004F561D"/>
    <w:rsid w:val="004F5727"/>
    <w:rsid w:val="004F62EC"/>
    <w:rsid w:val="004F68A2"/>
    <w:rsid w:val="004F6A3C"/>
    <w:rsid w:val="00501099"/>
    <w:rsid w:val="00502151"/>
    <w:rsid w:val="005039F9"/>
    <w:rsid w:val="00503D31"/>
    <w:rsid w:val="005043EB"/>
    <w:rsid w:val="0050520D"/>
    <w:rsid w:val="005056C6"/>
    <w:rsid w:val="00505AA3"/>
    <w:rsid w:val="00506332"/>
    <w:rsid w:val="0050768A"/>
    <w:rsid w:val="0051065A"/>
    <w:rsid w:val="00511509"/>
    <w:rsid w:val="005122BF"/>
    <w:rsid w:val="0051431B"/>
    <w:rsid w:val="005143A2"/>
    <w:rsid w:val="00514A31"/>
    <w:rsid w:val="00515879"/>
    <w:rsid w:val="005161DE"/>
    <w:rsid w:val="00516958"/>
    <w:rsid w:val="00517173"/>
    <w:rsid w:val="005175C9"/>
    <w:rsid w:val="00517A68"/>
    <w:rsid w:val="00517EE7"/>
    <w:rsid w:val="005200C4"/>
    <w:rsid w:val="00520598"/>
    <w:rsid w:val="0052211B"/>
    <w:rsid w:val="005229AC"/>
    <w:rsid w:val="00522D3B"/>
    <w:rsid w:val="00524536"/>
    <w:rsid w:val="0052479C"/>
    <w:rsid w:val="00525F53"/>
    <w:rsid w:val="005271E4"/>
    <w:rsid w:val="0052754E"/>
    <w:rsid w:val="005275BC"/>
    <w:rsid w:val="00527F8C"/>
    <w:rsid w:val="00530597"/>
    <w:rsid w:val="00534272"/>
    <w:rsid w:val="00534E5A"/>
    <w:rsid w:val="00535583"/>
    <w:rsid w:val="00535CFB"/>
    <w:rsid w:val="00536CEF"/>
    <w:rsid w:val="00537289"/>
    <w:rsid w:val="005407F8"/>
    <w:rsid w:val="00542F76"/>
    <w:rsid w:val="00543746"/>
    <w:rsid w:val="00543925"/>
    <w:rsid w:val="00543D77"/>
    <w:rsid w:val="00544064"/>
    <w:rsid w:val="00544432"/>
    <w:rsid w:val="00545118"/>
    <w:rsid w:val="00545CEB"/>
    <w:rsid w:val="005475CB"/>
    <w:rsid w:val="00550C37"/>
    <w:rsid w:val="00551EF7"/>
    <w:rsid w:val="0055263D"/>
    <w:rsid w:val="005530C9"/>
    <w:rsid w:val="00553B17"/>
    <w:rsid w:val="00553B38"/>
    <w:rsid w:val="00555461"/>
    <w:rsid w:val="0055554A"/>
    <w:rsid w:val="0055555B"/>
    <w:rsid w:val="00555BE7"/>
    <w:rsid w:val="00555F51"/>
    <w:rsid w:val="00555F5C"/>
    <w:rsid w:val="0055736A"/>
    <w:rsid w:val="0055774A"/>
    <w:rsid w:val="005577E1"/>
    <w:rsid w:val="00557AC2"/>
    <w:rsid w:val="0056066F"/>
    <w:rsid w:val="00561501"/>
    <w:rsid w:val="005630F9"/>
    <w:rsid w:val="00564053"/>
    <w:rsid w:val="0056468C"/>
    <w:rsid w:val="00565E80"/>
    <w:rsid w:val="0056662A"/>
    <w:rsid w:val="00570B57"/>
    <w:rsid w:val="005723EF"/>
    <w:rsid w:val="00572E91"/>
    <w:rsid w:val="005731DC"/>
    <w:rsid w:val="00573749"/>
    <w:rsid w:val="0057441B"/>
    <w:rsid w:val="00574557"/>
    <w:rsid w:val="00575519"/>
    <w:rsid w:val="005758A2"/>
    <w:rsid w:val="00575971"/>
    <w:rsid w:val="00577178"/>
    <w:rsid w:val="005774B0"/>
    <w:rsid w:val="0058095B"/>
    <w:rsid w:val="00580979"/>
    <w:rsid w:val="00581933"/>
    <w:rsid w:val="0058301A"/>
    <w:rsid w:val="00584D83"/>
    <w:rsid w:val="005857D5"/>
    <w:rsid w:val="00585CFE"/>
    <w:rsid w:val="00585EDC"/>
    <w:rsid w:val="00587448"/>
    <w:rsid w:val="0058795D"/>
    <w:rsid w:val="00591CD4"/>
    <w:rsid w:val="0059380F"/>
    <w:rsid w:val="00593AAA"/>
    <w:rsid w:val="00593D91"/>
    <w:rsid w:val="005940BB"/>
    <w:rsid w:val="0059527C"/>
    <w:rsid w:val="00595BD0"/>
    <w:rsid w:val="0059634F"/>
    <w:rsid w:val="00596821"/>
    <w:rsid w:val="00596D18"/>
    <w:rsid w:val="005976E1"/>
    <w:rsid w:val="005A0381"/>
    <w:rsid w:val="005A08B1"/>
    <w:rsid w:val="005A0B12"/>
    <w:rsid w:val="005A21A7"/>
    <w:rsid w:val="005A2302"/>
    <w:rsid w:val="005A2CE1"/>
    <w:rsid w:val="005A2F82"/>
    <w:rsid w:val="005A5065"/>
    <w:rsid w:val="005A5587"/>
    <w:rsid w:val="005A5942"/>
    <w:rsid w:val="005A6209"/>
    <w:rsid w:val="005A7193"/>
    <w:rsid w:val="005B0F79"/>
    <w:rsid w:val="005B1B3B"/>
    <w:rsid w:val="005B1B5C"/>
    <w:rsid w:val="005B1E39"/>
    <w:rsid w:val="005B1E72"/>
    <w:rsid w:val="005B2822"/>
    <w:rsid w:val="005B29CD"/>
    <w:rsid w:val="005B2F54"/>
    <w:rsid w:val="005B3918"/>
    <w:rsid w:val="005B4083"/>
    <w:rsid w:val="005B5020"/>
    <w:rsid w:val="005B5BDC"/>
    <w:rsid w:val="005B66C9"/>
    <w:rsid w:val="005B6A58"/>
    <w:rsid w:val="005B7090"/>
    <w:rsid w:val="005B7961"/>
    <w:rsid w:val="005C0796"/>
    <w:rsid w:val="005C0F3F"/>
    <w:rsid w:val="005C266E"/>
    <w:rsid w:val="005C36F6"/>
    <w:rsid w:val="005C3BA8"/>
    <w:rsid w:val="005C4146"/>
    <w:rsid w:val="005C4EC3"/>
    <w:rsid w:val="005C50AC"/>
    <w:rsid w:val="005C59FF"/>
    <w:rsid w:val="005C5B05"/>
    <w:rsid w:val="005C7C42"/>
    <w:rsid w:val="005D03EA"/>
    <w:rsid w:val="005D067F"/>
    <w:rsid w:val="005D0CC4"/>
    <w:rsid w:val="005D0F76"/>
    <w:rsid w:val="005D1B60"/>
    <w:rsid w:val="005D2151"/>
    <w:rsid w:val="005D2C77"/>
    <w:rsid w:val="005D3790"/>
    <w:rsid w:val="005D3A89"/>
    <w:rsid w:val="005D4259"/>
    <w:rsid w:val="005D6003"/>
    <w:rsid w:val="005D6FF3"/>
    <w:rsid w:val="005D71A4"/>
    <w:rsid w:val="005E0D52"/>
    <w:rsid w:val="005E15A0"/>
    <w:rsid w:val="005E25BD"/>
    <w:rsid w:val="005E38D6"/>
    <w:rsid w:val="005E3C2F"/>
    <w:rsid w:val="005E5A34"/>
    <w:rsid w:val="005E5CDF"/>
    <w:rsid w:val="005E74E7"/>
    <w:rsid w:val="005E7BB7"/>
    <w:rsid w:val="005F2044"/>
    <w:rsid w:val="005F44F2"/>
    <w:rsid w:val="005F46E8"/>
    <w:rsid w:val="005F485D"/>
    <w:rsid w:val="005F5FF5"/>
    <w:rsid w:val="005F6589"/>
    <w:rsid w:val="005F71E7"/>
    <w:rsid w:val="00600184"/>
    <w:rsid w:val="0060070F"/>
    <w:rsid w:val="00600E45"/>
    <w:rsid w:val="00600E7D"/>
    <w:rsid w:val="00602181"/>
    <w:rsid w:val="00602C81"/>
    <w:rsid w:val="006038B7"/>
    <w:rsid w:val="00603E04"/>
    <w:rsid w:val="00604857"/>
    <w:rsid w:val="00604F47"/>
    <w:rsid w:val="00605BDE"/>
    <w:rsid w:val="006065F0"/>
    <w:rsid w:val="00606A34"/>
    <w:rsid w:val="00606C1D"/>
    <w:rsid w:val="00606DB0"/>
    <w:rsid w:val="006070A9"/>
    <w:rsid w:val="00610FD0"/>
    <w:rsid w:val="006116A6"/>
    <w:rsid w:val="006122BC"/>
    <w:rsid w:val="006135FD"/>
    <w:rsid w:val="006136FA"/>
    <w:rsid w:val="006138D1"/>
    <w:rsid w:val="0061499B"/>
    <w:rsid w:val="00614EBC"/>
    <w:rsid w:val="00615029"/>
    <w:rsid w:val="006156CD"/>
    <w:rsid w:val="00615FA5"/>
    <w:rsid w:val="006167B5"/>
    <w:rsid w:val="00617117"/>
    <w:rsid w:val="006201EB"/>
    <w:rsid w:val="0062069B"/>
    <w:rsid w:val="006208C0"/>
    <w:rsid w:val="00620D50"/>
    <w:rsid w:val="00620FDD"/>
    <w:rsid w:val="00621B14"/>
    <w:rsid w:val="00622017"/>
    <w:rsid w:val="006231AF"/>
    <w:rsid w:val="00623668"/>
    <w:rsid w:val="0062496F"/>
    <w:rsid w:val="00624B34"/>
    <w:rsid w:val="00624E3F"/>
    <w:rsid w:val="00625063"/>
    <w:rsid w:val="0062542B"/>
    <w:rsid w:val="00625ABF"/>
    <w:rsid w:val="00625AE1"/>
    <w:rsid w:val="00625BF2"/>
    <w:rsid w:val="0062692A"/>
    <w:rsid w:val="006271EE"/>
    <w:rsid w:val="0063022B"/>
    <w:rsid w:val="006302E0"/>
    <w:rsid w:val="006307C3"/>
    <w:rsid w:val="0063084B"/>
    <w:rsid w:val="006314E1"/>
    <w:rsid w:val="006316C0"/>
    <w:rsid w:val="00631AF9"/>
    <w:rsid w:val="00631EC0"/>
    <w:rsid w:val="006338FD"/>
    <w:rsid w:val="00635396"/>
    <w:rsid w:val="00635715"/>
    <w:rsid w:val="00635C53"/>
    <w:rsid w:val="00636055"/>
    <w:rsid w:val="00636AC9"/>
    <w:rsid w:val="0064088E"/>
    <w:rsid w:val="00641C49"/>
    <w:rsid w:val="0064279F"/>
    <w:rsid w:val="0064321B"/>
    <w:rsid w:val="00643C78"/>
    <w:rsid w:val="006440A9"/>
    <w:rsid w:val="00644760"/>
    <w:rsid w:val="00644CBE"/>
    <w:rsid w:val="006460E2"/>
    <w:rsid w:val="006501CF"/>
    <w:rsid w:val="00650FEA"/>
    <w:rsid w:val="00652462"/>
    <w:rsid w:val="006524FB"/>
    <w:rsid w:val="0065391C"/>
    <w:rsid w:val="0065398F"/>
    <w:rsid w:val="00653F22"/>
    <w:rsid w:val="00654800"/>
    <w:rsid w:val="00654EAA"/>
    <w:rsid w:val="00657ACC"/>
    <w:rsid w:val="00657CD6"/>
    <w:rsid w:val="00657EA1"/>
    <w:rsid w:val="00660AB1"/>
    <w:rsid w:val="006615B1"/>
    <w:rsid w:val="00662B9D"/>
    <w:rsid w:val="00662C8D"/>
    <w:rsid w:val="00662DF8"/>
    <w:rsid w:val="0066394A"/>
    <w:rsid w:val="00664121"/>
    <w:rsid w:val="00664622"/>
    <w:rsid w:val="00664FA4"/>
    <w:rsid w:val="00665D9A"/>
    <w:rsid w:val="00666009"/>
    <w:rsid w:val="00666F04"/>
    <w:rsid w:val="0066706C"/>
    <w:rsid w:val="00667262"/>
    <w:rsid w:val="00667B9F"/>
    <w:rsid w:val="00667C84"/>
    <w:rsid w:val="0067027C"/>
    <w:rsid w:val="006713A7"/>
    <w:rsid w:val="00671B5D"/>
    <w:rsid w:val="00671B97"/>
    <w:rsid w:val="00672132"/>
    <w:rsid w:val="00673006"/>
    <w:rsid w:val="00674C32"/>
    <w:rsid w:val="00675015"/>
    <w:rsid w:val="0067556C"/>
    <w:rsid w:val="006756AD"/>
    <w:rsid w:val="00675CD9"/>
    <w:rsid w:val="00675D4C"/>
    <w:rsid w:val="00675DF2"/>
    <w:rsid w:val="006769F1"/>
    <w:rsid w:val="00676C49"/>
    <w:rsid w:val="00677DBB"/>
    <w:rsid w:val="00680970"/>
    <w:rsid w:val="00680ADB"/>
    <w:rsid w:val="00682343"/>
    <w:rsid w:val="006830D0"/>
    <w:rsid w:val="006834F2"/>
    <w:rsid w:val="00683C77"/>
    <w:rsid w:val="006849BA"/>
    <w:rsid w:val="00684EDE"/>
    <w:rsid w:val="00690F8C"/>
    <w:rsid w:val="00691A21"/>
    <w:rsid w:val="00691D5B"/>
    <w:rsid w:val="00692B44"/>
    <w:rsid w:val="00693403"/>
    <w:rsid w:val="006961A4"/>
    <w:rsid w:val="006968B8"/>
    <w:rsid w:val="00696C79"/>
    <w:rsid w:val="00697035"/>
    <w:rsid w:val="006A013B"/>
    <w:rsid w:val="006A0BCF"/>
    <w:rsid w:val="006A20AE"/>
    <w:rsid w:val="006A2AA3"/>
    <w:rsid w:val="006A3CE9"/>
    <w:rsid w:val="006A6548"/>
    <w:rsid w:val="006A6E41"/>
    <w:rsid w:val="006A74EB"/>
    <w:rsid w:val="006A798B"/>
    <w:rsid w:val="006A7C9A"/>
    <w:rsid w:val="006B032D"/>
    <w:rsid w:val="006B033C"/>
    <w:rsid w:val="006B222A"/>
    <w:rsid w:val="006B23BB"/>
    <w:rsid w:val="006B3546"/>
    <w:rsid w:val="006B49BD"/>
    <w:rsid w:val="006B4E4F"/>
    <w:rsid w:val="006B55AA"/>
    <w:rsid w:val="006B6DEB"/>
    <w:rsid w:val="006B71D9"/>
    <w:rsid w:val="006C01BA"/>
    <w:rsid w:val="006C16FF"/>
    <w:rsid w:val="006C1939"/>
    <w:rsid w:val="006C19A4"/>
    <w:rsid w:val="006C1D3E"/>
    <w:rsid w:val="006C1FBA"/>
    <w:rsid w:val="006C20EC"/>
    <w:rsid w:val="006C261F"/>
    <w:rsid w:val="006C350D"/>
    <w:rsid w:val="006C391D"/>
    <w:rsid w:val="006C4ADC"/>
    <w:rsid w:val="006C4CB8"/>
    <w:rsid w:val="006C4E2C"/>
    <w:rsid w:val="006C5145"/>
    <w:rsid w:val="006C5665"/>
    <w:rsid w:val="006C58F4"/>
    <w:rsid w:val="006C59BC"/>
    <w:rsid w:val="006C5D49"/>
    <w:rsid w:val="006C6EA4"/>
    <w:rsid w:val="006C780E"/>
    <w:rsid w:val="006D0E3F"/>
    <w:rsid w:val="006D1999"/>
    <w:rsid w:val="006D210C"/>
    <w:rsid w:val="006D21D8"/>
    <w:rsid w:val="006D377A"/>
    <w:rsid w:val="006D38F0"/>
    <w:rsid w:val="006D3D77"/>
    <w:rsid w:val="006D3DE6"/>
    <w:rsid w:val="006D6488"/>
    <w:rsid w:val="006D689E"/>
    <w:rsid w:val="006D6901"/>
    <w:rsid w:val="006D780A"/>
    <w:rsid w:val="006D7A68"/>
    <w:rsid w:val="006E02DB"/>
    <w:rsid w:val="006E1A6F"/>
    <w:rsid w:val="006E1E47"/>
    <w:rsid w:val="006E21C4"/>
    <w:rsid w:val="006E275B"/>
    <w:rsid w:val="006E2BE9"/>
    <w:rsid w:val="006E2D62"/>
    <w:rsid w:val="006E35B0"/>
    <w:rsid w:val="006E5A7A"/>
    <w:rsid w:val="006E6712"/>
    <w:rsid w:val="006E7FDB"/>
    <w:rsid w:val="006F057A"/>
    <w:rsid w:val="006F1754"/>
    <w:rsid w:val="006F18C2"/>
    <w:rsid w:val="006F1A74"/>
    <w:rsid w:val="006F2674"/>
    <w:rsid w:val="006F3063"/>
    <w:rsid w:val="006F30AA"/>
    <w:rsid w:val="006F332B"/>
    <w:rsid w:val="006F3B58"/>
    <w:rsid w:val="006F4A62"/>
    <w:rsid w:val="006F55F9"/>
    <w:rsid w:val="006F583A"/>
    <w:rsid w:val="006F6656"/>
    <w:rsid w:val="006F7712"/>
    <w:rsid w:val="006F7858"/>
    <w:rsid w:val="00701041"/>
    <w:rsid w:val="0070241A"/>
    <w:rsid w:val="00702C6C"/>
    <w:rsid w:val="00702DD7"/>
    <w:rsid w:val="00704A5D"/>
    <w:rsid w:val="00704AAC"/>
    <w:rsid w:val="00706375"/>
    <w:rsid w:val="00706BE5"/>
    <w:rsid w:val="00706FA0"/>
    <w:rsid w:val="00710051"/>
    <w:rsid w:val="00710B50"/>
    <w:rsid w:val="0071127F"/>
    <w:rsid w:val="0071381A"/>
    <w:rsid w:val="007169D6"/>
    <w:rsid w:val="00717347"/>
    <w:rsid w:val="007174D5"/>
    <w:rsid w:val="0072017E"/>
    <w:rsid w:val="00720DDF"/>
    <w:rsid w:val="007213EF"/>
    <w:rsid w:val="00721A32"/>
    <w:rsid w:val="00721AA0"/>
    <w:rsid w:val="00721DAE"/>
    <w:rsid w:val="00725D36"/>
    <w:rsid w:val="00726187"/>
    <w:rsid w:val="0072668B"/>
    <w:rsid w:val="00726BE4"/>
    <w:rsid w:val="00726C30"/>
    <w:rsid w:val="00727BD0"/>
    <w:rsid w:val="00727D67"/>
    <w:rsid w:val="00732525"/>
    <w:rsid w:val="007326A0"/>
    <w:rsid w:val="00732944"/>
    <w:rsid w:val="00732E3A"/>
    <w:rsid w:val="00733817"/>
    <w:rsid w:val="0073415C"/>
    <w:rsid w:val="00735022"/>
    <w:rsid w:val="007358C8"/>
    <w:rsid w:val="007367F8"/>
    <w:rsid w:val="0073727E"/>
    <w:rsid w:val="00743C28"/>
    <w:rsid w:val="00747038"/>
    <w:rsid w:val="00747CA3"/>
    <w:rsid w:val="007505DA"/>
    <w:rsid w:val="007530F7"/>
    <w:rsid w:val="00753C7C"/>
    <w:rsid w:val="007541CE"/>
    <w:rsid w:val="00755B2D"/>
    <w:rsid w:val="00755CE2"/>
    <w:rsid w:val="00757523"/>
    <w:rsid w:val="0076021A"/>
    <w:rsid w:val="00760583"/>
    <w:rsid w:val="00761370"/>
    <w:rsid w:val="00761FCF"/>
    <w:rsid w:val="0076299E"/>
    <w:rsid w:val="00763248"/>
    <w:rsid w:val="007635B6"/>
    <w:rsid w:val="00764156"/>
    <w:rsid w:val="00764D6A"/>
    <w:rsid w:val="00765141"/>
    <w:rsid w:val="00767A2B"/>
    <w:rsid w:val="00770B77"/>
    <w:rsid w:val="00770CB4"/>
    <w:rsid w:val="00770FBD"/>
    <w:rsid w:val="00771276"/>
    <w:rsid w:val="00771481"/>
    <w:rsid w:val="007714A6"/>
    <w:rsid w:val="00772618"/>
    <w:rsid w:val="00772E14"/>
    <w:rsid w:val="00773056"/>
    <w:rsid w:val="00775D37"/>
    <w:rsid w:val="00776E0D"/>
    <w:rsid w:val="0077731A"/>
    <w:rsid w:val="00777ED0"/>
    <w:rsid w:val="0078061D"/>
    <w:rsid w:val="00781C04"/>
    <w:rsid w:val="0078339D"/>
    <w:rsid w:val="00784A46"/>
    <w:rsid w:val="00785133"/>
    <w:rsid w:val="007859C7"/>
    <w:rsid w:val="00785D2D"/>
    <w:rsid w:val="00785D9D"/>
    <w:rsid w:val="007868CE"/>
    <w:rsid w:val="00787B7B"/>
    <w:rsid w:val="007904D6"/>
    <w:rsid w:val="0079120C"/>
    <w:rsid w:val="007932F0"/>
    <w:rsid w:val="007935FC"/>
    <w:rsid w:val="007937A3"/>
    <w:rsid w:val="007940E3"/>
    <w:rsid w:val="0079446C"/>
    <w:rsid w:val="00797460"/>
    <w:rsid w:val="007A0B3F"/>
    <w:rsid w:val="007A125E"/>
    <w:rsid w:val="007A14A4"/>
    <w:rsid w:val="007A1C38"/>
    <w:rsid w:val="007A2254"/>
    <w:rsid w:val="007A2D93"/>
    <w:rsid w:val="007A3897"/>
    <w:rsid w:val="007A3E94"/>
    <w:rsid w:val="007A4519"/>
    <w:rsid w:val="007A4DDB"/>
    <w:rsid w:val="007A516F"/>
    <w:rsid w:val="007A5D10"/>
    <w:rsid w:val="007A62D7"/>
    <w:rsid w:val="007A6606"/>
    <w:rsid w:val="007A6BF4"/>
    <w:rsid w:val="007A6EAD"/>
    <w:rsid w:val="007A7272"/>
    <w:rsid w:val="007B018C"/>
    <w:rsid w:val="007B0B23"/>
    <w:rsid w:val="007B0EB6"/>
    <w:rsid w:val="007B215A"/>
    <w:rsid w:val="007B3337"/>
    <w:rsid w:val="007B577F"/>
    <w:rsid w:val="007B64B4"/>
    <w:rsid w:val="007B66C4"/>
    <w:rsid w:val="007B7647"/>
    <w:rsid w:val="007B7E13"/>
    <w:rsid w:val="007C01D7"/>
    <w:rsid w:val="007C05F6"/>
    <w:rsid w:val="007C0AB7"/>
    <w:rsid w:val="007C1C43"/>
    <w:rsid w:val="007C358A"/>
    <w:rsid w:val="007C513A"/>
    <w:rsid w:val="007C54EF"/>
    <w:rsid w:val="007C560B"/>
    <w:rsid w:val="007C7091"/>
    <w:rsid w:val="007C7575"/>
    <w:rsid w:val="007C792A"/>
    <w:rsid w:val="007D22BF"/>
    <w:rsid w:val="007D3E8F"/>
    <w:rsid w:val="007D3E99"/>
    <w:rsid w:val="007D567F"/>
    <w:rsid w:val="007E0C74"/>
    <w:rsid w:val="007E2BC6"/>
    <w:rsid w:val="007E39EF"/>
    <w:rsid w:val="007E4123"/>
    <w:rsid w:val="007E457A"/>
    <w:rsid w:val="007E4598"/>
    <w:rsid w:val="007E45E5"/>
    <w:rsid w:val="007E4F54"/>
    <w:rsid w:val="007E5614"/>
    <w:rsid w:val="007F1422"/>
    <w:rsid w:val="007F172B"/>
    <w:rsid w:val="007F185D"/>
    <w:rsid w:val="007F18A7"/>
    <w:rsid w:val="007F23BA"/>
    <w:rsid w:val="007F26D2"/>
    <w:rsid w:val="007F312E"/>
    <w:rsid w:val="007F410F"/>
    <w:rsid w:val="007F484B"/>
    <w:rsid w:val="007F5678"/>
    <w:rsid w:val="007F5920"/>
    <w:rsid w:val="007F6238"/>
    <w:rsid w:val="007F6D78"/>
    <w:rsid w:val="007F7567"/>
    <w:rsid w:val="00800FE1"/>
    <w:rsid w:val="008017F5"/>
    <w:rsid w:val="008029EC"/>
    <w:rsid w:val="0080348E"/>
    <w:rsid w:val="00803FA3"/>
    <w:rsid w:val="00804A86"/>
    <w:rsid w:val="00804C6C"/>
    <w:rsid w:val="00804E0B"/>
    <w:rsid w:val="0080517E"/>
    <w:rsid w:val="00805EB5"/>
    <w:rsid w:val="00806650"/>
    <w:rsid w:val="00806F39"/>
    <w:rsid w:val="008079AB"/>
    <w:rsid w:val="00807D3A"/>
    <w:rsid w:val="008109D3"/>
    <w:rsid w:val="00811388"/>
    <w:rsid w:val="0081307C"/>
    <w:rsid w:val="00813267"/>
    <w:rsid w:val="0081329E"/>
    <w:rsid w:val="0081474D"/>
    <w:rsid w:val="00814F9D"/>
    <w:rsid w:val="00815318"/>
    <w:rsid w:val="00815DC5"/>
    <w:rsid w:val="00816528"/>
    <w:rsid w:val="008165CA"/>
    <w:rsid w:val="00816A38"/>
    <w:rsid w:val="00816BE5"/>
    <w:rsid w:val="00817403"/>
    <w:rsid w:val="008178BB"/>
    <w:rsid w:val="00817B12"/>
    <w:rsid w:val="00820C9D"/>
    <w:rsid w:val="00820F04"/>
    <w:rsid w:val="00820FA5"/>
    <w:rsid w:val="0082112C"/>
    <w:rsid w:val="00821191"/>
    <w:rsid w:val="008211BB"/>
    <w:rsid w:val="00821C57"/>
    <w:rsid w:val="00821FEC"/>
    <w:rsid w:val="008226A0"/>
    <w:rsid w:val="0082298B"/>
    <w:rsid w:val="00822C55"/>
    <w:rsid w:val="0082312E"/>
    <w:rsid w:val="00823916"/>
    <w:rsid w:val="00823C1A"/>
    <w:rsid w:val="00824076"/>
    <w:rsid w:val="008242EE"/>
    <w:rsid w:val="008243D5"/>
    <w:rsid w:val="0082469E"/>
    <w:rsid w:val="00824D61"/>
    <w:rsid w:val="0082661C"/>
    <w:rsid w:val="00826793"/>
    <w:rsid w:val="00827A09"/>
    <w:rsid w:val="008302FF"/>
    <w:rsid w:val="00830A38"/>
    <w:rsid w:val="00831313"/>
    <w:rsid w:val="00831ADC"/>
    <w:rsid w:val="00831DED"/>
    <w:rsid w:val="008321EE"/>
    <w:rsid w:val="00832795"/>
    <w:rsid w:val="008334FD"/>
    <w:rsid w:val="0083395A"/>
    <w:rsid w:val="00834737"/>
    <w:rsid w:val="00834757"/>
    <w:rsid w:val="00834D6D"/>
    <w:rsid w:val="008352FB"/>
    <w:rsid w:val="00835B05"/>
    <w:rsid w:val="0083619E"/>
    <w:rsid w:val="0083685A"/>
    <w:rsid w:val="00836D2B"/>
    <w:rsid w:val="0084011B"/>
    <w:rsid w:val="008416EE"/>
    <w:rsid w:val="00841A68"/>
    <w:rsid w:val="00841DE1"/>
    <w:rsid w:val="00841F90"/>
    <w:rsid w:val="008421F3"/>
    <w:rsid w:val="0084252F"/>
    <w:rsid w:val="00844940"/>
    <w:rsid w:val="00844CFE"/>
    <w:rsid w:val="0084527D"/>
    <w:rsid w:val="00846FBE"/>
    <w:rsid w:val="008474E5"/>
    <w:rsid w:val="00847C5E"/>
    <w:rsid w:val="00847E1F"/>
    <w:rsid w:val="00850BAF"/>
    <w:rsid w:val="0085128B"/>
    <w:rsid w:val="00852CEE"/>
    <w:rsid w:val="00854134"/>
    <w:rsid w:val="008557DB"/>
    <w:rsid w:val="00855A55"/>
    <w:rsid w:val="0085661C"/>
    <w:rsid w:val="00857CAF"/>
    <w:rsid w:val="008602AC"/>
    <w:rsid w:val="00860798"/>
    <w:rsid w:val="008611BB"/>
    <w:rsid w:val="00862549"/>
    <w:rsid w:val="00863135"/>
    <w:rsid w:val="00864AE6"/>
    <w:rsid w:val="00865BAE"/>
    <w:rsid w:val="008667F7"/>
    <w:rsid w:val="008729EC"/>
    <w:rsid w:val="00873261"/>
    <w:rsid w:val="00874601"/>
    <w:rsid w:val="00874EAB"/>
    <w:rsid w:val="00875808"/>
    <w:rsid w:val="00877433"/>
    <w:rsid w:val="0087752B"/>
    <w:rsid w:val="00877C21"/>
    <w:rsid w:val="00877E78"/>
    <w:rsid w:val="00880725"/>
    <w:rsid w:val="00880F95"/>
    <w:rsid w:val="00881006"/>
    <w:rsid w:val="00881063"/>
    <w:rsid w:val="00881299"/>
    <w:rsid w:val="00882866"/>
    <w:rsid w:val="00883BD6"/>
    <w:rsid w:val="00884396"/>
    <w:rsid w:val="008843D7"/>
    <w:rsid w:val="008846B2"/>
    <w:rsid w:val="008853CB"/>
    <w:rsid w:val="00885592"/>
    <w:rsid w:val="008858C6"/>
    <w:rsid w:val="00886488"/>
    <w:rsid w:val="00887133"/>
    <w:rsid w:val="00890662"/>
    <w:rsid w:val="008906E5"/>
    <w:rsid w:val="0089262D"/>
    <w:rsid w:val="00892CC1"/>
    <w:rsid w:val="0089320B"/>
    <w:rsid w:val="00893800"/>
    <w:rsid w:val="008938E5"/>
    <w:rsid w:val="008943A9"/>
    <w:rsid w:val="00896570"/>
    <w:rsid w:val="0089742D"/>
    <w:rsid w:val="00897B06"/>
    <w:rsid w:val="008A0EE3"/>
    <w:rsid w:val="008A1498"/>
    <w:rsid w:val="008A14CB"/>
    <w:rsid w:val="008A15B4"/>
    <w:rsid w:val="008A1B33"/>
    <w:rsid w:val="008A3245"/>
    <w:rsid w:val="008A34BC"/>
    <w:rsid w:val="008A67AC"/>
    <w:rsid w:val="008A6B41"/>
    <w:rsid w:val="008A6B5D"/>
    <w:rsid w:val="008A6F3E"/>
    <w:rsid w:val="008A75DB"/>
    <w:rsid w:val="008A75E7"/>
    <w:rsid w:val="008A7EFF"/>
    <w:rsid w:val="008B0218"/>
    <w:rsid w:val="008B0D3B"/>
    <w:rsid w:val="008B14E1"/>
    <w:rsid w:val="008B3161"/>
    <w:rsid w:val="008B34EE"/>
    <w:rsid w:val="008B38C5"/>
    <w:rsid w:val="008B4439"/>
    <w:rsid w:val="008B5254"/>
    <w:rsid w:val="008B602A"/>
    <w:rsid w:val="008B7336"/>
    <w:rsid w:val="008B9BB6"/>
    <w:rsid w:val="008C1087"/>
    <w:rsid w:val="008C2BC3"/>
    <w:rsid w:val="008C3E6F"/>
    <w:rsid w:val="008C4A11"/>
    <w:rsid w:val="008C56EB"/>
    <w:rsid w:val="008C584E"/>
    <w:rsid w:val="008C5A3C"/>
    <w:rsid w:val="008C6BB4"/>
    <w:rsid w:val="008C6BFD"/>
    <w:rsid w:val="008C6C53"/>
    <w:rsid w:val="008C6EF1"/>
    <w:rsid w:val="008D079E"/>
    <w:rsid w:val="008D14BD"/>
    <w:rsid w:val="008D1EFE"/>
    <w:rsid w:val="008D513E"/>
    <w:rsid w:val="008D5EE9"/>
    <w:rsid w:val="008D5F06"/>
    <w:rsid w:val="008D619B"/>
    <w:rsid w:val="008D61E5"/>
    <w:rsid w:val="008D6399"/>
    <w:rsid w:val="008D65C5"/>
    <w:rsid w:val="008D7D48"/>
    <w:rsid w:val="008E0598"/>
    <w:rsid w:val="008E17FB"/>
    <w:rsid w:val="008E2231"/>
    <w:rsid w:val="008E38ED"/>
    <w:rsid w:val="008E409F"/>
    <w:rsid w:val="008E4215"/>
    <w:rsid w:val="008E44FE"/>
    <w:rsid w:val="008E5EF7"/>
    <w:rsid w:val="008E6586"/>
    <w:rsid w:val="008F082E"/>
    <w:rsid w:val="008F160B"/>
    <w:rsid w:val="008F1E6E"/>
    <w:rsid w:val="008F2620"/>
    <w:rsid w:val="008F5066"/>
    <w:rsid w:val="008F5C36"/>
    <w:rsid w:val="008F60EC"/>
    <w:rsid w:val="008F6675"/>
    <w:rsid w:val="008F7B16"/>
    <w:rsid w:val="00900244"/>
    <w:rsid w:val="0090061E"/>
    <w:rsid w:val="0090066C"/>
    <w:rsid w:val="00900B61"/>
    <w:rsid w:val="009020C3"/>
    <w:rsid w:val="00902142"/>
    <w:rsid w:val="0090309E"/>
    <w:rsid w:val="00903253"/>
    <w:rsid w:val="00903ACB"/>
    <w:rsid w:val="00905D11"/>
    <w:rsid w:val="00907A68"/>
    <w:rsid w:val="0091047C"/>
    <w:rsid w:val="00913197"/>
    <w:rsid w:val="009132C6"/>
    <w:rsid w:val="00913CD8"/>
    <w:rsid w:val="00914F11"/>
    <w:rsid w:val="00915662"/>
    <w:rsid w:val="0091596D"/>
    <w:rsid w:val="00916344"/>
    <w:rsid w:val="009168EA"/>
    <w:rsid w:val="00916FB0"/>
    <w:rsid w:val="00917050"/>
    <w:rsid w:val="00917A61"/>
    <w:rsid w:val="00920B0C"/>
    <w:rsid w:val="00920CE5"/>
    <w:rsid w:val="00922B25"/>
    <w:rsid w:val="00923CC9"/>
    <w:rsid w:val="00924375"/>
    <w:rsid w:val="00924D25"/>
    <w:rsid w:val="00924F99"/>
    <w:rsid w:val="00925689"/>
    <w:rsid w:val="00925D05"/>
    <w:rsid w:val="00930D89"/>
    <w:rsid w:val="00930F93"/>
    <w:rsid w:val="009324F7"/>
    <w:rsid w:val="00934A8C"/>
    <w:rsid w:val="009361E6"/>
    <w:rsid w:val="00936592"/>
    <w:rsid w:val="009374B5"/>
    <w:rsid w:val="00937695"/>
    <w:rsid w:val="00937FB8"/>
    <w:rsid w:val="00937FCD"/>
    <w:rsid w:val="009407D8"/>
    <w:rsid w:val="0094163E"/>
    <w:rsid w:val="00942438"/>
    <w:rsid w:val="00942450"/>
    <w:rsid w:val="009427B7"/>
    <w:rsid w:val="00942DB1"/>
    <w:rsid w:val="00943CF5"/>
    <w:rsid w:val="0094412E"/>
    <w:rsid w:val="00944D50"/>
    <w:rsid w:val="00945EDB"/>
    <w:rsid w:val="00946419"/>
    <w:rsid w:val="00946665"/>
    <w:rsid w:val="00950261"/>
    <w:rsid w:val="00950DEB"/>
    <w:rsid w:val="0095201A"/>
    <w:rsid w:val="00953BF7"/>
    <w:rsid w:val="0095447C"/>
    <w:rsid w:val="00954D6C"/>
    <w:rsid w:val="00956E1E"/>
    <w:rsid w:val="009622CD"/>
    <w:rsid w:val="009633F7"/>
    <w:rsid w:val="00963E38"/>
    <w:rsid w:val="00964262"/>
    <w:rsid w:val="00964811"/>
    <w:rsid w:val="00964AAC"/>
    <w:rsid w:val="00965C4D"/>
    <w:rsid w:val="00966009"/>
    <w:rsid w:val="009664DA"/>
    <w:rsid w:val="00966A7C"/>
    <w:rsid w:val="009670A1"/>
    <w:rsid w:val="00967216"/>
    <w:rsid w:val="00967490"/>
    <w:rsid w:val="00970C99"/>
    <w:rsid w:val="009711BC"/>
    <w:rsid w:val="00971E04"/>
    <w:rsid w:val="00972441"/>
    <w:rsid w:val="00972474"/>
    <w:rsid w:val="009732DA"/>
    <w:rsid w:val="00973980"/>
    <w:rsid w:val="00973AE2"/>
    <w:rsid w:val="00974F30"/>
    <w:rsid w:val="009756D3"/>
    <w:rsid w:val="0097615E"/>
    <w:rsid w:val="009767EF"/>
    <w:rsid w:val="00977BC5"/>
    <w:rsid w:val="009806AC"/>
    <w:rsid w:val="00980C7F"/>
    <w:rsid w:val="00980DD5"/>
    <w:rsid w:val="00980F53"/>
    <w:rsid w:val="009811C4"/>
    <w:rsid w:val="00986539"/>
    <w:rsid w:val="00986EA9"/>
    <w:rsid w:val="00987823"/>
    <w:rsid w:val="00990550"/>
    <w:rsid w:val="00990C41"/>
    <w:rsid w:val="0099185D"/>
    <w:rsid w:val="00991944"/>
    <w:rsid w:val="00991B46"/>
    <w:rsid w:val="00991F62"/>
    <w:rsid w:val="0099270D"/>
    <w:rsid w:val="00992A10"/>
    <w:rsid w:val="009930A7"/>
    <w:rsid w:val="0099371B"/>
    <w:rsid w:val="00993AC4"/>
    <w:rsid w:val="00994D93"/>
    <w:rsid w:val="00995379"/>
    <w:rsid w:val="0099545B"/>
    <w:rsid w:val="00995A11"/>
    <w:rsid w:val="00995BE8"/>
    <w:rsid w:val="0099691F"/>
    <w:rsid w:val="009A1410"/>
    <w:rsid w:val="009A1F87"/>
    <w:rsid w:val="009A2320"/>
    <w:rsid w:val="009A311D"/>
    <w:rsid w:val="009A4C12"/>
    <w:rsid w:val="009A501D"/>
    <w:rsid w:val="009A5328"/>
    <w:rsid w:val="009A6E7E"/>
    <w:rsid w:val="009A728D"/>
    <w:rsid w:val="009A778E"/>
    <w:rsid w:val="009A7AEE"/>
    <w:rsid w:val="009A7C11"/>
    <w:rsid w:val="009B0384"/>
    <w:rsid w:val="009B04BD"/>
    <w:rsid w:val="009B1720"/>
    <w:rsid w:val="009B1CD3"/>
    <w:rsid w:val="009B3333"/>
    <w:rsid w:val="009B4035"/>
    <w:rsid w:val="009B774A"/>
    <w:rsid w:val="009B790D"/>
    <w:rsid w:val="009C012A"/>
    <w:rsid w:val="009C0A35"/>
    <w:rsid w:val="009C1D00"/>
    <w:rsid w:val="009C1DC3"/>
    <w:rsid w:val="009C27F6"/>
    <w:rsid w:val="009C2D57"/>
    <w:rsid w:val="009C3BA6"/>
    <w:rsid w:val="009C41CF"/>
    <w:rsid w:val="009C6518"/>
    <w:rsid w:val="009C7133"/>
    <w:rsid w:val="009D0118"/>
    <w:rsid w:val="009D0817"/>
    <w:rsid w:val="009D1C10"/>
    <w:rsid w:val="009D263F"/>
    <w:rsid w:val="009D346B"/>
    <w:rsid w:val="009D3F43"/>
    <w:rsid w:val="009D423C"/>
    <w:rsid w:val="009D497A"/>
    <w:rsid w:val="009D5007"/>
    <w:rsid w:val="009D5C22"/>
    <w:rsid w:val="009D7A73"/>
    <w:rsid w:val="009E0DC4"/>
    <w:rsid w:val="009E2205"/>
    <w:rsid w:val="009E2699"/>
    <w:rsid w:val="009E2823"/>
    <w:rsid w:val="009E33AB"/>
    <w:rsid w:val="009E3615"/>
    <w:rsid w:val="009E3B97"/>
    <w:rsid w:val="009E4A48"/>
    <w:rsid w:val="009E4A81"/>
    <w:rsid w:val="009E4F22"/>
    <w:rsid w:val="009E56CE"/>
    <w:rsid w:val="009E60FE"/>
    <w:rsid w:val="009E695F"/>
    <w:rsid w:val="009E6C00"/>
    <w:rsid w:val="009E73D2"/>
    <w:rsid w:val="009E7727"/>
    <w:rsid w:val="009E7E24"/>
    <w:rsid w:val="009F1424"/>
    <w:rsid w:val="009F1975"/>
    <w:rsid w:val="009F346F"/>
    <w:rsid w:val="009F3B8B"/>
    <w:rsid w:val="009F47D9"/>
    <w:rsid w:val="009F50E9"/>
    <w:rsid w:val="009F5465"/>
    <w:rsid w:val="009F58BF"/>
    <w:rsid w:val="009F7C18"/>
    <w:rsid w:val="00A00827"/>
    <w:rsid w:val="00A00A3B"/>
    <w:rsid w:val="00A00B7C"/>
    <w:rsid w:val="00A00EB6"/>
    <w:rsid w:val="00A02390"/>
    <w:rsid w:val="00A034CE"/>
    <w:rsid w:val="00A0367F"/>
    <w:rsid w:val="00A04112"/>
    <w:rsid w:val="00A05E25"/>
    <w:rsid w:val="00A108F0"/>
    <w:rsid w:val="00A11055"/>
    <w:rsid w:val="00A12295"/>
    <w:rsid w:val="00A123CB"/>
    <w:rsid w:val="00A12539"/>
    <w:rsid w:val="00A13210"/>
    <w:rsid w:val="00A14194"/>
    <w:rsid w:val="00A148DC"/>
    <w:rsid w:val="00A15173"/>
    <w:rsid w:val="00A15BB5"/>
    <w:rsid w:val="00A16103"/>
    <w:rsid w:val="00A1697E"/>
    <w:rsid w:val="00A1731D"/>
    <w:rsid w:val="00A20E74"/>
    <w:rsid w:val="00A217F4"/>
    <w:rsid w:val="00A21C79"/>
    <w:rsid w:val="00A22356"/>
    <w:rsid w:val="00A22841"/>
    <w:rsid w:val="00A25145"/>
    <w:rsid w:val="00A256C8"/>
    <w:rsid w:val="00A26E35"/>
    <w:rsid w:val="00A27763"/>
    <w:rsid w:val="00A306C3"/>
    <w:rsid w:val="00A310F4"/>
    <w:rsid w:val="00A314DB"/>
    <w:rsid w:val="00A31FE7"/>
    <w:rsid w:val="00A32E25"/>
    <w:rsid w:val="00A33AA6"/>
    <w:rsid w:val="00A343EE"/>
    <w:rsid w:val="00A34686"/>
    <w:rsid w:val="00A346B6"/>
    <w:rsid w:val="00A353C9"/>
    <w:rsid w:val="00A359EE"/>
    <w:rsid w:val="00A35A7C"/>
    <w:rsid w:val="00A3651E"/>
    <w:rsid w:val="00A36AE4"/>
    <w:rsid w:val="00A370F7"/>
    <w:rsid w:val="00A37661"/>
    <w:rsid w:val="00A40348"/>
    <w:rsid w:val="00A411A8"/>
    <w:rsid w:val="00A4178D"/>
    <w:rsid w:val="00A41889"/>
    <w:rsid w:val="00A41A07"/>
    <w:rsid w:val="00A42DAE"/>
    <w:rsid w:val="00A42E95"/>
    <w:rsid w:val="00A434D8"/>
    <w:rsid w:val="00A50EBC"/>
    <w:rsid w:val="00A5119A"/>
    <w:rsid w:val="00A513E7"/>
    <w:rsid w:val="00A51446"/>
    <w:rsid w:val="00A5170B"/>
    <w:rsid w:val="00A51755"/>
    <w:rsid w:val="00A51764"/>
    <w:rsid w:val="00A51BFD"/>
    <w:rsid w:val="00A51DE7"/>
    <w:rsid w:val="00A5251F"/>
    <w:rsid w:val="00A53A58"/>
    <w:rsid w:val="00A5483E"/>
    <w:rsid w:val="00A54E3E"/>
    <w:rsid w:val="00A54FD3"/>
    <w:rsid w:val="00A5595E"/>
    <w:rsid w:val="00A5599C"/>
    <w:rsid w:val="00A55C83"/>
    <w:rsid w:val="00A5608C"/>
    <w:rsid w:val="00A56379"/>
    <w:rsid w:val="00A5657F"/>
    <w:rsid w:val="00A56883"/>
    <w:rsid w:val="00A57035"/>
    <w:rsid w:val="00A57654"/>
    <w:rsid w:val="00A57E69"/>
    <w:rsid w:val="00A623C6"/>
    <w:rsid w:val="00A6646D"/>
    <w:rsid w:val="00A70AC0"/>
    <w:rsid w:val="00A71C87"/>
    <w:rsid w:val="00A72243"/>
    <w:rsid w:val="00A730A5"/>
    <w:rsid w:val="00A73C3C"/>
    <w:rsid w:val="00A73F32"/>
    <w:rsid w:val="00A7409D"/>
    <w:rsid w:val="00A76033"/>
    <w:rsid w:val="00A76521"/>
    <w:rsid w:val="00A80EBA"/>
    <w:rsid w:val="00A812AF"/>
    <w:rsid w:val="00A82598"/>
    <w:rsid w:val="00A828F5"/>
    <w:rsid w:val="00A8384C"/>
    <w:rsid w:val="00A84504"/>
    <w:rsid w:val="00A8522C"/>
    <w:rsid w:val="00A86FE7"/>
    <w:rsid w:val="00A874FC"/>
    <w:rsid w:val="00A878E2"/>
    <w:rsid w:val="00A87AA0"/>
    <w:rsid w:val="00A906BB"/>
    <w:rsid w:val="00A91307"/>
    <w:rsid w:val="00A91709"/>
    <w:rsid w:val="00A920F1"/>
    <w:rsid w:val="00A93D59"/>
    <w:rsid w:val="00A942A5"/>
    <w:rsid w:val="00A94490"/>
    <w:rsid w:val="00A95B59"/>
    <w:rsid w:val="00A971C8"/>
    <w:rsid w:val="00A976AD"/>
    <w:rsid w:val="00A976EE"/>
    <w:rsid w:val="00A97C29"/>
    <w:rsid w:val="00A97DEA"/>
    <w:rsid w:val="00AA0916"/>
    <w:rsid w:val="00AA1A7F"/>
    <w:rsid w:val="00AA1D58"/>
    <w:rsid w:val="00AA1F78"/>
    <w:rsid w:val="00AA2EB6"/>
    <w:rsid w:val="00AA47B2"/>
    <w:rsid w:val="00AA51F9"/>
    <w:rsid w:val="00AA5522"/>
    <w:rsid w:val="00AA5F9C"/>
    <w:rsid w:val="00AA6670"/>
    <w:rsid w:val="00AA67F4"/>
    <w:rsid w:val="00AB0242"/>
    <w:rsid w:val="00AB11C7"/>
    <w:rsid w:val="00AB1A93"/>
    <w:rsid w:val="00AB1F05"/>
    <w:rsid w:val="00AB5206"/>
    <w:rsid w:val="00AB5A1A"/>
    <w:rsid w:val="00AB6169"/>
    <w:rsid w:val="00AB665C"/>
    <w:rsid w:val="00AB72F2"/>
    <w:rsid w:val="00AB7911"/>
    <w:rsid w:val="00AB7BF4"/>
    <w:rsid w:val="00AB7DD0"/>
    <w:rsid w:val="00AB7FCA"/>
    <w:rsid w:val="00AC16AD"/>
    <w:rsid w:val="00AC19CE"/>
    <w:rsid w:val="00AC3025"/>
    <w:rsid w:val="00AC35F5"/>
    <w:rsid w:val="00AC4522"/>
    <w:rsid w:val="00AC46F7"/>
    <w:rsid w:val="00AC4E91"/>
    <w:rsid w:val="00AC569D"/>
    <w:rsid w:val="00AC62C4"/>
    <w:rsid w:val="00AC74A2"/>
    <w:rsid w:val="00AD02B5"/>
    <w:rsid w:val="00AD29E4"/>
    <w:rsid w:val="00AD3E9F"/>
    <w:rsid w:val="00AD46A7"/>
    <w:rsid w:val="00AD46F9"/>
    <w:rsid w:val="00AD645C"/>
    <w:rsid w:val="00AD6C52"/>
    <w:rsid w:val="00AD7233"/>
    <w:rsid w:val="00AE020E"/>
    <w:rsid w:val="00AE1426"/>
    <w:rsid w:val="00AE17CA"/>
    <w:rsid w:val="00AE1CC6"/>
    <w:rsid w:val="00AE2AC9"/>
    <w:rsid w:val="00AE4237"/>
    <w:rsid w:val="00AE4B6F"/>
    <w:rsid w:val="00AE5347"/>
    <w:rsid w:val="00AE53B3"/>
    <w:rsid w:val="00AE575E"/>
    <w:rsid w:val="00AE69DF"/>
    <w:rsid w:val="00AE6F5B"/>
    <w:rsid w:val="00AE7BBA"/>
    <w:rsid w:val="00AF10B3"/>
    <w:rsid w:val="00AF162A"/>
    <w:rsid w:val="00AF23FF"/>
    <w:rsid w:val="00AF29CF"/>
    <w:rsid w:val="00AF34FD"/>
    <w:rsid w:val="00AF41C0"/>
    <w:rsid w:val="00AF4F45"/>
    <w:rsid w:val="00AF52BA"/>
    <w:rsid w:val="00AF593B"/>
    <w:rsid w:val="00AF62E9"/>
    <w:rsid w:val="00AF7997"/>
    <w:rsid w:val="00B013F1"/>
    <w:rsid w:val="00B02AE9"/>
    <w:rsid w:val="00B02B9B"/>
    <w:rsid w:val="00B02EF4"/>
    <w:rsid w:val="00B03AF8"/>
    <w:rsid w:val="00B03F8D"/>
    <w:rsid w:val="00B05566"/>
    <w:rsid w:val="00B05C8F"/>
    <w:rsid w:val="00B06028"/>
    <w:rsid w:val="00B06587"/>
    <w:rsid w:val="00B06D64"/>
    <w:rsid w:val="00B108CF"/>
    <w:rsid w:val="00B11ACE"/>
    <w:rsid w:val="00B11CF5"/>
    <w:rsid w:val="00B15662"/>
    <w:rsid w:val="00B15805"/>
    <w:rsid w:val="00B171BF"/>
    <w:rsid w:val="00B1728E"/>
    <w:rsid w:val="00B17E1E"/>
    <w:rsid w:val="00B20154"/>
    <w:rsid w:val="00B223BF"/>
    <w:rsid w:val="00B22870"/>
    <w:rsid w:val="00B24131"/>
    <w:rsid w:val="00B24C5B"/>
    <w:rsid w:val="00B2557D"/>
    <w:rsid w:val="00B279B9"/>
    <w:rsid w:val="00B30122"/>
    <w:rsid w:val="00B31AF5"/>
    <w:rsid w:val="00B326F6"/>
    <w:rsid w:val="00B32C9B"/>
    <w:rsid w:val="00B32E97"/>
    <w:rsid w:val="00B34D44"/>
    <w:rsid w:val="00B364F4"/>
    <w:rsid w:val="00B37D60"/>
    <w:rsid w:val="00B40824"/>
    <w:rsid w:val="00B40953"/>
    <w:rsid w:val="00B40D49"/>
    <w:rsid w:val="00B412A8"/>
    <w:rsid w:val="00B4335C"/>
    <w:rsid w:val="00B4346F"/>
    <w:rsid w:val="00B50A17"/>
    <w:rsid w:val="00B513E6"/>
    <w:rsid w:val="00B518AD"/>
    <w:rsid w:val="00B527D4"/>
    <w:rsid w:val="00B534BC"/>
    <w:rsid w:val="00B54178"/>
    <w:rsid w:val="00B54B30"/>
    <w:rsid w:val="00B55BBD"/>
    <w:rsid w:val="00B5740E"/>
    <w:rsid w:val="00B6008E"/>
    <w:rsid w:val="00B60C90"/>
    <w:rsid w:val="00B61C0E"/>
    <w:rsid w:val="00B633BE"/>
    <w:rsid w:val="00B63871"/>
    <w:rsid w:val="00B63B5D"/>
    <w:rsid w:val="00B63FDF"/>
    <w:rsid w:val="00B6497F"/>
    <w:rsid w:val="00B64D63"/>
    <w:rsid w:val="00B64E37"/>
    <w:rsid w:val="00B656C9"/>
    <w:rsid w:val="00B66326"/>
    <w:rsid w:val="00B70725"/>
    <w:rsid w:val="00B7112E"/>
    <w:rsid w:val="00B72324"/>
    <w:rsid w:val="00B73920"/>
    <w:rsid w:val="00B73D85"/>
    <w:rsid w:val="00B74539"/>
    <w:rsid w:val="00B74B37"/>
    <w:rsid w:val="00B75351"/>
    <w:rsid w:val="00B75EFC"/>
    <w:rsid w:val="00B76C5B"/>
    <w:rsid w:val="00B80201"/>
    <w:rsid w:val="00B8041E"/>
    <w:rsid w:val="00B80546"/>
    <w:rsid w:val="00B805F3"/>
    <w:rsid w:val="00B816E5"/>
    <w:rsid w:val="00B82255"/>
    <w:rsid w:val="00B82B42"/>
    <w:rsid w:val="00B82D40"/>
    <w:rsid w:val="00B82E8D"/>
    <w:rsid w:val="00B833DB"/>
    <w:rsid w:val="00B83E08"/>
    <w:rsid w:val="00B84485"/>
    <w:rsid w:val="00B84DA5"/>
    <w:rsid w:val="00B861B4"/>
    <w:rsid w:val="00B8714B"/>
    <w:rsid w:val="00B878FD"/>
    <w:rsid w:val="00B9021D"/>
    <w:rsid w:val="00B90960"/>
    <w:rsid w:val="00B91C68"/>
    <w:rsid w:val="00B93AB7"/>
    <w:rsid w:val="00B93C7A"/>
    <w:rsid w:val="00B93E6F"/>
    <w:rsid w:val="00B948BB"/>
    <w:rsid w:val="00B95993"/>
    <w:rsid w:val="00B96B4E"/>
    <w:rsid w:val="00B97E61"/>
    <w:rsid w:val="00BA048E"/>
    <w:rsid w:val="00BA08DE"/>
    <w:rsid w:val="00BA0EB1"/>
    <w:rsid w:val="00BA0F15"/>
    <w:rsid w:val="00BA2598"/>
    <w:rsid w:val="00BA3253"/>
    <w:rsid w:val="00BA34FE"/>
    <w:rsid w:val="00BA36DE"/>
    <w:rsid w:val="00BA37AB"/>
    <w:rsid w:val="00BA452B"/>
    <w:rsid w:val="00BA4818"/>
    <w:rsid w:val="00BA4978"/>
    <w:rsid w:val="00BA5430"/>
    <w:rsid w:val="00BA5B0F"/>
    <w:rsid w:val="00BA5EAA"/>
    <w:rsid w:val="00BA61C1"/>
    <w:rsid w:val="00BA654C"/>
    <w:rsid w:val="00BA686F"/>
    <w:rsid w:val="00BB0755"/>
    <w:rsid w:val="00BB16BA"/>
    <w:rsid w:val="00BB190D"/>
    <w:rsid w:val="00BB1F3A"/>
    <w:rsid w:val="00BB23CA"/>
    <w:rsid w:val="00BB2DB2"/>
    <w:rsid w:val="00BB339E"/>
    <w:rsid w:val="00BB5B3F"/>
    <w:rsid w:val="00BC081A"/>
    <w:rsid w:val="00BC0B88"/>
    <w:rsid w:val="00BC0BD7"/>
    <w:rsid w:val="00BC1616"/>
    <w:rsid w:val="00BC1631"/>
    <w:rsid w:val="00BC1A3F"/>
    <w:rsid w:val="00BC3C2A"/>
    <w:rsid w:val="00BC3D18"/>
    <w:rsid w:val="00BC4474"/>
    <w:rsid w:val="00BC4541"/>
    <w:rsid w:val="00BC614E"/>
    <w:rsid w:val="00BC61F9"/>
    <w:rsid w:val="00BC6859"/>
    <w:rsid w:val="00BD06FA"/>
    <w:rsid w:val="00BD12C0"/>
    <w:rsid w:val="00BD1312"/>
    <w:rsid w:val="00BD2ECA"/>
    <w:rsid w:val="00BD355E"/>
    <w:rsid w:val="00BD3B4E"/>
    <w:rsid w:val="00BD671A"/>
    <w:rsid w:val="00BE24C2"/>
    <w:rsid w:val="00BE2514"/>
    <w:rsid w:val="00BE3370"/>
    <w:rsid w:val="00BE3C4E"/>
    <w:rsid w:val="00BE452C"/>
    <w:rsid w:val="00BE45E6"/>
    <w:rsid w:val="00BE486B"/>
    <w:rsid w:val="00BE5548"/>
    <w:rsid w:val="00BE561A"/>
    <w:rsid w:val="00BE62BD"/>
    <w:rsid w:val="00BE6835"/>
    <w:rsid w:val="00BE6B5C"/>
    <w:rsid w:val="00BF002C"/>
    <w:rsid w:val="00BF04D6"/>
    <w:rsid w:val="00BF2F1A"/>
    <w:rsid w:val="00BF3AE7"/>
    <w:rsid w:val="00BF3FCB"/>
    <w:rsid w:val="00BF4D87"/>
    <w:rsid w:val="00BF4E55"/>
    <w:rsid w:val="00BF5DE6"/>
    <w:rsid w:val="00BF6B40"/>
    <w:rsid w:val="00BF6FC8"/>
    <w:rsid w:val="00BF7B6D"/>
    <w:rsid w:val="00BF7CE5"/>
    <w:rsid w:val="00BF7F27"/>
    <w:rsid w:val="00BF7F54"/>
    <w:rsid w:val="00C003C5"/>
    <w:rsid w:val="00C01A46"/>
    <w:rsid w:val="00C01CE7"/>
    <w:rsid w:val="00C02519"/>
    <w:rsid w:val="00C02943"/>
    <w:rsid w:val="00C0346B"/>
    <w:rsid w:val="00C0375D"/>
    <w:rsid w:val="00C0386F"/>
    <w:rsid w:val="00C0489B"/>
    <w:rsid w:val="00C0491B"/>
    <w:rsid w:val="00C0514D"/>
    <w:rsid w:val="00C05C74"/>
    <w:rsid w:val="00C06DFD"/>
    <w:rsid w:val="00C10617"/>
    <w:rsid w:val="00C11176"/>
    <w:rsid w:val="00C117A8"/>
    <w:rsid w:val="00C1184B"/>
    <w:rsid w:val="00C1188A"/>
    <w:rsid w:val="00C1202F"/>
    <w:rsid w:val="00C1275D"/>
    <w:rsid w:val="00C12ACE"/>
    <w:rsid w:val="00C14700"/>
    <w:rsid w:val="00C1470F"/>
    <w:rsid w:val="00C1546F"/>
    <w:rsid w:val="00C1655C"/>
    <w:rsid w:val="00C16B67"/>
    <w:rsid w:val="00C17208"/>
    <w:rsid w:val="00C177A4"/>
    <w:rsid w:val="00C17912"/>
    <w:rsid w:val="00C17C07"/>
    <w:rsid w:val="00C17D95"/>
    <w:rsid w:val="00C21101"/>
    <w:rsid w:val="00C216CB"/>
    <w:rsid w:val="00C225A9"/>
    <w:rsid w:val="00C2342F"/>
    <w:rsid w:val="00C251D5"/>
    <w:rsid w:val="00C255E5"/>
    <w:rsid w:val="00C26AEC"/>
    <w:rsid w:val="00C2778F"/>
    <w:rsid w:val="00C30169"/>
    <w:rsid w:val="00C33358"/>
    <w:rsid w:val="00C3500C"/>
    <w:rsid w:val="00C37056"/>
    <w:rsid w:val="00C37F0F"/>
    <w:rsid w:val="00C416EC"/>
    <w:rsid w:val="00C419A9"/>
    <w:rsid w:val="00C42554"/>
    <w:rsid w:val="00C42A8F"/>
    <w:rsid w:val="00C4304F"/>
    <w:rsid w:val="00C431F5"/>
    <w:rsid w:val="00C43530"/>
    <w:rsid w:val="00C45706"/>
    <w:rsid w:val="00C4721E"/>
    <w:rsid w:val="00C47633"/>
    <w:rsid w:val="00C500AF"/>
    <w:rsid w:val="00C50858"/>
    <w:rsid w:val="00C51DF1"/>
    <w:rsid w:val="00C521E2"/>
    <w:rsid w:val="00C5473E"/>
    <w:rsid w:val="00C55435"/>
    <w:rsid w:val="00C56549"/>
    <w:rsid w:val="00C57423"/>
    <w:rsid w:val="00C575BA"/>
    <w:rsid w:val="00C57B25"/>
    <w:rsid w:val="00C60159"/>
    <w:rsid w:val="00C61850"/>
    <w:rsid w:val="00C63E3B"/>
    <w:rsid w:val="00C64C70"/>
    <w:rsid w:val="00C654AF"/>
    <w:rsid w:val="00C65D6B"/>
    <w:rsid w:val="00C6669B"/>
    <w:rsid w:val="00C67514"/>
    <w:rsid w:val="00C679F1"/>
    <w:rsid w:val="00C71605"/>
    <w:rsid w:val="00C71635"/>
    <w:rsid w:val="00C7246C"/>
    <w:rsid w:val="00C7321D"/>
    <w:rsid w:val="00C73D44"/>
    <w:rsid w:val="00C7412D"/>
    <w:rsid w:val="00C74C96"/>
    <w:rsid w:val="00C75C4C"/>
    <w:rsid w:val="00C76A59"/>
    <w:rsid w:val="00C76E49"/>
    <w:rsid w:val="00C77511"/>
    <w:rsid w:val="00C77C0A"/>
    <w:rsid w:val="00C77D40"/>
    <w:rsid w:val="00C800CA"/>
    <w:rsid w:val="00C80147"/>
    <w:rsid w:val="00C80BDE"/>
    <w:rsid w:val="00C80D52"/>
    <w:rsid w:val="00C819DC"/>
    <w:rsid w:val="00C81CC7"/>
    <w:rsid w:val="00C81D2B"/>
    <w:rsid w:val="00C820EC"/>
    <w:rsid w:val="00C8264F"/>
    <w:rsid w:val="00C82FBB"/>
    <w:rsid w:val="00C83447"/>
    <w:rsid w:val="00C83F0F"/>
    <w:rsid w:val="00C84903"/>
    <w:rsid w:val="00C859C9"/>
    <w:rsid w:val="00C85C04"/>
    <w:rsid w:val="00C85C62"/>
    <w:rsid w:val="00C85E6E"/>
    <w:rsid w:val="00C90688"/>
    <w:rsid w:val="00C91AD4"/>
    <w:rsid w:val="00C92475"/>
    <w:rsid w:val="00C92624"/>
    <w:rsid w:val="00C92F4C"/>
    <w:rsid w:val="00C93530"/>
    <w:rsid w:val="00C93FB7"/>
    <w:rsid w:val="00C93FF5"/>
    <w:rsid w:val="00C9570C"/>
    <w:rsid w:val="00C95C0C"/>
    <w:rsid w:val="00C96725"/>
    <w:rsid w:val="00C969F1"/>
    <w:rsid w:val="00C96D32"/>
    <w:rsid w:val="00C977D3"/>
    <w:rsid w:val="00C97FFB"/>
    <w:rsid w:val="00CA007E"/>
    <w:rsid w:val="00CA05C2"/>
    <w:rsid w:val="00CA08C8"/>
    <w:rsid w:val="00CA0E71"/>
    <w:rsid w:val="00CA11A9"/>
    <w:rsid w:val="00CA18D0"/>
    <w:rsid w:val="00CA31C3"/>
    <w:rsid w:val="00CA46AD"/>
    <w:rsid w:val="00CA5DC7"/>
    <w:rsid w:val="00CA62F9"/>
    <w:rsid w:val="00CA649C"/>
    <w:rsid w:val="00CA6B6C"/>
    <w:rsid w:val="00CA6C9D"/>
    <w:rsid w:val="00CB005E"/>
    <w:rsid w:val="00CB03FE"/>
    <w:rsid w:val="00CB2F27"/>
    <w:rsid w:val="00CB38BC"/>
    <w:rsid w:val="00CB437D"/>
    <w:rsid w:val="00CB4876"/>
    <w:rsid w:val="00CB53B9"/>
    <w:rsid w:val="00CB65E4"/>
    <w:rsid w:val="00CB6F70"/>
    <w:rsid w:val="00CC0F55"/>
    <w:rsid w:val="00CC1EFC"/>
    <w:rsid w:val="00CC3004"/>
    <w:rsid w:val="00CC34AB"/>
    <w:rsid w:val="00CC4928"/>
    <w:rsid w:val="00CC569F"/>
    <w:rsid w:val="00CC6778"/>
    <w:rsid w:val="00CC6BF7"/>
    <w:rsid w:val="00CC6E98"/>
    <w:rsid w:val="00CD146D"/>
    <w:rsid w:val="00CD19D3"/>
    <w:rsid w:val="00CD1FAC"/>
    <w:rsid w:val="00CD2767"/>
    <w:rsid w:val="00CD2AAD"/>
    <w:rsid w:val="00CD4467"/>
    <w:rsid w:val="00CD5299"/>
    <w:rsid w:val="00CD6120"/>
    <w:rsid w:val="00CD64A1"/>
    <w:rsid w:val="00CD67F3"/>
    <w:rsid w:val="00CD6FA1"/>
    <w:rsid w:val="00CD74A6"/>
    <w:rsid w:val="00CD7501"/>
    <w:rsid w:val="00CE1D91"/>
    <w:rsid w:val="00CE2B26"/>
    <w:rsid w:val="00CE2D66"/>
    <w:rsid w:val="00CE5C40"/>
    <w:rsid w:val="00CE7006"/>
    <w:rsid w:val="00CE70EC"/>
    <w:rsid w:val="00CE7A74"/>
    <w:rsid w:val="00CE7C0B"/>
    <w:rsid w:val="00CE7C70"/>
    <w:rsid w:val="00CE7C94"/>
    <w:rsid w:val="00CF0788"/>
    <w:rsid w:val="00CF1F12"/>
    <w:rsid w:val="00CF23F2"/>
    <w:rsid w:val="00CF2C60"/>
    <w:rsid w:val="00CF4F5E"/>
    <w:rsid w:val="00CF52C1"/>
    <w:rsid w:val="00CF58CA"/>
    <w:rsid w:val="00CF6C59"/>
    <w:rsid w:val="00CF71B8"/>
    <w:rsid w:val="00CF7969"/>
    <w:rsid w:val="00D001DB"/>
    <w:rsid w:val="00D01778"/>
    <w:rsid w:val="00D01BA5"/>
    <w:rsid w:val="00D0202A"/>
    <w:rsid w:val="00D028CF"/>
    <w:rsid w:val="00D039F4"/>
    <w:rsid w:val="00D05B72"/>
    <w:rsid w:val="00D0787C"/>
    <w:rsid w:val="00D07F2F"/>
    <w:rsid w:val="00D07F7D"/>
    <w:rsid w:val="00D1003B"/>
    <w:rsid w:val="00D1032B"/>
    <w:rsid w:val="00D1071F"/>
    <w:rsid w:val="00D113C8"/>
    <w:rsid w:val="00D11D41"/>
    <w:rsid w:val="00D1591D"/>
    <w:rsid w:val="00D161BF"/>
    <w:rsid w:val="00D1635E"/>
    <w:rsid w:val="00D17D73"/>
    <w:rsid w:val="00D2026C"/>
    <w:rsid w:val="00D20CD4"/>
    <w:rsid w:val="00D20DAF"/>
    <w:rsid w:val="00D23526"/>
    <w:rsid w:val="00D2371A"/>
    <w:rsid w:val="00D23A2D"/>
    <w:rsid w:val="00D24697"/>
    <w:rsid w:val="00D24D8B"/>
    <w:rsid w:val="00D2743C"/>
    <w:rsid w:val="00D30032"/>
    <w:rsid w:val="00D301E4"/>
    <w:rsid w:val="00D30B96"/>
    <w:rsid w:val="00D30C20"/>
    <w:rsid w:val="00D310D1"/>
    <w:rsid w:val="00D31263"/>
    <w:rsid w:val="00D335A8"/>
    <w:rsid w:val="00D34E1E"/>
    <w:rsid w:val="00D3643F"/>
    <w:rsid w:val="00D406F2"/>
    <w:rsid w:val="00D4103B"/>
    <w:rsid w:val="00D41174"/>
    <w:rsid w:val="00D41608"/>
    <w:rsid w:val="00D41EF7"/>
    <w:rsid w:val="00D421E4"/>
    <w:rsid w:val="00D428F6"/>
    <w:rsid w:val="00D42F51"/>
    <w:rsid w:val="00D44E4F"/>
    <w:rsid w:val="00D45838"/>
    <w:rsid w:val="00D46CA3"/>
    <w:rsid w:val="00D47121"/>
    <w:rsid w:val="00D47528"/>
    <w:rsid w:val="00D4793B"/>
    <w:rsid w:val="00D47D2F"/>
    <w:rsid w:val="00D51276"/>
    <w:rsid w:val="00D512E5"/>
    <w:rsid w:val="00D520C6"/>
    <w:rsid w:val="00D52E17"/>
    <w:rsid w:val="00D52EF6"/>
    <w:rsid w:val="00D54070"/>
    <w:rsid w:val="00D5514B"/>
    <w:rsid w:val="00D55FCA"/>
    <w:rsid w:val="00D564BD"/>
    <w:rsid w:val="00D569BE"/>
    <w:rsid w:val="00D571CB"/>
    <w:rsid w:val="00D5743B"/>
    <w:rsid w:val="00D61F94"/>
    <w:rsid w:val="00D623F4"/>
    <w:rsid w:val="00D62B57"/>
    <w:rsid w:val="00D63369"/>
    <w:rsid w:val="00D63916"/>
    <w:rsid w:val="00D647CB"/>
    <w:rsid w:val="00D64BB4"/>
    <w:rsid w:val="00D651FB"/>
    <w:rsid w:val="00D652FB"/>
    <w:rsid w:val="00D6561B"/>
    <w:rsid w:val="00D65664"/>
    <w:rsid w:val="00D65CD1"/>
    <w:rsid w:val="00D6626A"/>
    <w:rsid w:val="00D6634F"/>
    <w:rsid w:val="00D668B3"/>
    <w:rsid w:val="00D66954"/>
    <w:rsid w:val="00D67F25"/>
    <w:rsid w:val="00D70EA8"/>
    <w:rsid w:val="00D71F63"/>
    <w:rsid w:val="00D72516"/>
    <w:rsid w:val="00D729FC"/>
    <w:rsid w:val="00D735FE"/>
    <w:rsid w:val="00D74DAC"/>
    <w:rsid w:val="00D752C4"/>
    <w:rsid w:val="00D7561D"/>
    <w:rsid w:val="00D7646B"/>
    <w:rsid w:val="00D76DA3"/>
    <w:rsid w:val="00D779F5"/>
    <w:rsid w:val="00D77E65"/>
    <w:rsid w:val="00D77E84"/>
    <w:rsid w:val="00D801DE"/>
    <w:rsid w:val="00D8041B"/>
    <w:rsid w:val="00D815BA"/>
    <w:rsid w:val="00D8355D"/>
    <w:rsid w:val="00D83CDF"/>
    <w:rsid w:val="00D86205"/>
    <w:rsid w:val="00D86726"/>
    <w:rsid w:val="00D87D5E"/>
    <w:rsid w:val="00D87EA3"/>
    <w:rsid w:val="00D91D6F"/>
    <w:rsid w:val="00D92E91"/>
    <w:rsid w:val="00D939CA"/>
    <w:rsid w:val="00D9616E"/>
    <w:rsid w:val="00D96D91"/>
    <w:rsid w:val="00D973B8"/>
    <w:rsid w:val="00D97D2B"/>
    <w:rsid w:val="00DA010D"/>
    <w:rsid w:val="00DA0760"/>
    <w:rsid w:val="00DA0C4D"/>
    <w:rsid w:val="00DA1F76"/>
    <w:rsid w:val="00DA31EA"/>
    <w:rsid w:val="00DA3B67"/>
    <w:rsid w:val="00DA3C75"/>
    <w:rsid w:val="00DA5C09"/>
    <w:rsid w:val="00DA6043"/>
    <w:rsid w:val="00DA617D"/>
    <w:rsid w:val="00DA71A9"/>
    <w:rsid w:val="00DA71B8"/>
    <w:rsid w:val="00DA774E"/>
    <w:rsid w:val="00DB2717"/>
    <w:rsid w:val="00DB31EB"/>
    <w:rsid w:val="00DB3231"/>
    <w:rsid w:val="00DB362D"/>
    <w:rsid w:val="00DB51ED"/>
    <w:rsid w:val="00DB71A3"/>
    <w:rsid w:val="00DB7AD6"/>
    <w:rsid w:val="00DB7BA3"/>
    <w:rsid w:val="00DC0173"/>
    <w:rsid w:val="00DC101B"/>
    <w:rsid w:val="00DC1F2D"/>
    <w:rsid w:val="00DC2EE8"/>
    <w:rsid w:val="00DC30B9"/>
    <w:rsid w:val="00DC3A81"/>
    <w:rsid w:val="00DC3C18"/>
    <w:rsid w:val="00DC3CBC"/>
    <w:rsid w:val="00DC3D7B"/>
    <w:rsid w:val="00DC41DE"/>
    <w:rsid w:val="00DC43BF"/>
    <w:rsid w:val="00DC55BE"/>
    <w:rsid w:val="00DC5DD8"/>
    <w:rsid w:val="00DC7043"/>
    <w:rsid w:val="00DC7553"/>
    <w:rsid w:val="00DC7896"/>
    <w:rsid w:val="00DC7AA9"/>
    <w:rsid w:val="00DC7FA7"/>
    <w:rsid w:val="00DD1F8D"/>
    <w:rsid w:val="00DD3303"/>
    <w:rsid w:val="00DD38D4"/>
    <w:rsid w:val="00DD40AD"/>
    <w:rsid w:val="00DD4B22"/>
    <w:rsid w:val="00DD591A"/>
    <w:rsid w:val="00DD7442"/>
    <w:rsid w:val="00DD756F"/>
    <w:rsid w:val="00DD7C0A"/>
    <w:rsid w:val="00DE0AAE"/>
    <w:rsid w:val="00DE16F8"/>
    <w:rsid w:val="00DE17FF"/>
    <w:rsid w:val="00DE184C"/>
    <w:rsid w:val="00DE21ED"/>
    <w:rsid w:val="00DE24DE"/>
    <w:rsid w:val="00DE3A59"/>
    <w:rsid w:val="00DE5050"/>
    <w:rsid w:val="00DE5606"/>
    <w:rsid w:val="00DF0692"/>
    <w:rsid w:val="00DF17C3"/>
    <w:rsid w:val="00DF27EA"/>
    <w:rsid w:val="00DF2B4D"/>
    <w:rsid w:val="00DF360D"/>
    <w:rsid w:val="00DF4722"/>
    <w:rsid w:val="00DF4B13"/>
    <w:rsid w:val="00DF57A3"/>
    <w:rsid w:val="00DF6E84"/>
    <w:rsid w:val="00DF6E8E"/>
    <w:rsid w:val="00DF74A1"/>
    <w:rsid w:val="00DF7AEB"/>
    <w:rsid w:val="00DF7B4D"/>
    <w:rsid w:val="00E016A3"/>
    <w:rsid w:val="00E01BC5"/>
    <w:rsid w:val="00E020F5"/>
    <w:rsid w:val="00E03CCF"/>
    <w:rsid w:val="00E04B5D"/>
    <w:rsid w:val="00E04D6F"/>
    <w:rsid w:val="00E04FF5"/>
    <w:rsid w:val="00E05723"/>
    <w:rsid w:val="00E06154"/>
    <w:rsid w:val="00E0620F"/>
    <w:rsid w:val="00E06B04"/>
    <w:rsid w:val="00E1052D"/>
    <w:rsid w:val="00E11AC7"/>
    <w:rsid w:val="00E11E6D"/>
    <w:rsid w:val="00E12487"/>
    <w:rsid w:val="00E13340"/>
    <w:rsid w:val="00E140EF"/>
    <w:rsid w:val="00E14277"/>
    <w:rsid w:val="00E14ED7"/>
    <w:rsid w:val="00E16ED3"/>
    <w:rsid w:val="00E17872"/>
    <w:rsid w:val="00E179B9"/>
    <w:rsid w:val="00E17C43"/>
    <w:rsid w:val="00E20810"/>
    <w:rsid w:val="00E20AE3"/>
    <w:rsid w:val="00E220CF"/>
    <w:rsid w:val="00E223F4"/>
    <w:rsid w:val="00E232B4"/>
    <w:rsid w:val="00E2365B"/>
    <w:rsid w:val="00E24C50"/>
    <w:rsid w:val="00E250BD"/>
    <w:rsid w:val="00E26053"/>
    <w:rsid w:val="00E265AD"/>
    <w:rsid w:val="00E267C8"/>
    <w:rsid w:val="00E27010"/>
    <w:rsid w:val="00E31D54"/>
    <w:rsid w:val="00E33A92"/>
    <w:rsid w:val="00E34CDD"/>
    <w:rsid w:val="00E34E29"/>
    <w:rsid w:val="00E34E7D"/>
    <w:rsid w:val="00E34F16"/>
    <w:rsid w:val="00E35738"/>
    <w:rsid w:val="00E36531"/>
    <w:rsid w:val="00E3696C"/>
    <w:rsid w:val="00E36DD6"/>
    <w:rsid w:val="00E37FEE"/>
    <w:rsid w:val="00E401D0"/>
    <w:rsid w:val="00E4060A"/>
    <w:rsid w:val="00E41026"/>
    <w:rsid w:val="00E41912"/>
    <w:rsid w:val="00E41EFA"/>
    <w:rsid w:val="00E42B27"/>
    <w:rsid w:val="00E42C52"/>
    <w:rsid w:val="00E43283"/>
    <w:rsid w:val="00E4342A"/>
    <w:rsid w:val="00E43649"/>
    <w:rsid w:val="00E44E22"/>
    <w:rsid w:val="00E454B0"/>
    <w:rsid w:val="00E46707"/>
    <w:rsid w:val="00E469AE"/>
    <w:rsid w:val="00E46E8C"/>
    <w:rsid w:val="00E46FD0"/>
    <w:rsid w:val="00E50AB6"/>
    <w:rsid w:val="00E517B0"/>
    <w:rsid w:val="00E550F9"/>
    <w:rsid w:val="00E57006"/>
    <w:rsid w:val="00E60043"/>
    <w:rsid w:val="00E6018A"/>
    <w:rsid w:val="00E6280A"/>
    <w:rsid w:val="00E6383C"/>
    <w:rsid w:val="00E64FD6"/>
    <w:rsid w:val="00E661C9"/>
    <w:rsid w:val="00E66ADD"/>
    <w:rsid w:val="00E66BCA"/>
    <w:rsid w:val="00E70843"/>
    <w:rsid w:val="00E70A92"/>
    <w:rsid w:val="00E71817"/>
    <w:rsid w:val="00E71B07"/>
    <w:rsid w:val="00E71F05"/>
    <w:rsid w:val="00E723E4"/>
    <w:rsid w:val="00E72520"/>
    <w:rsid w:val="00E7313A"/>
    <w:rsid w:val="00E736B6"/>
    <w:rsid w:val="00E73982"/>
    <w:rsid w:val="00E74A27"/>
    <w:rsid w:val="00E75F8E"/>
    <w:rsid w:val="00E7714A"/>
    <w:rsid w:val="00E7752D"/>
    <w:rsid w:val="00E80144"/>
    <w:rsid w:val="00E8123E"/>
    <w:rsid w:val="00E81A23"/>
    <w:rsid w:val="00E8357B"/>
    <w:rsid w:val="00E83BAC"/>
    <w:rsid w:val="00E84D08"/>
    <w:rsid w:val="00E84F8D"/>
    <w:rsid w:val="00E85F9E"/>
    <w:rsid w:val="00E8608A"/>
    <w:rsid w:val="00E86418"/>
    <w:rsid w:val="00E8669F"/>
    <w:rsid w:val="00E86EE6"/>
    <w:rsid w:val="00E87682"/>
    <w:rsid w:val="00E87CEC"/>
    <w:rsid w:val="00E90187"/>
    <w:rsid w:val="00E901B4"/>
    <w:rsid w:val="00E908C2"/>
    <w:rsid w:val="00E90AC3"/>
    <w:rsid w:val="00E90D1D"/>
    <w:rsid w:val="00E91583"/>
    <w:rsid w:val="00E91D72"/>
    <w:rsid w:val="00E92096"/>
    <w:rsid w:val="00E929A7"/>
    <w:rsid w:val="00E939E7"/>
    <w:rsid w:val="00E942E0"/>
    <w:rsid w:val="00E948C7"/>
    <w:rsid w:val="00E954A2"/>
    <w:rsid w:val="00E967DD"/>
    <w:rsid w:val="00E97CE1"/>
    <w:rsid w:val="00E97DBE"/>
    <w:rsid w:val="00E97F13"/>
    <w:rsid w:val="00EA1ABF"/>
    <w:rsid w:val="00EA21E7"/>
    <w:rsid w:val="00EA2C5D"/>
    <w:rsid w:val="00EA3093"/>
    <w:rsid w:val="00EA3394"/>
    <w:rsid w:val="00EA33A0"/>
    <w:rsid w:val="00EA366F"/>
    <w:rsid w:val="00EA3E22"/>
    <w:rsid w:val="00EA54BB"/>
    <w:rsid w:val="00EA5678"/>
    <w:rsid w:val="00EA7C50"/>
    <w:rsid w:val="00EB0EC7"/>
    <w:rsid w:val="00EB1481"/>
    <w:rsid w:val="00EB2C80"/>
    <w:rsid w:val="00EB40E5"/>
    <w:rsid w:val="00EB53FC"/>
    <w:rsid w:val="00EB54A1"/>
    <w:rsid w:val="00EB58BB"/>
    <w:rsid w:val="00EB599C"/>
    <w:rsid w:val="00EB7916"/>
    <w:rsid w:val="00EC0A8C"/>
    <w:rsid w:val="00EC1248"/>
    <w:rsid w:val="00EC143C"/>
    <w:rsid w:val="00EC1C88"/>
    <w:rsid w:val="00EC22B3"/>
    <w:rsid w:val="00EC276A"/>
    <w:rsid w:val="00EC2EDD"/>
    <w:rsid w:val="00EC3CA9"/>
    <w:rsid w:val="00EC4007"/>
    <w:rsid w:val="00EC40D3"/>
    <w:rsid w:val="00EC468F"/>
    <w:rsid w:val="00EC5531"/>
    <w:rsid w:val="00EC5BC8"/>
    <w:rsid w:val="00EC5CB8"/>
    <w:rsid w:val="00EC704E"/>
    <w:rsid w:val="00EC72C9"/>
    <w:rsid w:val="00ED01BB"/>
    <w:rsid w:val="00ED0651"/>
    <w:rsid w:val="00ED1A30"/>
    <w:rsid w:val="00ED2260"/>
    <w:rsid w:val="00ED2D08"/>
    <w:rsid w:val="00ED32A9"/>
    <w:rsid w:val="00ED3B09"/>
    <w:rsid w:val="00ED4138"/>
    <w:rsid w:val="00ED423C"/>
    <w:rsid w:val="00ED51E3"/>
    <w:rsid w:val="00ED5277"/>
    <w:rsid w:val="00ED5825"/>
    <w:rsid w:val="00ED6310"/>
    <w:rsid w:val="00ED78A6"/>
    <w:rsid w:val="00ED7F06"/>
    <w:rsid w:val="00EE0053"/>
    <w:rsid w:val="00EE0B91"/>
    <w:rsid w:val="00EE2BB5"/>
    <w:rsid w:val="00EE4833"/>
    <w:rsid w:val="00EE6653"/>
    <w:rsid w:val="00EF0998"/>
    <w:rsid w:val="00EF1525"/>
    <w:rsid w:val="00EF25B9"/>
    <w:rsid w:val="00EF2F6F"/>
    <w:rsid w:val="00EF338A"/>
    <w:rsid w:val="00EF3A2F"/>
    <w:rsid w:val="00EF3CCE"/>
    <w:rsid w:val="00EF41AF"/>
    <w:rsid w:val="00EF53B3"/>
    <w:rsid w:val="00EF5553"/>
    <w:rsid w:val="00EF55CC"/>
    <w:rsid w:val="00EF6654"/>
    <w:rsid w:val="00EF72FC"/>
    <w:rsid w:val="00EF7F4F"/>
    <w:rsid w:val="00F01834"/>
    <w:rsid w:val="00F01D00"/>
    <w:rsid w:val="00F02EAA"/>
    <w:rsid w:val="00F04729"/>
    <w:rsid w:val="00F04933"/>
    <w:rsid w:val="00F0575D"/>
    <w:rsid w:val="00F05BC6"/>
    <w:rsid w:val="00F06295"/>
    <w:rsid w:val="00F07526"/>
    <w:rsid w:val="00F10581"/>
    <w:rsid w:val="00F105C4"/>
    <w:rsid w:val="00F10BAC"/>
    <w:rsid w:val="00F12679"/>
    <w:rsid w:val="00F12975"/>
    <w:rsid w:val="00F134B3"/>
    <w:rsid w:val="00F13908"/>
    <w:rsid w:val="00F14522"/>
    <w:rsid w:val="00F16824"/>
    <w:rsid w:val="00F169B8"/>
    <w:rsid w:val="00F16CC2"/>
    <w:rsid w:val="00F20556"/>
    <w:rsid w:val="00F208DC"/>
    <w:rsid w:val="00F20F67"/>
    <w:rsid w:val="00F21EA0"/>
    <w:rsid w:val="00F23789"/>
    <w:rsid w:val="00F2449C"/>
    <w:rsid w:val="00F24634"/>
    <w:rsid w:val="00F24C26"/>
    <w:rsid w:val="00F24F30"/>
    <w:rsid w:val="00F24F7E"/>
    <w:rsid w:val="00F25651"/>
    <w:rsid w:val="00F26243"/>
    <w:rsid w:val="00F300AD"/>
    <w:rsid w:val="00F306A9"/>
    <w:rsid w:val="00F31780"/>
    <w:rsid w:val="00F3178F"/>
    <w:rsid w:val="00F32587"/>
    <w:rsid w:val="00F32C5C"/>
    <w:rsid w:val="00F333E9"/>
    <w:rsid w:val="00F34DA6"/>
    <w:rsid w:val="00F37052"/>
    <w:rsid w:val="00F40BD5"/>
    <w:rsid w:val="00F43250"/>
    <w:rsid w:val="00F43CCF"/>
    <w:rsid w:val="00F443D9"/>
    <w:rsid w:val="00F465D9"/>
    <w:rsid w:val="00F4674E"/>
    <w:rsid w:val="00F4690D"/>
    <w:rsid w:val="00F4768F"/>
    <w:rsid w:val="00F47FC3"/>
    <w:rsid w:val="00F50A7E"/>
    <w:rsid w:val="00F5304F"/>
    <w:rsid w:val="00F54B38"/>
    <w:rsid w:val="00F54B5A"/>
    <w:rsid w:val="00F560FD"/>
    <w:rsid w:val="00F575BD"/>
    <w:rsid w:val="00F5763D"/>
    <w:rsid w:val="00F61F2D"/>
    <w:rsid w:val="00F623EA"/>
    <w:rsid w:val="00F652DC"/>
    <w:rsid w:val="00F658B3"/>
    <w:rsid w:val="00F6669C"/>
    <w:rsid w:val="00F672D4"/>
    <w:rsid w:val="00F673D3"/>
    <w:rsid w:val="00F67AFC"/>
    <w:rsid w:val="00F700FC"/>
    <w:rsid w:val="00F7095C"/>
    <w:rsid w:val="00F7186F"/>
    <w:rsid w:val="00F71DDE"/>
    <w:rsid w:val="00F72221"/>
    <w:rsid w:val="00F73CA9"/>
    <w:rsid w:val="00F73D26"/>
    <w:rsid w:val="00F74C32"/>
    <w:rsid w:val="00F74F34"/>
    <w:rsid w:val="00F75F5E"/>
    <w:rsid w:val="00F76042"/>
    <w:rsid w:val="00F76069"/>
    <w:rsid w:val="00F77477"/>
    <w:rsid w:val="00F77906"/>
    <w:rsid w:val="00F80D2C"/>
    <w:rsid w:val="00F82F27"/>
    <w:rsid w:val="00F84802"/>
    <w:rsid w:val="00F86AB0"/>
    <w:rsid w:val="00F877A0"/>
    <w:rsid w:val="00F87BCC"/>
    <w:rsid w:val="00F9173E"/>
    <w:rsid w:val="00F92579"/>
    <w:rsid w:val="00F93813"/>
    <w:rsid w:val="00F93B97"/>
    <w:rsid w:val="00F94E0F"/>
    <w:rsid w:val="00F958F2"/>
    <w:rsid w:val="00F95B23"/>
    <w:rsid w:val="00F976B6"/>
    <w:rsid w:val="00F97725"/>
    <w:rsid w:val="00FA026E"/>
    <w:rsid w:val="00FA0B2E"/>
    <w:rsid w:val="00FA2743"/>
    <w:rsid w:val="00FA31C2"/>
    <w:rsid w:val="00FA37BA"/>
    <w:rsid w:val="00FA3F5B"/>
    <w:rsid w:val="00FA5A68"/>
    <w:rsid w:val="00FA6BC9"/>
    <w:rsid w:val="00FA793B"/>
    <w:rsid w:val="00FA7948"/>
    <w:rsid w:val="00FA7F45"/>
    <w:rsid w:val="00FA7FCA"/>
    <w:rsid w:val="00FB1722"/>
    <w:rsid w:val="00FB246D"/>
    <w:rsid w:val="00FB34A0"/>
    <w:rsid w:val="00FB3784"/>
    <w:rsid w:val="00FB5064"/>
    <w:rsid w:val="00FB653D"/>
    <w:rsid w:val="00FB77B0"/>
    <w:rsid w:val="00FB7B6A"/>
    <w:rsid w:val="00FB7DB4"/>
    <w:rsid w:val="00FB7FC2"/>
    <w:rsid w:val="00FC0586"/>
    <w:rsid w:val="00FC1759"/>
    <w:rsid w:val="00FC186D"/>
    <w:rsid w:val="00FC1C99"/>
    <w:rsid w:val="00FC216B"/>
    <w:rsid w:val="00FC2189"/>
    <w:rsid w:val="00FC21DA"/>
    <w:rsid w:val="00FC3972"/>
    <w:rsid w:val="00FC4842"/>
    <w:rsid w:val="00FC4F57"/>
    <w:rsid w:val="00FC5198"/>
    <w:rsid w:val="00FC6C30"/>
    <w:rsid w:val="00FC74A5"/>
    <w:rsid w:val="00FC791E"/>
    <w:rsid w:val="00FC79E7"/>
    <w:rsid w:val="00FC7F4C"/>
    <w:rsid w:val="00FD080C"/>
    <w:rsid w:val="00FD19BC"/>
    <w:rsid w:val="00FD1D57"/>
    <w:rsid w:val="00FD1F17"/>
    <w:rsid w:val="00FD2718"/>
    <w:rsid w:val="00FD277D"/>
    <w:rsid w:val="00FD418F"/>
    <w:rsid w:val="00FD4338"/>
    <w:rsid w:val="00FD44BE"/>
    <w:rsid w:val="00FD4AEE"/>
    <w:rsid w:val="00FD54A2"/>
    <w:rsid w:val="00FD7468"/>
    <w:rsid w:val="00FE0DE3"/>
    <w:rsid w:val="00FE110B"/>
    <w:rsid w:val="00FE241A"/>
    <w:rsid w:val="00FE274C"/>
    <w:rsid w:val="00FE44EA"/>
    <w:rsid w:val="00FE48DE"/>
    <w:rsid w:val="00FE60B3"/>
    <w:rsid w:val="00FE64BC"/>
    <w:rsid w:val="00FE6A4E"/>
    <w:rsid w:val="00FF0636"/>
    <w:rsid w:val="00FF0B41"/>
    <w:rsid w:val="00FF14D2"/>
    <w:rsid w:val="00FF15E3"/>
    <w:rsid w:val="00FF1791"/>
    <w:rsid w:val="00FF17B4"/>
    <w:rsid w:val="00FF3917"/>
    <w:rsid w:val="00FF44F9"/>
    <w:rsid w:val="00FF4FC8"/>
    <w:rsid w:val="00FF5A4A"/>
    <w:rsid w:val="00FF6291"/>
    <w:rsid w:val="00FF6CF6"/>
    <w:rsid w:val="0299E471"/>
    <w:rsid w:val="03E35C9C"/>
    <w:rsid w:val="0440CB96"/>
    <w:rsid w:val="0456D369"/>
    <w:rsid w:val="0501077F"/>
    <w:rsid w:val="0536E6F2"/>
    <w:rsid w:val="05585E16"/>
    <w:rsid w:val="05E5076A"/>
    <w:rsid w:val="0654730A"/>
    <w:rsid w:val="073FD73E"/>
    <w:rsid w:val="07704296"/>
    <w:rsid w:val="08435B03"/>
    <w:rsid w:val="090601E8"/>
    <w:rsid w:val="09A5D532"/>
    <w:rsid w:val="0A8FA5D8"/>
    <w:rsid w:val="0AC1D30E"/>
    <w:rsid w:val="0B17C121"/>
    <w:rsid w:val="0BC3FEE8"/>
    <w:rsid w:val="0C625311"/>
    <w:rsid w:val="0C6CCA91"/>
    <w:rsid w:val="0C7C4897"/>
    <w:rsid w:val="0C8E35CD"/>
    <w:rsid w:val="0CC513B5"/>
    <w:rsid w:val="0D01B042"/>
    <w:rsid w:val="0D9755DD"/>
    <w:rsid w:val="0E73CEEC"/>
    <w:rsid w:val="0E92BCD2"/>
    <w:rsid w:val="0EDEACB0"/>
    <w:rsid w:val="106B7550"/>
    <w:rsid w:val="10A97D5C"/>
    <w:rsid w:val="12BC7B28"/>
    <w:rsid w:val="12D967F2"/>
    <w:rsid w:val="1559145E"/>
    <w:rsid w:val="15D0436E"/>
    <w:rsid w:val="16B2F92B"/>
    <w:rsid w:val="1779424E"/>
    <w:rsid w:val="1795A6B9"/>
    <w:rsid w:val="187A82E7"/>
    <w:rsid w:val="18DC06A3"/>
    <w:rsid w:val="18E7689D"/>
    <w:rsid w:val="191C0EFC"/>
    <w:rsid w:val="1994C5B6"/>
    <w:rsid w:val="19C8E427"/>
    <w:rsid w:val="1A75C0D1"/>
    <w:rsid w:val="1A879FBA"/>
    <w:rsid w:val="1A905F9D"/>
    <w:rsid w:val="1AEC7DB5"/>
    <w:rsid w:val="1B1001FC"/>
    <w:rsid w:val="1BF1D705"/>
    <w:rsid w:val="1CAA7513"/>
    <w:rsid w:val="1CB64589"/>
    <w:rsid w:val="1CD77336"/>
    <w:rsid w:val="1D473555"/>
    <w:rsid w:val="1D54C9A1"/>
    <w:rsid w:val="1D672FAB"/>
    <w:rsid w:val="1D885E4D"/>
    <w:rsid w:val="1DF689E5"/>
    <w:rsid w:val="1E2F8167"/>
    <w:rsid w:val="1E389160"/>
    <w:rsid w:val="1E9EBD3A"/>
    <w:rsid w:val="1EB41670"/>
    <w:rsid w:val="1EBBD0E2"/>
    <w:rsid w:val="1F4B8EF1"/>
    <w:rsid w:val="1F931E9E"/>
    <w:rsid w:val="1FFEFC12"/>
    <w:rsid w:val="216095F2"/>
    <w:rsid w:val="22A1D0AC"/>
    <w:rsid w:val="22ECFEBF"/>
    <w:rsid w:val="2313BC32"/>
    <w:rsid w:val="243707F4"/>
    <w:rsid w:val="2470958A"/>
    <w:rsid w:val="24D5BB62"/>
    <w:rsid w:val="25096CC6"/>
    <w:rsid w:val="27B5ABE1"/>
    <w:rsid w:val="28189172"/>
    <w:rsid w:val="2926BF72"/>
    <w:rsid w:val="2B9F1BB2"/>
    <w:rsid w:val="2BBAB78C"/>
    <w:rsid w:val="2D3CB6D4"/>
    <w:rsid w:val="2D6AC2C4"/>
    <w:rsid w:val="2D77EB13"/>
    <w:rsid w:val="2DDA0506"/>
    <w:rsid w:val="2E1D7918"/>
    <w:rsid w:val="2EF8BA3D"/>
    <w:rsid w:val="2F57AF95"/>
    <w:rsid w:val="306C3F57"/>
    <w:rsid w:val="307820BA"/>
    <w:rsid w:val="30FD1C93"/>
    <w:rsid w:val="322E4DAE"/>
    <w:rsid w:val="346FEF6D"/>
    <w:rsid w:val="34B2B321"/>
    <w:rsid w:val="3554F768"/>
    <w:rsid w:val="35662201"/>
    <w:rsid w:val="3587D97B"/>
    <w:rsid w:val="35983AA3"/>
    <w:rsid w:val="35A03E5F"/>
    <w:rsid w:val="378A423A"/>
    <w:rsid w:val="382BDE6C"/>
    <w:rsid w:val="389FD6C0"/>
    <w:rsid w:val="38A45122"/>
    <w:rsid w:val="3A1D706C"/>
    <w:rsid w:val="3A9BDA81"/>
    <w:rsid w:val="3C350FB0"/>
    <w:rsid w:val="3D3EEEB3"/>
    <w:rsid w:val="3D9C57CD"/>
    <w:rsid w:val="3D9DAB67"/>
    <w:rsid w:val="3DBCCE46"/>
    <w:rsid w:val="3E7D62F4"/>
    <w:rsid w:val="3F52391C"/>
    <w:rsid w:val="4070E124"/>
    <w:rsid w:val="43106472"/>
    <w:rsid w:val="432145AF"/>
    <w:rsid w:val="43EA7D0B"/>
    <w:rsid w:val="445B23E6"/>
    <w:rsid w:val="4532C49F"/>
    <w:rsid w:val="458BFBE4"/>
    <w:rsid w:val="45A17355"/>
    <w:rsid w:val="46040D2B"/>
    <w:rsid w:val="4614120F"/>
    <w:rsid w:val="4624A550"/>
    <w:rsid w:val="47E426BE"/>
    <w:rsid w:val="48449F16"/>
    <w:rsid w:val="489AB77F"/>
    <w:rsid w:val="48AAD572"/>
    <w:rsid w:val="49065EFE"/>
    <w:rsid w:val="49646D49"/>
    <w:rsid w:val="49914A1A"/>
    <w:rsid w:val="49947E54"/>
    <w:rsid w:val="49A8F799"/>
    <w:rsid w:val="4A98A13C"/>
    <w:rsid w:val="4D289613"/>
    <w:rsid w:val="4D43C35F"/>
    <w:rsid w:val="4E2896AB"/>
    <w:rsid w:val="4F8FEE86"/>
    <w:rsid w:val="502218F1"/>
    <w:rsid w:val="50287A13"/>
    <w:rsid w:val="50BF5122"/>
    <w:rsid w:val="50C2075F"/>
    <w:rsid w:val="50F33485"/>
    <w:rsid w:val="512D0D29"/>
    <w:rsid w:val="515D8D45"/>
    <w:rsid w:val="527D5B87"/>
    <w:rsid w:val="529BD8B0"/>
    <w:rsid w:val="530A18C0"/>
    <w:rsid w:val="530C0C37"/>
    <w:rsid w:val="53169E60"/>
    <w:rsid w:val="533DEBDC"/>
    <w:rsid w:val="545FA541"/>
    <w:rsid w:val="547BB657"/>
    <w:rsid w:val="54937EC7"/>
    <w:rsid w:val="54C5D9BC"/>
    <w:rsid w:val="55C27EBD"/>
    <w:rsid w:val="561AF7FB"/>
    <w:rsid w:val="5654A15A"/>
    <w:rsid w:val="5658D278"/>
    <w:rsid w:val="56C05258"/>
    <w:rsid w:val="573AC058"/>
    <w:rsid w:val="575EFB9C"/>
    <w:rsid w:val="5767211A"/>
    <w:rsid w:val="57756F94"/>
    <w:rsid w:val="586C52AE"/>
    <w:rsid w:val="58847B7B"/>
    <w:rsid w:val="58A75BCD"/>
    <w:rsid w:val="58AF8B46"/>
    <w:rsid w:val="5954B4F4"/>
    <w:rsid w:val="5B3CB98F"/>
    <w:rsid w:val="5B53E3C7"/>
    <w:rsid w:val="5B63326E"/>
    <w:rsid w:val="5CABF7B2"/>
    <w:rsid w:val="5D1329C3"/>
    <w:rsid w:val="5DF621DC"/>
    <w:rsid w:val="5E838796"/>
    <w:rsid w:val="5EFC9714"/>
    <w:rsid w:val="5F2E45C2"/>
    <w:rsid w:val="5F31E32D"/>
    <w:rsid w:val="60B272AF"/>
    <w:rsid w:val="6122FCF6"/>
    <w:rsid w:val="612DB2AF"/>
    <w:rsid w:val="613D95FF"/>
    <w:rsid w:val="61DAA9C0"/>
    <w:rsid w:val="627F7F8D"/>
    <w:rsid w:val="64DCC828"/>
    <w:rsid w:val="659E8FCB"/>
    <w:rsid w:val="66C7A084"/>
    <w:rsid w:val="67D48D1C"/>
    <w:rsid w:val="69141B7D"/>
    <w:rsid w:val="693F89D1"/>
    <w:rsid w:val="6A1D5639"/>
    <w:rsid w:val="6A1F82FA"/>
    <w:rsid w:val="6AB71C42"/>
    <w:rsid w:val="6B3FC0EB"/>
    <w:rsid w:val="6CF9C06D"/>
    <w:rsid w:val="6E8968D0"/>
    <w:rsid w:val="6ECAF11F"/>
    <w:rsid w:val="6EF316F4"/>
    <w:rsid w:val="6FE18BCA"/>
    <w:rsid w:val="705ACDD3"/>
    <w:rsid w:val="71B330A7"/>
    <w:rsid w:val="72455478"/>
    <w:rsid w:val="725D5894"/>
    <w:rsid w:val="726F1365"/>
    <w:rsid w:val="735EC7B6"/>
    <w:rsid w:val="73762635"/>
    <w:rsid w:val="73CB1D93"/>
    <w:rsid w:val="73D76884"/>
    <w:rsid w:val="74AC7AB3"/>
    <w:rsid w:val="7507DD03"/>
    <w:rsid w:val="754CCB6C"/>
    <w:rsid w:val="755D2D0C"/>
    <w:rsid w:val="75DD9CA7"/>
    <w:rsid w:val="769B7AFA"/>
    <w:rsid w:val="77C9FFF0"/>
    <w:rsid w:val="780C138B"/>
    <w:rsid w:val="7827A0BC"/>
    <w:rsid w:val="79474D93"/>
    <w:rsid w:val="7969EFC7"/>
    <w:rsid w:val="7A726C4D"/>
    <w:rsid w:val="7A9FF097"/>
    <w:rsid w:val="7AA1397C"/>
    <w:rsid w:val="7AE71863"/>
    <w:rsid w:val="7B782285"/>
    <w:rsid w:val="7C4146E5"/>
    <w:rsid w:val="7C4B9722"/>
    <w:rsid w:val="7D2B630A"/>
    <w:rsid w:val="7D3BA656"/>
    <w:rsid w:val="7DAD011F"/>
    <w:rsid w:val="7F9D7805"/>
    <w:rsid w:val="7FD439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8266F"/>
  <w15:docId w15:val="{7C8DDB36-E2F2-408B-A54F-E00F07BB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qFormat/>
    <w:rsid w:val="007E39EF"/>
    <w:pPr>
      <w:pageBreakBefore/>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7"/>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7"/>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8"/>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8"/>
      </w:numPr>
      <w:spacing w:before="120" w:after="120"/>
      <w:ind w:left="908" w:hanging="454"/>
      <w:contextualSpacing/>
    </w:pPr>
  </w:style>
  <w:style w:type="paragraph" w:styleId="ListNumber">
    <w:name w:val="List Number"/>
    <w:basedOn w:val="Normal"/>
    <w:uiPriority w:val="9"/>
    <w:qFormat/>
    <w:rsid w:val="00CA6C9D"/>
    <w:pPr>
      <w:numPr>
        <w:numId w:val="9"/>
      </w:numPr>
      <w:tabs>
        <w:tab w:val="left" w:pos="142"/>
      </w:tabs>
      <w:spacing w:before="120" w:after="120"/>
    </w:pPr>
  </w:style>
  <w:style w:type="paragraph" w:styleId="ListNumber2">
    <w:name w:val="List Number 2"/>
    <w:uiPriority w:val="10"/>
    <w:qFormat/>
    <w:rsid w:val="002B382C"/>
    <w:pPr>
      <w:numPr>
        <w:ilvl w:val="1"/>
        <w:numId w:val="9"/>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9"/>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6"/>
      </w:numPr>
      <w:ind w:left="357" w:hanging="357"/>
    </w:pPr>
  </w:style>
  <w:style w:type="paragraph" w:customStyle="1" w:styleId="TableBullet">
    <w:name w:val="Table Bullet"/>
    <w:basedOn w:val="TableText"/>
    <w:uiPriority w:val="15"/>
    <w:qFormat/>
    <w:rsid w:val="00ED01BB"/>
    <w:pPr>
      <w:numPr>
        <w:numId w:val="5"/>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8"/>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1"/>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qFormat/>
    <w:locked/>
    <w:rsid w:val="00441BFD"/>
    <w:rPr>
      <w:i/>
      <w:iCs/>
      <w:color w:val="4F81BD" w:themeColor="accent1"/>
    </w:rPr>
  </w:style>
  <w:style w:type="paragraph" w:customStyle="1" w:styleId="TableBullet2">
    <w:name w:val="Table Bullet 2"/>
    <w:basedOn w:val="TableBullet"/>
    <w:qFormat/>
    <w:rsid w:val="00ED01BB"/>
    <w:pPr>
      <w:numPr>
        <w:numId w:val="10"/>
      </w:numPr>
      <w:tabs>
        <w:tab w:val="num" w:pos="361"/>
      </w:tabs>
      <w:ind w:left="568" w:hanging="284"/>
    </w:pPr>
  </w:style>
  <w:style w:type="numbering" w:customStyle="1" w:styleId="TableBulletlist">
    <w:name w:val="Table Bullet list"/>
    <w:uiPriority w:val="99"/>
    <w:rsid w:val="00441BFD"/>
    <w:pPr>
      <w:numPr>
        <w:numId w:val="4"/>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1"/>
      </w:numPr>
    </w:pPr>
  </w:style>
  <w:style w:type="paragraph" w:customStyle="1" w:styleId="TableListNumber3">
    <w:name w:val="Table List Number 3"/>
    <w:basedOn w:val="TableText"/>
    <w:qFormat/>
    <w:rsid w:val="0071381A"/>
    <w:pPr>
      <w:numPr>
        <w:ilvl w:val="2"/>
        <w:numId w:val="11"/>
      </w:numPr>
    </w:pPr>
  </w:style>
  <w:style w:type="numbering" w:customStyle="1" w:styleId="Tablenumberedlists">
    <w:name w:val="Table numbered lists"/>
    <w:uiPriority w:val="99"/>
    <w:rsid w:val="0071381A"/>
    <w:pPr>
      <w:numPr>
        <w:numId w:val="11"/>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2"/>
      </w:numPr>
    </w:pPr>
  </w:style>
  <w:style w:type="numbering" w:customStyle="1" w:styleId="ListNumbers">
    <w:name w:val="ListNumbers"/>
    <w:uiPriority w:val="99"/>
    <w:rsid w:val="004A0690"/>
    <w:pPr>
      <w:numPr>
        <w:numId w:val="13"/>
      </w:numPr>
    </w:pPr>
  </w:style>
  <w:style w:type="paragraph" w:customStyle="1" w:styleId="glossarytext">
    <w:name w:val="glossary text"/>
    <w:basedOn w:val="Normal"/>
    <w:rsid w:val="000759FB"/>
    <w:pPr>
      <w:tabs>
        <w:tab w:val="left" w:pos="1560"/>
      </w:tabs>
      <w:spacing w:after="120" w:line="240" w:lineRule="auto"/>
    </w:pPr>
    <w:rPr>
      <w:rFonts w:ascii="Cambria" w:eastAsiaTheme="minorEastAsia" w:hAnsi="Cambria"/>
      <w:lang w:val="en-US" w:bidi="en-US"/>
    </w:rPr>
  </w:style>
  <w:style w:type="paragraph" w:styleId="Revision">
    <w:name w:val="Revision"/>
    <w:hidden/>
    <w:uiPriority w:val="99"/>
    <w:semiHidden/>
    <w:rsid w:val="00A730A5"/>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3956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publications" TargetMode="External"/><Relationship Id="rId18" Type="http://schemas.openxmlformats.org/officeDocument/2006/relationships/hyperlink" Target="mailto:ippc.contactpoint@aff.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OCVO@aff.gov.au" TargetMode="External"/><Relationship Id="rId2" Type="http://schemas.openxmlformats.org/officeDocument/2006/relationships/customXml" Target="../customXml/item2.xml"/><Relationship Id="rId16" Type="http://schemas.openxmlformats.org/officeDocument/2006/relationships/hyperlink" Target="mailto:plantstakeholders@aff.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animalbiosecurity@aff.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4734E7EE9F596469E4A2E69A886608D" ma:contentTypeVersion="" ma:contentTypeDescription="PDMS Document Site Content Type" ma:contentTypeScope="" ma:versionID="9a0e8720a4bb2f05d2ede64b270e8de9">
  <xsd:schema xmlns:xsd="http://www.w3.org/2001/XMLSchema" xmlns:xs="http://www.w3.org/2001/XMLSchema" xmlns:p="http://schemas.microsoft.com/office/2006/metadata/properties" xmlns:ns2="09FDDBC4-7A58-4C1C-9FBA-D7A221B274E9" targetNamespace="http://schemas.microsoft.com/office/2006/metadata/properties" ma:root="true" ma:fieldsID="61d1bef814dfec6f8fddfa200aa78e5e" ns2:_="">
    <xsd:import namespace="09FDDBC4-7A58-4C1C-9FBA-D7A221B274E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DDBC4-7A58-4C1C-9FBA-D7A221B274E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09FDDBC4-7A58-4C1C-9FBA-D7A221B274E9" xsi:nil="true"/>
  </documentManagement>
</p:properties>
</file>

<file path=customXml/itemProps1.xml><?xml version="1.0" encoding="utf-8"?>
<ds:datastoreItem xmlns:ds="http://schemas.openxmlformats.org/officeDocument/2006/customXml" ds:itemID="{30A05F74-4F27-4A47-A938-260CCAE9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DDBC4-7A58-4C1C-9FBA-D7A221B27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09FDDBC4-7A58-4C1C-9FBA-D7A221B274E9"/>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1</TotalTime>
  <Pages>15</Pages>
  <Words>3709</Words>
  <Characters>22143</Characters>
  <Application>Microsoft Office Word</Application>
  <DocSecurity>0</DocSecurity>
  <Lines>402</Lines>
  <Paragraphs>197</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Temby, David</dc:creator>
  <cp:keywords/>
  <cp:lastModifiedBy>Granton-Smith, Rachel</cp:lastModifiedBy>
  <cp:revision>3</cp:revision>
  <cp:lastPrinted>2026-03-31T07:04:00Z</cp:lastPrinted>
  <dcterms:created xsi:type="dcterms:W3CDTF">2026-03-31T07:04:00Z</dcterms:created>
  <dcterms:modified xsi:type="dcterms:W3CDTF">2026-03-31T07:04:00Z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0x010100266966F133664895A6EE3632470D45F50064734E7EE9F596469E4A2E69A886608D</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