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96FD21C" w14:textId="3A47F836" w:rsidR="00711762" w:rsidRDefault="00711762" w:rsidP="00711762">
      <w:pPr>
        <w:pStyle w:val="Heading1"/>
      </w:pPr>
      <w:r>
        <w:t xml:space="preserve">Biosecurity </w:t>
      </w:r>
      <w:r w:rsidR="000C103C">
        <w:t>import risk analysis and trade implementation</w:t>
      </w:r>
    </w:p>
    <w:p w14:paraId="31DC6C6A" w14:textId="5A1E503A" w:rsidR="00711762" w:rsidRDefault="00711762" w:rsidP="00711762">
      <w:pPr>
        <w:rPr>
          <w:lang w:eastAsia="ja-JP"/>
        </w:rPr>
      </w:pPr>
      <w:r>
        <w:rPr>
          <w:lang w:eastAsia="ja-JP"/>
        </w:rPr>
        <w:t xml:space="preserve">A </w:t>
      </w:r>
      <w:r w:rsidR="000C103C">
        <w:rPr>
          <w:lang w:eastAsia="ja-JP"/>
        </w:rPr>
        <w:t>biosecurity import risk analysis (BIRA)</w:t>
      </w:r>
      <w:r>
        <w:rPr>
          <w:lang w:eastAsia="ja-JP"/>
        </w:rPr>
        <w:t xml:space="preserve"> can be undertaken when:</w:t>
      </w:r>
    </w:p>
    <w:p w14:paraId="7037FC17" w14:textId="77777777" w:rsidR="00711762" w:rsidRDefault="00711762" w:rsidP="00711762">
      <w:pPr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>it is deemed appropriate by the Director of Biosecurity or the Minister of Agriculture, or</w:t>
      </w:r>
    </w:p>
    <w:p w14:paraId="5547EE49" w14:textId="4FC78C98" w:rsidR="00711762" w:rsidRDefault="00711762" w:rsidP="00955916">
      <w:pPr>
        <w:ind w:left="567" w:hanging="567"/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>relevant risk management measures have not been established, or</w:t>
      </w:r>
      <w:r w:rsidR="00955916">
        <w:rPr>
          <w:lang w:eastAsia="ja-JP"/>
        </w:rPr>
        <w:t xml:space="preserve"> if they do</w:t>
      </w:r>
      <w:r>
        <w:rPr>
          <w:lang w:eastAsia="ja-JP"/>
        </w:rPr>
        <w:t xml:space="preserve"> exist for a similar good and pest or disease combination, </w:t>
      </w:r>
      <w:r w:rsidR="000C103C">
        <w:rPr>
          <w:lang w:eastAsia="ja-JP"/>
        </w:rPr>
        <w:t>the biosecurity risk may differ significantly from those previously assessed.</w:t>
      </w:r>
    </w:p>
    <w:p w14:paraId="438D477A" w14:textId="77777777" w:rsidR="00711762" w:rsidRDefault="00711762" w:rsidP="00711762">
      <w:pPr>
        <w:rPr>
          <w:lang w:eastAsia="ja-JP"/>
        </w:rPr>
      </w:pPr>
      <w:r>
        <w:rPr>
          <w:lang w:eastAsia="ja-JP"/>
        </w:rPr>
        <w:t>The BIRA process is as follows:</w:t>
      </w:r>
    </w:p>
    <w:p w14:paraId="1DFBEECF" w14:textId="3FA8C843" w:rsidR="00711762" w:rsidRDefault="00711762" w:rsidP="00711762">
      <w:pPr>
        <w:rPr>
          <w:lang w:eastAsia="ja-JP"/>
        </w:rPr>
      </w:pPr>
      <w:r>
        <w:rPr>
          <w:lang w:eastAsia="ja-JP"/>
        </w:rPr>
        <w:t>1.</w:t>
      </w:r>
      <w:r>
        <w:rPr>
          <w:lang w:eastAsia="ja-JP"/>
        </w:rPr>
        <w:tab/>
      </w:r>
      <w:r w:rsidR="00623C20">
        <w:rPr>
          <w:lang w:eastAsia="ja-JP"/>
        </w:rPr>
        <w:t>Receive i</w:t>
      </w:r>
      <w:r>
        <w:rPr>
          <w:lang w:eastAsia="ja-JP"/>
        </w:rPr>
        <w:t>mport market access request.</w:t>
      </w:r>
    </w:p>
    <w:p w14:paraId="65054CB8" w14:textId="453905A3" w:rsidR="00711762" w:rsidRDefault="00711762" w:rsidP="00711762">
      <w:pPr>
        <w:rPr>
          <w:lang w:eastAsia="ja-JP"/>
        </w:rPr>
      </w:pPr>
      <w:r>
        <w:rPr>
          <w:lang w:eastAsia="ja-JP"/>
        </w:rPr>
        <w:t>2.</w:t>
      </w:r>
      <w:r>
        <w:rPr>
          <w:lang w:eastAsia="ja-JP"/>
        </w:rPr>
        <w:tab/>
        <w:t>Announc</w:t>
      </w:r>
      <w:r w:rsidR="00623C20">
        <w:rPr>
          <w:lang w:eastAsia="ja-JP"/>
        </w:rPr>
        <w:t>e</w:t>
      </w:r>
      <w:r>
        <w:rPr>
          <w:lang w:eastAsia="ja-JP"/>
        </w:rPr>
        <w:t xml:space="preserve"> BIRA </w:t>
      </w:r>
      <w:r w:rsidR="00623C20">
        <w:rPr>
          <w:lang w:eastAsia="ja-JP"/>
        </w:rPr>
        <w:t>commencement of risk analysis</w:t>
      </w:r>
      <w:r>
        <w:rPr>
          <w:lang w:eastAsia="ja-JP"/>
        </w:rPr>
        <w:t>. Stakeholders are notified.</w:t>
      </w:r>
    </w:p>
    <w:p w14:paraId="175D20AA" w14:textId="3AD07BE1" w:rsidR="00711762" w:rsidRDefault="00711762" w:rsidP="00711762">
      <w:pPr>
        <w:rPr>
          <w:lang w:eastAsia="ja-JP"/>
        </w:rPr>
      </w:pPr>
      <w:r>
        <w:rPr>
          <w:lang w:eastAsia="ja-JP"/>
        </w:rPr>
        <w:t>3.</w:t>
      </w:r>
      <w:r>
        <w:rPr>
          <w:lang w:eastAsia="ja-JP"/>
        </w:rPr>
        <w:tab/>
      </w:r>
      <w:r w:rsidR="00623C20">
        <w:rPr>
          <w:lang w:eastAsia="ja-JP"/>
        </w:rPr>
        <w:t>Publish</w:t>
      </w:r>
      <w:r>
        <w:rPr>
          <w:lang w:eastAsia="ja-JP"/>
        </w:rPr>
        <w:t xml:space="preserve"> issues paper. Stakeholders are notified.</w:t>
      </w:r>
    </w:p>
    <w:p w14:paraId="6ABAC9DC" w14:textId="37014531" w:rsidR="00711762" w:rsidRDefault="00711762" w:rsidP="00711762">
      <w:pPr>
        <w:rPr>
          <w:lang w:eastAsia="ja-JP"/>
        </w:rPr>
      </w:pPr>
      <w:r>
        <w:rPr>
          <w:lang w:eastAsia="ja-JP"/>
        </w:rPr>
        <w:t>4.</w:t>
      </w:r>
      <w:r>
        <w:rPr>
          <w:lang w:eastAsia="ja-JP"/>
        </w:rPr>
        <w:tab/>
      </w:r>
      <w:r w:rsidR="00623C20">
        <w:rPr>
          <w:lang w:eastAsia="ja-JP"/>
        </w:rPr>
        <w:t>Prepare</w:t>
      </w:r>
      <w:r>
        <w:rPr>
          <w:lang w:eastAsia="ja-JP"/>
        </w:rPr>
        <w:t xml:space="preserve"> draft report. </w:t>
      </w:r>
    </w:p>
    <w:p w14:paraId="1ADEEE4A" w14:textId="6D9A9F0C" w:rsidR="00711762" w:rsidRDefault="00711762" w:rsidP="00623C20">
      <w:pPr>
        <w:ind w:left="567" w:hanging="567"/>
        <w:rPr>
          <w:lang w:eastAsia="ja-JP"/>
        </w:rPr>
      </w:pPr>
      <w:r>
        <w:rPr>
          <w:lang w:eastAsia="ja-JP"/>
        </w:rPr>
        <w:t>5.</w:t>
      </w:r>
      <w:r>
        <w:rPr>
          <w:lang w:eastAsia="ja-JP"/>
        </w:rPr>
        <w:tab/>
      </w:r>
      <w:r w:rsidR="00623C20">
        <w:rPr>
          <w:lang w:eastAsia="ja-JP"/>
        </w:rPr>
        <w:t xml:space="preserve">Publish </w:t>
      </w:r>
      <w:r>
        <w:rPr>
          <w:lang w:eastAsia="ja-JP"/>
        </w:rPr>
        <w:t>draft report. Stakeholders are notified</w:t>
      </w:r>
      <w:r w:rsidR="00623C20">
        <w:rPr>
          <w:lang w:eastAsia="ja-JP"/>
        </w:rPr>
        <w:t xml:space="preserve"> and consulted</w:t>
      </w:r>
      <w:r>
        <w:rPr>
          <w:lang w:eastAsia="ja-JP"/>
        </w:rPr>
        <w:t>. Public consultation period is open for 60 calendar days</w:t>
      </w:r>
      <w:r w:rsidR="00623C20">
        <w:rPr>
          <w:lang w:eastAsia="ja-JP"/>
        </w:rPr>
        <w:t xml:space="preserve"> and all stakeholders are encouraged to comment</w:t>
      </w:r>
      <w:r>
        <w:rPr>
          <w:lang w:eastAsia="ja-JP"/>
        </w:rPr>
        <w:t>.</w:t>
      </w:r>
    </w:p>
    <w:p w14:paraId="75685FE7" w14:textId="41112CDB" w:rsidR="00711762" w:rsidRDefault="00711762" w:rsidP="00711762">
      <w:pPr>
        <w:rPr>
          <w:lang w:eastAsia="ja-JP"/>
        </w:rPr>
      </w:pPr>
      <w:r>
        <w:rPr>
          <w:lang w:eastAsia="ja-JP"/>
        </w:rPr>
        <w:t>6.</w:t>
      </w:r>
      <w:r>
        <w:rPr>
          <w:lang w:eastAsia="ja-JP"/>
        </w:rPr>
        <w:tab/>
      </w:r>
      <w:r w:rsidR="00623C20">
        <w:rPr>
          <w:lang w:eastAsia="ja-JP"/>
        </w:rPr>
        <w:t>Consider all</w:t>
      </w:r>
      <w:r>
        <w:rPr>
          <w:lang w:eastAsia="ja-JP"/>
        </w:rPr>
        <w:t xml:space="preserve"> comments</w:t>
      </w:r>
      <w:r w:rsidR="00623C20">
        <w:rPr>
          <w:lang w:eastAsia="ja-JP"/>
        </w:rPr>
        <w:t>.</w:t>
      </w:r>
    </w:p>
    <w:p w14:paraId="403404A6" w14:textId="110A70AC" w:rsidR="00711762" w:rsidRDefault="00711762" w:rsidP="00711762">
      <w:pPr>
        <w:rPr>
          <w:lang w:eastAsia="ja-JP"/>
        </w:rPr>
      </w:pPr>
      <w:r>
        <w:rPr>
          <w:lang w:eastAsia="ja-JP"/>
        </w:rPr>
        <w:t>7.</w:t>
      </w:r>
      <w:r>
        <w:rPr>
          <w:lang w:eastAsia="ja-JP"/>
        </w:rPr>
        <w:tab/>
      </w:r>
      <w:r w:rsidR="00623C20">
        <w:rPr>
          <w:lang w:eastAsia="ja-JP"/>
        </w:rPr>
        <w:t>Prepare</w:t>
      </w:r>
      <w:r>
        <w:rPr>
          <w:lang w:eastAsia="ja-JP"/>
        </w:rPr>
        <w:t xml:space="preserve"> provisional report.</w:t>
      </w:r>
    </w:p>
    <w:p w14:paraId="26A32527" w14:textId="2E1DDFF5" w:rsidR="00711762" w:rsidRDefault="00711762" w:rsidP="00711762">
      <w:pPr>
        <w:rPr>
          <w:lang w:eastAsia="ja-JP"/>
        </w:rPr>
      </w:pPr>
      <w:r>
        <w:rPr>
          <w:lang w:eastAsia="ja-JP"/>
        </w:rPr>
        <w:t>8.</w:t>
      </w:r>
      <w:r>
        <w:rPr>
          <w:lang w:eastAsia="ja-JP"/>
        </w:rPr>
        <w:tab/>
      </w:r>
      <w:r w:rsidR="00623C20">
        <w:rPr>
          <w:lang w:eastAsia="ja-JP"/>
        </w:rPr>
        <w:t>Publish</w:t>
      </w:r>
      <w:r>
        <w:rPr>
          <w:lang w:eastAsia="ja-JP"/>
        </w:rPr>
        <w:t xml:space="preserve"> provisional report. Stakeholders are notified.</w:t>
      </w:r>
    </w:p>
    <w:p w14:paraId="5BD522A2" w14:textId="77777777" w:rsidR="00711762" w:rsidRDefault="00711762" w:rsidP="00623C20">
      <w:pPr>
        <w:ind w:left="567" w:hanging="567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Stakeholders can request the Inspector General of Biosecurity (IGB) to review the BIRA process.</w:t>
      </w:r>
    </w:p>
    <w:p w14:paraId="1A9E760C" w14:textId="77777777" w:rsidR="00711762" w:rsidRDefault="00711762" w:rsidP="00711762">
      <w:pPr>
        <w:rPr>
          <w:lang w:eastAsia="ja-JP"/>
        </w:rPr>
      </w:pPr>
      <w:r>
        <w:rPr>
          <w:lang w:eastAsia="ja-JP"/>
        </w:rPr>
        <w:t>b.</w:t>
      </w:r>
      <w:r>
        <w:rPr>
          <w:lang w:eastAsia="ja-JP"/>
        </w:rPr>
        <w:tab/>
        <w:t xml:space="preserve">If the IGB accepts, they will notify and undertake a review of the BIRA process. </w:t>
      </w:r>
    </w:p>
    <w:p w14:paraId="4C2371FE" w14:textId="77777777" w:rsidR="00711762" w:rsidRDefault="00711762" w:rsidP="00623C20">
      <w:pPr>
        <w:ind w:left="567" w:hanging="567"/>
        <w:rPr>
          <w:lang w:eastAsia="ja-JP"/>
        </w:rPr>
      </w:pPr>
      <w:r>
        <w:rPr>
          <w:lang w:eastAsia="ja-JP"/>
        </w:rPr>
        <w:t>c.</w:t>
      </w:r>
      <w:r>
        <w:rPr>
          <w:lang w:eastAsia="ja-JP"/>
        </w:rPr>
        <w:tab/>
        <w:t xml:space="preserve">The IGB will produce a report and this will be considered in the preparation of the final report. </w:t>
      </w:r>
    </w:p>
    <w:p w14:paraId="06D8E9A1" w14:textId="08586DC7" w:rsidR="00711762" w:rsidRDefault="00711762" w:rsidP="00711762">
      <w:pPr>
        <w:rPr>
          <w:lang w:eastAsia="ja-JP"/>
        </w:rPr>
      </w:pPr>
      <w:r>
        <w:rPr>
          <w:lang w:eastAsia="ja-JP"/>
        </w:rPr>
        <w:t>9.</w:t>
      </w:r>
      <w:r>
        <w:rPr>
          <w:lang w:eastAsia="ja-JP"/>
        </w:rPr>
        <w:tab/>
      </w:r>
      <w:r w:rsidR="00623C20">
        <w:rPr>
          <w:lang w:eastAsia="ja-JP"/>
        </w:rPr>
        <w:t>Prepare</w:t>
      </w:r>
      <w:r>
        <w:rPr>
          <w:lang w:eastAsia="ja-JP"/>
        </w:rPr>
        <w:t xml:space="preserve"> final report.</w:t>
      </w:r>
    </w:p>
    <w:p w14:paraId="341485E0" w14:textId="77777777" w:rsidR="00623C20" w:rsidRDefault="00711762" w:rsidP="00623C20">
      <w:pPr>
        <w:rPr>
          <w:lang w:eastAsia="ja-JP"/>
        </w:rPr>
      </w:pPr>
      <w:r>
        <w:rPr>
          <w:lang w:eastAsia="ja-JP"/>
        </w:rPr>
        <w:t>10.</w:t>
      </w:r>
      <w:r>
        <w:rPr>
          <w:lang w:eastAsia="ja-JP"/>
        </w:rPr>
        <w:tab/>
      </w:r>
      <w:r w:rsidR="00623C20">
        <w:rPr>
          <w:lang w:eastAsia="ja-JP"/>
        </w:rPr>
        <w:t>Confirm exporting country can implement measures.</w:t>
      </w:r>
    </w:p>
    <w:p w14:paraId="1260AF41" w14:textId="48A0CC36" w:rsidR="00623C20" w:rsidRDefault="00623C20" w:rsidP="00623C20">
      <w:pPr>
        <w:rPr>
          <w:lang w:eastAsia="ja-JP"/>
        </w:rPr>
      </w:pPr>
      <w:r>
        <w:rPr>
          <w:lang w:eastAsia="ja-JP"/>
        </w:rPr>
        <w:t>11.</w:t>
      </w:r>
      <w:r>
        <w:rPr>
          <w:lang w:eastAsia="ja-JP"/>
        </w:rPr>
        <w:tab/>
        <w:t>Agree on government-to-government work plan (if required).</w:t>
      </w:r>
    </w:p>
    <w:p w14:paraId="22301207" w14:textId="29A66D6A" w:rsidR="00623C20" w:rsidRDefault="00623C20" w:rsidP="00623C20">
      <w:pPr>
        <w:ind w:left="567" w:hanging="567"/>
        <w:rPr>
          <w:lang w:eastAsia="ja-JP"/>
        </w:rPr>
      </w:pPr>
      <w:r>
        <w:rPr>
          <w:lang w:eastAsia="ja-JP"/>
        </w:rPr>
        <w:t>12.</w:t>
      </w:r>
      <w:r>
        <w:rPr>
          <w:lang w:eastAsia="ja-JP"/>
        </w:rPr>
        <w:tab/>
        <w:t xml:space="preserve">Develop import conditions and include the commodity as permitted goods under the </w:t>
      </w:r>
      <w:r w:rsidRPr="00327CF9">
        <w:rPr>
          <w:i/>
          <w:iCs/>
          <w:lang w:eastAsia="ja-JP"/>
        </w:rPr>
        <w:t>Biosecurity Act 2015</w:t>
      </w:r>
      <w:r>
        <w:rPr>
          <w:lang w:eastAsia="ja-JP"/>
        </w:rPr>
        <w:t xml:space="preserve">. </w:t>
      </w:r>
    </w:p>
    <w:p w14:paraId="29305FF9" w14:textId="38EF4896" w:rsidR="00623C20" w:rsidRDefault="00623C20" w:rsidP="00623C20">
      <w:pPr>
        <w:ind w:left="567" w:hanging="567"/>
        <w:rPr>
          <w:lang w:eastAsia="ja-JP"/>
        </w:rPr>
      </w:pPr>
      <w:r>
        <w:rPr>
          <w:lang w:eastAsia="ja-JP"/>
        </w:rPr>
        <w:t xml:space="preserve">13. </w:t>
      </w:r>
      <w:r>
        <w:rPr>
          <w:lang w:eastAsia="ja-JP"/>
        </w:rPr>
        <w:tab/>
        <w:t>Publish import conditions in the Biosecurity Import Conditions system (BICON). Stakeholders are notified.</w:t>
      </w:r>
    </w:p>
    <w:p w14:paraId="3FDEAD99" w14:textId="308870DB" w:rsidR="00623C20" w:rsidRDefault="00623C20" w:rsidP="00623C20">
      <w:pPr>
        <w:rPr>
          <w:lang w:eastAsia="ja-JP"/>
        </w:rPr>
      </w:pPr>
      <w:r>
        <w:rPr>
          <w:lang w:eastAsia="ja-JP"/>
        </w:rPr>
        <w:t>14.</w:t>
      </w:r>
      <w:r>
        <w:rPr>
          <w:lang w:eastAsia="ja-JP"/>
        </w:rPr>
        <w:tab/>
        <w:t>Submit and assess import permit application (where required).</w:t>
      </w:r>
    </w:p>
    <w:p w14:paraId="5CB68DC3" w14:textId="67794188" w:rsidR="00623C20" w:rsidRDefault="00623C20" w:rsidP="00623C20">
      <w:pPr>
        <w:rPr>
          <w:lang w:eastAsia="ja-JP"/>
        </w:rPr>
      </w:pPr>
      <w:r>
        <w:rPr>
          <w:lang w:eastAsia="ja-JP"/>
        </w:rPr>
        <w:t>15.</w:t>
      </w:r>
      <w:r>
        <w:rPr>
          <w:lang w:eastAsia="ja-JP"/>
        </w:rPr>
        <w:tab/>
        <w:t>Trade can commence.</w:t>
      </w:r>
    </w:p>
    <w:p w14:paraId="6269611B" w14:textId="3A20A801" w:rsidR="00623C20" w:rsidRDefault="00623C20" w:rsidP="00623C20">
      <w:pPr>
        <w:rPr>
          <w:lang w:eastAsia="ja-JP"/>
        </w:rPr>
      </w:pPr>
      <w:r>
        <w:rPr>
          <w:lang w:eastAsia="ja-JP"/>
        </w:rPr>
        <w:t>16.</w:t>
      </w:r>
      <w:r>
        <w:rPr>
          <w:lang w:eastAsia="ja-JP"/>
        </w:rPr>
        <w:tab/>
        <w:t xml:space="preserve">Monitor imports and manage non-compliance. </w:t>
      </w:r>
    </w:p>
    <w:p w14:paraId="03EB49F5" w14:textId="7FBF3EE4" w:rsidR="00711762" w:rsidRDefault="00711762" w:rsidP="00623C20">
      <w:pPr>
        <w:rPr>
          <w:lang w:eastAsia="ja-JP"/>
        </w:rPr>
      </w:pPr>
      <w:r>
        <w:rPr>
          <w:lang w:eastAsia="ja-JP"/>
        </w:rPr>
        <w:t xml:space="preserve">Note: </w:t>
      </w:r>
    </w:p>
    <w:p w14:paraId="7480FBB1" w14:textId="77777777" w:rsidR="00711762" w:rsidRDefault="00711762" w:rsidP="00711762">
      <w:pPr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 xml:space="preserve">If required, in-country visit/s is conducted between steps 2 and 10. </w:t>
      </w:r>
    </w:p>
    <w:p w14:paraId="13449E47" w14:textId="2F5D9625" w:rsidR="00711762" w:rsidRDefault="00711762" w:rsidP="00623C20">
      <w:pPr>
        <w:ind w:left="567" w:hanging="567"/>
        <w:rPr>
          <w:lang w:eastAsia="ja-JP"/>
        </w:rPr>
      </w:pPr>
      <w:r>
        <w:rPr>
          <w:lang w:eastAsia="ja-JP"/>
        </w:rPr>
        <w:lastRenderedPageBreak/>
        <w:t>•</w:t>
      </w:r>
      <w:r>
        <w:rPr>
          <w:lang w:eastAsia="ja-JP"/>
        </w:rPr>
        <w:tab/>
        <w:t>The BIRA process will take approximately 30 months</w:t>
      </w:r>
      <w:r w:rsidR="00623C20">
        <w:rPr>
          <w:lang w:eastAsia="ja-JP"/>
        </w:rPr>
        <w:t>, however, the timeframe may vary depending on the complexity of the assessment and implementation</w:t>
      </w:r>
      <w:r>
        <w:rPr>
          <w:lang w:eastAsia="ja-JP"/>
        </w:rPr>
        <w:t xml:space="preserve">. </w:t>
      </w:r>
    </w:p>
    <w:p w14:paraId="624F8AD3" w14:textId="4A78CFB3" w:rsidR="00905F94" w:rsidRDefault="00711762" w:rsidP="00623C20">
      <w:pPr>
        <w:ind w:left="567" w:hanging="567"/>
        <w:rPr>
          <w:lang w:eastAsia="ja-JP"/>
        </w:rPr>
      </w:pPr>
      <w:r>
        <w:rPr>
          <w:lang w:eastAsia="ja-JP"/>
        </w:rPr>
        <w:t>•</w:t>
      </w:r>
      <w:r>
        <w:rPr>
          <w:lang w:eastAsia="ja-JP"/>
        </w:rPr>
        <w:tab/>
        <w:t>A scientific advisory group is appointed and consulted as needed throughout the BIRA process.</w:t>
      </w:r>
    </w:p>
    <w:sectPr w:rsidR="00905F94" w:rsidSect="00EB55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8AD8" w14:textId="77777777" w:rsidR="006D6E8A" w:rsidRDefault="006D6E8A">
      <w:r>
        <w:separator/>
      </w:r>
    </w:p>
  </w:endnote>
  <w:endnote w:type="continuationSeparator" w:id="0">
    <w:p w14:paraId="624F8AD9" w14:textId="77777777" w:rsidR="006D6E8A" w:rsidRDefault="006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F8ADB" w14:textId="17F5CFA9" w:rsidR="00C6669A" w:rsidRDefault="000A7C1A" w:rsidP="00C6669A">
        <w:pPr>
          <w:pStyle w:val="Footer"/>
          <w:jc w:val="right"/>
        </w:pPr>
        <w:r>
          <w:t>Department of Agriculture</w:t>
        </w:r>
        <w:r w:rsidR="00711762">
          <w:t xml:space="preserve">, </w:t>
        </w:r>
        <w:r w:rsidR="00623C20">
          <w:t>Fisheries and Forestry</w:t>
        </w:r>
        <w:r w:rsidR="00C6669A">
          <w:tab/>
        </w:r>
        <w:r w:rsidR="00EB5521">
          <w:fldChar w:fldCharType="begin"/>
        </w:r>
        <w:r w:rsidR="00C6669A">
          <w:instrText xml:space="preserve"> PAGE   \* MERGEFORMAT </w:instrText>
        </w:r>
        <w:r w:rsidR="00EB5521">
          <w:fldChar w:fldCharType="separate"/>
        </w:r>
        <w:r w:rsidR="00387658">
          <w:rPr>
            <w:noProof/>
          </w:rPr>
          <w:t>1</w:t>
        </w:r>
        <w:r w:rsidR="00EB552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8AD6" w14:textId="77777777" w:rsidR="006D6E8A" w:rsidRDefault="006D6E8A">
      <w:r>
        <w:separator/>
      </w:r>
    </w:p>
  </w:footnote>
  <w:footnote w:type="continuationSeparator" w:id="0">
    <w:p w14:paraId="624F8AD7" w14:textId="77777777" w:rsidR="006D6E8A" w:rsidRDefault="006D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8ADA" w14:textId="05551E91" w:rsidR="00626E31" w:rsidRPr="00711762" w:rsidRDefault="00711762" w:rsidP="00711762">
    <w:pPr>
      <w:pStyle w:val="Header"/>
    </w:pPr>
    <w:r>
      <w:t>Infographic - Biosecurity Import Risk Analysis (BIRA)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4416242">
    <w:abstractNumId w:val="12"/>
  </w:num>
  <w:num w:numId="2" w16cid:durableId="571768643">
    <w:abstractNumId w:val="11"/>
  </w:num>
  <w:num w:numId="3" w16cid:durableId="138108373">
    <w:abstractNumId w:val="5"/>
  </w:num>
  <w:num w:numId="4" w16cid:durableId="1885210633">
    <w:abstractNumId w:val="6"/>
  </w:num>
  <w:num w:numId="5" w16cid:durableId="1766924047">
    <w:abstractNumId w:val="3"/>
  </w:num>
  <w:num w:numId="6" w16cid:durableId="536503573">
    <w:abstractNumId w:val="8"/>
  </w:num>
  <w:num w:numId="7" w16cid:durableId="793182828">
    <w:abstractNumId w:val="15"/>
  </w:num>
  <w:num w:numId="8" w16cid:durableId="634604995">
    <w:abstractNumId w:val="9"/>
  </w:num>
  <w:num w:numId="9" w16cid:durableId="2060589973">
    <w:abstractNumId w:val="13"/>
  </w:num>
  <w:num w:numId="10" w16cid:durableId="1629506940">
    <w:abstractNumId w:val="7"/>
  </w:num>
  <w:num w:numId="11" w16cid:durableId="461115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0038609">
    <w:abstractNumId w:val="10"/>
  </w:num>
  <w:num w:numId="13" w16cid:durableId="241650449">
    <w:abstractNumId w:val="14"/>
  </w:num>
  <w:num w:numId="14" w16cid:durableId="781732231">
    <w:abstractNumId w:val="2"/>
  </w:num>
  <w:num w:numId="15" w16cid:durableId="1427925794">
    <w:abstractNumId w:val="1"/>
  </w:num>
  <w:num w:numId="16" w16cid:durableId="635528076">
    <w:abstractNumId w:val="0"/>
  </w:num>
  <w:num w:numId="17" w16cid:durableId="165911335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F"/>
    <w:rsid w:val="000A7C1A"/>
    <w:rsid w:val="000C103C"/>
    <w:rsid w:val="00387658"/>
    <w:rsid w:val="00487B13"/>
    <w:rsid w:val="00596111"/>
    <w:rsid w:val="005F0A16"/>
    <w:rsid w:val="00612229"/>
    <w:rsid w:val="00623C20"/>
    <w:rsid w:val="00626E31"/>
    <w:rsid w:val="006D6E8A"/>
    <w:rsid w:val="00711762"/>
    <w:rsid w:val="008D0708"/>
    <w:rsid w:val="00905F94"/>
    <w:rsid w:val="00955916"/>
    <w:rsid w:val="00AA4B88"/>
    <w:rsid w:val="00B230FF"/>
    <w:rsid w:val="00B57188"/>
    <w:rsid w:val="00B75616"/>
    <w:rsid w:val="00C6669A"/>
    <w:rsid w:val="00DE402A"/>
    <w:rsid w:val="00E3214D"/>
    <w:rsid w:val="00EB5521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624F8AD3"/>
  <w15:docId w15:val="{DB8637BC-E256-4CF7-975A-58889BED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21"/>
    <w:pPr>
      <w:spacing w:before="120"/>
    </w:pPr>
    <w:rPr>
      <w:rFonts w:eastAsia="Calibr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EB5521"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rsid w:val="00EB5521"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B5521"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6D6E8A"/>
    <w:pPr>
      <w:spacing w:before="120"/>
      <w:outlineLvl w:val="3"/>
    </w:pPr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paragraph" w:styleId="Heading5">
    <w:name w:val="heading 5"/>
    <w:next w:val="Normal"/>
    <w:link w:val="Heading5Char"/>
    <w:uiPriority w:val="9"/>
    <w:unhideWhenUsed/>
    <w:rsid w:val="006D6E8A"/>
    <w:pPr>
      <w:keepNext/>
      <w:keepLines/>
      <w:spacing w:before="200"/>
      <w:outlineLvl w:val="4"/>
    </w:pPr>
    <w:rPr>
      <w:rFonts w:eastAsiaTheme="majorEastAsia" w:cstheme="majorBidi"/>
      <w:b/>
      <w:i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rsid w:val="00EB552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552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EB5521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B5521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6D6E8A"/>
    <w:rPr>
      <w:rFonts w:asciiTheme="minorHAnsi" w:eastAsiaTheme="minorEastAsia" w:hAnsiTheme="minorHAnsi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D6E8A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EB5521"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EB5521"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EB5521"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rsid w:val="00EB5521"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rsid w:val="00EB5521"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rsid w:val="00EB5521"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rsid w:val="00EB5521"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rsid w:val="00EB5521"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rsid w:val="00EB5521"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rsid w:val="00EB5521"/>
    <w:pPr>
      <w:tabs>
        <w:tab w:val="center" w:pos="4820"/>
      </w:tabs>
      <w:jc w:val="center"/>
    </w:pPr>
    <w:rPr>
      <w:rFonts w:ascii="Calibri" w:eastAsia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sid w:val="00EB5521"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sid w:val="00EB5521"/>
    <w:rPr>
      <w:b/>
      <w:bCs/>
    </w:rPr>
  </w:style>
  <w:style w:type="character" w:styleId="Emphasis">
    <w:name w:val="Emphasis"/>
    <w:basedOn w:val="DefaultParagraphFont"/>
    <w:uiPriority w:val="99"/>
    <w:qFormat/>
    <w:rsid w:val="00EB5521"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rsid w:val="00EB5521"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sid w:val="00EB5521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rsid w:val="00EB5521"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rsid w:val="00EB5521"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EB5521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EB5521"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rsid w:val="00EB5521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rsid w:val="00EB5521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rsid w:val="00EB5521"/>
    <w:pPr>
      <w:keepNext/>
    </w:pPr>
    <w:rPr>
      <w:b/>
    </w:rPr>
  </w:style>
  <w:style w:type="numbering" w:customStyle="1" w:styleId="Headings">
    <w:name w:val="Headings"/>
    <w:uiPriority w:val="99"/>
    <w:rsid w:val="00EB5521"/>
    <w:pPr>
      <w:numPr>
        <w:numId w:val="9"/>
      </w:numPr>
    </w:pPr>
  </w:style>
  <w:style w:type="paragraph" w:customStyle="1" w:styleId="BoxTextBullet">
    <w:name w:val="Box Text Bullet"/>
    <w:basedOn w:val="BoxText"/>
    <w:uiPriority w:val="21"/>
    <w:qFormat/>
    <w:rsid w:val="00EB5521"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rsid w:val="00EB5521"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sid w:val="00EB5521"/>
    <w:rPr>
      <w:b/>
    </w:rPr>
  </w:style>
  <w:style w:type="paragraph" w:customStyle="1" w:styleId="Securityclassification">
    <w:name w:val="Security classification"/>
    <w:basedOn w:val="Normal"/>
    <w:uiPriority w:val="26"/>
    <w:qFormat/>
    <w:rsid w:val="00EB5521"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EB5521"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rsid w:val="00EB5521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rsid w:val="00EB552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rsid w:val="00EB5521"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21"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EB5521"/>
  </w:style>
  <w:style w:type="numbering" w:customStyle="1" w:styleId="Appendix">
    <w:name w:val="Appendix"/>
    <w:uiPriority w:val="99"/>
    <w:rsid w:val="00EB5521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5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21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521"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5521"/>
    <w:rPr>
      <w:color w:val="800080" w:themeColor="followedHyperlink"/>
      <w:u w:val="single"/>
    </w:rPr>
  </w:style>
  <w:style w:type="numbering" w:customStyle="1" w:styleId="ListBullets">
    <w:name w:val="ListBullets"/>
    <w:uiPriority w:val="99"/>
    <w:rsid w:val="00EB5521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rsid w:val="00EB5521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EB5521"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rsid w:val="00EB5521"/>
    <w:pPr>
      <w:numPr>
        <w:numId w:val="7"/>
      </w:numPr>
    </w:pPr>
  </w:style>
  <w:style w:type="paragraph" w:customStyle="1" w:styleId="Picture">
    <w:name w:val="Picture"/>
    <w:qFormat/>
    <w:rsid w:val="00EB5521"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rsid w:val="00EB5521"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sid w:val="00EB552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EB5521"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EB5521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rsid w:val="00EB5521"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rsid w:val="00EB5521"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rsid w:val="00EB5521"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styleId="Revision">
    <w:name w:val="Revision"/>
    <w:hidden/>
    <w:uiPriority w:val="99"/>
    <w:semiHidden/>
    <w:rsid w:val="00EB5521"/>
    <w:rPr>
      <w:rFonts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 xsi:nil="true"/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5ABE-16D0-4809-8D37-386F325C8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C2663-4D88-40E8-A678-F76FE90CDC6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425a5c30-4c2f-474f-aa2f-443e46b3d189"/>
    <ds:schemaRef ds:uri="ac7ce04e-ea5d-4d46-bab0-39b1fa6a6f36"/>
  </ds:schemaRefs>
</ds:datastoreItem>
</file>

<file path=customXml/itemProps3.xml><?xml version="1.0" encoding="utf-8"?>
<ds:datastoreItem xmlns:ds="http://schemas.openxmlformats.org/officeDocument/2006/customXml" ds:itemID="{B2A0B0A1-B588-43A6-95C6-EDA54CEB7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9F7EC-8434-4C6F-9962-916DA47A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425a5c30-4c2f-474f-aa2f-443e46b3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Infographic - Biosecurity Import Risk Analysis (BIRA)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Infographic - Biosecurity Import Risk Analysis (BIRA)</dc:title>
  <dc:creator>Department of Agriculture, Water and the Environment</dc:creator>
  <cp:lastModifiedBy>Holt, Juliana</cp:lastModifiedBy>
  <cp:revision>4</cp:revision>
  <cp:lastPrinted>2015-08-14T05:36:00Z</cp:lastPrinted>
  <dcterms:created xsi:type="dcterms:W3CDTF">2023-02-21T01:05:00Z</dcterms:created>
  <dcterms:modified xsi:type="dcterms:W3CDTF">2023-04-25T23:59:00Z</dcterms:modified>
  <cp:contentStatus>Updated August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Display as">
    <vt:lpwstr>;#Template;#</vt:lpwstr>
  </property>
</Properties>
</file>