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659F" w14:textId="77777777" w:rsidR="00140FB6" w:rsidRDefault="00A32802" w:rsidP="00071733">
      <w:pPr>
        <w:tabs>
          <w:tab w:val="left" w:pos="6135"/>
        </w:tabs>
        <w:spacing w:before="1200"/>
        <w:rPr>
          <w:rFonts w:ascii="Calibri" w:hAnsi="Calibri"/>
          <w:b/>
          <w:bCs/>
          <w:spacing w:val="5"/>
          <w:kern w:val="28"/>
          <w:sz w:val="40"/>
          <w:szCs w:val="28"/>
        </w:rPr>
      </w:pPr>
      <w:bookmarkStart w:id="0" w:name="_Hlk208321208"/>
      <w:bookmarkEnd w:id="0"/>
      <w:r w:rsidRPr="00A32802">
        <w:rPr>
          <w:rFonts w:ascii="Calibri" w:hAnsi="Calibri"/>
          <w:b/>
          <w:bCs/>
          <w:spacing w:val="5"/>
          <w:kern w:val="28"/>
          <w:sz w:val="40"/>
          <w:szCs w:val="28"/>
        </w:rPr>
        <w:t>How the National Biosecurity RD&amp;E Strategies Work Together: A Guide for Researchers &amp;</w:t>
      </w:r>
      <w:r>
        <w:rPr>
          <w:rFonts w:ascii="Calibri" w:hAnsi="Calibri"/>
          <w:b/>
          <w:bCs/>
          <w:spacing w:val="5"/>
          <w:kern w:val="28"/>
          <w:sz w:val="40"/>
          <w:szCs w:val="28"/>
        </w:rPr>
        <w:t xml:space="preserve"> Funders</w:t>
      </w:r>
    </w:p>
    <w:p w14:paraId="543B18AE" w14:textId="78148017" w:rsidR="00A32802" w:rsidRDefault="00A32802" w:rsidP="00140FB6">
      <w:pPr>
        <w:tabs>
          <w:tab w:val="left" w:pos="6135"/>
        </w:tabs>
        <w:spacing w:before="120"/>
      </w:pPr>
      <w:r>
        <w:t>This document brings together Australia’s</w:t>
      </w:r>
      <w:r w:rsidR="00834045">
        <w:t xml:space="preserve"> four </w:t>
      </w:r>
      <w:r>
        <w:t>national biosecurity research, development and extension (RD&amp;E) strategies to help researchers focus on key priorities and funders to invest strategically.</w:t>
      </w:r>
    </w:p>
    <w:p w14:paraId="2219C1EA" w14:textId="48D4295E" w:rsidR="00A32802" w:rsidRDefault="00A32802" w:rsidP="00A32802">
      <w:r>
        <w:t>The strategies highlight national priority areas for investment in RD&amp;E to help manage biosecurity risks and challenges.</w:t>
      </w:r>
    </w:p>
    <w:p w14:paraId="7385638E" w14:textId="3823FA54" w:rsidR="00E92B8B" w:rsidRPr="00D54420" w:rsidRDefault="00071733" w:rsidP="00D54420">
      <w:r w:rsidRPr="00D54420">
        <w:t>You can use this advice to:</w:t>
      </w:r>
    </w:p>
    <w:p w14:paraId="5F49362B" w14:textId="138760D3" w:rsidR="00E92B8B" w:rsidRPr="00071733" w:rsidRDefault="00071733" w:rsidP="00D54420">
      <w:pPr>
        <w:pStyle w:val="ListBullet"/>
      </w:pPr>
      <w:r>
        <w:t>u</w:t>
      </w:r>
      <w:r w:rsidR="00E92B8B" w:rsidRPr="00071733">
        <w:t>nderstand how the national RD&amp;E strategies work together</w:t>
      </w:r>
    </w:p>
    <w:p w14:paraId="27CF47DE" w14:textId="76A9A8A6" w:rsidR="00011E37" w:rsidRDefault="00011E37" w:rsidP="00071733">
      <w:pPr>
        <w:pStyle w:val="ListBullet"/>
      </w:pPr>
      <w:r>
        <w:t>s</w:t>
      </w:r>
      <w:r w:rsidR="00E92B8B" w:rsidRPr="00071733">
        <w:t>how how your project contributes to the strategies and priority areas</w:t>
      </w:r>
      <w:r>
        <w:t xml:space="preserve"> (researchers)</w:t>
      </w:r>
    </w:p>
    <w:p w14:paraId="16B00BEE" w14:textId="57F5BC4A" w:rsidR="00E92B8B" w:rsidRDefault="00011E37" w:rsidP="00071733">
      <w:pPr>
        <w:pStyle w:val="ListBullet"/>
      </w:pPr>
      <w:r>
        <w:t>w</w:t>
      </w:r>
      <w:r w:rsidR="00E92B8B" w:rsidRPr="00071733">
        <w:t>ork with partners to align projects to national priorities</w:t>
      </w:r>
      <w:r>
        <w:t xml:space="preserve"> (researchers)</w:t>
      </w:r>
    </w:p>
    <w:p w14:paraId="2B9D3E85" w14:textId="2EEB112B" w:rsidR="00E92B8B" w:rsidRPr="00071733" w:rsidRDefault="00011E37" w:rsidP="00D54420">
      <w:pPr>
        <w:pStyle w:val="ListBullet"/>
      </w:pPr>
      <w:r>
        <w:t>a</w:t>
      </w:r>
      <w:r w:rsidR="00E92B8B" w:rsidRPr="00071733">
        <w:t xml:space="preserve">lign your program to the priorities and strategies </w:t>
      </w:r>
      <w:r w:rsidR="00071733">
        <w:t>(</w:t>
      </w:r>
      <w:r w:rsidR="00E92B8B" w:rsidRPr="00071733">
        <w:t>e.g. include priorities in your grant criteria</w:t>
      </w:r>
      <w:r w:rsidR="00071733">
        <w:t>)</w:t>
      </w:r>
      <w:r>
        <w:t xml:space="preserve"> (</w:t>
      </w:r>
      <w:r w:rsidRPr="00071733">
        <w:t>funding bod</w:t>
      </w:r>
      <w:r>
        <w:t>ies,</w:t>
      </w:r>
      <w:r w:rsidRPr="00071733">
        <w:t xml:space="preserve"> program</w:t>
      </w:r>
      <w:r>
        <w:t xml:space="preserve"> design)</w:t>
      </w:r>
      <w:r w:rsidR="00E92B8B" w:rsidRPr="00071733">
        <w:t>.</w:t>
      </w:r>
    </w:p>
    <w:p w14:paraId="59276A71" w14:textId="1E405F77" w:rsidR="00A32802" w:rsidRDefault="00A32802" w:rsidP="00330530">
      <w:pPr>
        <w:pStyle w:val="Heading2"/>
        <w:spacing w:before="240"/>
      </w:pPr>
      <w:r w:rsidRPr="00A32802">
        <w:t>National Biosecurity RD&amp;E Strategies</w:t>
      </w:r>
    </w:p>
    <w:p w14:paraId="644DA67C" w14:textId="18A0345C" w:rsidR="00A32802" w:rsidRPr="00A32802" w:rsidRDefault="00071733" w:rsidP="00A32802">
      <w:pPr>
        <w:pStyle w:val="ListBullet"/>
      </w:pPr>
      <w:hyperlink r:id="rId11" w:history="1">
        <w:r>
          <w:rPr>
            <w:rStyle w:val="Hyperlink"/>
          </w:rPr>
          <w:t>Animal Biosecurity RD&amp;E Strategy (NABRDES) 2023–2028</w:t>
        </w:r>
      </w:hyperlink>
    </w:p>
    <w:bookmarkStart w:id="1" w:name="_Hlk209613785"/>
    <w:p w14:paraId="11F8BC37" w14:textId="0AFE70E5" w:rsidR="00A32802" w:rsidRPr="00A32802" w:rsidRDefault="00A32802" w:rsidP="00A32802">
      <w:pPr>
        <w:pStyle w:val="ListBullet"/>
      </w:pPr>
      <w:r>
        <w:fldChar w:fldCharType="begin"/>
      </w:r>
      <w:r w:rsidR="00071733">
        <w:instrText>HYPERLINK "https://www.agriculture.gov.au/biosecurity-trade/policy/partnerships/nbc/research-development-extension-strategy"</w:instrText>
      </w:r>
      <w:r>
        <w:fldChar w:fldCharType="separate"/>
      </w:r>
      <w:r w:rsidR="00071733">
        <w:rPr>
          <w:rStyle w:val="Hyperlink"/>
        </w:rPr>
        <w:t>Environmental and Community Biosecurity RD&amp;E Strategy 2021–2026</w:t>
      </w:r>
      <w:r>
        <w:fldChar w:fldCharType="end"/>
      </w:r>
    </w:p>
    <w:bookmarkEnd w:id="1"/>
    <w:p w14:paraId="0E59434E" w14:textId="5291B557" w:rsidR="00A32802" w:rsidRPr="00A32802" w:rsidRDefault="00A32802" w:rsidP="00A32802">
      <w:pPr>
        <w:pStyle w:val="ListBullet"/>
      </w:pPr>
      <w:r>
        <w:fldChar w:fldCharType="begin"/>
      </w:r>
      <w:r w:rsidR="00071733">
        <w:instrText>HYPERLINK "https://www.marinepests.gov.au/what-we-do/research/national-priorities"</w:instrText>
      </w:r>
      <w:r>
        <w:fldChar w:fldCharType="separate"/>
      </w:r>
      <w:r w:rsidR="00071733">
        <w:rPr>
          <w:rStyle w:val="Hyperlink"/>
        </w:rPr>
        <w:t>Marine Pest Research and Development Priorities 2013–2023</w:t>
      </w:r>
      <w:r>
        <w:fldChar w:fldCharType="end"/>
      </w:r>
    </w:p>
    <w:bookmarkStart w:id="2" w:name="_Hlk209613514"/>
    <w:p w14:paraId="1177B917" w14:textId="1611904E" w:rsidR="00A32802" w:rsidRDefault="00A32802" w:rsidP="00A32802">
      <w:pPr>
        <w:pStyle w:val="ListBullet"/>
        <w:rPr>
          <w:b/>
          <w:bCs/>
        </w:rPr>
      </w:pPr>
      <w:r>
        <w:fldChar w:fldCharType="begin"/>
      </w:r>
      <w:r w:rsidR="00071733">
        <w:instrText>HYPERLINK "https://www.pbri.com.au/wp-content/uploads/2024/11/PBRI-Strategy-2023-2028-LR.pdf"</w:instrText>
      </w:r>
      <w:r>
        <w:fldChar w:fldCharType="separate"/>
      </w:r>
      <w:r w:rsidR="00071733">
        <w:rPr>
          <w:rStyle w:val="Hyperlink"/>
        </w:rPr>
        <w:t>Plant Biosecurity Research Initiative (PBRI) Strategy 2023–2028</w:t>
      </w:r>
      <w:r>
        <w:fldChar w:fldCharType="end"/>
      </w:r>
      <w:bookmarkEnd w:id="2"/>
    </w:p>
    <w:p w14:paraId="512C554A" w14:textId="48AF91B3" w:rsidR="006C2C37" w:rsidRDefault="00A32802" w:rsidP="00B728E5">
      <w:pPr>
        <w:spacing w:before="240"/>
      </w:pPr>
      <w:r w:rsidRPr="00A32802">
        <w:t xml:space="preserve">These strategies </w:t>
      </w:r>
      <w:r w:rsidR="00071733" w:rsidRPr="00A32802">
        <w:t xml:space="preserve">align with the </w:t>
      </w:r>
      <w:bookmarkStart w:id="3" w:name="_Hlk210032954"/>
      <w:r w:rsidR="006E324A" w:rsidRPr="0056689E">
        <w:rPr>
          <w:rStyle w:val="Hyperlink"/>
        </w:rPr>
        <w:fldChar w:fldCharType="begin"/>
      </w:r>
      <w:r w:rsidR="006E324A" w:rsidRPr="0056689E">
        <w:rPr>
          <w:rStyle w:val="Hyperlink"/>
        </w:rPr>
        <w:instrText>HYPERLINK "https://www.biosecurity.gov.au/about/national-biosecurity-committee/nbs"</w:instrText>
      </w:r>
      <w:r w:rsidR="006E324A" w:rsidRPr="0056689E">
        <w:rPr>
          <w:rStyle w:val="Hyperlink"/>
        </w:rPr>
      </w:r>
      <w:r w:rsidR="006E324A" w:rsidRPr="0056689E">
        <w:rPr>
          <w:rStyle w:val="Hyperlink"/>
        </w:rPr>
        <w:fldChar w:fldCharType="separate"/>
      </w:r>
      <w:r w:rsidR="00071733" w:rsidRPr="0056689E">
        <w:rPr>
          <w:rStyle w:val="Hyperlink"/>
        </w:rPr>
        <w:t>National Biosecurity Strategy 2022</w:t>
      </w:r>
      <w:r w:rsidR="00451C1E" w:rsidRPr="0056689E">
        <w:rPr>
          <w:rStyle w:val="Hyperlink"/>
        </w:rPr>
        <w:t>–</w:t>
      </w:r>
      <w:r w:rsidR="00071733" w:rsidRPr="0056689E">
        <w:rPr>
          <w:rStyle w:val="Hyperlink"/>
        </w:rPr>
        <w:t>2032</w:t>
      </w:r>
      <w:r w:rsidR="006E324A" w:rsidRPr="0056689E">
        <w:rPr>
          <w:rStyle w:val="Hyperlink"/>
        </w:rPr>
        <w:fldChar w:fldCharType="end"/>
      </w:r>
      <w:r w:rsidR="00071733">
        <w:t xml:space="preserve"> </w:t>
      </w:r>
      <w:bookmarkEnd w:id="3"/>
      <w:r w:rsidR="00071733">
        <w:t xml:space="preserve">and </w:t>
      </w:r>
      <w:r w:rsidRPr="00A32802">
        <w:t>were shaped through input from industry, NGOs, governments and community groups.</w:t>
      </w:r>
    </w:p>
    <w:p w14:paraId="5B2AB57A" w14:textId="2A2EE074" w:rsidR="00AA6D06" w:rsidRDefault="00AA6D06" w:rsidP="00A32802">
      <w:r>
        <w:t>E</w:t>
      </w:r>
      <w:r w:rsidRPr="00AA6D06">
        <w:t xml:space="preserve">ach of the biosecurity </w:t>
      </w:r>
      <w:r>
        <w:t>RD&amp;E</w:t>
      </w:r>
      <w:r w:rsidRPr="00AA6D06">
        <w:t xml:space="preserve"> strategies</w:t>
      </w:r>
      <w:r>
        <w:t xml:space="preserve"> are aligned</w:t>
      </w:r>
      <w:r w:rsidRPr="00AA6D06">
        <w:t xml:space="preserve"> to the </w:t>
      </w:r>
      <w:r w:rsidR="00071733">
        <w:t>s</w:t>
      </w:r>
      <w:r w:rsidRPr="00AA6D06">
        <w:t>trategy</w:t>
      </w:r>
      <w:r>
        <w:t xml:space="preserve"> through shared priority areas</w:t>
      </w:r>
      <w:r w:rsidRPr="00AA6D06">
        <w:t xml:space="preserve">. </w:t>
      </w:r>
      <w:r w:rsidR="00F950B0">
        <w:fldChar w:fldCharType="begin"/>
      </w:r>
      <w:r w:rsidR="00F950B0">
        <w:instrText xml:space="preserve"> REF _Ref209620640 \h </w:instrText>
      </w:r>
      <w:r w:rsidR="00F950B0">
        <w:fldChar w:fldCharType="separate"/>
      </w:r>
      <w:r w:rsidR="00F950B0">
        <w:t>Figure</w:t>
      </w:r>
      <w:r w:rsidR="0056689E">
        <w:t> </w:t>
      </w:r>
      <w:r w:rsidR="00F950B0">
        <w:rPr>
          <w:noProof/>
        </w:rPr>
        <w:t>1</w:t>
      </w:r>
      <w:r w:rsidR="00F950B0">
        <w:fldChar w:fldCharType="end"/>
      </w:r>
      <w:r>
        <w:t xml:space="preserve"> demonstrates where this alignment occurs across</w:t>
      </w:r>
      <w:r w:rsidRPr="00AA6D06">
        <w:t xml:space="preserve"> the RD&amp;E </w:t>
      </w:r>
      <w:r w:rsidR="00E92B8B" w:rsidRPr="00AA6D06">
        <w:t>strategies</w:t>
      </w:r>
      <w:r w:rsidR="00330530">
        <w:t xml:space="preserve"> and </w:t>
      </w:r>
      <w:r w:rsidR="00330530" w:rsidRPr="00330530">
        <w:t xml:space="preserve">shows </w:t>
      </w:r>
      <w:r w:rsidR="00071733">
        <w:t>the</w:t>
      </w:r>
      <w:r w:rsidR="00330530" w:rsidRPr="00330530">
        <w:t xml:space="preserve"> </w:t>
      </w:r>
      <w:r w:rsidR="00CF2051">
        <w:t>five</w:t>
      </w:r>
      <w:r w:rsidR="00330530" w:rsidRPr="00330530">
        <w:t xml:space="preserve"> broad priority areas that all the strategies focus on.</w:t>
      </w:r>
    </w:p>
    <w:p w14:paraId="44FA734B" w14:textId="3E3AC212" w:rsidR="006C2C37" w:rsidRDefault="00A32802" w:rsidP="00E92B8B">
      <w:pPr>
        <w:pStyle w:val="Caption"/>
      </w:pPr>
      <w:bookmarkStart w:id="4" w:name="_Ref209620640"/>
      <w:r>
        <w:lastRenderedPageBreak/>
        <w:t xml:space="preserve">Figure </w:t>
      </w:r>
      <w:r>
        <w:fldChar w:fldCharType="begin"/>
      </w:r>
      <w:r>
        <w:instrText xml:space="preserve"> SEQ Figure \* ARABIC </w:instrText>
      </w:r>
      <w:r>
        <w:fldChar w:fldCharType="separate"/>
      </w:r>
      <w:r>
        <w:rPr>
          <w:noProof/>
        </w:rPr>
        <w:t>1</w:t>
      </w:r>
      <w:r>
        <w:fldChar w:fldCharType="end"/>
      </w:r>
      <w:bookmarkEnd w:id="4"/>
      <w:r>
        <w:t xml:space="preserve"> </w:t>
      </w:r>
      <w:r w:rsidR="008A3027">
        <w:t>Alignment of b</w:t>
      </w:r>
      <w:r w:rsidR="00B94EEA" w:rsidRPr="006E2819">
        <w:t>iosecurity strategies</w:t>
      </w:r>
      <w:r w:rsidR="008A3027">
        <w:t xml:space="preserve"> and</w:t>
      </w:r>
      <w:r w:rsidR="00B94EEA" w:rsidRPr="006E2819" w:rsidDel="00B94EEA">
        <w:t xml:space="preserve"> </w:t>
      </w:r>
      <w:r w:rsidR="00B94EEA">
        <w:t>p</w:t>
      </w:r>
      <w:r w:rsidRPr="006E2819">
        <w:t>riorit</w:t>
      </w:r>
      <w:r w:rsidR="008A3027">
        <w:t>ies</w:t>
      </w:r>
    </w:p>
    <w:p w14:paraId="355277B2" w14:textId="789590EB" w:rsidR="00E92B8B" w:rsidRDefault="00E92B8B" w:rsidP="00E92B8B">
      <w:pPr>
        <w:pStyle w:val="FigureTableNoteSource"/>
      </w:pPr>
      <w:r>
        <w:rPr>
          <w:b/>
          <w:bCs/>
          <w:noProof/>
        </w:rPr>
        <w:drawing>
          <wp:inline distT="0" distB="0" distL="0" distR="0" wp14:anchorId="2F197E00" wp14:editId="42809C2F">
            <wp:extent cx="3623945" cy="3657600"/>
            <wp:effectExtent l="0" t="0" r="0" b="0"/>
            <wp:docPr id="1530383277" name="Picture 1" descr="The figure is a visual representation of how the national R&amp;D strategies have shared priorities and how these priorities align with the national biosecurity strategy. This shows that there are five broad priority areas that all of the strategies focu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83277" name="Picture 1" descr="The figure is a visual representation of how the national R&amp;D strategies have shared priorities and how these priorities align with the national biosecurity strategy. This shows that there are five broad priority areas that all of the strategies focus on. "/>
                    <pic:cNvPicPr/>
                  </pic:nvPicPr>
                  <pic:blipFill>
                    <a:blip r:embed="rId12">
                      <a:extLst>
                        <a:ext uri="{28A0092B-C50C-407E-A947-70E740481C1C}">
                          <a14:useLocalDpi xmlns:a14="http://schemas.microsoft.com/office/drawing/2010/main" val="0"/>
                        </a:ext>
                      </a:extLst>
                    </a:blip>
                    <a:stretch>
                      <a:fillRect/>
                    </a:stretch>
                  </pic:blipFill>
                  <pic:spPr>
                    <a:xfrm>
                      <a:off x="0" y="0"/>
                      <a:ext cx="3623945" cy="3657600"/>
                    </a:xfrm>
                    <a:prstGeom prst="rect">
                      <a:avLst/>
                    </a:prstGeom>
                  </pic:spPr>
                </pic:pic>
              </a:graphicData>
            </a:graphic>
          </wp:inline>
        </w:drawing>
      </w:r>
    </w:p>
    <w:p w14:paraId="291F4BB9" w14:textId="6808839E" w:rsidR="00E92B8B" w:rsidRPr="00E92B8B" w:rsidRDefault="00E92B8B" w:rsidP="00D54420">
      <w:pPr>
        <w:pStyle w:val="FigureTableNoteSource"/>
        <w:spacing w:before="240"/>
      </w:pPr>
      <w:r>
        <w:t>Note: The marine strategy is under review</w:t>
      </w:r>
    </w:p>
    <w:p w14:paraId="7CEDC23E" w14:textId="57D2BF10" w:rsidR="00E92B8B" w:rsidRPr="00E92B8B" w:rsidRDefault="00CC003A" w:rsidP="00E92B8B">
      <w:pPr>
        <w:spacing w:before="240"/>
      </w:pPr>
      <w:r>
        <w:t>The</w:t>
      </w:r>
      <w:r w:rsidR="00E92B8B" w:rsidRPr="00E92B8B">
        <w:t xml:space="preserve"> </w:t>
      </w:r>
      <w:r w:rsidR="0056689E">
        <w:t xml:space="preserve">5 </w:t>
      </w:r>
      <w:r w:rsidR="00E92B8B" w:rsidRPr="00E92B8B">
        <w:t>priority areas</w:t>
      </w:r>
      <w:r>
        <w:t xml:space="preserve"> are</w:t>
      </w:r>
      <w:r w:rsidR="00E92B8B" w:rsidRPr="00E92B8B">
        <w:t>:</w:t>
      </w:r>
    </w:p>
    <w:p w14:paraId="4841CF4A" w14:textId="410FBD8B" w:rsidR="00E92B8B" w:rsidRPr="00E92B8B" w:rsidRDefault="00E92B8B" w:rsidP="00D54420">
      <w:pPr>
        <w:pStyle w:val="ListNumber"/>
      </w:pPr>
      <w:r w:rsidRPr="00E92B8B">
        <w:rPr>
          <w:b/>
          <w:bCs/>
        </w:rPr>
        <w:t xml:space="preserve">Risk Assessment </w:t>
      </w:r>
      <w:r w:rsidR="007D276A">
        <w:rPr>
          <w:b/>
          <w:bCs/>
        </w:rPr>
        <w:t>and</w:t>
      </w:r>
      <w:r w:rsidRPr="00E92B8B">
        <w:rPr>
          <w:b/>
          <w:bCs/>
        </w:rPr>
        <w:t xml:space="preserve"> Preparedness</w:t>
      </w:r>
      <w:r w:rsidRPr="00E92B8B">
        <w:t xml:space="preserve"> – Early warnings, decision tools</w:t>
      </w:r>
    </w:p>
    <w:p w14:paraId="1FBA3302" w14:textId="77777777" w:rsidR="00E92B8B" w:rsidRPr="00E92B8B" w:rsidRDefault="00E92B8B" w:rsidP="00D54420">
      <w:pPr>
        <w:pStyle w:val="ListNumber"/>
      </w:pPr>
      <w:r w:rsidRPr="00E92B8B">
        <w:rPr>
          <w:b/>
          <w:bCs/>
        </w:rPr>
        <w:t>Surveillance, Diagnostics, Detection</w:t>
      </w:r>
      <w:r w:rsidRPr="00E92B8B">
        <w:t xml:space="preserve"> – Finding, diagnosing, and tracking pests/diseases</w:t>
      </w:r>
    </w:p>
    <w:p w14:paraId="4543A77F" w14:textId="0C36EA88" w:rsidR="00E92B8B" w:rsidRPr="00E92B8B" w:rsidRDefault="00E92B8B" w:rsidP="00D54420">
      <w:pPr>
        <w:pStyle w:val="ListNumber"/>
      </w:pPr>
      <w:r w:rsidRPr="00E92B8B">
        <w:rPr>
          <w:b/>
          <w:bCs/>
        </w:rPr>
        <w:t xml:space="preserve">Management </w:t>
      </w:r>
      <w:r w:rsidR="00535DC6">
        <w:rPr>
          <w:b/>
          <w:bCs/>
        </w:rPr>
        <w:t xml:space="preserve">and </w:t>
      </w:r>
      <w:r w:rsidRPr="00E92B8B">
        <w:rPr>
          <w:b/>
          <w:bCs/>
        </w:rPr>
        <w:t>Response</w:t>
      </w:r>
      <w:r w:rsidRPr="00E92B8B">
        <w:t xml:space="preserve"> – Controlling and recovering from outbreaks</w:t>
      </w:r>
    </w:p>
    <w:p w14:paraId="4F7D8FD3" w14:textId="4582E9DE" w:rsidR="00E92B8B" w:rsidRPr="00E92B8B" w:rsidRDefault="00E92B8B" w:rsidP="00D54420">
      <w:pPr>
        <w:pStyle w:val="ListNumber"/>
      </w:pPr>
      <w:r w:rsidRPr="00E92B8B">
        <w:rPr>
          <w:b/>
          <w:bCs/>
        </w:rPr>
        <w:t xml:space="preserve">Collaboration </w:t>
      </w:r>
      <w:r w:rsidR="00535DC6">
        <w:rPr>
          <w:b/>
          <w:bCs/>
        </w:rPr>
        <w:t>and</w:t>
      </w:r>
      <w:r w:rsidRPr="00E92B8B">
        <w:rPr>
          <w:b/>
          <w:bCs/>
        </w:rPr>
        <w:t xml:space="preserve"> Knowledge Sharing</w:t>
      </w:r>
      <w:r w:rsidRPr="00E92B8B">
        <w:t xml:space="preserve"> – Training, communication, and engagement</w:t>
      </w:r>
    </w:p>
    <w:p w14:paraId="558C62CA" w14:textId="18F1B9DE" w:rsidR="00A32802" w:rsidRPr="00E92B8B" w:rsidRDefault="00E92B8B" w:rsidP="00D54420">
      <w:pPr>
        <w:pStyle w:val="ListNumber"/>
      </w:pPr>
      <w:r w:rsidRPr="00E92B8B">
        <w:rPr>
          <w:b/>
          <w:bCs/>
        </w:rPr>
        <w:t xml:space="preserve">Governance </w:t>
      </w:r>
      <w:r w:rsidR="00535DC6">
        <w:rPr>
          <w:b/>
          <w:bCs/>
        </w:rPr>
        <w:t>and</w:t>
      </w:r>
      <w:r w:rsidRPr="00E92B8B">
        <w:rPr>
          <w:b/>
          <w:bCs/>
        </w:rPr>
        <w:t xml:space="preserve"> Policy</w:t>
      </w:r>
      <w:r w:rsidRPr="00E92B8B">
        <w:t xml:space="preserve"> – Improving rules, systems, and decision-making</w:t>
      </w:r>
    </w:p>
    <w:p w14:paraId="322E133B" w14:textId="6D10A9A5" w:rsidR="00A32802" w:rsidRDefault="006C2C37" w:rsidP="00B728E5">
      <w:pPr>
        <w:pStyle w:val="Heading2"/>
        <w:spacing w:before="240"/>
        <w:rPr>
          <w:rFonts w:eastAsiaTheme="minorHAnsi"/>
        </w:rPr>
      </w:pPr>
      <w:r w:rsidRPr="006C2C37">
        <w:rPr>
          <w:rFonts w:eastAsiaTheme="minorHAnsi"/>
        </w:rPr>
        <w:t>Cross-</w:t>
      </w:r>
      <w:r w:rsidR="00071733">
        <w:rPr>
          <w:rFonts w:eastAsiaTheme="minorHAnsi"/>
        </w:rPr>
        <w:t>s</w:t>
      </w:r>
      <w:r w:rsidRPr="006C2C37">
        <w:rPr>
          <w:rFonts w:eastAsiaTheme="minorHAnsi"/>
        </w:rPr>
        <w:t xml:space="preserve">ector </w:t>
      </w:r>
      <w:r w:rsidR="00071733">
        <w:rPr>
          <w:rFonts w:eastAsiaTheme="minorHAnsi"/>
        </w:rPr>
        <w:t>a</w:t>
      </w:r>
      <w:r w:rsidRPr="006C2C37">
        <w:rPr>
          <w:rFonts w:eastAsiaTheme="minorHAnsi"/>
        </w:rPr>
        <w:t>pproach</w:t>
      </w:r>
    </w:p>
    <w:p w14:paraId="2A5B89AD" w14:textId="26E1871A" w:rsidR="006C2C37" w:rsidRDefault="006C2C37" w:rsidP="006C2C37">
      <w:pPr>
        <w:rPr>
          <w:lang w:eastAsia="ja-JP"/>
        </w:rPr>
      </w:pPr>
      <w:r>
        <w:rPr>
          <w:lang w:eastAsia="ja-JP"/>
        </w:rPr>
        <w:t>Working across sectors has many benefits</w:t>
      </w:r>
      <w:r w:rsidR="00071733">
        <w:rPr>
          <w:lang w:eastAsia="ja-JP"/>
        </w:rPr>
        <w:t>, including</w:t>
      </w:r>
      <w:r w:rsidR="00071733" w:rsidRPr="00071733">
        <w:rPr>
          <w:lang w:eastAsia="ja-JP"/>
        </w:rPr>
        <w:t xml:space="preserve"> </w:t>
      </w:r>
      <w:r w:rsidR="00071733">
        <w:rPr>
          <w:lang w:eastAsia="ja-JP"/>
        </w:rPr>
        <w:t>improved</w:t>
      </w:r>
      <w:r>
        <w:rPr>
          <w:lang w:eastAsia="ja-JP"/>
        </w:rPr>
        <w:t>:</w:t>
      </w:r>
    </w:p>
    <w:p w14:paraId="14BD8D90" w14:textId="15BB7185" w:rsidR="006C2C37" w:rsidRDefault="006C2C37" w:rsidP="006C2C37">
      <w:pPr>
        <w:pStyle w:val="ListBullet"/>
        <w:rPr>
          <w:lang w:eastAsia="ja-JP"/>
        </w:rPr>
      </w:pPr>
      <w:r>
        <w:rPr>
          <w:lang w:eastAsia="ja-JP"/>
        </w:rPr>
        <w:t>use of knowledge and funding</w:t>
      </w:r>
    </w:p>
    <w:p w14:paraId="46EC8D60" w14:textId="52FEC472" w:rsidR="006C2C37" w:rsidRDefault="006C2C37" w:rsidP="006C2C37">
      <w:pPr>
        <w:pStyle w:val="ListBullet"/>
        <w:rPr>
          <w:lang w:eastAsia="ja-JP"/>
        </w:rPr>
      </w:pPr>
      <w:r>
        <w:rPr>
          <w:lang w:eastAsia="ja-JP"/>
        </w:rPr>
        <w:t>focus</w:t>
      </w:r>
      <w:r w:rsidR="00071733">
        <w:rPr>
          <w:lang w:eastAsia="ja-JP"/>
        </w:rPr>
        <w:t xml:space="preserve"> of</w:t>
      </w:r>
      <w:r>
        <w:rPr>
          <w:lang w:eastAsia="ja-JP"/>
        </w:rPr>
        <w:t xml:space="preserve"> national efforts through coordination</w:t>
      </w:r>
    </w:p>
    <w:p w14:paraId="7BF88153" w14:textId="12C32E0C" w:rsidR="006C2C37" w:rsidRDefault="006C2C37" w:rsidP="006C2C37">
      <w:pPr>
        <w:pStyle w:val="ListBullet"/>
        <w:rPr>
          <w:lang w:eastAsia="ja-JP"/>
        </w:rPr>
      </w:pPr>
      <w:r>
        <w:rPr>
          <w:lang w:eastAsia="ja-JP"/>
        </w:rPr>
        <w:t>co-investment and collaboration</w:t>
      </w:r>
    </w:p>
    <w:p w14:paraId="1C6EB20B" w14:textId="3C2CC82A" w:rsidR="006C2C37" w:rsidRDefault="00071733" w:rsidP="006C2C37">
      <w:pPr>
        <w:pStyle w:val="ListBullet"/>
        <w:rPr>
          <w:lang w:eastAsia="ja-JP"/>
        </w:rPr>
      </w:pPr>
      <w:r>
        <w:rPr>
          <w:lang w:eastAsia="ja-JP"/>
        </w:rPr>
        <w:t>s</w:t>
      </w:r>
      <w:r w:rsidR="006C2C37">
        <w:rPr>
          <w:lang w:eastAsia="ja-JP"/>
        </w:rPr>
        <w:t>hare</w:t>
      </w:r>
      <w:r>
        <w:rPr>
          <w:lang w:eastAsia="ja-JP"/>
        </w:rPr>
        <w:t>d</w:t>
      </w:r>
      <w:r w:rsidR="006C2C37">
        <w:rPr>
          <w:lang w:eastAsia="ja-JP"/>
        </w:rPr>
        <w:t xml:space="preserve"> responsibility of keeping Australia safe from biosecurity threats</w:t>
      </w:r>
      <w:r>
        <w:rPr>
          <w:lang w:eastAsia="ja-JP"/>
        </w:rPr>
        <w:t>.</w:t>
      </w:r>
    </w:p>
    <w:p w14:paraId="1930977D" w14:textId="5E2465AA" w:rsidR="006C2C37" w:rsidRDefault="00071733" w:rsidP="00B728E5">
      <w:pPr>
        <w:pStyle w:val="Heading2"/>
        <w:spacing w:before="240"/>
      </w:pPr>
      <w:r w:rsidRPr="009B4DAE">
        <w:t>Growing</w:t>
      </w:r>
      <w:r w:rsidRPr="009B4DAE" w:rsidDel="00071733">
        <w:t xml:space="preserve"> </w:t>
      </w:r>
      <w:r>
        <w:t>b</w:t>
      </w:r>
      <w:r w:rsidR="009B4DAE" w:rsidRPr="009B4DAE">
        <w:t xml:space="preserve">iosecurity </w:t>
      </w:r>
      <w:r>
        <w:t>c</w:t>
      </w:r>
      <w:r w:rsidR="009B4DAE" w:rsidRPr="009B4DAE">
        <w:t>hallenges</w:t>
      </w:r>
    </w:p>
    <w:p w14:paraId="51D7170D" w14:textId="42F8A594" w:rsidR="009B4DAE" w:rsidRDefault="009B4DAE" w:rsidP="009B4DAE">
      <w:pPr>
        <w:rPr>
          <w:lang w:eastAsia="ja-JP"/>
        </w:rPr>
      </w:pPr>
      <w:r w:rsidRPr="009B4DAE">
        <w:rPr>
          <w:lang w:eastAsia="ja-JP"/>
        </w:rPr>
        <w:t xml:space="preserve">As described in the </w:t>
      </w:r>
      <w:r w:rsidR="00451C1E" w:rsidRPr="00451C1E">
        <w:rPr>
          <w:rStyle w:val="Emphasis"/>
          <w:lang w:eastAsia="ja-JP"/>
        </w:rPr>
        <w:t>National Biosecurity Strategy 2022</w:t>
      </w:r>
      <w:r w:rsidR="00451C1E">
        <w:rPr>
          <w:rStyle w:val="Emphasis"/>
          <w:lang w:eastAsia="ja-JP"/>
        </w:rPr>
        <w:t>–</w:t>
      </w:r>
      <w:r w:rsidR="00451C1E" w:rsidRPr="00451C1E">
        <w:rPr>
          <w:rStyle w:val="Emphasis"/>
          <w:lang w:eastAsia="ja-JP"/>
        </w:rPr>
        <w:t>2032</w:t>
      </w:r>
      <w:r w:rsidR="00451C1E" w:rsidRPr="00451C1E">
        <w:rPr>
          <w:lang w:eastAsia="ja-JP"/>
        </w:rPr>
        <w:t xml:space="preserve"> </w:t>
      </w:r>
      <w:r w:rsidRPr="009B4DAE">
        <w:rPr>
          <w:lang w:eastAsia="ja-JP"/>
        </w:rPr>
        <w:t>and RD&amp;E strategies, managing biosecurity risks is becoming more complicated as we face compounding challenges. RD&amp;E is key to preventing and responding to risks.</w:t>
      </w:r>
    </w:p>
    <w:p w14:paraId="4B4F88B0" w14:textId="3D3C6FD6" w:rsidR="000F6357" w:rsidRDefault="004D1D68" w:rsidP="00451C1E">
      <w:pPr>
        <w:keepNext/>
        <w:rPr>
          <w:lang w:eastAsia="ja-JP"/>
        </w:rPr>
      </w:pPr>
      <w:r>
        <w:rPr>
          <w:lang w:eastAsia="ja-JP"/>
        </w:rPr>
        <w:lastRenderedPageBreak/>
        <w:t>These challenges include:</w:t>
      </w:r>
    </w:p>
    <w:p w14:paraId="42BA66EA" w14:textId="42AF94B7" w:rsidR="004D1D68" w:rsidRDefault="004D1D68" w:rsidP="004D1D68">
      <w:pPr>
        <w:pStyle w:val="ListBullet"/>
      </w:pPr>
      <w:r w:rsidRPr="006E324A">
        <w:rPr>
          <w:b/>
          <w:bCs/>
        </w:rPr>
        <w:t>Changing or increasing risks</w:t>
      </w:r>
      <w:r w:rsidRPr="00E92B8B">
        <w:t xml:space="preserve"> –</w:t>
      </w:r>
      <w:r w:rsidRPr="004D1D68">
        <w:t xml:space="preserve"> Climate change, trade, and global events increase risks, affecting farms, industries, nature, and communities.</w:t>
      </w:r>
    </w:p>
    <w:p w14:paraId="4F837B52" w14:textId="184C2965" w:rsidR="004D1D68" w:rsidRDefault="004D1D68" w:rsidP="004D1D68">
      <w:pPr>
        <w:pStyle w:val="ListBullet"/>
      </w:pPr>
      <w:r w:rsidRPr="006E324A">
        <w:rPr>
          <w:b/>
          <w:bCs/>
        </w:rPr>
        <w:t>Biodiversity decline</w:t>
      </w:r>
      <w:r w:rsidRPr="00E92B8B">
        <w:t xml:space="preserve"> –</w:t>
      </w:r>
      <w:r w:rsidRPr="004D1D68">
        <w:t xml:space="preserve"> Pests and diseases are a major cause of biodiversity decline.</w:t>
      </w:r>
    </w:p>
    <w:p w14:paraId="7E2A0E14" w14:textId="10DA7F3C" w:rsidR="004D1D68" w:rsidRPr="004D1D68" w:rsidRDefault="004D1D68" w:rsidP="004D1D68">
      <w:pPr>
        <w:pStyle w:val="ListBullet"/>
      </w:pPr>
      <w:r w:rsidRPr="006E324A">
        <w:rPr>
          <w:b/>
          <w:bCs/>
        </w:rPr>
        <w:t>People power</w:t>
      </w:r>
      <w:r w:rsidRPr="00E92B8B">
        <w:t xml:space="preserve"> –</w:t>
      </w:r>
      <w:r w:rsidRPr="004D1D68">
        <w:t xml:space="preserve"> </w:t>
      </w:r>
      <w:r w:rsidRPr="009B4DAE">
        <w:rPr>
          <w:lang w:eastAsia="ja-JP"/>
        </w:rPr>
        <w:t>There are not enough skilled people across the country to meet the growing need to manage risks.</w:t>
      </w:r>
    </w:p>
    <w:p w14:paraId="2E3D8AEB" w14:textId="3B9D8462" w:rsidR="009B4DAE" w:rsidRDefault="009B4DAE" w:rsidP="00B728E5">
      <w:pPr>
        <w:pStyle w:val="Heading2"/>
        <w:spacing w:before="240"/>
      </w:pPr>
      <w:r w:rsidRPr="009B4DAE">
        <w:t>Invest</w:t>
      </w:r>
      <w:r w:rsidR="00071733">
        <w:t>ing</w:t>
      </w:r>
      <w:r w:rsidRPr="009B4DAE">
        <w:t xml:space="preserve"> in </w:t>
      </w:r>
      <w:r w:rsidR="00071733">
        <w:t>b</w:t>
      </w:r>
      <w:r w:rsidRPr="009B4DAE">
        <w:t>iosecurity</w:t>
      </w:r>
    </w:p>
    <w:p w14:paraId="1D7FA0CA" w14:textId="24EC6C6F" w:rsidR="00071733" w:rsidRPr="006E324A" w:rsidRDefault="004D1D68" w:rsidP="004D1D68">
      <w:pPr>
        <w:pStyle w:val="ListBullet"/>
        <w:rPr>
          <w:b/>
          <w:bCs/>
          <w:lang w:eastAsia="ja-JP"/>
        </w:rPr>
      </w:pPr>
      <w:r w:rsidRPr="006E324A">
        <w:rPr>
          <w:b/>
          <w:bCs/>
        </w:rPr>
        <w:t>Land</w:t>
      </w:r>
      <w:r w:rsidR="00463EBF" w:rsidRPr="006E324A">
        <w:rPr>
          <w:b/>
          <w:bCs/>
        </w:rPr>
        <w:t xml:space="preserve"> and </w:t>
      </w:r>
      <w:r w:rsidRPr="006E324A">
        <w:rPr>
          <w:b/>
          <w:bCs/>
        </w:rPr>
        <w:t>aquatic manager needs</w:t>
      </w:r>
    </w:p>
    <w:p w14:paraId="772D6BFC" w14:textId="6F6C1F1B" w:rsidR="004D1D68" w:rsidRDefault="00071733" w:rsidP="00D54420">
      <w:pPr>
        <w:pStyle w:val="ListBullet2"/>
        <w:rPr>
          <w:lang w:eastAsia="ja-JP"/>
        </w:rPr>
      </w:pPr>
      <w:r w:rsidRPr="00071733">
        <w:t>L</w:t>
      </w:r>
      <w:r w:rsidR="004D1D68" w:rsidRPr="00D54420">
        <w:t>and</w:t>
      </w:r>
      <w:r>
        <w:rPr>
          <w:lang w:eastAsia="ja-JP"/>
        </w:rPr>
        <w:t xml:space="preserve"> and </w:t>
      </w:r>
      <w:r w:rsidR="004D1D68" w:rsidRPr="009B4DAE">
        <w:rPr>
          <w:lang w:eastAsia="ja-JP"/>
        </w:rPr>
        <w:t xml:space="preserve">aquatic managers </w:t>
      </w:r>
      <w:r>
        <w:rPr>
          <w:lang w:eastAsia="ja-JP"/>
        </w:rPr>
        <w:t>need</w:t>
      </w:r>
      <w:r w:rsidRPr="009B4DAE">
        <w:rPr>
          <w:lang w:eastAsia="ja-JP"/>
        </w:rPr>
        <w:t xml:space="preserve"> </w:t>
      </w:r>
      <w:r w:rsidR="004D1D68" w:rsidRPr="009B4DAE">
        <w:rPr>
          <w:lang w:eastAsia="ja-JP"/>
        </w:rPr>
        <w:t>support, guidance and practical tools to handle risks</w:t>
      </w:r>
      <w:r>
        <w:rPr>
          <w:lang w:eastAsia="ja-JP"/>
        </w:rPr>
        <w:t>.</w:t>
      </w:r>
    </w:p>
    <w:p w14:paraId="59EA4515" w14:textId="77777777" w:rsidR="00071733" w:rsidRPr="006E324A" w:rsidRDefault="004D1D68" w:rsidP="004D1D68">
      <w:pPr>
        <w:pStyle w:val="ListBullet"/>
        <w:rPr>
          <w:b/>
          <w:bCs/>
        </w:rPr>
      </w:pPr>
      <w:r w:rsidRPr="006E324A">
        <w:rPr>
          <w:b/>
          <w:bCs/>
        </w:rPr>
        <w:t>Advances in technology</w:t>
      </w:r>
    </w:p>
    <w:p w14:paraId="3429B690" w14:textId="47288328" w:rsidR="004D1D68" w:rsidRDefault="00071733" w:rsidP="00D54420">
      <w:pPr>
        <w:pStyle w:val="ListBullet2"/>
      </w:pPr>
      <w:r>
        <w:t>T</w:t>
      </w:r>
      <w:r w:rsidR="004D1D68" w:rsidRPr="004D1D68">
        <w:t xml:space="preserve">ools like </w:t>
      </w:r>
      <w:r>
        <w:t>artificial intelligence</w:t>
      </w:r>
      <w:r w:rsidR="004D1D68" w:rsidRPr="004D1D68">
        <w:t>, sensors and data platforms help manage pests and diseases better</w:t>
      </w:r>
      <w:r>
        <w:t>.</w:t>
      </w:r>
    </w:p>
    <w:p w14:paraId="26A9C382" w14:textId="164449FD" w:rsidR="00071733" w:rsidRPr="006E324A" w:rsidRDefault="004D1D68" w:rsidP="004D1D68">
      <w:pPr>
        <w:pStyle w:val="ListBullet"/>
        <w:rPr>
          <w:b/>
          <w:bCs/>
        </w:rPr>
      </w:pPr>
      <w:r w:rsidRPr="006E324A">
        <w:rPr>
          <w:b/>
          <w:bCs/>
        </w:rPr>
        <w:t xml:space="preserve">Economic growth </w:t>
      </w:r>
      <w:r w:rsidR="00680E2A" w:rsidRPr="006E324A">
        <w:rPr>
          <w:b/>
          <w:bCs/>
        </w:rPr>
        <w:t>and</w:t>
      </w:r>
      <w:r w:rsidR="007D276A">
        <w:rPr>
          <w:b/>
          <w:bCs/>
        </w:rPr>
        <w:t xml:space="preserve"> </w:t>
      </w:r>
      <w:r w:rsidRPr="006E324A">
        <w:rPr>
          <w:b/>
          <w:bCs/>
        </w:rPr>
        <w:t>stability</w:t>
      </w:r>
    </w:p>
    <w:p w14:paraId="493FEA55" w14:textId="42BCF359" w:rsidR="004D1D68" w:rsidRPr="004D1D68" w:rsidRDefault="004D1D68" w:rsidP="00D54420">
      <w:pPr>
        <w:pStyle w:val="ListBullet2"/>
      </w:pPr>
      <w:r w:rsidRPr="004D1D68">
        <w:t>Strong biosecurity helps farmers succeed, protects food supply and keeps trade open. It also protects nature and cultural heritage.</w:t>
      </w:r>
    </w:p>
    <w:p w14:paraId="0BF799C0" w14:textId="43040D9D" w:rsidR="009B4DAE" w:rsidRDefault="009B4DAE" w:rsidP="00D54420">
      <w:pPr>
        <w:pStyle w:val="Heading2"/>
        <w:pageBreakBefore/>
      </w:pPr>
      <w:r w:rsidRPr="009B4DAE">
        <w:lastRenderedPageBreak/>
        <w:t xml:space="preserve">Case </w:t>
      </w:r>
      <w:r w:rsidR="00482340">
        <w:t>s</w:t>
      </w:r>
      <w:r w:rsidRPr="009B4DAE">
        <w:t>tudies</w:t>
      </w:r>
    </w:p>
    <w:p w14:paraId="765F9DBB" w14:textId="75C6838F" w:rsidR="009B4DAE" w:rsidRDefault="009B4DAE" w:rsidP="009B4DAE">
      <w:pPr>
        <w:rPr>
          <w:lang w:eastAsia="ja-JP"/>
        </w:rPr>
      </w:pPr>
      <w:r w:rsidRPr="009B4DAE">
        <w:rPr>
          <w:lang w:eastAsia="ja-JP"/>
        </w:rPr>
        <w:t>The</w:t>
      </w:r>
      <w:r w:rsidR="00482340">
        <w:rPr>
          <w:lang w:eastAsia="ja-JP"/>
        </w:rPr>
        <w:t>se</w:t>
      </w:r>
      <w:r w:rsidRPr="009B4DAE">
        <w:rPr>
          <w:lang w:eastAsia="ja-JP"/>
        </w:rPr>
        <w:t xml:space="preserve"> case studies provide examples of research projects contributing to the strategies and priorities.</w:t>
      </w:r>
    </w:p>
    <w:p w14:paraId="56DE61F4" w14:textId="2FDC7B62" w:rsidR="00482340" w:rsidRDefault="00482340" w:rsidP="00482340">
      <w:pPr>
        <w:pStyle w:val="Caption"/>
      </w:pPr>
      <w:r>
        <w:t xml:space="preserve">Case study </w:t>
      </w:r>
      <w:r>
        <w:fldChar w:fldCharType="begin"/>
      </w:r>
      <w:r>
        <w:instrText xml:space="preserve"> SEQ Case_study \* ARABIC </w:instrText>
      </w:r>
      <w:r>
        <w:fldChar w:fldCharType="separate"/>
      </w:r>
      <w:r w:rsidR="00B7160E">
        <w:rPr>
          <w:noProof/>
        </w:rPr>
        <w:t>1</w:t>
      </w:r>
      <w:r>
        <w:fldChar w:fldCharType="end"/>
      </w:r>
      <w:r w:rsidR="00220425" w:rsidRPr="00220425">
        <w:t xml:space="preserve"> Xylella Preparedness</w:t>
      </w:r>
    </w:p>
    <w:p w14:paraId="66AC4F26" w14:textId="1408D3A0" w:rsidR="00220425" w:rsidRDefault="00220425" w:rsidP="00220425">
      <w:pPr>
        <w:pStyle w:val="BoxText"/>
      </w:pPr>
      <w:r>
        <w:t>Xylella is a major global plant disease. It affects over 700 plant species. If it enters Australia, it could cost the grape and wine industry $7.9 billion over 50 years.</w:t>
      </w:r>
    </w:p>
    <w:p w14:paraId="40272B33" w14:textId="6CF4C3B1" w:rsidR="00C16FD0" w:rsidRDefault="00220425" w:rsidP="00220425">
      <w:pPr>
        <w:pStyle w:val="BoxText"/>
      </w:pPr>
      <w:r>
        <w:t xml:space="preserve">A </w:t>
      </w:r>
      <w:hyperlink r:id="rId13" w:anchor=":~:text=The%20National%20Xylella%20Action%20Plan,pest%20is%20detected%20in%20Australia." w:history="1">
        <w:r w:rsidR="00463EBF">
          <w:rPr>
            <w:rStyle w:val="Hyperlink"/>
          </w:rPr>
          <w:t>national action plan</w:t>
        </w:r>
      </w:hyperlink>
      <w:r>
        <w:t xml:space="preserve">, diagnostics, and vector ID research are already underway, funded by </w:t>
      </w:r>
      <w:r w:rsidR="00463EBF">
        <w:t>the department</w:t>
      </w:r>
      <w:r>
        <w:t>, Hort Innovation and Wine Australia. More work on management tools is planned.</w:t>
      </w:r>
    </w:p>
    <w:p w14:paraId="3283FF8B" w14:textId="050441EF" w:rsidR="00C16FD0" w:rsidRPr="005B1730" w:rsidRDefault="00C16FD0" w:rsidP="00220425">
      <w:pPr>
        <w:pStyle w:val="BoxText"/>
        <w:rPr>
          <w:b/>
          <w:bCs/>
        </w:rPr>
      </w:pPr>
      <w:r w:rsidRPr="005B1730">
        <w:rPr>
          <w:b/>
          <w:bCs/>
        </w:rPr>
        <w:t>Strategies addressed</w:t>
      </w:r>
    </w:p>
    <w:p w14:paraId="028D7948" w14:textId="6A4D448D" w:rsidR="00C16FD0" w:rsidRDefault="00C16FD0" w:rsidP="00C16FD0">
      <w:pPr>
        <w:pStyle w:val="BoxTextBullet"/>
      </w:pPr>
      <w:r w:rsidRPr="00C16FD0">
        <w:t>National Biosecurity Strategy 2022</w:t>
      </w:r>
      <w:r w:rsidR="00C9327E">
        <w:t>–</w:t>
      </w:r>
      <w:r w:rsidRPr="00C16FD0">
        <w:t>2032</w:t>
      </w:r>
    </w:p>
    <w:p w14:paraId="5B7A840A" w14:textId="64F96C0A" w:rsidR="00C16FD0" w:rsidRDefault="00C16FD0" w:rsidP="00C16FD0">
      <w:pPr>
        <w:pStyle w:val="BoxTextBullet"/>
      </w:pPr>
      <w:r w:rsidRPr="00C16FD0">
        <w:t>Plant Biosecurity Research Initiative (PBRI) Strategy 2023–2028</w:t>
      </w:r>
    </w:p>
    <w:p w14:paraId="68E59205" w14:textId="3271C54A" w:rsidR="00C16FD0" w:rsidRPr="005B1730" w:rsidRDefault="00C16FD0" w:rsidP="00C16FD0">
      <w:pPr>
        <w:pStyle w:val="BoxText"/>
        <w:rPr>
          <w:b/>
          <w:bCs/>
        </w:rPr>
      </w:pPr>
      <w:r w:rsidRPr="005B1730">
        <w:rPr>
          <w:b/>
          <w:bCs/>
        </w:rPr>
        <w:t>Priorities addressed</w:t>
      </w:r>
    </w:p>
    <w:p w14:paraId="5FD480A3" w14:textId="54160718" w:rsidR="00C16FD0" w:rsidRDefault="00C16FD0" w:rsidP="00C16FD0">
      <w:pPr>
        <w:pStyle w:val="BoxTextBullet"/>
      </w:pPr>
      <w:r>
        <w:t xml:space="preserve">Risk </w:t>
      </w:r>
      <w:r w:rsidR="00DE36DD">
        <w:t>a</w:t>
      </w:r>
      <w:r>
        <w:t xml:space="preserve">ssessment and </w:t>
      </w:r>
      <w:r w:rsidR="00DE36DD">
        <w:t>p</w:t>
      </w:r>
      <w:r>
        <w:t>reparedness</w:t>
      </w:r>
    </w:p>
    <w:p w14:paraId="5F747BB8" w14:textId="1A1B6E98" w:rsidR="00C16FD0" w:rsidRDefault="00C16FD0" w:rsidP="00C16FD0">
      <w:pPr>
        <w:pStyle w:val="BoxTextBullet"/>
      </w:pPr>
      <w:r>
        <w:t xml:space="preserve">Surveillance, </w:t>
      </w:r>
      <w:r w:rsidR="00DE36DD">
        <w:t>d</w:t>
      </w:r>
      <w:r>
        <w:t xml:space="preserve">iagnostics and </w:t>
      </w:r>
      <w:r w:rsidR="00DE36DD">
        <w:t>d</w:t>
      </w:r>
      <w:r>
        <w:t>etection</w:t>
      </w:r>
    </w:p>
    <w:p w14:paraId="25F0B3D0" w14:textId="128D0414" w:rsidR="00463EBF" w:rsidRPr="00463EBF" w:rsidRDefault="0056689E" w:rsidP="00D54420">
      <w:pPr>
        <w:pStyle w:val="BoxText"/>
      </w:pPr>
      <w:r>
        <w:rPr>
          <w:noProof/>
        </w:rPr>
        <w:drawing>
          <wp:inline distT="0" distB="0" distL="0" distR="0" wp14:anchorId="46E22FE2" wp14:editId="6F340746">
            <wp:extent cx="1857895" cy="1047404"/>
            <wp:effectExtent l="0" t="0" r="9525" b="635"/>
            <wp:docPr id="5436275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27596"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57895" cy="1047404"/>
                    </a:xfrm>
                    <a:prstGeom prst="rect">
                      <a:avLst/>
                    </a:prstGeom>
                  </pic:spPr>
                </pic:pic>
              </a:graphicData>
            </a:graphic>
          </wp:inline>
        </w:drawing>
      </w:r>
    </w:p>
    <w:p w14:paraId="1CF766A1" w14:textId="38762064" w:rsidR="009B4DAE" w:rsidRDefault="00C16FD0" w:rsidP="00C16FD0">
      <w:pPr>
        <w:pStyle w:val="Caption"/>
      </w:pPr>
      <w:r>
        <w:t xml:space="preserve">Case study </w:t>
      </w:r>
      <w:r>
        <w:fldChar w:fldCharType="begin"/>
      </w:r>
      <w:r>
        <w:instrText xml:space="preserve"> SEQ Case_study \* ARABIC </w:instrText>
      </w:r>
      <w:r>
        <w:fldChar w:fldCharType="separate"/>
      </w:r>
      <w:r w:rsidR="00B7160E">
        <w:rPr>
          <w:noProof/>
        </w:rPr>
        <w:t>2</w:t>
      </w:r>
      <w:r>
        <w:fldChar w:fldCharType="end"/>
      </w:r>
      <w:r w:rsidRPr="00C16FD0">
        <w:t xml:space="preserve"> Pheromone Traps for northern Pacific </w:t>
      </w:r>
      <w:proofErr w:type="spellStart"/>
      <w:r w:rsidRPr="00C16FD0">
        <w:t>seastar</w:t>
      </w:r>
      <w:proofErr w:type="spellEnd"/>
    </w:p>
    <w:p w14:paraId="4E2EE02A" w14:textId="4C9E8BE1" w:rsidR="00C16FD0" w:rsidRDefault="00C16FD0" w:rsidP="00C16FD0">
      <w:pPr>
        <w:pStyle w:val="BoxText"/>
      </w:pPr>
      <w:r w:rsidRPr="00C16FD0">
        <w:t xml:space="preserve">The </w:t>
      </w:r>
      <w:hyperlink r:id="rId15" w:history="1">
        <w:r w:rsidR="005173D2">
          <w:rPr>
            <w:rStyle w:val="Hyperlink"/>
          </w:rPr>
          <w:t>N</w:t>
        </w:r>
        <w:r w:rsidRPr="00A74229">
          <w:rPr>
            <w:rStyle w:val="Hyperlink"/>
          </w:rPr>
          <w:t xml:space="preserve">orthern Pacific </w:t>
        </w:r>
        <w:proofErr w:type="spellStart"/>
        <w:r w:rsidR="005173D2">
          <w:rPr>
            <w:rStyle w:val="Hyperlink"/>
          </w:rPr>
          <w:t>s</w:t>
        </w:r>
        <w:r w:rsidRPr="00A74229">
          <w:rPr>
            <w:rStyle w:val="Hyperlink"/>
          </w:rPr>
          <w:t>eastar</w:t>
        </w:r>
        <w:proofErr w:type="spellEnd"/>
      </w:hyperlink>
      <w:r w:rsidRPr="00C16FD0">
        <w:t xml:space="preserve"> (NPS) is an established marine pest that is listed on the Australian Priority Marine Pest List. This pest threatens native marine species and fisheries. Scientists are isolating pheromones to trap it – a first in marine biosecurity.</w:t>
      </w:r>
    </w:p>
    <w:p w14:paraId="50665137" w14:textId="2601E6F9" w:rsidR="00C16FD0" w:rsidRPr="005B1730" w:rsidRDefault="00C16FD0" w:rsidP="00C16FD0">
      <w:pPr>
        <w:pStyle w:val="BoxText"/>
        <w:rPr>
          <w:b/>
          <w:bCs/>
        </w:rPr>
      </w:pPr>
      <w:r w:rsidRPr="005B1730">
        <w:rPr>
          <w:b/>
          <w:bCs/>
        </w:rPr>
        <w:t>Strategies addressed</w:t>
      </w:r>
    </w:p>
    <w:p w14:paraId="5B3ADBAF" w14:textId="3E2F8246" w:rsidR="00C16FD0" w:rsidRPr="00C16FD0" w:rsidRDefault="00C16FD0" w:rsidP="00C16FD0">
      <w:pPr>
        <w:pStyle w:val="BoxTextBullet"/>
      </w:pPr>
      <w:r w:rsidRPr="00C16FD0">
        <w:t xml:space="preserve">Environmental and Community Biosecurity RD&amp;E Strategy (NECBRDES) 2021-2026 </w:t>
      </w:r>
    </w:p>
    <w:p w14:paraId="36FD7C30" w14:textId="31AF3829" w:rsidR="00C16FD0" w:rsidRPr="00C16FD0" w:rsidRDefault="00C16FD0" w:rsidP="00C16FD0">
      <w:pPr>
        <w:pStyle w:val="BoxTextBullet"/>
      </w:pPr>
      <w:r w:rsidRPr="00C16FD0">
        <w:t>Marine Pest Research and Development Priorities 2013–2023</w:t>
      </w:r>
    </w:p>
    <w:p w14:paraId="4B610E48" w14:textId="7CE2C5FD" w:rsidR="00C16FD0" w:rsidRPr="00C16FD0" w:rsidRDefault="00C16FD0" w:rsidP="00C16FD0">
      <w:pPr>
        <w:pStyle w:val="BoxTextBullet"/>
      </w:pPr>
      <w:r w:rsidRPr="00C16FD0">
        <w:t>National Biosecurity Strategy 2022</w:t>
      </w:r>
      <w:r w:rsidR="00DE36DD">
        <w:t>–</w:t>
      </w:r>
      <w:r w:rsidRPr="00C16FD0">
        <w:t>2032</w:t>
      </w:r>
    </w:p>
    <w:p w14:paraId="0E0B5401" w14:textId="27225788" w:rsidR="00C16FD0" w:rsidRPr="005B1730" w:rsidRDefault="00C16FD0" w:rsidP="00C16FD0">
      <w:pPr>
        <w:pStyle w:val="BoxText"/>
        <w:rPr>
          <w:b/>
          <w:bCs/>
        </w:rPr>
      </w:pPr>
      <w:r w:rsidRPr="005B1730">
        <w:rPr>
          <w:b/>
          <w:bCs/>
        </w:rPr>
        <w:t>Priorities addressed</w:t>
      </w:r>
    </w:p>
    <w:p w14:paraId="4BDE7B80" w14:textId="0205A625" w:rsidR="00B7160E" w:rsidRPr="00B7160E" w:rsidRDefault="00B7160E" w:rsidP="00B7160E">
      <w:pPr>
        <w:pStyle w:val="BoxTextBullet"/>
      </w:pPr>
      <w:r w:rsidRPr="00B7160E">
        <w:t xml:space="preserve">Surveillance, </w:t>
      </w:r>
      <w:r w:rsidR="00DE36DD">
        <w:t>d</w:t>
      </w:r>
      <w:r w:rsidRPr="00B7160E">
        <w:t xml:space="preserve">iagnostics and </w:t>
      </w:r>
      <w:r w:rsidR="00DE36DD">
        <w:t>d</w:t>
      </w:r>
      <w:r w:rsidRPr="00B7160E">
        <w:t>etection</w:t>
      </w:r>
    </w:p>
    <w:p w14:paraId="2B542850" w14:textId="6D5ADB77" w:rsidR="00C16FD0" w:rsidRDefault="00B7160E" w:rsidP="00C16FD0">
      <w:pPr>
        <w:pStyle w:val="BoxTextBullet"/>
      </w:pPr>
      <w:r>
        <w:t xml:space="preserve">Management and </w:t>
      </w:r>
      <w:r w:rsidR="00DE36DD">
        <w:t>r</w:t>
      </w:r>
      <w:r>
        <w:t>esponse</w:t>
      </w:r>
    </w:p>
    <w:p w14:paraId="6BB28785" w14:textId="6683A070" w:rsidR="00463EBF" w:rsidRPr="00463EBF" w:rsidRDefault="0056689E" w:rsidP="00D54420">
      <w:pPr>
        <w:pStyle w:val="BoxText"/>
      </w:pPr>
      <w:r>
        <w:rPr>
          <w:noProof/>
        </w:rPr>
        <w:drawing>
          <wp:inline distT="0" distB="0" distL="0" distR="0" wp14:anchorId="62AECD50" wp14:editId="3A08075C">
            <wp:extent cx="1620982" cy="1209502"/>
            <wp:effectExtent l="0" t="0" r="0" b="0"/>
            <wp:docPr id="10905643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64365" name="Picture 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620982" cy="1209502"/>
                    </a:xfrm>
                    <a:prstGeom prst="rect">
                      <a:avLst/>
                    </a:prstGeom>
                  </pic:spPr>
                </pic:pic>
              </a:graphicData>
            </a:graphic>
          </wp:inline>
        </w:drawing>
      </w:r>
    </w:p>
    <w:p w14:paraId="2800EDF2" w14:textId="26C5623D" w:rsidR="00214927" w:rsidRDefault="00B7160E" w:rsidP="00B7160E">
      <w:pPr>
        <w:pStyle w:val="Caption"/>
        <w:spacing w:before="3480"/>
      </w:pPr>
      <w:r>
        <w:lastRenderedPageBreak/>
        <w:t xml:space="preserve">Case study </w:t>
      </w:r>
      <w:r>
        <w:fldChar w:fldCharType="begin"/>
      </w:r>
      <w:r>
        <w:instrText xml:space="preserve"> SEQ Case_study \* ARABIC </w:instrText>
      </w:r>
      <w:r>
        <w:fldChar w:fldCharType="separate"/>
      </w:r>
      <w:r>
        <w:rPr>
          <w:noProof/>
        </w:rPr>
        <w:t>3</w:t>
      </w:r>
      <w:r>
        <w:fldChar w:fldCharType="end"/>
      </w:r>
      <w:r w:rsidRPr="00B7160E">
        <w:t xml:space="preserve"> Biosecurity Alerts System – Atlas of Living Australia</w:t>
      </w:r>
    </w:p>
    <w:p w14:paraId="2E125C39" w14:textId="631BB1F4" w:rsidR="00B7160E" w:rsidRDefault="00B7160E" w:rsidP="00B7160E">
      <w:pPr>
        <w:pStyle w:val="BoxText"/>
      </w:pPr>
      <w:r w:rsidRPr="00B7160E">
        <w:t xml:space="preserve">The Atlas of Living Australia (ALA) now sends real-time alerts on invasive species reports to agencies through the </w:t>
      </w:r>
      <w:hyperlink r:id="rId17" w:history="1">
        <w:r w:rsidRPr="00A74229">
          <w:rPr>
            <w:rStyle w:val="Hyperlink"/>
          </w:rPr>
          <w:t>Biosecurity Alerts Service</w:t>
        </w:r>
      </w:hyperlink>
      <w:r w:rsidRPr="00B7160E">
        <w:t>. Over 1,200 alerts have been issued since 2020, covering</w:t>
      </w:r>
      <w:r w:rsidR="006E2CF3">
        <w:t xml:space="preserve"> more than </w:t>
      </w:r>
      <w:proofErr w:type="gramStart"/>
      <w:r w:rsidR="006E2CF3">
        <w:t>1</w:t>
      </w:r>
      <w:r w:rsidR="00DF1644">
        <w:t>,</w:t>
      </w:r>
      <w:r w:rsidR="006E2CF3">
        <w:t>800</w:t>
      </w:r>
      <w:r w:rsidRPr="00B7160E">
        <w:t xml:space="preserve">  species</w:t>
      </w:r>
      <w:proofErr w:type="gramEnd"/>
      <w:r w:rsidRPr="00B7160E">
        <w:t xml:space="preserve"> such as the Asian shore crab and Red imported fire ants, supporting early intervention efforts.</w:t>
      </w:r>
    </w:p>
    <w:p w14:paraId="47A1CAE5" w14:textId="773E017A" w:rsidR="00B7160E" w:rsidRPr="005B1730" w:rsidRDefault="00B7160E" w:rsidP="00B7160E">
      <w:pPr>
        <w:pStyle w:val="BoxText"/>
        <w:rPr>
          <w:b/>
          <w:bCs/>
        </w:rPr>
      </w:pPr>
      <w:r w:rsidRPr="005B1730">
        <w:rPr>
          <w:b/>
          <w:bCs/>
        </w:rPr>
        <w:t>Strategies addressed</w:t>
      </w:r>
    </w:p>
    <w:p w14:paraId="09D012A0" w14:textId="0E06836E" w:rsidR="00B7160E" w:rsidRPr="00B7160E" w:rsidRDefault="00B7160E" w:rsidP="00B7160E">
      <w:pPr>
        <w:pStyle w:val="BoxTextBullet"/>
      </w:pPr>
      <w:r w:rsidRPr="00B7160E">
        <w:t>Environmental and Community Biosecurity RD&amp;E Strategy (NECBRDES) 2021</w:t>
      </w:r>
      <w:r w:rsidR="00DE36DD">
        <w:t>–</w:t>
      </w:r>
      <w:r w:rsidRPr="00B7160E">
        <w:t>2026</w:t>
      </w:r>
    </w:p>
    <w:p w14:paraId="0D993BE7" w14:textId="2AD9EEFF" w:rsidR="00B7160E" w:rsidRPr="00B7160E" w:rsidRDefault="00B7160E" w:rsidP="00B7160E">
      <w:pPr>
        <w:pStyle w:val="BoxTextBullet"/>
      </w:pPr>
      <w:r>
        <w:t>M</w:t>
      </w:r>
      <w:r w:rsidRPr="00B7160E">
        <w:t>arine Pest Research and Development Priorities 2013–2023</w:t>
      </w:r>
    </w:p>
    <w:p w14:paraId="192D0CC7" w14:textId="781E950C" w:rsidR="00B7160E" w:rsidRPr="00B7160E" w:rsidRDefault="00B7160E" w:rsidP="00B7160E">
      <w:pPr>
        <w:pStyle w:val="BoxTextBullet"/>
      </w:pPr>
      <w:r w:rsidRPr="00B7160E">
        <w:t>National Biosecurity Strategy 2022</w:t>
      </w:r>
      <w:r w:rsidR="00DE36DD">
        <w:t>–</w:t>
      </w:r>
      <w:r w:rsidRPr="00B7160E">
        <w:t>2032</w:t>
      </w:r>
    </w:p>
    <w:p w14:paraId="59F68D9E" w14:textId="12ACFAB9" w:rsidR="00B7160E" w:rsidRPr="00B7160E" w:rsidRDefault="00B7160E" w:rsidP="00B7160E">
      <w:pPr>
        <w:pStyle w:val="BoxTextBullet"/>
      </w:pPr>
      <w:r w:rsidRPr="00B7160E">
        <w:t>Plant Biosecurity Research Initiative (PBRI) Strategy 2023–2028</w:t>
      </w:r>
    </w:p>
    <w:p w14:paraId="4D46522D" w14:textId="6C7E3E42" w:rsidR="00B7160E" w:rsidRPr="00B7160E" w:rsidRDefault="00B7160E" w:rsidP="00B7160E">
      <w:pPr>
        <w:pStyle w:val="BoxTextBullet"/>
      </w:pPr>
      <w:r w:rsidRPr="00B7160E">
        <w:t>Animal Biosecurity RD&amp;E Strategy (NABRDES) 2023–2028</w:t>
      </w:r>
    </w:p>
    <w:p w14:paraId="370FC23D" w14:textId="2E3DB445" w:rsidR="00B7160E" w:rsidRPr="005B1730" w:rsidRDefault="00B7160E" w:rsidP="00B7160E">
      <w:pPr>
        <w:pStyle w:val="BoxText"/>
        <w:rPr>
          <w:b/>
          <w:bCs/>
        </w:rPr>
      </w:pPr>
      <w:r w:rsidRPr="005B1730">
        <w:rPr>
          <w:b/>
          <w:bCs/>
        </w:rPr>
        <w:t>Priorities addressed</w:t>
      </w:r>
    </w:p>
    <w:p w14:paraId="6367A1D3" w14:textId="4B0187E7" w:rsidR="00B7160E" w:rsidRDefault="00B7160E" w:rsidP="00B7160E">
      <w:pPr>
        <w:pStyle w:val="BoxTextBullet"/>
      </w:pPr>
      <w:r w:rsidRPr="00B7160E">
        <w:t xml:space="preserve">Surveillance, </w:t>
      </w:r>
      <w:r w:rsidR="00DE36DD">
        <w:t>d</w:t>
      </w:r>
      <w:r w:rsidRPr="00B7160E">
        <w:t xml:space="preserve">iagnostics and </w:t>
      </w:r>
      <w:r w:rsidR="00DE36DD">
        <w:t>d</w:t>
      </w:r>
      <w:r w:rsidRPr="00B7160E">
        <w:t>etection</w:t>
      </w:r>
    </w:p>
    <w:p w14:paraId="05B10EC0" w14:textId="2CC0CDD3" w:rsidR="00A74229" w:rsidRPr="00A74229" w:rsidRDefault="0056689E" w:rsidP="00D54420">
      <w:pPr>
        <w:pStyle w:val="BoxText"/>
      </w:pPr>
      <w:r>
        <w:rPr>
          <w:noProof/>
        </w:rPr>
        <w:drawing>
          <wp:inline distT="0" distB="0" distL="0" distR="0" wp14:anchorId="7BA4D025" wp14:editId="610F22DF">
            <wp:extent cx="1620982" cy="1213658"/>
            <wp:effectExtent l="0" t="0" r="0" b="5715"/>
            <wp:docPr id="129648421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84216" name="Picture 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620982" cy="1213658"/>
                    </a:xfrm>
                    <a:prstGeom prst="rect">
                      <a:avLst/>
                    </a:prstGeom>
                  </pic:spPr>
                </pic:pic>
              </a:graphicData>
            </a:graphic>
          </wp:inline>
        </w:drawing>
      </w:r>
    </w:p>
    <w:p w14:paraId="219F9863" w14:textId="7D5683B1" w:rsidR="00214927" w:rsidRDefault="00B7160E" w:rsidP="00B7160E">
      <w:pPr>
        <w:pStyle w:val="Caption"/>
      </w:pPr>
      <w:r>
        <w:t xml:space="preserve">Case study </w:t>
      </w:r>
      <w:r>
        <w:fldChar w:fldCharType="begin"/>
      </w:r>
      <w:r>
        <w:instrText xml:space="preserve"> SEQ Case_study \* ARABIC </w:instrText>
      </w:r>
      <w:r>
        <w:fldChar w:fldCharType="separate"/>
      </w:r>
      <w:r>
        <w:rPr>
          <w:noProof/>
        </w:rPr>
        <w:t>4</w:t>
      </w:r>
      <w:r>
        <w:fldChar w:fldCharType="end"/>
      </w:r>
      <w:r w:rsidRPr="00B7160E">
        <w:t xml:space="preserve"> Behavioural Insights for On-Farm Biosecurity</w:t>
      </w:r>
    </w:p>
    <w:p w14:paraId="5132E28A" w14:textId="1A880CEC" w:rsidR="00B7160E" w:rsidRDefault="00B7160E" w:rsidP="00B7160E">
      <w:pPr>
        <w:pStyle w:val="BoxText"/>
      </w:pPr>
      <w:r w:rsidRPr="00B7160E">
        <w:t>AgriFutures</w:t>
      </w:r>
      <w:r w:rsidR="00C8717C">
        <w:t xml:space="preserve"> conducted a study</w:t>
      </w:r>
      <w:r w:rsidRPr="00B7160E">
        <w:t xml:space="preserve"> </w:t>
      </w:r>
      <w:hyperlink r:id="rId19" w:history="1">
        <w:r w:rsidR="00C8717C" w:rsidRPr="00C8717C">
          <w:rPr>
            <w:rStyle w:val="Hyperlink"/>
          </w:rPr>
          <w:t>Farm-level adoption of biosecurity management – behavioural analysis</w:t>
        </w:r>
      </w:hyperlink>
      <w:r w:rsidR="00C8717C">
        <w:t>. The report looked at</w:t>
      </w:r>
      <w:r w:rsidRPr="00B7160E">
        <w:t xml:space="preserve"> why biosecurity practices vary across farms. Key factors include trust, sector norms, clarity of messaging, skills, technology access and personal wellbeing. The report offers a framework for improving uptake of biosecurity practices</w:t>
      </w:r>
      <w:r w:rsidR="00702F4D">
        <w:t>.</w:t>
      </w:r>
    </w:p>
    <w:p w14:paraId="3CD4C0AC" w14:textId="709D457D" w:rsidR="00B7160E" w:rsidRPr="005B1730" w:rsidRDefault="00B7160E" w:rsidP="00B7160E">
      <w:pPr>
        <w:pStyle w:val="BoxText"/>
        <w:rPr>
          <w:b/>
          <w:bCs/>
        </w:rPr>
      </w:pPr>
      <w:r w:rsidRPr="005B1730">
        <w:rPr>
          <w:b/>
          <w:bCs/>
        </w:rPr>
        <w:t>Strategies addressed</w:t>
      </w:r>
    </w:p>
    <w:p w14:paraId="7D9A7E2D" w14:textId="56E9CBDC" w:rsidR="00B7160E" w:rsidRPr="00B7160E" w:rsidRDefault="00B7160E" w:rsidP="00B7160E">
      <w:pPr>
        <w:pStyle w:val="BoxTextBullet"/>
      </w:pPr>
      <w:r w:rsidRPr="00B7160E">
        <w:t>Environmental and Community Biosecurity RD&amp;E Strategy (NECBRDES) 2021</w:t>
      </w:r>
      <w:r w:rsidR="00702F4D">
        <w:t>–</w:t>
      </w:r>
      <w:r w:rsidRPr="00B7160E">
        <w:t>2026</w:t>
      </w:r>
    </w:p>
    <w:p w14:paraId="048879E5" w14:textId="77777777" w:rsidR="00B7160E" w:rsidRPr="00B7160E" w:rsidRDefault="00B7160E" w:rsidP="00B7160E">
      <w:pPr>
        <w:pStyle w:val="BoxTextBullet"/>
      </w:pPr>
      <w:r w:rsidRPr="00B7160E">
        <w:t>Plant Biosecurity Research Initiative (PBRI) Strategy 2023–2028</w:t>
      </w:r>
    </w:p>
    <w:p w14:paraId="01A6D415" w14:textId="77777777" w:rsidR="00B7160E" w:rsidRPr="00B7160E" w:rsidRDefault="00B7160E" w:rsidP="00B7160E">
      <w:pPr>
        <w:pStyle w:val="BoxTextBullet"/>
      </w:pPr>
      <w:r w:rsidRPr="00B7160E">
        <w:t>Animal Biosecurity RD&amp;E Strategy (NABRDES) 2023–2028</w:t>
      </w:r>
    </w:p>
    <w:p w14:paraId="242F0834" w14:textId="623E8E5D" w:rsidR="00B7160E" w:rsidRPr="00B7160E" w:rsidRDefault="00B7160E" w:rsidP="00B7160E">
      <w:pPr>
        <w:pStyle w:val="BoxTextBullet"/>
      </w:pPr>
      <w:r w:rsidRPr="00B7160E">
        <w:t>National Biosecurity Strategy 2022</w:t>
      </w:r>
      <w:r w:rsidR="00702F4D">
        <w:t>–</w:t>
      </w:r>
      <w:r w:rsidRPr="00B7160E">
        <w:t>2032</w:t>
      </w:r>
    </w:p>
    <w:p w14:paraId="2DD0D519" w14:textId="050A2F76" w:rsidR="00B7160E" w:rsidRPr="005B1730" w:rsidRDefault="00B21AA7" w:rsidP="00B7160E">
      <w:pPr>
        <w:pStyle w:val="BoxText"/>
        <w:rPr>
          <w:b/>
          <w:bCs/>
        </w:rPr>
      </w:pPr>
      <w:r w:rsidRPr="005B1730">
        <w:rPr>
          <w:b/>
          <w:bCs/>
        </w:rPr>
        <w:t>Priorities addressed</w:t>
      </w:r>
    </w:p>
    <w:p w14:paraId="6947B3C3" w14:textId="41293D28" w:rsidR="00B21AA7" w:rsidRPr="00B21AA7" w:rsidRDefault="00B21AA7" w:rsidP="00B21AA7">
      <w:pPr>
        <w:pStyle w:val="BoxTextBullet"/>
      </w:pPr>
      <w:r w:rsidRPr="00B21AA7">
        <w:t xml:space="preserve">Risk Assessment and </w:t>
      </w:r>
      <w:r w:rsidR="00DE36DD">
        <w:t>p</w:t>
      </w:r>
      <w:r w:rsidRPr="00B21AA7">
        <w:t>reparedness</w:t>
      </w:r>
    </w:p>
    <w:p w14:paraId="7FB5616B" w14:textId="44DB142B" w:rsidR="00B21AA7" w:rsidRDefault="00B21AA7" w:rsidP="00B21AA7">
      <w:pPr>
        <w:pStyle w:val="BoxTextBullet"/>
      </w:pPr>
      <w:r>
        <w:t xml:space="preserve">Collaboration and </w:t>
      </w:r>
      <w:r w:rsidR="00DE36DD">
        <w:t>k</w:t>
      </w:r>
      <w:r>
        <w:t xml:space="preserve">nowledge </w:t>
      </w:r>
      <w:r w:rsidR="00DE36DD">
        <w:t>s</w:t>
      </w:r>
      <w:r>
        <w:t>haring</w:t>
      </w:r>
    </w:p>
    <w:p w14:paraId="2C317B44" w14:textId="6CB0DCC6" w:rsidR="00214927" w:rsidRDefault="00B21AA7" w:rsidP="000A5BA0">
      <w:pPr>
        <w:pStyle w:val="BoxTextBullet"/>
      </w:pPr>
      <w:r>
        <w:t xml:space="preserve">Governance and </w:t>
      </w:r>
      <w:r w:rsidR="00DE36DD">
        <w:t>p</w:t>
      </w:r>
      <w:r>
        <w:t>olicy</w:t>
      </w:r>
    </w:p>
    <w:p w14:paraId="563C9542" w14:textId="77777777" w:rsidR="00463EBF" w:rsidRDefault="00463EBF" w:rsidP="00DE36DD">
      <w:pPr>
        <w:pStyle w:val="Heading3"/>
        <w:pageBreakBefore/>
        <w:spacing w:before="240" w:after="240"/>
        <w:ind w:left="0" w:firstLine="0"/>
      </w:pPr>
      <w:r w:rsidRPr="009B4DAE">
        <w:lastRenderedPageBreak/>
        <w:t xml:space="preserve">Contact </w:t>
      </w:r>
      <w:r>
        <w:t>d</w:t>
      </w:r>
      <w:r w:rsidRPr="009B4DAE">
        <w:t>etails</w:t>
      </w:r>
    </w:p>
    <w:p w14:paraId="6D36FAE9" w14:textId="77777777" w:rsidR="00463EBF" w:rsidRDefault="00463EBF" w:rsidP="00463EBF">
      <w:r>
        <w:t xml:space="preserve">Animal: </w:t>
      </w:r>
      <w:hyperlink r:id="rId20" w:history="1">
        <w:r w:rsidRPr="00A37B5E">
          <w:rPr>
            <w:rStyle w:val="Hyperlink"/>
          </w:rPr>
          <w:t>aha@animalhealthaustralia.com.au</w:t>
        </w:r>
      </w:hyperlink>
    </w:p>
    <w:p w14:paraId="7144B919" w14:textId="77777777" w:rsidR="00463EBF" w:rsidRDefault="00463EBF" w:rsidP="00463EBF">
      <w:r>
        <w:t xml:space="preserve">Marine: </w:t>
      </w:r>
      <w:hyperlink r:id="rId21" w:history="1">
        <w:r w:rsidRPr="00A37B5E">
          <w:rPr>
            <w:rStyle w:val="Hyperlink"/>
          </w:rPr>
          <w:t>MPSC@aff.gov.au</w:t>
        </w:r>
      </w:hyperlink>
    </w:p>
    <w:p w14:paraId="747DE90B" w14:textId="77777777" w:rsidR="00463EBF" w:rsidRDefault="00463EBF" w:rsidP="00463EBF">
      <w:r>
        <w:t xml:space="preserve">Environmental: </w:t>
      </w:r>
      <w:hyperlink r:id="rId22" w:history="1">
        <w:r w:rsidRPr="00A37B5E">
          <w:rPr>
            <w:rStyle w:val="Hyperlink"/>
          </w:rPr>
          <w:t>EBO@aff.gov.au</w:t>
        </w:r>
      </w:hyperlink>
    </w:p>
    <w:p w14:paraId="3A06BD5E" w14:textId="14E85EA7" w:rsidR="00463EBF" w:rsidRPr="00D54420" w:rsidRDefault="00463EBF" w:rsidP="00D54420">
      <w:r>
        <w:t xml:space="preserve">Plant: </w:t>
      </w:r>
      <w:hyperlink r:id="rId23" w:history="1">
        <w:r w:rsidRPr="00A37B5E">
          <w:rPr>
            <w:rStyle w:val="Hyperlink"/>
          </w:rPr>
          <w:t>jo.luck@horticulture.com.au</w:t>
        </w:r>
      </w:hyperlink>
    </w:p>
    <w:p w14:paraId="0FDCE00B" w14:textId="4A6E99AB" w:rsidR="000A5BA0" w:rsidRDefault="000A5BA0" w:rsidP="005B1730">
      <w:pPr>
        <w:pStyle w:val="Normalsmall"/>
        <w:spacing w:before="480"/>
      </w:pPr>
      <w:r>
        <w:rPr>
          <w:rStyle w:val="Strong"/>
        </w:rPr>
        <w:t>Acknowledgement</w:t>
      </w:r>
      <w:r w:rsidR="00214927">
        <w:rPr>
          <w:rStyle w:val="Strong"/>
        </w:rPr>
        <w:t>s</w:t>
      </w:r>
    </w:p>
    <w:p w14:paraId="28F46E5C" w14:textId="1E58D087" w:rsidR="00214927" w:rsidRDefault="00214927" w:rsidP="000A5BA0">
      <w:pPr>
        <w:pStyle w:val="Normalsmall"/>
      </w:pPr>
      <w:r w:rsidRPr="00214927">
        <w:t xml:space="preserve">Development of this document was led by the custodians of each RD&amp;E strategy in consultation with the </w:t>
      </w:r>
      <w:r w:rsidR="00CB6437">
        <w:t>department’s</w:t>
      </w:r>
      <w:r w:rsidR="00CB6437" w:rsidRPr="00214927">
        <w:t xml:space="preserve"> </w:t>
      </w:r>
      <w:r w:rsidRPr="00214927">
        <w:t>National Biosecurity Strategy (NBS) team. We also acknowledge the role of Wild Matters in leading the National Environmental and Community Biosecurity RD&amp;E Strategy (NECBRDES) and for their contribution in developing this product</w:t>
      </w:r>
      <w:r>
        <w:t>.</w:t>
      </w:r>
    </w:p>
    <w:p w14:paraId="278BBA26" w14:textId="27FBE379"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6710777" w14:textId="77777777" w:rsidR="00E9781D" w:rsidRDefault="00E9781D" w:rsidP="00E9781D">
      <w:pPr>
        <w:pStyle w:val="Normalsmall"/>
        <w:spacing w:before="360"/>
      </w:pPr>
      <w:r>
        <w:t>© Commonwealth of Australia 202</w:t>
      </w:r>
      <w:r w:rsidR="004A46C2">
        <w:t>5</w:t>
      </w:r>
    </w:p>
    <w:p w14:paraId="29383AE5"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6D3834C9" w14:textId="77777777" w:rsidR="00E9781D" w:rsidRDefault="00E9781D" w:rsidP="00E9781D">
      <w:pPr>
        <w:pStyle w:val="Normalsmall"/>
      </w:pPr>
      <w:r>
        <w:t xml:space="preserve">All material in this publication is licensed under a </w:t>
      </w:r>
      <w:hyperlink r:id="rId24" w:history="1">
        <w:r>
          <w:rPr>
            <w:rStyle w:val="Hyperlink"/>
          </w:rPr>
          <w:t>Creative Commons Attribution 4.0 International Licence</w:t>
        </w:r>
      </w:hyperlink>
      <w:r>
        <w:t xml:space="preserve"> except content supplied by third parties, logos and the Commonwealth Coat of Arms.</w:t>
      </w:r>
    </w:p>
    <w:p w14:paraId="204DFBCE"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25"/>
      <w:headerReference w:type="default" r:id="rId26"/>
      <w:footerReference w:type="even" r:id="rId27"/>
      <w:footerReference w:type="default" r:id="rId28"/>
      <w:headerReference w:type="first" r:id="rId29"/>
      <w:footerReference w:type="first" r:id="rId3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4558" w14:textId="77777777" w:rsidR="005854A2" w:rsidRDefault="005854A2">
      <w:r>
        <w:separator/>
      </w:r>
    </w:p>
    <w:p w14:paraId="04E4047C" w14:textId="77777777" w:rsidR="005854A2" w:rsidRDefault="005854A2"/>
    <w:p w14:paraId="3A8CAF69" w14:textId="77777777" w:rsidR="005854A2" w:rsidRDefault="005854A2"/>
  </w:endnote>
  <w:endnote w:type="continuationSeparator" w:id="0">
    <w:p w14:paraId="195B1D39" w14:textId="77777777" w:rsidR="005854A2" w:rsidRDefault="005854A2">
      <w:r>
        <w:continuationSeparator/>
      </w:r>
    </w:p>
    <w:p w14:paraId="577CC6BB" w14:textId="77777777" w:rsidR="005854A2" w:rsidRDefault="005854A2"/>
    <w:p w14:paraId="68E0E885" w14:textId="77777777" w:rsidR="005854A2" w:rsidRDefault="005854A2"/>
  </w:endnote>
  <w:endnote w:type="continuationNotice" w:id="1">
    <w:p w14:paraId="532CF64D" w14:textId="77777777" w:rsidR="005854A2" w:rsidRDefault="005854A2">
      <w:pPr>
        <w:pStyle w:val="Footer"/>
      </w:pPr>
    </w:p>
    <w:p w14:paraId="7EF1C8DA" w14:textId="77777777" w:rsidR="005854A2" w:rsidRDefault="005854A2"/>
    <w:p w14:paraId="1CB34E15" w14:textId="77777777" w:rsidR="005854A2" w:rsidRDefault="00585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8ED3"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36CCF28E" wp14:editId="6F82014F">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48E4D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CF28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548E4D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08BA"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697917BA" wp14:editId="6590274A">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4D2B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917B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84D2B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06F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7FC3D2A2" wp14:editId="16747D6D">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33944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3D2A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833944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DB15" w14:textId="77777777" w:rsidR="005854A2" w:rsidRDefault="005854A2">
      <w:r>
        <w:separator/>
      </w:r>
    </w:p>
    <w:p w14:paraId="7EED7A3C" w14:textId="77777777" w:rsidR="005854A2" w:rsidRDefault="005854A2"/>
    <w:p w14:paraId="7777462E" w14:textId="77777777" w:rsidR="005854A2" w:rsidRDefault="005854A2"/>
  </w:footnote>
  <w:footnote w:type="continuationSeparator" w:id="0">
    <w:p w14:paraId="7A8A2D45" w14:textId="77777777" w:rsidR="005854A2" w:rsidRDefault="005854A2">
      <w:r>
        <w:continuationSeparator/>
      </w:r>
    </w:p>
    <w:p w14:paraId="21F7A0E9" w14:textId="77777777" w:rsidR="005854A2" w:rsidRDefault="005854A2"/>
    <w:p w14:paraId="33E4D367" w14:textId="77777777" w:rsidR="005854A2" w:rsidRDefault="005854A2"/>
  </w:footnote>
  <w:footnote w:type="continuationNotice" w:id="1">
    <w:p w14:paraId="3F092F2A" w14:textId="77777777" w:rsidR="005854A2" w:rsidRDefault="005854A2">
      <w:pPr>
        <w:pStyle w:val="Footer"/>
      </w:pPr>
    </w:p>
    <w:p w14:paraId="5E6323DD" w14:textId="77777777" w:rsidR="005854A2" w:rsidRDefault="005854A2"/>
    <w:p w14:paraId="1C63CBAD" w14:textId="77777777" w:rsidR="005854A2" w:rsidRDefault="00585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3C94"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454E0C42" wp14:editId="5E392043">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FC79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E0C4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DFC79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644B" w14:textId="095F5086" w:rsidR="000542B4" w:rsidRDefault="005A3361">
    <w:pPr>
      <w:pStyle w:val="Header"/>
    </w:pPr>
    <w:r>
      <w:rPr>
        <w:noProof/>
      </w:rPr>
      <mc:AlternateContent>
        <mc:Choice Requires="wps">
          <w:drawing>
            <wp:anchor distT="0" distB="0" distL="0" distR="0" simplePos="0" relativeHeight="251658243" behindDoc="0" locked="0" layoutInCell="1" allowOverlap="1" wp14:anchorId="5097847A" wp14:editId="5FC229DD">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7D55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7847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C7D55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643630" w:rsidRPr="00643630">
      <w:t>How the National Biosecurity RD&amp;E Strategies Work Together: A Guide for Researchers &amp;</w:t>
    </w:r>
    <w:r w:rsidR="00643630">
      <w:t xml:space="preserve"> Funders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75D"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6403139" wp14:editId="47AD54C3">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4AD19C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0313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4AD19C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5F999CBF" wp14:editId="231F386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5EAB3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ED4FCB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82C6A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6F31B43"/>
    <w:multiLevelType w:val="hybridMultilevel"/>
    <w:tmpl w:val="00D66C04"/>
    <w:lvl w:ilvl="0" w:tplc="71EE368E">
      <w:start w:val="1"/>
      <w:numFmt w:val="bullet"/>
      <w:lvlText w:val=""/>
      <w:lvlJc w:val="left"/>
      <w:pPr>
        <w:ind w:left="1020" w:hanging="360"/>
      </w:pPr>
      <w:rPr>
        <w:rFonts w:ascii="Symbol" w:hAnsi="Symbol"/>
      </w:rPr>
    </w:lvl>
    <w:lvl w:ilvl="1" w:tplc="7796475E">
      <w:start w:val="1"/>
      <w:numFmt w:val="bullet"/>
      <w:lvlText w:val=""/>
      <w:lvlJc w:val="left"/>
      <w:pPr>
        <w:ind w:left="1020" w:hanging="360"/>
      </w:pPr>
      <w:rPr>
        <w:rFonts w:ascii="Symbol" w:hAnsi="Symbol"/>
      </w:rPr>
    </w:lvl>
    <w:lvl w:ilvl="2" w:tplc="371EFD04">
      <w:start w:val="1"/>
      <w:numFmt w:val="bullet"/>
      <w:lvlText w:val=""/>
      <w:lvlJc w:val="left"/>
      <w:pPr>
        <w:ind w:left="1020" w:hanging="360"/>
      </w:pPr>
      <w:rPr>
        <w:rFonts w:ascii="Symbol" w:hAnsi="Symbol"/>
      </w:rPr>
    </w:lvl>
    <w:lvl w:ilvl="3" w:tplc="08C23616">
      <w:start w:val="1"/>
      <w:numFmt w:val="bullet"/>
      <w:lvlText w:val=""/>
      <w:lvlJc w:val="left"/>
      <w:pPr>
        <w:ind w:left="1020" w:hanging="360"/>
      </w:pPr>
      <w:rPr>
        <w:rFonts w:ascii="Symbol" w:hAnsi="Symbol"/>
      </w:rPr>
    </w:lvl>
    <w:lvl w:ilvl="4" w:tplc="5398414A">
      <w:start w:val="1"/>
      <w:numFmt w:val="bullet"/>
      <w:lvlText w:val=""/>
      <w:lvlJc w:val="left"/>
      <w:pPr>
        <w:ind w:left="1020" w:hanging="360"/>
      </w:pPr>
      <w:rPr>
        <w:rFonts w:ascii="Symbol" w:hAnsi="Symbol"/>
      </w:rPr>
    </w:lvl>
    <w:lvl w:ilvl="5" w:tplc="161A2380">
      <w:start w:val="1"/>
      <w:numFmt w:val="bullet"/>
      <w:lvlText w:val=""/>
      <w:lvlJc w:val="left"/>
      <w:pPr>
        <w:ind w:left="1020" w:hanging="360"/>
      </w:pPr>
      <w:rPr>
        <w:rFonts w:ascii="Symbol" w:hAnsi="Symbol"/>
      </w:rPr>
    </w:lvl>
    <w:lvl w:ilvl="6" w:tplc="5A62C08C">
      <w:start w:val="1"/>
      <w:numFmt w:val="bullet"/>
      <w:lvlText w:val=""/>
      <w:lvlJc w:val="left"/>
      <w:pPr>
        <w:ind w:left="1020" w:hanging="360"/>
      </w:pPr>
      <w:rPr>
        <w:rFonts w:ascii="Symbol" w:hAnsi="Symbol"/>
      </w:rPr>
    </w:lvl>
    <w:lvl w:ilvl="7" w:tplc="61C89796">
      <w:start w:val="1"/>
      <w:numFmt w:val="bullet"/>
      <w:lvlText w:val=""/>
      <w:lvlJc w:val="left"/>
      <w:pPr>
        <w:ind w:left="1020" w:hanging="360"/>
      </w:pPr>
      <w:rPr>
        <w:rFonts w:ascii="Symbol" w:hAnsi="Symbol"/>
      </w:rPr>
    </w:lvl>
    <w:lvl w:ilvl="8" w:tplc="E4147F66">
      <w:start w:val="1"/>
      <w:numFmt w:val="bullet"/>
      <w:lvlText w:val=""/>
      <w:lvlJc w:val="left"/>
      <w:pPr>
        <w:ind w:left="1020" w:hanging="360"/>
      </w:pPr>
      <w:rPr>
        <w:rFonts w:ascii="Symbol" w:hAnsi="Symbol"/>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0F00F4"/>
    <w:multiLevelType w:val="hybridMultilevel"/>
    <w:tmpl w:val="7A7663E0"/>
    <w:lvl w:ilvl="0" w:tplc="1F08F5FE">
      <w:start w:val="1"/>
      <w:numFmt w:val="decimal"/>
      <w:lvlText w:val="%1."/>
      <w:lvlJc w:val="left"/>
      <w:pPr>
        <w:ind w:left="1020" w:hanging="360"/>
      </w:pPr>
    </w:lvl>
    <w:lvl w:ilvl="1" w:tplc="B0A8885C">
      <w:start w:val="1"/>
      <w:numFmt w:val="decimal"/>
      <w:lvlText w:val="%2."/>
      <w:lvlJc w:val="left"/>
      <w:pPr>
        <w:ind w:left="1020" w:hanging="360"/>
      </w:pPr>
    </w:lvl>
    <w:lvl w:ilvl="2" w:tplc="999A546E">
      <w:start w:val="1"/>
      <w:numFmt w:val="decimal"/>
      <w:lvlText w:val="%3."/>
      <w:lvlJc w:val="left"/>
      <w:pPr>
        <w:ind w:left="1020" w:hanging="360"/>
      </w:pPr>
    </w:lvl>
    <w:lvl w:ilvl="3" w:tplc="9370D3B0">
      <w:start w:val="1"/>
      <w:numFmt w:val="decimal"/>
      <w:lvlText w:val="%4."/>
      <w:lvlJc w:val="left"/>
      <w:pPr>
        <w:ind w:left="1020" w:hanging="360"/>
      </w:pPr>
    </w:lvl>
    <w:lvl w:ilvl="4" w:tplc="BD1EA376">
      <w:start w:val="1"/>
      <w:numFmt w:val="decimal"/>
      <w:lvlText w:val="%5."/>
      <w:lvlJc w:val="left"/>
      <w:pPr>
        <w:ind w:left="1020" w:hanging="360"/>
      </w:pPr>
    </w:lvl>
    <w:lvl w:ilvl="5" w:tplc="8BD268A2">
      <w:start w:val="1"/>
      <w:numFmt w:val="decimal"/>
      <w:lvlText w:val="%6."/>
      <w:lvlJc w:val="left"/>
      <w:pPr>
        <w:ind w:left="1020" w:hanging="360"/>
      </w:pPr>
    </w:lvl>
    <w:lvl w:ilvl="6" w:tplc="AAFE6F8C">
      <w:start w:val="1"/>
      <w:numFmt w:val="decimal"/>
      <w:lvlText w:val="%7."/>
      <w:lvlJc w:val="left"/>
      <w:pPr>
        <w:ind w:left="1020" w:hanging="360"/>
      </w:pPr>
    </w:lvl>
    <w:lvl w:ilvl="7" w:tplc="CC3A75B4">
      <w:start w:val="1"/>
      <w:numFmt w:val="decimal"/>
      <w:lvlText w:val="%8."/>
      <w:lvlJc w:val="left"/>
      <w:pPr>
        <w:ind w:left="1020" w:hanging="360"/>
      </w:pPr>
    </w:lvl>
    <w:lvl w:ilvl="8" w:tplc="0CEAB1DE">
      <w:start w:val="1"/>
      <w:numFmt w:val="decimal"/>
      <w:lvlText w:val="%9."/>
      <w:lvlJc w:val="left"/>
      <w:pPr>
        <w:ind w:left="1020" w:hanging="360"/>
      </w:p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E10A48"/>
    <w:multiLevelType w:val="hybridMultilevel"/>
    <w:tmpl w:val="4BBA9ED8"/>
    <w:lvl w:ilvl="0" w:tplc="3A7AC62C">
      <w:start w:val="1"/>
      <w:numFmt w:val="decimal"/>
      <w:lvlText w:val="%1."/>
      <w:lvlJc w:val="left"/>
      <w:pPr>
        <w:ind w:left="1020" w:hanging="360"/>
      </w:pPr>
    </w:lvl>
    <w:lvl w:ilvl="1" w:tplc="09B85280">
      <w:start w:val="1"/>
      <w:numFmt w:val="decimal"/>
      <w:lvlText w:val="%2."/>
      <w:lvlJc w:val="left"/>
      <w:pPr>
        <w:ind w:left="1020" w:hanging="360"/>
      </w:pPr>
    </w:lvl>
    <w:lvl w:ilvl="2" w:tplc="70340976">
      <w:start w:val="1"/>
      <w:numFmt w:val="decimal"/>
      <w:lvlText w:val="%3."/>
      <w:lvlJc w:val="left"/>
      <w:pPr>
        <w:ind w:left="1020" w:hanging="360"/>
      </w:pPr>
    </w:lvl>
    <w:lvl w:ilvl="3" w:tplc="388CAE76">
      <w:start w:val="1"/>
      <w:numFmt w:val="decimal"/>
      <w:lvlText w:val="%4."/>
      <w:lvlJc w:val="left"/>
      <w:pPr>
        <w:ind w:left="1020" w:hanging="360"/>
      </w:pPr>
    </w:lvl>
    <w:lvl w:ilvl="4" w:tplc="92CAE684">
      <w:start w:val="1"/>
      <w:numFmt w:val="decimal"/>
      <w:lvlText w:val="%5."/>
      <w:lvlJc w:val="left"/>
      <w:pPr>
        <w:ind w:left="1020" w:hanging="360"/>
      </w:pPr>
    </w:lvl>
    <w:lvl w:ilvl="5" w:tplc="DFA8EC04">
      <w:start w:val="1"/>
      <w:numFmt w:val="decimal"/>
      <w:lvlText w:val="%6."/>
      <w:lvlJc w:val="left"/>
      <w:pPr>
        <w:ind w:left="1020" w:hanging="360"/>
      </w:pPr>
    </w:lvl>
    <w:lvl w:ilvl="6" w:tplc="0FEC40A8">
      <w:start w:val="1"/>
      <w:numFmt w:val="decimal"/>
      <w:lvlText w:val="%7."/>
      <w:lvlJc w:val="left"/>
      <w:pPr>
        <w:ind w:left="1020" w:hanging="360"/>
      </w:pPr>
    </w:lvl>
    <w:lvl w:ilvl="7" w:tplc="DE7CF282">
      <w:start w:val="1"/>
      <w:numFmt w:val="decimal"/>
      <w:lvlText w:val="%8."/>
      <w:lvlJc w:val="left"/>
      <w:pPr>
        <w:ind w:left="1020" w:hanging="360"/>
      </w:pPr>
    </w:lvl>
    <w:lvl w:ilvl="8" w:tplc="09E859DC">
      <w:start w:val="1"/>
      <w:numFmt w:val="decimal"/>
      <w:lvlText w:val="%9."/>
      <w:lvlJc w:val="left"/>
      <w:pPr>
        <w:ind w:left="1020" w:hanging="360"/>
      </w:pPr>
    </w:lvl>
  </w:abstractNum>
  <w:abstractNum w:abstractNumId="16"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7"/>
  </w:num>
  <w:num w:numId="2" w16cid:durableId="1209954464">
    <w:abstractNumId w:val="5"/>
  </w:num>
  <w:num w:numId="3" w16cid:durableId="211696695">
    <w:abstractNumId w:val="10"/>
  </w:num>
  <w:num w:numId="4" w16cid:durableId="1550148830">
    <w:abstractNumId w:val="11"/>
  </w:num>
  <w:num w:numId="5" w16cid:durableId="1460108156">
    <w:abstractNumId w:val="3"/>
  </w:num>
  <w:num w:numId="6" w16cid:durableId="1934704985">
    <w:abstractNumId w:val="8"/>
  </w:num>
  <w:num w:numId="7" w16cid:durableId="1013073201">
    <w:abstractNumId w:val="9"/>
  </w:num>
  <w:num w:numId="8" w16cid:durableId="524289160">
    <w:abstractNumId w:val="4"/>
  </w:num>
  <w:num w:numId="9" w16cid:durableId="94401862">
    <w:abstractNumId w:val="14"/>
  </w:num>
  <w:num w:numId="10" w16cid:durableId="1262253482">
    <w:abstractNumId w:val="14"/>
  </w:num>
  <w:num w:numId="11" w16cid:durableId="1504468562">
    <w:abstractNumId w:val="14"/>
  </w:num>
  <w:num w:numId="12" w16cid:durableId="1296328144">
    <w:abstractNumId w:val="14"/>
  </w:num>
  <w:num w:numId="13" w16cid:durableId="1361395064">
    <w:abstractNumId w:val="13"/>
  </w:num>
  <w:num w:numId="14" w16cid:durableId="1080635027">
    <w:abstractNumId w:val="16"/>
  </w:num>
  <w:num w:numId="15" w16cid:durableId="1202937427">
    <w:abstractNumId w:val="2"/>
  </w:num>
  <w:num w:numId="16" w16cid:durableId="856892203">
    <w:abstractNumId w:val="0"/>
  </w:num>
  <w:num w:numId="17" w16cid:durableId="1174733199">
    <w:abstractNumId w:val="1"/>
  </w:num>
  <w:num w:numId="18" w16cid:durableId="256138171">
    <w:abstractNumId w:val="12"/>
  </w:num>
  <w:num w:numId="19" w16cid:durableId="1816950313">
    <w:abstractNumId w:val="6"/>
  </w:num>
  <w:num w:numId="20" w16cid:durableId="176175859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3"/>
    <w:rsid w:val="0000059E"/>
    <w:rsid w:val="0000066F"/>
    <w:rsid w:val="00001B53"/>
    <w:rsid w:val="00011E37"/>
    <w:rsid w:val="00017ACB"/>
    <w:rsid w:val="00021590"/>
    <w:rsid w:val="00025D1B"/>
    <w:rsid w:val="000266C4"/>
    <w:rsid w:val="0003648C"/>
    <w:rsid w:val="000451AE"/>
    <w:rsid w:val="0005308A"/>
    <w:rsid w:val="000542B4"/>
    <w:rsid w:val="000618F3"/>
    <w:rsid w:val="00066D0B"/>
    <w:rsid w:val="00071733"/>
    <w:rsid w:val="000717D2"/>
    <w:rsid w:val="00071927"/>
    <w:rsid w:val="000721C3"/>
    <w:rsid w:val="00074A56"/>
    <w:rsid w:val="00080827"/>
    <w:rsid w:val="000815F1"/>
    <w:rsid w:val="0008277A"/>
    <w:rsid w:val="00084605"/>
    <w:rsid w:val="000904C1"/>
    <w:rsid w:val="000913B5"/>
    <w:rsid w:val="000A5BA0"/>
    <w:rsid w:val="000B3924"/>
    <w:rsid w:val="000B3C44"/>
    <w:rsid w:val="000B53F0"/>
    <w:rsid w:val="000C0412"/>
    <w:rsid w:val="000C4558"/>
    <w:rsid w:val="000E455C"/>
    <w:rsid w:val="000E4D74"/>
    <w:rsid w:val="000E7803"/>
    <w:rsid w:val="000F0491"/>
    <w:rsid w:val="000F6357"/>
    <w:rsid w:val="001033CE"/>
    <w:rsid w:val="001233A8"/>
    <w:rsid w:val="00127B9F"/>
    <w:rsid w:val="0013173D"/>
    <w:rsid w:val="00133E1D"/>
    <w:rsid w:val="00140FB6"/>
    <w:rsid w:val="00143A7B"/>
    <w:rsid w:val="00144601"/>
    <w:rsid w:val="001446F3"/>
    <w:rsid w:val="00160DC0"/>
    <w:rsid w:val="001867CA"/>
    <w:rsid w:val="00190D7E"/>
    <w:rsid w:val="001929D2"/>
    <w:rsid w:val="001A6968"/>
    <w:rsid w:val="001C45E1"/>
    <w:rsid w:val="001C6038"/>
    <w:rsid w:val="001D0EF3"/>
    <w:rsid w:val="0020140C"/>
    <w:rsid w:val="00201BFB"/>
    <w:rsid w:val="00203DE1"/>
    <w:rsid w:val="00206145"/>
    <w:rsid w:val="00214927"/>
    <w:rsid w:val="00220425"/>
    <w:rsid w:val="00220618"/>
    <w:rsid w:val="00220C05"/>
    <w:rsid w:val="00237A69"/>
    <w:rsid w:val="00275B58"/>
    <w:rsid w:val="00284B53"/>
    <w:rsid w:val="00296F50"/>
    <w:rsid w:val="002B1FAF"/>
    <w:rsid w:val="002E3FD4"/>
    <w:rsid w:val="002F4595"/>
    <w:rsid w:val="002F71D0"/>
    <w:rsid w:val="00300AFD"/>
    <w:rsid w:val="003032C0"/>
    <w:rsid w:val="00330530"/>
    <w:rsid w:val="00336B60"/>
    <w:rsid w:val="0035108D"/>
    <w:rsid w:val="003569F9"/>
    <w:rsid w:val="00363273"/>
    <w:rsid w:val="00366721"/>
    <w:rsid w:val="00370990"/>
    <w:rsid w:val="003740E3"/>
    <w:rsid w:val="0037698A"/>
    <w:rsid w:val="00377208"/>
    <w:rsid w:val="00377CCB"/>
    <w:rsid w:val="00380E93"/>
    <w:rsid w:val="00392124"/>
    <w:rsid w:val="003937B8"/>
    <w:rsid w:val="003A5384"/>
    <w:rsid w:val="003B161F"/>
    <w:rsid w:val="003C26FC"/>
    <w:rsid w:val="003C4541"/>
    <w:rsid w:val="003E7A83"/>
    <w:rsid w:val="003F73D7"/>
    <w:rsid w:val="00411260"/>
    <w:rsid w:val="004365E8"/>
    <w:rsid w:val="00442630"/>
    <w:rsid w:val="0044304D"/>
    <w:rsid w:val="00446CB3"/>
    <w:rsid w:val="00451C1E"/>
    <w:rsid w:val="004612A5"/>
    <w:rsid w:val="00463EBF"/>
    <w:rsid w:val="00474BB1"/>
    <w:rsid w:val="00477888"/>
    <w:rsid w:val="00482340"/>
    <w:rsid w:val="00484332"/>
    <w:rsid w:val="00495068"/>
    <w:rsid w:val="004A46C2"/>
    <w:rsid w:val="004A7380"/>
    <w:rsid w:val="004B07EC"/>
    <w:rsid w:val="004B1621"/>
    <w:rsid w:val="004C2DA2"/>
    <w:rsid w:val="004D0888"/>
    <w:rsid w:val="004D1D68"/>
    <w:rsid w:val="004E6316"/>
    <w:rsid w:val="005019C1"/>
    <w:rsid w:val="005070C8"/>
    <w:rsid w:val="00514CEE"/>
    <w:rsid w:val="00515287"/>
    <w:rsid w:val="005157CF"/>
    <w:rsid w:val="005173D2"/>
    <w:rsid w:val="00531B5A"/>
    <w:rsid w:val="00535DC6"/>
    <w:rsid w:val="00553E9D"/>
    <w:rsid w:val="0055447F"/>
    <w:rsid w:val="0056689E"/>
    <w:rsid w:val="00567DFC"/>
    <w:rsid w:val="00577F29"/>
    <w:rsid w:val="005854A2"/>
    <w:rsid w:val="00592A61"/>
    <w:rsid w:val="005A3361"/>
    <w:rsid w:val="005A48A6"/>
    <w:rsid w:val="005B1730"/>
    <w:rsid w:val="005B613F"/>
    <w:rsid w:val="005B656B"/>
    <w:rsid w:val="005C2BFD"/>
    <w:rsid w:val="005E2817"/>
    <w:rsid w:val="005F11AC"/>
    <w:rsid w:val="00607A21"/>
    <w:rsid w:val="00607A36"/>
    <w:rsid w:val="00607D6E"/>
    <w:rsid w:val="006156DF"/>
    <w:rsid w:val="00625D8D"/>
    <w:rsid w:val="006360F9"/>
    <w:rsid w:val="00642F36"/>
    <w:rsid w:val="00643630"/>
    <w:rsid w:val="00646917"/>
    <w:rsid w:val="006522C0"/>
    <w:rsid w:val="00656587"/>
    <w:rsid w:val="00680E2A"/>
    <w:rsid w:val="00696682"/>
    <w:rsid w:val="006B0030"/>
    <w:rsid w:val="006B45DA"/>
    <w:rsid w:val="006B49DE"/>
    <w:rsid w:val="006C2C37"/>
    <w:rsid w:val="006C6452"/>
    <w:rsid w:val="006D413F"/>
    <w:rsid w:val="006E2CF3"/>
    <w:rsid w:val="006E324A"/>
    <w:rsid w:val="006E353E"/>
    <w:rsid w:val="006F6FE8"/>
    <w:rsid w:val="00700A80"/>
    <w:rsid w:val="00702F4D"/>
    <w:rsid w:val="0070464B"/>
    <w:rsid w:val="00717DE2"/>
    <w:rsid w:val="00721291"/>
    <w:rsid w:val="007258B1"/>
    <w:rsid w:val="00725C8B"/>
    <w:rsid w:val="00754CA3"/>
    <w:rsid w:val="0076549B"/>
    <w:rsid w:val="00793E18"/>
    <w:rsid w:val="007B4C63"/>
    <w:rsid w:val="007C0010"/>
    <w:rsid w:val="007D276A"/>
    <w:rsid w:val="007D3254"/>
    <w:rsid w:val="007E69AF"/>
    <w:rsid w:val="007F4986"/>
    <w:rsid w:val="0080517C"/>
    <w:rsid w:val="00807AEF"/>
    <w:rsid w:val="00826A5F"/>
    <w:rsid w:val="00832638"/>
    <w:rsid w:val="00834045"/>
    <w:rsid w:val="00842308"/>
    <w:rsid w:val="00863E83"/>
    <w:rsid w:val="008643AF"/>
    <w:rsid w:val="00864D72"/>
    <w:rsid w:val="00865130"/>
    <w:rsid w:val="00873DB8"/>
    <w:rsid w:val="00876DF4"/>
    <w:rsid w:val="00892F53"/>
    <w:rsid w:val="00895341"/>
    <w:rsid w:val="008A3027"/>
    <w:rsid w:val="008D2681"/>
    <w:rsid w:val="008E3B54"/>
    <w:rsid w:val="008F1712"/>
    <w:rsid w:val="008F382A"/>
    <w:rsid w:val="008F6FFE"/>
    <w:rsid w:val="00902E92"/>
    <w:rsid w:val="0090743D"/>
    <w:rsid w:val="00911F4A"/>
    <w:rsid w:val="00913D62"/>
    <w:rsid w:val="00916FC3"/>
    <w:rsid w:val="00930D38"/>
    <w:rsid w:val="009351C8"/>
    <w:rsid w:val="00943779"/>
    <w:rsid w:val="00965DF5"/>
    <w:rsid w:val="00974CD6"/>
    <w:rsid w:val="0097717A"/>
    <w:rsid w:val="00980349"/>
    <w:rsid w:val="009844EA"/>
    <w:rsid w:val="009A2BCD"/>
    <w:rsid w:val="009B4DAE"/>
    <w:rsid w:val="009C206F"/>
    <w:rsid w:val="009C37F9"/>
    <w:rsid w:val="009C3FA3"/>
    <w:rsid w:val="009C5CE4"/>
    <w:rsid w:val="009D6E11"/>
    <w:rsid w:val="009D7044"/>
    <w:rsid w:val="009F4C7C"/>
    <w:rsid w:val="00A0018B"/>
    <w:rsid w:val="00A04AFD"/>
    <w:rsid w:val="00A130F7"/>
    <w:rsid w:val="00A138B6"/>
    <w:rsid w:val="00A32802"/>
    <w:rsid w:val="00A32860"/>
    <w:rsid w:val="00A42B0A"/>
    <w:rsid w:val="00A473C3"/>
    <w:rsid w:val="00A62CD6"/>
    <w:rsid w:val="00A62F99"/>
    <w:rsid w:val="00A65D84"/>
    <w:rsid w:val="00A74229"/>
    <w:rsid w:val="00A77E8E"/>
    <w:rsid w:val="00A8157A"/>
    <w:rsid w:val="00A81952"/>
    <w:rsid w:val="00A83040"/>
    <w:rsid w:val="00A92CD3"/>
    <w:rsid w:val="00AA1D89"/>
    <w:rsid w:val="00AA6D06"/>
    <w:rsid w:val="00AB665C"/>
    <w:rsid w:val="00AE1E6E"/>
    <w:rsid w:val="00AE40DE"/>
    <w:rsid w:val="00AE4763"/>
    <w:rsid w:val="00AF0EAA"/>
    <w:rsid w:val="00B0121B"/>
    <w:rsid w:val="00B0455B"/>
    <w:rsid w:val="00B07E75"/>
    <w:rsid w:val="00B11E02"/>
    <w:rsid w:val="00B11E34"/>
    <w:rsid w:val="00B21AA7"/>
    <w:rsid w:val="00B21CFE"/>
    <w:rsid w:val="00B260CF"/>
    <w:rsid w:val="00B3476F"/>
    <w:rsid w:val="00B404AB"/>
    <w:rsid w:val="00B405A7"/>
    <w:rsid w:val="00B43568"/>
    <w:rsid w:val="00B44682"/>
    <w:rsid w:val="00B7160E"/>
    <w:rsid w:val="00B728E5"/>
    <w:rsid w:val="00B82095"/>
    <w:rsid w:val="00B90975"/>
    <w:rsid w:val="00B93571"/>
    <w:rsid w:val="00B94CBD"/>
    <w:rsid w:val="00B94EEA"/>
    <w:rsid w:val="00BA2806"/>
    <w:rsid w:val="00BC321A"/>
    <w:rsid w:val="00BC3323"/>
    <w:rsid w:val="00BD4F8E"/>
    <w:rsid w:val="00BE345B"/>
    <w:rsid w:val="00BF6B40"/>
    <w:rsid w:val="00C16FD0"/>
    <w:rsid w:val="00C262AE"/>
    <w:rsid w:val="00C32416"/>
    <w:rsid w:val="00C3673F"/>
    <w:rsid w:val="00C51D81"/>
    <w:rsid w:val="00C6128D"/>
    <w:rsid w:val="00C73278"/>
    <w:rsid w:val="00C765C8"/>
    <w:rsid w:val="00C82029"/>
    <w:rsid w:val="00C8717C"/>
    <w:rsid w:val="00C9283A"/>
    <w:rsid w:val="00C9327E"/>
    <w:rsid w:val="00C95039"/>
    <w:rsid w:val="00CA4615"/>
    <w:rsid w:val="00CA7C6F"/>
    <w:rsid w:val="00CB4E93"/>
    <w:rsid w:val="00CB6437"/>
    <w:rsid w:val="00CC003A"/>
    <w:rsid w:val="00CD1DB1"/>
    <w:rsid w:val="00CD3A6F"/>
    <w:rsid w:val="00CD6263"/>
    <w:rsid w:val="00CE7F36"/>
    <w:rsid w:val="00CF2051"/>
    <w:rsid w:val="00CF7D08"/>
    <w:rsid w:val="00D04A3C"/>
    <w:rsid w:val="00D06075"/>
    <w:rsid w:val="00D06C32"/>
    <w:rsid w:val="00D22097"/>
    <w:rsid w:val="00D36C41"/>
    <w:rsid w:val="00D4039B"/>
    <w:rsid w:val="00D54420"/>
    <w:rsid w:val="00D55A85"/>
    <w:rsid w:val="00D750D0"/>
    <w:rsid w:val="00D87480"/>
    <w:rsid w:val="00D94888"/>
    <w:rsid w:val="00DB0F8E"/>
    <w:rsid w:val="00DB71FD"/>
    <w:rsid w:val="00DC453F"/>
    <w:rsid w:val="00DC57F0"/>
    <w:rsid w:val="00DE36DD"/>
    <w:rsid w:val="00DE3B6B"/>
    <w:rsid w:val="00DE546F"/>
    <w:rsid w:val="00DF1644"/>
    <w:rsid w:val="00DF241E"/>
    <w:rsid w:val="00DF754D"/>
    <w:rsid w:val="00E223F4"/>
    <w:rsid w:val="00E25A07"/>
    <w:rsid w:val="00E333DF"/>
    <w:rsid w:val="00E44E91"/>
    <w:rsid w:val="00E83C41"/>
    <w:rsid w:val="00E87842"/>
    <w:rsid w:val="00E91C31"/>
    <w:rsid w:val="00E92B8B"/>
    <w:rsid w:val="00E9781D"/>
    <w:rsid w:val="00EA5D76"/>
    <w:rsid w:val="00EB743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1335"/>
    <w:rsid w:val="00F637B6"/>
    <w:rsid w:val="00F67822"/>
    <w:rsid w:val="00F75F33"/>
    <w:rsid w:val="00F84236"/>
    <w:rsid w:val="00F950B0"/>
    <w:rsid w:val="00FB689D"/>
    <w:rsid w:val="00FC2CE4"/>
    <w:rsid w:val="00FC379E"/>
    <w:rsid w:val="00FD337C"/>
    <w:rsid w:val="00FD3BAE"/>
    <w:rsid w:val="00FD5236"/>
    <w:rsid w:val="00FD7D5B"/>
    <w:rsid w:val="00FE0F23"/>
    <w:rsid w:val="00FF2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4B01"/>
  <w15:docId w15:val="{C2C8D9C5-A0EC-463B-863B-AB80D3CD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pests-diseases-weeds/plant/national-action-plans/nap-xylella" TargetMode="External"/><Relationship Id="rId18" Type="http://schemas.openxmlformats.org/officeDocument/2006/relationships/image" Target="media/image4.jp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PSC@aff.gov.a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la.org.au/blogs-news/australias-most-unwanted-tackling-invasives-with-the-ala-biosecurity-alerts-servi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mailto:aha@animalhealthaustralia.com.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imalhealthaustralia.com.au/animal-biosecurity-research-development-and-extension-strategy/" TargetMode="External"/><Relationship Id="rId24" Type="http://schemas.openxmlformats.org/officeDocument/2006/relationships/hyperlink" Target="https://creativecommons.org/licenses/by/4.0/legalco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rinepests.gov.au/pests/identify/northern-pacific-seastar" TargetMode="External"/><Relationship Id="rId23" Type="http://schemas.openxmlformats.org/officeDocument/2006/relationships/hyperlink" Target="mailto:jo.luck@horticulture.com.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grifutures.com.au/product/farm-level-adoption-of-biosecurity-management-behavioural-analys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mailto:EBO@aff.gov.au"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6183d753-4e0d-4b8c-8e8c-dbc502d828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13521109B5C4E813EED5B4CD35FE8" ma:contentTypeVersion="17" ma:contentTypeDescription="Create a new document." ma:contentTypeScope="" ma:versionID="fd8893f81e5ffd3f1b9ad1994dd7e558">
  <xsd:schema xmlns:xsd="http://www.w3.org/2001/XMLSchema" xmlns:xs="http://www.w3.org/2001/XMLSchema" xmlns:p="http://schemas.microsoft.com/office/2006/metadata/properties" xmlns:ns2="6183d753-4e0d-4b8c-8e8c-dbc502d82832" xmlns:ns3="0802b75a-89d5-408b-90bd-96b3a6bc3894" xmlns:ns4="81c01dc6-2c49-4730-b140-874c95cac377" targetNamespace="http://schemas.microsoft.com/office/2006/metadata/properties" ma:root="true" ma:fieldsID="ce72fc2e52bdeb241fcd14d3015842a9" ns2:_="" ns3:_="" ns4:_="">
    <xsd:import namespace="6183d753-4e0d-4b8c-8e8c-dbc502d82832"/>
    <xsd:import namespace="0802b75a-89d5-408b-90bd-96b3a6bc389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d753-4e0d-4b8c-8e8c-dbc502d82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2b75a-89d5-408b-90bd-96b3a6bc38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050b54-616b-419b-a10b-d2a27ce54a8a}" ma:internalName="TaxCatchAll" ma:showField="CatchAllData" ma:web="0802b75a-89d5-408b-90bd-96b3a6bc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purl.org/dc/terms/"/>
    <ds:schemaRef ds:uri="http://purl.org/dc/dcmitype/"/>
    <ds:schemaRef ds:uri="6183d753-4e0d-4b8c-8e8c-dbc502d82832"/>
    <ds:schemaRef ds:uri="http://schemas.microsoft.com/office/2006/documentManagement/types"/>
    <ds:schemaRef ds:uri="http://purl.org/dc/elements/1.1/"/>
    <ds:schemaRef ds:uri="http://schemas.microsoft.com/office/infopath/2007/PartnerControls"/>
    <ds:schemaRef ds:uri="81c01dc6-2c49-4730-b140-874c95cac377"/>
    <ds:schemaRef ds:uri="http://schemas.openxmlformats.org/package/2006/metadata/core-properties"/>
    <ds:schemaRef ds:uri="0802b75a-89d5-408b-90bd-96b3a6bc3894"/>
    <ds:schemaRef ds:uri="http://www.w3.org/XML/1998/namespace"/>
  </ds:schemaRefs>
</ds:datastoreItem>
</file>

<file path=customXml/itemProps4.xml><?xml version="1.0" encoding="utf-8"?>
<ds:datastoreItem xmlns:ds="http://schemas.openxmlformats.org/officeDocument/2006/customXml" ds:itemID="{30CC7574-6B0D-4A03-B527-FCAA9B78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d753-4e0d-4b8c-8e8c-dbc502d82832"/>
    <ds:schemaRef ds:uri="0802b75a-89d5-408b-90bd-96b3a6bc389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90</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How the National Biosecurity RD&amp;E Strategies Work Together: A Guide for Researchers &amp; Funders</vt:lpstr>
    </vt:vector>
  </TitlesOfParts>
  <Company/>
  <LinksUpToDate>false</LinksUpToDate>
  <CharactersWithSpaces>9506</CharactersWithSpaces>
  <SharedDoc>false</SharedDoc>
  <HLinks>
    <vt:vector size="78" baseType="variant">
      <vt:variant>
        <vt:i4>5373952</vt:i4>
      </vt:variant>
      <vt:variant>
        <vt:i4>54</vt:i4>
      </vt:variant>
      <vt:variant>
        <vt:i4>0</vt:i4>
      </vt:variant>
      <vt:variant>
        <vt:i4>5</vt:i4>
      </vt:variant>
      <vt:variant>
        <vt:lpwstr>https://creativecommons.org/licenses/by/4.0/legalcode</vt:lpwstr>
      </vt:variant>
      <vt:variant>
        <vt:lpwstr/>
      </vt:variant>
      <vt:variant>
        <vt:i4>2228225</vt:i4>
      </vt:variant>
      <vt:variant>
        <vt:i4>51</vt:i4>
      </vt:variant>
      <vt:variant>
        <vt:i4>0</vt:i4>
      </vt:variant>
      <vt:variant>
        <vt:i4>5</vt:i4>
      </vt:variant>
      <vt:variant>
        <vt:lpwstr>mailto:jo.luck@horticulture.com.au</vt:lpwstr>
      </vt:variant>
      <vt:variant>
        <vt:lpwstr/>
      </vt:variant>
      <vt:variant>
        <vt:i4>2031713</vt:i4>
      </vt:variant>
      <vt:variant>
        <vt:i4>48</vt:i4>
      </vt:variant>
      <vt:variant>
        <vt:i4>0</vt:i4>
      </vt:variant>
      <vt:variant>
        <vt:i4>5</vt:i4>
      </vt:variant>
      <vt:variant>
        <vt:lpwstr>mailto:EBO@aff.gov.au</vt:lpwstr>
      </vt:variant>
      <vt:variant>
        <vt:lpwstr/>
      </vt:variant>
      <vt:variant>
        <vt:i4>4194350</vt:i4>
      </vt:variant>
      <vt:variant>
        <vt:i4>45</vt:i4>
      </vt:variant>
      <vt:variant>
        <vt:i4>0</vt:i4>
      </vt:variant>
      <vt:variant>
        <vt:i4>5</vt:i4>
      </vt:variant>
      <vt:variant>
        <vt:lpwstr>mailto:MPSC@aff.gov.au</vt:lpwstr>
      </vt:variant>
      <vt:variant>
        <vt:lpwstr/>
      </vt:variant>
      <vt:variant>
        <vt:i4>7602186</vt:i4>
      </vt:variant>
      <vt:variant>
        <vt:i4>42</vt:i4>
      </vt:variant>
      <vt:variant>
        <vt:i4>0</vt:i4>
      </vt:variant>
      <vt:variant>
        <vt:i4>5</vt:i4>
      </vt:variant>
      <vt:variant>
        <vt:lpwstr>mailto:aha@animalhealthaustralia.com.au</vt:lpwstr>
      </vt:variant>
      <vt:variant>
        <vt:lpwstr/>
      </vt:variant>
      <vt:variant>
        <vt:i4>3080303</vt:i4>
      </vt:variant>
      <vt:variant>
        <vt:i4>39</vt:i4>
      </vt:variant>
      <vt:variant>
        <vt:i4>0</vt:i4>
      </vt:variant>
      <vt:variant>
        <vt:i4>5</vt:i4>
      </vt:variant>
      <vt:variant>
        <vt:lpwstr>https://agrifutures.com.au/product/farm-level-adoption-of-biosecurity-management-behavioural-analysis/</vt:lpwstr>
      </vt:variant>
      <vt:variant>
        <vt:lpwstr/>
      </vt:variant>
      <vt:variant>
        <vt:i4>3407932</vt:i4>
      </vt:variant>
      <vt:variant>
        <vt:i4>33</vt:i4>
      </vt:variant>
      <vt:variant>
        <vt:i4>0</vt:i4>
      </vt:variant>
      <vt:variant>
        <vt:i4>5</vt:i4>
      </vt:variant>
      <vt:variant>
        <vt:lpwstr>https://www.ala.org.au/blogs-news/australias-most-unwanted-tackling-invasives-with-the-ala-biosecurity-alerts-service/</vt:lpwstr>
      </vt:variant>
      <vt:variant>
        <vt:lpwstr/>
      </vt:variant>
      <vt:variant>
        <vt:i4>8192042</vt:i4>
      </vt:variant>
      <vt:variant>
        <vt:i4>27</vt:i4>
      </vt:variant>
      <vt:variant>
        <vt:i4>0</vt:i4>
      </vt:variant>
      <vt:variant>
        <vt:i4>5</vt:i4>
      </vt:variant>
      <vt:variant>
        <vt:lpwstr>https://www.marinepests.gov.au/pests/identify/northern-pacific-seastar</vt:lpwstr>
      </vt:variant>
      <vt:variant>
        <vt:lpwstr/>
      </vt:variant>
      <vt:variant>
        <vt:i4>7995424</vt:i4>
      </vt:variant>
      <vt:variant>
        <vt:i4>21</vt:i4>
      </vt:variant>
      <vt:variant>
        <vt:i4>0</vt:i4>
      </vt:variant>
      <vt:variant>
        <vt:i4>5</vt:i4>
      </vt:variant>
      <vt:variant>
        <vt:lpwstr>https://www.agriculture.gov.au/biosecurity-trade/pests-diseases-weeds/plant/national-action-plans/nap-xylella</vt:lpwstr>
      </vt:variant>
      <vt:variant>
        <vt:lpwstr>:~:text=The%20National%20Xylella%20Action%20Plan,pest%20is%20detected%20in%20Australia.</vt:lpwstr>
      </vt:variant>
      <vt:variant>
        <vt:i4>6225934</vt:i4>
      </vt:variant>
      <vt:variant>
        <vt:i4>9</vt:i4>
      </vt:variant>
      <vt:variant>
        <vt:i4>0</vt:i4>
      </vt:variant>
      <vt:variant>
        <vt:i4>5</vt:i4>
      </vt:variant>
      <vt:variant>
        <vt:lpwstr>https://www.pbri.com.au/wp-content/uploads/2024/11/PBRI-Strategy-2023-2028-LR.pdf</vt:lpwstr>
      </vt:variant>
      <vt:variant>
        <vt:lpwstr/>
      </vt:variant>
      <vt:variant>
        <vt:i4>7733355</vt:i4>
      </vt:variant>
      <vt:variant>
        <vt:i4>6</vt:i4>
      </vt:variant>
      <vt:variant>
        <vt:i4>0</vt:i4>
      </vt:variant>
      <vt:variant>
        <vt:i4>5</vt:i4>
      </vt:variant>
      <vt:variant>
        <vt:lpwstr>https://www.marinepests.gov.au/what-we-do/research/national-priorities</vt:lpwstr>
      </vt:variant>
      <vt:variant>
        <vt:lpwstr/>
      </vt:variant>
      <vt:variant>
        <vt:i4>6029324</vt:i4>
      </vt:variant>
      <vt:variant>
        <vt:i4>3</vt:i4>
      </vt:variant>
      <vt:variant>
        <vt:i4>0</vt:i4>
      </vt:variant>
      <vt:variant>
        <vt:i4>5</vt:i4>
      </vt:variant>
      <vt:variant>
        <vt:lpwstr>https://www.agriculture.gov.au/biosecurity-trade/policy/partnerships/nbc/research-development-extension-strategy</vt:lpwstr>
      </vt:variant>
      <vt:variant>
        <vt:lpwstr/>
      </vt:variant>
      <vt:variant>
        <vt:i4>6225938</vt:i4>
      </vt:variant>
      <vt:variant>
        <vt:i4>0</vt:i4>
      </vt:variant>
      <vt:variant>
        <vt:i4>0</vt:i4>
      </vt:variant>
      <vt:variant>
        <vt:i4>5</vt:i4>
      </vt:variant>
      <vt:variant>
        <vt:lpwstr>https://animalhealthaustralia.com.au/animal-biosecurity-research-development-and-extension-strategy/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 National Biosecurity RD&amp;E Strategies Work Together: A Guide for Researchers &amp; Funders</dc:title>
  <dc:creator>Department of Agriculture, Fisheries and Forestry</dc:creator>
  <cp:lastModifiedBy>Richter, Sarah</cp:lastModifiedBy>
  <cp:revision>4</cp:revision>
  <cp:lastPrinted>2022-10-26T05:30:00Z</cp:lastPrinted>
  <dcterms:created xsi:type="dcterms:W3CDTF">2025-10-08T01:24:00Z</dcterms:created>
  <dcterms:modified xsi:type="dcterms:W3CDTF">2026-02-12T01:25:00Z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0x010100B1C13521109B5C4E813EED5B4CD35FE8</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