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4D69" w:rsidRDefault="00284D69" w:rsidP="00284D69">
      <w:pPr>
        <w:tabs>
          <w:tab w:val="right" w:pos="8789"/>
        </w:tabs>
        <w:spacing w:before="0" w:after="0"/>
        <w:rPr>
          <w:b/>
          <w:bCs/>
        </w:rPr>
      </w:pPr>
      <w:r>
        <w:rPr>
          <w:noProof/>
          <w:lang w:eastAsia="en-AU"/>
        </w:rPr>
        <w:drawing>
          <wp:anchor distT="0" distB="0" distL="114300" distR="114300" simplePos="0" relativeHeight="251681792" behindDoc="0" locked="0" layoutInCell="1" allowOverlap="1">
            <wp:simplePos x="0" y="0"/>
            <wp:positionH relativeFrom="column">
              <wp:posOffset>3187065</wp:posOffset>
            </wp:positionH>
            <wp:positionV relativeFrom="paragraph">
              <wp:posOffset>-282575</wp:posOffset>
            </wp:positionV>
            <wp:extent cx="2527935" cy="1286510"/>
            <wp:effectExtent l="0" t="0" r="12065" b="8890"/>
            <wp:wrapNone/>
            <wp:docPr id="32" name="Picture 7" descr="PSD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SD Colour.jpg"/>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7935" cy="1286510"/>
                    </a:xfrm>
                    <a:prstGeom prst="rect">
                      <a:avLst/>
                    </a:prstGeom>
                    <a:noFill/>
                  </pic:spPr>
                </pic:pic>
              </a:graphicData>
            </a:graphic>
          </wp:anchor>
        </w:drawing>
      </w:r>
    </w:p>
    <w:p w:rsidR="00284D69" w:rsidRDefault="00284D69" w:rsidP="00284D69">
      <w:pPr>
        <w:tabs>
          <w:tab w:val="right" w:pos="8789"/>
        </w:tabs>
        <w:rPr>
          <w:b/>
          <w:bCs/>
        </w:rPr>
      </w:pPr>
    </w:p>
    <w:p w:rsidR="00284D69" w:rsidRDefault="00284D69" w:rsidP="00284D69">
      <w:pPr>
        <w:pStyle w:val="BlockText"/>
        <w:ind w:left="1560" w:right="1560"/>
        <w:jc w:val="center"/>
        <w:rPr>
          <w:b/>
          <w:bCs/>
          <w:sz w:val="32"/>
          <w:szCs w:val="32"/>
        </w:rPr>
      </w:pPr>
    </w:p>
    <w:p w:rsidR="00284D69" w:rsidRDefault="00284D69" w:rsidP="00284D69">
      <w:pPr>
        <w:pStyle w:val="BlockText"/>
        <w:spacing w:after="0"/>
        <w:ind w:left="1559" w:right="1559"/>
        <w:jc w:val="center"/>
        <w:rPr>
          <w:b/>
          <w:bCs/>
          <w:sz w:val="32"/>
          <w:szCs w:val="32"/>
        </w:rPr>
      </w:pPr>
    </w:p>
    <w:p w:rsidR="00284D69" w:rsidRDefault="00284D69" w:rsidP="00284D69">
      <w:pPr>
        <w:pStyle w:val="BlockText"/>
        <w:spacing w:after="0"/>
        <w:ind w:left="1559" w:right="1559"/>
        <w:jc w:val="center"/>
        <w:rPr>
          <w:b/>
          <w:bCs/>
          <w:sz w:val="32"/>
          <w:szCs w:val="32"/>
        </w:rPr>
      </w:pPr>
    </w:p>
    <w:p w:rsidR="00284D69" w:rsidRDefault="00284D69" w:rsidP="00284D69">
      <w:pPr>
        <w:pStyle w:val="BlockText"/>
        <w:spacing w:after="0"/>
        <w:ind w:left="1559" w:right="1559"/>
        <w:jc w:val="center"/>
        <w:rPr>
          <w:b/>
          <w:bCs/>
          <w:sz w:val="32"/>
          <w:szCs w:val="32"/>
        </w:rPr>
      </w:pPr>
    </w:p>
    <w:p w:rsidR="00102797" w:rsidRDefault="00102797" w:rsidP="00284D69">
      <w:pPr>
        <w:pStyle w:val="BlockText"/>
        <w:spacing w:after="0"/>
        <w:ind w:left="1559" w:right="1559"/>
        <w:jc w:val="center"/>
        <w:rPr>
          <w:b/>
          <w:bCs/>
          <w:sz w:val="32"/>
          <w:szCs w:val="32"/>
        </w:rPr>
      </w:pPr>
    </w:p>
    <w:p w:rsidR="00102797" w:rsidRDefault="00102797" w:rsidP="00284D69">
      <w:pPr>
        <w:pStyle w:val="BlockText"/>
        <w:spacing w:after="0"/>
        <w:ind w:left="1559" w:right="1559"/>
        <w:jc w:val="center"/>
        <w:rPr>
          <w:b/>
          <w:bCs/>
          <w:sz w:val="32"/>
          <w:szCs w:val="32"/>
        </w:rPr>
      </w:pPr>
    </w:p>
    <w:p w:rsidR="00102797" w:rsidRDefault="00102797" w:rsidP="00284D69">
      <w:pPr>
        <w:pStyle w:val="BlockText"/>
        <w:spacing w:after="0"/>
        <w:ind w:left="1559" w:right="1559"/>
        <w:jc w:val="center"/>
        <w:rPr>
          <w:b/>
          <w:bCs/>
          <w:sz w:val="32"/>
          <w:szCs w:val="32"/>
        </w:rPr>
      </w:pPr>
    </w:p>
    <w:p w:rsidR="00102797" w:rsidRDefault="00102797" w:rsidP="00284D69">
      <w:pPr>
        <w:pStyle w:val="BlockText"/>
        <w:spacing w:after="0"/>
        <w:ind w:left="1559" w:right="1559"/>
        <w:jc w:val="center"/>
        <w:rPr>
          <w:b/>
          <w:bCs/>
          <w:sz w:val="32"/>
          <w:szCs w:val="32"/>
        </w:rPr>
      </w:pPr>
    </w:p>
    <w:p w:rsidR="00102797" w:rsidRDefault="00102797" w:rsidP="00284D69">
      <w:pPr>
        <w:pStyle w:val="BlockText"/>
        <w:spacing w:after="0"/>
        <w:ind w:left="1559" w:right="1559"/>
        <w:jc w:val="center"/>
        <w:rPr>
          <w:b/>
          <w:bCs/>
          <w:sz w:val="32"/>
          <w:szCs w:val="32"/>
        </w:rPr>
      </w:pPr>
    </w:p>
    <w:p w:rsidR="00284D69" w:rsidRPr="00102797" w:rsidRDefault="00035AB1" w:rsidP="00284D69">
      <w:pPr>
        <w:pStyle w:val="BlockText"/>
        <w:ind w:left="993" w:right="1126"/>
        <w:jc w:val="center"/>
        <w:rPr>
          <w:b/>
          <w:bCs/>
          <w:sz w:val="48"/>
          <w:szCs w:val="48"/>
        </w:rPr>
      </w:pPr>
      <w:r w:rsidRPr="00102797">
        <w:rPr>
          <w:b/>
          <w:bCs/>
          <w:sz w:val="48"/>
          <w:szCs w:val="48"/>
        </w:rPr>
        <w:t>BI</w:t>
      </w:r>
      <w:r w:rsidR="002F086D" w:rsidRPr="00102797">
        <w:rPr>
          <w:b/>
          <w:bCs/>
          <w:sz w:val="48"/>
          <w:szCs w:val="48"/>
        </w:rPr>
        <w:t>O</w:t>
      </w:r>
      <w:r w:rsidRPr="00102797">
        <w:rPr>
          <w:b/>
          <w:bCs/>
          <w:sz w:val="48"/>
          <w:szCs w:val="48"/>
        </w:rPr>
        <w:t>SOLIDS SNAPSHOT</w:t>
      </w:r>
    </w:p>
    <w:p w:rsidR="00284D69" w:rsidRDefault="00284D69" w:rsidP="00284D69">
      <w:pPr>
        <w:tabs>
          <w:tab w:val="right" w:pos="8789"/>
        </w:tabs>
        <w:jc w:val="center"/>
        <w:rPr>
          <w:b/>
          <w:bCs/>
        </w:rPr>
      </w:pPr>
    </w:p>
    <w:p w:rsidR="00284D69" w:rsidRDefault="00284D69" w:rsidP="00284D69">
      <w:pPr>
        <w:tabs>
          <w:tab w:val="right" w:pos="8789"/>
        </w:tabs>
        <w:jc w:val="center"/>
        <w:rPr>
          <w:b/>
          <w:bCs/>
        </w:rPr>
      </w:pPr>
    </w:p>
    <w:p w:rsidR="00284D69" w:rsidRDefault="00284D69" w:rsidP="00284D69">
      <w:pPr>
        <w:tabs>
          <w:tab w:val="right" w:pos="8789"/>
        </w:tabs>
        <w:jc w:val="center"/>
        <w:rPr>
          <w:b/>
          <w:bCs/>
        </w:rPr>
      </w:pPr>
    </w:p>
    <w:p w:rsidR="00284D69" w:rsidRDefault="00284D69" w:rsidP="00284D69">
      <w:pPr>
        <w:tabs>
          <w:tab w:val="right" w:pos="8789"/>
        </w:tabs>
        <w:rPr>
          <w:b/>
          <w:bCs/>
        </w:rPr>
      </w:pPr>
    </w:p>
    <w:p w:rsidR="00284D69" w:rsidRDefault="00284D69" w:rsidP="00284D69">
      <w:pPr>
        <w:tabs>
          <w:tab w:val="right" w:pos="8789"/>
        </w:tabs>
        <w:rPr>
          <w:b/>
          <w:bCs/>
        </w:rPr>
      </w:pPr>
    </w:p>
    <w:p w:rsidR="00284D69" w:rsidRDefault="00284D69" w:rsidP="00284D69">
      <w:pPr>
        <w:tabs>
          <w:tab w:val="right" w:pos="8789"/>
        </w:tabs>
        <w:rPr>
          <w:b/>
          <w:bCs/>
        </w:rPr>
      </w:pPr>
    </w:p>
    <w:p w:rsidR="00284D69" w:rsidRDefault="00284D69" w:rsidP="00284D69">
      <w:pPr>
        <w:tabs>
          <w:tab w:val="right" w:pos="8789"/>
        </w:tabs>
        <w:rPr>
          <w:b/>
          <w:bCs/>
        </w:rPr>
      </w:pPr>
    </w:p>
    <w:p w:rsidR="00284D69" w:rsidRDefault="00284D69" w:rsidP="00284D69">
      <w:pPr>
        <w:tabs>
          <w:tab w:val="right" w:pos="8789"/>
        </w:tabs>
        <w:rPr>
          <w:b/>
          <w:bCs/>
        </w:rPr>
      </w:pPr>
    </w:p>
    <w:p w:rsidR="00284D69" w:rsidRDefault="00284D69" w:rsidP="00284D69">
      <w:pPr>
        <w:tabs>
          <w:tab w:val="right" w:pos="8789"/>
        </w:tabs>
        <w:rPr>
          <w:b/>
          <w:bCs/>
        </w:rPr>
      </w:pPr>
    </w:p>
    <w:p w:rsidR="00284D69" w:rsidRDefault="00284D69" w:rsidP="00284D69">
      <w:pPr>
        <w:tabs>
          <w:tab w:val="right" w:pos="8789"/>
        </w:tabs>
        <w:rPr>
          <w:b/>
          <w:bCs/>
        </w:rPr>
      </w:pPr>
    </w:p>
    <w:p w:rsidR="00284D69" w:rsidRDefault="00284D69" w:rsidP="00284D69">
      <w:pPr>
        <w:tabs>
          <w:tab w:val="right" w:pos="8789"/>
        </w:tabs>
        <w:rPr>
          <w:b/>
          <w:bCs/>
        </w:rPr>
      </w:pPr>
    </w:p>
    <w:p w:rsidR="00284D69" w:rsidRDefault="00284D69" w:rsidP="00284D69">
      <w:pPr>
        <w:tabs>
          <w:tab w:val="right" w:pos="8789"/>
        </w:tabs>
        <w:rPr>
          <w:b/>
          <w:bCs/>
        </w:rPr>
      </w:pPr>
    </w:p>
    <w:p w:rsidR="00284D69" w:rsidRDefault="00284D69" w:rsidP="00284D69">
      <w:pPr>
        <w:tabs>
          <w:tab w:val="right" w:pos="8789"/>
        </w:tabs>
        <w:rPr>
          <w:b/>
          <w:bCs/>
        </w:rPr>
      </w:pPr>
    </w:p>
    <w:p w:rsidR="00284D69" w:rsidRDefault="00284D69" w:rsidP="00284D69">
      <w:pPr>
        <w:tabs>
          <w:tab w:val="right" w:pos="8789"/>
        </w:tabs>
        <w:rPr>
          <w:b/>
          <w:bCs/>
        </w:rPr>
      </w:pPr>
    </w:p>
    <w:p w:rsidR="00284D69" w:rsidRDefault="00284D69" w:rsidP="00284D69">
      <w:pPr>
        <w:tabs>
          <w:tab w:val="right" w:pos="8789"/>
        </w:tabs>
        <w:rPr>
          <w:b/>
          <w:bCs/>
        </w:rPr>
      </w:pPr>
    </w:p>
    <w:p w:rsidR="00284D69" w:rsidRDefault="00284D69" w:rsidP="00102797">
      <w:pPr>
        <w:tabs>
          <w:tab w:val="right" w:pos="8789"/>
        </w:tabs>
        <w:jc w:val="center"/>
        <w:rPr>
          <w:b/>
          <w:bCs/>
        </w:rPr>
      </w:pPr>
    </w:p>
    <w:p w:rsidR="00284D69" w:rsidRDefault="00035AB1" w:rsidP="00102797">
      <w:pPr>
        <w:tabs>
          <w:tab w:val="right" w:pos="8789"/>
        </w:tabs>
        <w:spacing w:before="0" w:after="0"/>
        <w:jc w:val="center"/>
        <w:rPr>
          <w:b/>
          <w:bCs/>
        </w:rPr>
      </w:pPr>
      <w:r w:rsidRPr="00035AB1">
        <w:rPr>
          <w:b/>
          <w:bCs/>
          <w:sz w:val="32"/>
          <w:szCs w:val="32"/>
          <w:lang w:val="en-US"/>
        </w:rPr>
        <w:t>Department of Sustainability, Environment, Water, Population and Communities</w:t>
      </w:r>
    </w:p>
    <w:p w:rsidR="00284D69" w:rsidRDefault="00284D69" w:rsidP="00102797">
      <w:pPr>
        <w:tabs>
          <w:tab w:val="right" w:pos="8789"/>
        </w:tabs>
        <w:spacing w:before="0" w:after="60"/>
        <w:jc w:val="center"/>
        <w:rPr>
          <w:b/>
          <w:bCs/>
        </w:rPr>
      </w:pPr>
    </w:p>
    <w:p w:rsidR="00284D69" w:rsidRDefault="008D35CC" w:rsidP="00102797">
      <w:pPr>
        <w:tabs>
          <w:tab w:val="right" w:pos="8789"/>
        </w:tabs>
        <w:spacing w:after="240"/>
        <w:jc w:val="center"/>
        <w:rPr>
          <w:b/>
          <w:bCs/>
        </w:rPr>
      </w:pPr>
      <w:r>
        <w:rPr>
          <w:b/>
          <w:bCs/>
        </w:rPr>
        <w:t>June 2012</w:t>
      </w:r>
    </w:p>
    <w:p w:rsidR="00284D69" w:rsidRDefault="00284D69" w:rsidP="00284D69">
      <w:pPr>
        <w:tabs>
          <w:tab w:val="right" w:pos="8789"/>
        </w:tabs>
        <w:spacing w:before="0" w:after="0"/>
        <w:rPr>
          <w:sz w:val="2"/>
          <w:szCs w:val="2"/>
        </w:rPr>
      </w:pPr>
    </w:p>
    <w:p w:rsidR="00284D69" w:rsidRDefault="00284D69" w:rsidP="00284D69">
      <w:pPr>
        <w:tabs>
          <w:tab w:val="right" w:pos="8789"/>
        </w:tabs>
        <w:rPr>
          <w:b/>
          <w:bCs/>
        </w:rPr>
      </w:pPr>
      <w:r>
        <w:rPr>
          <w:b/>
          <w:bCs/>
        </w:rPr>
        <w:br w:type="page"/>
      </w:r>
      <w:r>
        <w:rPr>
          <w:b/>
          <w:bCs/>
        </w:rPr>
        <w:lastRenderedPageBreak/>
        <w:t>Statement of Limitation</w:t>
      </w:r>
    </w:p>
    <w:p w:rsidR="00284D69" w:rsidRDefault="00284D69" w:rsidP="00284D69">
      <w:pPr>
        <w:spacing w:line="320" w:lineRule="exact"/>
        <w:rPr>
          <w:i/>
          <w:iCs/>
          <w:sz w:val="22"/>
          <w:szCs w:val="22"/>
        </w:rPr>
      </w:pPr>
      <w:r>
        <w:rPr>
          <w:i/>
          <w:iCs/>
          <w:sz w:val="22"/>
          <w:szCs w:val="22"/>
        </w:rPr>
        <w:t xml:space="preserve">This submission has been prepared solely for </w:t>
      </w:r>
      <w:r w:rsidR="00B12F1F">
        <w:rPr>
          <w:i/>
          <w:iCs/>
          <w:sz w:val="22"/>
          <w:szCs w:val="22"/>
        </w:rPr>
        <w:t xml:space="preserve">the </w:t>
      </w:r>
      <w:r w:rsidR="00017EC7" w:rsidRPr="00017EC7">
        <w:rPr>
          <w:i/>
          <w:iCs/>
          <w:sz w:val="22"/>
          <w:szCs w:val="22"/>
          <w:lang w:val="en-US"/>
        </w:rPr>
        <w:t>Department of Sustainability, Environment, Water, Population and Communities</w:t>
      </w:r>
      <w:r>
        <w:rPr>
          <w:i/>
          <w:iCs/>
          <w:sz w:val="22"/>
          <w:szCs w:val="22"/>
        </w:rPr>
        <w:t>. No liability is accepted by this company or any employee or sub</w:t>
      </w:r>
      <w:r w:rsidR="001965B0">
        <w:rPr>
          <w:i/>
          <w:iCs/>
          <w:sz w:val="22"/>
          <w:szCs w:val="22"/>
        </w:rPr>
        <w:noBreakHyphen/>
      </w:r>
      <w:proofErr w:type="spellStart"/>
      <w:r>
        <w:rPr>
          <w:i/>
          <w:iCs/>
          <w:sz w:val="22"/>
          <w:szCs w:val="22"/>
        </w:rPr>
        <w:t>consultant</w:t>
      </w:r>
      <w:proofErr w:type="spellEnd"/>
      <w:r>
        <w:rPr>
          <w:i/>
          <w:iCs/>
          <w:sz w:val="22"/>
          <w:szCs w:val="22"/>
        </w:rPr>
        <w:t xml:space="preserve"> of this company with respect to its use by any other person.</w:t>
      </w:r>
    </w:p>
    <w:p w:rsidR="00284D69" w:rsidRDefault="00284D69" w:rsidP="00284D69">
      <w:pPr>
        <w:spacing w:line="320" w:lineRule="exact"/>
        <w:rPr>
          <w:i/>
          <w:iCs/>
          <w:sz w:val="22"/>
          <w:szCs w:val="22"/>
        </w:rPr>
      </w:pPr>
      <w:r>
        <w:rPr>
          <w:i/>
          <w:iCs/>
          <w:sz w:val="22"/>
          <w:szCs w:val="22"/>
        </w:rPr>
        <w:t xml:space="preserve">The concepts and details in this document are governed by the copyright laws of </w:t>
      </w:r>
      <w:r w:rsidR="00017EC7">
        <w:rPr>
          <w:i/>
          <w:iCs/>
          <w:sz w:val="22"/>
          <w:szCs w:val="22"/>
        </w:rPr>
        <w:t>New South Wales</w:t>
      </w:r>
      <w:r>
        <w:rPr>
          <w:i/>
          <w:iCs/>
          <w:sz w:val="22"/>
          <w:szCs w:val="22"/>
        </w:rPr>
        <w:t>.  Unauthorised use of the concepts or information in this document in any form whatsoever is prohibited, without the express written permission of Pollution Solutions and Designs Pty Ltd.</w:t>
      </w:r>
    </w:p>
    <w:p w:rsidR="00284D69" w:rsidRDefault="00284D69" w:rsidP="00284D69">
      <w:pPr>
        <w:tabs>
          <w:tab w:val="right" w:pos="8789"/>
        </w:tabs>
        <w:spacing w:before="0" w:after="0"/>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5070"/>
      </w:tblGrid>
      <w:tr w:rsidR="00284D69" w:rsidTr="00284D69">
        <w:trPr>
          <w:cantSplit/>
        </w:trPr>
        <w:tc>
          <w:tcPr>
            <w:tcW w:w="9006" w:type="dxa"/>
            <w:gridSpan w:val="2"/>
          </w:tcPr>
          <w:p w:rsidR="00284D69" w:rsidRDefault="00284D69" w:rsidP="00284D69">
            <w:pPr>
              <w:jc w:val="center"/>
            </w:pPr>
            <w:r>
              <w:rPr>
                <w:b/>
                <w:bCs/>
              </w:rPr>
              <w:t>Quality Assurance Statement</w:t>
            </w:r>
          </w:p>
        </w:tc>
      </w:tr>
      <w:tr w:rsidR="00284D69" w:rsidTr="00284D69">
        <w:tc>
          <w:tcPr>
            <w:tcW w:w="3936" w:type="dxa"/>
          </w:tcPr>
          <w:p w:rsidR="00284D69" w:rsidRDefault="00284D69" w:rsidP="00284D69">
            <w:pPr>
              <w:rPr>
                <w:b/>
                <w:bCs/>
              </w:rPr>
            </w:pPr>
            <w:r>
              <w:rPr>
                <w:b/>
                <w:bCs/>
              </w:rPr>
              <w:t>Client:</w:t>
            </w:r>
          </w:p>
        </w:tc>
        <w:tc>
          <w:tcPr>
            <w:tcW w:w="5070" w:type="dxa"/>
          </w:tcPr>
          <w:p w:rsidR="000D53EA" w:rsidRDefault="00017EC7">
            <w:pPr>
              <w:jc w:val="left"/>
            </w:pPr>
            <w:r w:rsidRPr="00625A47">
              <w:rPr>
                <w:lang w:val="en-US" w:eastAsia="en-AU"/>
              </w:rPr>
              <w:t>Department of Sustainability, Environment, Water, Population and Communities</w:t>
            </w:r>
          </w:p>
        </w:tc>
      </w:tr>
      <w:tr w:rsidR="00284D69" w:rsidTr="00284D69">
        <w:tc>
          <w:tcPr>
            <w:tcW w:w="3936" w:type="dxa"/>
          </w:tcPr>
          <w:p w:rsidR="00284D69" w:rsidRDefault="00284D69" w:rsidP="00284D69">
            <w:pPr>
              <w:rPr>
                <w:b/>
                <w:bCs/>
              </w:rPr>
            </w:pPr>
            <w:r>
              <w:rPr>
                <w:b/>
                <w:bCs/>
              </w:rPr>
              <w:t>Project Name:</w:t>
            </w:r>
          </w:p>
        </w:tc>
        <w:tc>
          <w:tcPr>
            <w:tcW w:w="5070" w:type="dxa"/>
          </w:tcPr>
          <w:p w:rsidR="00284D69" w:rsidRDefault="00017EC7" w:rsidP="00284D69">
            <w:proofErr w:type="spellStart"/>
            <w:r>
              <w:t>Biosolids</w:t>
            </w:r>
            <w:proofErr w:type="spellEnd"/>
            <w:r>
              <w:t xml:space="preserve"> Snapshot</w:t>
            </w:r>
          </w:p>
        </w:tc>
      </w:tr>
      <w:tr w:rsidR="00284D69" w:rsidTr="00284D69">
        <w:tc>
          <w:tcPr>
            <w:tcW w:w="3936" w:type="dxa"/>
          </w:tcPr>
          <w:p w:rsidR="00284D69" w:rsidRDefault="00284D69" w:rsidP="00284D69">
            <w:pPr>
              <w:rPr>
                <w:b/>
                <w:bCs/>
              </w:rPr>
            </w:pPr>
            <w:r>
              <w:rPr>
                <w:b/>
                <w:bCs/>
              </w:rPr>
              <w:t>PSD Job Number:</w:t>
            </w:r>
          </w:p>
        </w:tc>
        <w:tc>
          <w:tcPr>
            <w:tcW w:w="5070" w:type="dxa"/>
          </w:tcPr>
          <w:p w:rsidR="00284D69" w:rsidRDefault="00017EC7" w:rsidP="00284D69">
            <w:r>
              <w:t>J206</w:t>
            </w:r>
          </w:p>
        </w:tc>
      </w:tr>
      <w:tr w:rsidR="00284D69" w:rsidTr="00284D69">
        <w:tc>
          <w:tcPr>
            <w:tcW w:w="3936" w:type="dxa"/>
          </w:tcPr>
          <w:p w:rsidR="00284D69" w:rsidRDefault="00284D69" w:rsidP="00284D69">
            <w:pPr>
              <w:rPr>
                <w:b/>
                <w:bCs/>
              </w:rPr>
            </w:pPr>
            <w:r>
              <w:rPr>
                <w:b/>
                <w:bCs/>
              </w:rPr>
              <w:t>Document File Reference:</w:t>
            </w:r>
          </w:p>
        </w:tc>
        <w:tc>
          <w:tcPr>
            <w:tcW w:w="5070" w:type="dxa"/>
          </w:tcPr>
          <w:p w:rsidR="00284D69" w:rsidRPr="001965B0" w:rsidRDefault="00CC074C" w:rsidP="00017EC7">
            <w:pPr>
              <w:jc w:val="left"/>
              <w:rPr>
                <w:szCs w:val="24"/>
              </w:rPr>
            </w:pPr>
            <w:r w:rsidRPr="00CC074C">
              <w:rPr>
                <w:szCs w:val="24"/>
              </w:rPr>
              <w:t xml:space="preserve">P:\PSD:\Jobs\Current projects\j206 </w:t>
            </w:r>
            <w:proofErr w:type="spellStart"/>
            <w:r w:rsidRPr="00CC074C">
              <w:rPr>
                <w:szCs w:val="24"/>
              </w:rPr>
              <w:t>sewpac</w:t>
            </w:r>
            <w:proofErr w:type="spellEnd"/>
            <w:r w:rsidRPr="00CC074C">
              <w:rPr>
                <w:szCs w:val="24"/>
              </w:rPr>
              <w:t xml:space="preserve"> </w:t>
            </w:r>
            <w:proofErr w:type="spellStart"/>
            <w:r w:rsidRPr="00CC074C">
              <w:rPr>
                <w:szCs w:val="24"/>
              </w:rPr>
              <w:t>biosolids</w:t>
            </w:r>
            <w:proofErr w:type="spellEnd"/>
            <w:r w:rsidRPr="00CC074C">
              <w:rPr>
                <w:szCs w:val="24"/>
              </w:rPr>
              <w:t xml:space="preserve"> survey\report\j206 </w:t>
            </w:r>
            <w:proofErr w:type="spellStart"/>
            <w:r w:rsidRPr="00CC074C">
              <w:rPr>
                <w:szCs w:val="24"/>
              </w:rPr>
              <w:t>biosolids</w:t>
            </w:r>
            <w:proofErr w:type="spellEnd"/>
            <w:r w:rsidRPr="00CC074C">
              <w:rPr>
                <w:szCs w:val="24"/>
              </w:rPr>
              <w:t xml:space="preserve"> strategy report rev 1 copy</w:t>
            </w:r>
            <w:bookmarkStart w:id="0" w:name="_GoBack"/>
            <w:bookmarkEnd w:id="0"/>
            <w:r w:rsidRPr="00CC074C">
              <w:rPr>
                <w:szCs w:val="24"/>
              </w:rPr>
              <w:t>.docx</w:t>
            </w:r>
          </w:p>
        </w:tc>
      </w:tr>
      <w:tr w:rsidR="00284D69" w:rsidTr="00284D69">
        <w:tc>
          <w:tcPr>
            <w:tcW w:w="3936" w:type="dxa"/>
          </w:tcPr>
          <w:p w:rsidR="00284D69" w:rsidRDefault="00284D69" w:rsidP="00284D69">
            <w:pPr>
              <w:rPr>
                <w:b/>
                <w:bCs/>
              </w:rPr>
            </w:pPr>
            <w:r>
              <w:rPr>
                <w:b/>
                <w:bCs/>
              </w:rPr>
              <w:t>Project Manager:</w:t>
            </w:r>
          </w:p>
        </w:tc>
        <w:tc>
          <w:tcPr>
            <w:tcW w:w="5070" w:type="dxa"/>
          </w:tcPr>
          <w:p w:rsidR="00284D69" w:rsidRDefault="00284D69" w:rsidP="00284D69">
            <w:r>
              <w:t xml:space="preserve">Paul </w:t>
            </w:r>
            <w:proofErr w:type="spellStart"/>
            <w:r>
              <w:t>Darvodelsky</w:t>
            </w:r>
            <w:proofErr w:type="spellEnd"/>
          </w:p>
        </w:tc>
      </w:tr>
      <w:tr w:rsidR="00284D69" w:rsidTr="00284D69">
        <w:tc>
          <w:tcPr>
            <w:tcW w:w="3936" w:type="dxa"/>
          </w:tcPr>
          <w:p w:rsidR="00284D69" w:rsidRDefault="00284D69" w:rsidP="00284D69">
            <w:pPr>
              <w:rPr>
                <w:b/>
                <w:bCs/>
              </w:rPr>
            </w:pPr>
            <w:r>
              <w:rPr>
                <w:b/>
                <w:bCs/>
              </w:rPr>
              <w:t>Prepared By:</w:t>
            </w:r>
          </w:p>
        </w:tc>
        <w:tc>
          <w:tcPr>
            <w:tcW w:w="5070" w:type="dxa"/>
          </w:tcPr>
          <w:p w:rsidR="00284D69" w:rsidRDefault="00017EC7" w:rsidP="00017EC7">
            <w:r>
              <w:t xml:space="preserve">Paul </w:t>
            </w:r>
            <w:proofErr w:type="spellStart"/>
            <w:r>
              <w:t>Darvodelsky</w:t>
            </w:r>
            <w:proofErr w:type="spellEnd"/>
          </w:p>
        </w:tc>
      </w:tr>
      <w:tr w:rsidR="00284D69" w:rsidTr="00284D69">
        <w:tc>
          <w:tcPr>
            <w:tcW w:w="3936" w:type="dxa"/>
          </w:tcPr>
          <w:p w:rsidR="00284D69" w:rsidRDefault="00284D69" w:rsidP="00284D69">
            <w:pPr>
              <w:rPr>
                <w:b/>
                <w:bCs/>
              </w:rPr>
            </w:pPr>
            <w:r>
              <w:rPr>
                <w:b/>
                <w:bCs/>
              </w:rPr>
              <w:t>Reviewed By:</w:t>
            </w:r>
          </w:p>
        </w:tc>
        <w:tc>
          <w:tcPr>
            <w:tcW w:w="5070" w:type="dxa"/>
          </w:tcPr>
          <w:p w:rsidR="00284D69" w:rsidRDefault="00284D69" w:rsidP="00284D69">
            <w:r>
              <w:t>Trevor Bridle</w:t>
            </w:r>
          </w:p>
        </w:tc>
      </w:tr>
      <w:tr w:rsidR="00284D69" w:rsidTr="00284D69">
        <w:tc>
          <w:tcPr>
            <w:tcW w:w="3936" w:type="dxa"/>
          </w:tcPr>
          <w:p w:rsidR="00284D69" w:rsidRDefault="00284D69" w:rsidP="00284D69">
            <w:pPr>
              <w:rPr>
                <w:b/>
                <w:bCs/>
              </w:rPr>
            </w:pPr>
            <w:r>
              <w:rPr>
                <w:b/>
                <w:bCs/>
              </w:rPr>
              <w:t>Approved for Issue:</w:t>
            </w:r>
          </w:p>
        </w:tc>
        <w:tc>
          <w:tcPr>
            <w:tcW w:w="5070" w:type="dxa"/>
          </w:tcPr>
          <w:p w:rsidR="00284D69" w:rsidRDefault="00284D69" w:rsidP="00284D69">
            <w:r>
              <w:t xml:space="preserve">Paul </w:t>
            </w:r>
            <w:proofErr w:type="spellStart"/>
            <w:r>
              <w:t>Darvodelsky</w:t>
            </w:r>
            <w:proofErr w:type="spellEnd"/>
          </w:p>
        </w:tc>
      </w:tr>
      <w:tr w:rsidR="00284D69" w:rsidTr="00284D69">
        <w:tc>
          <w:tcPr>
            <w:tcW w:w="3936" w:type="dxa"/>
          </w:tcPr>
          <w:p w:rsidR="00284D69" w:rsidRDefault="00284D69" w:rsidP="00284D69">
            <w:pPr>
              <w:rPr>
                <w:b/>
                <w:bCs/>
              </w:rPr>
            </w:pPr>
            <w:r>
              <w:rPr>
                <w:b/>
                <w:bCs/>
              </w:rPr>
              <w:t>Document Status:</w:t>
            </w:r>
          </w:p>
        </w:tc>
        <w:tc>
          <w:tcPr>
            <w:tcW w:w="5070" w:type="dxa"/>
          </w:tcPr>
          <w:p w:rsidR="00284D69" w:rsidRDefault="00284D69" w:rsidP="00284D69">
            <w:r>
              <w:t xml:space="preserve">Revision </w:t>
            </w:r>
            <w:r w:rsidR="00973176">
              <w:t>1</w:t>
            </w:r>
          </w:p>
        </w:tc>
      </w:tr>
      <w:tr w:rsidR="00284D69" w:rsidTr="00284D69">
        <w:tc>
          <w:tcPr>
            <w:tcW w:w="3936" w:type="dxa"/>
          </w:tcPr>
          <w:p w:rsidR="00284D69" w:rsidRDefault="00284D69" w:rsidP="00284D69">
            <w:pPr>
              <w:rPr>
                <w:b/>
                <w:bCs/>
              </w:rPr>
            </w:pPr>
            <w:r>
              <w:rPr>
                <w:b/>
                <w:bCs/>
              </w:rPr>
              <w:t>Date of Issue</w:t>
            </w:r>
          </w:p>
        </w:tc>
        <w:tc>
          <w:tcPr>
            <w:tcW w:w="5070" w:type="dxa"/>
          </w:tcPr>
          <w:p w:rsidR="00284D69" w:rsidRDefault="00973176" w:rsidP="00284D69">
            <w:pPr>
              <w:ind w:left="720" w:hanging="720"/>
            </w:pPr>
            <w:r>
              <w:t>December</w:t>
            </w:r>
            <w:r w:rsidR="00284D69">
              <w:t xml:space="preserve"> 2011</w:t>
            </w:r>
          </w:p>
        </w:tc>
      </w:tr>
    </w:tbl>
    <w:p w:rsidR="00284D69" w:rsidRPr="00712A68" w:rsidRDefault="00284D69" w:rsidP="00284D69"/>
    <w:p w:rsidR="00284D69" w:rsidRPr="00712A68" w:rsidRDefault="00284D69" w:rsidP="00284D69"/>
    <w:p w:rsidR="00284D69" w:rsidRPr="00712A68" w:rsidRDefault="00284D69" w:rsidP="00284D69"/>
    <w:p w:rsidR="00284D69" w:rsidRDefault="00284D69" w:rsidP="00284D69"/>
    <w:p w:rsidR="00284D69" w:rsidRDefault="00284D69" w:rsidP="00284D69"/>
    <w:p w:rsidR="00284D69" w:rsidRDefault="00284D69" w:rsidP="00284D69"/>
    <w:p w:rsidR="00284D69" w:rsidRPr="00712A68" w:rsidRDefault="00284D69" w:rsidP="00284D69">
      <w:r>
        <w:t xml:space="preserve">Paul </w:t>
      </w:r>
      <w:proofErr w:type="spellStart"/>
      <w:r>
        <w:t>Darvodelsky</w:t>
      </w:r>
      <w:proofErr w:type="spellEnd"/>
    </w:p>
    <w:p w:rsidR="00284D69" w:rsidRPr="00712A68" w:rsidRDefault="00017EC7" w:rsidP="00284D69">
      <w:r>
        <w:t xml:space="preserve">10 </w:t>
      </w:r>
      <w:r w:rsidR="00973176">
        <w:t>December</w:t>
      </w:r>
      <w:r w:rsidR="00284D69">
        <w:t xml:space="preserve"> 2011</w:t>
      </w:r>
    </w:p>
    <w:p w:rsidR="00AD5A08" w:rsidRPr="00AD5A08" w:rsidRDefault="00284D69" w:rsidP="00284D69">
      <w:pPr>
        <w:jc w:val="center"/>
        <w:rPr>
          <w:b/>
        </w:rPr>
      </w:pPr>
      <w:r>
        <w:br w:type="page"/>
      </w:r>
      <w:r w:rsidR="00AD5A08" w:rsidRPr="00AD5A08">
        <w:rPr>
          <w:b/>
        </w:rPr>
        <w:lastRenderedPageBreak/>
        <w:t>Table of Contents</w:t>
      </w:r>
    </w:p>
    <w:p w:rsidR="00AD5A08" w:rsidRPr="00AD5A08" w:rsidRDefault="00AD5A08" w:rsidP="00AD5A08"/>
    <w:p w:rsidR="004B5639" w:rsidRDefault="00F14300">
      <w:pPr>
        <w:pStyle w:val="TOC1"/>
        <w:tabs>
          <w:tab w:val="right" w:leader="dot" w:pos="8772"/>
        </w:tabs>
        <w:rPr>
          <w:rFonts w:cstheme="minorBidi"/>
          <w:b w:val="0"/>
          <w:caps w:val="0"/>
          <w:noProof/>
          <w:lang w:eastAsia="en-AU"/>
        </w:rPr>
      </w:pPr>
      <w:r w:rsidRPr="00F14300">
        <w:rPr>
          <w:sz w:val="14"/>
          <w:szCs w:val="14"/>
        </w:rPr>
        <w:fldChar w:fldCharType="begin"/>
      </w:r>
      <w:r w:rsidR="00677B4A" w:rsidRPr="00533F1E">
        <w:rPr>
          <w:sz w:val="14"/>
          <w:szCs w:val="14"/>
        </w:rPr>
        <w:instrText xml:space="preserve"> TOC \o "1-3" </w:instrText>
      </w:r>
      <w:r w:rsidRPr="00F14300">
        <w:rPr>
          <w:sz w:val="14"/>
          <w:szCs w:val="14"/>
        </w:rPr>
        <w:fldChar w:fldCharType="separate"/>
      </w:r>
      <w:r w:rsidR="004B5639">
        <w:rPr>
          <w:noProof/>
        </w:rPr>
        <w:t>Summary</w:t>
      </w:r>
      <w:r w:rsidR="004B5639">
        <w:rPr>
          <w:noProof/>
        </w:rPr>
        <w:tab/>
      </w:r>
      <w:r>
        <w:rPr>
          <w:noProof/>
        </w:rPr>
        <w:fldChar w:fldCharType="begin"/>
      </w:r>
      <w:r w:rsidR="004B5639">
        <w:rPr>
          <w:noProof/>
        </w:rPr>
        <w:instrText xml:space="preserve"> PAGEREF _Toc326747431 \h </w:instrText>
      </w:r>
      <w:r>
        <w:rPr>
          <w:noProof/>
        </w:rPr>
      </w:r>
      <w:r>
        <w:rPr>
          <w:noProof/>
        </w:rPr>
        <w:fldChar w:fldCharType="separate"/>
      </w:r>
      <w:r w:rsidR="004B5639">
        <w:rPr>
          <w:noProof/>
        </w:rPr>
        <w:t>5</w:t>
      </w:r>
      <w:r>
        <w:rPr>
          <w:noProof/>
        </w:rPr>
        <w:fldChar w:fldCharType="end"/>
      </w:r>
    </w:p>
    <w:p w:rsidR="004B5639" w:rsidRDefault="004B5639">
      <w:pPr>
        <w:pStyle w:val="TOC2"/>
        <w:tabs>
          <w:tab w:val="right" w:leader="dot" w:pos="8772"/>
        </w:tabs>
        <w:rPr>
          <w:rFonts w:cstheme="minorBidi"/>
          <w:smallCaps w:val="0"/>
          <w:noProof/>
          <w:lang w:eastAsia="en-AU"/>
        </w:rPr>
      </w:pPr>
      <w:r>
        <w:rPr>
          <w:noProof/>
        </w:rPr>
        <w:t>Background</w:t>
      </w:r>
      <w:r>
        <w:rPr>
          <w:noProof/>
        </w:rPr>
        <w:tab/>
      </w:r>
      <w:r w:rsidR="00F14300">
        <w:rPr>
          <w:noProof/>
        </w:rPr>
        <w:fldChar w:fldCharType="begin"/>
      </w:r>
      <w:r>
        <w:rPr>
          <w:noProof/>
        </w:rPr>
        <w:instrText xml:space="preserve"> PAGEREF _Toc326747432 \h </w:instrText>
      </w:r>
      <w:r w:rsidR="00F14300">
        <w:rPr>
          <w:noProof/>
        </w:rPr>
      </w:r>
      <w:r w:rsidR="00F14300">
        <w:rPr>
          <w:noProof/>
        </w:rPr>
        <w:fldChar w:fldCharType="separate"/>
      </w:r>
      <w:r>
        <w:rPr>
          <w:noProof/>
        </w:rPr>
        <w:t>5</w:t>
      </w:r>
      <w:r w:rsidR="00F14300">
        <w:rPr>
          <w:noProof/>
        </w:rPr>
        <w:fldChar w:fldCharType="end"/>
      </w:r>
    </w:p>
    <w:p w:rsidR="004B5639" w:rsidRDefault="004B5639">
      <w:pPr>
        <w:pStyle w:val="TOC2"/>
        <w:tabs>
          <w:tab w:val="right" w:leader="dot" w:pos="8772"/>
        </w:tabs>
        <w:rPr>
          <w:rFonts w:cstheme="minorBidi"/>
          <w:smallCaps w:val="0"/>
          <w:noProof/>
          <w:lang w:eastAsia="en-AU"/>
        </w:rPr>
      </w:pPr>
      <w:r>
        <w:rPr>
          <w:noProof/>
        </w:rPr>
        <w:t>Data</w:t>
      </w:r>
      <w:r>
        <w:rPr>
          <w:noProof/>
        </w:rPr>
        <w:tab/>
      </w:r>
      <w:r w:rsidR="00F14300">
        <w:rPr>
          <w:noProof/>
        </w:rPr>
        <w:fldChar w:fldCharType="begin"/>
      </w:r>
      <w:r>
        <w:rPr>
          <w:noProof/>
        </w:rPr>
        <w:instrText xml:space="preserve"> PAGEREF _Toc326747433 \h </w:instrText>
      </w:r>
      <w:r w:rsidR="00F14300">
        <w:rPr>
          <w:noProof/>
        </w:rPr>
      </w:r>
      <w:r w:rsidR="00F14300">
        <w:rPr>
          <w:noProof/>
        </w:rPr>
        <w:fldChar w:fldCharType="separate"/>
      </w:r>
      <w:r>
        <w:rPr>
          <w:noProof/>
        </w:rPr>
        <w:t>5</w:t>
      </w:r>
      <w:r w:rsidR="00F14300">
        <w:rPr>
          <w:noProof/>
        </w:rPr>
        <w:fldChar w:fldCharType="end"/>
      </w:r>
    </w:p>
    <w:p w:rsidR="004B5639" w:rsidRDefault="004B5639">
      <w:pPr>
        <w:pStyle w:val="TOC2"/>
        <w:tabs>
          <w:tab w:val="right" w:leader="dot" w:pos="8772"/>
        </w:tabs>
        <w:rPr>
          <w:rFonts w:cstheme="minorBidi"/>
          <w:smallCaps w:val="0"/>
          <w:noProof/>
          <w:lang w:eastAsia="en-AU"/>
        </w:rPr>
      </w:pPr>
      <w:r>
        <w:rPr>
          <w:noProof/>
        </w:rPr>
        <w:t>What are biosolids?</w:t>
      </w:r>
      <w:r>
        <w:rPr>
          <w:noProof/>
        </w:rPr>
        <w:tab/>
      </w:r>
      <w:r w:rsidR="00F14300">
        <w:rPr>
          <w:noProof/>
        </w:rPr>
        <w:fldChar w:fldCharType="begin"/>
      </w:r>
      <w:r>
        <w:rPr>
          <w:noProof/>
        </w:rPr>
        <w:instrText xml:space="preserve"> PAGEREF _Toc326747434 \h </w:instrText>
      </w:r>
      <w:r w:rsidR="00F14300">
        <w:rPr>
          <w:noProof/>
        </w:rPr>
      </w:r>
      <w:r w:rsidR="00F14300">
        <w:rPr>
          <w:noProof/>
        </w:rPr>
        <w:fldChar w:fldCharType="separate"/>
      </w:r>
      <w:r>
        <w:rPr>
          <w:noProof/>
        </w:rPr>
        <w:t>5</w:t>
      </w:r>
      <w:r w:rsidR="00F14300">
        <w:rPr>
          <w:noProof/>
        </w:rPr>
        <w:fldChar w:fldCharType="end"/>
      </w:r>
    </w:p>
    <w:p w:rsidR="004B5639" w:rsidRDefault="004B5639">
      <w:pPr>
        <w:pStyle w:val="TOC2"/>
        <w:tabs>
          <w:tab w:val="right" w:leader="dot" w:pos="8772"/>
        </w:tabs>
        <w:rPr>
          <w:rFonts w:cstheme="minorBidi"/>
          <w:smallCaps w:val="0"/>
          <w:noProof/>
          <w:lang w:eastAsia="en-AU"/>
        </w:rPr>
      </w:pPr>
      <w:r>
        <w:rPr>
          <w:noProof/>
        </w:rPr>
        <w:t>Biosolids production in Australia</w:t>
      </w:r>
      <w:r>
        <w:rPr>
          <w:noProof/>
        </w:rPr>
        <w:tab/>
      </w:r>
      <w:r w:rsidR="00F14300">
        <w:rPr>
          <w:noProof/>
        </w:rPr>
        <w:fldChar w:fldCharType="begin"/>
      </w:r>
      <w:r>
        <w:rPr>
          <w:noProof/>
        </w:rPr>
        <w:instrText xml:space="preserve"> PAGEREF _Toc326747435 \h </w:instrText>
      </w:r>
      <w:r w:rsidR="00F14300">
        <w:rPr>
          <w:noProof/>
        </w:rPr>
      </w:r>
      <w:r w:rsidR="00F14300">
        <w:rPr>
          <w:noProof/>
        </w:rPr>
        <w:fldChar w:fldCharType="separate"/>
      </w:r>
      <w:r>
        <w:rPr>
          <w:noProof/>
        </w:rPr>
        <w:t>6</w:t>
      </w:r>
      <w:r w:rsidR="00F14300">
        <w:rPr>
          <w:noProof/>
        </w:rPr>
        <w:fldChar w:fldCharType="end"/>
      </w:r>
    </w:p>
    <w:p w:rsidR="004B5639" w:rsidRDefault="004B5639">
      <w:pPr>
        <w:pStyle w:val="TOC2"/>
        <w:tabs>
          <w:tab w:val="right" w:leader="dot" w:pos="8772"/>
        </w:tabs>
        <w:rPr>
          <w:rFonts w:cstheme="minorBidi"/>
          <w:smallCaps w:val="0"/>
          <w:noProof/>
          <w:lang w:eastAsia="en-AU"/>
        </w:rPr>
      </w:pPr>
      <w:r>
        <w:rPr>
          <w:noProof/>
        </w:rPr>
        <w:t>Biosolids end use (markets)</w:t>
      </w:r>
      <w:r>
        <w:rPr>
          <w:noProof/>
        </w:rPr>
        <w:tab/>
      </w:r>
      <w:r w:rsidR="00F14300">
        <w:rPr>
          <w:noProof/>
        </w:rPr>
        <w:fldChar w:fldCharType="begin"/>
      </w:r>
      <w:r>
        <w:rPr>
          <w:noProof/>
        </w:rPr>
        <w:instrText xml:space="preserve"> PAGEREF _Toc326747436 \h </w:instrText>
      </w:r>
      <w:r w:rsidR="00F14300">
        <w:rPr>
          <w:noProof/>
        </w:rPr>
      </w:r>
      <w:r w:rsidR="00F14300">
        <w:rPr>
          <w:noProof/>
        </w:rPr>
        <w:fldChar w:fldCharType="separate"/>
      </w:r>
      <w:r>
        <w:rPr>
          <w:noProof/>
        </w:rPr>
        <w:t>7</w:t>
      </w:r>
      <w:r w:rsidR="00F14300">
        <w:rPr>
          <w:noProof/>
        </w:rPr>
        <w:fldChar w:fldCharType="end"/>
      </w:r>
    </w:p>
    <w:p w:rsidR="004B5639" w:rsidRDefault="004B5639">
      <w:pPr>
        <w:pStyle w:val="TOC2"/>
        <w:tabs>
          <w:tab w:val="right" w:leader="dot" w:pos="8772"/>
        </w:tabs>
        <w:rPr>
          <w:rFonts w:cstheme="minorBidi"/>
          <w:smallCaps w:val="0"/>
          <w:noProof/>
          <w:lang w:eastAsia="en-AU"/>
        </w:rPr>
      </w:pPr>
      <w:r>
        <w:rPr>
          <w:noProof/>
        </w:rPr>
        <w:t>Biosolids treatment and beneficial use</w:t>
      </w:r>
      <w:r>
        <w:rPr>
          <w:noProof/>
        </w:rPr>
        <w:tab/>
      </w:r>
      <w:r w:rsidR="00F14300">
        <w:rPr>
          <w:noProof/>
        </w:rPr>
        <w:fldChar w:fldCharType="begin"/>
      </w:r>
      <w:r>
        <w:rPr>
          <w:noProof/>
        </w:rPr>
        <w:instrText xml:space="preserve"> PAGEREF _Toc326747437 \h </w:instrText>
      </w:r>
      <w:r w:rsidR="00F14300">
        <w:rPr>
          <w:noProof/>
        </w:rPr>
      </w:r>
      <w:r w:rsidR="00F14300">
        <w:rPr>
          <w:noProof/>
        </w:rPr>
        <w:fldChar w:fldCharType="separate"/>
      </w:r>
      <w:r>
        <w:rPr>
          <w:noProof/>
        </w:rPr>
        <w:t>7</w:t>
      </w:r>
      <w:r w:rsidR="00F14300">
        <w:rPr>
          <w:noProof/>
        </w:rPr>
        <w:fldChar w:fldCharType="end"/>
      </w:r>
    </w:p>
    <w:p w:rsidR="004B5639" w:rsidRDefault="004B5639">
      <w:pPr>
        <w:pStyle w:val="TOC2"/>
        <w:tabs>
          <w:tab w:val="right" w:leader="dot" w:pos="8772"/>
        </w:tabs>
        <w:rPr>
          <w:rFonts w:cstheme="minorBidi"/>
          <w:smallCaps w:val="0"/>
          <w:noProof/>
          <w:lang w:eastAsia="en-AU"/>
        </w:rPr>
      </w:pPr>
      <w:r>
        <w:rPr>
          <w:noProof/>
        </w:rPr>
        <w:t>Value of biosolids</w:t>
      </w:r>
      <w:r>
        <w:rPr>
          <w:noProof/>
        </w:rPr>
        <w:tab/>
      </w:r>
      <w:r w:rsidR="00F14300">
        <w:rPr>
          <w:noProof/>
        </w:rPr>
        <w:fldChar w:fldCharType="begin"/>
      </w:r>
      <w:r>
        <w:rPr>
          <w:noProof/>
        </w:rPr>
        <w:instrText xml:space="preserve"> PAGEREF _Toc326747438 \h </w:instrText>
      </w:r>
      <w:r w:rsidR="00F14300">
        <w:rPr>
          <w:noProof/>
        </w:rPr>
      </w:r>
      <w:r w:rsidR="00F14300">
        <w:rPr>
          <w:noProof/>
        </w:rPr>
        <w:fldChar w:fldCharType="separate"/>
      </w:r>
      <w:r>
        <w:rPr>
          <w:noProof/>
        </w:rPr>
        <w:t>8</w:t>
      </w:r>
      <w:r w:rsidR="00F14300">
        <w:rPr>
          <w:noProof/>
        </w:rPr>
        <w:fldChar w:fldCharType="end"/>
      </w:r>
    </w:p>
    <w:p w:rsidR="004B5639" w:rsidRDefault="004B5639">
      <w:pPr>
        <w:pStyle w:val="TOC2"/>
        <w:tabs>
          <w:tab w:val="right" w:leader="dot" w:pos="8772"/>
        </w:tabs>
        <w:rPr>
          <w:rFonts w:cstheme="minorBidi"/>
          <w:smallCaps w:val="0"/>
          <w:noProof/>
          <w:lang w:eastAsia="en-AU"/>
        </w:rPr>
      </w:pPr>
      <w:r>
        <w:rPr>
          <w:noProof/>
        </w:rPr>
        <w:t>Greenhouse gas implications of biosolids</w:t>
      </w:r>
      <w:r>
        <w:rPr>
          <w:noProof/>
        </w:rPr>
        <w:tab/>
      </w:r>
      <w:r w:rsidR="00F14300">
        <w:rPr>
          <w:noProof/>
        </w:rPr>
        <w:fldChar w:fldCharType="begin"/>
      </w:r>
      <w:r>
        <w:rPr>
          <w:noProof/>
        </w:rPr>
        <w:instrText xml:space="preserve"> PAGEREF _Toc326747439 \h </w:instrText>
      </w:r>
      <w:r w:rsidR="00F14300">
        <w:rPr>
          <w:noProof/>
        </w:rPr>
      </w:r>
      <w:r w:rsidR="00F14300">
        <w:rPr>
          <w:noProof/>
        </w:rPr>
        <w:fldChar w:fldCharType="separate"/>
      </w:r>
      <w:r>
        <w:rPr>
          <w:noProof/>
        </w:rPr>
        <w:t>9</w:t>
      </w:r>
      <w:r w:rsidR="00F14300">
        <w:rPr>
          <w:noProof/>
        </w:rPr>
        <w:fldChar w:fldCharType="end"/>
      </w:r>
    </w:p>
    <w:p w:rsidR="004B5639" w:rsidRDefault="004B5639">
      <w:pPr>
        <w:pStyle w:val="TOC2"/>
        <w:tabs>
          <w:tab w:val="right" w:leader="dot" w:pos="8772"/>
        </w:tabs>
        <w:rPr>
          <w:rFonts w:cstheme="minorBidi"/>
          <w:smallCaps w:val="0"/>
          <w:noProof/>
          <w:lang w:eastAsia="en-AU"/>
        </w:rPr>
      </w:pPr>
      <w:r>
        <w:rPr>
          <w:noProof/>
        </w:rPr>
        <w:t>Standards and guidelines</w:t>
      </w:r>
      <w:r>
        <w:rPr>
          <w:noProof/>
        </w:rPr>
        <w:tab/>
      </w:r>
      <w:r w:rsidR="00F14300">
        <w:rPr>
          <w:noProof/>
        </w:rPr>
        <w:fldChar w:fldCharType="begin"/>
      </w:r>
      <w:r>
        <w:rPr>
          <w:noProof/>
        </w:rPr>
        <w:instrText xml:space="preserve"> PAGEREF _Toc326747440 \h </w:instrText>
      </w:r>
      <w:r w:rsidR="00F14300">
        <w:rPr>
          <w:noProof/>
        </w:rPr>
      </w:r>
      <w:r w:rsidR="00F14300">
        <w:rPr>
          <w:noProof/>
        </w:rPr>
        <w:fldChar w:fldCharType="separate"/>
      </w:r>
      <w:r>
        <w:rPr>
          <w:noProof/>
        </w:rPr>
        <w:t>9</w:t>
      </w:r>
      <w:r w:rsidR="00F14300">
        <w:rPr>
          <w:noProof/>
        </w:rPr>
        <w:fldChar w:fldCharType="end"/>
      </w:r>
    </w:p>
    <w:p w:rsidR="004B5639" w:rsidRDefault="004B5639">
      <w:pPr>
        <w:pStyle w:val="TOC2"/>
        <w:tabs>
          <w:tab w:val="right" w:leader="dot" w:pos="8772"/>
        </w:tabs>
        <w:rPr>
          <w:rFonts w:cstheme="minorBidi"/>
          <w:smallCaps w:val="0"/>
          <w:noProof/>
          <w:lang w:eastAsia="en-AU"/>
        </w:rPr>
      </w:pPr>
      <w:r>
        <w:rPr>
          <w:noProof/>
        </w:rPr>
        <w:t>Market risks and opportunities</w:t>
      </w:r>
      <w:r>
        <w:rPr>
          <w:noProof/>
        </w:rPr>
        <w:tab/>
      </w:r>
      <w:r w:rsidR="00F14300">
        <w:rPr>
          <w:noProof/>
        </w:rPr>
        <w:fldChar w:fldCharType="begin"/>
      </w:r>
      <w:r>
        <w:rPr>
          <w:noProof/>
        </w:rPr>
        <w:instrText xml:space="preserve"> PAGEREF _Toc326747441 \h </w:instrText>
      </w:r>
      <w:r w:rsidR="00F14300">
        <w:rPr>
          <w:noProof/>
        </w:rPr>
      </w:r>
      <w:r w:rsidR="00F14300">
        <w:rPr>
          <w:noProof/>
        </w:rPr>
        <w:fldChar w:fldCharType="separate"/>
      </w:r>
      <w:r>
        <w:rPr>
          <w:noProof/>
        </w:rPr>
        <w:t>10</w:t>
      </w:r>
      <w:r w:rsidR="00F14300">
        <w:rPr>
          <w:noProof/>
        </w:rPr>
        <w:fldChar w:fldCharType="end"/>
      </w:r>
    </w:p>
    <w:p w:rsidR="004B5639" w:rsidRDefault="004B5639">
      <w:pPr>
        <w:pStyle w:val="TOC1"/>
        <w:tabs>
          <w:tab w:val="left" w:pos="480"/>
          <w:tab w:val="right" w:leader="dot" w:pos="8772"/>
        </w:tabs>
        <w:rPr>
          <w:rFonts w:cstheme="minorBidi"/>
          <w:b w:val="0"/>
          <w:caps w:val="0"/>
          <w:noProof/>
          <w:lang w:eastAsia="en-AU"/>
        </w:rPr>
      </w:pPr>
      <w:r>
        <w:rPr>
          <w:noProof/>
        </w:rPr>
        <w:t>1</w:t>
      </w:r>
      <w:r>
        <w:rPr>
          <w:rFonts w:cstheme="minorBidi"/>
          <w:b w:val="0"/>
          <w:caps w:val="0"/>
          <w:noProof/>
          <w:lang w:eastAsia="en-AU"/>
        </w:rPr>
        <w:tab/>
      </w:r>
      <w:r>
        <w:rPr>
          <w:noProof/>
        </w:rPr>
        <w:t>Introduction</w:t>
      </w:r>
      <w:r>
        <w:rPr>
          <w:noProof/>
        </w:rPr>
        <w:tab/>
      </w:r>
      <w:r w:rsidR="00F14300">
        <w:rPr>
          <w:noProof/>
        </w:rPr>
        <w:fldChar w:fldCharType="begin"/>
      </w:r>
      <w:r>
        <w:rPr>
          <w:noProof/>
        </w:rPr>
        <w:instrText xml:space="preserve"> PAGEREF _Toc326747442 \h </w:instrText>
      </w:r>
      <w:r w:rsidR="00F14300">
        <w:rPr>
          <w:noProof/>
        </w:rPr>
      </w:r>
      <w:r w:rsidR="00F14300">
        <w:rPr>
          <w:noProof/>
        </w:rPr>
        <w:fldChar w:fldCharType="separate"/>
      </w:r>
      <w:r>
        <w:rPr>
          <w:noProof/>
        </w:rPr>
        <w:t>11</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1.1</w:t>
      </w:r>
      <w:r>
        <w:rPr>
          <w:rFonts w:cstheme="minorBidi"/>
          <w:smallCaps w:val="0"/>
          <w:noProof/>
          <w:lang w:eastAsia="en-AU"/>
        </w:rPr>
        <w:tab/>
      </w:r>
      <w:r>
        <w:rPr>
          <w:noProof/>
        </w:rPr>
        <w:t>Background</w:t>
      </w:r>
      <w:r>
        <w:rPr>
          <w:noProof/>
        </w:rPr>
        <w:tab/>
      </w:r>
      <w:r w:rsidR="00F14300">
        <w:rPr>
          <w:noProof/>
        </w:rPr>
        <w:fldChar w:fldCharType="begin"/>
      </w:r>
      <w:r>
        <w:rPr>
          <w:noProof/>
        </w:rPr>
        <w:instrText xml:space="preserve"> PAGEREF _Toc326747443 \h </w:instrText>
      </w:r>
      <w:r w:rsidR="00F14300">
        <w:rPr>
          <w:noProof/>
        </w:rPr>
      </w:r>
      <w:r w:rsidR="00F14300">
        <w:rPr>
          <w:noProof/>
        </w:rPr>
        <w:fldChar w:fldCharType="separate"/>
      </w:r>
      <w:r>
        <w:rPr>
          <w:noProof/>
        </w:rPr>
        <w:t>11</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1.2</w:t>
      </w:r>
      <w:r>
        <w:rPr>
          <w:rFonts w:cstheme="minorBidi"/>
          <w:smallCaps w:val="0"/>
          <w:noProof/>
          <w:lang w:eastAsia="en-AU"/>
        </w:rPr>
        <w:tab/>
      </w:r>
      <w:r>
        <w:rPr>
          <w:noProof/>
        </w:rPr>
        <w:t>Terms of reference</w:t>
      </w:r>
      <w:r>
        <w:rPr>
          <w:noProof/>
        </w:rPr>
        <w:tab/>
      </w:r>
      <w:r w:rsidR="00F14300">
        <w:rPr>
          <w:noProof/>
        </w:rPr>
        <w:fldChar w:fldCharType="begin"/>
      </w:r>
      <w:r>
        <w:rPr>
          <w:noProof/>
        </w:rPr>
        <w:instrText xml:space="preserve"> PAGEREF _Toc326747444 \h </w:instrText>
      </w:r>
      <w:r w:rsidR="00F14300">
        <w:rPr>
          <w:noProof/>
        </w:rPr>
      </w:r>
      <w:r w:rsidR="00F14300">
        <w:rPr>
          <w:noProof/>
        </w:rPr>
        <w:fldChar w:fldCharType="separate"/>
      </w:r>
      <w:r>
        <w:rPr>
          <w:noProof/>
        </w:rPr>
        <w:t>11</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1.3</w:t>
      </w:r>
      <w:r>
        <w:rPr>
          <w:rFonts w:cstheme="minorBidi"/>
          <w:smallCaps w:val="0"/>
          <w:noProof/>
          <w:lang w:eastAsia="en-AU"/>
        </w:rPr>
        <w:tab/>
      </w:r>
      <w:r>
        <w:rPr>
          <w:noProof/>
        </w:rPr>
        <w:t>Data collection</w:t>
      </w:r>
      <w:r>
        <w:rPr>
          <w:noProof/>
        </w:rPr>
        <w:tab/>
      </w:r>
      <w:r w:rsidR="00F14300">
        <w:rPr>
          <w:noProof/>
        </w:rPr>
        <w:fldChar w:fldCharType="begin"/>
      </w:r>
      <w:r>
        <w:rPr>
          <w:noProof/>
        </w:rPr>
        <w:instrText xml:space="preserve"> PAGEREF _Toc326747445 \h </w:instrText>
      </w:r>
      <w:r w:rsidR="00F14300">
        <w:rPr>
          <w:noProof/>
        </w:rPr>
      </w:r>
      <w:r w:rsidR="00F14300">
        <w:rPr>
          <w:noProof/>
        </w:rPr>
        <w:fldChar w:fldCharType="separate"/>
      </w:r>
      <w:r>
        <w:rPr>
          <w:noProof/>
        </w:rPr>
        <w:t>12</w:t>
      </w:r>
      <w:r w:rsidR="00F14300">
        <w:rPr>
          <w:noProof/>
        </w:rPr>
        <w:fldChar w:fldCharType="end"/>
      </w:r>
    </w:p>
    <w:p w:rsidR="004B5639" w:rsidRDefault="004B5639">
      <w:pPr>
        <w:pStyle w:val="TOC3"/>
        <w:tabs>
          <w:tab w:val="left" w:pos="1200"/>
          <w:tab w:val="right" w:leader="dot" w:pos="8772"/>
        </w:tabs>
        <w:rPr>
          <w:rFonts w:cstheme="minorBidi"/>
          <w:i w:val="0"/>
          <w:noProof/>
          <w:lang w:eastAsia="en-AU"/>
        </w:rPr>
      </w:pPr>
      <w:r>
        <w:rPr>
          <w:noProof/>
        </w:rPr>
        <w:t>1.3.1</w:t>
      </w:r>
      <w:r>
        <w:rPr>
          <w:rFonts w:cstheme="minorBidi"/>
          <w:i w:val="0"/>
          <w:noProof/>
          <w:lang w:eastAsia="en-AU"/>
        </w:rPr>
        <w:tab/>
      </w:r>
      <w:r>
        <w:rPr>
          <w:noProof/>
        </w:rPr>
        <w:t>Method</w:t>
      </w:r>
      <w:r>
        <w:rPr>
          <w:noProof/>
        </w:rPr>
        <w:tab/>
      </w:r>
      <w:r w:rsidR="00F14300">
        <w:rPr>
          <w:noProof/>
        </w:rPr>
        <w:fldChar w:fldCharType="begin"/>
      </w:r>
      <w:r>
        <w:rPr>
          <w:noProof/>
        </w:rPr>
        <w:instrText xml:space="preserve"> PAGEREF _Toc326747446 \h </w:instrText>
      </w:r>
      <w:r w:rsidR="00F14300">
        <w:rPr>
          <w:noProof/>
        </w:rPr>
      </w:r>
      <w:r w:rsidR="00F14300">
        <w:rPr>
          <w:noProof/>
        </w:rPr>
        <w:fldChar w:fldCharType="separate"/>
      </w:r>
      <w:r>
        <w:rPr>
          <w:noProof/>
        </w:rPr>
        <w:t>12</w:t>
      </w:r>
      <w:r w:rsidR="00F14300">
        <w:rPr>
          <w:noProof/>
        </w:rPr>
        <w:fldChar w:fldCharType="end"/>
      </w:r>
    </w:p>
    <w:p w:rsidR="004B5639" w:rsidRDefault="004B5639">
      <w:pPr>
        <w:pStyle w:val="TOC3"/>
        <w:tabs>
          <w:tab w:val="left" w:pos="1200"/>
          <w:tab w:val="right" w:leader="dot" w:pos="8772"/>
        </w:tabs>
        <w:rPr>
          <w:rFonts w:cstheme="minorBidi"/>
          <w:i w:val="0"/>
          <w:noProof/>
          <w:lang w:eastAsia="en-AU"/>
        </w:rPr>
      </w:pPr>
      <w:r>
        <w:rPr>
          <w:noProof/>
        </w:rPr>
        <w:t>1.3.2</w:t>
      </w:r>
      <w:r>
        <w:rPr>
          <w:rFonts w:cstheme="minorBidi"/>
          <w:i w:val="0"/>
          <w:noProof/>
          <w:lang w:eastAsia="en-AU"/>
        </w:rPr>
        <w:tab/>
      </w:r>
      <w:r>
        <w:rPr>
          <w:noProof/>
        </w:rPr>
        <w:t>Classifications</w:t>
      </w:r>
      <w:r>
        <w:rPr>
          <w:noProof/>
        </w:rPr>
        <w:tab/>
      </w:r>
      <w:r w:rsidR="00F14300">
        <w:rPr>
          <w:noProof/>
        </w:rPr>
        <w:fldChar w:fldCharType="begin"/>
      </w:r>
      <w:r>
        <w:rPr>
          <w:noProof/>
        </w:rPr>
        <w:instrText xml:space="preserve"> PAGEREF _Toc326747447 \h </w:instrText>
      </w:r>
      <w:r w:rsidR="00F14300">
        <w:rPr>
          <w:noProof/>
        </w:rPr>
      </w:r>
      <w:r w:rsidR="00F14300">
        <w:rPr>
          <w:noProof/>
        </w:rPr>
        <w:fldChar w:fldCharType="separate"/>
      </w:r>
      <w:r>
        <w:rPr>
          <w:noProof/>
        </w:rPr>
        <w:t>12</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1.4</w:t>
      </w:r>
      <w:r>
        <w:rPr>
          <w:rFonts w:cstheme="minorBidi"/>
          <w:smallCaps w:val="0"/>
          <w:noProof/>
          <w:lang w:eastAsia="en-AU"/>
        </w:rPr>
        <w:tab/>
      </w:r>
      <w:r>
        <w:rPr>
          <w:noProof/>
        </w:rPr>
        <w:t>Sewage and communities</w:t>
      </w:r>
      <w:r>
        <w:rPr>
          <w:noProof/>
        </w:rPr>
        <w:tab/>
      </w:r>
      <w:r w:rsidR="00F14300">
        <w:rPr>
          <w:noProof/>
        </w:rPr>
        <w:fldChar w:fldCharType="begin"/>
      </w:r>
      <w:r>
        <w:rPr>
          <w:noProof/>
        </w:rPr>
        <w:instrText xml:space="preserve"> PAGEREF _Toc326747448 \h </w:instrText>
      </w:r>
      <w:r w:rsidR="00F14300">
        <w:rPr>
          <w:noProof/>
        </w:rPr>
      </w:r>
      <w:r w:rsidR="00F14300">
        <w:rPr>
          <w:noProof/>
        </w:rPr>
        <w:fldChar w:fldCharType="separate"/>
      </w:r>
      <w:r>
        <w:rPr>
          <w:noProof/>
        </w:rPr>
        <w:t>13</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1.5</w:t>
      </w:r>
      <w:r>
        <w:rPr>
          <w:rFonts w:cstheme="minorBidi"/>
          <w:smallCaps w:val="0"/>
          <w:noProof/>
          <w:lang w:eastAsia="en-AU"/>
        </w:rPr>
        <w:tab/>
      </w:r>
      <w:r>
        <w:rPr>
          <w:noProof/>
        </w:rPr>
        <w:t>What are biosolids?</w:t>
      </w:r>
      <w:r>
        <w:rPr>
          <w:noProof/>
        </w:rPr>
        <w:tab/>
      </w:r>
      <w:r w:rsidR="00F14300">
        <w:rPr>
          <w:noProof/>
        </w:rPr>
        <w:fldChar w:fldCharType="begin"/>
      </w:r>
      <w:r>
        <w:rPr>
          <w:noProof/>
        </w:rPr>
        <w:instrText xml:space="preserve"> PAGEREF _Toc326747449 \h </w:instrText>
      </w:r>
      <w:r w:rsidR="00F14300">
        <w:rPr>
          <w:noProof/>
        </w:rPr>
      </w:r>
      <w:r w:rsidR="00F14300">
        <w:rPr>
          <w:noProof/>
        </w:rPr>
        <w:fldChar w:fldCharType="separate"/>
      </w:r>
      <w:r>
        <w:rPr>
          <w:noProof/>
        </w:rPr>
        <w:t>15</w:t>
      </w:r>
      <w:r w:rsidR="00F14300">
        <w:rPr>
          <w:noProof/>
        </w:rPr>
        <w:fldChar w:fldCharType="end"/>
      </w:r>
    </w:p>
    <w:p w:rsidR="004B5639" w:rsidRDefault="004B5639">
      <w:pPr>
        <w:pStyle w:val="TOC1"/>
        <w:tabs>
          <w:tab w:val="left" w:pos="480"/>
          <w:tab w:val="right" w:leader="dot" w:pos="8772"/>
        </w:tabs>
        <w:rPr>
          <w:rFonts w:cstheme="minorBidi"/>
          <w:b w:val="0"/>
          <w:caps w:val="0"/>
          <w:noProof/>
          <w:lang w:eastAsia="en-AU"/>
        </w:rPr>
      </w:pPr>
      <w:r>
        <w:rPr>
          <w:noProof/>
        </w:rPr>
        <w:t>2</w:t>
      </w:r>
      <w:r>
        <w:rPr>
          <w:rFonts w:cstheme="minorBidi"/>
          <w:b w:val="0"/>
          <w:caps w:val="0"/>
          <w:noProof/>
          <w:lang w:eastAsia="en-AU"/>
        </w:rPr>
        <w:tab/>
      </w:r>
      <w:r>
        <w:rPr>
          <w:noProof/>
        </w:rPr>
        <w:t>Biosolids production</w:t>
      </w:r>
      <w:r>
        <w:rPr>
          <w:noProof/>
        </w:rPr>
        <w:tab/>
      </w:r>
      <w:r w:rsidR="00F14300">
        <w:rPr>
          <w:noProof/>
        </w:rPr>
        <w:fldChar w:fldCharType="begin"/>
      </w:r>
      <w:r>
        <w:rPr>
          <w:noProof/>
        </w:rPr>
        <w:instrText xml:space="preserve"> PAGEREF _Toc326747450 \h </w:instrText>
      </w:r>
      <w:r w:rsidR="00F14300">
        <w:rPr>
          <w:noProof/>
        </w:rPr>
      </w:r>
      <w:r w:rsidR="00F14300">
        <w:rPr>
          <w:noProof/>
        </w:rPr>
        <w:fldChar w:fldCharType="separate"/>
      </w:r>
      <w:r>
        <w:rPr>
          <w:noProof/>
        </w:rPr>
        <w:t>18</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2.1</w:t>
      </w:r>
      <w:r>
        <w:rPr>
          <w:rFonts w:cstheme="minorBidi"/>
          <w:smallCaps w:val="0"/>
          <w:noProof/>
          <w:lang w:eastAsia="en-AU"/>
        </w:rPr>
        <w:tab/>
      </w:r>
      <w:r>
        <w:rPr>
          <w:noProof/>
        </w:rPr>
        <w:t>Australia</w:t>
      </w:r>
      <w:r>
        <w:rPr>
          <w:noProof/>
        </w:rPr>
        <w:tab/>
      </w:r>
      <w:r w:rsidR="00F14300">
        <w:rPr>
          <w:noProof/>
        </w:rPr>
        <w:fldChar w:fldCharType="begin"/>
      </w:r>
      <w:r>
        <w:rPr>
          <w:noProof/>
        </w:rPr>
        <w:instrText xml:space="preserve"> PAGEREF _Toc326747451 \h </w:instrText>
      </w:r>
      <w:r w:rsidR="00F14300">
        <w:rPr>
          <w:noProof/>
        </w:rPr>
      </w:r>
      <w:r w:rsidR="00F14300">
        <w:rPr>
          <w:noProof/>
        </w:rPr>
        <w:fldChar w:fldCharType="separate"/>
      </w:r>
      <w:r>
        <w:rPr>
          <w:noProof/>
        </w:rPr>
        <w:t>18</w:t>
      </w:r>
      <w:r w:rsidR="00F14300">
        <w:rPr>
          <w:noProof/>
        </w:rPr>
        <w:fldChar w:fldCharType="end"/>
      </w:r>
    </w:p>
    <w:p w:rsidR="004B5639" w:rsidRDefault="004B5639">
      <w:pPr>
        <w:pStyle w:val="TOC1"/>
        <w:tabs>
          <w:tab w:val="left" w:pos="480"/>
          <w:tab w:val="right" w:leader="dot" w:pos="8772"/>
        </w:tabs>
        <w:rPr>
          <w:rFonts w:cstheme="minorBidi"/>
          <w:b w:val="0"/>
          <w:caps w:val="0"/>
          <w:noProof/>
          <w:lang w:eastAsia="en-AU"/>
        </w:rPr>
      </w:pPr>
      <w:r>
        <w:rPr>
          <w:noProof/>
        </w:rPr>
        <w:t>3</w:t>
      </w:r>
      <w:r>
        <w:rPr>
          <w:rFonts w:cstheme="minorBidi"/>
          <w:b w:val="0"/>
          <w:caps w:val="0"/>
          <w:noProof/>
          <w:lang w:eastAsia="en-AU"/>
        </w:rPr>
        <w:tab/>
      </w:r>
      <w:r>
        <w:rPr>
          <w:noProof/>
        </w:rPr>
        <w:t>Biosolids end use (markets)</w:t>
      </w:r>
      <w:r>
        <w:rPr>
          <w:noProof/>
        </w:rPr>
        <w:tab/>
      </w:r>
      <w:r w:rsidR="00F14300">
        <w:rPr>
          <w:noProof/>
        </w:rPr>
        <w:fldChar w:fldCharType="begin"/>
      </w:r>
      <w:r>
        <w:rPr>
          <w:noProof/>
        </w:rPr>
        <w:instrText xml:space="preserve"> PAGEREF _Toc326747452 \h </w:instrText>
      </w:r>
      <w:r w:rsidR="00F14300">
        <w:rPr>
          <w:noProof/>
        </w:rPr>
      </w:r>
      <w:r w:rsidR="00F14300">
        <w:rPr>
          <w:noProof/>
        </w:rPr>
        <w:fldChar w:fldCharType="separate"/>
      </w:r>
      <w:r>
        <w:rPr>
          <w:noProof/>
        </w:rPr>
        <w:t>19</w:t>
      </w:r>
      <w:r w:rsidR="00F14300">
        <w:rPr>
          <w:noProof/>
        </w:rPr>
        <w:fldChar w:fldCharType="end"/>
      </w:r>
    </w:p>
    <w:p w:rsidR="004B5639" w:rsidRDefault="004B5639">
      <w:pPr>
        <w:pStyle w:val="TOC1"/>
        <w:tabs>
          <w:tab w:val="left" w:pos="480"/>
          <w:tab w:val="right" w:leader="dot" w:pos="8772"/>
        </w:tabs>
        <w:rPr>
          <w:rFonts w:cstheme="minorBidi"/>
          <w:b w:val="0"/>
          <w:caps w:val="0"/>
          <w:noProof/>
          <w:lang w:eastAsia="en-AU"/>
        </w:rPr>
      </w:pPr>
      <w:r>
        <w:rPr>
          <w:noProof/>
        </w:rPr>
        <w:t>4</w:t>
      </w:r>
      <w:r>
        <w:rPr>
          <w:rFonts w:cstheme="minorBidi"/>
          <w:b w:val="0"/>
          <w:caps w:val="0"/>
          <w:noProof/>
          <w:lang w:eastAsia="en-AU"/>
        </w:rPr>
        <w:tab/>
      </w:r>
      <w:r>
        <w:rPr>
          <w:noProof/>
        </w:rPr>
        <w:t>Biosolids quality</w:t>
      </w:r>
      <w:r>
        <w:rPr>
          <w:noProof/>
        </w:rPr>
        <w:tab/>
      </w:r>
      <w:r w:rsidR="00F14300">
        <w:rPr>
          <w:noProof/>
        </w:rPr>
        <w:fldChar w:fldCharType="begin"/>
      </w:r>
      <w:r>
        <w:rPr>
          <w:noProof/>
        </w:rPr>
        <w:instrText xml:space="preserve"> PAGEREF _Toc326747453 \h </w:instrText>
      </w:r>
      <w:r w:rsidR="00F14300">
        <w:rPr>
          <w:noProof/>
        </w:rPr>
      </w:r>
      <w:r w:rsidR="00F14300">
        <w:rPr>
          <w:noProof/>
        </w:rPr>
        <w:fldChar w:fldCharType="separate"/>
      </w:r>
      <w:r>
        <w:rPr>
          <w:noProof/>
        </w:rPr>
        <w:t>23</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4.1</w:t>
      </w:r>
      <w:r>
        <w:rPr>
          <w:rFonts w:cstheme="minorBidi"/>
          <w:smallCaps w:val="0"/>
          <w:noProof/>
          <w:lang w:eastAsia="en-AU"/>
        </w:rPr>
        <w:tab/>
      </w:r>
      <w:r>
        <w:rPr>
          <w:noProof/>
        </w:rPr>
        <w:t>General</w:t>
      </w:r>
      <w:r>
        <w:rPr>
          <w:noProof/>
        </w:rPr>
        <w:tab/>
      </w:r>
      <w:r w:rsidR="00F14300">
        <w:rPr>
          <w:noProof/>
        </w:rPr>
        <w:fldChar w:fldCharType="begin"/>
      </w:r>
      <w:r>
        <w:rPr>
          <w:noProof/>
        </w:rPr>
        <w:instrText xml:space="preserve"> PAGEREF _Toc326747454 \h </w:instrText>
      </w:r>
      <w:r w:rsidR="00F14300">
        <w:rPr>
          <w:noProof/>
        </w:rPr>
      </w:r>
      <w:r w:rsidR="00F14300">
        <w:rPr>
          <w:noProof/>
        </w:rPr>
        <w:fldChar w:fldCharType="separate"/>
      </w:r>
      <w:r>
        <w:rPr>
          <w:noProof/>
        </w:rPr>
        <w:t>23</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4.2</w:t>
      </w:r>
      <w:r>
        <w:rPr>
          <w:rFonts w:cstheme="minorBidi"/>
          <w:smallCaps w:val="0"/>
          <w:noProof/>
          <w:lang w:eastAsia="en-AU"/>
        </w:rPr>
        <w:tab/>
      </w:r>
      <w:r>
        <w:rPr>
          <w:noProof/>
        </w:rPr>
        <w:t>Stabilisation grade in Australia</w:t>
      </w:r>
      <w:r>
        <w:rPr>
          <w:noProof/>
        </w:rPr>
        <w:tab/>
      </w:r>
      <w:r w:rsidR="00F14300">
        <w:rPr>
          <w:noProof/>
        </w:rPr>
        <w:fldChar w:fldCharType="begin"/>
      </w:r>
      <w:r>
        <w:rPr>
          <w:noProof/>
        </w:rPr>
        <w:instrText xml:space="preserve"> PAGEREF _Toc326747455 \h </w:instrText>
      </w:r>
      <w:r w:rsidR="00F14300">
        <w:rPr>
          <w:noProof/>
        </w:rPr>
      </w:r>
      <w:r w:rsidR="00F14300">
        <w:rPr>
          <w:noProof/>
        </w:rPr>
        <w:fldChar w:fldCharType="separate"/>
      </w:r>
      <w:r>
        <w:rPr>
          <w:noProof/>
        </w:rPr>
        <w:t>23</w:t>
      </w:r>
      <w:r w:rsidR="00F14300">
        <w:rPr>
          <w:noProof/>
        </w:rPr>
        <w:fldChar w:fldCharType="end"/>
      </w:r>
    </w:p>
    <w:p w:rsidR="004B5639" w:rsidRDefault="004B5639">
      <w:pPr>
        <w:pStyle w:val="TOC1"/>
        <w:tabs>
          <w:tab w:val="left" w:pos="480"/>
          <w:tab w:val="right" w:leader="dot" w:pos="8772"/>
        </w:tabs>
        <w:rPr>
          <w:rFonts w:cstheme="minorBidi"/>
          <w:b w:val="0"/>
          <w:caps w:val="0"/>
          <w:noProof/>
          <w:lang w:eastAsia="en-AU"/>
        </w:rPr>
      </w:pPr>
      <w:r>
        <w:rPr>
          <w:noProof/>
        </w:rPr>
        <w:t>5</w:t>
      </w:r>
      <w:r>
        <w:rPr>
          <w:rFonts w:cstheme="minorBidi"/>
          <w:b w:val="0"/>
          <w:caps w:val="0"/>
          <w:noProof/>
          <w:lang w:eastAsia="en-AU"/>
        </w:rPr>
        <w:tab/>
      </w:r>
      <w:r>
        <w:rPr>
          <w:noProof/>
        </w:rPr>
        <w:t>Biosolids processing</w:t>
      </w:r>
      <w:r>
        <w:rPr>
          <w:noProof/>
        </w:rPr>
        <w:tab/>
      </w:r>
      <w:r w:rsidR="00F14300">
        <w:rPr>
          <w:noProof/>
        </w:rPr>
        <w:fldChar w:fldCharType="begin"/>
      </w:r>
      <w:r>
        <w:rPr>
          <w:noProof/>
        </w:rPr>
        <w:instrText xml:space="preserve"> PAGEREF _Toc326747456 \h </w:instrText>
      </w:r>
      <w:r w:rsidR="00F14300">
        <w:rPr>
          <w:noProof/>
        </w:rPr>
      </w:r>
      <w:r w:rsidR="00F14300">
        <w:rPr>
          <w:noProof/>
        </w:rPr>
        <w:fldChar w:fldCharType="separate"/>
      </w:r>
      <w:r>
        <w:rPr>
          <w:noProof/>
        </w:rPr>
        <w:t>27</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5.1</w:t>
      </w:r>
      <w:r>
        <w:rPr>
          <w:rFonts w:cstheme="minorBidi"/>
          <w:smallCaps w:val="0"/>
          <w:noProof/>
          <w:lang w:eastAsia="en-AU"/>
        </w:rPr>
        <w:tab/>
      </w:r>
      <w:r>
        <w:rPr>
          <w:noProof/>
        </w:rPr>
        <w:t>General</w:t>
      </w:r>
      <w:r>
        <w:rPr>
          <w:noProof/>
        </w:rPr>
        <w:tab/>
      </w:r>
      <w:r w:rsidR="00F14300">
        <w:rPr>
          <w:noProof/>
        </w:rPr>
        <w:fldChar w:fldCharType="begin"/>
      </w:r>
      <w:r>
        <w:rPr>
          <w:noProof/>
        </w:rPr>
        <w:instrText xml:space="preserve"> PAGEREF _Toc326747457 \h </w:instrText>
      </w:r>
      <w:r w:rsidR="00F14300">
        <w:rPr>
          <w:noProof/>
        </w:rPr>
      </w:r>
      <w:r w:rsidR="00F14300">
        <w:rPr>
          <w:noProof/>
        </w:rPr>
        <w:fldChar w:fldCharType="separate"/>
      </w:r>
      <w:r>
        <w:rPr>
          <w:noProof/>
        </w:rPr>
        <w:t>27</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5.2</w:t>
      </w:r>
      <w:r>
        <w:rPr>
          <w:rFonts w:cstheme="minorBidi"/>
          <w:smallCaps w:val="0"/>
          <w:noProof/>
          <w:lang w:eastAsia="en-AU"/>
        </w:rPr>
        <w:tab/>
      </w:r>
      <w:r>
        <w:rPr>
          <w:noProof/>
        </w:rPr>
        <w:t>Stabilisation process</w:t>
      </w:r>
      <w:r>
        <w:rPr>
          <w:noProof/>
        </w:rPr>
        <w:tab/>
      </w:r>
      <w:r w:rsidR="00F14300">
        <w:rPr>
          <w:noProof/>
        </w:rPr>
        <w:fldChar w:fldCharType="begin"/>
      </w:r>
      <w:r>
        <w:rPr>
          <w:noProof/>
        </w:rPr>
        <w:instrText xml:space="preserve"> PAGEREF _Toc326747458 \h </w:instrText>
      </w:r>
      <w:r w:rsidR="00F14300">
        <w:rPr>
          <w:noProof/>
        </w:rPr>
      </w:r>
      <w:r w:rsidR="00F14300">
        <w:rPr>
          <w:noProof/>
        </w:rPr>
        <w:fldChar w:fldCharType="separate"/>
      </w:r>
      <w:r>
        <w:rPr>
          <w:noProof/>
        </w:rPr>
        <w:t>27</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5.3</w:t>
      </w:r>
      <w:r>
        <w:rPr>
          <w:rFonts w:cstheme="minorBidi"/>
          <w:smallCaps w:val="0"/>
          <w:noProof/>
          <w:lang w:eastAsia="en-AU"/>
        </w:rPr>
        <w:tab/>
      </w:r>
      <w:r>
        <w:rPr>
          <w:noProof/>
        </w:rPr>
        <w:t>Dewatering</w:t>
      </w:r>
      <w:r>
        <w:rPr>
          <w:noProof/>
        </w:rPr>
        <w:tab/>
      </w:r>
      <w:r w:rsidR="00F14300">
        <w:rPr>
          <w:noProof/>
        </w:rPr>
        <w:fldChar w:fldCharType="begin"/>
      </w:r>
      <w:r>
        <w:rPr>
          <w:noProof/>
        </w:rPr>
        <w:instrText xml:space="preserve"> PAGEREF _Toc326747459 \h </w:instrText>
      </w:r>
      <w:r w:rsidR="00F14300">
        <w:rPr>
          <w:noProof/>
        </w:rPr>
      </w:r>
      <w:r w:rsidR="00F14300">
        <w:rPr>
          <w:noProof/>
        </w:rPr>
        <w:fldChar w:fldCharType="separate"/>
      </w:r>
      <w:r>
        <w:rPr>
          <w:noProof/>
        </w:rPr>
        <w:t>28</w:t>
      </w:r>
      <w:r w:rsidR="00F14300">
        <w:rPr>
          <w:noProof/>
        </w:rPr>
        <w:fldChar w:fldCharType="end"/>
      </w:r>
    </w:p>
    <w:p w:rsidR="004B5639" w:rsidRDefault="004B5639">
      <w:pPr>
        <w:pStyle w:val="TOC1"/>
        <w:tabs>
          <w:tab w:val="left" w:pos="480"/>
          <w:tab w:val="right" w:leader="dot" w:pos="8772"/>
        </w:tabs>
        <w:rPr>
          <w:rFonts w:cstheme="minorBidi"/>
          <w:b w:val="0"/>
          <w:caps w:val="0"/>
          <w:noProof/>
          <w:lang w:eastAsia="en-AU"/>
        </w:rPr>
      </w:pPr>
      <w:r>
        <w:rPr>
          <w:noProof/>
        </w:rPr>
        <w:t>6</w:t>
      </w:r>
      <w:r>
        <w:rPr>
          <w:rFonts w:cstheme="minorBidi"/>
          <w:b w:val="0"/>
          <w:caps w:val="0"/>
          <w:noProof/>
          <w:lang w:eastAsia="en-AU"/>
        </w:rPr>
        <w:tab/>
      </w:r>
      <w:r>
        <w:rPr>
          <w:noProof/>
        </w:rPr>
        <w:t>Typical cost of biosolids management</w:t>
      </w:r>
      <w:r>
        <w:rPr>
          <w:noProof/>
        </w:rPr>
        <w:tab/>
      </w:r>
      <w:r w:rsidR="00F14300">
        <w:rPr>
          <w:noProof/>
        </w:rPr>
        <w:fldChar w:fldCharType="begin"/>
      </w:r>
      <w:r>
        <w:rPr>
          <w:noProof/>
        </w:rPr>
        <w:instrText xml:space="preserve"> PAGEREF _Toc326747460 \h </w:instrText>
      </w:r>
      <w:r w:rsidR="00F14300">
        <w:rPr>
          <w:noProof/>
        </w:rPr>
      </w:r>
      <w:r w:rsidR="00F14300">
        <w:rPr>
          <w:noProof/>
        </w:rPr>
        <w:fldChar w:fldCharType="separate"/>
      </w:r>
      <w:r>
        <w:rPr>
          <w:noProof/>
        </w:rPr>
        <w:t>29</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6.1</w:t>
      </w:r>
      <w:r>
        <w:rPr>
          <w:rFonts w:cstheme="minorBidi"/>
          <w:smallCaps w:val="0"/>
          <w:noProof/>
          <w:lang w:eastAsia="en-AU"/>
        </w:rPr>
        <w:tab/>
      </w:r>
      <w:r>
        <w:rPr>
          <w:noProof/>
        </w:rPr>
        <w:t>General</w:t>
      </w:r>
      <w:r>
        <w:rPr>
          <w:noProof/>
        </w:rPr>
        <w:tab/>
      </w:r>
      <w:r w:rsidR="00F14300">
        <w:rPr>
          <w:noProof/>
        </w:rPr>
        <w:fldChar w:fldCharType="begin"/>
      </w:r>
      <w:r>
        <w:rPr>
          <w:noProof/>
        </w:rPr>
        <w:instrText xml:space="preserve"> PAGEREF _Toc326747461 \h </w:instrText>
      </w:r>
      <w:r w:rsidR="00F14300">
        <w:rPr>
          <w:noProof/>
        </w:rPr>
      </w:r>
      <w:r w:rsidR="00F14300">
        <w:rPr>
          <w:noProof/>
        </w:rPr>
        <w:fldChar w:fldCharType="separate"/>
      </w:r>
      <w:r>
        <w:rPr>
          <w:noProof/>
        </w:rPr>
        <w:t>29</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6.2</w:t>
      </w:r>
      <w:r>
        <w:rPr>
          <w:rFonts w:cstheme="minorBidi"/>
          <w:smallCaps w:val="0"/>
          <w:noProof/>
          <w:lang w:eastAsia="en-AU"/>
        </w:rPr>
        <w:tab/>
      </w:r>
      <w:r>
        <w:rPr>
          <w:noProof/>
        </w:rPr>
        <w:t>Treatment</w:t>
      </w:r>
      <w:r>
        <w:rPr>
          <w:noProof/>
        </w:rPr>
        <w:tab/>
      </w:r>
      <w:r w:rsidR="00F14300">
        <w:rPr>
          <w:noProof/>
        </w:rPr>
        <w:fldChar w:fldCharType="begin"/>
      </w:r>
      <w:r>
        <w:rPr>
          <w:noProof/>
        </w:rPr>
        <w:instrText xml:space="preserve"> PAGEREF _Toc326747462 \h </w:instrText>
      </w:r>
      <w:r w:rsidR="00F14300">
        <w:rPr>
          <w:noProof/>
        </w:rPr>
      </w:r>
      <w:r w:rsidR="00F14300">
        <w:rPr>
          <w:noProof/>
        </w:rPr>
        <w:fldChar w:fldCharType="separate"/>
      </w:r>
      <w:r>
        <w:rPr>
          <w:noProof/>
        </w:rPr>
        <w:t>29</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6.3</w:t>
      </w:r>
      <w:r>
        <w:rPr>
          <w:rFonts w:cstheme="minorBidi"/>
          <w:smallCaps w:val="0"/>
          <w:noProof/>
          <w:lang w:eastAsia="en-AU"/>
        </w:rPr>
        <w:tab/>
      </w:r>
      <w:r>
        <w:rPr>
          <w:noProof/>
        </w:rPr>
        <w:t>Beneficial use</w:t>
      </w:r>
      <w:r>
        <w:rPr>
          <w:noProof/>
        </w:rPr>
        <w:tab/>
      </w:r>
      <w:r w:rsidR="00F14300">
        <w:rPr>
          <w:noProof/>
        </w:rPr>
        <w:fldChar w:fldCharType="begin"/>
      </w:r>
      <w:r>
        <w:rPr>
          <w:noProof/>
        </w:rPr>
        <w:instrText xml:space="preserve"> PAGEREF _Toc326747463 \h </w:instrText>
      </w:r>
      <w:r w:rsidR="00F14300">
        <w:rPr>
          <w:noProof/>
        </w:rPr>
      </w:r>
      <w:r w:rsidR="00F14300">
        <w:rPr>
          <w:noProof/>
        </w:rPr>
        <w:fldChar w:fldCharType="separate"/>
      </w:r>
      <w:r>
        <w:rPr>
          <w:noProof/>
        </w:rPr>
        <w:t>30</w:t>
      </w:r>
      <w:r w:rsidR="00F14300">
        <w:rPr>
          <w:noProof/>
        </w:rPr>
        <w:fldChar w:fldCharType="end"/>
      </w:r>
    </w:p>
    <w:p w:rsidR="004B5639" w:rsidRDefault="004B5639">
      <w:pPr>
        <w:pStyle w:val="TOC1"/>
        <w:tabs>
          <w:tab w:val="left" w:pos="480"/>
          <w:tab w:val="right" w:leader="dot" w:pos="8772"/>
        </w:tabs>
        <w:rPr>
          <w:rFonts w:cstheme="minorBidi"/>
          <w:b w:val="0"/>
          <w:caps w:val="0"/>
          <w:noProof/>
          <w:lang w:eastAsia="en-AU"/>
        </w:rPr>
      </w:pPr>
      <w:r>
        <w:rPr>
          <w:noProof/>
        </w:rPr>
        <w:t>7</w:t>
      </w:r>
      <w:r>
        <w:rPr>
          <w:rFonts w:cstheme="minorBidi"/>
          <w:b w:val="0"/>
          <w:caps w:val="0"/>
          <w:noProof/>
          <w:lang w:eastAsia="en-AU"/>
        </w:rPr>
        <w:tab/>
      </w:r>
      <w:r>
        <w:rPr>
          <w:noProof/>
        </w:rPr>
        <w:t>Value of biosolids</w:t>
      </w:r>
      <w:r>
        <w:rPr>
          <w:noProof/>
        </w:rPr>
        <w:tab/>
      </w:r>
      <w:r w:rsidR="00F14300">
        <w:rPr>
          <w:noProof/>
        </w:rPr>
        <w:fldChar w:fldCharType="begin"/>
      </w:r>
      <w:r>
        <w:rPr>
          <w:noProof/>
        </w:rPr>
        <w:instrText xml:space="preserve"> PAGEREF _Toc326747464 \h </w:instrText>
      </w:r>
      <w:r w:rsidR="00F14300">
        <w:rPr>
          <w:noProof/>
        </w:rPr>
      </w:r>
      <w:r w:rsidR="00F14300">
        <w:rPr>
          <w:noProof/>
        </w:rPr>
        <w:fldChar w:fldCharType="separate"/>
      </w:r>
      <w:r>
        <w:rPr>
          <w:noProof/>
        </w:rPr>
        <w:t>31</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7.1</w:t>
      </w:r>
      <w:r>
        <w:rPr>
          <w:rFonts w:cstheme="minorBidi"/>
          <w:smallCaps w:val="0"/>
          <w:noProof/>
          <w:lang w:eastAsia="en-AU"/>
        </w:rPr>
        <w:tab/>
      </w:r>
      <w:r>
        <w:rPr>
          <w:noProof/>
        </w:rPr>
        <w:t>General</w:t>
      </w:r>
      <w:r>
        <w:rPr>
          <w:noProof/>
        </w:rPr>
        <w:tab/>
      </w:r>
      <w:r w:rsidR="00F14300">
        <w:rPr>
          <w:noProof/>
        </w:rPr>
        <w:fldChar w:fldCharType="begin"/>
      </w:r>
      <w:r>
        <w:rPr>
          <w:noProof/>
        </w:rPr>
        <w:instrText xml:space="preserve"> PAGEREF _Toc326747465 \h </w:instrText>
      </w:r>
      <w:r w:rsidR="00F14300">
        <w:rPr>
          <w:noProof/>
        </w:rPr>
      </w:r>
      <w:r w:rsidR="00F14300">
        <w:rPr>
          <w:noProof/>
        </w:rPr>
        <w:fldChar w:fldCharType="separate"/>
      </w:r>
      <w:r>
        <w:rPr>
          <w:noProof/>
        </w:rPr>
        <w:t>31</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7.2</w:t>
      </w:r>
      <w:r>
        <w:rPr>
          <w:rFonts w:cstheme="minorBidi"/>
          <w:smallCaps w:val="0"/>
          <w:noProof/>
          <w:lang w:eastAsia="en-AU"/>
        </w:rPr>
        <w:tab/>
      </w:r>
      <w:r>
        <w:rPr>
          <w:noProof/>
        </w:rPr>
        <w:t>Nutrients</w:t>
      </w:r>
      <w:r>
        <w:rPr>
          <w:noProof/>
        </w:rPr>
        <w:tab/>
      </w:r>
      <w:r w:rsidR="00F14300">
        <w:rPr>
          <w:noProof/>
        </w:rPr>
        <w:fldChar w:fldCharType="begin"/>
      </w:r>
      <w:r>
        <w:rPr>
          <w:noProof/>
        </w:rPr>
        <w:instrText xml:space="preserve"> PAGEREF _Toc326747466 \h </w:instrText>
      </w:r>
      <w:r w:rsidR="00F14300">
        <w:rPr>
          <w:noProof/>
        </w:rPr>
      </w:r>
      <w:r w:rsidR="00F14300">
        <w:rPr>
          <w:noProof/>
        </w:rPr>
        <w:fldChar w:fldCharType="separate"/>
      </w:r>
      <w:r>
        <w:rPr>
          <w:noProof/>
        </w:rPr>
        <w:t>31</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7.3</w:t>
      </w:r>
      <w:r>
        <w:rPr>
          <w:rFonts w:cstheme="minorBidi"/>
          <w:smallCaps w:val="0"/>
          <w:noProof/>
          <w:lang w:eastAsia="en-AU"/>
        </w:rPr>
        <w:tab/>
      </w:r>
      <w:r>
        <w:rPr>
          <w:noProof/>
        </w:rPr>
        <w:t>Organic matter</w:t>
      </w:r>
      <w:r>
        <w:rPr>
          <w:noProof/>
        </w:rPr>
        <w:tab/>
      </w:r>
      <w:r w:rsidR="00F14300">
        <w:rPr>
          <w:noProof/>
        </w:rPr>
        <w:fldChar w:fldCharType="begin"/>
      </w:r>
      <w:r>
        <w:rPr>
          <w:noProof/>
        </w:rPr>
        <w:instrText xml:space="preserve"> PAGEREF _Toc326747467 \h </w:instrText>
      </w:r>
      <w:r w:rsidR="00F14300">
        <w:rPr>
          <w:noProof/>
        </w:rPr>
      </w:r>
      <w:r w:rsidR="00F14300">
        <w:rPr>
          <w:noProof/>
        </w:rPr>
        <w:fldChar w:fldCharType="separate"/>
      </w:r>
      <w:r>
        <w:rPr>
          <w:noProof/>
        </w:rPr>
        <w:t>32</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7.4</w:t>
      </w:r>
      <w:r>
        <w:rPr>
          <w:rFonts w:cstheme="minorBidi"/>
          <w:smallCaps w:val="0"/>
          <w:noProof/>
          <w:lang w:eastAsia="en-AU"/>
        </w:rPr>
        <w:tab/>
      </w:r>
      <w:r>
        <w:rPr>
          <w:noProof/>
        </w:rPr>
        <w:t>Inorganic matter</w:t>
      </w:r>
      <w:r>
        <w:rPr>
          <w:noProof/>
        </w:rPr>
        <w:tab/>
      </w:r>
      <w:r w:rsidR="00F14300">
        <w:rPr>
          <w:noProof/>
        </w:rPr>
        <w:fldChar w:fldCharType="begin"/>
      </w:r>
      <w:r>
        <w:rPr>
          <w:noProof/>
        </w:rPr>
        <w:instrText xml:space="preserve"> PAGEREF _Toc326747468 \h </w:instrText>
      </w:r>
      <w:r w:rsidR="00F14300">
        <w:rPr>
          <w:noProof/>
        </w:rPr>
      </w:r>
      <w:r w:rsidR="00F14300">
        <w:rPr>
          <w:noProof/>
        </w:rPr>
        <w:fldChar w:fldCharType="separate"/>
      </w:r>
      <w:r>
        <w:rPr>
          <w:noProof/>
        </w:rPr>
        <w:t>32</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7.5</w:t>
      </w:r>
      <w:r>
        <w:rPr>
          <w:rFonts w:cstheme="minorBidi"/>
          <w:smallCaps w:val="0"/>
          <w:noProof/>
          <w:lang w:eastAsia="en-AU"/>
        </w:rPr>
        <w:tab/>
      </w:r>
      <w:r>
        <w:rPr>
          <w:noProof/>
        </w:rPr>
        <w:t>Trace metals</w:t>
      </w:r>
      <w:r>
        <w:rPr>
          <w:noProof/>
        </w:rPr>
        <w:tab/>
      </w:r>
      <w:r w:rsidR="00F14300">
        <w:rPr>
          <w:noProof/>
        </w:rPr>
        <w:fldChar w:fldCharType="begin"/>
      </w:r>
      <w:r>
        <w:rPr>
          <w:noProof/>
        </w:rPr>
        <w:instrText xml:space="preserve"> PAGEREF _Toc326747469 \h </w:instrText>
      </w:r>
      <w:r w:rsidR="00F14300">
        <w:rPr>
          <w:noProof/>
        </w:rPr>
      </w:r>
      <w:r w:rsidR="00F14300">
        <w:rPr>
          <w:noProof/>
        </w:rPr>
        <w:fldChar w:fldCharType="separate"/>
      </w:r>
      <w:r>
        <w:rPr>
          <w:noProof/>
        </w:rPr>
        <w:t>33</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7.6</w:t>
      </w:r>
      <w:r>
        <w:rPr>
          <w:rFonts w:cstheme="minorBidi"/>
          <w:smallCaps w:val="0"/>
          <w:noProof/>
          <w:lang w:eastAsia="en-AU"/>
        </w:rPr>
        <w:tab/>
      </w:r>
      <w:r>
        <w:rPr>
          <w:noProof/>
        </w:rPr>
        <w:t>Summary of product value</w:t>
      </w:r>
      <w:r>
        <w:rPr>
          <w:noProof/>
        </w:rPr>
        <w:tab/>
      </w:r>
      <w:r w:rsidR="00F14300">
        <w:rPr>
          <w:noProof/>
        </w:rPr>
        <w:fldChar w:fldCharType="begin"/>
      </w:r>
      <w:r>
        <w:rPr>
          <w:noProof/>
        </w:rPr>
        <w:instrText xml:space="preserve"> PAGEREF _Toc326747470 \h </w:instrText>
      </w:r>
      <w:r w:rsidR="00F14300">
        <w:rPr>
          <w:noProof/>
        </w:rPr>
      </w:r>
      <w:r w:rsidR="00F14300">
        <w:rPr>
          <w:noProof/>
        </w:rPr>
        <w:fldChar w:fldCharType="separate"/>
      </w:r>
      <w:r>
        <w:rPr>
          <w:noProof/>
        </w:rPr>
        <w:t>33</w:t>
      </w:r>
      <w:r w:rsidR="00F14300">
        <w:rPr>
          <w:noProof/>
        </w:rPr>
        <w:fldChar w:fldCharType="end"/>
      </w:r>
    </w:p>
    <w:p w:rsidR="004B5639" w:rsidRDefault="004B5639">
      <w:pPr>
        <w:pStyle w:val="TOC1"/>
        <w:tabs>
          <w:tab w:val="left" w:pos="480"/>
          <w:tab w:val="right" w:leader="dot" w:pos="8772"/>
        </w:tabs>
        <w:rPr>
          <w:rFonts w:cstheme="minorBidi"/>
          <w:b w:val="0"/>
          <w:caps w:val="0"/>
          <w:noProof/>
          <w:lang w:eastAsia="en-AU"/>
        </w:rPr>
      </w:pPr>
      <w:r>
        <w:rPr>
          <w:noProof/>
        </w:rPr>
        <w:t>8</w:t>
      </w:r>
      <w:r>
        <w:rPr>
          <w:rFonts w:cstheme="minorBidi"/>
          <w:b w:val="0"/>
          <w:caps w:val="0"/>
          <w:noProof/>
          <w:lang w:eastAsia="en-AU"/>
        </w:rPr>
        <w:tab/>
      </w:r>
      <w:r>
        <w:rPr>
          <w:noProof/>
        </w:rPr>
        <w:t>Biosolids markets</w:t>
      </w:r>
      <w:r>
        <w:rPr>
          <w:noProof/>
        </w:rPr>
        <w:tab/>
      </w:r>
      <w:r w:rsidR="00F14300">
        <w:rPr>
          <w:noProof/>
        </w:rPr>
        <w:fldChar w:fldCharType="begin"/>
      </w:r>
      <w:r>
        <w:rPr>
          <w:noProof/>
        </w:rPr>
        <w:instrText xml:space="preserve"> PAGEREF _Toc326747471 \h </w:instrText>
      </w:r>
      <w:r w:rsidR="00F14300">
        <w:rPr>
          <w:noProof/>
        </w:rPr>
      </w:r>
      <w:r w:rsidR="00F14300">
        <w:rPr>
          <w:noProof/>
        </w:rPr>
        <w:fldChar w:fldCharType="separate"/>
      </w:r>
      <w:r>
        <w:rPr>
          <w:noProof/>
        </w:rPr>
        <w:t>35</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8.1</w:t>
      </w:r>
      <w:r>
        <w:rPr>
          <w:rFonts w:cstheme="minorBidi"/>
          <w:smallCaps w:val="0"/>
          <w:noProof/>
          <w:lang w:eastAsia="en-AU"/>
        </w:rPr>
        <w:tab/>
      </w:r>
      <w:r>
        <w:rPr>
          <w:noProof/>
        </w:rPr>
        <w:t>General</w:t>
      </w:r>
      <w:r>
        <w:rPr>
          <w:noProof/>
        </w:rPr>
        <w:tab/>
      </w:r>
      <w:r w:rsidR="00F14300">
        <w:rPr>
          <w:noProof/>
        </w:rPr>
        <w:fldChar w:fldCharType="begin"/>
      </w:r>
      <w:r>
        <w:rPr>
          <w:noProof/>
        </w:rPr>
        <w:instrText xml:space="preserve"> PAGEREF _Toc326747472 \h </w:instrText>
      </w:r>
      <w:r w:rsidR="00F14300">
        <w:rPr>
          <w:noProof/>
        </w:rPr>
      </w:r>
      <w:r w:rsidR="00F14300">
        <w:rPr>
          <w:noProof/>
        </w:rPr>
        <w:fldChar w:fldCharType="separate"/>
      </w:r>
      <w:r>
        <w:rPr>
          <w:noProof/>
        </w:rPr>
        <w:t>35</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8.2</w:t>
      </w:r>
      <w:r>
        <w:rPr>
          <w:rFonts w:cstheme="minorBidi"/>
          <w:smallCaps w:val="0"/>
          <w:noProof/>
          <w:lang w:eastAsia="en-AU"/>
        </w:rPr>
        <w:tab/>
      </w:r>
      <w:r>
        <w:rPr>
          <w:noProof/>
        </w:rPr>
        <w:t>Agriculture, landscaping and minor horticulture</w:t>
      </w:r>
      <w:r>
        <w:rPr>
          <w:noProof/>
        </w:rPr>
        <w:tab/>
      </w:r>
      <w:r w:rsidR="00F14300">
        <w:rPr>
          <w:noProof/>
        </w:rPr>
        <w:fldChar w:fldCharType="begin"/>
      </w:r>
      <w:r>
        <w:rPr>
          <w:noProof/>
        </w:rPr>
        <w:instrText xml:space="preserve"> PAGEREF _Toc326747473 \h </w:instrText>
      </w:r>
      <w:r w:rsidR="00F14300">
        <w:rPr>
          <w:noProof/>
        </w:rPr>
      </w:r>
      <w:r w:rsidR="00F14300">
        <w:rPr>
          <w:noProof/>
        </w:rPr>
        <w:fldChar w:fldCharType="separate"/>
      </w:r>
      <w:r>
        <w:rPr>
          <w:noProof/>
        </w:rPr>
        <w:t>35</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8.3</w:t>
      </w:r>
      <w:r>
        <w:rPr>
          <w:rFonts w:cstheme="minorBidi"/>
          <w:smallCaps w:val="0"/>
          <w:noProof/>
          <w:lang w:eastAsia="en-AU"/>
        </w:rPr>
        <w:tab/>
      </w:r>
      <w:r>
        <w:rPr>
          <w:noProof/>
        </w:rPr>
        <w:t>Site rehabilitation, forestry</w:t>
      </w:r>
      <w:r>
        <w:rPr>
          <w:noProof/>
        </w:rPr>
        <w:tab/>
      </w:r>
      <w:r w:rsidR="00F14300">
        <w:rPr>
          <w:noProof/>
        </w:rPr>
        <w:fldChar w:fldCharType="begin"/>
      </w:r>
      <w:r>
        <w:rPr>
          <w:noProof/>
        </w:rPr>
        <w:instrText xml:space="preserve"> PAGEREF _Toc326747474 \h </w:instrText>
      </w:r>
      <w:r w:rsidR="00F14300">
        <w:rPr>
          <w:noProof/>
        </w:rPr>
      </w:r>
      <w:r w:rsidR="00F14300">
        <w:rPr>
          <w:noProof/>
        </w:rPr>
        <w:fldChar w:fldCharType="separate"/>
      </w:r>
      <w:r>
        <w:rPr>
          <w:noProof/>
        </w:rPr>
        <w:t>36</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8.4</w:t>
      </w:r>
      <w:r>
        <w:rPr>
          <w:rFonts w:cstheme="minorBidi"/>
          <w:smallCaps w:val="0"/>
          <w:noProof/>
          <w:lang w:eastAsia="en-AU"/>
        </w:rPr>
        <w:tab/>
      </w:r>
      <w:r>
        <w:rPr>
          <w:noProof/>
        </w:rPr>
        <w:t>Cement production, brick making, fuel</w:t>
      </w:r>
      <w:r>
        <w:rPr>
          <w:noProof/>
        </w:rPr>
        <w:tab/>
      </w:r>
      <w:r w:rsidR="00F14300">
        <w:rPr>
          <w:noProof/>
        </w:rPr>
        <w:fldChar w:fldCharType="begin"/>
      </w:r>
      <w:r>
        <w:rPr>
          <w:noProof/>
        </w:rPr>
        <w:instrText xml:space="preserve"> PAGEREF _Toc326747475 \h </w:instrText>
      </w:r>
      <w:r w:rsidR="00F14300">
        <w:rPr>
          <w:noProof/>
        </w:rPr>
      </w:r>
      <w:r w:rsidR="00F14300">
        <w:rPr>
          <w:noProof/>
        </w:rPr>
        <w:fldChar w:fldCharType="separate"/>
      </w:r>
      <w:r>
        <w:rPr>
          <w:noProof/>
        </w:rPr>
        <w:t>36</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8.5</w:t>
      </w:r>
      <w:r>
        <w:rPr>
          <w:rFonts w:cstheme="minorBidi"/>
          <w:smallCaps w:val="0"/>
          <w:noProof/>
          <w:lang w:eastAsia="en-AU"/>
        </w:rPr>
        <w:tab/>
      </w:r>
      <w:r>
        <w:rPr>
          <w:noProof/>
        </w:rPr>
        <w:t>Soil rehabilitation, carbon sequestration</w:t>
      </w:r>
      <w:r>
        <w:rPr>
          <w:noProof/>
        </w:rPr>
        <w:tab/>
      </w:r>
      <w:r w:rsidR="00F14300">
        <w:rPr>
          <w:noProof/>
        </w:rPr>
        <w:fldChar w:fldCharType="begin"/>
      </w:r>
      <w:r>
        <w:rPr>
          <w:noProof/>
        </w:rPr>
        <w:instrText xml:space="preserve"> PAGEREF _Toc326747476 \h </w:instrText>
      </w:r>
      <w:r w:rsidR="00F14300">
        <w:rPr>
          <w:noProof/>
        </w:rPr>
      </w:r>
      <w:r w:rsidR="00F14300">
        <w:rPr>
          <w:noProof/>
        </w:rPr>
        <w:fldChar w:fldCharType="separate"/>
      </w:r>
      <w:r>
        <w:rPr>
          <w:noProof/>
        </w:rPr>
        <w:t>37</w:t>
      </w:r>
      <w:r w:rsidR="00F14300">
        <w:rPr>
          <w:noProof/>
        </w:rPr>
        <w:fldChar w:fldCharType="end"/>
      </w:r>
    </w:p>
    <w:p w:rsidR="004B5639" w:rsidRDefault="004B5639">
      <w:pPr>
        <w:pStyle w:val="TOC1"/>
        <w:tabs>
          <w:tab w:val="left" w:pos="480"/>
          <w:tab w:val="right" w:leader="dot" w:pos="8772"/>
        </w:tabs>
        <w:rPr>
          <w:rFonts w:cstheme="minorBidi"/>
          <w:b w:val="0"/>
          <w:caps w:val="0"/>
          <w:noProof/>
          <w:lang w:eastAsia="en-AU"/>
        </w:rPr>
      </w:pPr>
      <w:r>
        <w:rPr>
          <w:noProof/>
        </w:rPr>
        <w:lastRenderedPageBreak/>
        <w:t>9</w:t>
      </w:r>
      <w:r>
        <w:rPr>
          <w:rFonts w:cstheme="minorBidi"/>
          <w:b w:val="0"/>
          <w:caps w:val="0"/>
          <w:noProof/>
          <w:lang w:eastAsia="en-AU"/>
        </w:rPr>
        <w:tab/>
      </w:r>
      <w:r>
        <w:rPr>
          <w:noProof/>
        </w:rPr>
        <w:t>Greenhouse gas implications of biosolids</w:t>
      </w:r>
      <w:r>
        <w:rPr>
          <w:noProof/>
        </w:rPr>
        <w:tab/>
      </w:r>
      <w:r w:rsidR="00F14300">
        <w:rPr>
          <w:noProof/>
        </w:rPr>
        <w:fldChar w:fldCharType="begin"/>
      </w:r>
      <w:r>
        <w:rPr>
          <w:noProof/>
        </w:rPr>
        <w:instrText xml:space="preserve"> PAGEREF _Toc326747477 \h </w:instrText>
      </w:r>
      <w:r w:rsidR="00F14300">
        <w:rPr>
          <w:noProof/>
        </w:rPr>
      </w:r>
      <w:r w:rsidR="00F14300">
        <w:rPr>
          <w:noProof/>
        </w:rPr>
        <w:fldChar w:fldCharType="separate"/>
      </w:r>
      <w:r>
        <w:rPr>
          <w:noProof/>
        </w:rPr>
        <w:t>38</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9.1</w:t>
      </w:r>
      <w:r>
        <w:rPr>
          <w:rFonts w:cstheme="minorBidi"/>
          <w:smallCaps w:val="0"/>
          <w:noProof/>
          <w:lang w:eastAsia="en-AU"/>
        </w:rPr>
        <w:tab/>
      </w:r>
      <w:r>
        <w:rPr>
          <w:noProof/>
        </w:rPr>
        <w:t>General</w:t>
      </w:r>
      <w:r>
        <w:rPr>
          <w:noProof/>
        </w:rPr>
        <w:tab/>
      </w:r>
      <w:r w:rsidR="00F14300">
        <w:rPr>
          <w:noProof/>
        </w:rPr>
        <w:fldChar w:fldCharType="begin"/>
      </w:r>
      <w:r>
        <w:rPr>
          <w:noProof/>
        </w:rPr>
        <w:instrText xml:space="preserve"> PAGEREF _Toc326747478 \h </w:instrText>
      </w:r>
      <w:r w:rsidR="00F14300">
        <w:rPr>
          <w:noProof/>
        </w:rPr>
      </w:r>
      <w:r w:rsidR="00F14300">
        <w:rPr>
          <w:noProof/>
        </w:rPr>
        <w:fldChar w:fldCharType="separate"/>
      </w:r>
      <w:r>
        <w:rPr>
          <w:noProof/>
        </w:rPr>
        <w:t>38</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9.2</w:t>
      </w:r>
      <w:r>
        <w:rPr>
          <w:rFonts w:cstheme="minorBidi"/>
          <w:smallCaps w:val="0"/>
          <w:noProof/>
          <w:lang w:eastAsia="en-AU"/>
        </w:rPr>
        <w:tab/>
      </w:r>
      <w:r>
        <w:rPr>
          <w:noProof/>
        </w:rPr>
        <w:t>Electricity production</w:t>
      </w:r>
      <w:r>
        <w:rPr>
          <w:noProof/>
        </w:rPr>
        <w:tab/>
      </w:r>
      <w:r w:rsidR="00F14300">
        <w:rPr>
          <w:noProof/>
        </w:rPr>
        <w:fldChar w:fldCharType="begin"/>
      </w:r>
      <w:r>
        <w:rPr>
          <w:noProof/>
        </w:rPr>
        <w:instrText xml:space="preserve"> PAGEREF _Toc326747479 \h </w:instrText>
      </w:r>
      <w:r w:rsidR="00F14300">
        <w:rPr>
          <w:noProof/>
        </w:rPr>
      </w:r>
      <w:r w:rsidR="00F14300">
        <w:rPr>
          <w:noProof/>
        </w:rPr>
        <w:fldChar w:fldCharType="separate"/>
      </w:r>
      <w:r>
        <w:rPr>
          <w:noProof/>
        </w:rPr>
        <w:t>38</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9.3</w:t>
      </w:r>
      <w:r>
        <w:rPr>
          <w:rFonts w:cstheme="minorBidi"/>
          <w:smallCaps w:val="0"/>
          <w:noProof/>
          <w:lang w:eastAsia="en-AU"/>
        </w:rPr>
        <w:tab/>
      </w:r>
      <w:r>
        <w:rPr>
          <w:noProof/>
        </w:rPr>
        <w:t>Replacement of inorganic fertilisers</w:t>
      </w:r>
      <w:r>
        <w:rPr>
          <w:noProof/>
        </w:rPr>
        <w:tab/>
      </w:r>
      <w:r w:rsidR="00F14300">
        <w:rPr>
          <w:noProof/>
        </w:rPr>
        <w:fldChar w:fldCharType="begin"/>
      </w:r>
      <w:r>
        <w:rPr>
          <w:noProof/>
        </w:rPr>
        <w:instrText xml:space="preserve"> PAGEREF _Toc326747480 \h </w:instrText>
      </w:r>
      <w:r w:rsidR="00F14300">
        <w:rPr>
          <w:noProof/>
        </w:rPr>
      </w:r>
      <w:r w:rsidR="00F14300">
        <w:rPr>
          <w:noProof/>
        </w:rPr>
        <w:fldChar w:fldCharType="separate"/>
      </w:r>
      <w:r>
        <w:rPr>
          <w:noProof/>
        </w:rPr>
        <w:t>38</w:t>
      </w:r>
      <w:r w:rsidR="00F14300">
        <w:rPr>
          <w:noProof/>
        </w:rPr>
        <w:fldChar w:fldCharType="end"/>
      </w:r>
    </w:p>
    <w:p w:rsidR="004B5639" w:rsidRDefault="004B5639">
      <w:pPr>
        <w:pStyle w:val="TOC1"/>
        <w:tabs>
          <w:tab w:val="left" w:pos="480"/>
          <w:tab w:val="right" w:leader="dot" w:pos="8772"/>
        </w:tabs>
        <w:rPr>
          <w:rFonts w:cstheme="minorBidi"/>
          <w:b w:val="0"/>
          <w:caps w:val="0"/>
          <w:noProof/>
          <w:lang w:eastAsia="en-AU"/>
        </w:rPr>
      </w:pPr>
      <w:r>
        <w:rPr>
          <w:noProof/>
        </w:rPr>
        <w:t>10</w:t>
      </w:r>
      <w:r>
        <w:rPr>
          <w:rFonts w:cstheme="minorBidi"/>
          <w:b w:val="0"/>
          <w:caps w:val="0"/>
          <w:noProof/>
          <w:lang w:eastAsia="en-AU"/>
        </w:rPr>
        <w:tab/>
      </w:r>
      <w:r>
        <w:rPr>
          <w:noProof/>
        </w:rPr>
        <w:t>Standards and guidelines applying to biosolids</w:t>
      </w:r>
      <w:r>
        <w:rPr>
          <w:noProof/>
        </w:rPr>
        <w:tab/>
      </w:r>
      <w:r w:rsidR="00F14300">
        <w:rPr>
          <w:noProof/>
        </w:rPr>
        <w:fldChar w:fldCharType="begin"/>
      </w:r>
      <w:r>
        <w:rPr>
          <w:noProof/>
        </w:rPr>
        <w:instrText xml:space="preserve"> PAGEREF _Toc326747481 \h </w:instrText>
      </w:r>
      <w:r w:rsidR="00F14300">
        <w:rPr>
          <w:noProof/>
        </w:rPr>
      </w:r>
      <w:r w:rsidR="00F14300">
        <w:rPr>
          <w:noProof/>
        </w:rPr>
        <w:fldChar w:fldCharType="separate"/>
      </w:r>
      <w:r>
        <w:rPr>
          <w:noProof/>
        </w:rPr>
        <w:t>39</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10.1</w:t>
      </w:r>
      <w:r>
        <w:rPr>
          <w:rFonts w:cstheme="minorBidi"/>
          <w:smallCaps w:val="0"/>
          <w:noProof/>
          <w:lang w:eastAsia="en-AU"/>
        </w:rPr>
        <w:tab/>
      </w:r>
      <w:r>
        <w:rPr>
          <w:noProof/>
        </w:rPr>
        <w:t>General</w:t>
      </w:r>
      <w:r>
        <w:rPr>
          <w:noProof/>
        </w:rPr>
        <w:tab/>
      </w:r>
      <w:r w:rsidR="00F14300">
        <w:rPr>
          <w:noProof/>
        </w:rPr>
        <w:fldChar w:fldCharType="begin"/>
      </w:r>
      <w:r>
        <w:rPr>
          <w:noProof/>
        </w:rPr>
        <w:instrText xml:space="preserve"> PAGEREF _Toc326747482 \h </w:instrText>
      </w:r>
      <w:r w:rsidR="00F14300">
        <w:rPr>
          <w:noProof/>
        </w:rPr>
      </w:r>
      <w:r w:rsidR="00F14300">
        <w:rPr>
          <w:noProof/>
        </w:rPr>
        <w:fldChar w:fldCharType="separate"/>
      </w:r>
      <w:r>
        <w:rPr>
          <w:noProof/>
        </w:rPr>
        <w:t>39</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10.2</w:t>
      </w:r>
      <w:r>
        <w:rPr>
          <w:rFonts w:cstheme="minorBidi"/>
          <w:smallCaps w:val="0"/>
          <w:noProof/>
          <w:lang w:eastAsia="en-AU"/>
        </w:rPr>
        <w:tab/>
      </w:r>
      <w:r>
        <w:rPr>
          <w:noProof/>
        </w:rPr>
        <w:t>Biosolids guidelines</w:t>
      </w:r>
      <w:r>
        <w:rPr>
          <w:noProof/>
        </w:rPr>
        <w:tab/>
      </w:r>
      <w:r w:rsidR="00F14300">
        <w:rPr>
          <w:noProof/>
        </w:rPr>
        <w:fldChar w:fldCharType="begin"/>
      </w:r>
      <w:r>
        <w:rPr>
          <w:noProof/>
        </w:rPr>
        <w:instrText xml:space="preserve"> PAGEREF _Toc326747483 \h </w:instrText>
      </w:r>
      <w:r w:rsidR="00F14300">
        <w:rPr>
          <w:noProof/>
        </w:rPr>
      </w:r>
      <w:r w:rsidR="00F14300">
        <w:rPr>
          <w:noProof/>
        </w:rPr>
        <w:fldChar w:fldCharType="separate"/>
      </w:r>
      <w:r>
        <w:rPr>
          <w:noProof/>
        </w:rPr>
        <w:t>40</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10.3</w:t>
      </w:r>
      <w:r>
        <w:rPr>
          <w:rFonts w:cstheme="minorBidi"/>
          <w:smallCaps w:val="0"/>
          <w:noProof/>
          <w:lang w:eastAsia="en-AU"/>
        </w:rPr>
        <w:tab/>
      </w:r>
      <w:r>
        <w:rPr>
          <w:noProof/>
        </w:rPr>
        <w:t>Regulated compounds</w:t>
      </w:r>
      <w:r>
        <w:rPr>
          <w:noProof/>
        </w:rPr>
        <w:tab/>
      </w:r>
      <w:r w:rsidR="00F14300">
        <w:rPr>
          <w:noProof/>
        </w:rPr>
        <w:fldChar w:fldCharType="begin"/>
      </w:r>
      <w:r>
        <w:rPr>
          <w:noProof/>
        </w:rPr>
        <w:instrText xml:space="preserve"> PAGEREF _Toc326747484 \h </w:instrText>
      </w:r>
      <w:r w:rsidR="00F14300">
        <w:rPr>
          <w:noProof/>
        </w:rPr>
      </w:r>
      <w:r w:rsidR="00F14300">
        <w:rPr>
          <w:noProof/>
        </w:rPr>
        <w:fldChar w:fldCharType="separate"/>
      </w:r>
      <w:r>
        <w:rPr>
          <w:noProof/>
        </w:rPr>
        <w:t>40</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10.4</w:t>
      </w:r>
      <w:r>
        <w:rPr>
          <w:rFonts w:cstheme="minorBidi"/>
          <w:smallCaps w:val="0"/>
          <w:noProof/>
          <w:lang w:eastAsia="en-AU"/>
        </w:rPr>
        <w:tab/>
      </w:r>
      <w:r>
        <w:rPr>
          <w:noProof/>
        </w:rPr>
        <w:t>Australian Standards, Best practice and specifications</w:t>
      </w:r>
      <w:r>
        <w:rPr>
          <w:noProof/>
        </w:rPr>
        <w:tab/>
      </w:r>
      <w:r w:rsidR="00F14300">
        <w:rPr>
          <w:noProof/>
        </w:rPr>
        <w:fldChar w:fldCharType="begin"/>
      </w:r>
      <w:r>
        <w:rPr>
          <w:noProof/>
        </w:rPr>
        <w:instrText xml:space="preserve"> PAGEREF _Toc326747485 \h </w:instrText>
      </w:r>
      <w:r w:rsidR="00F14300">
        <w:rPr>
          <w:noProof/>
        </w:rPr>
      </w:r>
      <w:r w:rsidR="00F14300">
        <w:rPr>
          <w:noProof/>
        </w:rPr>
        <w:fldChar w:fldCharType="separate"/>
      </w:r>
      <w:r>
        <w:rPr>
          <w:noProof/>
        </w:rPr>
        <w:t>41</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10.5</w:t>
      </w:r>
      <w:r>
        <w:rPr>
          <w:rFonts w:cstheme="minorBidi"/>
          <w:smallCaps w:val="0"/>
          <w:noProof/>
          <w:lang w:eastAsia="en-AU"/>
        </w:rPr>
        <w:tab/>
      </w:r>
      <w:r>
        <w:rPr>
          <w:noProof/>
        </w:rPr>
        <w:t>Regulatory trends</w:t>
      </w:r>
      <w:r>
        <w:rPr>
          <w:noProof/>
        </w:rPr>
        <w:tab/>
      </w:r>
      <w:r w:rsidR="00F14300">
        <w:rPr>
          <w:noProof/>
        </w:rPr>
        <w:fldChar w:fldCharType="begin"/>
      </w:r>
      <w:r>
        <w:rPr>
          <w:noProof/>
        </w:rPr>
        <w:instrText xml:space="preserve"> PAGEREF _Toc326747486 \h </w:instrText>
      </w:r>
      <w:r w:rsidR="00F14300">
        <w:rPr>
          <w:noProof/>
        </w:rPr>
      </w:r>
      <w:r w:rsidR="00F14300">
        <w:rPr>
          <w:noProof/>
        </w:rPr>
        <w:fldChar w:fldCharType="separate"/>
      </w:r>
      <w:r>
        <w:rPr>
          <w:noProof/>
        </w:rPr>
        <w:t>42</w:t>
      </w:r>
      <w:r w:rsidR="00F14300">
        <w:rPr>
          <w:noProof/>
        </w:rPr>
        <w:fldChar w:fldCharType="end"/>
      </w:r>
    </w:p>
    <w:p w:rsidR="004B5639" w:rsidRDefault="004B5639">
      <w:pPr>
        <w:pStyle w:val="TOC1"/>
        <w:tabs>
          <w:tab w:val="left" w:pos="480"/>
          <w:tab w:val="right" w:leader="dot" w:pos="8772"/>
        </w:tabs>
        <w:rPr>
          <w:rFonts w:cstheme="minorBidi"/>
          <w:b w:val="0"/>
          <w:caps w:val="0"/>
          <w:noProof/>
          <w:lang w:eastAsia="en-AU"/>
        </w:rPr>
      </w:pPr>
      <w:r>
        <w:rPr>
          <w:noProof/>
        </w:rPr>
        <w:t>11</w:t>
      </w:r>
      <w:r>
        <w:rPr>
          <w:rFonts w:cstheme="minorBidi"/>
          <w:b w:val="0"/>
          <w:caps w:val="0"/>
          <w:noProof/>
          <w:lang w:eastAsia="en-AU"/>
        </w:rPr>
        <w:tab/>
      </w:r>
      <w:r>
        <w:rPr>
          <w:noProof/>
        </w:rPr>
        <w:t>Market barriers/risks and opportunities</w:t>
      </w:r>
      <w:r>
        <w:rPr>
          <w:noProof/>
        </w:rPr>
        <w:tab/>
      </w:r>
      <w:r w:rsidR="00F14300">
        <w:rPr>
          <w:noProof/>
        </w:rPr>
        <w:fldChar w:fldCharType="begin"/>
      </w:r>
      <w:r>
        <w:rPr>
          <w:noProof/>
        </w:rPr>
        <w:instrText xml:space="preserve"> PAGEREF _Toc326747487 \h </w:instrText>
      </w:r>
      <w:r w:rsidR="00F14300">
        <w:rPr>
          <w:noProof/>
        </w:rPr>
      </w:r>
      <w:r w:rsidR="00F14300">
        <w:rPr>
          <w:noProof/>
        </w:rPr>
        <w:fldChar w:fldCharType="separate"/>
      </w:r>
      <w:r>
        <w:rPr>
          <w:noProof/>
        </w:rPr>
        <w:t>45</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11.1</w:t>
      </w:r>
      <w:r>
        <w:rPr>
          <w:rFonts w:cstheme="minorBidi"/>
          <w:smallCaps w:val="0"/>
          <w:noProof/>
          <w:lang w:eastAsia="en-AU"/>
        </w:rPr>
        <w:tab/>
      </w:r>
      <w:r>
        <w:rPr>
          <w:noProof/>
        </w:rPr>
        <w:t>Market barriers/risks</w:t>
      </w:r>
      <w:r>
        <w:rPr>
          <w:noProof/>
        </w:rPr>
        <w:tab/>
      </w:r>
      <w:r w:rsidR="00F14300">
        <w:rPr>
          <w:noProof/>
        </w:rPr>
        <w:fldChar w:fldCharType="begin"/>
      </w:r>
      <w:r>
        <w:rPr>
          <w:noProof/>
        </w:rPr>
        <w:instrText xml:space="preserve"> PAGEREF _Toc326747488 \h </w:instrText>
      </w:r>
      <w:r w:rsidR="00F14300">
        <w:rPr>
          <w:noProof/>
        </w:rPr>
      </w:r>
      <w:r w:rsidR="00F14300">
        <w:rPr>
          <w:noProof/>
        </w:rPr>
        <w:fldChar w:fldCharType="separate"/>
      </w:r>
      <w:r>
        <w:rPr>
          <w:noProof/>
        </w:rPr>
        <w:t>45</w:t>
      </w:r>
      <w:r w:rsidR="00F14300">
        <w:rPr>
          <w:noProof/>
        </w:rPr>
        <w:fldChar w:fldCharType="end"/>
      </w:r>
    </w:p>
    <w:p w:rsidR="004B5639" w:rsidRDefault="004B5639">
      <w:pPr>
        <w:pStyle w:val="TOC3"/>
        <w:tabs>
          <w:tab w:val="left" w:pos="1440"/>
          <w:tab w:val="right" w:leader="dot" w:pos="8772"/>
        </w:tabs>
        <w:rPr>
          <w:rFonts w:cstheme="minorBidi"/>
          <w:i w:val="0"/>
          <w:noProof/>
          <w:lang w:eastAsia="en-AU"/>
        </w:rPr>
      </w:pPr>
      <w:r>
        <w:rPr>
          <w:noProof/>
        </w:rPr>
        <w:t>11.1.1</w:t>
      </w:r>
      <w:r>
        <w:rPr>
          <w:rFonts w:cstheme="minorBidi"/>
          <w:i w:val="0"/>
          <w:noProof/>
          <w:lang w:eastAsia="en-AU"/>
        </w:rPr>
        <w:tab/>
      </w:r>
      <w:r>
        <w:rPr>
          <w:noProof/>
        </w:rPr>
        <w:t>Biosolids health and environment risks</w:t>
      </w:r>
      <w:r>
        <w:rPr>
          <w:noProof/>
        </w:rPr>
        <w:tab/>
      </w:r>
      <w:r w:rsidR="00F14300">
        <w:rPr>
          <w:noProof/>
        </w:rPr>
        <w:fldChar w:fldCharType="begin"/>
      </w:r>
      <w:r>
        <w:rPr>
          <w:noProof/>
        </w:rPr>
        <w:instrText xml:space="preserve"> PAGEREF _Toc326747489 \h </w:instrText>
      </w:r>
      <w:r w:rsidR="00F14300">
        <w:rPr>
          <w:noProof/>
        </w:rPr>
      </w:r>
      <w:r w:rsidR="00F14300">
        <w:rPr>
          <w:noProof/>
        </w:rPr>
        <w:fldChar w:fldCharType="separate"/>
      </w:r>
      <w:r>
        <w:rPr>
          <w:noProof/>
        </w:rPr>
        <w:t>45</w:t>
      </w:r>
      <w:r w:rsidR="00F14300">
        <w:rPr>
          <w:noProof/>
        </w:rPr>
        <w:fldChar w:fldCharType="end"/>
      </w:r>
    </w:p>
    <w:p w:rsidR="004B5639" w:rsidRDefault="004B5639">
      <w:pPr>
        <w:pStyle w:val="TOC3"/>
        <w:tabs>
          <w:tab w:val="left" w:pos="1440"/>
          <w:tab w:val="right" w:leader="dot" w:pos="8772"/>
        </w:tabs>
        <w:rPr>
          <w:rFonts w:cstheme="minorBidi"/>
          <w:i w:val="0"/>
          <w:noProof/>
          <w:lang w:eastAsia="en-AU"/>
        </w:rPr>
      </w:pPr>
      <w:r>
        <w:rPr>
          <w:noProof/>
        </w:rPr>
        <w:t>11.1.2</w:t>
      </w:r>
      <w:r>
        <w:rPr>
          <w:rFonts w:cstheme="minorBidi"/>
          <w:i w:val="0"/>
          <w:noProof/>
          <w:lang w:eastAsia="en-AU"/>
        </w:rPr>
        <w:tab/>
      </w:r>
      <w:r>
        <w:rPr>
          <w:noProof/>
        </w:rPr>
        <w:t>Odour nuisance</w:t>
      </w:r>
      <w:r>
        <w:rPr>
          <w:noProof/>
        </w:rPr>
        <w:tab/>
      </w:r>
      <w:r w:rsidR="00F14300">
        <w:rPr>
          <w:noProof/>
        </w:rPr>
        <w:fldChar w:fldCharType="begin"/>
      </w:r>
      <w:r>
        <w:rPr>
          <w:noProof/>
        </w:rPr>
        <w:instrText xml:space="preserve"> PAGEREF _Toc326747490 \h </w:instrText>
      </w:r>
      <w:r w:rsidR="00F14300">
        <w:rPr>
          <w:noProof/>
        </w:rPr>
      </w:r>
      <w:r w:rsidR="00F14300">
        <w:rPr>
          <w:noProof/>
        </w:rPr>
        <w:fldChar w:fldCharType="separate"/>
      </w:r>
      <w:r>
        <w:rPr>
          <w:noProof/>
        </w:rPr>
        <w:t>46</w:t>
      </w:r>
      <w:r w:rsidR="00F14300">
        <w:rPr>
          <w:noProof/>
        </w:rPr>
        <w:fldChar w:fldCharType="end"/>
      </w:r>
    </w:p>
    <w:p w:rsidR="004B5639" w:rsidRDefault="004B5639">
      <w:pPr>
        <w:pStyle w:val="TOC3"/>
        <w:tabs>
          <w:tab w:val="left" w:pos="1440"/>
          <w:tab w:val="right" w:leader="dot" w:pos="8772"/>
        </w:tabs>
        <w:rPr>
          <w:rFonts w:cstheme="minorBidi"/>
          <w:i w:val="0"/>
          <w:noProof/>
          <w:lang w:eastAsia="en-AU"/>
        </w:rPr>
      </w:pPr>
      <w:r>
        <w:rPr>
          <w:noProof/>
        </w:rPr>
        <w:t>11.1.3</w:t>
      </w:r>
      <w:r>
        <w:rPr>
          <w:rFonts w:cstheme="minorBidi"/>
          <w:i w:val="0"/>
          <w:noProof/>
          <w:lang w:eastAsia="en-AU"/>
        </w:rPr>
        <w:tab/>
      </w:r>
      <w:r>
        <w:rPr>
          <w:noProof/>
        </w:rPr>
        <w:t>Public perception</w:t>
      </w:r>
      <w:r>
        <w:rPr>
          <w:noProof/>
        </w:rPr>
        <w:tab/>
      </w:r>
      <w:r w:rsidR="00F14300">
        <w:rPr>
          <w:noProof/>
        </w:rPr>
        <w:fldChar w:fldCharType="begin"/>
      </w:r>
      <w:r>
        <w:rPr>
          <w:noProof/>
        </w:rPr>
        <w:instrText xml:space="preserve"> PAGEREF _Toc326747491 \h </w:instrText>
      </w:r>
      <w:r w:rsidR="00F14300">
        <w:rPr>
          <w:noProof/>
        </w:rPr>
      </w:r>
      <w:r w:rsidR="00F14300">
        <w:rPr>
          <w:noProof/>
        </w:rPr>
        <w:fldChar w:fldCharType="separate"/>
      </w:r>
      <w:r>
        <w:rPr>
          <w:noProof/>
        </w:rPr>
        <w:t>46</w:t>
      </w:r>
      <w:r w:rsidR="00F14300">
        <w:rPr>
          <w:noProof/>
        </w:rPr>
        <w:fldChar w:fldCharType="end"/>
      </w:r>
    </w:p>
    <w:p w:rsidR="004B5639" w:rsidRDefault="004B5639">
      <w:pPr>
        <w:pStyle w:val="TOC3"/>
        <w:tabs>
          <w:tab w:val="left" w:pos="1440"/>
          <w:tab w:val="right" w:leader="dot" w:pos="8772"/>
        </w:tabs>
        <w:rPr>
          <w:rFonts w:cstheme="minorBidi"/>
          <w:i w:val="0"/>
          <w:noProof/>
          <w:lang w:eastAsia="en-AU"/>
        </w:rPr>
      </w:pPr>
      <w:r>
        <w:rPr>
          <w:noProof/>
        </w:rPr>
        <w:t>11.1.4</w:t>
      </w:r>
      <w:r>
        <w:rPr>
          <w:rFonts w:cstheme="minorBidi"/>
          <w:i w:val="0"/>
          <w:noProof/>
          <w:lang w:eastAsia="en-AU"/>
        </w:rPr>
        <w:tab/>
      </w:r>
      <w:r>
        <w:rPr>
          <w:noProof/>
        </w:rPr>
        <w:t>Distance to markets</w:t>
      </w:r>
      <w:r>
        <w:rPr>
          <w:noProof/>
        </w:rPr>
        <w:tab/>
      </w:r>
      <w:r w:rsidR="00F14300">
        <w:rPr>
          <w:noProof/>
        </w:rPr>
        <w:fldChar w:fldCharType="begin"/>
      </w:r>
      <w:r>
        <w:rPr>
          <w:noProof/>
        </w:rPr>
        <w:instrText xml:space="preserve"> PAGEREF _Toc326747492 \h </w:instrText>
      </w:r>
      <w:r w:rsidR="00F14300">
        <w:rPr>
          <w:noProof/>
        </w:rPr>
      </w:r>
      <w:r w:rsidR="00F14300">
        <w:rPr>
          <w:noProof/>
        </w:rPr>
        <w:fldChar w:fldCharType="separate"/>
      </w:r>
      <w:r>
        <w:rPr>
          <w:noProof/>
        </w:rPr>
        <w:t>46</w:t>
      </w:r>
      <w:r w:rsidR="00F14300">
        <w:rPr>
          <w:noProof/>
        </w:rPr>
        <w:fldChar w:fldCharType="end"/>
      </w:r>
    </w:p>
    <w:p w:rsidR="004B5639" w:rsidRDefault="004B5639">
      <w:pPr>
        <w:pStyle w:val="TOC3"/>
        <w:tabs>
          <w:tab w:val="left" w:pos="1440"/>
          <w:tab w:val="right" w:leader="dot" w:pos="8772"/>
        </w:tabs>
        <w:rPr>
          <w:rFonts w:cstheme="minorBidi"/>
          <w:i w:val="0"/>
          <w:noProof/>
          <w:lang w:eastAsia="en-AU"/>
        </w:rPr>
      </w:pPr>
      <w:r>
        <w:rPr>
          <w:noProof/>
        </w:rPr>
        <w:t>11.1.5</w:t>
      </w:r>
      <w:r>
        <w:rPr>
          <w:rFonts w:cstheme="minorBidi"/>
          <w:i w:val="0"/>
          <w:noProof/>
          <w:lang w:eastAsia="en-AU"/>
        </w:rPr>
        <w:tab/>
      </w:r>
      <w:r>
        <w:rPr>
          <w:noProof/>
        </w:rPr>
        <w:t>Regulatory framework</w:t>
      </w:r>
      <w:r>
        <w:rPr>
          <w:noProof/>
        </w:rPr>
        <w:tab/>
      </w:r>
      <w:r w:rsidR="00F14300">
        <w:rPr>
          <w:noProof/>
        </w:rPr>
        <w:fldChar w:fldCharType="begin"/>
      </w:r>
      <w:r>
        <w:rPr>
          <w:noProof/>
        </w:rPr>
        <w:instrText xml:space="preserve"> PAGEREF _Toc326747493 \h </w:instrText>
      </w:r>
      <w:r w:rsidR="00F14300">
        <w:rPr>
          <w:noProof/>
        </w:rPr>
      </w:r>
      <w:r w:rsidR="00F14300">
        <w:rPr>
          <w:noProof/>
        </w:rPr>
        <w:fldChar w:fldCharType="separate"/>
      </w:r>
      <w:r>
        <w:rPr>
          <w:noProof/>
        </w:rPr>
        <w:t>47</w:t>
      </w:r>
      <w:r w:rsidR="00F14300">
        <w:rPr>
          <w:noProof/>
        </w:rPr>
        <w:fldChar w:fldCharType="end"/>
      </w:r>
    </w:p>
    <w:p w:rsidR="004B5639" w:rsidRDefault="004B5639">
      <w:pPr>
        <w:pStyle w:val="TOC3"/>
        <w:tabs>
          <w:tab w:val="left" w:pos="1440"/>
          <w:tab w:val="right" w:leader="dot" w:pos="8772"/>
        </w:tabs>
        <w:rPr>
          <w:rFonts w:cstheme="minorBidi"/>
          <w:i w:val="0"/>
          <w:noProof/>
          <w:lang w:eastAsia="en-AU"/>
        </w:rPr>
      </w:pPr>
      <w:r>
        <w:rPr>
          <w:noProof/>
        </w:rPr>
        <w:t>11.1.6</w:t>
      </w:r>
      <w:r>
        <w:rPr>
          <w:rFonts w:cstheme="minorBidi"/>
          <w:i w:val="0"/>
          <w:noProof/>
          <w:lang w:eastAsia="en-AU"/>
        </w:rPr>
        <w:tab/>
      </w:r>
      <w:r>
        <w:rPr>
          <w:noProof/>
        </w:rPr>
        <w:t>Policy framework</w:t>
      </w:r>
      <w:r>
        <w:rPr>
          <w:noProof/>
        </w:rPr>
        <w:tab/>
      </w:r>
      <w:r w:rsidR="00F14300">
        <w:rPr>
          <w:noProof/>
        </w:rPr>
        <w:fldChar w:fldCharType="begin"/>
      </w:r>
      <w:r>
        <w:rPr>
          <w:noProof/>
        </w:rPr>
        <w:instrText xml:space="preserve"> PAGEREF _Toc326747494 \h </w:instrText>
      </w:r>
      <w:r w:rsidR="00F14300">
        <w:rPr>
          <w:noProof/>
        </w:rPr>
      </w:r>
      <w:r w:rsidR="00F14300">
        <w:rPr>
          <w:noProof/>
        </w:rPr>
        <w:fldChar w:fldCharType="separate"/>
      </w:r>
      <w:r>
        <w:rPr>
          <w:noProof/>
        </w:rPr>
        <w:t>47</w:t>
      </w:r>
      <w:r w:rsidR="00F14300">
        <w:rPr>
          <w:noProof/>
        </w:rPr>
        <w:fldChar w:fldCharType="end"/>
      </w:r>
    </w:p>
    <w:p w:rsidR="004B5639" w:rsidRDefault="004B5639">
      <w:pPr>
        <w:pStyle w:val="TOC3"/>
        <w:tabs>
          <w:tab w:val="left" w:pos="1440"/>
          <w:tab w:val="right" w:leader="dot" w:pos="8772"/>
        </w:tabs>
        <w:rPr>
          <w:rFonts w:cstheme="minorBidi"/>
          <w:i w:val="0"/>
          <w:noProof/>
          <w:lang w:eastAsia="en-AU"/>
        </w:rPr>
      </w:pPr>
      <w:r>
        <w:rPr>
          <w:noProof/>
        </w:rPr>
        <w:t>11.1.7</w:t>
      </w:r>
      <w:r>
        <w:rPr>
          <w:rFonts w:cstheme="minorBidi"/>
          <w:i w:val="0"/>
          <w:noProof/>
          <w:lang w:eastAsia="en-AU"/>
        </w:rPr>
        <w:tab/>
      </w:r>
      <w:r>
        <w:rPr>
          <w:noProof/>
        </w:rPr>
        <w:t>Biosolids appearance</w:t>
      </w:r>
      <w:r>
        <w:rPr>
          <w:noProof/>
        </w:rPr>
        <w:tab/>
      </w:r>
      <w:r w:rsidR="00F14300">
        <w:rPr>
          <w:noProof/>
        </w:rPr>
        <w:fldChar w:fldCharType="begin"/>
      </w:r>
      <w:r>
        <w:rPr>
          <w:noProof/>
        </w:rPr>
        <w:instrText xml:space="preserve"> PAGEREF _Toc326747495 \h </w:instrText>
      </w:r>
      <w:r w:rsidR="00F14300">
        <w:rPr>
          <w:noProof/>
        </w:rPr>
      </w:r>
      <w:r w:rsidR="00F14300">
        <w:rPr>
          <w:noProof/>
        </w:rPr>
        <w:fldChar w:fldCharType="separate"/>
      </w:r>
      <w:r>
        <w:rPr>
          <w:noProof/>
        </w:rPr>
        <w:t>48</w:t>
      </w:r>
      <w:r w:rsidR="00F14300">
        <w:rPr>
          <w:noProof/>
        </w:rPr>
        <w:fldChar w:fldCharType="end"/>
      </w:r>
    </w:p>
    <w:p w:rsidR="004B5639" w:rsidRDefault="004B5639">
      <w:pPr>
        <w:pStyle w:val="TOC2"/>
        <w:tabs>
          <w:tab w:val="left" w:pos="960"/>
          <w:tab w:val="right" w:leader="dot" w:pos="8772"/>
        </w:tabs>
        <w:rPr>
          <w:rFonts w:cstheme="minorBidi"/>
          <w:smallCaps w:val="0"/>
          <w:noProof/>
          <w:lang w:eastAsia="en-AU"/>
        </w:rPr>
      </w:pPr>
      <w:r>
        <w:rPr>
          <w:noProof/>
        </w:rPr>
        <w:t>11.2</w:t>
      </w:r>
      <w:r>
        <w:rPr>
          <w:rFonts w:cstheme="minorBidi"/>
          <w:smallCaps w:val="0"/>
          <w:noProof/>
          <w:lang w:eastAsia="en-AU"/>
        </w:rPr>
        <w:tab/>
      </w:r>
      <w:r>
        <w:rPr>
          <w:noProof/>
        </w:rPr>
        <w:t>Market opportunities</w:t>
      </w:r>
      <w:r>
        <w:rPr>
          <w:noProof/>
        </w:rPr>
        <w:tab/>
      </w:r>
      <w:r w:rsidR="00F14300">
        <w:rPr>
          <w:noProof/>
        </w:rPr>
        <w:fldChar w:fldCharType="begin"/>
      </w:r>
      <w:r>
        <w:rPr>
          <w:noProof/>
        </w:rPr>
        <w:instrText xml:space="preserve"> PAGEREF _Toc326747496 \h </w:instrText>
      </w:r>
      <w:r w:rsidR="00F14300">
        <w:rPr>
          <w:noProof/>
        </w:rPr>
      </w:r>
      <w:r w:rsidR="00F14300">
        <w:rPr>
          <w:noProof/>
        </w:rPr>
        <w:fldChar w:fldCharType="separate"/>
      </w:r>
      <w:r>
        <w:rPr>
          <w:noProof/>
        </w:rPr>
        <w:t>48</w:t>
      </w:r>
      <w:r w:rsidR="00F14300">
        <w:rPr>
          <w:noProof/>
        </w:rPr>
        <w:fldChar w:fldCharType="end"/>
      </w:r>
    </w:p>
    <w:p w:rsidR="004B5639" w:rsidRDefault="004B5639">
      <w:pPr>
        <w:pStyle w:val="TOC3"/>
        <w:tabs>
          <w:tab w:val="left" w:pos="1440"/>
          <w:tab w:val="right" w:leader="dot" w:pos="8772"/>
        </w:tabs>
        <w:rPr>
          <w:rFonts w:cstheme="minorBidi"/>
          <w:i w:val="0"/>
          <w:noProof/>
          <w:lang w:eastAsia="en-AU"/>
        </w:rPr>
      </w:pPr>
      <w:r>
        <w:rPr>
          <w:noProof/>
        </w:rPr>
        <w:t>11.2.1</w:t>
      </w:r>
      <w:r>
        <w:rPr>
          <w:rFonts w:cstheme="minorBidi"/>
          <w:i w:val="0"/>
          <w:noProof/>
          <w:lang w:eastAsia="en-AU"/>
        </w:rPr>
        <w:tab/>
      </w:r>
      <w:r>
        <w:rPr>
          <w:noProof/>
        </w:rPr>
        <w:t>Environmental and economic value</w:t>
      </w:r>
      <w:r>
        <w:rPr>
          <w:noProof/>
        </w:rPr>
        <w:tab/>
      </w:r>
      <w:r w:rsidR="00F14300">
        <w:rPr>
          <w:noProof/>
        </w:rPr>
        <w:fldChar w:fldCharType="begin"/>
      </w:r>
      <w:r>
        <w:rPr>
          <w:noProof/>
        </w:rPr>
        <w:instrText xml:space="preserve"> PAGEREF _Toc326747497 \h </w:instrText>
      </w:r>
      <w:r w:rsidR="00F14300">
        <w:rPr>
          <w:noProof/>
        </w:rPr>
      </w:r>
      <w:r w:rsidR="00F14300">
        <w:rPr>
          <w:noProof/>
        </w:rPr>
        <w:fldChar w:fldCharType="separate"/>
      </w:r>
      <w:r>
        <w:rPr>
          <w:noProof/>
        </w:rPr>
        <w:t>48</w:t>
      </w:r>
      <w:r w:rsidR="00F14300">
        <w:rPr>
          <w:noProof/>
        </w:rPr>
        <w:fldChar w:fldCharType="end"/>
      </w:r>
    </w:p>
    <w:p w:rsidR="004B5639" w:rsidRDefault="004B5639">
      <w:pPr>
        <w:pStyle w:val="TOC3"/>
        <w:tabs>
          <w:tab w:val="left" w:pos="1440"/>
          <w:tab w:val="right" w:leader="dot" w:pos="8772"/>
        </w:tabs>
        <w:rPr>
          <w:rFonts w:cstheme="minorBidi"/>
          <w:i w:val="0"/>
          <w:noProof/>
          <w:lang w:eastAsia="en-AU"/>
        </w:rPr>
      </w:pPr>
      <w:r>
        <w:rPr>
          <w:noProof/>
        </w:rPr>
        <w:t>11.2.2</w:t>
      </w:r>
      <w:r>
        <w:rPr>
          <w:rFonts w:cstheme="minorBidi"/>
          <w:i w:val="0"/>
          <w:noProof/>
          <w:lang w:eastAsia="en-AU"/>
        </w:rPr>
        <w:tab/>
      </w:r>
      <w:r>
        <w:rPr>
          <w:noProof/>
        </w:rPr>
        <w:t>Reduction in carbon emissions</w:t>
      </w:r>
      <w:r>
        <w:rPr>
          <w:noProof/>
        </w:rPr>
        <w:tab/>
      </w:r>
      <w:r w:rsidR="00F14300">
        <w:rPr>
          <w:noProof/>
        </w:rPr>
        <w:fldChar w:fldCharType="begin"/>
      </w:r>
      <w:r>
        <w:rPr>
          <w:noProof/>
        </w:rPr>
        <w:instrText xml:space="preserve"> PAGEREF _Toc326747498 \h </w:instrText>
      </w:r>
      <w:r w:rsidR="00F14300">
        <w:rPr>
          <w:noProof/>
        </w:rPr>
      </w:r>
      <w:r w:rsidR="00F14300">
        <w:rPr>
          <w:noProof/>
        </w:rPr>
        <w:fldChar w:fldCharType="separate"/>
      </w:r>
      <w:r>
        <w:rPr>
          <w:noProof/>
        </w:rPr>
        <w:t>48</w:t>
      </w:r>
      <w:r w:rsidR="00F14300">
        <w:rPr>
          <w:noProof/>
        </w:rPr>
        <w:fldChar w:fldCharType="end"/>
      </w:r>
    </w:p>
    <w:p w:rsidR="004B5639" w:rsidRDefault="004B5639">
      <w:pPr>
        <w:pStyle w:val="TOC3"/>
        <w:tabs>
          <w:tab w:val="left" w:pos="1440"/>
          <w:tab w:val="right" w:leader="dot" w:pos="8772"/>
        </w:tabs>
        <w:rPr>
          <w:rFonts w:cstheme="minorBidi"/>
          <w:i w:val="0"/>
          <w:noProof/>
          <w:lang w:eastAsia="en-AU"/>
        </w:rPr>
      </w:pPr>
      <w:r>
        <w:rPr>
          <w:noProof/>
        </w:rPr>
        <w:t>11.2.3</w:t>
      </w:r>
      <w:r>
        <w:rPr>
          <w:rFonts w:cstheme="minorBidi"/>
          <w:i w:val="0"/>
          <w:noProof/>
          <w:lang w:eastAsia="en-AU"/>
        </w:rPr>
        <w:tab/>
      </w:r>
      <w:r>
        <w:rPr>
          <w:noProof/>
        </w:rPr>
        <w:t>Reduced reliance on non renewable resources</w:t>
      </w:r>
      <w:r>
        <w:rPr>
          <w:noProof/>
        </w:rPr>
        <w:tab/>
      </w:r>
      <w:r w:rsidR="00F14300">
        <w:rPr>
          <w:noProof/>
        </w:rPr>
        <w:fldChar w:fldCharType="begin"/>
      </w:r>
      <w:r>
        <w:rPr>
          <w:noProof/>
        </w:rPr>
        <w:instrText xml:space="preserve"> PAGEREF _Toc326747499 \h </w:instrText>
      </w:r>
      <w:r w:rsidR="00F14300">
        <w:rPr>
          <w:noProof/>
        </w:rPr>
      </w:r>
      <w:r w:rsidR="00F14300">
        <w:rPr>
          <w:noProof/>
        </w:rPr>
        <w:fldChar w:fldCharType="separate"/>
      </w:r>
      <w:r>
        <w:rPr>
          <w:noProof/>
        </w:rPr>
        <w:t>48</w:t>
      </w:r>
      <w:r w:rsidR="00F14300">
        <w:rPr>
          <w:noProof/>
        </w:rPr>
        <w:fldChar w:fldCharType="end"/>
      </w:r>
    </w:p>
    <w:p w:rsidR="004B5639" w:rsidRDefault="004B5639">
      <w:pPr>
        <w:pStyle w:val="TOC1"/>
        <w:tabs>
          <w:tab w:val="left" w:pos="480"/>
          <w:tab w:val="right" w:leader="dot" w:pos="8772"/>
        </w:tabs>
        <w:rPr>
          <w:rFonts w:cstheme="minorBidi"/>
          <w:b w:val="0"/>
          <w:caps w:val="0"/>
          <w:noProof/>
          <w:lang w:eastAsia="en-AU"/>
        </w:rPr>
      </w:pPr>
      <w:r>
        <w:rPr>
          <w:noProof/>
        </w:rPr>
        <w:t>12</w:t>
      </w:r>
      <w:r>
        <w:rPr>
          <w:rFonts w:cstheme="minorBidi"/>
          <w:b w:val="0"/>
          <w:caps w:val="0"/>
          <w:noProof/>
          <w:lang w:eastAsia="en-AU"/>
        </w:rPr>
        <w:tab/>
      </w:r>
      <w:r>
        <w:rPr>
          <w:noProof/>
        </w:rPr>
        <w:t>References</w:t>
      </w:r>
      <w:r>
        <w:rPr>
          <w:noProof/>
        </w:rPr>
        <w:tab/>
      </w:r>
      <w:r w:rsidR="00F14300">
        <w:rPr>
          <w:noProof/>
        </w:rPr>
        <w:fldChar w:fldCharType="begin"/>
      </w:r>
      <w:r>
        <w:rPr>
          <w:noProof/>
        </w:rPr>
        <w:instrText xml:space="preserve"> PAGEREF _Toc326747500 \h </w:instrText>
      </w:r>
      <w:r w:rsidR="00F14300">
        <w:rPr>
          <w:noProof/>
        </w:rPr>
      </w:r>
      <w:r w:rsidR="00F14300">
        <w:rPr>
          <w:noProof/>
        </w:rPr>
        <w:fldChar w:fldCharType="separate"/>
      </w:r>
      <w:r>
        <w:rPr>
          <w:noProof/>
        </w:rPr>
        <w:t>49</w:t>
      </w:r>
      <w:r w:rsidR="00F14300">
        <w:rPr>
          <w:noProof/>
        </w:rPr>
        <w:fldChar w:fldCharType="end"/>
      </w:r>
    </w:p>
    <w:p w:rsidR="00337CA3" w:rsidRDefault="00F14300" w:rsidP="00533F1E">
      <w:pPr>
        <w:spacing w:before="0" w:after="0"/>
      </w:pPr>
      <w:r w:rsidRPr="00533F1E">
        <w:rPr>
          <w:sz w:val="14"/>
          <w:szCs w:val="14"/>
        </w:rPr>
        <w:fldChar w:fldCharType="end"/>
      </w:r>
    </w:p>
    <w:p w:rsidR="00337CA3" w:rsidRDefault="00337CA3" w:rsidP="00337CA3"/>
    <w:p w:rsidR="00337CA3" w:rsidRDefault="00337CA3">
      <w:pPr>
        <w:spacing w:before="0" w:after="0"/>
        <w:jc w:val="left"/>
      </w:pPr>
      <w:r>
        <w:br w:type="page"/>
      </w:r>
    </w:p>
    <w:p w:rsidR="009F6D94" w:rsidRDefault="00337CA3" w:rsidP="007D5073">
      <w:pPr>
        <w:pStyle w:val="Heading1"/>
        <w:numPr>
          <w:ilvl w:val="0"/>
          <w:numId w:val="0"/>
        </w:numPr>
      </w:pPr>
      <w:bookmarkStart w:id="1" w:name="_Toc326747431"/>
      <w:r>
        <w:lastRenderedPageBreak/>
        <w:t>Summary</w:t>
      </w:r>
      <w:bookmarkEnd w:id="1"/>
    </w:p>
    <w:p w:rsidR="00EF5E52" w:rsidRPr="00EF5E52" w:rsidRDefault="00EF5E52" w:rsidP="00EF5E52">
      <w:pPr>
        <w:pStyle w:val="Heading2"/>
        <w:numPr>
          <w:ilvl w:val="0"/>
          <w:numId w:val="0"/>
        </w:numPr>
      </w:pPr>
      <w:bookmarkStart w:id="2" w:name="_Toc326747432"/>
      <w:r>
        <w:t>Background</w:t>
      </w:r>
      <w:bookmarkEnd w:id="2"/>
    </w:p>
    <w:p w:rsidR="00265A57" w:rsidRDefault="00D64EB6" w:rsidP="00265A57">
      <w:pPr>
        <w:jc w:val="left"/>
      </w:pPr>
      <w:r w:rsidRPr="00625A47">
        <w:t xml:space="preserve">This report </w:t>
      </w:r>
      <w:r w:rsidR="00B12F1F">
        <w:t xml:space="preserve">was </w:t>
      </w:r>
      <w:r>
        <w:t xml:space="preserve">funded by </w:t>
      </w:r>
      <w:r w:rsidR="00892389">
        <w:t>t</w:t>
      </w:r>
      <w:r>
        <w:t xml:space="preserve">he Department of </w:t>
      </w:r>
      <w:r w:rsidRPr="00625A47">
        <w:rPr>
          <w:lang w:val="en-US" w:eastAsia="en-AU"/>
        </w:rPr>
        <w:t>Sustainability, Environment, Water, Population and Communities</w:t>
      </w:r>
      <w:r>
        <w:t xml:space="preserve"> and is intended to provide </w:t>
      </w:r>
      <w:r w:rsidR="00892389">
        <w:t xml:space="preserve">a snapshot of </w:t>
      </w:r>
      <w:proofErr w:type="spellStart"/>
      <w:r>
        <w:t>biosolids</w:t>
      </w:r>
      <w:proofErr w:type="spellEnd"/>
      <w:r w:rsidR="00892389">
        <w:t xml:space="preserve"> in Australia</w:t>
      </w:r>
      <w:r w:rsidR="009934D6">
        <w:t xml:space="preserve">. It collates and assesses data and information on </w:t>
      </w:r>
      <w:proofErr w:type="spellStart"/>
      <w:r w:rsidR="009934D6">
        <w:t>biosolid</w:t>
      </w:r>
      <w:proofErr w:type="spellEnd"/>
      <w:r w:rsidR="009934D6">
        <w:t xml:space="preserve"> from public sources, and water utilities and information available from the Australian and New Zealand </w:t>
      </w:r>
      <w:proofErr w:type="spellStart"/>
      <w:r w:rsidR="009934D6">
        <w:t>Biosolids</w:t>
      </w:r>
      <w:proofErr w:type="spellEnd"/>
      <w:r w:rsidR="009934D6">
        <w:t xml:space="preserve"> Partnership.</w:t>
      </w:r>
      <w:r>
        <w:t xml:space="preserve"> </w:t>
      </w:r>
    </w:p>
    <w:p w:rsidR="00265A57" w:rsidRDefault="00D64EB6" w:rsidP="00265A57">
      <w:pPr>
        <w:jc w:val="left"/>
      </w:pPr>
      <w:proofErr w:type="spellStart"/>
      <w:r w:rsidRPr="00625A47">
        <w:t>Biosolids</w:t>
      </w:r>
      <w:proofErr w:type="spellEnd"/>
      <w:r w:rsidRPr="00625A47">
        <w:t xml:space="preserve"> have been identified as an issue of possible interest for several </w:t>
      </w:r>
      <w:r w:rsidR="009934D6">
        <w:t xml:space="preserve">National Waste Policy strategies, including strategy 5 (markets and standards), 9 (greenhouse), 10 commercial and industrial waste) and 16 (waste and recycling data and reporting) </w:t>
      </w:r>
      <w:r w:rsidR="003F29DC">
        <w:t xml:space="preserve">and </w:t>
      </w:r>
      <w:r w:rsidR="009934D6">
        <w:t>to several Environment Protection and Heritage Council (EPHC) working groups set up to implement the strategies. This report provides a common data set and evidence base to inform this work.</w:t>
      </w:r>
    </w:p>
    <w:p w:rsidR="00265A57" w:rsidRDefault="00EF5E52" w:rsidP="00265A57">
      <w:pPr>
        <w:pStyle w:val="Heading2"/>
        <w:numPr>
          <w:ilvl w:val="0"/>
          <w:numId w:val="0"/>
        </w:numPr>
        <w:jc w:val="left"/>
      </w:pPr>
      <w:bookmarkStart w:id="3" w:name="_Toc326747433"/>
      <w:r>
        <w:t>Data</w:t>
      </w:r>
      <w:bookmarkEnd w:id="3"/>
    </w:p>
    <w:p w:rsidR="00265A57" w:rsidRDefault="00EF5E52" w:rsidP="00265A57">
      <w:pPr>
        <w:jc w:val="left"/>
      </w:pPr>
      <w:r>
        <w:t xml:space="preserve">The Australian and New Zealand </w:t>
      </w:r>
      <w:proofErr w:type="spellStart"/>
      <w:r>
        <w:t>Biosolids</w:t>
      </w:r>
      <w:proofErr w:type="spellEnd"/>
      <w:r>
        <w:t xml:space="preserve"> </w:t>
      </w:r>
      <w:r w:rsidR="00A35633">
        <w:t>P</w:t>
      </w:r>
      <w:r>
        <w:t xml:space="preserve">artnership </w:t>
      </w:r>
      <w:r w:rsidR="00A35633">
        <w:t xml:space="preserve">(ANZBP) </w:t>
      </w:r>
      <w:r>
        <w:t xml:space="preserve">commissioned a national survey in 2010 to identify the main features of </w:t>
      </w:r>
      <w:proofErr w:type="spellStart"/>
      <w:r>
        <w:t>biosolids</w:t>
      </w:r>
      <w:proofErr w:type="spellEnd"/>
      <w:r>
        <w:t xml:space="preserve"> management. This survey catalogued the following primary parameters:</w:t>
      </w:r>
    </w:p>
    <w:p w:rsidR="00265A57" w:rsidRDefault="00EF5E52" w:rsidP="00265A57">
      <w:pPr>
        <w:pStyle w:val="ListParagraph"/>
        <w:numPr>
          <w:ilvl w:val="0"/>
          <w:numId w:val="6"/>
        </w:numPr>
        <w:spacing w:before="120" w:after="120"/>
      </w:pPr>
      <w:proofErr w:type="spellStart"/>
      <w:r>
        <w:t>Biosolids</w:t>
      </w:r>
      <w:proofErr w:type="spellEnd"/>
      <w:r>
        <w:t xml:space="preserve"> production;</w:t>
      </w:r>
    </w:p>
    <w:p w:rsidR="00265A57" w:rsidRDefault="00EF5E52" w:rsidP="00265A57">
      <w:pPr>
        <w:pStyle w:val="ListParagraph"/>
        <w:numPr>
          <w:ilvl w:val="0"/>
          <w:numId w:val="6"/>
        </w:numPr>
        <w:spacing w:before="120" w:after="120"/>
      </w:pPr>
      <w:proofErr w:type="spellStart"/>
      <w:r>
        <w:t>Biosolids</w:t>
      </w:r>
      <w:proofErr w:type="spellEnd"/>
      <w:r>
        <w:t xml:space="preserve"> end use;</w:t>
      </w:r>
    </w:p>
    <w:p w:rsidR="00265A57" w:rsidRDefault="00EF5E52" w:rsidP="00265A57">
      <w:pPr>
        <w:pStyle w:val="ListParagraph"/>
        <w:numPr>
          <w:ilvl w:val="0"/>
          <w:numId w:val="6"/>
        </w:numPr>
        <w:spacing w:before="120" w:after="120"/>
      </w:pPr>
      <w:proofErr w:type="spellStart"/>
      <w:r>
        <w:t>Biosolids</w:t>
      </w:r>
      <w:proofErr w:type="spellEnd"/>
      <w:r>
        <w:t xml:space="preserve"> stabilisation grade;</w:t>
      </w:r>
    </w:p>
    <w:p w:rsidR="00265A57" w:rsidRDefault="00EF5E52" w:rsidP="00265A57">
      <w:pPr>
        <w:pStyle w:val="ListParagraph"/>
        <w:numPr>
          <w:ilvl w:val="0"/>
          <w:numId w:val="6"/>
        </w:numPr>
        <w:spacing w:before="120" w:after="120"/>
      </w:pPr>
      <w:proofErr w:type="spellStart"/>
      <w:r>
        <w:t>Biosolids</w:t>
      </w:r>
      <w:proofErr w:type="spellEnd"/>
      <w:r>
        <w:t xml:space="preserve"> primary stabilisation process;</w:t>
      </w:r>
    </w:p>
    <w:p w:rsidR="00265A57" w:rsidRDefault="00EF5E52" w:rsidP="00265A57">
      <w:pPr>
        <w:pStyle w:val="ListParagraph"/>
        <w:numPr>
          <w:ilvl w:val="0"/>
          <w:numId w:val="6"/>
        </w:numPr>
        <w:spacing w:before="120" w:after="120"/>
      </w:pPr>
      <w:proofErr w:type="spellStart"/>
      <w:r>
        <w:t>Biosolids</w:t>
      </w:r>
      <w:proofErr w:type="spellEnd"/>
      <w:r>
        <w:t xml:space="preserve"> dewatering process.</w:t>
      </w:r>
    </w:p>
    <w:p w:rsidR="00265A57" w:rsidRDefault="00EF5E52" w:rsidP="00265A57">
      <w:pPr>
        <w:jc w:val="left"/>
      </w:pPr>
      <w:r>
        <w:t xml:space="preserve">The results of this survey are used as the basis of this report and are presented on a national and state basis. The survey report can be found at </w:t>
      </w:r>
      <w:hyperlink r:id="rId9" w:history="1">
        <w:r w:rsidRPr="00B0004B">
          <w:rPr>
            <w:rStyle w:val="Hyperlink"/>
          </w:rPr>
          <w:t>www.biosolids.com.au</w:t>
        </w:r>
      </w:hyperlink>
      <w:r>
        <w:t xml:space="preserve">. </w:t>
      </w:r>
    </w:p>
    <w:p w:rsidR="00265A57" w:rsidRDefault="00EF5E52" w:rsidP="00265A57">
      <w:pPr>
        <w:jc w:val="left"/>
      </w:pPr>
      <w:r>
        <w:t xml:space="preserve">The approach used to determine the </w:t>
      </w:r>
      <w:proofErr w:type="spellStart"/>
      <w:r>
        <w:t>biosolids</w:t>
      </w:r>
      <w:proofErr w:type="spellEnd"/>
      <w:r>
        <w:t xml:space="preserve"> production in Australia was to survey all plants over 25,000 people or 5 ML/day. This criterion captures around about 80% of Australia’s population.  In the course of the survey many water utilities provided information on plants smaller than this threshold and where they did, the data was included.</w:t>
      </w:r>
    </w:p>
    <w:p w:rsidR="00265A57" w:rsidRDefault="00EF5E52" w:rsidP="00265A57">
      <w:pPr>
        <w:pStyle w:val="Heading2"/>
        <w:numPr>
          <w:ilvl w:val="0"/>
          <w:numId w:val="0"/>
        </w:numPr>
        <w:jc w:val="left"/>
      </w:pPr>
      <w:bookmarkStart w:id="4" w:name="_Toc326747434"/>
      <w:r>
        <w:t xml:space="preserve">What are </w:t>
      </w:r>
      <w:proofErr w:type="spellStart"/>
      <w:r>
        <w:t>biosolids</w:t>
      </w:r>
      <w:proofErr w:type="spellEnd"/>
      <w:r>
        <w:t>?</w:t>
      </w:r>
      <w:bookmarkEnd w:id="4"/>
    </w:p>
    <w:p w:rsidR="00265A57" w:rsidRDefault="00EF5E52" w:rsidP="00265A57">
      <w:pPr>
        <w:jc w:val="left"/>
      </w:pPr>
      <w:r>
        <w:t>Sewage sludge is</w:t>
      </w:r>
      <w:r w:rsidRPr="00CF712D">
        <w:t xml:space="preserve"> a by-product of treating </w:t>
      </w:r>
      <w:r>
        <w:t>wastewater, coming from humans and industry.</w:t>
      </w:r>
      <w:r w:rsidRPr="00CF712D">
        <w:t xml:space="preserve">  </w:t>
      </w:r>
      <w:r>
        <w:t xml:space="preserve">When treated to a standard acceptable for beneficial use sewage sludge is referred to as </w:t>
      </w:r>
      <w:proofErr w:type="spellStart"/>
      <w:r>
        <w:t>biosolids</w:t>
      </w:r>
      <w:proofErr w:type="spellEnd"/>
      <w:r>
        <w:t xml:space="preserve">. </w:t>
      </w:r>
      <w:proofErr w:type="spellStart"/>
      <w:r w:rsidRPr="00CF712D">
        <w:t>Biosolids</w:t>
      </w:r>
      <w:proofErr w:type="spellEnd"/>
      <w:r>
        <w:t xml:space="preserve"> </w:t>
      </w:r>
      <w:r w:rsidRPr="00CF712D">
        <w:t xml:space="preserve">are treated in a way to reduce or eliminate health risks and improve beneficial characteristics. </w:t>
      </w:r>
      <w:proofErr w:type="spellStart"/>
      <w:r w:rsidRPr="00CF712D">
        <w:t>Biosolids</w:t>
      </w:r>
      <w:proofErr w:type="spellEnd"/>
      <w:r w:rsidRPr="00CF712D">
        <w:t xml:space="preserve"> are highly treated and bear little resemblance to what is flushed down the sewer.</w:t>
      </w:r>
    </w:p>
    <w:p w:rsidR="00265A57" w:rsidRDefault="00EF5E52" w:rsidP="00265A57">
      <w:pPr>
        <w:jc w:val="left"/>
      </w:pPr>
      <w:proofErr w:type="spellStart"/>
      <w:r w:rsidRPr="00CF712D">
        <w:t>Biosolids</w:t>
      </w:r>
      <w:proofErr w:type="spellEnd"/>
      <w:r w:rsidRPr="00CF712D">
        <w:t xml:space="preserve"> are mainly a mix of water and organic matter that are a by-product of the sewage treatment processes. Most wastewater comes from household, kitchens, laundries and bathrooms. </w:t>
      </w:r>
      <w:proofErr w:type="spellStart"/>
      <w:r w:rsidRPr="00CF712D">
        <w:t>Biosolids</w:t>
      </w:r>
      <w:proofErr w:type="spellEnd"/>
      <w:r w:rsidRPr="00CF712D">
        <w:t xml:space="preserve"> may contain:</w:t>
      </w:r>
    </w:p>
    <w:p w:rsidR="00EF5E52" w:rsidRPr="00CF712D" w:rsidRDefault="00EF5E52" w:rsidP="00A35633">
      <w:pPr>
        <w:pStyle w:val="ListParagraph"/>
        <w:numPr>
          <w:ilvl w:val="0"/>
          <w:numId w:val="5"/>
        </w:numPr>
      </w:pPr>
      <w:r w:rsidRPr="00CF712D">
        <w:t>Macronutrients, such as nitrogen, phosphorus, potassium and sulphur; and</w:t>
      </w:r>
    </w:p>
    <w:p w:rsidR="00EF5E52" w:rsidRPr="00CF712D" w:rsidRDefault="00EF5E52" w:rsidP="00A35633">
      <w:pPr>
        <w:pStyle w:val="ListParagraph"/>
        <w:numPr>
          <w:ilvl w:val="0"/>
          <w:numId w:val="5"/>
        </w:numPr>
      </w:pPr>
      <w:r w:rsidRPr="00CF712D">
        <w:t>Micronutrients, such as copper, zinc, calcium, magnesium, iron, boron, molybdenum and manganese.</w:t>
      </w:r>
    </w:p>
    <w:p w:rsidR="00E3148E" w:rsidRDefault="00E3148E" w:rsidP="00A35633">
      <w:pPr>
        <w:jc w:val="left"/>
        <w:sectPr w:rsidR="00E3148E" w:rsidSect="00284D69">
          <w:headerReference w:type="default" r:id="rId10"/>
          <w:footerReference w:type="default" r:id="rId11"/>
          <w:pgSz w:w="11901" w:h="16817"/>
          <w:pgMar w:top="1418" w:right="1418" w:bottom="1418" w:left="1701" w:header="680" w:footer="680" w:gutter="0"/>
          <w:cols w:space="708"/>
          <w:titlePg/>
        </w:sectPr>
      </w:pPr>
    </w:p>
    <w:p w:rsidR="000D53EA" w:rsidRDefault="00EF5E52">
      <w:pPr>
        <w:jc w:val="left"/>
      </w:pPr>
      <w:proofErr w:type="spellStart"/>
      <w:r w:rsidRPr="00CF712D">
        <w:lastRenderedPageBreak/>
        <w:t>Biosolids</w:t>
      </w:r>
      <w:proofErr w:type="spellEnd"/>
      <w:r w:rsidRPr="00CF712D">
        <w:t xml:space="preserve"> may also contain traces of synthetic organic compounds and metals, including arsenic, cadmium, chromium, lead, mercury, nickel and selenium. These trace compounds can limit the uses for </w:t>
      </w:r>
      <w:proofErr w:type="spellStart"/>
      <w:r w:rsidRPr="00CF712D">
        <w:t>biosolids</w:t>
      </w:r>
      <w:proofErr w:type="spellEnd"/>
      <w:r w:rsidRPr="00CF712D">
        <w:t xml:space="preserve">, with all </w:t>
      </w:r>
      <w:r>
        <w:t xml:space="preserve">potential </w:t>
      </w:r>
      <w:r w:rsidRPr="00CF712D">
        <w:t xml:space="preserve">uses regulated by appropriate government authorities in each region.  Australia </w:t>
      </w:r>
      <w:r>
        <w:t xml:space="preserve">has one of </w:t>
      </w:r>
      <w:r w:rsidRPr="00CF712D">
        <w:t xml:space="preserve">the strictest regulatory regimes for </w:t>
      </w:r>
      <w:proofErr w:type="spellStart"/>
      <w:r w:rsidRPr="00CF712D">
        <w:t>biosolids</w:t>
      </w:r>
      <w:proofErr w:type="spellEnd"/>
      <w:r w:rsidRPr="00CF712D">
        <w:t xml:space="preserve"> use in the world</w:t>
      </w:r>
      <w:r>
        <w:t xml:space="preserve"> and the New Zealand Guidelines are similarly stringent</w:t>
      </w:r>
      <w:r w:rsidRPr="00CF712D">
        <w:t>.</w:t>
      </w:r>
    </w:p>
    <w:p w:rsidR="000D53EA" w:rsidRDefault="00EF5E52">
      <w:pPr>
        <w:jc w:val="left"/>
      </w:pPr>
      <w:r w:rsidRPr="00CF712D">
        <w:t xml:space="preserve">Human waste </w:t>
      </w:r>
      <w:r>
        <w:t>may contain pathogenic</w:t>
      </w:r>
      <w:r w:rsidRPr="00CF712D">
        <w:t xml:space="preserve"> micro-organisms which can cause illness. These pathogens are present in the sewage as it comes to the treatment plant.  Through the treatment plant the pathogens are killed or reduced</w:t>
      </w:r>
      <w:r>
        <w:t>,</w:t>
      </w:r>
      <w:r w:rsidRPr="00CF712D">
        <w:t xml:space="preserve"> depending on the desired end use for the recycled water or </w:t>
      </w:r>
      <w:proofErr w:type="spellStart"/>
      <w:r w:rsidRPr="00CF712D">
        <w:t>biosolids</w:t>
      </w:r>
      <w:proofErr w:type="spellEnd"/>
      <w:r w:rsidRPr="00CF712D">
        <w:t xml:space="preserve">. </w:t>
      </w:r>
      <w:proofErr w:type="spellStart"/>
      <w:r w:rsidRPr="00CF712D">
        <w:t>Biosolids</w:t>
      </w:r>
      <w:proofErr w:type="spellEnd"/>
      <w:r w:rsidRPr="00CF712D">
        <w:t xml:space="preserve"> </w:t>
      </w:r>
      <w:r>
        <w:t>are</w:t>
      </w:r>
      <w:r w:rsidRPr="00CF712D">
        <w:t xml:space="preserve"> always treated to reduce the pathogens to levels which are not harmful</w:t>
      </w:r>
      <w:r>
        <w:t xml:space="preserve"> when used in accordance with the various guidelines</w:t>
      </w:r>
      <w:r w:rsidRPr="00CF712D">
        <w:t>.</w:t>
      </w:r>
    </w:p>
    <w:p w:rsidR="000D53EA" w:rsidRDefault="00224C12">
      <w:pPr>
        <w:jc w:val="left"/>
      </w:pPr>
      <w:r>
        <w:rPr>
          <w:b/>
          <w:noProof/>
          <w:lang w:eastAsia="en-AU"/>
        </w:rPr>
        <w:drawing>
          <wp:inline distT="0" distB="0" distL="0" distR="0">
            <wp:extent cx="3141579" cy="2540000"/>
            <wp:effectExtent l="19050" t="0" r="1671"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3143352" cy="2541433"/>
                    </a:xfrm>
                    <a:prstGeom prst="rect">
                      <a:avLst/>
                    </a:prstGeom>
                    <a:noFill/>
                    <a:ln w="9525">
                      <a:noFill/>
                      <a:miter lim="800000"/>
                      <a:headEnd/>
                      <a:tailEnd/>
                    </a:ln>
                  </pic:spPr>
                </pic:pic>
              </a:graphicData>
            </a:graphic>
          </wp:inline>
        </w:drawing>
      </w:r>
    </w:p>
    <w:p w:rsidR="000D53EA" w:rsidRDefault="00081B06">
      <w:pPr>
        <w:pStyle w:val="Heading2"/>
        <w:numPr>
          <w:ilvl w:val="0"/>
          <w:numId w:val="0"/>
        </w:numPr>
        <w:jc w:val="left"/>
      </w:pPr>
      <w:bookmarkStart w:id="5" w:name="_Toc326747435"/>
      <w:proofErr w:type="spellStart"/>
      <w:r>
        <w:t>Biosolids</w:t>
      </w:r>
      <w:proofErr w:type="spellEnd"/>
      <w:r>
        <w:t xml:space="preserve"> production in Australia</w:t>
      </w:r>
      <w:bookmarkEnd w:id="5"/>
    </w:p>
    <w:p w:rsidR="000D53EA" w:rsidRDefault="00081B06">
      <w:pPr>
        <w:jc w:val="left"/>
      </w:pPr>
      <w:r>
        <w:t xml:space="preserve">The total </w:t>
      </w:r>
      <w:proofErr w:type="spellStart"/>
      <w:r>
        <w:t>biosolids</w:t>
      </w:r>
      <w:proofErr w:type="spellEnd"/>
      <w:r>
        <w:t xml:space="preserve"> production in Australia identified in the survey is about 300,000 tonnes per year of dry solids. The average solids content of </w:t>
      </w:r>
      <w:proofErr w:type="spellStart"/>
      <w:r w:rsidR="00286CC7">
        <w:t>biosolids</w:t>
      </w:r>
      <w:proofErr w:type="spellEnd"/>
      <w:r w:rsidR="00286CC7">
        <w:t xml:space="preserve"> are</w:t>
      </w:r>
      <w:r>
        <w:t xml:space="preserve"> 20-25% and this equates to around 1.2</w:t>
      </w:r>
      <w:r w:rsidR="003F29DC">
        <w:t>–</w:t>
      </w:r>
      <w:r>
        <w:t xml:space="preserve">1.5 million tonnes of </w:t>
      </w:r>
      <w:proofErr w:type="spellStart"/>
      <w:r>
        <w:t>biosolids</w:t>
      </w:r>
      <w:proofErr w:type="spellEnd"/>
      <w:r>
        <w:t xml:space="preserve"> in dewatered form (also called wet </w:t>
      </w:r>
      <w:proofErr w:type="spellStart"/>
      <w:r>
        <w:t>biosolids</w:t>
      </w:r>
      <w:proofErr w:type="spellEnd"/>
      <w:r>
        <w:t>).</w:t>
      </w:r>
    </w:p>
    <w:p w:rsidR="000D53EA" w:rsidRDefault="00081B06">
      <w:pPr>
        <w:jc w:val="left"/>
      </w:pPr>
      <w:r>
        <w:t xml:space="preserve">A breakdown by state of </w:t>
      </w:r>
      <w:proofErr w:type="spellStart"/>
      <w:r>
        <w:t>biosolids</w:t>
      </w:r>
      <w:proofErr w:type="spellEnd"/>
      <w:r>
        <w:t xml:space="preserve"> production in dry tonnes is given in the chart below</w:t>
      </w:r>
      <w:r w:rsidR="00B5021D">
        <w:t>.</w:t>
      </w:r>
    </w:p>
    <w:p w:rsidR="000D53EA" w:rsidRDefault="00F63D2F">
      <w:pPr>
        <w:jc w:val="left"/>
      </w:pPr>
      <w:r>
        <w:rPr>
          <w:noProof/>
          <w:lang w:eastAsia="en-AU"/>
        </w:rPr>
        <w:drawing>
          <wp:inline distT="0" distB="0" distL="0" distR="0">
            <wp:extent cx="3073400" cy="2529206"/>
            <wp:effectExtent l="1905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073400" cy="2529206"/>
                    </a:xfrm>
                    <a:prstGeom prst="rect">
                      <a:avLst/>
                    </a:prstGeom>
                    <a:noFill/>
                    <a:ln w="9525">
                      <a:noFill/>
                      <a:miter lim="800000"/>
                      <a:headEnd/>
                      <a:tailEnd/>
                    </a:ln>
                  </pic:spPr>
                </pic:pic>
              </a:graphicData>
            </a:graphic>
          </wp:inline>
        </w:drawing>
      </w:r>
    </w:p>
    <w:p w:rsidR="00B5021D" w:rsidRDefault="00B5021D" w:rsidP="00A35633">
      <w:pPr>
        <w:pStyle w:val="Heading2"/>
        <w:numPr>
          <w:ilvl w:val="0"/>
          <w:numId w:val="0"/>
        </w:numPr>
        <w:jc w:val="left"/>
        <w:sectPr w:rsidR="00B5021D" w:rsidSect="00284D69">
          <w:pgSz w:w="11901" w:h="16817"/>
          <w:pgMar w:top="1418" w:right="1418" w:bottom="1418" w:left="1701" w:header="680" w:footer="680" w:gutter="0"/>
          <w:cols w:space="708"/>
          <w:titlePg/>
        </w:sectPr>
      </w:pPr>
    </w:p>
    <w:p w:rsidR="000D53EA" w:rsidRDefault="00081B06">
      <w:pPr>
        <w:pStyle w:val="Heading2"/>
        <w:numPr>
          <w:ilvl w:val="0"/>
          <w:numId w:val="0"/>
        </w:numPr>
        <w:jc w:val="left"/>
      </w:pPr>
      <w:bookmarkStart w:id="6" w:name="_Toc326747436"/>
      <w:proofErr w:type="spellStart"/>
      <w:r>
        <w:lastRenderedPageBreak/>
        <w:t>Biosolids</w:t>
      </w:r>
      <w:proofErr w:type="spellEnd"/>
      <w:r>
        <w:t xml:space="preserve"> end use (markets)</w:t>
      </w:r>
      <w:bookmarkEnd w:id="6"/>
    </w:p>
    <w:p w:rsidR="000D53EA" w:rsidRDefault="00081B06">
      <w:pPr>
        <w:jc w:val="left"/>
      </w:pPr>
      <w:proofErr w:type="spellStart"/>
      <w:r>
        <w:t>Biosolids</w:t>
      </w:r>
      <w:proofErr w:type="spellEnd"/>
      <w:r>
        <w:t xml:space="preserve"> end use nationally and for each state is presented in the charts below.</w:t>
      </w:r>
    </w:p>
    <w:p w:rsidR="000D53EA" w:rsidRDefault="00224C12">
      <w:pPr>
        <w:jc w:val="left"/>
      </w:pPr>
      <w:r>
        <w:rPr>
          <w:noProof/>
          <w:lang w:eastAsia="en-AU"/>
        </w:rPr>
        <w:drawing>
          <wp:inline distT="0" distB="0" distL="0" distR="0">
            <wp:extent cx="3181350" cy="2247748"/>
            <wp:effectExtent l="19050" t="0" r="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3181350" cy="2247748"/>
                    </a:xfrm>
                    <a:prstGeom prst="rect">
                      <a:avLst/>
                    </a:prstGeom>
                    <a:noFill/>
                    <a:ln w="9525">
                      <a:noFill/>
                      <a:miter lim="800000"/>
                      <a:headEnd/>
                      <a:tailEnd/>
                    </a:ln>
                  </pic:spPr>
                </pic:pic>
              </a:graphicData>
            </a:graphic>
          </wp:inline>
        </w:drawing>
      </w:r>
    </w:p>
    <w:p w:rsidR="000D53EA" w:rsidRDefault="00081B06">
      <w:pPr>
        <w:jc w:val="left"/>
      </w:pPr>
      <w:r>
        <w:t xml:space="preserve">Overall, around two thirds of all </w:t>
      </w:r>
      <w:proofErr w:type="spellStart"/>
      <w:r>
        <w:t>biosolids</w:t>
      </w:r>
      <w:proofErr w:type="spellEnd"/>
      <w:r>
        <w:t xml:space="preserve"> produced in Australia is applied to the land as a fertiliser, soil conditioner or soil replacement product. Application to agricultural land is by far the largest end use in Australia, followed by use in composted products.</w:t>
      </w:r>
    </w:p>
    <w:p w:rsidR="000D53EA" w:rsidRDefault="00081B06">
      <w:pPr>
        <w:pStyle w:val="Heading2"/>
        <w:numPr>
          <w:ilvl w:val="0"/>
          <w:numId w:val="0"/>
        </w:numPr>
        <w:jc w:val="left"/>
      </w:pPr>
      <w:bookmarkStart w:id="7" w:name="_Toc326747437"/>
      <w:proofErr w:type="spellStart"/>
      <w:r>
        <w:t>Biosolids</w:t>
      </w:r>
      <w:proofErr w:type="spellEnd"/>
      <w:r>
        <w:t xml:space="preserve"> treatment and beneficial use</w:t>
      </w:r>
      <w:bookmarkEnd w:id="7"/>
    </w:p>
    <w:p w:rsidR="000D53EA" w:rsidRDefault="00081B06">
      <w:pPr>
        <w:jc w:val="left"/>
      </w:pPr>
      <w:proofErr w:type="spellStart"/>
      <w:r>
        <w:t>Biosolids</w:t>
      </w:r>
      <w:proofErr w:type="spellEnd"/>
      <w:r>
        <w:t xml:space="preserve"> management can be separated into two main categories, treatment and beneficial use.  These categories can be further broken down into the following main steps:</w:t>
      </w:r>
    </w:p>
    <w:p w:rsidR="00081B06" w:rsidRDefault="00081B06" w:rsidP="00A35633">
      <w:pPr>
        <w:pStyle w:val="ListParagraph"/>
        <w:numPr>
          <w:ilvl w:val="0"/>
          <w:numId w:val="16"/>
        </w:numPr>
      </w:pPr>
      <w:r>
        <w:t>Treatment</w:t>
      </w:r>
    </w:p>
    <w:p w:rsidR="00081B06" w:rsidRDefault="00081B06" w:rsidP="00A35633">
      <w:pPr>
        <w:pStyle w:val="ListParagraph"/>
        <w:numPr>
          <w:ilvl w:val="1"/>
          <w:numId w:val="16"/>
        </w:numPr>
      </w:pPr>
      <w:r>
        <w:t>dewatering</w:t>
      </w:r>
    </w:p>
    <w:p w:rsidR="00081B06" w:rsidRDefault="00081B06" w:rsidP="00A35633">
      <w:pPr>
        <w:pStyle w:val="ListParagraph"/>
        <w:numPr>
          <w:ilvl w:val="1"/>
          <w:numId w:val="16"/>
        </w:numPr>
      </w:pPr>
      <w:r>
        <w:t>stabilisation</w:t>
      </w:r>
    </w:p>
    <w:p w:rsidR="00081B06" w:rsidRDefault="00081B06" w:rsidP="00A35633">
      <w:pPr>
        <w:pStyle w:val="ListParagraph"/>
        <w:numPr>
          <w:ilvl w:val="1"/>
          <w:numId w:val="16"/>
        </w:numPr>
      </w:pPr>
      <w:r>
        <w:t>storage (at treatment plant)</w:t>
      </w:r>
    </w:p>
    <w:p w:rsidR="00081B06" w:rsidRDefault="00081B06" w:rsidP="00A35633">
      <w:pPr>
        <w:pStyle w:val="ListParagraph"/>
        <w:numPr>
          <w:ilvl w:val="0"/>
          <w:numId w:val="16"/>
        </w:numPr>
      </w:pPr>
      <w:r>
        <w:t>Beneficial use</w:t>
      </w:r>
    </w:p>
    <w:p w:rsidR="00081B06" w:rsidRDefault="00081B06" w:rsidP="00A35633">
      <w:pPr>
        <w:pStyle w:val="ListParagraph"/>
        <w:numPr>
          <w:ilvl w:val="1"/>
          <w:numId w:val="16"/>
        </w:numPr>
      </w:pPr>
      <w:r>
        <w:t>transport</w:t>
      </w:r>
    </w:p>
    <w:p w:rsidR="00081B06" w:rsidRDefault="00081B06" w:rsidP="00A35633">
      <w:pPr>
        <w:pStyle w:val="ListParagraph"/>
        <w:numPr>
          <w:ilvl w:val="1"/>
          <w:numId w:val="16"/>
        </w:numPr>
      </w:pPr>
      <w:r>
        <w:t>storage (on farm)</w:t>
      </w:r>
    </w:p>
    <w:p w:rsidR="00081B06" w:rsidRDefault="00081B06" w:rsidP="00A35633">
      <w:pPr>
        <w:pStyle w:val="ListParagraph"/>
        <w:numPr>
          <w:ilvl w:val="1"/>
          <w:numId w:val="16"/>
        </w:numPr>
      </w:pPr>
      <w:r>
        <w:t>land application</w:t>
      </w:r>
    </w:p>
    <w:p w:rsidR="000D53EA" w:rsidRDefault="00081B06">
      <w:pPr>
        <w:jc w:val="left"/>
      </w:pPr>
      <w:r>
        <w:t xml:space="preserve">The cost of each step in the </w:t>
      </w:r>
      <w:proofErr w:type="spellStart"/>
      <w:r>
        <w:t>biosolids</w:t>
      </w:r>
      <w:proofErr w:type="spellEnd"/>
      <w:r>
        <w:t xml:space="preserve"> management process varies significantly from treatment plant to treatment plant. In general the breakdown between treatment and beneficial use for the two most common approaches to sewage treatment in Australia are shown in </w:t>
      </w:r>
      <w:r w:rsidR="00B5021D">
        <w:t xml:space="preserve">the table </w:t>
      </w:r>
      <w:r>
        <w:t>below as a proportion of the total cost of sewage treatment.</w:t>
      </w:r>
    </w:p>
    <w:p w:rsidR="000D53EA" w:rsidRDefault="00081B06">
      <w:pPr>
        <w:pStyle w:val="TableHeading"/>
        <w:jc w:val="left"/>
      </w:pPr>
      <w:r>
        <w:t xml:space="preserve">Cost of </w:t>
      </w:r>
      <w:proofErr w:type="spellStart"/>
      <w:r>
        <w:t>biosolids</w:t>
      </w:r>
      <w:proofErr w:type="spellEnd"/>
      <w:r>
        <w:t xml:space="preserve"> management</w:t>
      </w:r>
    </w:p>
    <w:tbl>
      <w:tblPr>
        <w:tblStyle w:val="TableGrid"/>
        <w:tblW w:w="0" w:type="auto"/>
        <w:tblLook w:val="04A0"/>
      </w:tblPr>
      <w:tblGrid>
        <w:gridCol w:w="2999"/>
        <w:gridCol w:w="2999"/>
      </w:tblGrid>
      <w:tr w:rsidR="00081B06" w:rsidRPr="009D60EF" w:rsidTr="00081B06">
        <w:tc>
          <w:tcPr>
            <w:tcW w:w="2999" w:type="dxa"/>
          </w:tcPr>
          <w:p w:rsidR="000D53EA" w:rsidRDefault="00081B06">
            <w:pPr>
              <w:spacing w:before="60" w:after="60"/>
              <w:jc w:val="left"/>
              <w:rPr>
                <w:rFonts w:eastAsiaTheme="minorEastAsia"/>
                <w:b/>
                <w:sz w:val="18"/>
                <w:szCs w:val="18"/>
                <w:lang w:eastAsia="ja-JP"/>
              </w:rPr>
            </w:pPr>
            <w:r w:rsidRPr="009D60EF">
              <w:rPr>
                <w:b/>
                <w:sz w:val="18"/>
                <w:szCs w:val="18"/>
              </w:rPr>
              <w:t>Type of sewage treatment process</w:t>
            </w:r>
          </w:p>
        </w:tc>
        <w:tc>
          <w:tcPr>
            <w:tcW w:w="2999" w:type="dxa"/>
          </w:tcPr>
          <w:p w:rsidR="000D53EA" w:rsidRDefault="00081B06">
            <w:pPr>
              <w:spacing w:before="60" w:after="60"/>
              <w:jc w:val="left"/>
              <w:rPr>
                <w:rFonts w:eastAsiaTheme="minorEastAsia"/>
                <w:b/>
                <w:sz w:val="18"/>
                <w:szCs w:val="18"/>
                <w:lang w:eastAsia="ja-JP"/>
              </w:rPr>
            </w:pPr>
            <w:r w:rsidRPr="009D60EF">
              <w:rPr>
                <w:b/>
                <w:sz w:val="18"/>
                <w:szCs w:val="18"/>
              </w:rPr>
              <w:t xml:space="preserve">Cost of </w:t>
            </w:r>
            <w:proofErr w:type="spellStart"/>
            <w:r>
              <w:rPr>
                <w:b/>
                <w:sz w:val="18"/>
                <w:szCs w:val="18"/>
              </w:rPr>
              <w:t>biosolids</w:t>
            </w:r>
            <w:proofErr w:type="spellEnd"/>
            <w:r>
              <w:rPr>
                <w:b/>
                <w:sz w:val="18"/>
                <w:szCs w:val="18"/>
              </w:rPr>
              <w:t xml:space="preserve"> management</w:t>
            </w:r>
          </w:p>
        </w:tc>
      </w:tr>
      <w:tr w:rsidR="00081B06" w:rsidRPr="009D60EF" w:rsidTr="00081B06">
        <w:tc>
          <w:tcPr>
            <w:tcW w:w="2999" w:type="dxa"/>
          </w:tcPr>
          <w:p w:rsidR="000D53EA" w:rsidRDefault="00081B06">
            <w:pPr>
              <w:spacing w:before="60" w:after="60"/>
              <w:jc w:val="left"/>
              <w:rPr>
                <w:rFonts w:eastAsiaTheme="minorEastAsia"/>
                <w:sz w:val="18"/>
                <w:szCs w:val="18"/>
                <w:lang w:eastAsia="ja-JP"/>
              </w:rPr>
            </w:pPr>
            <w:r>
              <w:rPr>
                <w:sz w:val="18"/>
                <w:szCs w:val="18"/>
              </w:rPr>
              <w:t>Primary</w:t>
            </w:r>
          </w:p>
        </w:tc>
        <w:tc>
          <w:tcPr>
            <w:tcW w:w="2999" w:type="dxa"/>
          </w:tcPr>
          <w:p w:rsidR="000D53EA" w:rsidRDefault="00081B06">
            <w:pPr>
              <w:spacing w:before="60" w:after="60"/>
              <w:jc w:val="left"/>
              <w:rPr>
                <w:rFonts w:eastAsiaTheme="minorEastAsia"/>
                <w:sz w:val="18"/>
                <w:szCs w:val="18"/>
                <w:lang w:eastAsia="ja-JP"/>
              </w:rPr>
            </w:pPr>
            <w:r>
              <w:rPr>
                <w:sz w:val="18"/>
                <w:szCs w:val="18"/>
              </w:rPr>
              <w:t>70-90%</w:t>
            </w:r>
          </w:p>
        </w:tc>
      </w:tr>
      <w:tr w:rsidR="00081B06" w:rsidRPr="009D60EF" w:rsidTr="00081B06">
        <w:tc>
          <w:tcPr>
            <w:tcW w:w="2999" w:type="dxa"/>
          </w:tcPr>
          <w:p w:rsidR="000D53EA" w:rsidRDefault="00081B06">
            <w:pPr>
              <w:spacing w:before="60" w:after="60"/>
              <w:jc w:val="left"/>
              <w:rPr>
                <w:rFonts w:eastAsiaTheme="minorEastAsia"/>
                <w:sz w:val="18"/>
                <w:szCs w:val="18"/>
                <w:lang w:eastAsia="ja-JP"/>
              </w:rPr>
            </w:pPr>
            <w:r>
              <w:rPr>
                <w:sz w:val="18"/>
                <w:szCs w:val="18"/>
              </w:rPr>
              <w:t>Secondary</w:t>
            </w:r>
          </w:p>
        </w:tc>
        <w:tc>
          <w:tcPr>
            <w:tcW w:w="2999" w:type="dxa"/>
          </w:tcPr>
          <w:p w:rsidR="000D53EA" w:rsidRDefault="00081B06">
            <w:pPr>
              <w:spacing w:before="60" w:after="60"/>
              <w:jc w:val="left"/>
              <w:rPr>
                <w:rFonts w:eastAsiaTheme="minorEastAsia"/>
                <w:sz w:val="18"/>
                <w:szCs w:val="18"/>
                <w:lang w:eastAsia="ja-JP"/>
              </w:rPr>
            </w:pPr>
            <w:r>
              <w:rPr>
                <w:sz w:val="18"/>
                <w:szCs w:val="18"/>
              </w:rPr>
              <w:t>30-60%</w:t>
            </w:r>
          </w:p>
        </w:tc>
      </w:tr>
    </w:tbl>
    <w:p w:rsidR="000D53EA" w:rsidRDefault="00081B06">
      <w:pPr>
        <w:jc w:val="left"/>
      </w:pPr>
      <w:r>
        <w:t>The costs of treatment are summarised in</w:t>
      </w:r>
      <w:r w:rsidR="00B5021D">
        <w:t xml:space="preserve"> the table</w:t>
      </w:r>
      <w:r>
        <w:t xml:space="preserve"> below. It should be noted that the average cost of treatment in Australia is around $700 per tonne of dry </w:t>
      </w:r>
      <w:proofErr w:type="spellStart"/>
      <w:r>
        <w:t>biosolids</w:t>
      </w:r>
      <w:proofErr w:type="spellEnd"/>
      <w:r>
        <w:t>.</w:t>
      </w:r>
    </w:p>
    <w:p w:rsidR="000D53EA" w:rsidRDefault="00081B06">
      <w:pPr>
        <w:pStyle w:val="TableHeading"/>
        <w:jc w:val="left"/>
      </w:pPr>
      <w:r>
        <w:lastRenderedPageBreak/>
        <w:t xml:space="preserve">Cost of </w:t>
      </w:r>
      <w:proofErr w:type="spellStart"/>
      <w:r>
        <w:t>biosolids</w:t>
      </w:r>
      <w:proofErr w:type="spellEnd"/>
      <w:r>
        <w:t xml:space="preserve"> treatment</w:t>
      </w:r>
    </w:p>
    <w:tbl>
      <w:tblPr>
        <w:tblStyle w:val="TableGrid"/>
        <w:tblW w:w="0" w:type="auto"/>
        <w:tblLook w:val="04A0"/>
      </w:tblPr>
      <w:tblGrid>
        <w:gridCol w:w="2999"/>
        <w:gridCol w:w="2999"/>
        <w:gridCol w:w="2999"/>
      </w:tblGrid>
      <w:tr w:rsidR="00081B06" w:rsidRPr="009D60EF" w:rsidTr="00081B06">
        <w:tc>
          <w:tcPr>
            <w:tcW w:w="2999" w:type="dxa"/>
          </w:tcPr>
          <w:p w:rsidR="000D53EA" w:rsidRDefault="00081B06">
            <w:pPr>
              <w:keepNext/>
              <w:keepLines/>
              <w:spacing w:before="60" w:after="60"/>
              <w:jc w:val="left"/>
              <w:rPr>
                <w:rFonts w:eastAsiaTheme="minorEastAsia"/>
                <w:b/>
                <w:sz w:val="18"/>
                <w:szCs w:val="18"/>
                <w:lang w:eastAsia="ja-JP"/>
              </w:rPr>
            </w:pPr>
            <w:r>
              <w:rPr>
                <w:b/>
                <w:sz w:val="18"/>
                <w:szCs w:val="18"/>
              </w:rPr>
              <w:t>Treatment step</w:t>
            </w:r>
          </w:p>
        </w:tc>
        <w:tc>
          <w:tcPr>
            <w:tcW w:w="2999" w:type="dxa"/>
          </w:tcPr>
          <w:p w:rsidR="000D53EA" w:rsidRDefault="00081B06">
            <w:pPr>
              <w:keepNext/>
              <w:keepLines/>
              <w:spacing w:before="60" w:after="60"/>
              <w:jc w:val="left"/>
              <w:rPr>
                <w:rFonts w:eastAsiaTheme="minorEastAsia"/>
                <w:b/>
                <w:sz w:val="18"/>
                <w:szCs w:val="18"/>
                <w:lang w:eastAsia="ja-JP"/>
              </w:rPr>
            </w:pPr>
            <w:r>
              <w:rPr>
                <w:b/>
                <w:sz w:val="18"/>
                <w:szCs w:val="18"/>
              </w:rPr>
              <w:t>Cost per tonne processed (dry)</w:t>
            </w:r>
          </w:p>
        </w:tc>
        <w:tc>
          <w:tcPr>
            <w:tcW w:w="2999" w:type="dxa"/>
          </w:tcPr>
          <w:p w:rsidR="000D53EA" w:rsidRDefault="00081B06">
            <w:pPr>
              <w:keepNext/>
              <w:keepLines/>
              <w:spacing w:before="60" w:after="60"/>
              <w:jc w:val="left"/>
              <w:rPr>
                <w:rFonts w:eastAsiaTheme="minorEastAsia"/>
                <w:b/>
                <w:sz w:val="18"/>
                <w:szCs w:val="18"/>
                <w:lang w:eastAsia="ja-JP"/>
              </w:rPr>
            </w:pPr>
            <w:r>
              <w:rPr>
                <w:b/>
                <w:sz w:val="18"/>
                <w:szCs w:val="18"/>
              </w:rPr>
              <w:t>National annual cost</w:t>
            </w:r>
          </w:p>
        </w:tc>
      </w:tr>
      <w:tr w:rsidR="00081B06" w:rsidRPr="009D60EF" w:rsidTr="00081B06">
        <w:tc>
          <w:tcPr>
            <w:tcW w:w="2999" w:type="dxa"/>
          </w:tcPr>
          <w:p w:rsidR="000D53EA" w:rsidRDefault="00081B06">
            <w:pPr>
              <w:keepNext/>
              <w:keepLines/>
              <w:spacing w:before="60" w:after="60"/>
              <w:jc w:val="left"/>
              <w:rPr>
                <w:rFonts w:eastAsiaTheme="minorEastAsia"/>
                <w:sz w:val="18"/>
                <w:szCs w:val="18"/>
                <w:lang w:eastAsia="ja-JP"/>
              </w:rPr>
            </w:pPr>
            <w:r>
              <w:rPr>
                <w:sz w:val="18"/>
                <w:szCs w:val="18"/>
              </w:rPr>
              <w:t>Dewatering</w:t>
            </w:r>
          </w:p>
        </w:tc>
        <w:tc>
          <w:tcPr>
            <w:tcW w:w="2999" w:type="dxa"/>
          </w:tcPr>
          <w:p w:rsidR="000D53EA" w:rsidRDefault="00081B06">
            <w:pPr>
              <w:keepNext/>
              <w:keepLines/>
              <w:spacing w:before="60" w:after="60"/>
              <w:jc w:val="left"/>
              <w:rPr>
                <w:rFonts w:eastAsiaTheme="minorEastAsia"/>
                <w:sz w:val="18"/>
                <w:szCs w:val="18"/>
                <w:lang w:eastAsia="ja-JP"/>
              </w:rPr>
            </w:pPr>
            <w:r>
              <w:rPr>
                <w:sz w:val="18"/>
                <w:szCs w:val="18"/>
              </w:rPr>
              <w:t>$100-300</w:t>
            </w:r>
          </w:p>
        </w:tc>
        <w:tc>
          <w:tcPr>
            <w:tcW w:w="2999" w:type="dxa"/>
          </w:tcPr>
          <w:p w:rsidR="000D53EA" w:rsidRDefault="00081B06">
            <w:pPr>
              <w:keepNext/>
              <w:keepLines/>
              <w:spacing w:before="60" w:after="60"/>
              <w:jc w:val="left"/>
              <w:rPr>
                <w:rFonts w:eastAsiaTheme="minorEastAsia"/>
                <w:sz w:val="18"/>
                <w:szCs w:val="18"/>
                <w:lang w:eastAsia="ja-JP"/>
              </w:rPr>
            </w:pPr>
            <w:r>
              <w:rPr>
                <w:sz w:val="18"/>
                <w:szCs w:val="18"/>
              </w:rPr>
              <w:t>$50 million</w:t>
            </w:r>
          </w:p>
        </w:tc>
      </w:tr>
      <w:tr w:rsidR="00081B06" w:rsidRPr="009D60EF" w:rsidTr="00081B06">
        <w:tc>
          <w:tcPr>
            <w:tcW w:w="2999" w:type="dxa"/>
          </w:tcPr>
          <w:p w:rsidR="000D53EA" w:rsidRDefault="00081B06">
            <w:pPr>
              <w:keepNext/>
              <w:keepLines/>
              <w:spacing w:before="60" w:after="60"/>
              <w:jc w:val="left"/>
              <w:rPr>
                <w:rFonts w:eastAsiaTheme="minorEastAsia"/>
                <w:sz w:val="18"/>
                <w:szCs w:val="18"/>
                <w:lang w:eastAsia="ja-JP"/>
              </w:rPr>
            </w:pPr>
            <w:r>
              <w:rPr>
                <w:sz w:val="18"/>
                <w:szCs w:val="18"/>
              </w:rPr>
              <w:t>Stabilisation</w:t>
            </w:r>
          </w:p>
        </w:tc>
        <w:tc>
          <w:tcPr>
            <w:tcW w:w="2999" w:type="dxa"/>
          </w:tcPr>
          <w:p w:rsidR="000D53EA" w:rsidRDefault="00081B06">
            <w:pPr>
              <w:keepNext/>
              <w:keepLines/>
              <w:spacing w:before="60" w:after="60"/>
              <w:jc w:val="left"/>
              <w:rPr>
                <w:rFonts w:eastAsiaTheme="minorEastAsia"/>
                <w:sz w:val="18"/>
                <w:szCs w:val="18"/>
                <w:lang w:eastAsia="ja-JP"/>
              </w:rPr>
            </w:pPr>
            <w:r>
              <w:rPr>
                <w:sz w:val="18"/>
                <w:szCs w:val="18"/>
              </w:rPr>
              <w:t>$300-1000</w:t>
            </w:r>
          </w:p>
        </w:tc>
        <w:tc>
          <w:tcPr>
            <w:tcW w:w="2999" w:type="dxa"/>
          </w:tcPr>
          <w:p w:rsidR="000D53EA" w:rsidRDefault="00081B06">
            <w:pPr>
              <w:keepNext/>
              <w:keepLines/>
              <w:spacing w:before="60" w:after="60"/>
              <w:jc w:val="left"/>
              <w:rPr>
                <w:rFonts w:eastAsiaTheme="minorEastAsia"/>
                <w:sz w:val="18"/>
                <w:szCs w:val="18"/>
                <w:lang w:eastAsia="ja-JP"/>
              </w:rPr>
            </w:pPr>
            <w:r>
              <w:rPr>
                <w:sz w:val="18"/>
                <w:szCs w:val="18"/>
              </w:rPr>
              <w:t>$150 million</w:t>
            </w:r>
          </w:p>
        </w:tc>
      </w:tr>
      <w:tr w:rsidR="00081B06" w:rsidRPr="009D60EF" w:rsidTr="00081B06">
        <w:tc>
          <w:tcPr>
            <w:tcW w:w="2999" w:type="dxa"/>
          </w:tcPr>
          <w:p w:rsidR="000D53EA" w:rsidRDefault="00081B06">
            <w:pPr>
              <w:keepNext/>
              <w:keepLines/>
              <w:spacing w:before="60" w:after="60"/>
              <w:jc w:val="left"/>
              <w:rPr>
                <w:rFonts w:eastAsiaTheme="minorEastAsia"/>
                <w:sz w:val="18"/>
                <w:szCs w:val="18"/>
                <w:lang w:eastAsia="ja-JP"/>
              </w:rPr>
            </w:pPr>
            <w:r>
              <w:rPr>
                <w:sz w:val="18"/>
                <w:szCs w:val="18"/>
              </w:rPr>
              <w:t>Storage</w:t>
            </w:r>
          </w:p>
        </w:tc>
        <w:tc>
          <w:tcPr>
            <w:tcW w:w="2999" w:type="dxa"/>
          </w:tcPr>
          <w:p w:rsidR="000D53EA" w:rsidRDefault="00081B06">
            <w:pPr>
              <w:keepNext/>
              <w:keepLines/>
              <w:spacing w:before="60" w:after="60"/>
              <w:jc w:val="left"/>
              <w:rPr>
                <w:rFonts w:eastAsiaTheme="minorEastAsia"/>
                <w:sz w:val="18"/>
                <w:szCs w:val="18"/>
                <w:lang w:eastAsia="ja-JP"/>
              </w:rPr>
            </w:pPr>
            <w:r>
              <w:rPr>
                <w:sz w:val="18"/>
                <w:szCs w:val="18"/>
              </w:rPr>
              <w:t>$20-50</w:t>
            </w:r>
          </w:p>
        </w:tc>
        <w:tc>
          <w:tcPr>
            <w:tcW w:w="2999" w:type="dxa"/>
          </w:tcPr>
          <w:p w:rsidR="000D53EA" w:rsidRDefault="00081B06">
            <w:pPr>
              <w:keepNext/>
              <w:keepLines/>
              <w:spacing w:before="60" w:after="60"/>
              <w:jc w:val="left"/>
              <w:rPr>
                <w:rFonts w:eastAsiaTheme="minorEastAsia"/>
                <w:sz w:val="18"/>
                <w:szCs w:val="18"/>
                <w:lang w:eastAsia="ja-JP"/>
              </w:rPr>
            </w:pPr>
            <w:r>
              <w:rPr>
                <w:sz w:val="18"/>
                <w:szCs w:val="18"/>
              </w:rPr>
              <w:t>$15 million</w:t>
            </w:r>
          </w:p>
        </w:tc>
      </w:tr>
      <w:tr w:rsidR="00081B06" w:rsidRPr="00FA3278" w:rsidTr="00081B06">
        <w:tc>
          <w:tcPr>
            <w:tcW w:w="2999" w:type="dxa"/>
          </w:tcPr>
          <w:p w:rsidR="000D53EA" w:rsidRDefault="00081B06">
            <w:pPr>
              <w:keepNext/>
              <w:keepLines/>
              <w:spacing w:before="60" w:after="60"/>
              <w:jc w:val="left"/>
              <w:rPr>
                <w:rFonts w:eastAsiaTheme="minorEastAsia"/>
                <w:b/>
                <w:sz w:val="18"/>
                <w:szCs w:val="18"/>
                <w:lang w:eastAsia="ja-JP"/>
              </w:rPr>
            </w:pPr>
            <w:r w:rsidRPr="00FA3278">
              <w:rPr>
                <w:b/>
                <w:sz w:val="18"/>
                <w:szCs w:val="18"/>
              </w:rPr>
              <w:t>Total treatment</w:t>
            </w:r>
          </w:p>
        </w:tc>
        <w:tc>
          <w:tcPr>
            <w:tcW w:w="2999" w:type="dxa"/>
          </w:tcPr>
          <w:p w:rsidR="000D53EA" w:rsidRDefault="00081B06">
            <w:pPr>
              <w:keepNext/>
              <w:keepLines/>
              <w:spacing w:before="60" w:after="60"/>
              <w:jc w:val="left"/>
              <w:rPr>
                <w:rFonts w:eastAsiaTheme="minorEastAsia"/>
                <w:b/>
                <w:sz w:val="18"/>
                <w:szCs w:val="18"/>
                <w:lang w:eastAsia="ja-JP"/>
              </w:rPr>
            </w:pPr>
            <w:r w:rsidRPr="00FA3278">
              <w:rPr>
                <w:b/>
                <w:sz w:val="18"/>
                <w:szCs w:val="18"/>
              </w:rPr>
              <w:t>$400-1500</w:t>
            </w:r>
          </w:p>
        </w:tc>
        <w:tc>
          <w:tcPr>
            <w:tcW w:w="2999" w:type="dxa"/>
          </w:tcPr>
          <w:p w:rsidR="000D53EA" w:rsidRDefault="00081B06">
            <w:pPr>
              <w:keepNext/>
              <w:keepLines/>
              <w:spacing w:before="60" w:after="60"/>
              <w:jc w:val="left"/>
              <w:rPr>
                <w:rFonts w:eastAsiaTheme="minorEastAsia"/>
                <w:b/>
                <w:sz w:val="18"/>
                <w:szCs w:val="18"/>
                <w:lang w:eastAsia="ja-JP"/>
              </w:rPr>
            </w:pPr>
            <w:r w:rsidRPr="00FA3278">
              <w:rPr>
                <w:b/>
                <w:sz w:val="18"/>
                <w:szCs w:val="18"/>
              </w:rPr>
              <w:t>$215 million</w:t>
            </w:r>
          </w:p>
        </w:tc>
      </w:tr>
    </w:tbl>
    <w:p w:rsidR="000D53EA" w:rsidRDefault="00081B06">
      <w:pPr>
        <w:jc w:val="left"/>
      </w:pPr>
      <w:r>
        <w:t xml:space="preserve">The </w:t>
      </w:r>
      <w:proofErr w:type="gramStart"/>
      <w:r>
        <w:t>cost of beneficial use</w:t>
      </w:r>
      <w:proofErr w:type="gramEnd"/>
      <w:r>
        <w:t xml:space="preserve"> makes up anywhere between about 30</w:t>
      </w:r>
      <w:r w:rsidR="00E429D1">
        <w:t>–</w:t>
      </w:r>
      <w:r>
        <w:t xml:space="preserve">90% of the total cost of </w:t>
      </w:r>
      <w:proofErr w:type="spellStart"/>
      <w:r>
        <w:t>biosolids</w:t>
      </w:r>
      <w:proofErr w:type="spellEnd"/>
      <w:r>
        <w:t xml:space="preserve"> management, depending on the type of sewage treatment process and the location of the end use. The most common end use in Australia is application to agricultural land, followed by landscaping and soil amendment after </w:t>
      </w:r>
      <w:proofErr w:type="spellStart"/>
      <w:r w:rsidR="00286CC7">
        <w:t>biosolids</w:t>
      </w:r>
      <w:proofErr w:type="spellEnd"/>
      <w:r w:rsidR="00286CC7">
        <w:t xml:space="preserve"> are</w:t>
      </w:r>
      <w:r>
        <w:t xml:space="preserve"> composted.</w:t>
      </w:r>
    </w:p>
    <w:p w:rsidR="000D53EA" w:rsidRDefault="00081B06">
      <w:pPr>
        <w:jc w:val="left"/>
      </w:pPr>
      <w:r>
        <w:t xml:space="preserve">The breakdown of typical beneficial use costs are given below.  It should be noted that the average cost of beneficial use is about $300 per tonne of dry </w:t>
      </w:r>
      <w:proofErr w:type="spellStart"/>
      <w:r>
        <w:t>biosolids</w:t>
      </w:r>
      <w:proofErr w:type="spellEnd"/>
      <w:r>
        <w:t>.</w:t>
      </w:r>
    </w:p>
    <w:p w:rsidR="000D53EA" w:rsidRDefault="00081B06">
      <w:pPr>
        <w:pStyle w:val="TableHeading"/>
        <w:jc w:val="left"/>
      </w:pPr>
      <w:r>
        <w:t xml:space="preserve">Cost of </w:t>
      </w:r>
      <w:proofErr w:type="spellStart"/>
      <w:r>
        <w:t>biosolids</w:t>
      </w:r>
      <w:proofErr w:type="spellEnd"/>
      <w:r>
        <w:t xml:space="preserve"> beneficial use</w:t>
      </w:r>
    </w:p>
    <w:tbl>
      <w:tblPr>
        <w:tblStyle w:val="TableGrid"/>
        <w:tblW w:w="0" w:type="auto"/>
        <w:tblLook w:val="04A0"/>
      </w:tblPr>
      <w:tblGrid>
        <w:gridCol w:w="2999"/>
        <w:gridCol w:w="2999"/>
        <w:gridCol w:w="2999"/>
      </w:tblGrid>
      <w:tr w:rsidR="00081B06" w:rsidRPr="009D60EF" w:rsidTr="00081B06">
        <w:tc>
          <w:tcPr>
            <w:tcW w:w="2999" w:type="dxa"/>
          </w:tcPr>
          <w:p w:rsidR="000D53EA" w:rsidRDefault="00081B06">
            <w:pPr>
              <w:spacing w:before="60" w:after="60"/>
              <w:jc w:val="left"/>
              <w:rPr>
                <w:rFonts w:eastAsiaTheme="minorEastAsia"/>
                <w:b/>
                <w:sz w:val="18"/>
                <w:szCs w:val="18"/>
                <w:lang w:eastAsia="ja-JP"/>
              </w:rPr>
            </w:pPr>
            <w:r>
              <w:rPr>
                <w:b/>
                <w:sz w:val="18"/>
                <w:szCs w:val="18"/>
              </w:rPr>
              <w:t xml:space="preserve">Beneficial use </w:t>
            </w:r>
          </w:p>
        </w:tc>
        <w:tc>
          <w:tcPr>
            <w:tcW w:w="2999" w:type="dxa"/>
          </w:tcPr>
          <w:p w:rsidR="000D53EA" w:rsidRDefault="00081B06">
            <w:pPr>
              <w:spacing w:before="60" w:after="60"/>
              <w:jc w:val="left"/>
              <w:rPr>
                <w:rFonts w:eastAsiaTheme="minorEastAsia"/>
                <w:b/>
                <w:sz w:val="18"/>
                <w:szCs w:val="18"/>
                <w:lang w:eastAsia="ja-JP"/>
              </w:rPr>
            </w:pPr>
            <w:r>
              <w:rPr>
                <w:b/>
                <w:sz w:val="18"/>
                <w:szCs w:val="18"/>
              </w:rPr>
              <w:t>Cost per tonne used (dry)</w:t>
            </w:r>
          </w:p>
        </w:tc>
        <w:tc>
          <w:tcPr>
            <w:tcW w:w="2999" w:type="dxa"/>
          </w:tcPr>
          <w:p w:rsidR="000D53EA" w:rsidRDefault="00081B06">
            <w:pPr>
              <w:spacing w:before="60" w:after="60"/>
              <w:jc w:val="left"/>
              <w:rPr>
                <w:rFonts w:eastAsiaTheme="minorEastAsia"/>
                <w:b/>
                <w:sz w:val="18"/>
                <w:szCs w:val="18"/>
                <w:lang w:eastAsia="ja-JP"/>
              </w:rPr>
            </w:pPr>
            <w:r>
              <w:rPr>
                <w:b/>
                <w:sz w:val="18"/>
                <w:szCs w:val="18"/>
              </w:rPr>
              <w:t>National annual cost</w:t>
            </w:r>
          </w:p>
        </w:tc>
      </w:tr>
      <w:tr w:rsidR="00081B06" w:rsidRPr="009D60EF" w:rsidTr="00081B06">
        <w:tc>
          <w:tcPr>
            <w:tcW w:w="2999" w:type="dxa"/>
          </w:tcPr>
          <w:p w:rsidR="000D53EA" w:rsidRDefault="00081B06">
            <w:pPr>
              <w:spacing w:before="60" w:after="60"/>
              <w:jc w:val="left"/>
              <w:rPr>
                <w:rFonts w:eastAsiaTheme="minorEastAsia"/>
                <w:sz w:val="18"/>
                <w:szCs w:val="18"/>
                <w:lang w:eastAsia="ja-JP"/>
              </w:rPr>
            </w:pPr>
            <w:r>
              <w:rPr>
                <w:sz w:val="18"/>
                <w:szCs w:val="18"/>
              </w:rPr>
              <w:t>Transport</w:t>
            </w:r>
          </w:p>
        </w:tc>
        <w:tc>
          <w:tcPr>
            <w:tcW w:w="2999" w:type="dxa"/>
          </w:tcPr>
          <w:p w:rsidR="000D53EA" w:rsidRDefault="00081B06">
            <w:pPr>
              <w:spacing w:before="60" w:after="60"/>
              <w:jc w:val="left"/>
              <w:rPr>
                <w:rFonts w:eastAsiaTheme="minorEastAsia"/>
                <w:sz w:val="18"/>
                <w:szCs w:val="18"/>
                <w:lang w:eastAsia="ja-JP"/>
              </w:rPr>
            </w:pPr>
            <w:r>
              <w:rPr>
                <w:sz w:val="18"/>
                <w:szCs w:val="18"/>
              </w:rPr>
              <w:t>$100-300</w:t>
            </w:r>
          </w:p>
        </w:tc>
        <w:tc>
          <w:tcPr>
            <w:tcW w:w="2999" w:type="dxa"/>
          </w:tcPr>
          <w:p w:rsidR="000D53EA" w:rsidRDefault="00081B06">
            <w:pPr>
              <w:spacing w:before="60" w:after="60"/>
              <w:jc w:val="left"/>
              <w:rPr>
                <w:rFonts w:eastAsiaTheme="minorEastAsia"/>
                <w:sz w:val="18"/>
                <w:szCs w:val="18"/>
                <w:lang w:eastAsia="ja-JP"/>
              </w:rPr>
            </w:pPr>
            <w:r>
              <w:rPr>
                <w:sz w:val="18"/>
                <w:szCs w:val="18"/>
              </w:rPr>
              <w:t>$60 million</w:t>
            </w:r>
          </w:p>
        </w:tc>
      </w:tr>
      <w:tr w:rsidR="00081B06" w:rsidRPr="009D60EF" w:rsidTr="00081B06">
        <w:tc>
          <w:tcPr>
            <w:tcW w:w="2999" w:type="dxa"/>
          </w:tcPr>
          <w:p w:rsidR="000D53EA" w:rsidRDefault="00081B06">
            <w:pPr>
              <w:spacing w:before="60" w:after="60"/>
              <w:jc w:val="left"/>
              <w:rPr>
                <w:rFonts w:eastAsiaTheme="minorEastAsia"/>
                <w:sz w:val="18"/>
                <w:szCs w:val="18"/>
                <w:lang w:eastAsia="ja-JP"/>
              </w:rPr>
            </w:pPr>
            <w:r>
              <w:rPr>
                <w:sz w:val="18"/>
                <w:szCs w:val="18"/>
              </w:rPr>
              <w:t>Spreading and incorporation</w:t>
            </w:r>
          </w:p>
        </w:tc>
        <w:tc>
          <w:tcPr>
            <w:tcW w:w="2999" w:type="dxa"/>
          </w:tcPr>
          <w:p w:rsidR="000D53EA" w:rsidRDefault="00081B06">
            <w:pPr>
              <w:spacing w:before="60" w:after="60"/>
              <w:jc w:val="left"/>
              <w:rPr>
                <w:rFonts w:eastAsiaTheme="minorEastAsia"/>
                <w:sz w:val="18"/>
                <w:szCs w:val="18"/>
                <w:lang w:eastAsia="ja-JP"/>
              </w:rPr>
            </w:pPr>
            <w:r>
              <w:rPr>
                <w:sz w:val="18"/>
                <w:szCs w:val="18"/>
              </w:rPr>
              <w:t>$40-150</w:t>
            </w:r>
          </w:p>
        </w:tc>
        <w:tc>
          <w:tcPr>
            <w:tcW w:w="2999" w:type="dxa"/>
          </w:tcPr>
          <w:p w:rsidR="000D53EA" w:rsidRDefault="00081B06">
            <w:pPr>
              <w:spacing w:before="60" w:after="60"/>
              <w:jc w:val="left"/>
              <w:rPr>
                <w:rFonts w:eastAsiaTheme="minorEastAsia"/>
                <w:sz w:val="18"/>
                <w:szCs w:val="18"/>
                <w:lang w:eastAsia="ja-JP"/>
              </w:rPr>
            </w:pPr>
            <w:r>
              <w:rPr>
                <w:sz w:val="18"/>
                <w:szCs w:val="18"/>
              </w:rPr>
              <w:t>$30 million</w:t>
            </w:r>
          </w:p>
        </w:tc>
      </w:tr>
      <w:tr w:rsidR="00081B06" w:rsidRPr="009D60EF" w:rsidTr="00081B06">
        <w:tc>
          <w:tcPr>
            <w:tcW w:w="2999" w:type="dxa"/>
          </w:tcPr>
          <w:p w:rsidR="000D53EA" w:rsidRDefault="00081B06">
            <w:pPr>
              <w:spacing w:before="60" w:after="60"/>
              <w:jc w:val="left"/>
              <w:rPr>
                <w:rFonts w:eastAsiaTheme="minorEastAsia"/>
                <w:sz w:val="18"/>
                <w:szCs w:val="18"/>
                <w:lang w:eastAsia="ja-JP"/>
              </w:rPr>
            </w:pPr>
            <w:r>
              <w:rPr>
                <w:sz w:val="18"/>
                <w:szCs w:val="18"/>
              </w:rPr>
              <w:t>Storage</w:t>
            </w:r>
          </w:p>
        </w:tc>
        <w:tc>
          <w:tcPr>
            <w:tcW w:w="2999" w:type="dxa"/>
          </w:tcPr>
          <w:p w:rsidR="000D53EA" w:rsidRDefault="00081B06">
            <w:pPr>
              <w:spacing w:before="60" w:after="60"/>
              <w:jc w:val="left"/>
              <w:rPr>
                <w:rFonts w:eastAsiaTheme="minorEastAsia"/>
                <w:sz w:val="18"/>
                <w:szCs w:val="18"/>
                <w:lang w:eastAsia="ja-JP"/>
              </w:rPr>
            </w:pPr>
            <w:r>
              <w:rPr>
                <w:sz w:val="18"/>
                <w:szCs w:val="18"/>
              </w:rPr>
              <w:t>$20-30</w:t>
            </w:r>
          </w:p>
        </w:tc>
        <w:tc>
          <w:tcPr>
            <w:tcW w:w="2999" w:type="dxa"/>
          </w:tcPr>
          <w:p w:rsidR="000D53EA" w:rsidRDefault="00081B06">
            <w:pPr>
              <w:spacing w:before="60" w:after="60"/>
              <w:jc w:val="left"/>
              <w:rPr>
                <w:rFonts w:eastAsiaTheme="minorEastAsia"/>
                <w:sz w:val="18"/>
                <w:szCs w:val="18"/>
                <w:lang w:eastAsia="ja-JP"/>
              </w:rPr>
            </w:pPr>
            <w:r>
              <w:rPr>
                <w:sz w:val="18"/>
                <w:szCs w:val="18"/>
              </w:rPr>
              <w:t>$8 million</w:t>
            </w:r>
          </w:p>
        </w:tc>
      </w:tr>
      <w:tr w:rsidR="00081B06" w:rsidRPr="009D60EF" w:rsidTr="00081B06">
        <w:tc>
          <w:tcPr>
            <w:tcW w:w="2999" w:type="dxa"/>
          </w:tcPr>
          <w:p w:rsidR="000D53EA" w:rsidRDefault="00081B06">
            <w:pPr>
              <w:spacing w:before="60" w:after="60"/>
              <w:jc w:val="left"/>
              <w:rPr>
                <w:rFonts w:eastAsiaTheme="minorEastAsia"/>
                <w:sz w:val="18"/>
                <w:szCs w:val="18"/>
                <w:lang w:eastAsia="ja-JP"/>
              </w:rPr>
            </w:pPr>
            <w:r>
              <w:rPr>
                <w:sz w:val="18"/>
                <w:szCs w:val="18"/>
              </w:rPr>
              <w:t>Sampling and monitoring</w:t>
            </w:r>
          </w:p>
        </w:tc>
        <w:tc>
          <w:tcPr>
            <w:tcW w:w="2999" w:type="dxa"/>
          </w:tcPr>
          <w:p w:rsidR="000D53EA" w:rsidRDefault="00081B06">
            <w:pPr>
              <w:spacing w:before="60" w:after="60"/>
              <w:jc w:val="left"/>
              <w:rPr>
                <w:rFonts w:eastAsiaTheme="minorEastAsia"/>
                <w:sz w:val="18"/>
                <w:szCs w:val="18"/>
                <w:lang w:eastAsia="ja-JP"/>
              </w:rPr>
            </w:pPr>
            <w:r>
              <w:rPr>
                <w:sz w:val="18"/>
                <w:szCs w:val="18"/>
              </w:rPr>
              <w:t>$10</w:t>
            </w:r>
          </w:p>
        </w:tc>
        <w:tc>
          <w:tcPr>
            <w:tcW w:w="2999" w:type="dxa"/>
          </w:tcPr>
          <w:p w:rsidR="000D53EA" w:rsidRDefault="00081B06">
            <w:pPr>
              <w:spacing w:before="60" w:after="60"/>
              <w:jc w:val="left"/>
              <w:rPr>
                <w:rFonts w:eastAsiaTheme="minorEastAsia"/>
                <w:sz w:val="18"/>
                <w:szCs w:val="18"/>
                <w:lang w:eastAsia="ja-JP"/>
              </w:rPr>
            </w:pPr>
            <w:r>
              <w:rPr>
                <w:sz w:val="18"/>
                <w:szCs w:val="18"/>
              </w:rPr>
              <w:t>$3 million</w:t>
            </w:r>
          </w:p>
        </w:tc>
      </w:tr>
      <w:tr w:rsidR="00081B06" w:rsidRPr="009D60EF" w:rsidTr="00081B06">
        <w:tc>
          <w:tcPr>
            <w:tcW w:w="2999" w:type="dxa"/>
          </w:tcPr>
          <w:p w:rsidR="000D53EA" w:rsidRDefault="00CC074C">
            <w:pPr>
              <w:spacing w:before="60" w:after="60"/>
              <w:jc w:val="left"/>
              <w:rPr>
                <w:b/>
                <w:sz w:val="18"/>
                <w:szCs w:val="18"/>
              </w:rPr>
            </w:pPr>
            <w:r w:rsidRPr="00CC074C">
              <w:rPr>
                <w:b/>
                <w:sz w:val="18"/>
                <w:szCs w:val="18"/>
              </w:rPr>
              <w:t>Total beneficial use</w:t>
            </w:r>
          </w:p>
        </w:tc>
        <w:tc>
          <w:tcPr>
            <w:tcW w:w="2999" w:type="dxa"/>
          </w:tcPr>
          <w:p w:rsidR="000D53EA" w:rsidRDefault="00CC074C">
            <w:pPr>
              <w:spacing w:before="60" w:after="60"/>
              <w:jc w:val="left"/>
              <w:rPr>
                <w:b/>
                <w:sz w:val="18"/>
                <w:szCs w:val="18"/>
              </w:rPr>
            </w:pPr>
            <w:r w:rsidRPr="00CC074C">
              <w:rPr>
                <w:b/>
                <w:sz w:val="18"/>
                <w:szCs w:val="18"/>
              </w:rPr>
              <w:t>$150-500</w:t>
            </w:r>
          </w:p>
        </w:tc>
        <w:tc>
          <w:tcPr>
            <w:tcW w:w="2999" w:type="dxa"/>
          </w:tcPr>
          <w:p w:rsidR="000D53EA" w:rsidRDefault="00CC074C">
            <w:pPr>
              <w:spacing w:before="60" w:after="60"/>
              <w:jc w:val="left"/>
              <w:rPr>
                <w:b/>
                <w:sz w:val="18"/>
                <w:szCs w:val="18"/>
              </w:rPr>
            </w:pPr>
            <w:r w:rsidRPr="00CC074C">
              <w:rPr>
                <w:b/>
                <w:sz w:val="18"/>
                <w:szCs w:val="18"/>
              </w:rPr>
              <w:t>$100 million</w:t>
            </w:r>
          </w:p>
        </w:tc>
      </w:tr>
    </w:tbl>
    <w:p w:rsidR="000D53EA" w:rsidRDefault="00081B06">
      <w:pPr>
        <w:pStyle w:val="Heading2"/>
        <w:numPr>
          <w:ilvl w:val="0"/>
          <w:numId w:val="0"/>
        </w:numPr>
        <w:jc w:val="left"/>
      </w:pPr>
      <w:bookmarkStart w:id="8" w:name="_Toc326747438"/>
      <w:r>
        <w:t xml:space="preserve">Value of </w:t>
      </w:r>
      <w:proofErr w:type="spellStart"/>
      <w:r>
        <w:t>biosolids</w:t>
      </w:r>
      <w:bookmarkEnd w:id="8"/>
      <w:proofErr w:type="spellEnd"/>
    </w:p>
    <w:p w:rsidR="000D53EA" w:rsidRDefault="00081B06">
      <w:pPr>
        <w:jc w:val="left"/>
      </w:pPr>
      <w:proofErr w:type="spellStart"/>
      <w:r>
        <w:t>Biosolids</w:t>
      </w:r>
      <w:proofErr w:type="spellEnd"/>
      <w:r>
        <w:t xml:space="preserve"> has value by virtue of its constituents.  The components which give </w:t>
      </w:r>
      <w:proofErr w:type="spellStart"/>
      <w:r>
        <w:t>biosolids</w:t>
      </w:r>
      <w:proofErr w:type="spellEnd"/>
      <w:r>
        <w:t xml:space="preserve"> value are;</w:t>
      </w:r>
    </w:p>
    <w:p w:rsidR="00081B06" w:rsidRDefault="00081B06" w:rsidP="00A35633">
      <w:pPr>
        <w:pStyle w:val="ListParagraph"/>
        <w:numPr>
          <w:ilvl w:val="0"/>
          <w:numId w:val="13"/>
        </w:numPr>
      </w:pPr>
      <w:r>
        <w:t>nutrients</w:t>
      </w:r>
    </w:p>
    <w:p w:rsidR="00081B06" w:rsidRDefault="00081B06" w:rsidP="00A35633">
      <w:pPr>
        <w:pStyle w:val="ListParagraph"/>
        <w:numPr>
          <w:ilvl w:val="0"/>
          <w:numId w:val="13"/>
        </w:numPr>
      </w:pPr>
      <w:r>
        <w:t>organic matter</w:t>
      </w:r>
    </w:p>
    <w:p w:rsidR="00081B06" w:rsidRDefault="00081B06" w:rsidP="00A35633">
      <w:pPr>
        <w:pStyle w:val="ListParagraph"/>
        <w:numPr>
          <w:ilvl w:val="0"/>
          <w:numId w:val="13"/>
        </w:numPr>
      </w:pPr>
      <w:r>
        <w:t>inorganic matter</w:t>
      </w:r>
    </w:p>
    <w:p w:rsidR="00081B06" w:rsidRDefault="00081B06" w:rsidP="00A35633">
      <w:pPr>
        <w:pStyle w:val="ListParagraph"/>
        <w:numPr>
          <w:ilvl w:val="0"/>
          <w:numId w:val="13"/>
        </w:numPr>
      </w:pPr>
      <w:r>
        <w:t>trace metals</w:t>
      </w:r>
    </w:p>
    <w:p w:rsidR="000D53EA" w:rsidRDefault="00081B06">
      <w:pPr>
        <w:jc w:val="left"/>
      </w:pPr>
      <w:r>
        <w:t xml:space="preserve">The current and future value of </w:t>
      </w:r>
      <w:proofErr w:type="spellStart"/>
      <w:r>
        <w:t>biosolids</w:t>
      </w:r>
      <w:proofErr w:type="spellEnd"/>
      <w:r>
        <w:t xml:space="preserve"> based on the key value characteristics are summarised in below. This shows that the likely value of </w:t>
      </w:r>
      <w:proofErr w:type="spellStart"/>
      <w:r>
        <w:t>biosolids</w:t>
      </w:r>
      <w:proofErr w:type="spellEnd"/>
      <w:r>
        <w:t xml:space="preserve"> will </w:t>
      </w:r>
      <w:r w:rsidR="00400DCE">
        <w:t xml:space="preserve">likely </w:t>
      </w:r>
      <w:r>
        <w:t>increase significantly over the next 10</w:t>
      </w:r>
      <w:r w:rsidR="00D96FB8">
        <w:t>–</w:t>
      </w:r>
      <w:r>
        <w:t xml:space="preserve">20 years if </w:t>
      </w:r>
      <w:r w:rsidR="00400DCE">
        <w:t>Australia</w:t>
      </w:r>
      <w:r>
        <w:t xml:space="preserve"> produces products which meet the market needs.</w:t>
      </w:r>
    </w:p>
    <w:p w:rsidR="000D53EA" w:rsidRDefault="00081B06">
      <w:pPr>
        <w:jc w:val="left"/>
      </w:pPr>
      <w:r>
        <w:t xml:space="preserve">It is essential however that the cost of producing higher value products is assessed as this may exceed the benefits gained. It is also critical to establish a market based approach for products which are potentially of higher value.  </w:t>
      </w:r>
    </w:p>
    <w:p w:rsidR="000D53EA" w:rsidRDefault="00081B06">
      <w:pPr>
        <w:pStyle w:val="TableHeading"/>
        <w:keepLines/>
        <w:jc w:val="left"/>
      </w:pPr>
      <w:r>
        <w:lastRenderedPageBreak/>
        <w:t>Table 10 – Summary of product value</w:t>
      </w:r>
    </w:p>
    <w:tbl>
      <w:tblPr>
        <w:tblW w:w="918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95"/>
        <w:gridCol w:w="2338"/>
        <w:gridCol w:w="1417"/>
        <w:gridCol w:w="1490"/>
        <w:gridCol w:w="1947"/>
      </w:tblGrid>
      <w:tr w:rsidR="00081B06" w:rsidRPr="00FF5C76" w:rsidTr="00081B06">
        <w:trPr>
          <w:trHeight w:val="300"/>
        </w:trPr>
        <w:tc>
          <w:tcPr>
            <w:tcW w:w="1995" w:type="dxa"/>
            <w:shd w:val="clear" w:color="auto" w:fill="auto"/>
            <w:noWrap/>
            <w:vAlign w:val="bottom"/>
          </w:tcPr>
          <w:p w:rsidR="000D53EA" w:rsidRDefault="00081B06">
            <w:pPr>
              <w:pStyle w:val="ReportTableHeading"/>
              <w:keepNext/>
              <w:keepLines/>
              <w:rPr>
                <w:rFonts w:ascii="Times New Roman" w:hAnsi="Times New Roman" w:cs="Times New Roman"/>
                <w:color w:val="auto"/>
              </w:rPr>
            </w:pPr>
            <w:r w:rsidRPr="00FF5C76">
              <w:rPr>
                <w:rFonts w:ascii="Times New Roman" w:hAnsi="Times New Roman" w:cs="Times New Roman"/>
                <w:color w:val="auto"/>
              </w:rPr>
              <w:t>Characteristic</w:t>
            </w:r>
          </w:p>
        </w:tc>
        <w:tc>
          <w:tcPr>
            <w:tcW w:w="2338" w:type="dxa"/>
            <w:shd w:val="clear" w:color="auto" w:fill="auto"/>
            <w:noWrap/>
            <w:vAlign w:val="bottom"/>
          </w:tcPr>
          <w:p w:rsidR="000D53EA" w:rsidRDefault="00081B06">
            <w:pPr>
              <w:pStyle w:val="ReportTableHeading"/>
              <w:keepNext/>
              <w:keepLines/>
              <w:rPr>
                <w:rFonts w:ascii="Times New Roman" w:hAnsi="Times New Roman" w:cs="Times New Roman"/>
                <w:color w:val="auto"/>
              </w:rPr>
            </w:pPr>
            <w:r w:rsidRPr="00FF5C76">
              <w:rPr>
                <w:rFonts w:ascii="Times New Roman" w:hAnsi="Times New Roman" w:cs="Times New Roman"/>
                <w:color w:val="auto"/>
              </w:rPr>
              <w:t>Description</w:t>
            </w:r>
          </w:p>
        </w:tc>
        <w:tc>
          <w:tcPr>
            <w:tcW w:w="1417" w:type="dxa"/>
            <w:shd w:val="clear" w:color="auto" w:fill="auto"/>
            <w:noWrap/>
            <w:vAlign w:val="bottom"/>
          </w:tcPr>
          <w:p w:rsidR="000D53EA" w:rsidRDefault="00081B06">
            <w:pPr>
              <w:pStyle w:val="ReportTableHeading"/>
              <w:keepNext/>
              <w:keepLines/>
              <w:rPr>
                <w:rFonts w:ascii="Times New Roman" w:hAnsi="Times New Roman" w:cs="Times New Roman"/>
                <w:color w:val="auto"/>
              </w:rPr>
            </w:pPr>
            <w:r w:rsidRPr="00FF5C76">
              <w:rPr>
                <w:rFonts w:ascii="Times New Roman" w:hAnsi="Times New Roman" w:cs="Times New Roman"/>
                <w:color w:val="auto"/>
              </w:rPr>
              <w:t>Current value $/tonne</w:t>
            </w:r>
          </w:p>
        </w:tc>
        <w:tc>
          <w:tcPr>
            <w:tcW w:w="1490" w:type="dxa"/>
            <w:shd w:val="clear" w:color="auto" w:fill="auto"/>
            <w:noWrap/>
            <w:vAlign w:val="bottom"/>
          </w:tcPr>
          <w:p w:rsidR="000D53EA" w:rsidRDefault="00081B06">
            <w:pPr>
              <w:pStyle w:val="ReportTableHeading"/>
              <w:keepNext/>
              <w:keepLines/>
              <w:rPr>
                <w:rFonts w:ascii="Times New Roman" w:hAnsi="Times New Roman" w:cs="Times New Roman"/>
                <w:color w:val="auto"/>
                <w:vertAlign w:val="superscript"/>
              </w:rPr>
            </w:pPr>
            <w:r w:rsidRPr="00FF5C76">
              <w:rPr>
                <w:rFonts w:ascii="Times New Roman" w:hAnsi="Times New Roman" w:cs="Times New Roman"/>
                <w:color w:val="auto"/>
              </w:rPr>
              <w:t>Future value $/tonne</w:t>
            </w:r>
          </w:p>
        </w:tc>
        <w:tc>
          <w:tcPr>
            <w:tcW w:w="1947" w:type="dxa"/>
            <w:shd w:val="clear" w:color="auto" w:fill="auto"/>
          </w:tcPr>
          <w:p w:rsidR="000D53EA" w:rsidRDefault="00081B06">
            <w:pPr>
              <w:pStyle w:val="ReportTableHeading"/>
              <w:keepNext/>
              <w:keepLines/>
              <w:rPr>
                <w:rFonts w:ascii="Times New Roman" w:hAnsi="Times New Roman" w:cs="Times New Roman"/>
                <w:color w:val="auto"/>
              </w:rPr>
            </w:pPr>
            <w:r w:rsidRPr="00FF5C76">
              <w:rPr>
                <w:rFonts w:ascii="Times New Roman" w:hAnsi="Times New Roman" w:cs="Times New Roman"/>
                <w:color w:val="auto"/>
              </w:rPr>
              <w:t>Value based on</w:t>
            </w:r>
          </w:p>
        </w:tc>
      </w:tr>
      <w:tr w:rsidR="00081B06" w:rsidRPr="00FF5C76" w:rsidTr="00081B06">
        <w:trPr>
          <w:trHeight w:val="300"/>
        </w:trPr>
        <w:tc>
          <w:tcPr>
            <w:tcW w:w="1995" w:type="dxa"/>
            <w:noWrap/>
            <w:vAlign w:val="bottom"/>
          </w:tcPr>
          <w:p w:rsidR="000D53EA" w:rsidRDefault="00081B06">
            <w:pPr>
              <w:pStyle w:val="ReportTableText"/>
              <w:keepNext/>
              <w:keepLines/>
              <w:rPr>
                <w:rFonts w:ascii="Times New Roman" w:hAnsi="Times New Roman"/>
              </w:rPr>
            </w:pPr>
            <w:r w:rsidRPr="00FF5C76">
              <w:rPr>
                <w:rFonts w:ascii="Times New Roman" w:hAnsi="Times New Roman"/>
              </w:rPr>
              <w:t>Macro-nutrients</w:t>
            </w:r>
          </w:p>
        </w:tc>
        <w:tc>
          <w:tcPr>
            <w:tcW w:w="2338" w:type="dxa"/>
            <w:noWrap/>
            <w:vAlign w:val="bottom"/>
          </w:tcPr>
          <w:p w:rsidR="000D53EA" w:rsidRDefault="00081B06">
            <w:pPr>
              <w:pStyle w:val="ReportTableText"/>
              <w:keepNext/>
              <w:keepLines/>
              <w:rPr>
                <w:rFonts w:ascii="Times New Roman" w:hAnsi="Times New Roman"/>
              </w:rPr>
            </w:pPr>
            <w:r w:rsidRPr="00FF5C76">
              <w:rPr>
                <w:rFonts w:ascii="Times New Roman" w:hAnsi="Times New Roman"/>
              </w:rPr>
              <w:t>Nitrogen and phosphorus</w:t>
            </w:r>
          </w:p>
        </w:tc>
        <w:tc>
          <w:tcPr>
            <w:tcW w:w="1417" w:type="dxa"/>
            <w:noWrap/>
            <w:vAlign w:val="bottom"/>
          </w:tcPr>
          <w:p w:rsidR="000D53EA" w:rsidRDefault="00081B06">
            <w:pPr>
              <w:pStyle w:val="ReportTableText"/>
              <w:keepNext/>
              <w:keepLines/>
              <w:rPr>
                <w:rFonts w:ascii="Times New Roman" w:hAnsi="Times New Roman"/>
                <w:vertAlign w:val="superscript"/>
              </w:rPr>
            </w:pPr>
            <w:r w:rsidRPr="00FF5C76">
              <w:rPr>
                <w:rFonts w:ascii="Times New Roman" w:hAnsi="Times New Roman"/>
              </w:rPr>
              <w:t>40-140</w:t>
            </w:r>
            <w:r w:rsidRPr="00FF5C76">
              <w:rPr>
                <w:rFonts w:ascii="Times New Roman" w:hAnsi="Times New Roman"/>
                <w:vertAlign w:val="superscript"/>
              </w:rPr>
              <w:t>1</w:t>
            </w:r>
          </w:p>
        </w:tc>
        <w:tc>
          <w:tcPr>
            <w:tcW w:w="1490" w:type="dxa"/>
            <w:noWrap/>
            <w:vAlign w:val="bottom"/>
          </w:tcPr>
          <w:p w:rsidR="000D53EA" w:rsidRDefault="00081B06">
            <w:pPr>
              <w:pStyle w:val="ReportTableText"/>
              <w:keepNext/>
              <w:keepLines/>
              <w:rPr>
                <w:rFonts w:ascii="Times New Roman" w:hAnsi="Times New Roman"/>
                <w:vertAlign w:val="superscript"/>
              </w:rPr>
            </w:pPr>
            <w:r w:rsidRPr="00FF5C76">
              <w:rPr>
                <w:rFonts w:ascii="Times New Roman" w:hAnsi="Times New Roman"/>
              </w:rPr>
              <w:t>120-400</w:t>
            </w:r>
            <w:r w:rsidRPr="00FF5C76">
              <w:rPr>
                <w:rFonts w:ascii="Times New Roman" w:hAnsi="Times New Roman"/>
                <w:vertAlign w:val="superscript"/>
              </w:rPr>
              <w:t>2</w:t>
            </w:r>
          </w:p>
        </w:tc>
        <w:tc>
          <w:tcPr>
            <w:tcW w:w="1947" w:type="dxa"/>
          </w:tcPr>
          <w:p w:rsidR="000D53EA" w:rsidRDefault="00081B06">
            <w:pPr>
              <w:pStyle w:val="ReportTableText"/>
              <w:keepNext/>
              <w:keepLines/>
              <w:rPr>
                <w:rFonts w:ascii="Times New Roman" w:hAnsi="Times New Roman"/>
              </w:rPr>
            </w:pPr>
            <w:r w:rsidRPr="00FF5C76">
              <w:rPr>
                <w:rFonts w:ascii="Times New Roman" w:hAnsi="Times New Roman"/>
              </w:rPr>
              <w:t>Phosphorus content</w:t>
            </w:r>
          </w:p>
        </w:tc>
      </w:tr>
      <w:tr w:rsidR="00081B06" w:rsidRPr="00FF5C76" w:rsidTr="00081B06">
        <w:trPr>
          <w:trHeight w:val="300"/>
        </w:trPr>
        <w:tc>
          <w:tcPr>
            <w:tcW w:w="1995" w:type="dxa"/>
            <w:noWrap/>
            <w:vAlign w:val="bottom"/>
          </w:tcPr>
          <w:p w:rsidR="000D53EA" w:rsidRDefault="00081B06">
            <w:pPr>
              <w:pStyle w:val="ReportTableText"/>
              <w:keepNext/>
              <w:keepLines/>
              <w:rPr>
                <w:rFonts w:ascii="Times New Roman" w:hAnsi="Times New Roman"/>
              </w:rPr>
            </w:pPr>
            <w:r w:rsidRPr="00FF5C76">
              <w:rPr>
                <w:rFonts w:ascii="Times New Roman" w:hAnsi="Times New Roman"/>
              </w:rPr>
              <w:t>Organic matter</w:t>
            </w:r>
          </w:p>
        </w:tc>
        <w:tc>
          <w:tcPr>
            <w:tcW w:w="2338" w:type="dxa"/>
            <w:noWrap/>
            <w:vAlign w:val="bottom"/>
          </w:tcPr>
          <w:p w:rsidR="000D53EA" w:rsidRDefault="00081B06">
            <w:pPr>
              <w:pStyle w:val="ReportTableText"/>
              <w:keepNext/>
              <w:keepLines/>
              <w:rPr>
                <w:rFonts w:ascii="Times New Roman" w:hAnsi="Times New Roman"/>
              </w:rPr>
            </w:pPr>
            <w:r w:rsidRPr="00FF5C76">
              <w:rPr>
                <w:rFonts w:ascii="Times New Roman" w:hAnsi="Times New Roman"/>
              </w:rPr>
              <w:t>Volatile solids</w:t>
            </w:r>
          </w:p>
        </w:tc>
        <w:tc>
          <w:tcPr>
            <w:tcW w:w="1417" w:type="dxa"/>
            <w:noWrap/>
            <w:vAlign w:val="bottom"/>
          </w:tcPr>
          <w:p w:rsidR="000D53EA" w:rsidRDefault="00081B06">
            <w:pPr>
              <w:pStyle w:val="ReportTableText"/>
              <w:keepNext/>
              <w:keepLines/>
              <w:rPr>
                <w:rFonts w:ascii="Times New Roman" w:hAnsi="Times New Roman"/>
                <w:vertAlign w:val="superscript"/>
              </w:rPr>
            </w:pPr>
            <w:r w:rsidRPr="00FF5C76">
              <w:rPr>
                <w:rFonts w:ascii="Times New Roman" w:hAnsi="Times New Roman"/>
              </w:rPr>
              <w:t>100-150</w:t>
            </w:r>
            <w:r w:rsidRPr="00FF5C76">
              <w:rPr>
                <w:rFonts w:ascii="Times New Roman" w:hAnsi="Times New Roman"/>
                <w:vertAlign w:val="superscript"/>
              </w:rPr>
              <w:t>3</w:t>
            </w:r>
          </w:p>
        </w:tc>
        <w:tc>
          <w:tcPr>
            <w:tcW w:w="1490" w:type="dxa"/>
            <w:noWrap/>
            <w:vAlign w:val="bottom"/>
          </w:tcPr>
          <w:p w:rsidR="000D53EA" w:rsidRDefault="00081B06">
            <w:pPr>
              <w:pStyle w:val="ReportTableText"/>
              <w:keepNext/>
              <w:keepLines/>
              <w:rPr>
                <w:rFonts w:ascii="Times New Roman" w:hAnsi="Times New Roman"/>
                <w:vertAlign w:val="superscript"/>
              </w:rPr>
            </w:pPr>
            <w:r w:rsidRPr="00FF5C76">
              <w:rPr>
                <w:rFonts w:ascii="Times New Roman" w:hAnsi="Times New Roman"/>
              </w:rPr>
              <w:t>210-300</w:t>
            </w:r>
            <w:r w:rsidRPr="00FF5C76">
              <w:rPr>
                <w:rFonts w:ascii="Times New Roman" w:hAnsi="Times New Roman"/>
                <w:vertAlign w:val="superscript"/>
              </w:rPr>
              <w:t>4</w:t>
            </w:r>
          </w:p>
        </w:tc>
        <w:tc>
          <w:tcPr>
            <w:tcW w:w="1947" w:type="dxa"/>
          </w:tcPr>
          <w:p w:rsidR="000D53EA" w:rsidRDefault="00081B06">
            <w:pPr>
              <w:pStyle w:val="ReportTableText"/>
              <w:keepNext/>
              <w:keepLines/>
              <w:rPr>
                <w:rFonts w:ascii="Times New Roman" w:hAnsi="Times New Roman"/>
              </w:rPr>
            </w:pPr>
            <w:r w:rsidRPr="00FF5C76">
              <w:rPr>
                <w:rFonts w:ascii="Times New Roman" w:hAnsi="Times New Roman"/>
              </w:rPr>
              <w:t>Electricity generated relative to coal, plus the value of RECs</w:t>
            </w:r>
          </w:p>
        </w:tc>
      </w:tr>
      <w:tr w:rsidR="00081B06" w:rsidRPr="00FF5C76" w:rsidTr="00081B06">
        <w:trPr>
          <w:trHeight w:val="300"/>
        </w:trPr>
        <w:tc>
          <w:tcPr>
            <w:tcW w:w="1995" w:type="dxa"/>
            <w:noWrap/>
            <w:vAlign w:val="bottom"/>
          </w:tcPr>
          <w:p w:rsidR="000D53EA" w:rsidRDefault="00081B06">
            <w:pPr>
              <w:pStyle w:val="ReportTableText"/>
              <w:keepNext/>
              <w:keepLines/>
              <w:rPr>
                <w:rFonts w:ascii="Times New Roman" w:hAnsi="Times New Roman"/>
              </w:rPr>
            </w:pPr>
            <w:r w:rsidRPr="00FF5C76">
              <w:rPr>
                <w:rFonts w:ascii="Times New Roman" w:hAnsi="Times New Roman"/>
              </w:rPr>
              <w:t>Inorganic matter</w:t>
            </w:r>
          </w:p>
        </w:tc>
        <w:tc>
          <w:tcPr>
            <w:tcW w:w="2338" w:type="dxa"/>
            <w:noWrap/>
            <w:vAlign w:val="bottom"/>
          </w:tcPr>
          <w:p w:rsidR="000D53EA" w:rsidRDefault="00081B06">
            <w:pPr>
              <w:pStyle w:val="ReportTableText"/>
              <w:keepNext/>
              <w:keepLines/>
              <w:rPr>
                <w:rFonts w:ascii="Times New Roman" w:hAnsi="Times New Roman"/>
              </w:rPr>
            </w:pPr>
            <w:r w:rsidRPr="00FF5C76">
              <w:rPr>
                <w:rFonts w:ascii="Times New Roman" w:hAnsi="Times New Roman"/>
              </w:rPr>
              <w:t>Non volatile solids</w:t>
            </w:r>
          </w:p>
        </w:tc>
        <w:tc>
          <w:tcPr>
            <w:tcW w:w="1417" w:type="dxa"/>
            <w:noWrap/>
            <w:vAlign w:val="bottom"/>
          </w:tcPr>
          <w:p w:rsidR="000D53EA" w:rsidRDefault="00081B06">
            <w:pPr>
              <w:pStyle w:val="ReportTableText"/>
              <w:keepNext/>
              <w:keepLines/>
              <w:rPr>
                <w:rFonts w:ascii="Times New Roman" w:hAnsi="Times New Roman"/>
                <w:vertAlign w:val="superscript"/>
              </w:rPr>
            </w:pPr>
            <w:r w:rsidRPr="00FF5C76">
              <w:rPr>
                <w:rFonts w:ascii="Times New Roman" w:hAnsi="Times New Roman"/>
              </w:rPr>
              <w:t>2-4</w:t>
            </w:r>
            <w:r w:rsidRPr="00FF5C76">
              <w:rPr>
                <w:rFonts w:ascii="Times New Roman" w:hAnsi="Times New Roman"/>
                <w:vertAlign w:val="superscript"/>
              </w:rPr>
              <w:t>5</w:t>
            </w:r>
          </w:p>
        </w:tc>
        <w:tc>
          <w:tcPr>
            <w:tcW w:w="1490" w:type="dxa"/>
            <w:noWrap/>
            <w:vAlign w:val="bottom"/>
          </w:tcPr>
          <w:p w:rsidR="000D53EA" w:rsidRDefault="00081B06">
            <w:pPr>
              <w:pStyle w:val="ReportTableText"/>
              <w:keepNext/>
              <w:keepLines/>
              <w:rPr>
                <w:rFonts w:ascii="Times New Roman" w:hAnsi="Times New Roman"/>
                <w:vertAlign w:val="superscript"/>
              </w:rPr>
            </w:pPr>
            <w:r w:rsidRPr="00FF5C76">
              <w:rPr>
                <w:rFonts w:ascii="Times New Roman" w:hAnsi="Times New Roman"/>
              </w:rPr>
              <w:t>5-10</w:t>
            </w:r>
            <w:r w:rsidRPr="00FF5C76">
              <w:rPr>
                <w:rFonts w:ascii="Times New Roman" w:hAnsi="Times New Roman"/>
                <w:vertAlign w:val="superscript"/>
              </w:rPr>
              <w:t>6</w:t>
            </w:r>
          </w:p>
        </w:tc>
        <w:tc>
          <w:tcPr>
            <w:tcW w:w="1947" w:type="dxa"/>
          </w:tcPr>
          <w:p w:rsidR="000D53EA" w:rsidRDefault="00081B06">
            <w:pPr>
              <w:pStyle w:val="ReportTableText"/>
              <w:keepNext/>
              <w:keepLines/>
              <w:rPr>
                <w:rFonts w:ascii="Times New Roman" w:hAnsi="Times New Roman"/>
              </w:rPr>
            </w:pPr>
            <w:r w:rsidRPr="00FF5C76">
              <w:rPr>
                <w:rFonts w:ascii="Times New Roman" w:hAnsi="Times New Roman"/>
              </w:rPr>
              <w:t>Clay replacement</w:t>
            </w:r>
          </w:p>
        </w:tc>
      </w:tr>
      <w:tr w:rsidR="00081B06" w:rsidRPr="00FF5C76" w:rsidTr="00081B06">
        <w:trPr>
          <w:trHeight w:val="300"/>
        </w:trPr>
        <w:tc>
          <w:tcPr>
            <w:tcW w:w="1995" w:type="dxa"/>
            <w:noWrap/>
            <w:vAlign w:val="bottom"/>
          </w:tcPr>
          <w:p w:rsidR="000D53EA" w:rsidRDefault="00081B06">
            <w:pPr>
              <w:pStyle w:val="ReportTableText"/>
              <w:keepNext/>
              <w:keepLines/>
              <w:rPr>
                <w:rFonts w:ascii="Times New Roman" w:hAnsi="Times New Roman"/>
              </w:rPr>
            </w:pPr>
            <w:r w:rsidRPr="00FF5C76">
              <w:rPr>
                <w:rFonts w:ascii="Times New Roman" w:hAnsi="Times New Roman"/>
              </w:rPr>
              <w:t>Micro-nutrients</w:t>
            </w:r>
          </w:p>
        </w:tc>
        <w:tc>
          <w:tcPr>
            <w:tcW w:w="2338" w:type="dxa"/>
            <w:noWrap/>
            <w:vAlign w:val="bottom"/>
          </w:tcPr>
          <w:p w:rsidR="000D53EA" w:rsidRDefault="00081B06">
            <w:pPr>
              <w:pStyle w:val="ReportTableText"/>
              <w:keepNext/>
              <w:keepLines/>
              <w:rPr>
                <w:rFonts w:ascii="Times New Roman" w:hAnsi="Times New Roman"/>
              </w:rPr>
            </w:pPr>
            <w:r w:rsidRPr="00FF5C76">
              <w:rPr>
                <w:rFonts w:ascii="Times New Roman" w:hAnsi="Times New Roman"/>
              </w:rPr>
              <w:t>Copper and zinc</w:t>
            </w:r>
          </w:p>
        </w:tc>
        <w:tc>
          <w:tcPr>
            <w:tcW w:w="1417" w:type="dxa"/>
            <w:noWrap/>
            <w:vAlign w:val="bottom"/>
          </w:tcPr>
          <w:p w:rsidR="000D53EA" w:rsidRDefault="00081B06">
            <w:pPr>
              <w:pStyle w:val="ReportTableText"/>
              <w:keepNext/>
              <w:keepLines/>
              <w:rPr>
                <w:rFonts w:ascii="Times New Roman" w:hAnsi="Times New Roman"/>
                <w:vertAlign w:val="superscript"/>
              </w:rPr>
            </w:pPr>
            <w:r w:rsidRPr="00FF5C76">
              <w:rPr>
                <w:rFonts w:ascii="Times New Roman" w:hAnsi="Times New Roman"/>
              </w:rPr>
              <w:t>13</w:t>
            </w:r>
            <w:r w:rsidRPr="00FF5C76">
              <w:rPr>
                <w:rFonts w:ascii="Times New Roman" w:hAnsi="Times New Roman"/>
                <w:vertAlign w:val="superscript"/>
              </w:rPr>
              <w:t>7</w:t>
            </w:r>
          </w:p>
        </w:tc>
        <w:tc>
          <w:tcPr>
            <w:tcW w:w="1490" w:type="dxa"/>
            <w:noWrap/>
            <w:vAlign w:val="bottom"/>
          </w:tcPr>
          <w:p w:rsidR="000D53EA" w:rsidRDefault="00081B06">
            <w:pPr>
              <w:pStyle w:val="ReportTableText"/>
              <w:keepNext/>
              <w:keepLines/>
              <w:rPr>
                <w:rFonts w:ascii="Times New Roman" w:hAnsi="Times New Roman"/>
                <w:vertAlign w:val="superscript"/>
              </w:rPr>
            </w:pPr>
            <w:r w:rsidRPr="00FF5C76">
              <w:rPr>
                <w:rFonts w:ascii="Times New Roman" w:hAnsi="Times New Roman"/>
              </w:rPr>
              <w:t>Not estimated</w:t>
            </w:r>
          </w:p>
        </w:tc>
        <w:tc>
          <w:tcPr>
            <w:tcW w:w="1947" w:type="dxa"/>
          </w:tcPr>
          <w:p w:rsidR="000D53EA" w:rsidRDefault="00081B06">
            <w:pPr>
              <w:pStyle w:val="ReportTableText"/>
              <w:keepNext/>
              <w:keepLines/>
              <w:rPr>
                <w:rFonts w:ascii="Times New Roman" w:hAnsi="Times New Roman"/>
              </w:rPr>
            </w:pPr>
            <w:r w:rsidRPr="00FF5C76">
              <w:rPr>
                <w:rFonts w:ascii="Times New Roman" w:hAnsi="Times New Roman"/>
              </w:rPr>
              <w:t>Copper and zinc</w:t>
            </w:r>
          </w:p>
        </w:tc>
      </w:tr>
    </w:tbl>
    <w:p w:rsidR="000D53EA" w:rsidRDefault="00400DCE">
      <w:pPr>
        <w:pStyle w:val="Heading2"/>
        <w:numPr>
          <w:ilvl w:val="0"/>
          <w:numId w:val="0"/>
        </w:numPr>
        <w:jc w:val="left"/>
      </w:pPr>
      <w:bookmarkStart w:id="9" w:name="_Toc326747439"/>
      <w:r>
        <w:t xml:space="preserve">Greenhouse gas implications of </w:t>
      </w:r>
      <w:proofErr w:type="spellStart"/>
      <w:r>
        <w:t>biosolids</w:t>
      </w:r>
      <w:bookmarkEnd w:id="9"/>
      <w:proofErr w:type="spellEnd"/>
    </w:p>
    <w:p w:rsidR="000D53EA" w:rsidRDefault="00400DCE">
      <w:pPr>
        <w:jc w:val="left"/>
      </w:pPr>
      <w:proofErr w:type="spellStart"/>
      <w:r>
        <w:t>Biosolids</w:t>
      </w:r>
      <w:proofErr w:type="spellEnd"/>
      <w:r>
        <w:t xml:space="preserve"> can reduce greenhouse gas emissions in two ways:</w:t>
      </w:r>
    </w:p>
    <w:p w:rsidR="00400DCE" w:rsidRDefault="00400DCE" w:rsidP="00A35633">
      <w:pPr>
        <w:pStyle w:val="ListParagraph"/>
        <w:numPr>
          <w:ilvl w:val="0"/>
          <w:numId w:val="17"/>
        </w:numPr>
      </w:pPr>
      <w:r>
        <w:t>generation of green power through direct combustion or anaerobic digestion;</w:t>
      </w:r>
    </w:p>
    <w:p w:rsidR="00400DCE" w:rsidRDefault="00400DCE" w:rsidP="00A35633">
      <w:pPr>
        <w:pStyle w:val="ListParagraph"/>
        <w:numPr>
          <w:ilvl w:val="0"/>
          <w:numId w:val="17"/>
        </w:numPr>
      </w:pPr>
      <w:proofErr w:type="gramStart"/>
      <w:r>
        <w:t>offset</w:t>
      </w:r>
      <w:proofErr w:type="gramEnd"/>
      <w:r>
        <w:t xml:space="preserve"> of emissions associated with</w:t>
      </w:r>
      <w:r w:rsidRPr="00996D66">
        <w:t xml:space="preserve"> </w:t>
      </w:r>
      <w:r>
        <w:t>production of inorganic fertilisers.</w:t>
      </w:r>
    </w:p>
    <w:p w:rsidR="000D53EA" w:rsidRDefault="00400DCE">
      <w:pPr>
        <w:jc w:val="left"/>
      </w:pPr>
      <w:r>
        <w:t>Anaerobic digestions processes typically generate a net energy output of 300</w:t>
      </w:r>
      <w:r w:rsidR="000F4B4A">
        <w:t>–</w:t>
      </w:r>
      <w:r>
        <w:t xml:space="preserve">700 </w:t>
      </w:r>
      <w:proofErr w:type="spellStart"/>
      <w:r>
        <w:t>kWhr</w:t>
      </w:r>
      <w:proofErr w:type="spellEnd"/>
      <w:r>
        <w:t xml:space="preserve"> per tonne of dry </w:t>
      </w:r>
      <w:proofErr w:type="spellStart"/>
      <w:r>
        <w:t>biosolids</w:t>
      </w:r>
      <w:proofErr w:type="spellEnd"/>
      <w:r>
        <w:t xml:space="preserve"> processed. This equates to around 0.3 to 0.7 tonnes of </w:t>
      </w:r>
      <w:r w:rsidR="00B50979">
        <w:t>carbon dioxide equivalent (</w:t>
      </w:r>
      <w:r>
        <w:t>CO</w:t>
      </w:r>
      <w:r w:rsidRPr="00396489">
        <w:rPr>
          <w:vertAlign w:val="subscript"/>
        </w:rPr>
        <w:t>2e</w:t>
      </w:r>
      <w:r w:rsidR="00B50979">
        <w:rPr>
          <w:vertAlign w:val="subscript"/>
        </w:rPr>
        <w:t>)</w:t>
      </w:r>
      <w:r>
        <w:t xml:space="preserve"> for every tonne of </w:t>
      </w:r>
      <w:proofErr w:type="spellStart"/>
      <w:r>
        <w:t>biosolids</w:t>
      </w:r>
      <w:proofErr w:type="spellEnd"/>
      <w:r>
        <w:t xml:space="preserve"> processed when replacing coal fired power generation.</w:t>
      </w:r>
    </w:p>
    <w:p w:rsidR="000D53EA" w:rsidRDefault="00400DCE">
      <w:pPr>
        <w:jc w:val="left"/>
      </w:pPr>
      <w:r>
        <w:t xml:space="preserve">If </w:t>
      </w:r>
      <w:proofErr w:type="spellStart"/>
      <w:r w:rsidR="00286CC7">
        <w:t>biosolids</w:t>
      </w:r>
      <w:proofErr w:type="spellEnd"/>
      <w:r w:rsidR="00286CC7">
        <w:t xml:space="preserve"> are</w:t>
      </w:r>
      <w:r>
        <w:t xml:space="preserve"> dried to 90% this will give</w:t>
      </w:r>
      <w:r w:rsidRPr="00082FC6">
        <w:t xml:space="preserve"> </w:t>
      </w:r>
      <w:r>
        <w:t>a net energy output of about 600</w:t>
      </w:r>
      <w:r w:rsidR="000F4B4A">
        <w:t>–</w:t>
      </w:r>
      <w:r>
        <w:t xml:space="preserve">900 </w:t>
      </w:r>
      <w:proofErr w:type="spellStart"/>
      <w:r>
        <w:t>kWhr</w:t>
      </w:r>
      <w:proofErr w:type="spellEnd"/>
      <w:r>
        <w:t xml:space="preserve"> per tonne of dry </w:t>
      </w:r>
      <w:proofErr w:type="spellStart"/>
      <w:r>
        <w:t>biosolids</w:t>
      </w:r>
      <w:proofErr w:type="spellEnd"/>
      <w:r>
        <w:t xml:space="preserve"> which equates to around 0.6-0.9 tonnes of CO</w:t>
      </w:r>
      <w:r w:rsidRPr="00396489">
        <w:rPr>
          <w:vertAlign w:val="subscript"/>
        </w:rPr>
        <w:t>2e</w:t>
      </w:r>
      <w:r>
        <w:t xml:space="preserve"> for every tonne of </w:t>
      </w:r>
      <w:proofErr w:type="spellStart"/>
      <w:r>
        <w:t>biosolids</w:t>
      </w:r>
      <w:proofErr w:type="spellEnd"/>
      <w:r>
        <w:t xml:space="preserve"> processed when replacing coal fired power generation. It should be noted that a significant amount of energy is required to process </w:t>
      </w:r>
      <w:proofErr w:type="spellStart"/>
      <w:r>
        <w:t>biosolids</w:t>
      </w:r>
      <w:proofErr w:type="spellEnd"/>
      <w:r>
        <w:t xml:space="preserve"> to 90% solids content.</w:t>
      </w:r>
    </w:p>
    <w:p w:rsidR="000D53EA" w:rsidRDefault="00400DCE">
      <w:pPr>
        <w:jc w:val="left"/>
      </w:pPr>
      <w:r>
        <w:t xml:space="preserve">When </w:t>
      </w:r>
      <w:proofErr w:type="spellStart"/>
      <w:r w:rsidR="00286CC7">
        <w:t>biosolids</w:t>
      </w:r>
      <w:proofErr w:type="spellEnd"/>
      <w:r w:rsidR="00286CC7">
        <w:t xml:space="preserve"> are</w:t>
      </w:r>
      <w:r>
        <w:t xml:space="preserve"> used to replace inorganic fertilisers they reduce the emissions associated with the production of the inorganic fertilisers. If the </w:t>
      </w:r>
      <w:proofErr w:type="spellStart"/>
      <w:r>
        <w:t>biosolids</w:t>
      </w:r>
      <w:proofErr w:type="spellEnd"/>
      <w:r>
        <w:t xml:space="preserve"> are diverted from landfill disposal further emissions are avoided.</w:t>
      </w:r>
    </w:p>
    <w:p w:rsidR="000D53EA" w:rsidRDefault="00400DCE">
      <w:pPr>
        <w:jc w:val="left"/>
      </w:pPr>
      <w:r>
        <w:t xml:space="preserve">Studies by PSD on the emissions avoided by the use of </w:t>
      </w:r>
      <w:proofErr w:type="spellStart"/>
      <w:r>
        <w:t>biosolids</w:t>
      </w:r>
      <w:proofErr w:type="spellEnd"/>
      <w:r>
        <w:t xml:space="preserve"> show that for every tonne of dry </w:t>
      </w:r>
      <w:proofErr w:type="spellStart"/>
      <w:r>
        <w:t>biosolids</w:t>
      </w:r>
      <w:proofErr w:type="spellEnd"/>
      <w:r>
        <w:t xml:space="preserve"> used around 6 tonnes of CO</w:t>
      </w:r>
      <w:r w:rsidRPr="00396489">
        <w:rPr>
          <w:vertAlign w:val="subscript"/>
        </w:rPr>
        <w:t>2e</w:t>
      </w:r>
      <w:r>
        <w:t xml:space="preserve"> are avoided from the production of the inorganic fertilisers.</w:t>
      </w:r>
    </w:p>
    <w:p w:rsidR="000D53EA" w:rsidRDefault="00400DCE">
      <w:pPr>
        <w:jc w:val="left"/>
      </w:pPr>
      <w:r>
        <w:t xml:space="preserve">If all </w:t>
      </w:r>
      <w:proofErr w:type="spellStart"/>
      <w:r>
        <w:t>biosolids</w:t>
      </w:r>
      <w:proofErr w:type="spellEnd"/>
      <w:r>
        <w:t xml:space="preserve"> in Australia were used to replace inorganic fertilisers this would give a reduction of around 2 million tonnes per year of CO</w:t>
      </w:r>
      <w:r w:rsidRPr="00396489">
        <w:rPr>
          <w:vertAlign w:val="subscript"/>
        </w:rPr>
        <w:t>2e</w:t>
      </w:r>
      <w:r>
        <w:t>.</w:t>
      </w:r>
    </w:p>
    <w:p w:rsidR="000D53EA" w:rsidRDefault="00400DCE">
      <w:pPr>
        <w:jc w:val="left"/>
      </w:pPr>
      <w:r>
        <w:t xml:space="preserve">It is possible to both generate energy from </w:t>
      </w:r>
      <w:proofErr w:type="spellStart"/>
      <w:r>
        <w:t>biosolids</w:t>
      </w:r>
      <w:proofErr w:type="spellEnd"/>
      <w:r>
        <w:t xml:space="preserve"> through anaerobic digestion processes and have a final </w:t>
      </w:r>
      <w:proofErr w:type="spellStart"/>
      <w:r>
        <w:t>biosolids</w:t>
      </w:r>
      <w:proofErr w:type="spellEnd"/>
      <w:r>
        <w:t xml:space="preserve"> product which can be used as a fertiliser.  </w:t>
      </w:r>
    </w:p>
    <w:p w:rsidR="000D53EA" w:rsidRDefault="00400DCE">
      <w:pPr>
        <w:pStyle w:val="Heading2"/>
        <w:numPr>
          <w:ilvl w:val="0"/>
          <w:numId w:val="0"/>
        </w:numPr>
        <w:jc w:val="left"/>
      </w:pPr>
      <w:bookmarkStart w:id="10" w:name="_Toc326747440"/>
      <w:r>
        <w:t>Standards and guidelines</w:t>
      </w:r>
      <w:bookmarkEnd w:id="10"/>
    </w:p>
    <w:p w:rsidR="000D53EA" w:rsidRDefault="00400DCE">
      <w:pPr>
        <w:jc w:val="left"/>
      </w:pPr>
      <w:r>
        <w:t xml:space="preserve">In Australia </w:t>
      </w:r>
      <w:proofErr w:type="spellStart"/>
      <w:r>
        <w:t>biosolids</w:t>
      </w:r>
      <w:proofErr w:type="spellEnd"/>
      <w:r>
        <w:t xml:space="preserve"> are regulated under a specific statutory framework in each State.  Generally the key piece of legislation is the State’s head environment protection Act.  These Acts require that any discharge to the environment must be managed so that they do not adversely affect the receiving environment. These Acts also generally describe the key principles of environment management and the waste hierarchy, with waste avoidance and recycling the preferred management option compared to disposal.</w:t>
      </w:r>
    </w:p>
    <w:p w:rsidR="000D53EA" w:rsidRDefault="000E0F70">
      <w:pPr>
        <w:jc w:val="left"/>
      </w:pPr>
      <w:r>
        <w:t xml:space="preserve">There are no Australian Standards applying to </w:t>
      </w:r>
      <w:proofErr w:type="spellStart"/>
      <w:r>
        <w:t>biosolids</w:t>
      </w:r>
      <w:proofErr w:type="spellEnd"/>
      <w:r>
        <w:t xml:space="preserve"> use, however the </w:t>
      </w:r>
      <w:r w:rsidRPr="00927A1A">
        <w:rPr>
          <w:lang w:val="en-US"/>
        </w:rPr>
        <w:t>Aus</w:t>
      </w:r>
      <w:r>
        <w:rPr>
          <w:lang w:val="en-US"/>
        </w:rPr>
        <w:t>tralian Standard AS 4454 (2003) for</w:t>
      </w:r>
      <w:r w:rsidRPr="00927A1A">
        <w:rPr>
          <w:lang w:val="en-US"/>
        </w:rPr>
        <w:t xml:space="preserve"> Composts</w:t>
      </w:r>
      <w:r>
        <w:rPr>
          <w:lang w:val="en-US"/>
        </w:rPr>
        <w:t xml:space="preserve">, Soil Conditioners and Mulches references the </w:t>
      </w:r>
      <w:proofErr w:type="spellStart"/>
      <w:r>
        <w:rPr>
          <w:lang w:val="en-US"/>
        </w:rPr>
        <w:t>biosolids</w:t>
      </w:r>
      <w:proofErr w:type="spellEnd"/>
      <w:r>
        <w:rPr>
          <w:lang w:val="en-US"/>
        </w:rPr>
        <w:t xml:space="preserve"> guidelines.  </w:t>
      </w:r>
    </w:p>
    <w:p w:rsidR="000D53EA" w:rsidRDefault="000E0F70">
      <w:pPr>
        <w:jc w:val="left"/>
      </w:pPr>
      <w:r>
        <w:t xml:space="preserve">There are no best practice manuals or specifications relating to </w:t>
      </w:r>
      <w:proofErr w:type="spellStart"/>
      <w:r>
        <w:t>biosolids</w:t>
      </w:r>
      <w:proofErr w:type="spellEnd"/>
      <w:r>
        <w:t>.</w:t>
      </w:r>
    </w:p>
    <w:p w:rsidR="000D53EA" w:rsidRDefault="000E0F70">
      <w:pPr>
        <w:jc w:val="left"/>
      </w:pPr>
      <w:r>
        <w:lastRenderedPageBreak/>
        <w:t xml:space="preserve">Regulation of </w:t>
      </w:r>
      <w:proofErr w:type="spellStart"/>
      <w:r>
        <w:t>biosolids</w:t>
      </w:r>
      <w:proofErr w:type="spellEnd"/>
      <w:r>
        <w:t xml:space="preserve"> in Australia is well established and has functioned successfully for around 15 years.  In this regard there is not any major impetus from industry or the regulators to change the current guidelines, however WA and SA are in the process of updating their guidelines and NSW and Victoria have expressed the desire to do the same.</w:t>
      </w:r>
    </w:p>
    <w:p w:rsidR="000D53EA" w:rsidRDefault="000E0F70">
      <w:pPr>
        <w:jc w:val="left"/>
      </w:pPr>
      <w:r>
        <w:t xml:space="preserve">The compost industry is strongly opposed to the application of </w:t>
      </w:r>
      <w:proofErr w:type="spellStart"/>
      <w:r>
        <w:t>biosolids</w:t>
      </w:r>
      <w:proofErr w:type="spellEnd"/>
      <w:r>
        <w:t xml:space="preserve"> guidelines to compost.  Composted products become significantly more restricted if </w:t>
      </w:r>
      <w:proofErr w:type="spellStart"/>
      <w:r>
        <w:t>biosolids</w:t>
      </w:r>
      <w:proofErr w:type="spellEnd"/>
      <w:r>
        <w:t xml:space="preserve"> guidelines are applied to them.  </w:t>
      </w:r>
    </w:p>
    <w:p w:rsidR="000D53EA" w:rsidRDefault="000E0F70">
      <w:pPr>
        <w:jc w:val="left"/>
      </w:pPr>
      <w:r>
        <w:t xml:space="preserve">The Australian and New Zealand </w:t>
      </w:r>
      <w:proofErr w:type="spellStart"/>
      <w:r>
        <w:t>Biosolids</w:t>
      </w:r>
      <w:proofErr w:type="spellEnd"/>
      <w:r>
        <w:t xml:space="preserve"> Partnership recently undertook a major review of </w:t>
      </w:r>
      <w:proofErr w:type="spellStart"/>
      <w:r>
        <w:t>biosolids</w:t>
      </w:r>
      <w:proofErr w:type="spellEnd"/>
      <w:r>
        <w:t xml:space="preserve"> regulations in Australia and the overarching outcome was that whilst there was no perceived need to change the existing guidelines to protect human health and the environment there would be significant benefit to the industry if guidelines were consistent across Australia.</w:t>
      </w:r>
    </w:p>
    <w:p w:rsidR="000D53EA" w:rsidRDefault="000E0F70">
      <w:pPr>
        <w:jc w:val="left"/>
      </w:pPr>
      <w:r>
        <w:t xml:space="preserve">With respect to the NWQMS Guideline #13 (ARMCANZ 2004), generally referred to as the National </w:t>
      </w:r>
      <w:proofErr w:type="spellStart"/>
      <w:r>
        <w:t>Biosolids</w:t>
      </w:r>
      <w:proofErr w:type="spellEnd"/>
      <w:r>
        <w:t xml:space="preserve"> Guidelines, the Partnership’s review made no specific recommendations. This was largely due to the nature of </w:t>
      </w:r>
      <w:proofErr w:type="spellStart"/>
      <w:r>
        <w:t>biosolids</w:t>
      </w:r>
      <w:proofErr w:type="spellEnd"/>
      <w:r>
        <w:t xml:space="preserve"> regulation in Australia, i.e. </w:t>
      </w:r>
      <w:proofErr w:type="spellStart"/>
      <w:r w:rsidR="00286CC7">
        <w:t>biosolids</w:t>
      </w:r>
      <w:proofErr w:type="spellEnd"/>
      <w:r w:rsidR="00286CC7">
        <w:t xml:space="preserve"> are</w:t>
      </w:r>
      <w:r>
        <w:t xml:space="preserve"> regulated on a State-basis and therefore the National </w:t>
      </w:r>
      <w:proofErr w:type="spellStart"/>
      <w:r>
        <w:t>Biosolids</w:t>
      </w:r>
      <w:proofErr w:type="spellEnd"/>
      <w:r>
        <w:t xml:space="preserve"> Guidelines are generally not used.</w:t>
      </w:r>
    </w:p>
    <w:p w:rsidR="000D53EA" w:rsidRDefault="00400DCE">
      <w:pPr>
        <w:pStyle w:val="Heading2"/>
        <w:numPr>
          <w:ilvl w:val="0"/>
          <w:numId w:val="0"/>
        </w:numPr>
        <w:jc w:val="left"/>
      </w:pPr>
      <w:bookmarkStart w:id="11" w:name="_Toc326747441"/>
      <w:r>
        <w:t>Market risks and opportunities</w:t>
      </w:r>
      <w:bookmarkEnd w:id="11"/>
    </w:p>
    <w:p w:rsidR="000D53EA" w:rsidRDefault="000E0F70">
      <w:pPr>
        <w:jc w:val="left"/>
      </w:pPr>
      <w:r>
        <w:t xml:space="preserve">The key risk to </w:t>
      </w:r>
      <w:proofErr w:type="spellStart"/>
      <w:r w:rsidR="00286CC7">
        <w:t>biosolids</w:t>
      </w:r>
      <w:proofErr w:type="spellEnd"/>
      <w:r w:rsidR="00286CC7">
        <w:t xml:space="preserve"> is</w:t>
      </w:r>
      <w:r>
        <w:t xml:space="preserve"> odour. Odour creates the risk of adverse public impact for </w:t>
      </w:r>
      <w:proofErr w:type="spellStart"/>
      <w:r>
        <w:t>biosolids</w:t>
      </w:r>
      <w:proofErr w:type="spellEnd"/>
      <w:r>
        <w:t xml:space="preserve"> and the existing guidelines do not adequately cover treatment requirements in the current context. The ANZBP has identified the need for improved standards for odour reduction potential for </w:t>
      </w:r>
      <w:proofErr w:type="spellStart"/>
      <w:r>
        <w:t>biosolids</w:t>
      </w:r>
      <w:proofErr w:type="spellEnd"/>
      <w:r>
        <w:t>.</w:t>
      </w:r>
    </w:p>
    <w:p w:rsidR="000D53EA" w:rsidRDefault="000E0F70">
      <w:pPr>
        <w:jc w:val="left"/>
      </w:pPr>
      <w:r>
        <w:t xml:space="preserve">The key market opportunity for </w:t>
      </w:r>
      <w:proofErr w:type="spellStart"/>
      <w:r w:rsidR="00286CC7">
        <w:t>biosolids</w:t>
      </w:r>
      <w:proofErr w:type="spellEnd"/>
      <w:r w:rsidR="00286CC7">
        <w:t xml:space="preserve"> is</w:t>
      </w:r>
      <w:r>
        <w:t xml:space="preserve"> to recover the value of nutrients, energy and trace metals.  Financial recovery rates are low across the industry with </w:t>
      </w:r>
      <w:proofErr w:type="spellStart"/>
      <w:r>
        <w:t>biosolids</w:t>
      </w:r>
      <w:proofErr w:type="spellEnd"/>
      <w:r>
        <w:t xml:space="preserve"> typically given away to farmers.</w:t>
      </w:r>
      <w:r w:rsidR="00E72ABB">
        <w:t xml:space="preserve">  The national value of phosphorus in </w:t>
      </w:r>
      <w:proofErr w:type="spellStart"/>
      <w:r w:rsidR="00286CC7">
        <w:t>biosolids</w:t>
      </w:r>
      <w:proofErr w:type="spellEnd"/>
      <w:r w:rsidR="00286CC7">
        <w:t xml:space="preserve"> is</w:t>
      </w:r>
      <w:r w:rsidR="00E72ABB">
        <w:t xml:space="preserve"> around $30</w:t>
      </w:r>
      <w:r w:rsidR="00383B21">
        <w:t> </w:t>
      </w:r>
      <w:r w:rsidR="00E72ABB">
        <w:t>million per year.</w:t>
      </w:r>
    </w:p>
    <w:p w:rsidR="007D5073" w:rsidRDefault="007D5073" w:rsidP="00A35633">
      <w:pPr>
        <w:spacing w:before="0" w:after="0"/>
        <w:jc w:val="left"/>
        <w:rPr>
          <w:b/>
          <w:caps/>
          <w:kern w:val="28"/>
          <w:sz w:val="28"/>
        </w:rPr>
      </w:pPr>
      <w:r>
        <w:br w:type="page"/>
      </w:r>
    </w:p>
    <w:p w:rsidR="000D53EA" w:rsidRDefault="00337CA3">
      <w:pPr>
        <w:pStyle w:val="Heading1"/>
        <w:jc w:val="left"/>
      </w:pPr>
      <w:bookmarkStart w:id="12" w:name="_Toc326747442"/>
      <w:r>
        <w:lastRenderedPageBreak/>
        <w:t>Introduction</w:t>
      </w:r>
      <w:bookmarkEnd w:id="12"/>
    </w:p>
    <w:p w:rsidR="000D53EA" w:rsidRDefault="00337CA3">
      <w:pPr>
        <w:pStyle w:val="Heading2"/>
        <w:jc w:val="left"/>
      </w:pPr>
      <w:bookmarkStart w:id="13" w:name="_Toc326747443"/>
      <w:r>
        <w:t>Background</w:t>
      </w:r>
      <w:bookmarkEnd w:id="13"/>
    </w:p>
    <w:p w:rsidR="000D53EA" w:rsidRDefault="00540E7A">
      <w:pPr>
        <w:jc w:val="left"/>
        <w:rPr>
          <w:lang w:val="en-US" w:eastAsia="en-AU"/>
        </w:rPr>
      </w:pPr>
      <w:r w:rsidRPr="00625A47">
        <w:rPr>
          <w:lang w:val="en-US" w:eastAsia="en-AU"/>
        </w:rPr>
        <w:t xml:space="preserve">The Australian Government Department of Sustainability, Environment, Water, Population and Communities </w:t>
      </w:r>
      <w:r w:rsidR="005D3A6C">
        <w:rPr>
          <w:lang w:val="en-US" w:eastAsia="en-AU"/>
        </w:rPr>
        <w:t>(</w:t>
      </w:r>
      <w:r w:rsidR="0022063B">
        <w:rPr>
          <w:lang w:val="en-US" w:eastAsia="en-AU"/>
        </w:rPr>
        <w:t>t</w:t>
      </w:r>
      <w:r w:rsidR="005D3A6C">
        <w:rPr>
          <w:lang w:val="en-US" w:eastAsia="en-AU"/>
        </w:rPr>
        <w:t xml:space="preserve">he Department) </w:t>
      </w:r>
      <w:r w:rsidRPr="00625A47">
        <w:rPr>
          <w:lang w:val="en-US" w:eastAsia="en-AU"/>
        </w:rPr>
        <w:t>develops and implements national policy, programs and legislation to protect and conserve Australia's environment and heritage.</w:t>
      </w:r>
    </w:p>
    <w:p w:rsidR="000D53EA" w:rsidRDefault="00540E7A">
      <w:pPr>
        <w:jc w:val="left"/>
        <w:rPr>
          <w:lang w:val="en-US" w:eastAsia="en-AU"/>
        </w:rPr>
      </w:pPr>
      <w:r w:rsidRPr="00625A47">
        <w:rPr>
          <w:lang w:val="en-US" w:eastAsia="en-AU"/>
        </w:rPr>
        <w:t xml:space="preserve">The </w:t>
      </w:r>
      <w:r w:rsidRPr="00625A47">
        <w:rPr>
          <w:i/>
          <w:lang w:val="en-US" w:eastAsia="en-AU"/>
        </w:rPr>
        <w:t>National Waste Policy: Less waste, more resources</w:t>
      </w:r>
      <w:r w:rsidRPr="00625A47">
        <w:rPr>
          <w:lang w:val="en-US" w:eastAsia="en-AU"/>
        </w:rPr>
        <w:t xml:space="preserve"> </w:t>
      </w:r>
      <w:r w:rsidR="00207904">
        <w:rPr>
          <w:lang w:val="en-US" w:eastAsia="en-AU"/>
        </w:rPr>
        <w:t xml:space="preserve">(National Waste Policy) </w:t>
      </w:r>
      <w:r w:rsidRPr="00625A47">
        <w:rPr>
          <w:lang w:val="en-US"/>
        </w:rPr>
        <w:t xml:space="preserve">agreed to by all Australian environment ministers in November 2009, and endorsed by the Council of Australian Governments, sets Australia's waste management and resource recovery direction to 2020. The policy </w:t>
      </w:r>
      <w:r w:rsidRPr="00625A47">
        <w:rPr>
          <w:lang w:val="en-US" w:eastAsia="en-AU"/>
        </w:rPr>
        <w:t xml:space="preserve">aims, inter alia, to reduce the amount of waste for disposal and improve the use of waste as a resource to achieve broader environmental, social and economic benefits. </w:t>
      </w:r>
    </w:p>
    <w:p w:rsidR="000D53EA" w:rsidRDefault="00540E7A">
      <w:pPr>
        <w:jc w:val="left"/>
      </w:pPr>
      <w:proofErr w:type="spellStart"/>
      <w:r w:rsidRPr="00625A47">
        <w:t>Biosolids</w:t>
      </w:r>
      <w:proofErr w:type="spellEnd"/>
      <w:r w:rsidRPr="00625A47">
        <w:t xml:space="preserve"> have been identified as an issue of possible interest for several working groups under the National Waste Policy. To provide a common data set and evidence base, </w:t>
      </w:r>
      <w:r w:rsidR="00073F1E">
        <w:t>this</w:t>
      </w:r>
      <w:r w:rsidRPr="00625A47">
        <w:t xml:space="preserve"> report collates and assesses data and information on </w:t>
      </w:r>
      <w:proofErr w:type="spellStart"/>
      <w:r w:rsidR="00073F1E">
        <w:t>biosolids</w:t>
      </w:r>
      <w:proofErr w:type="spellEnd"/>
      <w:r w:rsidRPr="00625A47">
        <w:t>. This report present</w:t>
      </w:r>
      <w:r w:rsidR="00073F1E">
        <w:t>s</w:t>
      </w:r>
      <w:r w:rsidRPr="00625A47">
        <w:t xml:space="preserve"> existing </w:t>
      </w:r>
      <w:proofErr w:type="spellStart"/>
      <w:r w:rsidRPr="00625A47">
        <w:t>biosolids</w:t>
      </w:r>
      <w:proofErr w:type="spellEnd"/>
      <w:r w:rsidRPr="00625A47">
        <w:t xml:space="preserve"> data and information from public sources, </w:t>
      </w:r>
      <w:r>
        <w:t xml:space="preserve">and water utilities and additional information available from </w:t>
      </w:r>
      <w:r w:rsidRPr="00625A47">
        <w:t xml:space="preserve">the Australian and New Zealand </w:t>
      </w:r>
      <w:proofErr w:type="spellStart"/>
      <w:r w:rsidRPr="00625A47">
        <w:t>Biosolids</w:t>
      </w:r>
      <w:proofErr w:type="spellEnd"/>
      <w:r w:rsidRPr="00625A47">
        <w:t xml:space="preserve"> Partnership</w:t>
      </w:r>
      <w:r>
        <w:t xml:space="preserve"> </w:t>
      </w:r>
      <w:r w:rsidRPr="00625A47">
        <w:t>(ANZ</w:t>
      </w:r>
      <w:r>
        <w:t>BP</w:t>
      </w:r>
      <w:r w:rsidRPr="00625A47">
        <w:t xml:space="preserve">). </w:t>
      </w:r>
    </w:p>
    <w:p w:rsidR="000D53EA" w:rsidRDefault="00540E7A">
      <w:pPr>
        <w:jc w:val="left"/>
      </w:pPr>
      <w:r w:rsidRPr="00625A47">
        <w:t xml:space="preserve">This report </w:t>
      </w:r>
      <w:r w:rsidR="00E429D1">
        <w:t xml:space="preserve">was </w:t>
      </w:r>
      <w:r w:rsidR="005D3A6C">
        <w:t xml:space="preserve">funded by </w:t>
      </w:r>
      <w:r w:rsidR="00A506C4">
        <w:t>t</w:t>
      </w:r>
      <w:r w:rsidR="005D3A6C">
        <w:t xml:space="preserve">he Department and </w:t>
      </w:r>
      <w:r>
        <w:t xml:space="preserve">is intended to provide </w:t>
      </w:r>
      <w:r w:rsidR="00A506C4">
        <w:t>a snapshot of</w:t>
      </w:r>
      <w:r>
        <w:t xml:space="preserve"> </w:t>
      </w:r>
      <w:proofErr w:type="spellStart"/>
      <w:r>
        <w:t>biosolids</w:t>
      </w:r>
      <w:proofErr w:type="spellEnd"/>
      <w:r>
        <w:t xml:space="preserve"> </w:t>
      </w:r>
      <w:r w:rsidR="00A506C4">
        <w:t xml:space="preserve">in Australia to inform the work of several </w:t>
      </w:r>
      <w:r w:rsidRPr="00625A47">
        <w:t xml:space="preserve">National Waste Policy strategies, including strategy 5 (markets and standards), 9 (greenhouse), 10 (commercial and industrial waste) and 16 (waste and recycling data and reporting). </w:t>
      </w:r>
    </w:p>
    <w:p w:rsidR="000D53EA" w:rsidRDefault="00E20128">
      <w:pPr>
        <w:pStyle w:val="Heading2"/>
        <w:jc w:val="left"/>
      </w:pPr>
      <w:bookmarkStart w:id="14" w:name="_Toc326747444"/>
      <w:r>
        <w:t>Terms of reference</w:t>
      </w:r>
      <w:bookmarkEnd w:id="14"/>
    </w:p>
    <w:p w:rsidR="000D53EA" w:rsidRDefault="00E20128">
      <w:pPr>
        <w:jc w:val="left"/>
      </w:pPr>
      <w:r>
        <w:t xml:space="preserve">The terms of reference for the project, as set out in the request for quotation from </w:t>
      </w:r>
      <w:r w:rsidR="00A506C4">
        <w:t>t</w:t>
      </w:r>
      <w:r>
        <w:t>he Department are repeated below.</w:t>
      </w:r>
    </w:p>
    <w:p w:rsidR="00E20128" w:rsidRPr="00567DEB" w:rsidRDefault="00E20128" w:rsidP="00A35633">
      <w:pPr>
        <w:numPr>
          <w:ilvl w:val="3"/>
          <w:numId w:val="20"/>
        </w:numPr>
        <w:tabs>
          <w:tab w:val="clear" w:pos="2880"/>
          <w:tab w:val="num" w:pos="720"/>
        </w:tabs>
        <w:spacing w:after="0"/>
        <w:ind w:left="714" w:hanging="357"/>
        <w:jc w:val="left"/>
        <w:rPr>
          <w:sz w:val="22"/>
          <w:szCs w:val="22"/>
          <w:lang w:eastAsia="en-AU"/>
        </w:rPr>
      </w:pPr>
      <w:r w:rsidRPr="00625A47">
        <w:rPr>
          <w:sz w:val="22"/>
          <w:szCs w:val="22"/>
          <w:lang w:eastAsia="en-AU"/>
        </w:rPr>
        <w:t xml:space="preserve">The development of a short report that collates and assesses data and information on </w:t>
      </w:r>
      <w:proofErr w:type="spellStart"/>
      <w:r w:rsidRPr="00625A47">
        <w:rPr>
          <w:sz w:val="22"/>
          <w:szCs w:val="22"/>
          <w:lang w:eastAsia="en-AU"/>
        </w:rPr>
        <w:t>biosolids</w:t>
      </w:r>
      <w:proofErr w:type="spellEnd"/>
      <w:r w:rsidRPr="00625A47">
        <w:rPr>
          <w:sz w:val="22"/>
          <w:szCs w:val="22"/>
          <w:lang w:eastAsia="en-AU"/>
        </w:rPr>
        <w:t xml:space="preserve"> in Australia. </w:t>
      </w:r>
      <w:r w:rsidRPr="00567DEB">
        <w:rPr>
          <w:sz w:val="22"/>
          <w:szCs w:val="22"/>
        </w:rPr>
        <w:t xml:space="preserve">This report will present existing </w:t>
      </w:r>
      <w:proofErr w:type="spellStart"/>
      <w:r w:rsidRPr="00567DEB">
        <w:rPr>
          <w:sz w:val="22"/>
          <w:szCs w:val="22"/>
        </w:rPr>
        <w:t>biosolids</w:t>
      </w:r>
      <w:proofErr w:type="spellEnd"/>
      <w:r w:rsidRPr="00567DEB">
        <w:rPr>
          <w:sz w:val="22"/>
          <w:szCs w:val="22"/>
        </w:rPr>
        <w:t xml:space="preserve"> data and information from public sources, and water utilities and additional information available from the Australian and New Zealand </w:t>
      </w:r>
      <w:proofErr w:type="spellStart"/>
      <w:r w:rsidRPr="00567DEB">
        <w:rPr>
          <w:sz w:val="22"/>
          <w:szCs w:val="22"/>
        </w:rPr>
        <w:t>Biosolids</w:t>
      </w:r>
      <w:proofErr w:type="spellEnd"/>
      <w:r w:rsidRPr="00567DEB">
        <w:rPr>
          <w:sz w:val="22"/>
          <w:szCs w:val="22"/>
        </w:rPr>
        <w:t xml:space="preserve"> Partnership (ANZBP).</w:t>
      </w:r>
    </w:p>
    <w:p w:rsidR="00E20128" w:rsidRPr="00625A47" w:rsidRDefault="00E20128" w:rsidP="00A35633">
      <w:pPr>
        <w:numPr>
          <w:ilvl w:val="3"/>
          <w:numId w:val="20"/>
        </w:numPr>
        <w:tabs>
          <w:tab w:val="clear" w:pos="2880"/>
          <w:tab w:val="num" w:pos="720"/>
        </w:tabs>
        <w:spacing w:after="0"/>
        <w:ind w:left="714" w:hanging="357"/>
        <w:jc w:val="left"/>
        <w:rPr>
          <w:sz w:val="22"/>
          <w:szCs w:val="22"/>
          <w:lang w:eastAsia="en-AU"/>
        </w:rPr>
      </w:pPr>
      <w:r w:rsidRPr="00625A47">
        <w:rPr>
          <w:sz w:val="22"/>
          <w:szCs w:val="22"/>
          <w:lang w:eastAsia="en-AU"/>
        </w:rPr>
        <w:t xml:space="preserve">The report should cover </w:t>
      </w:r>
      <w:r>
        <w:rPr>
          <w:sz w:val="22"/>
          <w:szCs w:val="22"/>
          <w:lang w:eastAsia="en-AU"/>
        </w:rPr>
        <w:t xml:space="preserve">the following information relating to </w:t>
      </w:r>
      <w:proofErr w:type="spellStart"/>
      <w:r>
        <w:rPr>
          <w:sz w:val="22"/>
          <w:szCs w:val="22"/>
          <w:lang w:eastAsia="en-AU"/>
        </w:rPr>
        <w:t>biosolids</w:t>
      </w:r>
      <w:proofErr w:type="spellEnd"/>
      <w:r w:rsidRPr="00625A47">
        <w:rPr>
          <w:sz w:val="22"/>
          <w:szCs w:val="22"/>
          <w:lang w:eastAsia="en-AU"/>
        </w:rPr>
        <w:t>:</w:t>
      </w:r>
    </w:p>
    <w:p w:rsidR="00E20128" w:rsidRPr="00625A47" w:rsidRDefault="00E20128" w:rsidP="00A35633">
      <w:pPr>
        <w:numPr>
          <w:ilvl w:val="1"/>
          <w:numId w:val="20"/>
        </w:numPr>
        <w:spacing w:after="0"/>
        <w:jc w:val="left"/>
        <w:rPr>
          <w:sz w:val="22"/>
          <w:szCs w:val="22"/>
          <w:lang w:eastAsia="en-AU"/>
        </w:rPr>
      </w:pPr>
      <w:r w:rsidRPr="00625A47">
        <w:rPr>
          <w:sz w:val="22"/>
          <w:szCs w:val="22"/>
          <w:lang w:eastAsia="en-AU"/>
        </w:rPr>
        <w:t xml:space="preserve">volumes </w:t>
      </w:r>
      <w:r>
        <w:rPr>
          <w:sz w:val="22"/>
          <w:szCs w:val="22"/>
          <w:lang w:eastAsia="en-AU"/>
        </w:rPr>
        <w:t>(production in dry tonnes per day)</w:t>
      </w:r>
    </w:p>
    <w:p w:rsidR="00E20128" w:rsidRPr="00625A47" w:rsidRDefault="00E20128" w:rsidP="00A35633">
      <w:pPr>
        <w:numPr>
          <w:ilvl w:val="1"/>
          <w:numId w:val="20"/>
        </w:numPr>
        <w:spacing w:after="0"/>
        <w:jc w:val="left"/>
        <w:rPr>
          <w:sz w:val="22"/>
          <w:szCs w:val="22"/>
          <w:lang w:eastAsia="en-AU"/>
        </w:rPr>
      </w:pPr>
      <w:r w:rsidRPr="00625A47">
        <w:rPr>
          <w:sz w:val="22"/>
          <w:szCs w:val="22"/>
          <w:lang w:eastAsia="en-AU"/>
        </w:rPr>
        <w:t>origins and pathways</w:t>
      </w:r>
      <w:r>
        <w:rPr>
          <w:sz w:val="22"/>
          <w:szCs w:val="22"/>
          <w:lang w:eastAsia="en-AU"/>
        </w:rPr>
        <w:t xml:space="preserve"> (including end use)</w:t>
      </w:r>
    </w:p>
    <w:p w:rsidR="00E20128" w:rsidRPr="00625A47" w:rsidRDefault="00E20128" w:rsidP="00A35633">
      <w:pPr>
        <w:numPr>
          <w:ilvl w:val="1"/>
          <w:numId w:val="20"/>
        </w:numPr>
        <w:spacing w:after="0"/>
        <w:jc w:val="left"/>
        <w:rPr>
          <w:sz w:val="22"/>
          <w:szCs w:val="22"/>
          <w:lang w:eastAsia="en-AU"/>
        </w:rPr>
      </w:pPr>
      <w:r w:rsidRPr="00625A47">
        <w:rPr>
          <w:sz w:val="22"/>
          <w:szCs w:val="22"/>
          <w:lang w:eastAsia="en-AU"/>
        </w:rPr>
        <w:t>composition</w:t>
      </w:r>
      <w:r>
        <w:rPr>
          <w:sz w:val="22"/>
          <w:szCs w:val="22"/>
          <w:lang w:eastAsia="en-AU"/>
        </w:rPr>
        <w:t xml:space="preserve"> (including stabilisation grade)</w:t>
      </w:r>
    </w:p>
    <w:p w:rsidR="00E20128" w:rsidRPr="00625A47" w:rsidRDefault="00E20128" w:rsidP="00A35633">
      <w:pPr>
        <w:numPr>
          <w:ilvl w:val="1"/>
          <w:numId w:val="20"/>
        </w:numPr>
        <w:spacing w:after="0"/>
        <w:jc w:val="left"/>
        <w:rPr>
          <w:sz w:val="22"/>
          <w:szCs w:val="22"/>
          <w:lang w:eastAsia="en-AU"/>
        </w:rPr>
      </w:pPr>
      <w:r w:rsidRPr="00625A47">
        <w:rPr>
          <w:sz w:val="22"/>
          <w:szCs w:val="22"/>
          <w:lang w:eastAsia="en-AU"/>
        </w:rPr>
        <w:t>risks</w:t>
      </w:r>
    </w:p>
    <w:p w:rsidR="00E20128" w:rsidRDefault="00E20128" w:rsidP="00A35633">
      <w:pPr>
        <w:numPr>
          <w:ilvl w:val="1"/>
          <w:numId w:val="20"/>
        </w:numPr>
        <w:spacing w:after="0"/>
        <w:jc w:val="left"/>
        <w:rPr>
          <w:sz w:val="22"/>
          <w:szCs w:val="22"/>
          <w:lang w:eastAsia="en-AU"/>
        </w:rPr>
      </w:pPr>
      <w:r w:rsidRPr="00625A47">
        <w:rPr>
          <w:sz w:val="22"/>
          <w:szCs w:val="22"/>
          <w:lang w:eastAsia="en-AU"/>
        </w:rPr>
        <w:t>current management</w:t>
      </w:r>
      <w:r>
        <w:rPr>
          <w:sz w:val="22"/>
          <w:szCs w:val="22"/>
          <w:lang w:eastAsia="en-AU"/>
        </w:rPr>
        <w:t xml:space="preserve"> (dewatering and stabilisation processes)</w:t>
      </w:r>
    </w:p>
    <w:p w:rsidR="00E20128" w:rsidRPr="00625A47" w:rsidRDefault="00E20128" w:rsidP="00A35633">
      <w:pPr>
        <w:numPr>
          <w:ilvl w:val="1"/>
          <w:numId w:val="20"/>
        </w:numPr>
        <w:spacing w:after="0"/>
        <w:jc w:val="left"/>
        <w:rPr>
          <w:sz w:val="22"/>
          <w:szCs w:val="22"/>
          <w:lang w:eastAsia="en-AU"/>
        </w:rPr>
      </w:pPr>
      <w:r w:rsidRPr="00F53687">
        <w:rPr>
          <w:sz w:val="22"/>
          <w:szCs w:val="22"/>
          <w:lang w:eastAsia="en-AU"/>
        </w:rPr>
        <w:t xml:space="preserve">mean price of treatment per tonne of dry </w:t>
      </w:r>
      <w:proofErr w:type="spellStart"/>
      <w:r w:rsidRPr="00F53687">
        <w:rPr>
          <w:sz w:val="22"/>
          <w:szCs w:val="22"/>
          <w:lang w:eastAsia="en-AU"/>
        </w:rPr>
        <w:t>biosolids</w:t>
      </w:r>
      <w:proofErr w:type="spellEnd"/>
    </w:p>
    <w:p w:rsidR="00E20128" w:rsidRPr="00625A47" w:rsidRDefault="00E20128" w:rsidP="00A35633">
      <w:pPr>
        <w:numPr>
          <w:ilvl w:val="1"/>
          <w:numId w:val="20"/>
        </w:numPr>
        <w:spacing w:after="0"/>
        <w:jc w:val="left"/>
        <w:rPr>
          <w:sz w:val="22"/>
          <w:szCs w:val="22"/>
          <w:lang w:eastAsia="en-AU"/>
        </w:rPr>
      </w:pPr>
      <w:r w:rsidRPr="00625A47">
        <w:rPr>
          <w:sz w:val="22"/>
          <w:szCs w:val="22"/>
          <w:lang w:eastAsia="en-AU"/>
        </w:rPr>
        <w:t>specifications, best practice guidelines and standards</w:t>
      </w:r>
      <w:r>
        <w:rPr>
          <w:sz w:val="22"/>
          <w:szCs w:val="22"/>
          <w:lang w:eastAsia="en-AU"/>
        </w:rPr>
        <w:t xml:space="preserve"> employed</w:t>
      </w:r>
    </w:p>
    <w:p w:rsidR="00E20128" w:rsidRPr="00625A47" w:rsidRDefault="00E20128" w:rsidP="00A35633">
      <w:pPr>
        <w:numPr>
          <w:ilvl w:val="1"/>
          <w:numId w:val="20"/>
        </w:numPr>
        <w:spacing w:after="0"/>
        <w:jc w:val="left"/>
        <w:rPr>
          <w:sz w:val="22"/>
          <w:szCs w:val="22"/>
          <w:lang w:eastAsia="en-AU"/>
        </w:rPr>
      </w:pPr>
      <w:r w:rsidRPr="00625A47">
        <w:rPr>
          <w:sz w:val="22"/>
          <w:szCs w:val="22"/>
          <w:lang w:eastAsia="en-AU"/>
        </w:rPr>
        <w:t>current markets</w:t>
      </w:r>
    </w:p>
    <w:p w:rsidR="00E20128" w:rsidRPr="00625A47" w:rsidRDefault="00E20128" w:rsidP="00A35633">
      <w:pPr>
        <w:numPr>
          <w:ilvl w:val="1"/>
          <w:numId w:val="20"/>
        </w:numPr>
        <w:spacing w:after="0"/>
        <w:jc w:val="left"/>
        <w:rPr>
          <w:sz w:val="22"/>
          <w:szCs w:val="22"/>
          <w:lang w:eastAsia="en-AU"/>
        </w:rPr>
      </w:pPr>
      <w:proofErr w:type="gramStart"/>
      <w:r w:rsidRPr="00625A47">
        <w:rPr>
          <w:sz w:val="22"/>
          <w:szCs w:val="22"/>
          <w:lang w:eastAsia="en-AU"/>
        </w:rPr>
        <w:t>market</w:t>
      </w:r>
      <w:proofErr w:type="gramEnd"/>
      <w:r w:rsidRPr="00625A47">
        <w:rPr>
          <w:sz w:val="22"/>
          <w:szCs w:val="22"/>
          <w:lang w:eastAsia="en-AU"/>
        </w:rPr>
        <w:t xml:space="preserve"> barriers and opportunities</w:t>
      </w:r>
      <w:r>
        <w:rPr>
          <w:sz w:val="22"/>
          <w:szCs w:val="22"/>
          <w:lang w:eastAsia="en-AU"/>
        </w:rPr>
        <w:t>.</w:t>
      </w:r>
    </w:p>
    <w:p w:rsidR="000D53EA" w:rsidRDefault="000D53EA">
      <w:pPr>
        <w:jc w:val="left"/>
      </w:pPr>
    </w:p>
    <w:p w:rsidR="000D53EA" w:rsidRDefault="00337CA3">
      <w:pPr>
        <w:pStyle w:val="Heading2"/>
        <w:jc w:val="left"/>
      </w:pPr>
      <w:bookmarkStart w:id="15" w:name="_Toc326747445"/>
      <w:r>
        <w:lastRenderedPageBreak/>
        <w:t>Data collection</w:t>
      </w:r>
      <w:bookmarkEnd w:id="15"/>
    </w:p>
    <w:p w:rsidR="000D53EA" w:rsidRDefault="00DF5CD8">
      <w:pPr>
        <w:jc w:val="left"/>
      </w:pPr>
      <w:bookmarkStart w:id="16" w:name="_Toc119575243"/>
      <w:r>
        <w:t xml:space="preserve">The Australian and New Zealand </w:t>
      </w:r>
      <w:proofErr w:type="spellStart"/>
      <w:r>
        <w:t>Biosolids</w:t>
      </w:r>
      <w:proofErr w:type="spellEnd"/>
      <w:r>
        <w:t xml:space="preserve"> </w:t>
      </w:r>
      <w:r w:rsidR="004625E6">
        <w:t>P</w:t>
      </w:r>
      <w:r>
        <w:t xml:space="preserve">artnership commissioned a national survey </w:t>
      </w:r>
      <w:r w:rsidR="00292E2A">
        <w:t xml:space="preserve">in 2010 </w:t>
      </w:r>
      <w:r>
        <w:t xml:space="preserve">to identify the main features of </w:t>
      </w:r>
      <w:proofErr w:type="spellStart"/>
      <w:r>
        <w:t>biosolids</w:t>
      </w:r>
      <w:proofErr w:type="spellEnd"/>
      <w:r>
        <w:t xml:space="preserve"> management. This survey catalogued the following primary parameters:</w:t>
      </w:r>
    </w:p>
    <w:p w:rsidR="000D53EA" w:rsidRDefault="00DF5CD8">
      <w:pPr>
        <w:pStyle w:val="ListParagraph"/>
        <w:numPr>
          <w:ilvl w:val="0"/>
          <w:numId w:val="6"/>
        </w:numPr>
        <w:spacing w:before="120" w:after="120"/>
      </w:pPr>
      <w:proofErr w:type="spellStart"/>
      <w:r>
        <w:t>Biosolids</w:t>
      </w:r>
      <w:proofErr w:type="spellEnd"/>
      <w:r>
        <w:t xml:space="preserve"> production;</w:t>
      </w:r>
    </w:p>
    <w:p w:rsidR="000D53EA" w:rsidRDefault="00DF5CD8">
      <w:pPr>
        <w:pStyle w:val="ListParagraph"/>
        <w:numPr>
          <w:ilvl w:val="0"/>
          <w:numId w:val="6"/>
        </w:numPr>
        <w:spacing w:before="120" w:after="120"/>
      </w:pPr>
      <w:proofErr w:type="spellStart"/>
      <w:r>
        <w:t>Biosolids</w:t>
      </w:r>
      <w:proofErr w:type="spellEnd"/>
      <w:r>
        <w:t xml:space="preserve"> end use;</w:t>
      </w:r>
    </w:p>
    <w:p w:rsidR="000D53EA" w:rsidRDefault="00DF5CD8">
      <w:pPr>
        <w:pStyle w:val="ListParagraph"/>
        <w:numPr>
          <w:ilvl w:val="0"/>
          <w:numId w:val="6"/>
        </w:numPr>
        <w:spacing w:before="120" w:after="120"/>
      </w:pPr>
      <w:proofErr w:type="spellStart"/>
      <w:r>
        <w:t>Biosolids</w:t>
      </w:r>
      <w:proofErr w:type="spellEnd"/>
      <w:r>
        <w:t xml:space="preserve"> stabilisation grade;</w:t>
      </w:r>
    </w:p>
    <w:p w:rsidR="000D53EA" w:rsidRDefault="00DF5CD8">
      <w:pPr>
        <w:pStyle w:val="ListParagraph"/>
        <w:numPr>
          <w:ilvl w:val="0"/>
          <w:numId w:val="6"/>
        </w:numPr>
        <w:spacing w:before="120" w:after="120"/>
      </w:pPr>
      <w:proofErr w:type="spellStart"/>
      <w:r>
        <w:t>Biosolids</w:t>
      </w:r>
      <w:proofErr w:type="spellEnd"/>
      <w:r>
        <w:t xml:space="preserve"> primary stabilisation process;</w:t>
      </w:r>
    </w:p>
    <w:p w:rsidR="000D53EA" w:rsidRDefault="00DF5CD8">
      <w:pPr>
        <w:pStyle w:val="ListParagraph"/>
        <w:numPr>
          <w:ilvl w:val="0"/>
          <w:numId w:val="6"/>
        </w:numPr>
        <w:spacing w:before="120" w:after="120"/>
      </w:pPr>
      <w:proofErr w:type="spellStart"/>
      <w:r>
        <w:t>Biosolids</w:t>
      </w:r>
      <w:proofErr w:type="spellEnd"/>
      <w:r>
        <w:t xml:space="preserve"> dewatering process.</w:t>
      </w:r>
    </w:p>
    <w:p w:rsidR="000D53EA" w:rsidRDefault="00DF5CD8">
      <w:pPr>
        <w:jc w:val="left"/>
      </w:pPr>
      <w:r>
        <w:t xml:space="preserve">The results of this survey are used as the basis of this report and are presented </w:t>
      </w:r>
      <w:r w:rsidR="00480ECC">
        <w:t xml:space="preserve">on </w:t>
      </w:r>
      <w:r>
        <w:t>a national and state basis.</w:t>
      </w:r>
      <w:r w:rsidR="00973176">
        <w:t xml:space="preserve">  The survey report can be found at </w:t>
      </w:r>
      <w:hyperlink r:id="rId15" w:history="1">
        <w:r w:rsidR="00973176" w:rsidRPr="00B0004B">
          <w:rPr>
            <w:rStyle w:val="Hyperlink"/>
          </w:rPr>
          <w:t>www.biosolids.com.au</w:t>
        </w:r>
      </w:hyperlink>
      <w:r w:rsidR="00973176">
        <w:t xml:space="preserve">. </w:t>
      </w:r>
    </w:p>
    <w:p w:rsidR="000D53EA" w:rsidRDefault="00DF5CD8">
      <w:pPr>
        <w:pStyle w:val="Heading3"/>
        <w:jc w:val="left"/>
      </w:pPr>
      <w:bookmarkStart w:id="17" w:name="_Toc326747446"/>
      <w:r>
        <w:t>Method</w:t>
      </w:r>
      <w:bookmarkEnd w:id="17"/>
    </w:p>
    <w:p w:rsidR="000D53EA" w:rsidRDefault="00DF5CD8">
      <w:pPr>
        <w:jc w:val="left"/>
      </w:pPr>
      <w:r>
        <w:t xml:space="preserve">The approach used to determine the </w:t>
      </w:r>
      <w:proofErr w:type="spellStart"/>
      <w:r>
        <w:t>biosolids</w:t>
      </w:r>
      <w:proofErr w:type="spellEnd"/>
      <w:r>
        <w:t xml:space="preserve"> production in Australia was to survey all plants over 25,000 p</w:t>
      </w:r>
      <w:r w:rsidR="00E67119">
        <w:t xml:space="preserve">eople or 5 ML/day. </w:t>
      </w:r>
      <w:r w:rsidR="009C5F8E">
        <w:t>T</w:t>
      </w:r>
      <w:r w:rsidR="00432C80">
        <w:t>his criterion</w:t>
      </w:r>
      <w:r>
        <w:t xml:space="preserve"> capture</w:t>
      </w:r>
      <w:r w:rsidR="009C5F8E">
        <w:t>s</w:t>
      </w:r>
      <w:r>
        <w:t xml:space="preserve"> around about 80% of Australia’s population.  In the course of the survey many water utilities provided information on plants smaller than this threshold and where they did, the data was included.</w:t>
      </w:r>
    </w:p>
    <w:p w:rsidR="000D53EA" w:rsidRDefault="00DF5CD8">
      <w:pPr>
        <w:jc w:val="left"/>
      </w:pPr>
      <w:r>
        <w:t>All classifications are made on the basis of tonnes of production</w:t>
      </w:r>
      <w:r w:rsidR="009C5F8E">
        <w:t xml:space="preserve"> and do not include management of established stockpiles</w:t>
      </w:r>
      <w:r>
        <w:t>.</w:t>
      </w:r>
      <w:r w:rsidR="009C5F8E">
        <w:t xml:space="preserve">  That is, the data represents the current annual production of </w:t>
      </w:r>
      <w:proofErr w:type="spellStart"/>
      <w:r w:rsidR="009C5F8E">
        <w:t>biosolids</w:t>
      </w:r>
      <w:proofErr w:type="spellEnd"/>
      <w:r w:rsidR="009C5F8E">
        <w:t xml:space="preserve"> in Australia and each state.</w:t>
      </w:r>
    </w:p>
    <w:p w:rsidR="000D53EA" w:rsidRDefault="00DF5CD8">
      <w:pPr>
        <w:pStyle w:val="Heading3"/>
        <w:jc w:val="left"/>
      </w:pPr>
      <w:bookmarkStart w:id="18" w:name="_Toc326747447"/>
      <w:r>
        <w:t>Classifications</w:t>
      </w:r>
      <w:bookmarkEnd w:id="18"/>
    </w:p>
    <w:p w:rsidR="000D53EA" w:rsidRDefault="00DF5CD8">
      <w:pPr>
        <w:jc w:val="left"/>
      </w:pPr>
      <w:r>
        <w:t>To enable relatively simpl</w:t>
      </w:r>
      <w:r w:rsidR="00207904">
        <w:t>e</w:t>
      </w:r>
      <w:r>
        <w:t xml:space="preserve"> analysis and presentation of the data each area of information, such as end use, was classified into a number of broad groupings.  These groupings are discussed below.</w:t>
      </w:r>
    </w:p>
    <w:p w:rsidR="000D53EA" w:rsidRDefault="00DF5CD8">
      <w:pPr>
        <w:pStyle w:val="Heading4"/>
        <w:jc w:val="left"/>
      </w:pPr>
      <w:r>
        <w:t>Production</w:t>
      </w:r>
    </w:p>
    <w:p w:rsidR="000D53EA" w:rsidRDefault="00DF5CD8">
      <w:pPr>
        <w:jc w:val="left"/>
      </w:pPr>
      <w:r>
        <w:t xml:space="preserve">Production is presented in terms of tonnes of dry </w:t>
      </w:r>
      <w:proofErr w:type="spellStart"/>
      <w:r>
        <w:t>biosolids</w:t>
      </w:r>
      <w:proofErr w:type="spellEnd"/>
      <w:r>
        <w:t>.</w:t>
      </w:r>
    </w:p>
    <w:p w:rsidR="000D53EA" w:rsidRDefault="00DF5CD8">
      <w:pPr>
        <w:pStyle w:val="Heading4"/>
        <w:jc w:val="left"/>
      </w:pPr>
      <w:r>
        <w:t>End use</w:t>
      </w:r>
    </w:p>
    <w:p w:rsidR="000D53EA" w:rsidRDefault="00DF5CD8">
      <w:pPr>
        <w:jc w:val="left"/>
      </w:pPr>
      <w:r>
        <w:t>The following classifications were used for end use:</w:t>
      </w:r>
    </w:p>
    <w:p w:rsidR="000D53EA" w:rsidRDefault="00DF5CD8">
      <w:pPr>
        <w:pStyle w:val="ListParagraph"/>
        <w:numPr>
          <w:ilvl w:val="0"/>
          <w:numId w:val="7"/>
        </w:numPr>
        <w:spacing w:before="120" w:after="120"/>
        <w:contextualSpacing w:val="0"/>
      </w:pPr>
      <w:r>
        <w:t xml:space="preserve">Agriculture: for </w:t>
      </w:r>
      <w:proofErr w:type="spellStart"/>
      <w:r>
        <w:t>biosolids</w:t>
      </w:r>
      <w:proofErr w:type="spellEnd"/>
      <w:r>
        <w:t xml:space="preserve"> which is applied to land for its fertiliser value without value added processing;</w:t>
      </w:r>
    </w:p>
    <w:p w:rsidR="000D53EA" w:rsidRDefault="00DF5CD8">
      <w:pPr>
        <w:pStyle w:val="ListParagraph"/>
        <w:numPr>
          <w:ilvl w:val="0"/>
          <w:numId w:val="7"/>
        </w:numPr>
        <w:spacing w:before="120" w:after="120"/>
        <w:contextualSpacing w:val="0"/>
      </w:pPr>
      <w:r>
        <w:t xml:space="preserve">Composting: for </w:t>
      </w:r>
      <w:proofErr w:type="spellStart"/>
      <w:r>
        <w:t>biosolids</w:t>
      </w:r>
      <w:proofErr w:type="spellEnd"/>
      <w:r>
        <w:t xml:space="preserve"> which </w:t>
      </w:r>
      <w:r w:rsidR="00207904">
        <w:t xml:space="preserve">is </w:t>
      </w:r>
      <w:r>
        <w:t>processed through a composting facility and used for landscaping or other horticultural use;</w:t>
      </w:r>
    </w:p>
    <w:p w:rsidR="000D53EA" w:rsidRDefault="00DF5CD8">
      <w:pPr>
        <w:pStyle w:val="ListParagraph"/>
        <w:numPr>
          <w:ilvl w:val="0"/>
          <w:numId w:val="7"/>
        </w:numPr>
        <w:spacing w:before="120" w:after="120"/>
        <w:contextualSpacing w:val="0"/>
      </w:pPr>
      <w:r>
        <w:t xml:space="preserve">Forestry: for </w:t>
      </w:r>
      <w:proofErr w:type="spellStart"/>
      <w:r>
        <w:t>biosolids</w:t>
      </w:r>
      <w:proofErr w:type="spellEnd"/>
      <w:r>
        <w:t xml:space="preserve"> which is applied to plantation forests to aid tree growth;</w:t>
      </w:r>
    </w:p>
    <w:p w:rsidR="000D53EA" w:rsidRDefault="00DF5CD8">
      <w:pPr>
        <w:pStyle w:val="ListParagraph"/>
        <w:numPr>
          <w:ilvl w:val="0"/>
          <w:numId w:val="7"/>
        </w:numPr>
        <w:spacing w:before="120" w:after="120"/>
        <w:contextualSpacing w:val="0"/>
      </w:pPr>
      <w:r>
        <w:t xml:space="preserve">Landfill: for </w:t>
      </w:r>
      <w:proofErr w:type="spellStart"/>
      <w:r>
        <w:t>biosolids</w:t>
      </w:r>
      <w:proofErr w:type="spellEnd"/>
      <w:r>
        <w:t xml:space="preserve"> which is disposed to landfill;</w:t>
      </w:r>
    </w:p>
    <w:p w:rsidR="000D53EA" w:rsidRDefault="00DF5CD8">
      <w:pPr>
        <w:pStyle w:val="ListParagraph"/>
        <w:numPr>
          <w:ilvl w:val="0"/>
          <w:numId w:val="7"/>
        </w:numPr>
        <w:spacing w:before="120" w:after="120"/>
        <w:contextualSpacing w:val="0"/>
      </w:pPr>
      <w:r>
        <w:t xml:space="preserve">Sea: for </w:t>
      </w:r>
      <w:proofErr w:type="spellStart"/>
      <w:r>
        <w:t>biosolids</w:t>
      </w:r>
      <w:proofErr w:type="spellEnd"/>
      <w:r>
        <w:t xml:space="preserve"> which is discharged to the ocean;</w:t>
      </w:r>
    </w:p>
    <w:p w:rsidR="000D53EA" w:rsidRDefault="00DF5CD8">
      <w:pPr>
        <w:pStyle w:val="ListParagraph"/>
        <w:numPr>
          <w:ilvl w:val="0"/>
          <w:numId w:val="7"/>
        </w:numPr>
        <w:spacing w:before="120" w:after="120"/>
        <w:contextualSpacing w:val="0"/>
      </w:pPr>
      <w:r>
        <w:t xml:space="preserve">Stockpile: for </w:t>
      </w:r>
      <w:proofErr w:type="spellStart"/>
      <w:r>
        <w:t>biosolids</w:t>
      </w:r>
      <w:proofErr w:type="spellEnd"/>
      <w:r>
        <w:t xml:space="preserve"> which is stored, pending future planning, processing or use;</w:t>
      </w:r>
    </w:p>
    <w:p w:rsidR="000D53EA" w:rsidRDefault="00DF5CD8">
      <w:pPr>
        <w:pStyle w:val="ListParagraph"/>
        <w:numPr>
          <w:ilvl w:val="0"/>
          <w:numId w:val="7"/>
        </w:numPr>
        <w:spacing w:before="120" w:after="120"/>
        <w:contextualSpacing w:val="0"/>
      </w:pPr>
      <w:r>
        <w:t>Unspecified: for plants which did not respond or for which the end use could not be identified.</w:t>
      </w:r>
    </w:p>
    <w:p w:rsidR="000D53EA" w:rsidRDefault="00DF5CD8">
      <w:pPr>
        <w:pStyle w:val="Heading4"/>
        <w:jc w:val="left"/>
      </w:pPr>
      <w:r>
        <w:lastRenderedPageBreak/>
        <w:t>Stabilisation grade</w:t>
      </w:r>
    </w:p>
    <w:p w:rsidR="000D53EA" w:rsidRDefault="00DF5CD8">
      <w:pPr>
        <w:jc w:val="left"/>
      </w:pPr>
      <w:r>
        <w:t xml:space="preserve">Stabilisation grade was classified on the basis of an A, B or C grading.  This grading was adopted in light of the broad variation in nomenclature for stabilisation grading across Australia.  The equivalent </w:t>
      </w:r>
      <w:proofErr w:type="spellStart"/>
      <w:r>
        <w:t>gradings</w:t>
      </w:r>
      <w:proofErr w:type="spellEnd"/>
      <w:r>
        <w:t xml:space="preserve"> are shown in </w:t>
      </w:r>
      <w:r w:rsidR="007471F4">
        <w:t>T</w:t>
      </w:r>
      <w:r>
        <w:t xml:space="preserve">able </w:t>
      </w:r>
      <w:r w:rsidR="007471F4">
        <w:t xml:space="preserve">1 </w:t>
      </w:r>
      <w:r>
        <w:t>below.</w:t>
      </w:r>
    </w:p>
    <w:p w:rsidR="000D53EA" w:rsidRDefault="007471F4">
      <w:pPr>
        <w:pStyle w:val="TableHeading"/>
        <w:jc w:val="left"/>
      </w:pPr>
      <w:r>
        <w:t xml:space="preserve">Table 1 – </w:t>
      </w:r>
      <w:proofErr w:type="spellStart"/>
      <w:r>
        <w:t>Biosolids</w:t>
      </w:r>
      <w:proofErr w:type="spellEnd"/>
      <w:r>
        <w:t xml:space="preserve"> stabilisation classifications in Australia</w:t>
      </w:r>
    </w:p>
    <w:tbl>
      <w:tblPr>
        <w:tblStyle w:val="TableGrid"/>
        <w:tblW w:w="0" w:type="auto"/>
        <w:tblLook w:val="00A0"/>
      </w:tblPr>
      <w:tblGrid>
        <w:gridCol w:w="1257"/>
        <w:gridCol w:w="937"/>
        <w:gridCol w:w="1116"/>
        <w:gridCol w:w="1116"/>
        <w:gridCol w:w="874"/>
        <w:gridCol w:w="869"/>
        <w:gridCol w:w="794"/>
        <w:gridCol w:w="1066"/>
      </w:tblGrid>
      <w:tr w:rsidR="00DF5CD8" w:rsidRPr="000A1579" w:rsidTr="00E67119">
        <w:tc>
          <w:tcPr>
            <w:tcW w:w="1257" w:type="dxa"/>
          </w:tcPr>
          <w:p w:rsidR="000D53EA" w:rsidRDefault="00DF5CD8">
            <w:pPr>
              <w:spacing w:before="60" w:after="60"/>
              <w:jc w:val="left"/>
              <w:rPr>
                <w:rFonts w:eastAsiaTheme="minorEastAsia"/>
                <w:b/>
                <w:sz w:val="18"/>
                <w:lang w:eastAsia="ja-JP"/>
              </w:rPr>
            </w:pPr>
            <w:r>
              <w:rPr>
                <w:b/>
                <w:sz w:val="18"/>
              </w:rPr>
              <w:t>Classification</w:t>
            </w:r>
          </w:p>
        </w:tc>
        <w:tc>
          <w:tcPr>
            <w:tcW w:w="937" w:type="dxa"/>
          </w:tcPr>
          <w:p w:rsidR="000D53EA" w:rsidRDefault="00DF5CD8">
            <w:pPr>
              <w:spacing w:before="60" w:after="60"/>
              <w:jc w:val="left"/>
              <w:rPr>
                <w:rFonts w:eastAsiaTheme="minorEastAsia"/>
                <w:b/>
                <w:sz w:val="18"/>
                <w:lang w:eastAsia="ja-JP"/>
              </w:rPr>
            </w:pPr>
            <w:r>
              <w:rPr>
                <w:b/>
                <w:sz w:val="18"/>
              </w:rPr>
              <w:t>NSW</w:t>
            </w:r>
          </w:p>
        </w:tc>
        <w:tc>
          <w:tcPr>
            <w:tcW w:w="857" w:type="dxa"/>
          </w:tcPr>
          <w:p w:rsidR="000D53EA" w:rsidRDefault="00DF5CD8">
            <w:pPr>
              <w:spacing w:before="60" w:after="60"/>
              <w:jc w:val="left"/>
              <w:rPr>
                <w:rFonts w:eastAsiaTheme="minorEastAsia"/>
                <w:b/>
                <w:sz w:val="18"/>
                <w:lang w:eastAsia="ja-JP"/>
              </w:rPr>
            </w:pPr>
            <w:r>
              <w:rPr>
                <w:b/>
                <w:sz w:val="18"/>
              </w:rPr>
              <w:t>Vic</w:t>
            </w:r>
          </w:p>
        </w:tc>
        <w:tc>
          <w:tcPr>
            <w:tcW w:w="842" w:type="dxa"/>
          </w:tcPr>
          <w:p w:rsidR="000D53EA" w:rsidRDefault="00DF5CD8">
            <w:pPr>
              <w:spacing w:before="60" w:after="60"/>
              <w:jc w:val="left"/>
              <w:rPr>
                <w:rFonts w:eastAsiaTheme="minorEastAsia"/>
                <w:b/>
                <w:sz w:val="18"/>
                <w:lang w:eastAsia="ja-JP"/>
              </w:rPr>
            </w:pPr>
            <w:r>
              <w:rPr>
                <w:b/>
                <w:sz w:val="18"/>
              </w:rPr>
              <w:t>SA</w:t>
            </w:r>
          </w:p>
        </w:tc>
        <w:tc>
          <w:tcPr>
            <w:tcW w:w="874" w:type="dxa"/>
          </w:tcPr>
          <w:p w:rsidR="000D53EA" w:rsidRDefault="00DF5CD8">
            <w:pPr>
              <w:spacing w:before="60" w:after="60"/>
              <w:jc w:val="left"/>
              <w:rPr>
                <w:rFonts w:eastAsiaTheme="minorEastAsia"/>
                <w:b/>
                <w:sz w:val="18"/>
                <w:lang w:eastAsia="ja-JP"/>
              </w:rPr>
            </w:pPr>
            <w:r>
              <w:rPr>
                <w:b/>
                <w:sz w:val="18"/>
              </w:rPr>
              <w:t>Qld</w:t>
            </w:r>
          </w:p>
        </w:tc>
        <w:tc>
          <w:tcPr>
            <w:tcW w:w="869" w:type="dxa"/>
          </w:tcPr>
          <w:p w:rsidR="000D53EA" w:rsidRDefault="00DF5CD8">
            <w:pPr>
              <w:spacing w:before="60" w:after="60"/>
              <w:jc w:val="left"/>
              <w:rPr>
                <w:rFonts w:eastAsiaTheme="minorEastAsia"/>
                <w:b/>
                <w:sz w:val="18"/>
                <w:lang w:eastAsia="ja-JP"/>
              </w:rPr>
            </w:pPr>
            <w:r>
              <w:rPr>
                <w:b/>
                <w:sz w:val="18"/>
              </w:rPr>
              <w:t>Tas</w:t>
            </w:r>
          </w:p>
        </w:tc>
        <w:tc>
          <w:tcPr>
            <w:tcW w:w="794" w:type="dxa"/>
          </w:tcPr>
          <w:p w:rsidR="000D53EA" w:rsidRDefault="00DF5CD8">
            <w:pPr>
              <w:spacing w:before="60" w:after="60"/>
              <w:jc w:val="left"/>
              <w:rPr>
                <w:rFonts w:eastAsiaTheme="minorEastAsia"/>
                <w:b/>
                <w:sz w:val="18"/>
                <w:lang w:eastAsia="ja-JP"/>
              </w:rPr>
            </w:pPr>
            <w:r>
              <w:rPr>
                <w:b/>
                <w:sz w:val="18"/>
              </w:rPr>
              <w:t>WA</w:t>
            </w:r>
          </w:p>
        </w:tc>
        <w:tc>
          <w:tcPr>
            <w:tcW w:w="731" w:type="dxa"/>
          </w:tcPr>
          <w:p w:rsidR="000D53EA" w:rsidRDefault="00DF5CD8">
            <w:pPr>
              <w:spacing w:before="60" w:after="60"/>
              <w:jc w:val="left"/>
              <w:rPr>
                <w:rFonts w:eastAsiaTheme="minorEastAsia"/>
                <w:b/>
                <w:sz w:val="18"/>
                <w:lang w:eastAsia="ja-JP"/>
              </w:rPr>
            </w:pPr>
            <w:r>
              <w:rPr>
                <w:b/>
                <w:sz w:val="18"/>
              </w:rPr>
              <w:t>NZ</w:t>
            </w:r>
          </w:p>
        </w:tc>
      </w:tr>
      <w:tr w:rsidR="00DF5CD8" w:rsidRPr="000A1579" w:rsidTr="00E67119">
        <w:tc>
          <w:tcPr>
            <w:tcW w:w="1257" w:type="dxa"/>
          </w:tcPr>
          <w:p w:rsidR="000D53EA" w:rsidRDefault="00DF5CD8">
            <w:pPr>
              <w:spacing w:before="60" w:after="60"/>
              <w:jc w:val="left"/>
              <w:rPr>
                <w:rFonts w:eastAsiaTheme="minorEastAsia"/>
                <w:sz w:val="18"/>
                <w:lang w:eastAsia="ja-JP"/>
              </w:rPr>
            </w:pPr>
            <w:r>
              <w:rPr>
                <w:sz w:val="18"/>
              </w:rPr>
              <w:t>A</w:t>
            </w:r>
          </w:p>
        </w:tc>
        <w:tc>
          <w:tcPr>
            <w:tcW w:w="937" w:type="dxa"/>
          </w:tcPr>
          <w:p w:rsidR="000D53EA" w:rsidRDefault="00DF5CD8">
            <w:pPr>
              <w:spacing w:before="60" w:after="60"/>
              <w:jc w:val="left"/>
              <w:rPr>
                <w:rFonts w:eastAsiaTheme="minorEastAsia"/>
                <w:sz w:val="18"/>
                <w:lang w:eastAsia="ja-JP"/>
              </w:rPr>
            </w:pPr>
            <w:r>
              <w:rPr>
                <w:sz w:val="18"/>
              </w:rPr>
              <w:t>A</w:t>
            </w:r>
          </w:p>
        </w:tc>
        <w:tc>
          <w:tcPr>
            <w:tcW w:w="857" w:type="dxa"/>
          </w:tcPr>
          <w:p w:rsidR="000D53EA" w:rsidRDefault="00DF5CD8">
            <w:pPr>
              <w:spacing w:before="60" w:after="60"/>
              <w:jc w:val="left"/>
              <w:rPr>
                <w:rFonts w:eastAsiaTheme="minorEastAsia"/>
                <w:sz w:val="18"/>
                <w:lang w:eastAsia="ja-JP"/>
              </w:rPr>
            </w:pPr>
            <w:r>
              <w:rPr>
                <w:sz w:val="18"/>
              </w:rPr>
              <w:t>T1, T2</w:t>
            </w:r>
          </w:p>
        </w:tc>
        <w:tc>
          <w:tcPr>
            <w:tcW w:w="842" w:type="dxa"/>
          </w:tcPr>
          <w:p w:rsidR="000D53EA" w:rsidRDefault="00DF5CD8">
            <w:pPr>
              <w:spacing w:before="60" w:after="60"/>
              <w:jc w:val="left"/>
              <w:rPr>
                <w:rFonts w:eastAsiaTheme="minorEastAsia"/>
                <w:sz w:val="18"/>
                <w:lang w:eastAsia="ja-JP"/>
              </w:rPr>
            </w:pPr>
            <w:r>
              <w:rPr>
                <w:sz w:val="18"/>
              </w:rPr>
              <w:t>A</w:t>
            </w:r>
          </w:p>
        </w:tc>
        <w:tc>
          <w:tcPr>
            <w:tcW w:w="874" w:type="dxa"/>
          </w:tcPr>
          <w:p w:rsidR="000D53EA" w:rsidRDefault="00DF5CD8">
            <w:pPr>
              <w:spacing w:before="60" w:after="60"/>
              <w:jc w:val="left"/>
              <w:rPr>
                <w:rFonts w:eastAsiaTheme="minorEastAsia"/>
                <w:sz w:val="18"/>
                <w:lang w:eastAsia="ja-JP"/>
              </w:rPr>
            </w:pPr>
            <w:r>
              <w:rPr>
                <w:sz w:val="18"/>
              </w:rPr>
              <w:t>A</w:t>
            </w:r>
          </w:p>
        </w:tc>
        <w:tc>
          <w:tcPr>
            <w:tcW w:w="869" w:type="dxa"/>
          </w:tcPr>
          <w:p w:rsidR="000D53EA" w:rsidRDefault="00DF5CD8">
            <w:pPr>
              <w:spacing w:before="60" w:after="60"/>
              <w:jc w:val="left"/>
              <w:rPr>
                <w:rFonts w:eastAsiaTheme="minorEastAsia"/>
                <w:sz w:val="18"/>
                <w:lang w:eastAsia="ja-JP"/>
              </w:rPr>
            </w:pPr>
            <w:r>
              <w:rPr>
                <w:sz w:val="18"/>
              </w:rPr>
              <w:t>A</w:t>
            </w:r>
          </w:p>
        </w:tc>
        <w:tc>
          <w:tcPr>
            <w:tcW w:w="794" w:type="dxa"/>
          </w:tcPr>
          <w:p w:rsidR="000D53EA" w:rsidRDefault="00432C80">
            <w:pPr>
              <w:spacing w:before="60" w:after="60"/>
              <w:jc w:val="left"/>
              <w:rPr>
                <w:rFonts w:eastAsiaTheme="minorEastAsia"/>
                <w:sz w:val="18"/>
                <w:lang w:eastAsia="ja-JP"/>
              </w:rPr>
            </w:pPr>
            <w:r>
              <w:rPr>
                <w:sz w:val="18"/>
              </w:rPr>
              <w:t>P1, P2</w:t>
            </w:r>
          </w:p>
        </w:tc>
        <w:tc>
          <w:tcPr>
            <w:tcW w:w="731" w:type="dxa"/>
          </w:tcPr>
          <w:p w:rsidR="000D53EA" w:rsidRDefault="00DF5CD8">
            <w:pPr>
              <w:spacing w:before="60" w:after="60"/>
              <w:jc w:val="left"/>
              <w:rPr>
                <w:rFonts w:eastAsiaTheme="minorEastAsia"/>
                <w:sz w:val="18"/>
                <w:lang w:eastAsia="ja-JP"/>
              </w:rPr>
            </w:pPr>
            <w:r>
              <w:rPr>
                <w:sz w:val="18"/>
              </w:rPr>
              <w:t xml:space="preserve">A </w:t>
            </w:r>
          </w:p>
        </w:tc>
      </w:tr>
      <w:tr w:rsidR="00DF5CD8" w:rsidRPr="000A1579" w:rsidTr="00E67119">
        <w:tc>
          <w:tcPr>
            <w:tcW w:w="1257" w:type="dxa"/>
          </w:tcPr>
          <w:p w:rsidR="000D53EA" w:rsidRDefault="00DF5CD8">
            <w:pPr>
              <w:spacing w:before="60" w:after="60"/>
              <w:jc w:val="left"/>
              <w:rPr>
                <w:rFonts w:eastAsiaTheme="minorEastAsia"/>
                <w:sz w:val="18"/>
                <w:lang w:eastAsia="ja-JP"/>
              </w:rPr>
            </w:pPr>
            <w:r>
              <w:rPr>
                <w:sz w:val="18"/>
              </w:rPr>
              <w:t>B</w:t>
            </w:r>
          </w:p>
        </w:tc>
        <w:tc>
          <w:tcPr>
            <w:tcW w:w="937" w:type="dxa"/>
          </w:tcPr>
          <w:p w:rsidR="000D53EA" w:rsidRDefault="00DF5CD8">
            <w:pPr>
              <w:spacing w:before="60" w:after="60"/>
              <w:jc w:val="left"/>
              <w:rPr>
                <w:rFonts w:eastAsiaTheme="minorEastAsia"/>
                <w:sz w:val="18"/>
                <w:lang w:eastAsia="ja-JP"/>
              </w:rPr>
            </w:pPr>
            <w:r>
              <w:rPr>
                <w:sz w:val="18"/>
              </w:rPr>
              <w:t>B</w:t>
            </w:r>
          </w:p>
        </w:tc>
        <w:tc>
          <w:tcPr>
            <w:tcW w:w="857" w:type="dxa"/>
          </w:tcPr>
          <w:p w:rsidR="000D53EA" w:rsidRDefault="00DF5CD8">
            <w:pPr>
              <w:spacing w:before="60" w:after="60"/>
              <w:jc w:val="left"/>
              <w:rPr>
                <w:rFonts w:eastAsiaTheme="minorEastAsia"/>
                <w:sz w:val="18"/>
                <w:lang w:eastAsia="ja-JP"/>
              </w:rPr>
            </w:pPr>
            <w:r>
              <w:rPr>
                <w:sz w:val="18"/>
              </w:rPr>
              <w:t>T3</w:t>
            </w:r>
          </w:p>
        </w:tc>
        <w:tc>
          <w:tcPr>
            <w:tcW w:w="842" w:type="dxa"/>
          </w:tcPr>
          <w:p w:rsidR="000D53EA" w:rsidRDefault="00DF5CD8">
            <w:pPr>
              <w:spacing w:before="60" w:after="60"/>
              <w:jc w:val="left"/>
              <w:rPr>
                <w:rFonts w:eastAsiaTheme="minorEastAsia"/>
                <w:sz w:val="18"/>
                <w:lang w:eastAsia="ja-JP"/>
              </w:rPr>
            </w:pPr>
            <w:r>
              <w:rPr>
                <w:sz w:val="18"/>
              </w:rPr>
              <w:t>B</w:t>
            </w:r>
          </w:p>
        </w:tc>
        <w:tc>
          <w:tcPr>
            <w:tcW w:w="874" w:type="dxa"/>
          </w:tcPr>
          <w:p w:rsidR="000D53EA" w:rsidRDefault="00DF5CD8">
            <w:pPr>
              <w:spacing w:before="60" w:after="60"/>
              <w:jc w:val="left"/>
              <w:rPr>
                <w:rFonts w:eastAsiaTheme="minorEastAsia"/>
                <w:sz w:val="18"/>
                <w:lang w:eastAsia="ja-JP"/>
              </w:rPr>
            </w:pPr>
            <w:r>
              <w:rPr>
                <w:sz w:val="18"/>
              </w:rPr>
              <w:t>B</w:t>
            </w:r>
          </w:p>
        </w:tc>
        <w:tc>
          <w:tcPr>
            <w:tcW w:w="869" w:type="dxa"/>
          </w:tcPr>
          <w:p w:rsidR="000D53EA" w:rsidRDefault="00DF5CD8">
            <w:pPr>
              <w:spacing w:before="60" w:after="60"/>
              <w:jc w:val="left"/>
              <w:rPr>
                <w:rFonts w:eastAsiaTheme="minorEastAsia"/>
                <w:sz w:val="18"/>
                <w:lang w:eastAsia="ja-JP"/>
              </w:rPr>
            </w:pPr>
            <w:r>
              <w:rPr>
                <w:sz w:val="18"/>
              </w:rPr>
              <w:t>B</w:t>
            </w:r>
          </w:p>
        </w:tc>
        <w:tc>
          <w:tcPr>
            <w:tcW w:w="794" w:type="dxa"/>
          </w:tcPr>
          <w:p w:rsidR="000D53EA" w:rsidRDefault="00DF5CD8">
            <w:pPr>
              <w:spacing w:before="60" w:after="60"/>
              <w:jc w:val="left"/>
              <w:rPr>
                <w:rFonts w:eastAsiaTheme="minorEastAsia"/>
                <w:sz w:val="18"/>
                <w:lang w:eastAsia="ja-JP"/>
              </w:rPr>
            </w:pPr>
            <w:r>
              <w:rPr>
                <w:sz w:val="18"/>
              </w:rPr>
              <w:t>P3</w:t>
            </w:r>
          </w:p>
        </w:tc>
        <w:tc>
          <w:tcPr>
            <w:tcW w:w="731" w:type="dxa"/>
          </w:tcPr>
          <w:p w:rsidR="000D53EA" w:rsidRDefault="00DF5CD8">
            <w:pPr>
              <w:spacing w:before="60" w:after="60"/>
              <w:jc w:val="left"/>
              <w:rPr>
                <w:rFonts w:eastAsiaTheme="minorEastAsia"/>
                <w:sz w:val="18"/>
                <w:lang w:eastAsia="ja-JP"/>
              </w:rPr>
            </w:pPr>
            <w:r>
              <w:rPr>
                <w:sz w:val="18"/>
              </w:rPr>
              <w:t>B</w:t>
            </w:r>
          </w:p>
        </w:tc>
      </w:tr>
      <w:tr w:rsidR="00DF5CD8" w:rsidRPr="000A1579" w:rsidTr="00E67119">
        <w:tc>
          <w:tcPr>
            <w:tcW w:w="1257" w:type="dxa"/>
          </w:tcPr>
          <w:p w:rsidR="000D53EA" w:rsidRDefault="00DF5CD8">
            <w:pPr>
              <w:spacing w:before="60" w:after="60"/>
              <w:jc w:val="left"/>
              <w:rPr>
                <w:rFonts w:eastAsiaTheme="minorEastAsia"/>
                <w:sz w:val="18"/>
                <w:lang w:eastAsia="ja-JP"/>
              </w:rPr>
            </w:pPr>
            <w:r>
              <w:rPr>
                <w:sz w:val="18"/>
              </w:rPr>
              <w:t>C</w:t>
            </w:r>
          </w:p>
        </w:tc>
        <w:tc>
          <w:tcPr>
            <w:tcW w:w="937" w:type="dxa"/>
          </w:tcPr>
          <w:p w:rsidR="000D53EA" w:rsidRDefault="00DF5CD8">
            <w:pPr>
              <w:spacing w:before="60" w:after="60"/>
              <w:jc w:val="left"/>
              <w:rPr>
                <w:rFonts w:eastAsiaTheme="minorEastAsia"/>
                <w:sz w:val="18"/>
                <w:lang w:eastAsia="ja-JP"/>
              </w:rPr>
            </w:pPr>
            <w:r>
              <w:rPr>
                <w:sz w:val="18"/>
              </w:rPr>
              <w:t>C</w:t>
            </w:r>
          </w:p>
        </w:tc>
        <w:tc>
          <w:tcPr>
            <w:tcW w:w="857" w:type="dxa"/>
          </w:tcPr>
          <w:p w:rsidR="000D53EA" w:rsidRDefault="00DF5CD8">
            <w:pPr>
              <w:spacing w:before="60" w:after="60"/>
              <w:jc w:val="left"/>
              <w:rPr>
                <w:rFonts w:eastAsiaTheme="minorEastAsia"/>
                <w:sz w:val="18"/>
                <w:lang w:eastAsia="ja-JP"/>
              </w:rPr>
            </w:pPr>
            <w:proofErr w:type="spellStart"/>
            <w:r>
              <w:rPr>
                <w:sz w:val="18"/>
              </w:rPr>
              <w:t>Unstabilised</w:t>
            </w:r>
            <w:proofErr w:type="spellEnd"/>
          </w:p>
        </w:tc>
        <w:tc>
          <w:tcPr>
            <w:tcW w:w="842" w:type="dxa"/>
          </w:tcPr>
          <w:p w:rsidR="000D53EA" w:rsidRDefault="00DF5CD8">
            <w:pPr>
              <w:spacing w:before="60" w:after="60"/>
              <w:jc w:val="left"/>
              <w:rPr>
                <w:rFonts w:eastAsiaTheme="minorEastAsia"/>
                <w:sz w:val="18"/>
                <w:lang w:eastAsia="ja-JP"/>
              </w:rPr>
            </w:pPr>
            <w:proofErr w:type="spellStart"/>
            <w:r>
              <w:rPr>
                <w:sz w:val="18"/>
              </w:rPr>
              <w:t>Unstabilised</w:t>
            </w:r>
            <w:proofErr w:type="spellEnd"/>
          </w:p>
        </w:tc>
        <w:tc>
          <w:tcPr>
            <w:tcW w:w="874" w:type="dxa"/>
          </w:tcPr>
          <w:p w:rsidR="000D53EA" w:rsidRDefault="00DF5CD8">
            <w:pPr>
              <w:spacing w:before="60" w:after="60"/>
              <w:jc w:val="left"/>
              <w:rPr>
                <w:rFonts w:eastAsiaTheme="minorEastAsia"/>
                <w:sz w:val="18"/>
                <w:lang w:eastAsia="ja-JP"/>
              </w:rPr>
            </w:pPr>
            <w:r>
              <w:rPr>
                <w:sz w:val="18"/>
              </w:rPr>
              <w:t>C</w:t>
            </w:r>
          </w:p>
        </w:tc>
        <w:tc>
          <w:tcPr>
            <w:tcW w:w="869" w:type="dxa"/>
          </w:tcPr>
          <w:p w:rsidR="000D53EA" w:rsidRDefault="00DF5CD8">
            <w:pPr>
              <w:spacing w:before="60" w:after="60"/>
              <w:jc w:val="left"/>
              <w:rPr>
                <w:rFonts w:eastAsiaTheme="minorEastAsia"/>
                <w:sz w:val="18"/>
                <w:lang w:eastAsia="ja-JP"/>
              </w:rPr>
            </w:pPr>
            <w:r>
              <w:rPr>
                <w:sz w:val="18"/>
              </w:rPr>
              <w:t>C</w:t>
            </w:r>
          </w:p>
        </w:tc>
        <w:tc>
          <w:tcPr>
            <w:tcW w:w="794" w:type="dxa"/>
          </w:tcPr>
          <w:p w:rsidR="000D53EA" w:rsidRDefault="00DF5CD8">
            <w:pPr>
              <w:spacing w:before="60" w:after="60"/>
              <w:jc w:val="left"/>
              <w:rPr>
                <w:rFonts w:eastAsiaTheme="minorEastAsia"/>
                <w:sz w:val="18"/>
                <w:lang w:eastAsia="ja-JP"/>
              </w:rPr>
            </w:pPr>
            <w:r>
              <w:rPr>
                <w:sz w:val="18"/>
              </w:rPr>
              <w:t>P4</w:t>
            </w:r>
          </w:p>
        </w:tc>
        <w:tc>
          <w:tcPr>
            <w:tcW w:w="731" w:type="dxa"/>
          </w:tcPr>
          <w:p w:rsidR="000D53EA" w:rsidRDefault="00DF5CD8">
            <w:pPr>
              <w:spacing w:before="60" w:after="60"/>
              <w:jc w:val="left"/>
              <w:rPr>
                <w:rFonts w:eastAsiaTheme="minorEastAsia"/>
                <w:sz w:val="18"/>
                <w:lang w:eastAsia="ja-JP"/>
              </w:rPr>
            </w:pPr>
            <w:proofErr w:type="spellStart"/>
            <w:r>
              <w:rPr>
                <w:sz w:val="18"/>
              </w:rPr>
              <w:t>Unstablised</w:t>
            </w:r>
            <w:proofErr w:type="spellEnd"/>
          </w:p>
        </w:tc>
      </w:tr>
    </w:tbl>
    <w:p w:rsidR="000D53EA" w:rsidRDefault="00DF5CD8">
      <w:pPr>
        <w:pStyle w:val="Heading4"/>
        <w:jc w:val="left"/>
      </w:pPr>
      <w:r>
        <w:t>Stabilisation process</w:t>
      </w:r>
    </w:p>
    <w:p w:rsidR="000D53EA" w:rsidRDefault="00DF5CD8">
      <w:pPr>
        <w:jc w:val="left"/>
      </w:pPr>
      <w:r>
        <w:t>Classification of the stabilisation process was made on the basis of the primary stabilisation process following the sewage treatment process. The following stabilisation process categories were used.</w:t>
      </w:r>
    </w:p>
    <w:p w:rsidR="000D53EA" w:rsidRDefault="00DF5CD8">
      <w:pPr>
        <w:pStyle w:val="ListParagraph"/>
        <w:numPr>
          <w:ilvl w:val="0"/>
          <w:numId w:val="8"/>
        </w:numPr>
        <w:spacing w:before="120" w:after="120"/>
      </w:pPr>
      <w:r>
        <w:t>Aerobic digestion</w:t>
      </w:r>
    </w:p>
    <w:p w:rsidR="000D53EA" w:rsidRDefault="00DF5CD8">
      <w:pPr>
        <w:pStyle w:val="ListParagraph"/>
        <w:numPr>
          <w:ilvl w:val="0"/>
          <w:numId w:val="8"/>
        </w:numPr>
        <w:spacing w:before="120" w:after="120"/>
      </w:pPr>
      <w:r>
        <w:t>Air drying</w:t>
      </w:r>
    </w:p>
    <w:p w:rsidR="000D53EA" w:rsidRDefault="00DF5CD8">
      <w:pPr>
        <w:pStyle w:val="ListParagraph"/>
        <w:numPr>
          <w:ilvl w:val="0"/>
          <w:numId w:val="8"/>
        </w:numPr>
        <w:spacing w:before="120" w:after="120"/>
      </w:pPr>
      <w:r>
        <w:t>Anaerobic digestion</w:t>
      </w:r>
    </w:p>
    <w:p w:rsidR="000D53EA" w:rsidRDefault="00DF5CD8">
      <w:pPr>
        <w:pStyle w:val="ListParagraph"/>
        <w:numPr>
          <w:ilvl w:val="0"/>
          <w:numId w:val="8"/>
        </w:numPr>
        <w:spacing w:before="120" w:after="120"/>
      </w:pPr>
      <w:r>
        <w:t xml:space="preserve">Composting (used only for </w:t>
      </w:r>
      <w:proofErr w:type="spellStart"/>
      <w:r>
        <w:t>biosolids</w:t>
      </w:r>
      <w:proofErr w:type="spellEnd"/>
      <w:r>
        <w:t xml:space="preserve"> with no prior stabilisation)</w:t>
      </w:r>
    </w:p>
    <w:p w:rsidR="000D53EA" w:rsidRDefault="00DF5CD8">
      <w:pPr>
        <w:pStyle w:val="ListParagraph"/>
        <w:numPr>
          <w:ilvl w:val="0"/>
          <w:numId w:val="8"/>
        </w:numPr>
        <w:spacing w:before="120" w:after="120"/>
      </w:pPr>
      <w:r>
        <w:t>Incineration</w:t>
      </w:r>
    </w:p>
    <w:p w:rsidR="000D53EA" w:rsidRDefault="00DF5CD8">
      <w:pPr>
        <w:pStyle w:val="ListParagraph"/>
        <w:numPr>
          <w:ilvl w:val="0"/>
          <w:numId w:val="8"/>
        </w:numPr>
        <w:spacing w:before="120" w:after="120"/>
      </w:pPr>
      <w:r>
        <w:t xml:space="preserve">Lagoon (used for </w:t>
      </w:r>
      <w:proofErr w:type="spellStart"/>
      <w:r>
        <w:t>biosolids</w:t>
      </w:r>
      <w:proofErr w:type="spellEnd"/>
      <w:r>
        <w:t xml:space="preserve"> stored in liquid form)</w:t>
      </w:r>
    </w:p>
    <w:p w:rsidR="000D53EA" w:rsidRDefault="00DF5CD8">
      <w:pPr>
        <w:pStyle w:val="ListParagraph"/>
        <w:numPr>
          <w:ilvl w:val="0"/>
          <w:numId w:val="8"/>
        </w:numPr>
        <w:spacing w:before="120" w:after="120"/>
      </w:pPr>
      <w:r>
        <w:t>Lime stabilisation</w:t>
      </w:r>
    </w:p>
    <w:p w:rsidR="000D53EA" w:rsidRDefault="00DF5CD8">
      <w:pPr>
        <w:pStyle w:val="ListParagraph"/>
        <w:numPr>
          <w:ilvl w:val="0"/>
          <w:numId w:val="8"/>
        </w:numPr>
        <w:spacing w:before="120" w:after="120"/>
      </w:pPr>
      <w:r>
        <w:t>None</w:t>
      </w:r>
    </w:p>
    <w:p w:rsidR="000D53EA" w:rsidRDefault="00DF5CD8">
      <w:pPr>
        <w:pStyle w:val="ListParagraph"/>
        <w:numPr>
          <w:ilvl w:val="0"/>
          <w:numId w:val="8"/>
        </w:numPr>
        <w:spacing w:before="120" w:after="120"/>
      </w:pPr>
      <w:r>
        <w:t>Other</w:t>
      </w:r>
    </w:p>
    <w:p w:rsidR="000D53EA" w:rsidRDefault="00DF5CD8">
      <w:pPr>
        <w:pStyle w:val="ListParagraph"/>
        <w:numPr>
          <w:ilvl w:val="0"/>
          <w:numId w:val="8"/>
        </w:numPr>
        <w:spacing w:before="120" w:after="120"/>
      </w:pPr>
      <w:r>
        <w:t xml:space="preserve">Stockpile (used for </w:t>
      </w:r>
      <w:proofErr w:type="spellStart"/>
      <w:r>
        <w:t>biosolids</w:t>
      </w:r>
      <w:proofErr w:type="spellEnd"/>
      <w:r>
        <w:t xml:space="preserve"> stored in dewatered form)</w:t>
      </w:r>
    </w:p>
    <w:p w:rsidR="000D53EA" w:rsidRDefault="00DF5CD8">
      <w:pPr>
        <w:pStyle w:val="ListParagraph"/>
        <w:numPr>
          <w:ilvl w:val="0"/>
          <w:numId w:val="8"/>
        </w:numPr>
        <w:spacing w:before="120" w:after="120"/>
      </w:pPr>
      <w:r>
        <w:t>Unspecified</w:t>
      </w:r>
    </w:p>
    <w:p w:rsidR="000D53EA" w:rsidRDefault="00DF5CD8">
      <w:pPr>
        <w:pStyle w:val="Heading4"/>
        <w:jc w:val="left"/>
      </w:pPr>
      <w:r>
        <w:t>Dewatering process</w:t>
      </w:r>
    </w:p>
    <w:p w:rsidR="000D53EA" w:rsidRDefault="00DF5CD8">
      <w:pPr>
        <w:jc w:val="left"/>
      </w:pPr>
      <w:r>
        <w:t>Classification of the dewatering process was made on the basis of the following categories:</w:t>
      </w:r>
    </w:p>
    <w:p w:rsidR="000D53EA" w:rsidRDefault="00DF5CD8">
      <w:pPr>
        <w:pStyle w:val="ListParagraph"/>
        <w:numPr>
          <w:ilvl w:val="0"/>
          <w:numId w:val="9"/>
        </w:numPr>
        <w:spacing w:before="120" w:after="120"/>
      </w:pPr>
      <w:r>
        <w:t>Belt press</w:t>
      </w:r>
    </w:p>
    <w:p w:rsidR="000D53EA" w:rsidRDefault="00DF5CD8">
      <w:pPr>
        <w:pStyle w:val="ListParagraph"/>
        <w:numPr>
          <w:ilvl w:val="0"/>
          <w:numId w:val="9"/>
        </w:numPr>
        <w:spacing w:before="120" w:after="120"/>
      </w:pPr>
      <w:r>
        <w:t>Centrifuge</w:t>
      </w:r>
    </w:p>
    <w:p w:rsidR="000D53EA" w:rsidRDefault="00DF5CD8">
      <w:pPr>
        <w:pStyle w:val="ListParagraph"/>
        <w:numPr>
          <w:ilvl w:val="0"/>
          <w:numId w:val="9"/>
        </w:numPr>
        <w:spacing w:before="120" w:after="120"/>
      </w:pPr>
      <w:r>
        <w:t>Drying bed</w:t>
      </w:r>
    </w:p>
    <w:p w:rsidR="000D53EA" w:rsidRDefault="00DF5CD8">
      <w:pPr>
        <w:pStyle w:val="ListParagraph"/>
        <w:numPr>
          <w:ilvl w:val="0"/>
          <w:numId w:val="9"/>
        </w:numPr>
        <w:spacing w:before="120" w:after="120"/>
      </w:pPr>
      <w:r>
        <w:t>None</w:t>
      </w:r>
    </w:p>
    <w:p w:rsidR="000D53EA" w:rsidRDefault="00DF5CD8">
      <w:pPr>
        <w:pStyle w:val="ListParagraph"/>
        <w:numPr>
          <w:ilvl w:val="0"/>
          <w:numId w:val="9"/>
        </w:numPr>
        <w:spacing w:before="120" w:after="120"/>
      </w:pPr>
      <w:r>
        <w:t>Unspecified</w:t>
      </w:r>
    </w:p>
    <w:p w:rsidR="000D53EA" w:rsidRDefault="00DF5CD8">
      <w:pPr>
        <w:pStyle w:val="Heading2"/>
        <w:numPr>
          <w:ilvl w:val="1"/>
          <w:numId w:val="2"/>
        </w:numPr>
        <w:jc w:val="left"/>
      </w:pPr>
      <w:bookmarkStart w:id="19" w:name="_Toc326747448"/>
      <w:r w:rsidRPr="00CF712D">
        <w:t>Sewage and communities</w:t>
      </w:r>
      <w:bookmarkEnd w:id="16"/>
      <w:bookmarkEnd w:id="19"/>
    </w:p>
    <w:p w:rsidR="000D53EA" w:rsidRDefault="00DF5CD8">
      <w:pPr>
        <w:jc w:val="left"/>
      </w:pPr>
      <w:r>
        <w:t>Sewage sludge is</w:t>
      </w:r>
      <w:r w:rsidRPr="00CF712D">
        <w:t xml:space="preserve"> a by-product of treating </w:t>
      </w:r>
      <w:r>
        <w:t>wastewater, coming from humans and industry.</w:t>
      </w:r>
      <w:r w:rsidRPr="00CF712D">
        <w:t xml:space="preserve">  </w:t>
      </w:r>
      <w:r>
        <w:t xml:space="preserve">When treated to a standard acceptable for beneficial use, sewage sludge is referred to as </w:t>
      </w:r>
      <w:proofErr w:type="spellStart"/>
      <w:r>
        <w:t>biosolids</w:t>
      </w:r>
      <w:proofErr w:type="spellEnd"/>
      <w:r>
        <w:t xml:space="preserve">. In Australia, </w:t>
      </w:r>
      <w:proofErr w:type="spellStart"/>
      <w:r>
        <w:t>biosolids</w:t>
      </w:r>
      <w:proofErr w:type="spellEnd"/>
      <w:r>
        <w:t xml:space="preserve"> are most commonly used as a fertiliser and soil con</w:t>
      </w:r>
      <w:r w:rsidR="00983949">
        <w:t>ditioner on agricultural land.</w:t>
      </w:r>
    </w:p>
    <w:p w:rsidR="000D53EA" w:rsidRDefault="00DF5CD8">
      <w:pPr>
        <w:jc w:val="left"/>
      </w:pPr>
      <w:r w:rsidRPr="00CF712D">
        <w:t>Throughout history people have lived together in groups and communities. As populations around the world increased these communities became larger and larger. All of us in these communities excrete waste; it is fundamental to a healthy life. And this waste must be managed sustainably.</w:t>
      </w:r>
    </w:p>
    <w:p w:rsidR="005F5C1E" w:rsidRDefault="005F5C1E" w:rsidP="00A35633">
      <w:pPr>
        <w:jc w:val="left"/>
        <w:sectPr w:rsidR="005F5C1E" w:rsidSect="00284D69">
          <w:pgSz w:w="11901" w:h="16817"/>
          <w:pgMar w:top="1418" w:right="1418" w:bottom="1418" w:left="1701" w:header="680" w:footer="680" w:gutter="0"/>
          <w:cols w:space="708"/>
          <w:titlePg/>
        </w:sectPr>
      </w:pPr>
    </w:p>
    <w:p w:rsidR="000D53EA" w:rsidRDefault="00DF5CD8">
      <w:pPr>
        <w:jc w:val="left"/>
      </w:pPr>
      <w:r w:rsidRPr="00CF712D">
        <w:lastRenderedPageBreak/>
        <w:t>In the earliest of times human waste was disposed nearby to where people lived or used on fields to help crops grow. As villages, towns and cities became larger, management of human waste became more of an issue and it became more important to move the waste away from where people lived. This was done in sewers.</w:t>
      </w:r>
    </w:p>
    <w:p w:rsidR="000D53EA" w:rsidRDefault="00DF5CD8">
      <w:pPr>
        <w:jc w:val="left"/>
      </w:pPr>
      <w:r w:rsidRPr="00CF712D">
        <w:t>Sewers are a system of pipes which carry human waste away from its source, usually using water to help the waste flow through the pipes. The earliest evidence of sewers dates back to around 4000 BC, although it was probably the Romans who developed large scale sewerage systems to their most sophisticated. Around 100 AD it was mandatory in Rome to connect a house directly to a sewer.</w:t>
      </w:r>
    </w:p>
    <w:p w:rsidR="000D53EA" w:rsidRDefault="00973176">
      <w:pPr>
        <w:jc w:val="left"/>
      </w:pPr>
      <w:r>
        <w:rPr>
          <w:noProof/>
          <w:lang w:eastAsia="en-AU"/>
        </w:rPr>
        <w:drawing>
          <wp:inline distT="0" distB="0" distL="0" distR="0">
            <wp:extent cx="2257002" cy="3008221"/>
            <wp:effectExtent l="25400" t="0" r="3598" b="0"/>
            <wp:docPr id="10" name="Picture 5" descr=":::::Administration:pictures:general:Roman se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ministration:pictures:general:Roman sewer.jpg"/>
                    <pic:cNvPicPr>
                      <a:picLocks noChangeAspect="1" noChangeArrowheads="1"/>
                    </pic:cNvPicPr>
                  </pic:nvPicPr>
                  <pic:blipFill>
                    <a:blip r:embed="rId16"/>
                    <a:srcRect/>
                    <a:stretch>
                      <a:fillRect/>
                    </a:stretch>
                  </pic:blipFill>
                  <pic:spPr bwMode="auto">
                    <a:xfrm>
                      <a:off x="0" y="0"/>
                      <a:ext cx="2258324" cy="3009983"/>
                    </a:xfrm>
                    <a:prstGeom prst="rect">
                      <a:avLst/>
                    </a:prstGeom>
                    <a:noFill/>
                    <a:ln w="9525">
                      <a:noFill/>
                      <a:miter lim="800000"/>
                      <a:headEnd/>
                      <a:tailEnd/>
                    </a:ln>
                  </pic:spPr>
                </pic:pic>
              </a:graphicData>
            </a:graphic>
          </wp:inline>
        </w:drawing>
      </w:r>
    </w:p>
    <w:p w:rsidR="000D53EA" w:rsidRDefault="00DF5CD8">
      <w:pPr>
        <w:jc w:val="left"/>
      </w:pPr>
      <w:r>
        <w:t>Roman sewer</w:t>
      </w:r>
    </w:p>
    <w:p w:rsidR="000D53EA" w:rsidRDefault="00DF5CD8">
      <w:pPr>
        <w:jc w:val="left"/>
      </w:pPr>
      <w:r w:rsidRPr="00CF712D">
        <w:t>Before sewerage systems people in cities would dispose of waste directly into the streets.  Even with the houses in Rome connected to sewers it is reported that most of the human waste still ended up in the streets where poorer people lived and worked. The combination of population density and the waste from people caused a lot of disease. Water</w:t>
      </w:r>
      <w:r w:rsidR="008E2C59">
        <w:t xml:space="preserve"> </w:t>
      </w:r>
      <w:r w:rsidRPr="00CF712D">
        <w:t>borne diseases like cholera and typhoid killed many people. Unsanitary conditions also contributed to outbreaks of bubonic plague, which is carried by fleas on rats. (</w:t>
      </w:r>
      <w:proofErr w:type="gramStart"/>
      <w:r w:rsidRPr="00CF712D">
        <w:t>e.g</w:t>
      </w:r>
      <w:proofErr w:type="gramEnd"/>
      <w:r w:rsidRPr="00CF712D">
        <w:t>. the great plague of London). All of these diseases caused very high death rates.</w:t>
      </w:r>
    </w:p>
    <w:p w:rsidR="000D53EA" w:rsidRDefault="00DF5CD8">
      <w:pPr>
        <w:jc w:val="left"/>
      </w:pPr>
      <w:r w:rsidRPr="00CF712D">
        <w:t>Sewers were built to improve sanitation and improve aesthetic conditions within houses.  Sewers are one of the most important factors in protecting human health in modern communities. Sewers carry human waste away from the community in a safe manner.</w:t>
      </w:r>
    </w:p>
    <w:p w:rsidR="000D53EA" w:rsidRDefault="00DF5CD8">
      <w:pPr>
        <w:jc w:val="left"/>
      </w:pPr>
      <w:r w:rsidRPr="00CF712D">
        <w:t xml:space="preserve">Originally our waste carried in the sewers, called sewage, was discharged into rivers or the sea. </w:t>
      </w:r>
      <w:proofErr w:type="gramStart"/>
      <w:r w:rsidRPr="00CF712D">
        <w:t>As populations grew larger this caused an increasing amount of pollution.</w:t>
      </w:r>
      <w:proofErr w:type="gramEnd"/>
      <w:r w:rsidRPr="00CF712D">
        <w:t xml:space="preserve"> For example, after the First F</w:t>
      </w:r>
      <w:r>
        <w:t>leet arrived in Sydney in 1788 t</w:t>
      </w:r>
      <w:r w:rsidRPr="00CF712D">
        <w:t xml:space="preserve">he Tank Stream was used as the main source of water. By 1800, when Sydney had a population of about 5,500 people, the problems with pollution from the surrounding settlement had made the </w:t>
      </w:r>
      <w:r w:rsidR="00983949">
        <w:t xml:space="preserve">Tank </w:t>
      </w:r>
      <w:r w:rsidRPr="00CF712D">
        <w:t>Stream a focus of Governor King. By 1815 the</w:t>
      </w:r>
      <w:r w:rsidR="00983949">
        <w:t xml:space="preserve"> Tank</w:t>
      </w:r>
      <w:r w:rsidRPr="00CF712D">
        <w:t xml:space="preserve"> Stream was reported as little more than a sewer and was abandoned not long afterwards as a source of water. Too many people in a small area caused the Tank Stream to become too polluted to use safely.</w:t>
      </w:r>
    </w:p>
    <w:p w:rsidR="008E2C59" w:rsidRDefault="008E2C59" w:rsidP="00A35633">
      <w:pPr>
        <w:jc w:val="left"/>
        <w:sectPr w:rsidR="008E2C59" w:rsidSect="00284D69">
          <w:pgSz w:w="11901" w:h="16817"/>
          <w:pgMar w:top="1418" w:right="1418" w:bottom="1418" w:left="1701" w:header="680" w:footer="680" w:gutter="0"/>
          <w:cols w:space="708"/>
          <w:titlePg/>
        </w:sectPr>
      </w:pPr>
    </w:p>
    <w:p w:rsidR="000D53EA" w:rsidRDefault="00DF5CD8">
      <w:pPr>
        <w:jc w:val="left"/>
      </w:pPr>
      <w:r w:rsidRPr="00CF712D">
        <w:lastRenderedPageBreak/>
        <w:t xml:space="preserve">To fix the pollution problems in the waterways the sewers discharged to, communities started to build sewage treatment plants. Sewage treatment plants use a combination of physical, chemical and biological processes to treat the human waste we send to them. Since the first treatment plants were built in the late 1800’s the standard of treatment has improved dramatically. Today’s sewage treatment plants are highly advanced, producing a recycled water product and a </w:t>
      </w:r>
      <w:proofErr w:type="spellStart"/>
      <w:r w:rsidRPr="00CF712D">
        <w:t>biosolids</w:t>
      </w:r>
      <w:proofErr w:type="spellEnd"/>
      <w:r w:rsidRPr="00CF712D">
        <w:t xml:space="preserve"> product.</w:t>
      </w:r>
    </w:p>
    <w:p w:rsidR="000D53EA" w:rsidRDefault="00DF5CD8">
      <w:pPr>
        <w:jc w:val="left"/>
      </w:pPr>
      <w:r w:rsidRPr="00CF712D">
        <w:t>When the sewage from the community is treated it is ultimately split into two fractions; a liquid portion and a solid portion. The cleaned liquid portion is most commonly either discharged to a river or the sea or used to irrigate parks and gardens or farmland.  The solid portion</w:t>
      </w:r>
      <w:r>
        <w:t xml:space="preserve"> in an untreated form is called sludge and</w:t>
      </w:r>
      <w:r w:rsidRPr="00CF712D">
        <w:t xml:space="preserve"> when treated appropriately, </w:t>
      </w:r>
      <w:r w:rsidR="00480ECC">
        <w:t>is</w:t>
      </w:r>
      <w:r w:rsidR="00480ECC" w:rsidRPr="00CF712D">
        <w:t xml:space="preserve"> </w:t>
      </w:r>
      <w:r w:rsidRPr="00CF712D">
        <w:t xml:space="preserve">called </w:t>
      </w:r>
      <w:proofErr w:type="spellStart"/>
      <w:r w:rsidRPr="00CF712D">
        <w:t>biosolids</w:t>
      </w:r>
      <w:proofErr w:type="spellEnd"/>
      <w:r>
        <w:t>.</w:t>
      </w:r>
    </w:p>
    <w:p w:rsidR="000D53EA" w:rsidRDefault="00DF5CD8">
      <w:pPr>
        <w:jc w:val="left"/>
      </w:pPr>
      <w:r w:rsidRPr="00CF712D">
        <w:t xml:space="preserve">There are only three </w:t>
      </w:r>
      <w:r>
        <w:t>alternatives</w:t>
      </w:r>
      <w:r w:rsidRPr="00CF712D">
        <w:t xml:space="preserve"> for </w:t>
      </w:r>
      <w:proofErr w:type="spellStart"/>
      <w:r w:rsidRPr="00CF712D">
        <w:t>biosolids</w:t>
      </w:r>
      <w:proofErr w:type="spellEnd"/>
      <w:r w:rsidRPr="00CF712D">
        <w:t xml:space="preserve"> use: put them in the sea, use them on the land or put them in the air (burn it).</w:t>
      </w:r>
      <w:r>
        <w:t xml:space="preserve"> Storage of </w:t>
      </w:r>
      <w:proofErr w:type="spellStart"/>
      <w:r>
        <w:t>biosolids</w:t>
      </w:r>
      <w:proofErr w:type="spellEnd"/>
      <w:r>
        <w:t xml:space="preserve"> can delay the use of one of these alternatives.</w:t>
      </w:r>
    </w:p>
    <w:p w:rsidR="000D53EA" w:rsidRDefault="00DF5CD8">
      <w:pPr>
        <w:jc w:val="left"/>
      </w:pPr>
      <w:r w:rsidRPr="00CF712D">
        <w:t xml:space="preserve">It is generally accepted that any discharge to the sea or a waterway is not environmentally desirable. In most cases burning </w:t>
      </w:r>
      <w:proofErr w:type="spellStart"/>
      <w:r w:rsidRPr="00CF712D">
        <w:t>biosolids</w:t>
      </w:r>
      <w:proofErr w:type="spellEnd"/>
      <w:r w:rsidRPr="00CF712D">
        <w:t xml:space="preserve"> takes much more energy than you get back, so is expensive and generates unwanted greenhouse gas emissions. In some cases it is possible to get energy from </w:t>
      </w:r>
      <w:proofErr w:type="spellStart"/>
      <w:r w:rsidRPr="00CF712D">
        <w:t>biosolids</w:t>
      </w:r>
      <w:proofErr w:type="spellEnd"/>
      <w:r w:rsidRPr="00CF712D">
        <w:t xml:space="preserve"> and in these cases the processes that do this </w:t>
      </w:r>
      <w:r>
        <w:t>can be</w:t>
      </w:r>
      <w:r w:rsidRPr="00CF712D">
        <w:t xml:space="preserve"> found at </w:t>
      </w:r>
      <w:r>
        <w:t xml:space="preserve">many of the </w:t>
      </w:r>
      <w:r w:rsidRPr="00CF712D">
        <w:t>larger plants around Australia and the world.</w:t>
      </w:r>
    </w:p>
    <w:p w:rsidR="000D53EA" w:rsidRDefault="00DF5CD8">
      <w:pPr>
        <w:jc w:val="left"/>
      </w:pPr>
      <w:r w:rsidRPr="00CF712D">
        <w:t xml:space="preserve">The final </w:t>
      </w:r>
      <w:proofErr w:type="gramStart"/>
      <w:r>
        <w:t>alternative</w:t>
      </w:r>
      <w:r w:rsidRPr="00CF712D">
        <w:t xml:space="preserve"> available for managing </w:t>
      </w:r>
      <w:proofErr w:type="spellStart"/>
      <w:r w:rsidR="00286CC7">
        <w:t>biosolids</w:t>
      </w:r>
      <w:proofErr w:type="spellEnd"/>
      <w:r w:rsidR="00286CC7">
        <w:t xml:space="preserve"> </w:t>
      </w:r>
      <w:proofErr w:type="spellStart"/>
      <w:r w:rsidR="00286CC7">
        <w:t>is</w:t>
      </w:r>
      <w:r w:rsidRPr="00CF712D">
        <w:t>to</w:t>
      </w:r>
      <w:proofErr w:type="spellEnd"/>
      <w:r w:rsidRPr="00CF712D">
        <w:t xml:space="preserve"> apply</w:t>
      </w:r>
      <w:proofErr w:type="gramEnd"/>
      <w:r w:rsidRPr="00CF712D">
        <w:t xml:space="preserve"> them to farm land as a fertiliser</w:t>
      </w:r>
      <w:r>
        <w:t xml:space="preserve"> and soil conditioner</w:t>
      </w:r>
      <w:r w:rsidRPr="00CF712D">
        <w:t xml:space="preserve">. This takes advantage of the nutrients and organic matter in the </w:t>
      </w:r>
      <w:proofErr w:type="spellStart"/>
      <w:r w:rsidRPr="00CF712D">
        <w:t>biosolids</w:t>
      </w:r>
      <w:proofErr w:type="spellEnd"/>
      <w:r w:rsidRPr="00CF712D">
        <w:t xml:space="preserve"> and, provided it is done appropriately, gives a sustainable solution for </w:t>
      </w:r>
      <w:proofErr w:type="spellStart"/>
      <w:r w:rsidRPr="00CF712D">
        <w:t>biosolids</w:t>
      </w:r>
      <w:proofErr w:type="spellEnd"/>
      <w:r w:rsidRPr="00CF712D">
        <w:t xml:space="preserve"> management.</w:t>
      </w:r>
      <w:r>
        <w:t xml:space="preserve"> Many countries around the world consider land application to be the most sustainable route and Best Practicable Environmental Option for </w:t>
      </w:r>
      <w:proofErr w:type="spellStart"/>
      <w:r>
        <w:t>biosolids</w:t>
      </w:r>
      <w:proofErr w:type="spellEnd"/>
      <w:r>
        <w:t xml:space="preserve"> management. In Australia about 60</w:t>
      </w:r>
      <w:r w:rsidRPr="00CF712D">
        <w:t xml:space="preserve">% of </w:t>
      </w:r>
      <w:proofErr w:type="spellStart"/>
      <w:r w:rsidR="00286CC7">
        <w:t>biosolids</w:t>
      </w:r>
      <w:proofErr w:type="spellEnd"/>
      <w:r w:rsidR="00286CC7">
        <w:t xml:space="preserve"> are</w:t>
      </w:r>
      <w:r w:rsidRPr="00CF712D">
        <w:t xml:space="preserve"> used in this way.</w:t>
      </w:r>
      <w:r>
        <w:t xml:space="preserve"> In New Zealand almost no </w:t>
      </w:r>
      <w:proofErr w:type="spellStart"/>
      <w:r w:rsidR="00286CC7">
        <w:t>biosolids</w:t>
      </w:r>
      <w:proofErr w:type="spellEnd"/>
      <w:r w:rsidR="00286CC7">
        <w:t xml:space="preserve"> are</w:t>
      </w:r>
      <w:r>
        <w:t xml:space="preserve"> used on farmland but there is some application to forests and turf farms.</w:t>
      </w:r>
    </w:p>
    <w:p w:rsidR="000D53EA" w:rsidRDefault="00DF5CD8">
      <w:pPr>
        <w:pStyle w:val="Heading2"/>
        <w:numPr>
          <w:ilvl w:val="1"/>
          <w:numId w:val="2"/>
        </w:numPr>
        <w:jc w:val="left"/>
      </w:pPr>
      <w:bookmarkStart w:id="20" w:name="_Toc119575244"/>
      <w:bookmarkStart w:id="21" w:name="_Toc326747449"/>
      <w:r w:rsidRPr="00CF712D">
        <w:t xml:space="preserve">What are </w:t>
      </w:r>
      <w:proofErr w:type="spellStart"/>
      <w:r w:rsidRPr="00CF712D">
        <w:t>biosolids</w:t>
      </w:r>
      <w:proofErr w:type="spellEnd"/>
      <w:r w:rsidRPr="00CF712D">
        <w:t>?</w:t>
      </w:r>
      <w:bookmarkEnd w:id="20"/>
      <w:bookmarkEnd w:id="21"/>
    </w:p>
    <w:p w:rsidR="000D53EA" w:rsidRDefault="00DF5CD8">
      <w:pPr>
        <w:jc w:val="left"/>
      </w:pPr>
      <w:r>
        <w:t>Sewage sludge is</w:t>
      </w:r>
      <w:r w:rsidRPr="00CF712D">
        <w:t xml:space="preserve"> a by-product of treating </w:t>
      </w:r>
      <w:r>
        <w:t>wastewater, coming from humans and industry.</w:t>
      </w:r>
      <w:r w:rsidRPr="00CF712D">
        <w:t xml:space="preserve">  </w:t>
      </w:r>
      <w:r>
        <w:t xml:space="preserve">When treated to a standard acceptable for beneficial use sewage sludge is referred to as </w:t>
      </w:r>
      <w:proofErr w:type="spellStart"/>
      <w:r>
        <w:t>biosolids</w:t>
      </w:r>
      <w:proofErr w:type="spellEnd"/>
      <w:r>
        <w:t xml:space="preserve">. </w:t>
      </w:r>
      <w:proofErr w:type="spellStart"/>
      <w:r w:rsidRPr="00CF712D">
        <w:t>Biosolids</w:t>
      </w:r>
      <w:proofErr w:type="spellEnd"/>
      <w:r>
        <w:t xml:space="preserve"> </w:t>
      </w:r>
      <w:r w:rsidRPr="00CF712D">
        <w:t xml:space="preserve">are treated in a way to reduce or eliminate health risks and improve beneficial characteristics.  </w:t>
      </w:r>
      <w:proofErr w:type="spellStart"/>
      <w:r w:rsidRPr="00CF712D">
        <w:t>Biosolids</w:t>
      </w:r>
      <w:proofErr w:type="spellEnd"/>
      <w:r w:rsidRPr="00CF712D">
        <w:t xml:space="preserve"> are highly treated and bear little resemblance to what is flushed down the sewer.</w:t>
      </w:r>
    </w:p>
    <w:p w:rsidR="000D53EA" w:rsidRDefault="00DF5CD8">
      <w:pPr>
        <w:jc w:val="left"/>
      </w:pPr>
      <w:proofErr w:type="spellStart"/>
      <w:r w:rsidRPr="00CF712D">
        <w:t>Biosolids</w:t>
      </w:r>
      <w:proofErr w:type="spellEnd"/>
      <w:r w:rsidRPr="00CF712D">
        <w:t xml:space="preserve"> are mainly a mix of water and organic matter that are a by-product of the sewage treatment processes. Most wastewater comes from household, kitchens, laundries and bathrooms. </w:t>
      </w:r>
      <w:proofErr w:type="spellStart"/>
      <w:r w:rsidRPr="00CF712D">
        <w:t>Biosolids</w:t>
      </w:r>
      <w:proofErr w:type="spellEnd"/>
      <w:r w:rsidRPr="00CF712D">
        <w:t xml:space="preserve"> may contain:</w:t>
      </w:r>
    </w:p>
    <w:p w:rsidR="00DF5CD8" w:rsidRPr="00CF712D" w:rsidRDefault="00DF5CD8" w:rsidP="00A35633">
      <w:pPr>
        <w:pStyle w:val="ListParagraph"/>
        <w:numPr>
          <w:ilvl w:val="0"/>
          <w:numId w:val="5"/>
        </w:numPr>
      </w:pPr>
      <w:r w:rsidRPr="00CF712D">
        <w:t>Macronutrients, such as nitrogen, phosphorus, potassium and sulphur; and</w:t>
      </w:r>
    </w:p>
    <w:p w:rsidR="00DF5CD8" w:rsidRPr="00CF712D" w:rsidRDefault="00DF5CD8" w:rsidP="00A35633">
      <w:pPr>
        <w:pStyle w:val="ListParagraph"/>
        <w:numPr>
          <w:ilvl w:val="0"/>
          <w:numId w:val="5"/>
        </w:numPr>
      </w:pPr>
      <w:r w:rsidRPr="00CF712D">
        <w:t>Micronutrients, such as copper, zinc, calcium, magnesium, iron, boron, molybdenum and manganese.</w:t>
      </w:r>
    </w:p>
    <w:p w:rsidR="000D53EA" w:rsidRDefault="00DF5CD8">
      <w:pPr>
        <w:jc w:val="left"/>
      </w:pPr>
      <w:proofErr w:type="spellStart"/>
      <w:r w:rsidRPr="00CF712D">
        <w:t>Biosolids</w:t>
      </w:r>
      <w:proofErr w:type="spellEnd"/>
      <w:r w:rsidRPr="00CF712D">
        <w:t xml:space="preserve"> may also contain traces of synthetic organic compounds and metals, including arsenic, cadmium, chromium, lead, mercury, nickel and selenium. These trace compounds can limit the uses for </w:t>
      </w:r>
      <w:proofErr w:type="spellStart"/>
      <w:r w:rsidRPr="00CF712D">
        <w:t>biosolids</w:t>
      </w:r>
      <w:proofErr w:type="spellEnd"/>
      <w:r w:rsidRPr="00CF712D">
        <w:t xml:space="preserve">, with all </w:t>
      </w:r>
      <w:r>
        <w:t xml:space="preserve">potential </w:t>
      </w:r>
      <w:r w:rsidRPr="00CF712D">
        <w:t xml:space="preserve">uses regulated by appropriate government authorities in each region. Australia </w:t>
      </w:r>
      <w:r>
        <w:t xml:space="preserve">has one of </w:t>
      </w:r>
      <w:r w:rsidRPr="00CF712D">
        <w:t xml:space="preserve">the strictest regulatory regimes for </w:t>
      </w:r>
      <w:proofErr w:type="spellStart"/>
      <w:r w:rsidRPr="00CF712D">
        <w:t>biosolids</w:t>
      </w:r>
      <w:proofErr w:type="spellEnd"/>
      <w:r w:rsidRPr="00CF712D">
        <w:t xml:space="preserve"> use in the world</w:t>
      </w:r>
      <w:r>
        <w:t xml:space="preserve"> and the New Zealand Guidelines are similarly stringent</w:t>
      </w:r>
      <w:r w:rsidRPr="00CF712D">
        <w:t>.</w:t>
      </w:r>
    </w:p>
    <w:p w:rsidR="000D53EA" w:rsidRDefault="00DF5CD8">
      <w:pPr>
        <w:keepLines/>
        <w:jc w:val="left"/>
      </w:pPr>
      <w:r w:rsidRPr="00CF712D">
        <w:lastRenderedPageBreak/>
        <w:t xml:space="preserve">Human waste </w:t>
      </w:r>
      <w:r>
        <w:t>may contains pathogenic</w:t>
      </w:r>
      <w:r w:rsidRPr="00CF712D">
        <w:t xml:space="preserve"> micro-organisms which can cause illness. These pathogens are present in the sewage as it comes to the treatment plant. Through the treatment plant the pathogens are killed or reduced</w:t>
      </w:r>
      <w:r>
        <w:t>,</w:t>
      </w:r>
      <w:r w:rsidRPr="00CF712D">
        <w:t xml:space="preserve"> depending on the desired end use for the recycled water or </w:t>
      </w:r>
      <w:proofErr w:type="spellStart"/>
      <w:r w:rsidRPr="00CF712D">
        <w:t>biosolids</w:t>
      </w:r>
      <w:proofErr w:type="spellEnd"/>
      <w:r w:rsidRPr="00CF712D">
        <w:t xml:space="preserve">. </w:t>
      </w:r>
      <w:proofErr w:type="spellStart"/>
      <w:r w:rsidRPr="00CF712D">
        <w:t>Biosolids</w:t>
      </w:r>
      <w:proofErr w:type="spellEnd"/>
      <w:r w:rsidRPr="00CF712D">
        <w:t xml:space="preserve"> </w:t>
      </w:r>
      <w:r>
        <w:t>are</w:t>
      </w:r>
      <w:r w:rsidRPr="00CF712D">
        <w:t xml:space="preserve"> always treated to reduce the pathogens to levels which are not harmful</w:t>
      </w:r>
      <w:r>
        <w:t xml:space="preserve"> when used in accordance with the various guidelines</w:t>
      </w:r>
      <w:r w:rsidRPr="00CF712D">
        <w:t>.</w:t>
      </w:r>
    </w:p>
    <w:p w:rsidR="000D53EA" w:rsidRDefault="00973176">
      <w:pPr>
        <w:jc w:val="left"/>
      </w:pPr>
      <w:r>
        <w:rPr>
          <w:noProof/>
          <w:lang w:eastAsia="en-AU"/>
        </w:rPr>
        <w:drawing>
          <wp:inline distT="0" distB="0" distL="0" distR="0">
            <wp:extent cx="2441236" cy="1831763"/>
            <wp:effectExtent l="25400" t="0" r="0" b="0"/>
            <wp:docPr id="3" name="Picture 1" descr=":::::Administration:pictures:caloundra and camelia:DSC0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istration:pictures:caloundra and camelia:DSC00721.JPG"/>
                    <pic:cNvPicPr>
                      <a:picLocks noChangeAspect="1" noChangeArrowheads="1"/>
                    </pic:cNvPicPr>
                  </pic:nvPicPr>
                  <pic:blipFill>
                    <a:blip r:embed="rId17"/>
                    <a:srcRect/>
                    <a:stretch>
                      <a:fillRect/>
                    </a:stretch>
                  </pic:blipFill>
                  <pic:spPr bwMode="auto">
                    <a:xfrm>
                      <a:off x="0" y="0"/>
                      <a:ext cx="2441754" cy="1832152"/>
                    </a:xfrm>
                    <a:prstGeom prst="rect">
                      <a:avLst/>
                    </a:prstGeom>
                    <a:noFill/>
                    <a:ln w="9525">
                      <a:noFill/>
                      <a:miter lim="800000"/>
                      <a:headEnd/>
                      <a:tailEnd/>
                    </a:ln>
                  </pic:spPr>
                </pic:pic>
              </a:graphicData>
            </a:graphic>
          </wp:inline>
        </w:drawing>
      </w:r>
      <w:r>
        <w:tab/>
      </w:r>
      <w:r>
        <w:rPr>
          <w:noProof/>
          <w:lang w:eastAsia="en-AU"/>
        </w:rPr>
        <w:drawing>
          <wp:inline distT="0" distB="0" distL="0" distR="0">
            <wp:extent cx="2209800" cy="1828800"/>
            <wp:effectExtent l="19050" t="0" r="0" b="0"/>
            <wp:docPr id="6" name="Picture 2" descr=":::::Administration:pictures:tweed shire stps:100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inistration:pictures:tweed shire stps:100_0007.JPG"/>
                    <pic:cNvPicPr>
                      <a:picLocks noChangeAspect="1" noChangeArrowheads="1"/>
                    </pic:cNvPicPr>
                  </pic:nvPicPr>
                  <pic:blipFill>
                    <a:blip r:embed="rId18"/>
                    <a:srcRect/>
                    <a:stretch>
                      <a:fillRect/>
                    </a:stretch>
                  </pic:blipFill>
                  <pic:spPr bwMode="auto">
                    <a:xfrm>
                      <a:off x="0" y="0"/>
                      <a:ext cx="2210890" cy="1829702"/>
                    </a:xfrm>
                    <a:prstGeom prst="rect">
                      <a:avLst/>
                    </a:prstGeom>
                    <a:noFill/>
                    <a:ln w="9525">
                      <a:noFill/>
                      <a:miter lim="800000"/>
                      <a:headEnd/>
                      <a:tailEnd/>
                    </a:ln>
                  </pic:spPr>
                </pic:pic>
              </a:graphicData>
            </a:graphic>
          </wp:inline>
        </w:drawing>
      </w:r>
    </w:p>
    <w:p w:rsidR="000D53EA" w:rsidRDefault="007D01B2">
      <w:pPr>
        <w:jc w:val="left"/>
      </w:pPr>
      <w:proofErr w:type="spellStart"/>
      <w:r>
        <w:t>B</w:t>
      </w:r>
      <w:r w:rsidR="00973176" w:rsidRPr="003A532D">
        <w:t>iosolids</w:t>
      </w:r>
      <w:proofErr w:type="spellEnd"/>
      <w:r w:rsidR="00973176" w:rsidRPr="003A532D">
        <w:t xml:space="preserve"> from a thermal dryer</w:t>
      </w:r>
      <w:r w:rsidR="00973176" w:rsidRPr="003A532D">
        <w:tab/>
      </w:r>
      <w:r w:rsidR="00973176" w:rsidRPr="003A532D">
        <w:tab/>
      </w:r>
      <w:r>
        <w:t>D</w:t>
      </w:r>
      <w:r w:rsidR="00973176" w:rsidRPr="003A532D">
        <w:t xml:space="preserve">ewatered digested </w:t>
      </w:r>
      <w:proofErr w:type="spellStart"/>
      <w:r w:rsidR="00973176" w:rsidRPr="003A532D">
        <w:t>biosolids</w:t>
      </w:r>
      <w:proofErr w:type="spellEnd"/>
      <w:r w:rsidR="00973176" w:rsidRPr="003A532D">
        <w:t xml:space="preserve"> stockpile</w:t>
      </w:r>
    </w:p>
    <w:p w:rsidR="000D53EA" w:rsidRDefault="00973176">
      <w:pPr>
        <w:jc w:val="left"/>
      </w:pPr>
      <w:r>
        <w:rPr>
          <w:noProof/>
          <w:lang w:eastAsia="en-AU"/>
        </w:rPr>
        <w:drawing>
          <wp:inline distT="0" distB="0" distL="0" distR="0">
            <wp:extent cx="2413000" cy="1788871"/>
            <wp:effectExtent l="19050" t="0" r="6350" b="0"/>
            <wp:docPr id="7" name="Picture 3" descr=":::::Administration:marketing:biosolids course:Copy of north head in building p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ministration:marketing:biosolids course:Copy of north head in building pile.jpg"/>
                    <pic:cNvPicPr>
                      <a:picLocks noChangeAspect="1" noChangeArrowheads="1"/>
                    </pic:cNvPicPr>
                  </pic:nvPicPr>
                  <pic:blipFill>
                    <a:blip r:embed="rId19"/>
                    <a:srcRect/>
                    <a:stretch>
                      <a:fillRect/>
                    </a:stretch>
                  </pic:blipFill>
                  <pic:spPr bwMode="auto">
                    <a:xfrm>
                      <a:off x="0" y="0"/>
                      <a:ext cx="2423345" cy="1796540"/>
                    </a:xfrm>
                    <a:prstGeom prst="rect">
                      <a:avLst/>
                    </a:prstGeom>
                    <a:noFill/>
                    <a:ln w="9525">
                      <a:noFill/>
                      <a:miter lim="800000"/>
                      <a:headEnd/>
                      <a:tailEnd/>
                    </a:ln>
                  </pic:spPr>
                </pic:pic>
              </a:graphicData>
            </a:graphic>
          </wp:inline>
        </w:drawing>
      </w:r>
      <w:r>
        <w:tab/>
      </w:r>
      <w:r>
        <w:rPr>
          <w:noProof/>
          <w:lang w:eastAsia="en-AU"/>
        </w:rPr>
        <w:drawing>
          <wp:inline distT="0" distB="0" distL="0" distR="0">
            <wp:extent cx="2209800" cy="1795131"/>
            <wp:effectExtent l="19050" t="0" r="0" b="0"/>
            <wp:docPr id="8" name="Picture 4" descr=":::::Administration:marketing:biosolids course:deskins close up of dry cake 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ministration:marketing:biosolids course:deskins close up of dry cake hand.jpg"/>
                    <pic:cNvPicPr>
                      <a:picLocks noChangeAspect="1" noChangeArrowheads="1"/>
                    </pic:cNvPicPr>
                  </pic:nvPicPr>
                  <pic:blipFill>
                    <a:blip r:embed="rId20"/>
                    <a:srcRect l="28608"/>
                    <a:stretch>
                      <a:fillRect/>
                    </a:stretch>
                  </pic:blipFill>
                  <pic:spPr bwMode="auto">
                    <a:xfrm>
                      <a:off x="0" y="0"/>
                      <a:ext cx="2209588" cy="1794959"/>
                    </a:xfrm>
                    <a:prstGeom prst="rect">
                      <a:avLst/>
                    </a:prstGeom>
                    <a:noFill/>
                    <a:ln w="9525">
                      <a:noFill/>
                      <a:miter lim="800000"/>
                      <a:headEnd/>
                      <a:tailEnd/>
                    </a:ln>
                  </pic:spPr>
                </pic:pic>
              </a:graphicData>
            </a:graphic>
          </wp:inline>
        </w:drawing>
      </w:r>
    </w:p>
    <w:p w:rsidR="000D53EA" w:rsidRDefault="005F13F0">
      <w:pPr>
        <w:jc w:val="left"/>
      </w:pPr>
      <w:r>
        <w:t>L</w:t>
      </w:r>
      <w:r w:rsidR="00973176">
        <w:t xml:space="preserve">ime stabilised </w:t>
      </w:r>
      <w:proofErr w:type="spellStart"/>
      <w:r w:rsidR="00973176">
        <w:t>biosolids</w:t>
      </w:r>
      <w:proofErr w:type="spellEnd"/>
      <w:r w:rsidR="00973176">
        <w:tab/>
      </w:r>
      <w:r w:rsidR="00973176">
        <w:tab/>
      </w:r>
      <w:r w:rsidR="00973176">
        <w:tab/>
      </w:r>
      <w:proofErr w:type="spellStart"/>
      <w:r>
        <w:t>B</w:t>
      </w:r>
      <w:r w:rsidR="00973176">
        <w:t>iosolids</w:t>
      </w:r>
      <w:proofErr w:type="spellEnd"/>
      <w:r w:rsidR="00973176">
        <w:t xml:space="preserve"> dewatered on drying beds</w:t>
      </w:r>
    </w:p>
    <w:p w:rsidR="000D53EA" w:rsidRDefault="00DF5CD8">
      <w:pPr>
        <w:jc w:val="left"/>
      </w:pPr>
      <w:r>
        <w:t xml:space="preserve">Treated </w:t>
      </w:r>
      <w:proofErr w:type="spellStart"/>
      <w:r>
        <w:t>biosolids</w:t>
      </w:r>
      <w:proofErr w:type="spellEnd"/>
      <w:r>
        <w:t xml:space="preserve"> come in many different forms, each having different characteristics</w:t>
      </w:r>
      <w:r w:rsidR="002C013A">
        <w:t xml:space="preserve"> and composition</w:t>
      </w:r>
      <w:r>
        <w:t>. As a guide</w:t>
      </w:r>
      <w:r w:rsidR="002C013A">
        <w:t>,</w:t>
      </w:r>
      <w:r>
        <w:t xml:space="preserve"> a breakdown of </w:t>
      </w:r>
      <w:r w:rsidR="002C013A">
        <w:t xml:space="preserve">the composition of </w:t>
      </w:r>
      <w:r>
        <w:t xml:space="preserve">one of the most common forms of </w:t>
      </w:r>
      <w:proofErr w:type="spellStart"/>
      <w:r>
        <w:t>biosolids</w:t>
      </w:r>
      <w:proofErr w:type="spellEnd"/>
      <w:r w:rsidR="002C013A">
        <w:t xml:space="preserve"> -</w:t>
      </w:r>
      <w:r>
        <w:t xml:space="preserve"> dewatered, digested </w:t>
      </w:r>
      <w:proofErr w:type="spellStart"/>
      <w:r>
        <w:t>biosolids</w:t>
      </w:r>
      <w:proofErr w:type="spellEnd"/>
      <w:r w:rsidR="002C013A">
        <w:t xml:space="preserve"> -</w:t>
      </w:r>
      <w:r>
        <w:t xml:space="preserve"> is given in the figure below.</w:t>
      </w:r>
    </w:p>
    <w:p w:rsidR="000D53EA" w:rsidRDefault="000D53EA">
      <w:pPr>
        <w:jc w:val="left"/>
        <w:rPr>
          <w:b/>
        </w:rPr>
      </w:pPr>
    </w:p>
    <w:p w:rsidR="000D53EA" w:rsidRDefault="000D53EA">
      <w:pPr>
        <w:jc w:val="left"/>
        <w:rPr>
          <w:b/>
        </w:rPr>
      </w:pPr>
    </w:p>
    <w:p w:rsidR="000D53EA" w:rsidRDefault="000D53EA">
      <w:pPr>
        <w:jc w:val="left"/>
        <w:rPr>
          <w:b/>
        </w:rPr>
      </w:pPr>
    </w:p>
    <w:p w:rsidR="000D53EA" w:rsidRDefault="00DF5CD8">
      <w:pPr>
        <w:jc w:val="left"/>
        <w:rPr>
          <w:b/>
        </w:rPr>
      </w:pPr>
      <w:r w:rsidRPr="00D448D9">
        <w:rPr>
          <w:b/>
          <w:noProof/>
          <w:lang w:eastAsia="en-AU"/>
        </w:rPr>
        <w:lastRenderedPageBreak/>
        <w:drawing>
          <wp:anchor distT="0" distB="0" distL="114300" distR="114300" simplePos="0" relativeHeight="251659264" behindDoc="0" locked="0" layoutInCell="1" allowOverlap="1">
            <wp:simplePos x="0" y="0"/>
            <wp:positionH relativeFrom="column">
              <wp:posOffset>-635</wp:posOffset>
            </wp:positionH>
            <wp:positionV relativeFrom="paragraph">
              <wp:posOffset>1270</wp:posOffset>
            </wp:positionV>
            <wp:extent cx="5391150" cy="4360545"/>
            <wp:effectExtent l="19050" t="0" r="0" b="0"/>
            <wp:wrapTight wrapText="bothSides">
              <wp:wrapPolygon edited="0">
                <wp:start x="-76" y="0"/>
                <wp:lineTo x="-76" y="21515"/>
                <wp:lineTo x="21600" y="21515"/>
                <wp:lineTo x="21600" y="0"/>
                <wp:lineTo x="-76" y="0"/>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5391150" cy="4360545"/>
                    </a:xfrm>
                    <a:prstGeom prst="rect">
                      <a:avLst/>
                    </a:prstGeom>
                    <a:noFill/>
                    <a:ln w="9525">
                      <a:noFill/>
                      <a:miter lim="800000"/>
                      <a:headEnd/>
                      <a:tailEnd/>
                    </a:ln>
                  </pic:spPr>
                </pic:pic>
              </a:graphicData>
            </a:graphic>
          </wp:anchor>
        </w:drawing>
      </w:r>
      <w:r w:rsidRPr="00D448D9">
        <w:rPr>
          <w:b/>
        </w:rPr>
        <w:t xml:space="preserve">Figure </w:t>
      </w:r>
      <w:r w:rsidR="00292E2A">
        <w:rPr>
          <w:b/>
        </w:rPr>
        <w:t xml:space="preserve">1 - </w:t>
      </w:r>
      <w:r w:rsidRPr="00D448D9">
        <w:rPr>
          <w:b/>
        </w:rPr>
        <w:t xml:space="preserve">Typical </w:t>
      </w:r>
      <w:proofErr w:type="spellStart"/>
      <w:r w:rsidRPr="00D448D9">
        <w:rPr>
          <w:b/>
        </w:rPr>
        <w:t>biosolids</w:t>
      </w:r>
      <w:proofErr w:type="spellEnd"/>
      <w:r w:rsidRPr="00D448D9">
        <w:rPr>
          <w:b/>
        </w:rPr>
        <w:t xml:space="preserve"> breakdown</w:t>
      </w:r>
    </w:p>
    <w:p w:rsidR="007D5073" w:rsidRDefault="007D5073" w:rsidP="00A35633">
      <w:pPr>
        <w:spacing w:before="0" w:after="0"/>
        <w:jc w:val="left"/>
        <w:rPr>
          <w:b/>
          <w:caps/>
          <w:kern w:val="28"/>
          <w:sz w:val="28"/>
        </w:rPr>
      </w:pPr>
      <w:r>
        <w:br w:type="page"/>
      </w:r>
    </w:p>
    <w:p w:rsidR="000D53EA" w:rsidRDefault="00337CA3">
      <w:pPr>
        <w:pStyle w:val="Heading1"/>
        <w:jc w:val="left"/>
      </w:pPr>
      <w:bookmarkStart w:id="22" w:name="_Toc326747450"/>
      <w:r>
        <w:lastRenderedPageBreak/>
        <w:t>Biosolids production</w:t>
      </w:r>
      <w:bookmarkEnd w:id="22"/>
    </w:p>
    <w:p w:rsidR="000D53EA" w:rsidRDefault="00337CA3">
      <w:pPr>
        <w:pStyle w:val="Heading2"/>
        <w:jc w:val="left"/>
      </w:pPr>
      <w:bookmarkStart w:id="23" w:name="_Toc326747451"/>
      <w:r>
        <w:t>Australia</w:t>
      </w:r>
      <w:bookmarkEnd w:id="23"/>
    </w:p>
    <w:p w:rsidR="000D53EA" w:rsidRDefault="00DF5CD8">
      <w:pPr>
        <w:jc w:val="left"/>
      </w:pPr>
      <w:r>
        <w:t xml:space="preserve">The total </w:t>
      </w:r>
      <w:proofErr w:type="spellStart"/>
      <w:r>
        <w:t>biosolids</w:t>
      </w:r>
      <w:proofErr w:type="spellEnd"/>
      <w:r>
        <w:t xml:space="preserve"> production </w:t>
      </w:r>
      <w:r w:rsidR="00AA09B9">
        <w:t>in</w:t>
      </w:r>
      <w:r>
        <w:t xml:space="preserve"> Australia identified in the survey is about 300,000 tonnes per year of dry solids.  The average solids content of </w:t>
      </w:r>
      <w:proofErr w:type="spellStart"/>
      <w:r w:rsidR="00286CC7">
        <w:t>biosolids</w:t>
      </w:r>
      <w:proofErr w:type="spellEnd"/>
      <w:r w:rsidR="00286CC7">
        <w:t xml:space="preserve"> is</w:t>
      </w:r>
      <w:r>
        <w:t xml:space="preserve"> 20</w:t>
      </w:r>
      <w:r w:rsidR="00D96FB8">
        <w:t>–</w:t>
      </w:r>
      <w:r>
        <w:t>25% and this equates to around 1.2</w:t>
      </w:r>
      <w:r w:rsidR="00D96FB8">
        <w:t>–</w:t>
      </w:r>
      <w:r>
        <w:t xml:space="preserve">1.5 million tonnes of </w:t>
      </w:r>
      <w:proofErr w:type="spellStart"/>
      <w:r>
        <w:t>biosolids</w:t>
      </w:r>
      <w:proofErr w:type="spellEnd"/>
      <w:r>
        <w:t xml:space="preserve"> in dewatered form (also called wet</w:t>
      </w:r>
      <w:r w:rsidR="00480ECC">
        <w:t xml:space="preserve"> </w:t>
      </w:r>
      <w:proofErr w:type="spellStart"/>
      <w:r w:rsidR="00480ECC">
        <w:t>biosolids</w:t>
      </w:r>
      <w:proofErr w:type="spellEnd"/>
      <w:r>
        <w:t>).</w:t>
      </w:r>
    </w:p>
    <w:p w:rsidR="000D53EA" w:rsidRDefault="00DF5CD8">
      <w:pPr>
        <w:jc w:val="left"/>
      </w:pPr>
      <w:r>
        <w:t xml:space="preserve">A breakdown by state of </w:t>
      </w:r>
      <w:proofErr w:type="spellStart"/>
      <w:r>
        <w:t>biosolids</w:t>
      </w:r>
      <w:proofErr w:type="spellEnd"/>
      <w:r>
        <w:t xml:space="preserve"> production</w:t>
      </w:r>
      <w:r w:rsidR="00DB7F84">
        <w:t xml:space="preserve"> in dry tonnes</w:t>
      </w:r>
      <w:r>
        <w:t xml:space="preserve"> is given in the chart below</w:t>
      </w:r>
    </w:p>
    <w:p w:rsidR="000D53EA" w:rsidRDefault="001C5BD8">
      <w:pPr>
        <w:jc w:val="left"/>
      </w:pPr>
      <w:r>
        <w:rPr>
          <w:noProof/>
          <w:lang w:eastAsia="en-AU"/>
        </w:rPr>
        <w:drawing>
          <wp:inline distT="0" distB="0" distL="0" distR="0">
            <wp:extent cx="5110060" cy="3054350"/>
            <wp:effectExtent l="1905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5110060" cy="3054350"/>
                    </a:xfrm>
                    <a:prstGeom prst="rect">
                      <a:avLst/>
                    </a:prstGeom>
                    <a:noFill/>
                    <a:ln w="9525">
                      <a:noFill/>
                      <a:miter lim="800000"/>
                      <a:headEnd/>
                      <a:tailEnd/>
                    </a:ln>
                  </pic:spPr>
                </pic:pic>
              </a:graphicData>
            </a:graphic>
          </wp:inline>
        </w:drawing>
      </w:r>
    </w:p>
    <w:p w:rsidR="000D53EA" w:rsidRDefault="00292E2A">
      <w:pPr>
        <w:jc w:val="left"/>
        <w:rPr>
          <w:b/>
        </w:rPr>
      </w:pPr>
      <w:r w:rsidRPr="00292E2A">
        <w:rPr>
          <w:b/>
        </w:rPr>
        <w:t xml:space="preserve">Figure 2 – </w:t>
      </w:r>
      <w:proofErr w:type="spellStart"/>
      <w:r w:rsidRPr="00292E2A">
        <w:rPr>
          <w:b/>
        </w:rPr>
        <w:t>Biosolids</w:t>
      </w:r>
      <w:proofErr w:type="spellEnd"/>
      <w:r w:rsidRPr="00292E2A">
        <w:rPr>
          <w:b/>
        </w:rPr>
        <w:t xml:space="preserve"> production in Australia (2010)</w:t>
      </w:r>
    </w:p>
    <w:p w:rsidR="000D53EA" w:rsidRDefault="000D53EA">
      <w:pPr>
        <w:spacing w:before="0" w:after="0"/>
        <w:jc w:val="left"/>
        <w:rPr>
          <w:b/>
        </w:rPr>
      </w:pPr>
    </w:p>
    <w:p w:rsidR="000D53EA" w:rsidRDefault="000F6697">
      <w:pPr>
        <w:spacing w:before="0"/>
        <w:jc w:val="left"/>
      </w:pPr>
      <w:r>
        <w:t>The results of the surv</w:t>
      </w:r>
      <w:r w:rsidR="007471F4">
        <w:t>ey are also presented in Table 2</w:t>
      </w:r>
      <w:r>
        <w:t xml:space="preserve"> below.</w:t>
      </w:r>
    </w:p>
    <w:p w:rsidR="000D53EA" w:rsidRDefault="007471F4">
      <w:pPr>
        <w:pStyle w:val="TableHeading"/>
        <w:jc w:val="left"/>
      </w:pPr>
      <w:r>
        <w:t>Table 2</w:t>
      </w:r>
      <w:r w:rsidR="000F6697">
        <w:t xml:space="preserve"> - </w:t>
      </w:r>
      <w:proofErr w:type="spellStart"/>
      <w:r w:rsidR="000F6697">
        <w:t>Biosolids</w:t>
      </w:r>
      <w:proofErr w:type="spellEnd"/>
      <w:r w:rsidR="000F6697">
        <w:t xml:space="preserve"> production in Australia (tonnes per year dry solids)</w:t>
      </w:r>
    </w:p>
    <w:tbl>
      <w:tblPr>
        <w:tblW w:w="500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0"/>
        <w:gridCol w:w="1981"/>
      </w:tblGrid>
      <w:tr w:rsidR="000F6697" w:rsidRPr="000F6697" w:rsidTr="000F6697">
        <w:trPr>
          <w:trHeight w:val="260"/>
        </w:trPr>
        <w:tc>
          <w:tcPr>
            <w:tcW w:w="3020" w:type="dxa"/>
            <w:shd w:val="clear" w:color="auto" w:fill="auto"/>
            <w:noWrap/>
            <w:vAlign w:val="bottom"/>
            <w:hideMark/>
          </w:tcPr>
          <w:p w:rsidR="000D53EA" w:rsidRDefault="000F6697">
            <w:pPr>
              <w:spacing w:before="60" w:after="60"/>
              <w:jc w:val="left"/>
              <w:rPr>
                <w:b/>
                <w:sz w:val="18"/>
                <w:szCs w:val="18"/>
                <w:lang w:eastAsia="en-US"/>
              </w:rPr>
            </w:pPr>
            <w:r w:rsidRPr="000F6697">
              <w:rPr>
                <w:b/>
                <w:sz w:val="18"/>
                <w:szCs w:val="18"/>
                <w:lang w:eastAsia="en-US"/>
              </w:rPr>
              <w:t>State</w:t>
            </w:r>
          </w:p>
        </w:tc>
        <w:tc>
          <w:tcPr>
            <w:tcW w:w="1981" w:type="dxa"/>
            <w:shd w:val="clear" w:color="auto" w:fill="auto"/>
            <w:noWrap/>
            <w:vAlign w:val="bottom"/>
            <w:hideMark/>
          </w:tcPr>
          <w:p w:rsidR="000D53EA" w:rsidRDefault="000F6697">
            <w:pPr>
              <w:spacing w:before="60" w:after="60"/>
              <w:jc w:val="left"/>
              <w:rPr>
                <w:b/>
                <w:sz w:val="18"/>
                <w:szCs w:val="18"/>
                <w:lang w:eastAsia="en-US"/>
              </w:rPr>
            </w:pPr>
            <w:r w:rsidRPr="000F6697">
              <w:rPr>
                <w:b/>
                <w:sz w:val="18"/>
                <w:szCs w:val="18"/>
                <w:lang w:eastAsia="en-US"/>
              </w:rPr>
              <w:t>tonnes per year (dry)</w:t>
            </w:r>
          </w:p>
        </w:tc>
      </w:tr>
      <w:tr w:rsidR="000F6697" w:rsidRPr="000F6697" w:rsidTr="000F6697">
        <w:trPr>
          <w:trHeight w:val="260"/>
        </w:trPr>
        <w:tc>
          <w:tcPr>
            <w:tcW w:w="3020" w:type="dxa"/>
            <w:shd w:val="clear" w:color="auto" w:fill="auto"/>
            <w:noWrap/>
            <w:vAlign w:val="bottom"/>
            <w:hideMark/>
          </w:tcPr>
          <w:p w:rsidR="000D53EA" w:rsidRDefault="000F6697">
            <w:pPr>
              <w:spacing w:before="60" w:after="60"/>
              <w:jc w:val="left"/>
              <w:rPr>
                <w:sz w:val="18"/>
                <w:szCs w:val="18"/>
                <w:lang w:eastAsia="en-US"/>
              </w:rPr>
            </w:pPr>
            <w:r w:rsidRPr="000F6697">
              <w:rPr>
                <w:sz w:val="18"/>
                <w:szCs w:val="18"/>
                <w:lang w:eastAsia="en-US"/>
              </w:rPr>
              <w:t>ACT</w:t>
            </w:r>
          </w:p>
        </w:tc>
        <w:tc>
          <w:tcPr>
            <w:tcW w:w="1981" w:type="dxa"/>
            <w:shd w:val="clear" w:color="auto" w:fill="auto"/>
            <w:noWrap/>
            <w:vAlign w:val="bottom"/>
            <w:hideMark/>
          </w:tcPr>
          <w:p w:rsidR="000D53EA" w:rsidRDefault="000F6697">
            <w:pPr>
              <w:spacing w:before="60" w:after="60"/>
              <w:jc w:val="left"/>
              <w:rPr>
                <w:sz w:val="18"/>
                <w:szCs w:val="18"/>
                <w:lang w:eastAsia="en-US"/>
              </w:rPr>
            </w:pPr>
            <w:r w:rsidRPr="000F6697">
              <w:rPr>
                <w:sz w:val="18"/>
                <w:szCs w:val="18"/>
                <w:lang w:eastAsia="en-US"/>
              </w:rPr>
              <w:t>12,410</w:t>
            </w:r>
          </w:p>
        </w:tc>
      </w:tr>
      <w:tr w:rsidR="000F6697" w:rsidRPr="000F6697" w:rsidTr="000F6697">
        <w:trPr>
          <w:trHeight w:val="260"/>
        </w:trPr>
        <w:tc>
          <w:tcPr>
            <w:tcW w:w="3020" w:type="dxa"/>
            <w:shd w:val="clear" w:color="auto" w:fill="auto"/>
            <w:noWrap/>
            <w:vAlign w:val="bottom"/>
            <w:hideMark/>
          </w:tcPr>
          <w:p w:rsidR="000D53EA" w:rsidRDefault="000F6697">
            <w:pPr>
              <w:spacing w:before="60" w:after="60"/>
              <w:jc w:val="left"/>
              <w:rPr>
                <w:sz w:val="18"/>
                <w:szCs w:val="18"/>
                <w:lang w:eastAsia="en-US"/>
              </w:rPr>
            </w:pPr>
            <w:r w:rsidRPr="000F6697">
              <w:rPr>
                <w:sz w:val="18"/>
                <w:szCs w:val="18"/>
                <w:lang w:eastAsia="en-US"/>
              </w:rPr>
              <w:t>NSW</w:t>
            </w:r>
          </w:p>
        </w:tc>
        <w:tc>
          <w:tcPr>
            <w:tcW w:w="1981" w:type="dxa"/>
            <w:shd w:val="clear" w:color="auto" w:fill="auto"/>
            <w:noWrap/>
            <w:vAlign w:val="bottom"/>
            <w:hideMark/>
          </w:tcPr>
          <w:p w:rsidR="000D53EA" w:rsidRDefault="000F6697">
            <w:pPr>
              <w:spacing w:before="60" w:after="60"/>
              <w:jc w:val="left"/>
              <w:rPr>
                <w:sz w:val="18"/>
                <w:szCs w:val="18"/>
                <w:lang w:eastAsia="en-US"/>
              </w:rPr>
            </w:pPr>
            <w:r w:rsidRPr="000F6697">
              <w:rPr>
                <w:sz w:val="18"/>
                <w:szCs w:val="18"/>
                <w:lang w:eastAsia="en-US"/>
              </w:rPr>
              <w:t>72,148</w:t>
            </w:r>
          </w:p>
        </w:tc>
      </w:tr>
      <w:tr w:rsidR="000F6697" w:rsidRPr="000F6697" w:rsidTr="000F6697">
        <w:trPr>
          <w:trHeight w:val="260"/>
        </w:trPr>
        <w:tc>
          <w:tcPr>
            <w:tcW w:w="3020" w:type="dxa"/>
            <w:shd w:val="clear" w:color="auto" w:fill="auto"/>
            <w:noWrap/>
            <w:vAlign w:val="bottom"/>
            <w:hideMark/>
          </w:tcPr>
          <w:p w:rsidR="000D53EA" w:rsidRDefault="000F6697">
            <w:pPr>
              <w:spacing w:before="60" w:after="60"/>
              <w:jc w:val="left"/>
              <w:rPr>
                <w:sz w:val="18"/>
                <w:szCs w:val="18"/>
                <w:lang w:eastAsia="en-US"/>
              </w:rPr>
            </w:pPr>
            <w:r w:rsidRPr="000F6697">
              <w:rPr>
                <w:sz w:val="18"/>
                <w:szCs w:val="18"/>
                <w:lang w:eastAsia="en-US"/>
              </w:rPr>
              <w:t>NT</w:t>
            </w:r>
          </w:p>
        </w:tc>
        <w:tc>
          <w:tcPr>
            <w:tcW w:w="1981" w:type="dxa"/>
            <w:shd w:val="clear" w:color="auto" w:fill="auto"/>
            <w:noWrap/>
            <w:vAlign w:val="bottom"/>
            <w:hideMark/>
          </w:tcPr>
          <w:p w:rsidR="000D53EA" w:rsidRDefault="000F6697">
            <w:pPr>
              <w:spacing w:before="60" w:after="60"/>
              <w:jc w:val="left"/>
              <w:rPr>
                <w:sz w:val="18"/>
                <w:szCs w:val="18"/>
                <w:lang w:eastAsia="en-US"/>
              </w:rPr>
            </w:pPr>
            <w:r w:rsidRPr="000F6697">
              <w:rPr>
                <w:sz w:val="18"/>
                <w:szCs w:val="18"/>
                <w:lang w:eastAsia="en-US"/>
              </w:rPr>
              <w:t>1,095</w:t>
            </w:r>
          </w:p>
        </w:tc>
      </w:tr>
      <w:tr w:rsidR="000F6697" w:rsidRPr="000F6697" w:rsidTr="000F6697">
        <w:trPr>
          <w:trHeight w:val="260"/>
        </w:trPr>
        <w:tc>
          <w:tcPr>
            <w:tcW w:w="3020" w:type="dxa"/>
            <w:shd w:val="clear" w:color="auto" w:fill="auto"/>
            <w:noWrap/>
            <w:vAlign w:val="bottom"/>
            <w:hideMark/>
          </w:tcPr>
          <w:p w:rsidR="000D53EA" w:rsidRDefault="000F6697">
            <w:pPr>
              <w:spacing w:before="60" w:after="60"/>
              <w:jc w:val="left"/>
              <w:rPr>
                <w:sz w:val="18"/>
                <w:szCs w:val="18"/>
                <w:lang w:eastAsia="en-US"/>
              </w:rPr>
            </w:pPr>
            <w:r w:rsidRPr="000F6697">
              <w:rPr>
                <w:sz w:val="18"/>
                <w:szCs w:val="18"/>
                <w:lang w:eastAsia="en-US"/>
              </w:rPr>
              <w:t>QLD</w:t>
            </w:r>
          </w:p>
        </w:tc>
        <w:tc>
          <w:tcPr>
            <w:tcW w:w="1981" w:type="dxa"/>
            <w:shd w:val="clear" w:color="auto" w:fill="auto"/>
            <w:noWrap/>
            <w:vAlign w:val="bottom"/>
            <w:hideMark/>
          </w:tcPr>
          <w:p w:rsidR="000D53EA" w:rsidRDefault="000F6697">
            <w:pPr>
              <w:spacing w:before="60" w:after="60"/>
              <w:jc w:val="left"/>
              <w:rPr>
                <w:sz w:val="18"/>
                <w:szCs w:val="18"/>
                <w:lang w:eastAsia="en-US"/>
              </w:rPr>
            </w:pPr>
            <w:r w:rsidRPr="000F6697">
              <w:rPr>
                <w:sz w:val="18"/>
                <w:szCs w:val="18"/>
                <w:lang w:eastAsia="en-US"/>
              </w:rPr>
              <w:t>68,009</w:t>
            </w:r>
          </w:p>
        </w:tc>
      </w:tr>
      <w:tr w:rsidR="000F6697" w:rsidRPr="000F6697" w:rsidTr="000F6697">
        <w:trPr>
          <w:trHeight w:val="260"/>
        </w:trPr>
        <w:tc>
          <w:tcPr>
            <w:tcW w:w="3020" w:type="dxa"/>
            <w:shd w:val="clear" w:color="auto" w:fill="auto"/>
            <w:noWrap/>
            <w:vAlign w:val="bottom"/>
            <w:hideMark/>
          </w:tcPr>
          <w:p w:rsidR="000D53EA" w:rsidRDefault="000F6697">
            <w:pPr>
              <w:spacing w:before="60" w:after="60"/>
              <w:jc w:val="left"/>
              <w:rPr>
                <w:sz w:val="18"/>
                <w:szCs w:val="18"/>
                <w:lang w:eastAsia="en-US"/>
              </w:rPr>
            </w:pPr>
            <w:r w:rsidRPr="000F6697">
              <w:rPr>
                <w:sz w:val="18"/>
                <w:szCs w:val="18"/>
                <w:lang w:eastAsia="en-US"/>
              </w:rPr>
              <w:t>SA</w:t>
            </w:r>
          </w:p>
        </w:tc>
        <w:tc>
          <w:tcPr>
            <w:tcW w:w="1981" w:type="dxa"/>
            <w:shd w:val="clear" w:color="auto" w:fill="auto"/>
            <w:noWrap/>
            <w:vAlign w:val="bottom"/>
            <w:hideMark/>
          </w:tcPr>
          <w:p w:rsidR="000D53EA" w:rsidRDefault="000F6697">
            <w:pPr>
              <w:spacing w:before="60" w:after="60"/>
              <w:jc w:val="left"/>
              <w:rPr>
                <w:sz w:val="18"/>
                <w:szCs w:val="18"/>
                <w:lang w:eastAsia="en-US"/>
              </w:rPr>
            </w:pPr>
            <w:r w:rsidRPr="000F6697">
              <w:rPr>
                <w:sz w:val="18"/>
                <w:szCs w:val="18"/>
                <w:lang w:eastAsia="en-US"/>
              </w:rPr>
              <w:t>23,900</w:t>
            </w:r>
          </w:p>
        </w:tc>
      </w:tr>
      <w:tr w:rsidR="000F6697" w:rsidRPr="000F6697" w:rsidTr="000F6697">
        <w:trPr>
          <w:trHeight w:val="260"/>
        </w:trPr>
        <w:tc>
          <w:tcPr>
            <w:tcW w:w="3020" w:type="dxa"/>
            <w:shd w:val="clear" w:color="auto" w:fill="auto"/>
            <w:noWrap/>
            <w:vAlign w:val="bottom"/>
            <w:hideMark/>
          </w:tcPr>
          <w:p w:rsidR="000D53EA" w:rsidRDefault="000F6697">
            <w:pPr>
              <w:spacing w:before="60" w:after="60"/>
              <w:jc w:val="left"/>
              <w:rPr>
                <w:sz w:val="18"/>
                <w:szCs w:val="18"/>
                <w:lang w:eastAsia="en-US"/>
              </w:rPr>
            </w:pPr>
            <w:r w:rsidRPr="000F6697">
              <w:rPr>
                <w:sz w:val="18"/>
                <w:szCs w:val="18"/>
                <w:lang w:eastAsia="en-US"/>
              </w:rPr>
              <w:t>TAS</w:t>
            </w:r>
          </w:p>
        </w:tc>
        <w:tc>
          <w:tcPr>
            <w:tcW w:w="1981" w:type="dxa"/>
            <w:shd w:val="clear" w:color="auto" w:fill="auto"/>
            <w:noWrap/>
            <w:vAlign w:val="bottom"/>
            <w:hideMark/>
          </w:tcPr>
          <w:p w:rsidR="000D53EA" w:rsidRDefault="000F6697">
            <w:pPr>
              <w:spacing w:before="60" w:after="60"/>
              <w:jc w:val="left"/>
              <w:rPr>
                <w:sz w:val="18"/>
                <w:szCs w:val="18"/>
                <w:lang w:eastAsia="en-US"/>
              </w:rPr>
            </w:pPr>
            <w:r w:rsidRPr="000F6697">
              <w:rPr>
                <w:sz w:val="18"/>
                <w:szCs w:val="18"/>
                <w:lang w:eastAsia="en-US"/>
              </w:rPr>
              <w:t>8,059</w:t>
            </w:r>
          </w:p>
        </w:tc>
      </w:tr>
      <w:tr w:rsidR="000F6697" w:rsidRPr="000F6697" w:rsidTr="000F6697">
        <w:trPr>
          <w:trHeight w:val="260"/>
        </w:trPr>
        <w:tc>
          <w:tcPr>
            <w:tcW w:w="3020" w:type="dxa"/>
            <w:shd w:val="clear" w:color="auto" w:fill="auto"/>
            <w:noWrap/>
            <w:vAlign w:val="bottom"/>
            <w:hideMark/>
          </w:tcPr>
          <w:p w:rsidR="000D53EA" w:rsidRDefault="000F6697">
            <w:pPr>
              <w:spacing w:before="60" w:after="60"/>
              <w:jc w:val="left"/>
              <w:rPr>
                <w:sz w:val="18"/>
                <w:szCs w:val="18"/>
                <w:lang w:eastAsia="en-US"/>
              </w:rPr>
            </w:pPr>
            <w:r w:rsidRPr="000F6697">
              <w:rPr>
                <w:sz w:val="18"/>
                <w:szCs w:val="18"/>
                <w:lang w:eastAsia="en-US"/>
              </w:rPr>
              <w:t>VIC</w:t>
            </w:r>
          </w:p>
        </w:tc>
        <w:tc>
          <w:tcPr>
            <w:tcW w:w="1981" w:type="dxa"/>
            <w:shd w:val="clear" w:color="auto" w:fill="auto"/>
            <w:noWrap/>
            <w:vAlign w:val="bottom"/>
            <w:hideMark/>
          </w:tcPr>
          <w:p w:rsidR="000D53EA" w:rsidRDefault="000F6697">
            <w:pPr>
              <w:spacing w:before="60" w:after="60"/>
              <w:jc w:val="left"/>
              <w:rPr>
                <w:sz w:val="18"/>
                <w:szCs w:val="18"/>
                <w:lang w:eastAsia="en-US"/>
              </w:rPr>
            </w:pPr>
            <w:r w:rsidRPr="000F6697">
              <w:rPr>
                <w:sz w:val="18"/>
                <w:szCs w:val="18"/>
                <w:lang w:eastAsia="en-US"/>
              </w:rPr>
              <w:t>93,466</w:t>
            </w:r>
          </w:p>
        </w:tc>
      </w:tr>
      <w:tr w:rsidR="000F6697" w:rsidRPr="000F6697" w:rsidTr="000F6697">
        <w:trPr>
          <w:trHeight w:val="260"/>
        </w:trPr>
        <w:tc>
          <w:tcPr>
            <w:tcW w:w="3020" w:type="dxa"/>
            <w:shd w:val="clear" w:color="auto" w:fill="auto"/>
            <w:noWrap/>
            <w:vAlign w:val="bottom"/>
            <w:hideMark/>
          </w:tcPr>
          <w:p w:rsidR="000D53EA" w:rsidRDefault="000F6697">
            <w:pPr>
              <w:spacing w:before="60" w:after="60"/>
              <w:jc w:val="left"/>
              <w:rPr>
                <w:sz w:val="18"/>
                <w:szCs w:val="18"/>
                <w:lang w:eastAsia="en-US"/>
              </w:rPr>
            </w:pPr>
            <w:r w:rsidRPr="000F6697">
              <w:rPr>
                <w:sz w:val="18"/>
                <w:szCs w:val="18"/>
                <w:lang w:eastAsia="en-US"/>
              </w:rPr>
              <w:t>WA</w:t>
            </w:r>
          </w:p>
        </w:tc>
        <w:tc>
          <w:tcPr>
            <w:tcW w:w="1981" w:type="dxa"/>
            <w:shd w:val="clear" w:color="auto" w:fill="auto"/>
            <w:noWrap/>
            <w:vAlign w:val="bottom"/>
            <w:hideMark/>
          </w:tcPr>
          <w:p w:rsidR="000D53EA" w:rsidRDefault="000F6697">
            <w:pPr>
              <w:spacing w:before="60" w:after="60"/>
              <w:jc w:val="left"/>
              <w:rPr>
                <w:sz w:val="18"/>
                <w:szCs w:val="18"/>
                <w:lang w:eastAsia="en-US"/>
              </w:rPr>
            </w:pPr>
            <w:r w:rsidRPr="000F6697">
              <w:rPr>
                <w:sz w:val="18"/>
                <w:szCs w:val="18"/>
                <w:lang w:eastAsia="en-US"/>
              </w:rPr>
              <w:t>24,719</w:t>
            </w:r>
          </w:p>
        </w:tc>
      </w:tr>
      <w:tr w:rsidR="000F6697" w:rsidRPr="000F6697" w:rsidTr="000F6697">
        <w:trPr>
          <w:trHeight w:val="260"/>
        </w:trPr>
        <w:tc>
          <w:tcPr>
            <w:tcW w:w="3020" w:type="dxa"/>
            <w:shd w:val="clear" w:color="auto" w:fill="auto"/>
            <w:noWrap/>
            <w:vAlign w:val="bottom"/>
            <w:hideMark/>
          </w:tcPr>
          <w:p w:rsidR="000D53EA" w:rsidRDefault="000F6697">
            <w:pPr>
              <w:spacing w:before="60" w:after="60"/>
              <w:jc w:val="left"/>
              <w:rPr>
                <w:b/>
                <w:sz w:val="18"/>
                <w:szCs w:val="18"/>
                <w:lang w:eastAsia="en-US"/>
              </w:rPr>
            </w:pPr>
            <w:r w:rsidRPr="000F6697">
              <w:rPr>
                <w:b/>
                <w:sz w:val="18"/>
                <w:szCs w:val="18"/>
                <w:lang w:eastAsia="en-US"/>
              </w:rPr>
              <w:t>Total</w:t>
            </w:r>
          </w:p>
        </w:tc>
        <w:tc>
          <w:tcPr>
            <w:tcW w:w="1981" w:type="dxa"/>
            <w:shd w:val="clear" w:color="auto" w:fill="auto"/>
            <w:noWrap/>
            <w:vAlign w:val="bottom"/>
            <w:hideMark/>
          </w:tcPr>
          <w:p w:rsidR="000D53EA" w:rsidRDefault="000F6697">
            <w:pPr>
              <w:spacing w:before="60" w:after="60"/>
              <w:jc w:val="left"/>
              <w:rPr>
                <w:b/>
                <w:sz w:val="18"/>
                <w:szCs w:val="18"/>
                <w:lang w:eastAsia="en-US"/>
              </w:rPr>
            </w:pPr>
            <w:r w:rsidRPr="000F6697">
              <w:rPr>
                <w:b/>
                <w:sz w:val="18"/>
                <w:szCs w:val="18"/>
                <w:lang w:eastAsia="en-US"/>
              </w:rPr>
              <w:t>303,806</w:t>
            </w:r>
          </w:p>
        </w:tc>
      </w:tr>
    </w:tbl>
    <w:p w:rsidR="000D53EA" w:rsidRDefault="000D53EA">
      <w:pPr>
        <w:jc w:val="left"/>
      </w:pPr>
    </w:p>
    <w:p w:rsidR="000F6697" w:rsidRDefault="000F6697" w:rsidP="00A35633">
      <w:pPr>
        <w:spacing w:before="0" w:after="0"/>
        <w:jc w:val="left"/>
        <w:rPr>
          <w:b/>
          <w:caps/>
          <w:kern w:val="28"/>
          <w:sz w:val="28"/>
        </w:rPr>
      </w:pPr>
      <w:r>
        <w:br w:type="page"/>
      </w:r>
    </w:p>
    <w:p w:rsidR="000D53EA" w:rsidRDefault="00337CA3">
      <w:pPr>
        <w:pStyle w:val="Heading1"/>
        <w:jc w:val="left"/>
      </w:pPr>
      <w:bookmarkStart w:id="24" w:name="_Toc326747452"/>
      <w:r>
        <w:lastRenderedPageBreak/>
        <w:t>Biosolids end use (markets)</w:t>
      </w:r>
      <w:bookmarkEnd w:id="24"/>
    </w:p>
    <w:p w:rsidR="000D53EA" w:rsidRDefault="00DF5CD8">
      <w:pPr>
        <w:jc w:val="left"/>
      </w:pPr>
      <w:proofErr w:type="spellStart"/>
      <w:r>
        <w:t>Biosolids</w:t>
      </w:r>
      <w:proofErr w:type="spellEnd"/>
      <w:r>
        <w:t xml:space="preserve"> end use nationally and for each state is presented in the charts below.</w:t>
      </w:r>
    </w:p>
    <w:p w:rsidR="000D53EA" w:rsidRDefault="00FA6CF1">
      <w:pPr>
        <w:jc w:val="left"/>
      </w:pPr>
      <w:r>
        <w:rPr>
          <w:noProof/>
          <w:lang w:eastAsia="en-AU"/>
        </w:rPr>
        <w:drawing>
          <wp:inline distT="0" distB="0" distL="0" distR="0">
            <wp:extent cx="4309374" cy="2438400"/>
            <wp:effectExtent l="19050" t="0" r="0"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4309374" cy="2438400"/>
                    </a:xfrm>
                    <a:prstGeom prst="rect">
                      <a:avLst/>
                    </a:prstGeom>
                    <a:noFill/>
                    <a:ln w="9525">
                      <a:noFill/>
                      <a:miter lim="800000"/>
                      <a:headEnd/>
                      <a:tailEnd/>
                    </a:ln>
                  </pic:spPr>
                </pic:pic>
              </a:graphicData>
            </a:graphic>
          </wp:inline>
        </w:drawing>
      </w:r>
    </w:p>
    <w:p w:rsidR="000D53EA" w:rsidRDefault="00292E2A">
      <w:pPr>
        <w:jc w:val="left"/>
        <w:rPr>
          <w:b/>
        </w:rPr>
      </w:pPr>
      <w:r w:rsidRPr="00292E2A">
        <w:rPr>
          <w:b/>
        </w:rPr>
        <w:t xml:space="preserve">Figure 3 – </w:t>
      </w:r>
      <w:proofErr w:type="spellStart"/>
      <w:r w:rsidRPr="00292E2A">
        <w:rPr>
          <w:b/>
        </w:rPr>
        <w:t>Biosolids</w:t>
      </w:r>
      <w:proofErr w:type="spellEnd"/>
      <w:r w:rsidRPr="00292E2A">
        <w:rPr>
          <w:b/>
        </w:rPr>
        <w:t xml:space="preserve"> end use in Australia</w:t>
      </w:r>
    </w:p>
    <w:p w:rsidR="000D53EA" w:rsidRDefault="00371181">
      <w:pPr>
        <w:jc w:val="left"/>
      </w:pPr>
      <w:r>
        <w:t xml:space="preserve">Overall, around two thirds of all </w:t>
      </w:r>
      <w:proofErr w:type="spellStart"/>
      <w:r>
        <w:t>biosolids</w:t>
      </w:r>
      <w:proofErr w:type="spellEnd"/>
      <w:r>
        <w:t xml:space="preserve"> produced in Australia</w:t>
      </w:r>
      <w:r w:rsidR="003829D8">
        <w:t xml:space="preserve"> is applied to the land as a fertiliser, soil conditioner or soil replacement product. Application to agricultural land is by far the largest end use in Australia, followed by use in composted products.</w:t>
      </w:r>
    </w:p>
    <w:p w:rsidR="000D53EA" w:rsidRDefault="003829D8">
      <w:pPr>
        <w:jc w:val="left"/>
      </w:pPr>
      <w:r>
        <w:t xml:space="preserve">Nationally Australia stockpiles around 25% of all </w:t>
      </w:r>
      <w:proofErr w:type="spellStart"/>
      <w:r>
        <w:t>biosolids</w:t>
      </w:r>
      <w:proofErr w:type="spellEnd"/>
      <w:r>
        <w:t xml:space="preserve"> produced, however this figure is driven by Victoria, which stockpiles around 75% of all </w:t>
      </w:r>
      <w:proofErr w:type="spellStart"/>
      <w:r>
        <w:t>biosolids</w:t>
      </w:r>
      <w:proofErr w:type="spellEnd"/>
      <w:r>
        <w:t xml:space="preserve"> it produces. Stockpiling of </w:t>
      </w:r>
      <w:proofErr w:type="spellStart"/>
      <w:r>
        <w:t>biosolids</w:t>
      </w:r>
      <w:proofErr w:type="spellEnd"/>
      <w:r>
        <w:t xml:space="preserve"> as a medium to long term strategy is not sustainable. It defers the cost of </w:t>
      </w:r>
      <w:proofErr w:type="spellStart"/>
      <w:r>
        <w:t>biosolids</w:t>
      </w:r>
      <w:proofErr w:type="spellEnd"/>
      <w:r>
        <w:t xml:space="preserve"> management to the future. Most stockpiles are also under anaerobic conditions and have very high greenhouse gas output as a result of fugitive methane emissions.  Stockpiling of </w:t>
      </w:r>
      <w:proofErr w:type="spellStart"/>
      <w:r>
        <w:t>biosolids</w:t>
      </w:r>
      <w:proofErr w:type="spellEnd"/>
      <w:r>
        <w:t xml:space="preserve"> should be actively discouraged.</w:t>
      </w:r>
    </w:p>
    <w:p w:rsidR="000D53EA" w:rsidRDefault="003829D8">
      <w:pPr>
        <w:jc w:val="left"/>
      </w:pPr>
      <w:r>
        <w:t xml:space="preserve">The following charts show the detail of </w:t>
      </w:r>
      <w:proofErr w:type="spellStart"/>
      <w:r>
        <w:t>biosolids</w:t>
      </w:r>
      <w:proofErr w:type="spellEnd"/>
      <w:r>
        <w:t xml:space="preserve"> use or destination in each state.</w:t>
      </w:r>
    </w:p>
    <w:p w:rsidR="000D53EA" w:rsidRDefault="00FA6CF1">
      <w:pPr>
        <w:jc w:val="left"/>
        <w:rPr>
          <w:b/>
        </w:rPr>
      </w:pPr>
      <w:r>
        <w:rPr>
          <w:noProof/>
          <w:lang w:eastAsia="en-AU"/>
        </w:rPr>
        <w:drawing>
          <wp:inline distT="0" distB="0" distL="0" distR="0">
            <wp:extent cx="4260850" cy="2221529"/>
            <wp:effectExtent l="19050" t="0" r="6350" b="0"/>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4260850" cy="2221529"/>
                    </a:xfrm>
                    <a:prstGeom prst="rect">
                      <a:avLst/>
                    </a:prstGeom>
                    <a:noFill/>
                    <a:ln w="9525">
                      <a:noFill/>
                      <a:miter lim="800000"/>
                      <a:headEnd/>
                      <a:tailEnd/>
                    </a:ln>
                  </pic:spPr>
                </pic:pic>
              </a:graphicData>
            </a:graphic>
          </wp:inline>
        </w:drawing>
      </w:r>
    </w:p>
    <w:p w:rsidR="000D53EA" w:rsidRDefault="003432F8">
      <w:pPr>
        <w:jc w:val="left"/>
        <w:rPr>
          <w:b/>
        </w:rPr>
      </w:pPr>
      <w:r>
        <w:rPr>
          <w:b/>
        </w:rPr>
        <w:t>Figure 4</w:t>
      </w:r>
      <w:r w:rsidRPr="00292E2A">
        <w:rPr>
          <w:b/>
        </w:rPr>
        <w:t xml:space="preserve"> – </w:t>
      </w:r>
      <w:proofErr w:type="spellStart"/>
      <w:r w:rsidRPr="00292E2A">
        <w:rPr>
          <w:b/>
        </w:rPr>
        <w:t>Biosolids</w:t>
      </w:r>
      <w:proofErr w:type="spellEnd"/>
      <w:r w:rsidRPr="00292E2A">
        <w:rPr>
          <w:b/>
        </w:rPr>
        <w:t xml:space="preserve"> end use in </w:t>
      </w:r>
      <w:r>
        <w:rPr>
          <w:b/>
        </w:rPr>
        <w:t>NSW and ACT</w:t>
      </w:r>
    </w:p>
    <w:p w:rsidR="000D53EA" w:rsidRDefault="00FA6CF1">
      <w:pPr>
        <w:jc w:val="left"/>
        <w:rPr>
          <w:b/>
        </w:rPr>
      </w:pPr>
      <w:r>
        <w:rPr>
          <w:noProof/>
          <w:lang w:eastAsia="en-AU"/>
        </w:rPr>
        <w:lastRenderedPageBreak/>
        <w:drawing>
          <wp:inline distT="0" distB="0" distL="0" distR="0">
            <wp:extent cx="4556017" cy="2584450"/>
            <wp:effectExtent l="19050" t="0" r="0" b="0"/>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4562045" cy="2587869"/>
                    </a:xfrm>
                    <a:prstGeom prst="rect">
                      <a:avLst/>
                    </a:prstGeom>
                    <a:noFill/>
                    <a:ln w="9525">
                      <a:noFill/>
                      <a:miter lim="800000"/>
                      <a:headEnd/>
                      <a:tailEnd/>
                    </a:ln>
                  </pic:spPr>
                </pic:pic>
              </a:graphicData>
            </a:graphic>
          </wp:inline>
        </w:drawing>
      </w:r>
    </w:p>
    <w:p w:rsidR="000D53EA" w:rsidRDefault="003432F8">
      <w:pPr>
        <w:jc w:val="left"/>
        <w:rPr>
          <w:b/>
        </w:rPr>
      </w:pPr>
      <w:r>
        <w:rPr>
          <w:b/>
        </w:rPr>
        <w:t>Figure 5</w:t>
      </w:r>
      <w:r w:rsidRPr="00292E2A">
        <w:rPr>
          <w:b/>
        </w:rPr>
        <w:t xml:space="preserve"> – </w:t>
      </w:r>
      <w:proofErr w:type="spellStart"/>
      <w:r w:rsidRPr="00292E2A">
        <w:rPr>
          <w:b/>
        </w:rPr>
        <w:t>Biosolids</w:t>
      </w:r>
      <w:proofErr w:type="spellEnd"/>
      <w:r w:rsidRPr="00292E2A">
        <w:rPr>
          <w:b/>
        </w:rPr>
        <w:t xml:space="preserve"> end use in </w:t>
      </w:r>
      <w:r>
        <w:rPr>
          <w:b/>
        </w:rPr>
        <w:t>QLD</w:t>
      </w:r>
    </w:p>
    <w:p w:rsidR="000D53EA" w:rsidRDefault="000D53EA">
      <w:pPr>
        <w:jc w:val="left"/>
        <w:rPr>
          <w:b/>
        </w:rPr>
      </w:pPr>
    </w:p>
    <w:p w:rsidR="000D53EA" w:rsidRDefault="00FA6CF1">
      <w:pPr>
        <w:jc w:val="left"/>
        <w:rPr>
          <w:b/>
        </w:rPr>
      </w:pPr>
      <w:r>
        <w:rPr>
          <w:noProof/>
          <w:lang w:eastAsia="en-AU"/>
        </w:rPr>
        <w:drawing>
          <wp:inline distT="0" distB="0" distL="0" distR="0">
            <wp:extent cx="3996925" cy="2736850"/>
            <wp:effectExtent l="19050" t="0" r="3575" b="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a:stretch>
                      <a:fillRect/>
                    </a:stretch>
                  </pic:blipFill>
                  <pic:spPr bwMode="auto">
                    <a:xfrm>
                      <a:off x="0" y="0"/>
                      <a:ext cx="3997242" cy="2737067"/>
                    </a:xfrm>
                    <a:prstGeom prst="rect">
                      <a:avLst/>
                    </a:prstGeom>
                    <a:noFill/>
                    <a:ln w="9525">
                      <a:noFill/>
                      <a:miter lim="800000"/>
                      <a:headEnd/>
                      <a:tailEnd/>
                    </a:ln>
                  </pic:spPr>
                </pic:pic>
              </a:graphicData>
            </a:graphic>
          </wp:inline>
        </w:drawing>
      </w:r>
    </w:p>
    <w:p w:rsidR="000D53EA" w:rsidRDefault="003432F8">
      <w:pPr>
        <w:jc w:val="left"/>
        <w:rPr>
          <w:b/>
        </w:rPr>
      </w:pPr>
      <w:r>
        <w:rPr>
          <w:b/>
        </w:rPr>
        <w:t>Figure 6</w:t>
      </w:r>
      <w:r w:rsidRPr="00292E2A">
        <w:rPr>
          <w:b/>
        </w:rPr>
        <w:t xml:space="preserve"> – </w:t>
      </w:r>
      <w:proofErr w:type="spellStart"/>
      <w:r w:rsidRPr="00292E2A">
        <w:rPr>
          <w:b/>
        </w:rPr>
        <w:t>Biosolids</w:t>
      </w:r>
      <w:proofErr w:type="spellEnd"/>
      <w:r w:rsidRPr="00292E2A">
        <w:rPr>
          <w:b/>
        </w:rPr>
        <w:t xml:space="preserve"> end use in </w:t>
      </w:r>
      <w:r>
        <w:rPr>
          <w:b/>
        </w:rPr>
        <w:t>South Australia</w:t>
      </w:r>
    </w:p>
    <w:p w:rsidR="000D53EA" w:rsidRDefault="000D53EA">
      <w:pPr>
        <w:jc w:val="left"/>
        <w:rPr>
          <w:b/>
        </w:rPr>
      </w:pPr>
    </w:p>
    <w:p w:rsidR="000D53EA" w:rsidRDefault="00F834E5">
      <w:pPr>
        <w:jc w:val="left"/>
        <w:rPr>
          <w:b/>
        </w:rPr>
      </w:pPr>
      <w:r>
        <w:rPr>
          <w:noProof/>
          <w:lang w:eastAsia="en-AU"/>
        </w:rPr>
        <w:lastRenderedPageBreak/>
        <w:drawing>
          <wp:inline distT="0" distB="0" distL="0" distR="0">
            <wp:extent cx="4337050" cy="2755215"/>
            <wp:effectExtent l="19050" t="0" r="6350" b="0"/>
            <wp:docPr id="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srcRect/>
                    <a:stretch>
                      <a:fillRect/>
                    </a:stretch>
                  </pic:blipFill>
                  <pic:spPr bwMode="auto">
                    <a:xfrm>
                      <a:off x="0" y="0"/>
                      <a:ext cx="4337050" cy="2755215"/>
                    </a:xfrm>
                    <a:prstGeom prst="rect">
                      <a:avLst/>
                    </a:prstGeom>
                    <a:noFill/>
                    <a:ln w="9525">
                      <a:noFill/>
                      <a:miter lim="800000"/>
                      <a:headEnd/>
                      <a:tailEnd/>
                    </a:ln>
                  </pic:spPr>
                </pic:pic>
              </a:graphicData>
            </a:graphic>
          </wp:inline>
        </w:drawing>
      </w:r>
      <w:r w:rsidR="003432F8" w:rsidRPr="003432F8">
        <w:rPr>
          <w:b/>
        </w:rPr>
        <w:t xml:space="preserve"> </w:t>
      </w:r>
    </w:p>
    <w:p w:rsidR="000D53EA" w:rsidRDefault="003432F8">
      <w:pPr>
        <w:jc w:val="left"/>
        <w:rPr>
          <w:b/>
        </w:rPr>
      </w:pPr>
      <w:r>
        <w:rPr>
          <w:b/>
        </w:rPr>
        <w:t>Figure 7</w:t>
      </w:r>
      <w:r w:rsidRPr="00292E2A">
        <w:rPr>
          <w:b/>
        </w:rPr>
        <w:t xml:space="preserve"> – </w:t>
      </w:r>
      <w:proofErr w:type="spellStart"/>
      <w:r w:rsidRPr="00292E2A">
        <w:rPr>
          <w:b/>
        </w:rPr>
        <w:t>Biosolids</w:t>
      </w:r>
      <w:proofErr w:type="spellEnd"/>
      <w:r w:rsidRPr="00292E2A">
        <w:rPr>
          <w:b/>
        </w:rPr>
        <w:t xml:space="preserve"> end use in </w:t>
      </w:r>
      <w:r>
        <w:rPr>
          <w:b/>
        </w:rPr>
        <w:t>Tasmania</w:t>
      </w:r>
    </w:p>
    <w:p w:rsidR="000D53EA" w:rsidRDefault="000D53EA">
      <w:pPr>
        <w:jc w:val="left"/>
        <w:rPr>
          <w:b/>
        </w:rPr>
      </w:pPr>
    </w:p>
    <w:p w:rsidR="000D53EA" w:rsidRDefault="00F834E5">
      <w:pPr>
        <w:jc w:val="left"/>
        <w:rPr>
          <w:b/>
        </w:rPr>
      </w:pPr>
      <w:r>
        <w:rPr>
          <w:b/>
          <w:noProof/>
          <w:lang w:eastAsia="en-AU"/>
        </w:rPr>
        <w:drawing>
          <wp:inline distT="0" distB="0" distL="0" distR="0">
            <wp:extent cx="4165600" cy="2898144"/>
            <wp:effectExtent l="19050" t="0" r="6350" b="0"/>
            <wp:docPr id="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srcRect/>
                    <a:stretch>
                      <a:fillRect/>
                    </a:stretch>
                  </pic:blipFill>
                  <pic:spPr bwMode="auto">
                    <a:xfrm>
                      <a:off x="0" y="0"/>
                      <a:ext cx="4167227" cy="2899276"/>
                    </a:xfrm>
                    <a:prstGeom prst="rect">
                      <a:avLst/>
                    </a:prstGeom>
                    <a:noFill/>
                    <a:ln w="9525">
                      <a:noFill/>
                      <a:miter lim="800000"/>
                      <a:headEnd/>
                      <a:tailEnd/>
                    </a:ln>
                  </pic:spPr>
                </pic:pic>
              </a:graphicData>
            </a:graphic>
          </wp:inline>
        </w:drawing>
      </w:r>
    </w:p>
    <w:p w:rsidR="000D53EA" w:rsidRDefault="003432F8">
      <w:pPr>
        <w:jc w:val="left"/>
        <w:rPr>
          <w:b/>
        </w:rPr>
      </w:pPr>
      <w:r>
        <w:rPr>
          <w:b/>
        </w:rPr>
        <w:t>Figure 8</w:t>
      </w:r>
      <w:r w:rsidRPr="00292E2A">
        <w:rPr>
          <w:b/>
        </w:rPr>
        <w:t xml:space="preserve"> – </w:t>
      </w:r>
      <w:proofErr w:type="spellStart"/>
      <w:r w:rsidRPr="00292E2A">
        <w:rPr>
          <w:b/>
        </w:rPr>
        <w:t>Biosolids</w:t>
      </w:r>
      <w:proofErr w:type="spellEnd"/>
      <w:r w:rsidRPr="00292E2A">
        <w:rPr>
          <w:b/>
        </w:rPr>
        <w:t xml:space="preserve"> end use in </w:t>
      </w:r>
      <w:r>
        <w:rPr>
          <w:b/>
        </w:rPr>
        <w:t>Victoria</w:t>
      </w:r>
    </w:p>
    <w:p w:rsidR="000D53EA" w:rsidRDefault="00F834E5">
      <w:pPr>
        <w:jc w:val="left"/>
        <w:rPr>
          <w:noProof/>
          <w:lang w:eastAsia="en-AU"/>
        </w:rPr>
      </w:pPr>
      <w:r>
        <w:rPr>
          <w:noProof/>
          <w:lang w:eastAsia="en-AU"/>
        </w:rPr>
        <w:lastRenderedPageBreak/>
        <w:drawing>
          <wp:inline distT="0" distB="0" distL="0" distR="0">
            <wp:extent cx="4451350" cy="2628346"/>
            <wp:effectExtent l="19050" t="0" r="6350" b="0"/>
            <wp:docPr id="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srcRect/>
                    <a:stretch>
                      <a:fillRect/>
                    </a:stretch>
                  </pic:blipFill>
                  <pic:spPr bwMode="auto">
                    <a:xfrm>
                      <a:off x="0" y="0"/>
                      <a:ext cx="4451350" cy="2628346"/>
                    </a:xfrm>
                    <a:prstGeom prst="rect">
                      <a:avLst/>
                    </a:prstGeom>
                    <a:noFill/>
                    <a:ln w="9525">
                      <a:noFill/>
                      <a:miter lim="800000"/>
                      <a:headEnd/>
                      <a:tailEnd/>
                    </a:ln>
                  </pic:spPr>
                </pic:pic>
              </a:graphicData>
            </a:graphic>
          </wp:inline>
        </w:drawing>
      </w:r>
    </w:p>
    <w:p w:rsidR="000D53EA" w:rsidRDefault="003432F8">
      <w:pPr>
        <w:jc w:val="left"/>
        <w:rPr>
          <w:b/>
        </w:rPr>
      </w:pPr>
      <w:r>
        <w:rPr>
          <w:b/>
        </w:rPr>
        <w:t>Figure 9</w:t>
      </w:r>
      <w:r w:rsidRPr="00292E2A">
        <w:rPr>
          <w:b/>
        </w:rPr>
        <w:t xml:space="preserve"> – </w:t>
      </w:r>
      <w:proofErr w:type="spellStart"/>
      <w:r w:rsidRPr="00292E2A">
        <w:rPr>
          <w:b/>
        </w:rPr>
        <w:t>Biosolids</w:t>
      </w:r>
      <w:proofErr w:type="spellEnd"/>
      <w:r w:rsidRPr="00292E2A">
        <w:rPr>
          <w:b/>
        </w:rPr>
        <w:t xml:space="preserve"> end use in </w:t>
      </w:r>
      <w:r>
        <w:rPr>
          <w:b/>
        </w:rPr>
        <w:t>WA and NT</w:t>
      </w:r>
    </w:p>
    <w:p w:rsidR="000D53EA" w:rsidRDefault="000D53EA">
      <w:pPr>
        <w:jc w:val="left"/>
      </w:pPr>
    </w:p>
    <w:p w:rsidR="000D53EA" w:rsidRDefault="000D53EA">
      <w:pPr>
        <w:jc w:val="left"/>
      </w:pPr>
    </w:p>
    <w:p w:rsidR="00E604FA" w:rsidRDefault="00E604FA" w:rsidP="00A35633">
      <w:pPr>
        <w:spacing w:before="0" w:after="0"/>
        <w:jc w:val="left"/>
        <w:rPr>
          <w:b/>
          <w:caps/>
          <w:kern w:val="28"/>
          <w:sz w:val="28"/>
        </w:rPr>
      </w:pPr>
      <w:r>
        <w:br w:type="page"/>
      </w:r>
    </w:p>
    <w:p w:rsidR="000D53EA" w:rsidRDefault="00337CA3">
      <w:pPr>
        <w:pStyle w:val="Heading1"/>
        <w:jc w:val="left"/>
      </w:pPr>
      <w:bookmarkStart w:id="25" w:name="_Toc326747453"/>
      <w:r>
        <w:lastRenderedPageBreak/>
        <w:t>Biosolids quality</w:t>
      </w:r>
      <w:bookmarkEnd w:id="25"/>
    </w:p>
    <w:p w:rsidR="000D53EA" w:rsidRDefault="003A41C2">
      <w:pPr>
        <w:pStyle w:val="Heading2"/>
        <w:jc w:val="left"/>
      </w:pPr>
      <w:bookmarkStart w:id="26" w:name="_Toc326747454"/>
      <w:r>
        <w:t>General</w:t>
      </w:r>
      <w:bookmarkEnd w:id="26"/>
    </w:p>
    <w:p w:rsidR="000D53EA" w:rsidRDefault="003A41C2">
      <w:pPr>
        <w:spacing w:before="100" w:after="100"/>
        <w:jc w:val="left"/>
      </w:pPr>
      <w:r>
        <w:t xml:space="preserve">Stabilisation is the process by which the pathogen levels and odour potential of </w:t>
      </w:r>
      <w:proofErr w:type="spellStart"/>
      <w:r>
        <w:t>biosolids</w:t>
      </w:r>
      <w:proofErr w:type="spellEnd"/>
      <w:r>
        <w:t xml:space="preserve"> are reduced. Stabilisation regulatory requirements are based around two criteria:</w:t>
      </w:r>
    </w:p>
    <w:p w:rsidR="000D53EA" w:rsidRDefault="003A41C2">
      <w:pPr>
        <w:numPr>
          <w:ilvl w:val="0"/>
          <w:numId w:val="21"/>
        </w:numPr>
        <w:spacing w:before="100" w:after="100"/>
        <w:jc w:val="left"/>
      </w:pPr>
      <w:r>
        <w:t>Pathogen reduction;</w:t>
      </w:r>
    </w:p>
    <w:p w:rsidR="000D53EA" w:rsidRDefault="003A41C2">
      <w:pPr>
        <w:numPr>
          <w:ilvl w:val="0"/>
          <w:numId w:val="21"/>
        </w:numPr>
        <w:spacing w:before="100" w:after="100"/>
        <w:jc w:val="left"/>
      </w:pPr>
      <w:r>
        <w:t>Vector attraction reduction.</w:t>
      </w:r>
    </w:p>
    <w:p w:rsidR="000D53EA" w:rsidRDefault="003A41C2">
      <w:pPr>
        <w:spacing w:before="100" w:after="100"/>
        <w:jc w:val="left"/>
      </w:pPr>
      <w:r>
        <w:t>Pathogen reduction involves killing potentially harmful micro-organisms which are present in the wastewater. The only mechanism recognised by regulatory authorities to kill pathogens is temperature. Time-temperature relationships are well established to relate process performance to pathogen kill. The longer the time and higher the temperature, the greater the pathogen kill. As a guide, 30 minutes is required at 70º C to achieve Grade A.</w:t>
      </w:r>
    </w:p>
    <w:p w:rsidR="000D53EA" w:rsidRDefault="003A41C2">
      <w:pPr>
        <w:spacing w:before="100" w:after="100"/>
        <w:jc w:val="left"/>
      </w:pPr>
      <w:r>
        <w:t xml:space="preserve">A vector is a fly, mouse, rat, bird, or other animal which can carry and transmit pathogens.  Vector attraction reduction is important to reduce the risk of the spread of disease from </w:t>
      </w:r>
      <w:proofErr w:type="spellStart"/>
      <w:r>
        <w:t>biosolids</w:t>
      </w:r>
      <w:proofErr w:type="spellEnd"/>
      <w:r>
        <w:t xml:space="preserve">. Vector attraction reduction can be achieved by reducing the level of volatile solids in the sewage solids, increasing the solids content or increasing the </w:t>
      </w:r>
      <w:proofErr w:type="spellStart"/>
      <w:r>
        <w:t>pH.</w:t>
      </w:r>
      <w:proofErr w:type="spellEnd"/>
    </w:p>
    <w:p w:rsidR="000D53EA" w:rsidRDefault="003A41C2">
      <w:pPr>
        <w:jc w:val="left"/>
      </w:pPr>
      <w:r>
        <w:t xml:space="preserve">Stabilisation performance is generally classified in two levels. The highest level is often referred to as Grade A or T1 and essentially involves almost total pathogen kill. This level is defined by microbiological criteria. The next level is Grade B and involves a significant reduction in pathogens. This level is defined by the type of process the sewage </w:t>
      </w:r>
      <w:proofErr w:type="gramStart"/>
      <w:r>
        <w:t>solids passes</w:t>
      </w:r>
      <w:proofErr w:type="gramEnd"/>
      <w:r>
        <w:t xml:space="preserve"> through. </w:t>
      </w:r>
      <w:r w:rsidRPr="00DC0802">
        <w:t xml:space="preserve">Stabilisation Grade C </w:t>
      </w:r>
      <w:proofErr w:type="spellStart"/>
      <w:r w:rsidRPr="00DC0802">
        <w:t>biosolids</w:t>
      </w:r>
      <w:proofErr w:type="spellEnd"/>
      <w:r w:rsidRPr="00DC0802">
        <w:t xml:space="preserve"> are unstable, and suitable for disposal only, although it is unlikely landfills would accept</w:t>
      </w:r>
      <w:r>
        <w:t xml:space="preserve"> significant quantities of</w:t>
      </w:r>
      <w:r w:rsidRPr="00DC0802">
        <w:t xml:space="preserve"> this material due to odour risk.</w:t>
      </w:r>
    </w:p>
    <w:p w:rsidR="000D53EA" w:rsidRDefault="003A41C2">
      <w:pPr>
        <w:pStyle w:val="Heading2"/>
        <w:jc w:val="left"/>
      </w:pPr>
      <w:bookmarkStart w:id="27" w:name="_Toc326747455"/>
      <w:r>
        <w:t>Stabilisation grade in Australia</w:t>
      </w:r>
      <w:bookmarkEnd w:id="27"/>
    </w:p>
    <w:p w:rsidR="000D53EA" w:rsidRDefault="00DF5CD8">
      <w:pPr>
        <w:jc w:val="left"/>
      </w:pPr>
      <w:proofErr w:type="spellStart"/>
      <w:r>
        <w:t>Biosolids</w:t>
      </w:r>
      <w:proofErr w:type="spellEnd"/>
      <w:r>
        <w:t xml:space="preserve"> stabilisation grade nationally and for each state is presented in the charts below.</w:t>
      </w:r>
    </w:p>
    <w:p w:rsidR="00907858" w:rsidRDefault="00F63D2F">
      <w:pPr>
        <w:jc w:val="left"/>
        <w:rPr>
          <w:b/>
        </w:rPr>
      </w:pPr>
      <w:r>
        <w:rPr>
          <w:noProof/>
          <w:lang w:eastAsia="en-AU"/>
        </w:rPr>
        <w:drawing>
          <wp:inline distT="0" distB="0" distL="0" distR="0">
            <wp:extent cx="4691476" cy="2159000"/>
            <wp:effectExtent l="19050" t="0" r="0" b="0"/>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srcRect/>
                    <a:stretch>
                      <a:fillRect/>
                    </a:stretch>
                  </pic:blipFill>
                  <pic:spPr bwMode="auto">
                    <a:xfrm>
                      <a:off x="0" y="0"/>
                      <a:ext cx="4691476" cy="2159000"/>
                    </a:xfrm>
                    <a:prstGeom prst="rect">
                      <a:avLst/>
                    </a:prstGeom>
                    <a:noFill/>
                    <a:ln w="9525">
                      <a:noFill/>
                      <a:miter lim="800000"/>
                      <a:headEnd/>
                      <a:tailEnd/>
                    </a:ln>
                  </pic:spPr>
                </pic:pic>
              </a:graphicData>
            </a:graphic>
          </wp:inline>
        </w:drawing>
      </w:r>
    </w:p>
    <w:p w:rsidR="000D53EA" w:rsidRDefault="003432F8">
      <w:pPr>
        <w:jc w:val="left"/>
        <w:rPr>
          <w:b/>
        </w:rPr>
      </w:pPr>
      <w:r>
        <w:rPr>
          <w:b/>
        </w:rPr>
        <w:t>Figure 10</w:t>
      </w:r>
      <w:r w:rsidRPr="00292E2A">
        <w:rPr>
          <w:b/>
        </w:rPr>
        <w:t xml:space="preserve"> – </w:t>
      </w:r>
      <w:proofErr w:type="spellStart"/>
      <w:r w:rsidRPr="00292E2A">
        <w:rPr>
          <w:b/>
        </w:rPr>
        <w:t>Biosolids</w:t>
      </w:r>
      <w:proofErr w:type="spellEnd"/>
      <w:r w:rsidRPr="00292E2A">
        <w:rPr>
          <w:b/>
        </w:rPr>
        <w:t xml:space="preserve"> </w:t>
      </w:r>
      <w:r>
        <w:rPr>
          <w:b/>
        </w:rPr>
        <w:t>stabilisation grade in Australia</w:t>
      </w:r>
    </w:p>
    <w:p w:rsidR="000D53EA" w:rsidRDefault="003829D8">
      <w:pPr>
        <w:jc w:val="left"/>
      </w:pPr>
      <w:r>
        <w:t xml:space="preserve">Around 75% of </w:t>
      </w:r>
      <w:proofErr w:type="spellStart"/>
      <w:r>
        <w:t>biosolids</w:t>
      </w:r>
      <w:proofErr w:type="spellEnd"/>
      <w:r>
        <w:t xml:space="preserve"> in Australia is stabilised to a standard where it is suitable for use under the </w:t>
      </w:r>
      <w:proofErr w:type="spellStart"/>
      <w:r>
        <w:t>biosolids</w:t>
      </w:r>
      <w:proofErr w:type="spellEnd"/>
      <w:r>
        <w:t xml:space="preserve"> guidelines. A significant amount, nearly 25%, of </w:t>
      </w:r>
      <w:proofErr w:type="spellStart"/>
      <w:r>
        <w:t>biosolids</w:t>
      </w:r>
      <w:proofErr w:type="spellEnd"/>
      <w:r>
        <w:t xml:space="preserve"> in Australia is </w:t>
      </w:r>
      <w:proofErr w:type="spellStart"/>
      <w:r>
        <w:t>unstabilised</w:t>
      </w:r>
      <w:proofErr w:type="spellEnd"/>
      <w:r>
        <w:t xml:space="preserve"> or of unknown stability.</w:t>
      </w:r>
    </w:p>
    <w:p w:rsidR="000D53EA" w:rsidRDefault="003829D8">
      <w:pPr>
        <w:keepLines/>
        <w:jc w:val="left"/>
      </w:pPr>
      <w:r>
        <w:lastRenderedPageBreak/>
        <w:t xml:space="preserve">Stabilised </w:t>
      </w:r>
      <w:proofErr w:type="spellStart"/>
      <w:r w:rsidR="00286CC7">
        <w:t>biosolids</w:t>
      </w:r>
      <w:proofErr w:type="spellEnd"/>
      <w:r w:rsidR="00286CC7">
        <w:t xml:space="preserve"> are</w:t>
      </w:r>
      <w:r>
        <w:t xml:space="preserve"> made up roughly half of Grade A and B. The relatively high level of Grade </w:t>
      </w:r>
      <w:proofErr w:type="gramStart"/>
      <w:r>
        <w:t>A</w:t>
      </w:r>
      <w:proofErr w:type="gramEnd"/>
      <w:r>
        <w:t xml:space="preserve"> stabilised product is due to the high level of stockpiling in Victoria and the extended air drying process used in South Australia. These processes allow pathogens to die over a long period of time and result in a Stabilisation Grade </w:t>
      </w:r>
      <w:proofErr w:type="gramStart"/>
      <w:r>
        <w:t>A</w:t>
      </w:r>
      <w:proofErr w:type="gramEnd"/>
      <w:r>
        <w:t xml:space="preserve"> </w:t>
      </w:r>
      <w:proofErr w:type="spellStart"/>
      <w:r>
        <w:t>biosolids</w:t>
      </w:r>
      <w:proofErr w:type="spellEnd"/>
      <w:r>
        <w:t xml:space="preserve">. Despite this relatively high proportion of Grade </w:t>
      </w:r>
      <w:proofErr w:type="gramStart"/>
      <w:r>
        <w:t>A</w:t>
      </w:r>
      <w:proofErr w:type="gramEnd"/>
      <w:r>
        <w:t xml:space="preserve"> </w:t>
      </w:r>
      <w:proofErr w:type="spellStart"/>
      <w:r>
        <w:t>biosolids</w:t>
      </w:r>
      <w:proofErr w:type="spellEnd"/>
      <w:r>
        <w:t xml:space="preserve"> in Australia a much lower proportion of </w:t>
      </w:r>
      <w:proofErr w:type="spellStart"/>
      <w:r w:rsidR="00286CC7">
        <w:t>biosolids</w:t>
      </w:r>
      <w:proofErr w:type="spellEnd"/>
      <w:r w:rsidR="00286CC7">
        <w:t xml:space="preserve"> are</w:t>
      </w:r>
      <w:r>
        <w:t xml:space="preserve"> actually processed to Grade A standard</w:t>
      </w:r>
      <w:r w:rsidR="00AA24C8">
        <w:t xml:space="preserve"> and the NSW experience is probably more representative of the processing standard across the country.</w:t>
      </w:r>
    </w:p>
    <w:p w:rsidR="000D53EA" w:rsidRDefault="003829D8">
      <w:pPr>
        <w:jc w:val="left"/>
      </w:pPr>
      <w:r>
        <w:t>Of greatest concern to the industry</w:t>
      </w:r>
      <w:r w:rsidR="00AA24C8">
        <w:t xml:space="preserve"> is the relatively high proportion of </w:t>
      </w:r>
      <w:proofErr w:type="spellStart"/>
      <w:r w:rsidR="00AA24C8">
        <w:t>unstabilised</w:t>
      </w:r>
      <w:proofErr w:type="spellEnd"/>
      <w:r w:rsidR="00AA24C8">
        <w:t xml:space="preserve"> </w:t>
      </w:r>
      <w:proofErr w:type="spellStart"/>
      <w:r w:rsidR="00AA24C8">
        <w:t>biosolids</w:t>
      </w:r>
      <w:proofErr w:type="spellEnd"/>
      <w:r w:rsidR="00480ECC">
        <w:t xml:space="preserve">, which is shown in the figure as </w:t>
      </w:r>
      <w:r w:rsidR="00004115">
        <w:t xml:space="preserve">Grade C. A large portion of the Unspecified </w:t>
      </w:r>
      <w:proofErr w:type="spellStart"/>
      <w:r w:rsidR="00286CC7">
        <w:t>biosolids</w:t>
      </w:r>
      <w:proofErr w:type="spellEnd"/>
      <w:r w:rsidR="00286CC7">
        <w:t xml:space="preserve"> are</w:t>
      </w:r>
      <w:r w:rsidR="00004115">
        <w:t xml:space="preserve"> also suspected to be Grade C</w:t>
      </w:r>
      <w:r w:rsidR="00AA24C8">
        <w:t xml:space="preserve">. </w:t>
      </w:r>
      <w:proofErr w:type="spellStart"/>
      <w:r w:rsidR="00AA24C8">
        <w:t>Unstabilised</w:t>
      </w:r>
      <w:proofErr w:type="spellEnd"/>
      <w:r w:rsidR="00AA24C8">
        <w:t xml:space="preserve"> </w:t>
      </w:r>
      <w:proofErr w:type="spellStart"/>
      <w:r w:rsidR="00AA24C8">
        <w:t>biosolids</w:t>
      </w:r>
      <w:proofErr w:type="spellEnd"/>
      <w:r w:rsidR="00AA24C8">
        <w:t xml:space="preserve"> represent a high odour risk and should be strongly discouraged.</w:t>
      </w:r>
    </w:p>
    <w:p w:rsidR="000D53EA" w:rsidRDefault="00253825">
      <w:pPr>
        <w:jc w:val="left"/>
      </w:pPr>
      <w:r>
        <w:t>The following charts show a detailed breakdown of stabilisation grade for each state.</w:t>
      </w:r>
    </w:p>
    <w:p w:rsidR="000D53EA" w:rsidRDefault="00466A84">
      <w:pPr>
        <w:jc w:val="left"/>
        <w:rPr>
          <w:noProof/>
          <w:lang w:eastAsia="en-AU"/>
        </w:rPr>
      </w:pPr>
      <w:r>
        <w:rPr>
          <w:noProof/>
          <w:lang w:eastAsia="en-AU"/>
        </w:rPr>
        <w:drawing>
          <wp:inline distT="0" distB="0" distL="0" distR="0">
            <wp:extent cx="4522382" cy="24384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srcRect/>
                    <a:stretch>
                      <a:fillRect/>
                    </a:stretch>
                  </pic:blipFill>
                  <pic:spPr bwMode="auto">
                    <a:xfrm>
                      <a:off x="0" y="0"/>
                      <a:ext cx="4527640" cy="2441235"/>
                    </a:xfrm>
                    <a:prstGeom prst="rect">
                      <a:avLst/>
                    </a:prstGeom>
                    <a:noFill/>
                    <a:ln w="9525">
                      <a:noFill/>
                      <a:miter lim="800000"/>
                      <a:headEnd/>
                      <a:tailEnd/>
                    </a:ln>
                  </pic:spPr>
                </pic:pic>
              </a:graphicData>
            </a:graphic>
          </wp:inline>
        </w:drawing>
      </w:r>
    </w:p>
    <w:p w:rsidR="000D53EA" w:rsidRDefault="003A41C2">
      <w:pPr>
        <w:jc w:val="left"/>
        <w:rPr>
          <w:b/>
        </w:rPr>
      </w:pPr>
      <w:r>
        <w:rPr>
          <w:b/>
        </w:rPr>
        <w:t>Figure 11</w:t>
      </w:r>
      <w:r w:rsidRPr="00292E2A">
        <w:rPr>
          <w:b/>
        </w:rPr>
        <w:t xml:space="preserve"> – </w:t>
      </w:r>
      <w:proofErr w:type="spellStart"/>
      <w:r w:rsidRPr="00292E2A">
        <w:rPr>
          <w:b/>
        </w:rPr>
        <w:t>Biosolids</w:t>
      </w:r>
      <w:proofErr w:type="spellEnd"/>
      <w:r w:rsidRPr="00292E2A">
        <w:rPr>
          <w:b/>
        </w:rPr>
        <w:t xml:space="preserve"> </w:t>
      </w:r>
      <w:r>
        <w:rPr>
          <w:b/>
        </w:rPr>
        <w:t>stabilisation grade in NSW and ACT</w:t>
      </w:r>
    </w:p>
    <w:p w:rsidR="000D53EA" w:rsidRDefault="000D53EA">
      <w:pPr>
        <w:jc w:val="left"/>
        <w:rPr>
          <w:b/>
        </w:rPr>
      </w:pPr>
    </w:p>
    <w:p w:rsidR="000D53EA" w:rsidRDefault="00466A84">
      <w:pPr>
        <w:jc w:val="left"/>
        <w:rPr>
          <w:b/>
        </w:rPr>
      </w:pPr>
      <w:r>
        <w:rPr>
          <w:noProof/>
          <w:lang w:eastAsia="en-AU"/>
        </w:rPr>
        <w:drawing>
          <wp:inline distT="0" distB="0" distL="0" distR="0">
            <wp:extent cx="4359766" cy="2482850"/>
            <wp:effectExtent l="19050" t="0" r="2684"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srcRect/>
                    <a:stretch>
                      <a:fillRect/>
                    </a:stretch>
                  </pic:blipFill>
                  <pic:spPr bwMode="auto">
                    <a:xfrm>
                      <a:off x="0" y="0"/>
                      <a:ext cx="4361110" cy="2483616"/>
                    </a:xfrm>
                    <a:prstGeom prst="rect">
                      <a:avLst/>
                    </a:prstGeom>
                    <a:noFill/>
                    <a:ln w="9525">
                      <a:noFill/>
                      <a:miter lim="800000"/>
                      <a:headEnd/>
                      <a:tailEnd/>
                    </a:ln>
                  </pic:spPr>
                </pic:pic>
              </a:graphicData>
            </a:graphic>
          </wp:inline>
        </w:drawing>
      </w:r>
    </w:p>
    <w:p w:rsidR="000D53EA" w:rsidRDefault="003A41C2">
      <w:pPr>
        <w:jc w:val="left"/>
        <w:rPr>
          <w:b/>
        </w:rPr>
      </w:pPr>
      <w:r>
        <w:rPr>
          <w:b/>
        </w:rPr>
        <w:t>Figure 12</w:t>
      </w:r>
      <w:r w:rsidRPr="00292E2A">
        <w:rPr>
          <w:b/>
        </w:rPr>
        <w:t xml:space="preserve"> – </w:t>
      </w:r>
      <w:proofErr w:type="spellStart"/>
      <w:r w:rsidRPr="00292E2A">
        <w:rPr>
          <w:b/>
        </w:rPr>
        <w:t>Biosolids</w:t>
      </w:r>
      <w:proofErr w:type="spellEnd"/>
      <w:r w:rsidRPr="00292E2A">
        <w:rPr>
          <w:b/>
        </w:rPr>
        <w:t xml:space="preserve"> </w:t>
      </w:r>
      <w:r>
        <w:rPr>
          <w:b/>
        </w:rPr>
        <w:t>stabilisation grade in QLD</w:t>
      </w:r>
    </w:p>
    <w:p w:rsidR="000D53EA" w:rsidRDefault="00466A84">
      <w:pPr>
        <w:jc w:val="left"/>
        <w:rPr>
          <w:noProof/>
          <w:lang w:eastAsia="en-AU"/>
        </w:rPr>
      </w:pPr>
      <w:r>
        <w:rPr>
          <w:noProof/>
          <w:lang w:eastAsia="en-AU"/>
        </w:rPr>
        <w:lastRenderedPageBreak/>
        <w:drawing>
          <wp:inline distT="0" distB="0" distL="0" distR="0">
            <wp:extent cx="4624032" cy="2647950"/>
            <wp:effectExtent l="19050" t="0" r="5118"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srcRect/>
                    <a:stretch>
                      <a:fillRect/>
                    </a:stretch>
                  </pic:blipFill>
                  <pic:spPr bwMode="auto">
                    <a:xfrm>
                      <a:off x="0" y="0"/>
                      <a:ext cx="4624032" cy="2647950"/>
                    </a:xfrm>
                    <a:prstGeom prst="rect">
                      <a:avLst/>
                    </a:prstGeom>
                    <a:noFill/>
                    <a:ln w="9525">
                      <a:noFill/>
                      <a:miter lim="800000"/>
                      <a:headEnd/>
                      <a:tailEnd/>
                    </a:ln>
                  </pic:spPr>
                </pic:pic>
              </a:graphicData>
            </a:graphic>
          </wp:inline>
        </w:drawing>
      </w:r>
    </w:p>
    <w:p w:rsidR="000D53EA" w:rsidRDefault="003A41C2">
      <w:pPr>
        <w:jc w:val="left"/>
        <w:rPr>
          <w:b/>
        </w:rPr>
      </w:pPr>
      <w:r>
        <w:rPr>
          <w:b/>
        </w:rPr>
        <w:t>Figure 13</w:t>
      </w:r>
      <w:r w:rsidRPr="00292E2A">
        <w:rPr>
          <w:b/>
        </w:rPr>
        <w:t xml:space="preserve"> – </w:t>
      </w:r>
      <w:proofErr w:type="spellStart"/>
      <w:r w:rsidRPr="00292E2A">
        <w:rPr>
          <w:b/>
        </w:rPr>
        <w:t>Biosolids</w:t>
      </w:r>
      <w:proofErr w:type="spellEnd"/>
      <w:r w:rsidRPr="00292E2A">
        <w:rPr>
          <w:b/>
        </w:rPr>
        <w:t xml:space="preserve"> </w:t>
      </w:r>
      <w:r>
        <w:rPr>
          <w:b/>
        </w:rPr>
        <w:t>stabilisation grade in South Australia</w:t>
      </w:r>
    </w:p>
    <w:p w:rsidR="000D53EA" w:rsidRDefault="000D53EA">
      <w:pPr>
        <w:jc w:val="left"/>
        <w:rPr>
          <w:b/>
        </w:rPr>
      </w:pPr>
    </w:p>
    <w:p w:rsidR="000D53EA" w:rsidRDefault="00FE7202">
      <w:pPr>
        <w:jc w:val="left"/>
        <w:rPr>
          <w:noProof/>
          <w:lang w:eastAsia="en-AU"/>
        </w:rPr>
      </w:pPr>
      <w:r>
        <w:rPr>
          <w:noProof/>
          <w:lang w:eastAsia="en-AU"/>
        </w:rPr>
        <w:drawing>
          <wp:inline distT="0" distB="0" distL="0" distR="0">
            <wp:extent cx="4538320" cy="29337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
                    <a:srcRect/>
                    <a:stretch>
                      <a:fillRect/>
                    </a:stretch>
                  </pic:blipFill>
                  <pic:spPr bwMode="auto">
                    <a:xfrm>
                      <a:off x="0" y="0"/>
                      <a:ext cx="4541053" cy="2935467"/>
                    </a:xfrm>
                    <a:prstGeom prst="rect">
                      <a:avLst/>
                    </a:prstGeom>
                    <a:noFill/>
                    <a:ln w="9525">
                      <a:noFill/>
                      <a:miter lim="800000"/>
                      <a:headEnd/>
                      <a:tailEnd/>
                    </a:ln>
                  </pic:spPr>
                </pic:pic>
              </a:graphicData>
            </a:graphic>
          </wp:inline>
        </w:drawing>
      </w:r>
    </w:p>
    <w:p w:rsidR="000D53EA" w:rsidRDefault="003A41C2">
      <w:pPr>
        <w:jc w:val="left"/>
        <w:rPr>
          <w:b/>
        </w:rPr>
      </w:pPr>
      <w:r>
        <w:rPr>
          <w:b/>
        </w:rPr>
        <w:t>Figure 14</w:t>
      </w:r>
      <w:r w:rsidRPr="00292E2A">
        <w:rPr>
          <w:b/>
        </w:rPr>
        <w:t xml:space="preserve"> – </w:t>
      </w:r>
      <w:proofErr w:type="spellStart"/>
      <w:r w:rsidRPr="00292E2A">
        <w:rPr>
          <w:b/>
        </w:rPr>
        <w:t>Biosolids</w:t>
      </w:r>
      <w:proofErr w:type="spellEnd"/>
      <w:r w:rsidRPr="00292E2A">
        <w:rPr>
          <w:b/>
        </w:rPr>
        <w:t xml:space="preserve"> </w:t>
      </w:r>
      <w:r>
        <w:rPr>
          <w:b/>
        </w:rPr>
        <w:t>stabilisation grade in Tasmania</w:t>
      </w:r>
    </w:p>
    <w:p w:rsidR="00E429D1" w:rsidRDefault="00FE7202">
      <w:pPr>
        <w:jc w:val="left"/>
        <w:rPr>
          <w:b/>
        </w:rPr>
      </w:pPr>
      <w:r>
        <w:rPr>
          <w:noProof/>
          <w:lang w:eastAsia="en-AU"/>
        </w:rPr>
        <w:lastRenderedPageBreak/>
        <w:drawing>
          <wp:inline distT="0" distB="0" distL="0" distR="0">
            <wp:extent cx="4928486" cy="2698750"/>
            <wp:effectExtent l="19050" t="0" r="5464"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a:srcRect/>
                    <a:stretch>
                      <a:fillRect/>
                    </a:stretch>
                  </pic:blipFill>
                  <pic:spPr bwMode="auto">
                    <a:xfrm>
                      <a:off x="0" y="0"/>
                      <a:ext cx="4928486" cy="2698750"/>
                    </a:xfrm>
                    <a:prstGeom prst="rect">
                      <a:avLst/>
                    </a:prstGeom>
                    <a:noFill/>
                    <a:ln w="9525">
                      <a:noFill/>
                      <a:miter lim="800000"/>
                      <a:headEnd/>
                      <a:tailEnd/>
                    </a:ln>
                  </pic:spPr>
                </pic:pic>
              </a:graphicData>
            </a:graphic>
          </wp:inline>
        </w:drawing>
      </w:r>
    </w:p>
    <w:p w:rsidR="000D53EA" w:rsidRDefault="003A41C2">
      <w:pPr>
        <w:jc w:val="left"/>
        <w:rPr>
          <w:b/>
        </w:rPr>
      </w:pPr>
      <w:r>
        <w:rPr>
          <w:b/>
        </w:rPr>
        <w:t>Figure 15</w:t>
      </w:r>
      <w:r w:rsidR="00E429D1">
        <w:rPr>
          <w:b/>
        </w:rPr>
        <w:t xml:space="preserve"> </w:t>
      </w:r>
      <w:r w:rsidRPr="00292E2A">
        <w:rPr>
          <w:b/>
        </w:rPr>
        <w:t xml:space="preserve">– </w:t>
      </w:r>
      <w:proofErr w:type="spellStart"/>
      <w:r w:rsidRPr="00292E2A">
        <w:rPr>
          <w:b/>
        </w:rPr>
        <w:t>Biosolids</w:t>
      </w:r>
      <w:proofErr w:type="spellEnd"/>
      <w:r w:rsidRPr="00292E2A">
        <w:rPr>
          <w:b/>
        </w:rPr>
        <w:t xml:space="preserve"> </w:t>
      </w:r>
      <w:r>
        <w:rPr>
          <w:b/>
        </w:rPr>
        <w:t>stabilisation grade in Victoria</w:t>
      </w:r>
    </w:p>
    <w:p w:rsidR="000D53EA" w:rsidRDefault="000D53EA">
      <w:pPr>
        <w:jc w:val="left"/>
        <w:rPr>
          <w:b/>
        </w:rPr>
      </w:pPr>
    </w:p>
    <w:p w:rsidR="000D53EA" w:rsidRDefault="003E62E4">
      <w:pPr>
        <w:jc w:val="left"/>
        <w:rPr>
          <w:b/>
        </w:rPr>
      </w:pPr>
      <w:r>
        <w:rPr>
          <w:b/>
          <w:noProof/>
          <w:lang w:eastAsia="en-AU"/>
        </w:rPr>
        <w:drawing>
          <wp:inline distT="0" distB="0" distL="0" distR="0">
            <wp:extent cx="4695713" cy="27717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4695713" cy="2771775"/>
                    </a:xfrm>
                    <a:prstGeom prst="rect">
                      <a:avLst/>
                    </a:prstGeom>
                    <a:noFill/>
                    <a:ln w="9525">
                      <a:noFill/>
                      <a:miter lim="800000"/>
                      <a:headEnd/>
                      <a:tailEnd/>
                    </a:ln>
                  </pic:spPr>
                </pic:pic>
              </a:graphicData>
            </a:graphic>
          </wp:inline>
        </w:drawing>
      </w:r>
    </w:p>
    <w:p w:rsidR="000D53EA" w:rsidRDefault="003A41C2">
      <w:pPr>
        <w:jc w:val="left"/>
        <w:rPr>
          <w:b/>
        </w:rPr>
      </w:pPr>
      <w:r>
        <w:rPr>
          <w:b/>
        </w:rPr>
        <w:t>Figure 16</w:t>
      </w:r>
      <w:r w:rsidRPr="00292E2A">
        <w:rPr>
          <w:b/>
        </w:rPr>
        <w:t xml:space="preserve"> – </w:t>
      </w:r>
      <w:proofErr w:type="spellStart"/>
      <w:r w:rsidRPr="00292E2A">
        <w:rPr>
          <w:b/>
        </w:rPr>
        <w:t>Biosolids</w:t>
      </w:r>
      <w:proofErr w:type="spellEnd"/>
      <w:r w:rsidRPr="00292E2A">
        <w:rPr>
          <w:b/>
        </w:rPr>
        <w:t xml:space="preserve"> </w:t>
      </w:r>
      <w:r>
        <w:rPr>
          <w:b/>
        </w:rPr>
        <w:t>stabilisation grade in WA and NT</w:t>
      </w:r>
    </w:p>
    <w:p w:rsidR="000D53EA" w:rsidRDefault="000D53EA">
      <w:pPr>
        <w:jc w:val="left"/>
      </w:pPr>
    </w:p>
    <w:p w:rsidR="000D53EA" w:rsidRDefault="000D53EA">
      <w:pPr>
        <w:jc w:val="left"/>
      </w:pPr>
    </w:p>
    <w:p w:rsidR="000D53EA" w:rsidRDefault="000D53EA">
      <w:pPr>
        <w:jc w:val="left"/>
      </w:pPr>
    </w:p>
    <w:p w:rsidR="000D53EA" w:rsidRDefault="000D53EA">
      <w:pPr>
        <w:jc w:val="left"/>
      </w:pPr>
    </w:p>
    <w:p w:rsidR="000D53EA" w:rsidRDefault="000D53EA">
      <w:pPr>
        <w:jc w:val="left"/>
      </w:pPr>
    </w:p>
    <w:p w:rsidR="000D53EA" w:rsidRDefault="000D53EA">
      <w:pPr>
        <w:jc w:val="left"/>
      </w:pPr>
    </w:p>
    <w:p w:rsidR="00E604FA" w:rsidRDefault="00E604FA" w:rsidP="00A35633">
      <w:pPr>
        <w:spacing w:before="0" w:after="0"/>
        <w:jc w:val="left"/>
        <w:rPr>
          <w:b/>
          <w:caps/>
          <w:kern w:val="28"/>
          <w:sz w:val="28"/>
        </w:rPr>
      </w:pPr>
      <w:r>
        <w:br w:type="page"/>
      </w:r>
    </w:p>
    <w:p w:rsidR="000D53EA" w:rsidRDefault="00337CA3">
      <w:pPr>
        <w:pStyle w:val="Heading1"/>
        <w:jc w:val="left"/>
      </w:pPr>
      <w:bookmarkStart w:id="28" w:name="_Toc326747456"/>
      <w:r>
        <w:lastRenderedPageBreak/>
        <w:t>Biosolids processing</w:t>
      </w:r>
      <w:bookmarkEnd w:id="28"/>
    </w:p>
    <w:p w:rsidR="000D53EA" w:rsidRDefault="00004115">
      <w:pPr>
        <w:pStyle w:val="Heading2"/>
        <w:jc w:val="left"/>
      </w:pPr>
      <w:bookmarkStart w:id="29" w:name="_Toc326747457"/>
      <w:r>
        <w:t>General</w:t>
      </w:r>
      <w:bookmarkEnd w:id="29"/>
    </w:p>
    <w:p w:rsidR="000D53EA" w:rsidRDefault="00004115">
      <w:pPr>
        <w:jc w:val="left"/>
      </w:pPr>
      <w:proofErr w:type="spellStart"/>
      <w:r>
        <w:t>Biosolids</w:t>
      </w:r>
      <w:proofErr w:type="spellEnd"/>
      <w:r>
        <w:t xml:space="preserve"> management can be separated into two main categories, treatment and beneficial use.  These categories can be further broken down into the following main steps:</w:t>
      </w:r>
    </w:p>
    <w:p w:rsidR="000D53EA" w:rsidRDefault="00004115">
      <w:r>
        <w:t>Treatment</w:t>
      </w:r>
    </w:p>
    <w:p w:rsidR="000D53EA" w:rsidRDefault="00004115">
      <w:pPr>
        <w:pStyle w:val="ListParagraph"/>
        <w:numPr>
          <w:ilvl w:val="0"/>
          <w:numId w:val="24"/>
        </w:numPr>
      </w:pPr>
      <w:r>
        <w:t>dewatering</w:t>
      </w:r>
    </w:p>
    <w:p w:rsidR="000D53EA" w:rsidRDefault="00004115">
      <w:pPr>
        <w:pStyle w:val="ListParagraph"/>
        <w:numPr>
          <w:ilvl w:val="0"/>
          <w:numId w:val="24"/>
        </w:numPr>
      </w:pPr>
      <w:r>
        <w:t>stabilisation</w:t>
      </w:r>
    </w:p>
    <w:p w:rsidR="000D53EA" w:rsidRDefault="00004115">
      <w:pPr>
        <w:pStyle w:val="ListParagraph"/>
        <w:numPr>
          <w:ilvl w:val="0"/>
          <w:numId w:val="24"/>
        </w:numPr>
      </w:pPr>
      <w:r>
        <w:t>storage (at treatment plant)</w:t>
      </w:r>
    </w:p>
    <w:p w:rsidR="000D53EA" w:rsidRDefault="000E6439">
      <w:pPr>
        <w:jc w:val="left"/>
      </w:pPr>
      <w:r>
        <w:t xml:space="preserve">The two main steps in treating </w:t>
      </w:r>
      <w:proofErr w:type="spellStart"/>
      <w:r>
        <w:t>biosolids</w:t>
      </w:r>
      <w:proofErr w:type="spellEnd"/>
      <w:r>
        <w:t xml:space="preserve"> are stabilisation and dewatering. Stabilisation reduces the</w:t>
      </w:r>
      <w:r w:rsidR="00852B18">
        <w:t xml:space="preserve"> levels of pathogens and odour potential of </w:t>
      </w:r>
      <w:proofErr w:type="spellStart"/>
      <w:r w:rsidR="00852B18">
        <w:t>biosolids</w:t>
      </w:r>
      <w:proofErr w:type="spellEnd"/>
      <w:r w:rsidR="00852B18">
        <w:t xml:space="preserve">. Dewatering removes water and hence reduces the volume of </w:t>
      </w:r>
      <w:proofErr w:type="spellStart"/>
      <w:r w:rsidR="00852B18">
        <w:t>biosolids</w:t>
      </w:r>
      <w:proofErr w:type="spellEnd"/>
      <w:r w:rsidR="00852B18">
        <w:t xml:space="preserve"> for subsequent use. Dewatering is an important step in improving the handling characteristics of </w:t>
      </w:r>
      <w:proofErr w:type="spellStart"/>
      <w:r w:rsidR="00852B18">
        <w:t>biosolids</w:t>
      </w:r>
      <w:proofErr w:type="spellEnd"/>
      <w:r w:rsidR="00852B18">
        <w:t xml:space="preserve"> and reducing the cost of subsequent management. The most common </w:t>
      </w:r>
      <w:proofErr w:type="spellStart"/>
      <w:r w:rsidR="00852B18">
        <w:t>biosolids</w:t>
      </w:r>
      <w:proofErr w:type="spellEnd"/>
      <w:r w:rsidR="00852B18">
        <w:t xml:space="preserve"> treatment processes are shown in the figures below. No data is currently available on </w:t>
      </w:r>
      <w:proofErr w:type="spellStart"/>
      <w:r w:rsidR="00852B18">
        <w:t>biosolids</w:t>
      </w:r>
      <w:proofErr w:type="spellEnd"/>
      <w:r w:rsidR="00852B18">
        <w:t xml:space="preserve"> storage. </w:t>
      </w:r>
    </w:p>
    <w:p w:rsidR="000D53EA" w:rsidRDefault="007471F4">
      <w:pPr>
        <w:pStyle w:val="Heading2"/>
        <w:jc w:val="left"/>
      </w:pPr>
      <w:bookmarkStart w:id="30" w:name="_Toc326747458"/>
      <w:r>
        <w:t>Stabilisation</w:t>
      </w:r>
      <w:r w:rsidR="003A41C2">
        <w:t xml:space="preserve"> process</w:t>
      </w:r>
      <w:bookmarkEnd w:id="30"/>
    </w:p>
    <w:p w:rsidR="000D53EA" w:rsidRDefault="00DF5CD8">
      <w:pPr>
        <w:jc w:val="left"/>
      </w:pPr>
      <w:proofErr w:type="spellStart"/>
      <w:r>
        <w:t>Biosolids</w:t>
      </w:r>
      <w:proofErr w:type="spellEnd"/>
      <w:r>
        <w:t xml:space="preserve"> stabilisation process</w:t>
      </w:r>
      <w:r w:rsidR="007471F4">
        <w:t>es</w:t>
      </w:r>
      <w:r>
        <w:t xml:space="preserve"> nationally </w:t>
      </w:r>
      <w:r w:rsidR="007471F4">
        <w:t>are</w:t>
      </w:r>
      <w:r w:rsidR="00336462">
        <w:t xml:space="preserve"> presented in the chart</w:t>
      </w:r>
      <w:r>
        <w:t xml:space="preserve"> below.</w:t>
      </w:r>
    </w:p>
    <w:p w:rsidR="000D53EA" w:rsidRDefault="00E2088C">
      <w:pPr>
        <w:jc w:val="left"/>
      </w:pPr>
      <w:r>
        <w:rPr>
          <w:noProof/>
          <w:lang w:eastAsia="en-AU"/>
        </w:rPr>
        <w:drawing>
          <wp:inline distT="0" distB="0" distL="0" distR="0">
            <wp:extent cx="4755569" cy="2527300"/>
            <wp:effectExtent l="19050" t="0" r="6931"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srcRect/>
                    <a:stretch>
                      <a:fillRect/>
                    </a:stretch>
                  </pic:blipFill>
                  <pic:spPr bwMode="auto">
                    <a:xfrm>
                      <a:off x="0" y="0"/>
                      <a:ext cx="4755569" cy="2527300"/>
                    </a:xfrm>
                    <a:prstGeom prst="rect">
                      <a:avLst/>
                    </a:prstGeom>
                    <a:noFill/>
                    <a:ln w="9525">
                      <a:noFill/>
                      <a:miter lim="800000"/>
                      <a:headEnd/>
                      <a:tailEnd/>
                    </a:ln>
                  </pic:spPr>
                </pic:pic>
              </a:graphicData>
            </a:graphic>
          </wp:inline>
        </w:drawing>
      </w:r>
    </w:p>
    <w:p w:rsidR="000D53EA" w:rsidRDefault="003A41C2">
      <w:pPr>
        <w:jc w:val="left"/>
        <w:rPr>
          <w:b/>
        </w:rPr>
      </w:pPr>
      <w:r>
        <w:rPr>
          <w:b/>
        </w:rPr>
        <w:t>Figure 17</w:t>
      </w:r>
      <w:r w:rsidRPr="00292E2A">
        <w:rPr>
          <w:b/>
        </w:rPr>
        <w:t xml:space="preserve"> –</w:t>
      </w:r>
      <w:r>
        <w:rPr>
          <w:b/>
        </w:rPr>
        <w:t>Stabilisation processes in Australia</w:t>
      </w:r>
    </w:p>
    <w:p w:rsidR="00E2088C" w:rsidRDefault="007471F4" w:rsidP="00A35633">
      <w:pPr>
        <w:jc w:val="left"/>
        <w:sectPr w:rsidR="00E2088C" w:rsidSect="00284D69">
          <w:pgSz w:w="11901" w:h="16817"/>
          <w:pgMar w:top="1418" w:right="1418" w:bottom="1418" w:left="1701" w:header="680" w:footer="680" w:gutter="0"/>
          <w:cols w:space="708"/>
          <w:titlePg/>
        </w:sectPr>
      </w:pPr>
      <w:r>
        <w:t xml:space="preserve">Stabilisation is varied but dominated by anaerobic digestion (31%), stockpiling (20%) and aerobic digestion (12%). These three main processes account for around 65% of all </w:t>
      </w:r>
      <w:proofErr w:type="spellStart"/>
      <w:r>
        <w:t>biosolids</w:t>
      </w:r>
      <w:proofErr w:type="spellEnd"/>
      <w:r>
        <w:t xml:space="preserve"> processed in Australia</w:t>
      </w:r>
      <w:r w:rsidR="00432C80">
        <w:t>.</w:t>
      </w:r>
    </w:p>
    <w:p w:rsidR="000D53EA" w:rsidRDefault="000D53EA">
      <w:pPr>
        <w:jc w:val="left"/>
      </w:pPr>
    </w:p>
    <w:p w:rsidR="000D53EA" w:rsidRDefault="00432C80">
      <w:pPr>
        <w:pStyle w:val="Heading2"/>
        <w:jc w:val="left"/>
      </w:pPr>
      <w:bookmarkStart w:id="31" w:name="_Toc326747459"/>
      <w:r>
        <w:t>Dewatering</w:t>
      </w:r>
      <w:bookmarkEnd w:id="31"/>
    </w:p>
    <w:p w:rsidR="000D53EA" w:rsidRDefault="00DF5CD8">
      <w:pPr>
        <w:jc w:val="left"/>
      </w:pPr>
      <w:proofErr w:type="spellStart"/>
      <w:r>
        <w:t>Biosolids</w:t>
      </w:r>
      <w:proofErr w:type="spellEnd"/>
      <w:r>
        <w:t xml:space="preserve"> dewatering process nationally is presented in the chart below.</w:t>
      </w:r>
    </w:p>
    <w:p w:rsidR="000D53EA" w:rsidRDefault="00CC074C">
      <w:pPr>
        <w:jc w:val="left"/>
      </w:pPr>
      <w:r w:rsidRPr="00CC074C">
        <w:t xml:space="preserve">Dewatering in Australia is most commonly achieved with centrifuges with 40% of </w:t>
      </w:r>
      <w:proofErr w:type="spellStart"/>
      <w:r w:rsidRPr="00CC074C">
        <w:t>biosolids</w:t>
      </w:r>
      <w:proofErr w:type="spellEnd"/>
      <w:r w:rsidRPr="00CC074C">
        <w:t xml:space="preserve"> dewatered. This dominance of centrifuges reflects their suitability for medium to large treatment plants. Belt filter presses and drying beds are also very common, used to dewater about 25% each of Australian </w:t>
      </w:r>
      <w:proofErr w:type="spellStart"/>
      <w:r w:rsidRPr="00CC074C">
        <w:t>biosolids</w:t>
      </w:r>
      <w:proofErr w:type="spellEnd"/>
      <w:r w:rsidRPr="00CC074C">
        <w:t xml:space="preserve"> production. These technologies are important, particularly for small to medium size plants where they generally offer a lower cost dewatering option.</w:t>
      </w:r>
    </w:p>
    <w:p w:rsidR="000D53EA" w:rsidRDefault="000D53EA">
      <w:pPr>
        <w:jc w:val="left"/>
      </w:pPr>
    </w:p>
    <w:p w:rsidR="000D53EA" w:rsidRDefault="00E2088C">
      <w:pPr>
        <w:jc w:val="left"/>
        <w:rPr>
          <w:b/>
        </w:rPr>
      </w:pPr>
      <w:r>
        <w:rPr>
          <w:noProof/>
          <w:lang w:eastAsia="en-AU"/>
        </w:rPr>
        <w:drawing>
          <wp:inline distT="0" distB="0" distL="0" distR="0">
            <wp:extent cx="5000308" cy="204470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a:srcRect/>
                    <a:stretch>
                      <a:fillRect/>
                    </a:stretch>
                  </pic:blipFill>
                  <pic:spPr bwMode="auto">
                    <a:xfrm>
                      <a:off x="0" y="0"/>
                      <a:ext cx="5001826" cy="2045321"/>
                    </a:xfrm>
                    <a:prstGeom prst="rect">
                      <a:avLst/>
                    </a:prstGeom>
                    <a:noFill/>
                    <a:ln w="9525">
                      <a:noFill/>
                      <a:miter lim="800000"/>
                      <a:headEnd/>
                      <a:tailEnd/>
                    </a:ln>
                  </pic:spPr>
                </pic:pic>
              </a:graphicData>
            </a:graphic>
          </wp:inline>
        </w:drawing>
      </w:r>
    </w:p>
    <w:p w:rsidR="000D53EA" w:rsidRDefault="003A41C2">
      <w:pPr>
        <w:jc w:val="left"/>
        <w:rPr>
          <w:b/>
        </w:rPr>
      </w:pPr>
      <w:r>
        <w:rPr>
          <w:b/>
        </w:rPr>
        <w:t>Figure 18</w:t>
      </w:r>
      <w:r w:rsidRPr="00292E2A">
        <w:rPr>
          <w:b/>
        </w:rPr>
        <w:t xml:space="preserve"> –</w:t>
      </w:r>
      <w:r>
        <w:rPr>
          <w:b/>
        </w:rPr>
        <w:t>Dewatering processes in Australia</w:t>
      </w:r>
    </w:p>
    <w:p w:rsidR="000D53EA" w:rsidRDefault="000D53EA">
      <w:pPr>
        <w:jc w:val="left"/>
      </w:pPr>
    </w:p>
    <w:p w:rsidR="00432C80" w:rsidRDefault="00432C80" w:rsidP="00A35633">
      <w:pPr>
        <w:spacing w:before="0" w:after="0"/>
        <w:jc w:val="left"/>
        <w:rPr>
          <w:b/>
          <w:caps/>
          <w:kern w:val="28"/>
          <w:sz w:val="28"/>
        </w:rPr>
      </w:pPr>
      <w:r>
        <w:br w:type="page"/>
      </w:r>
    </w:p>
    <w:p w:rsidR="000D53EA" w:rsidRDefault="00337CA3">
      <w:pPr>
        <w:pStyle w:val="Heading1"/>
        <w:jc w:val="left"/>
      </w:pPr>
      <w:bookmarkStart w:id="32" w:name="_Toc326747460"/>
      <w:r>
        <w:lastRenderedPageBreak/>
        <w:t xml:space="preserve">Typical </w:t>
      </w:r>
      <w:r w:rsidR="00004115">
        <w:t xml:space="preserve">cost </w:t>
      </w:r>
      <w:r>
        <w:t>of biosolids management</w:t>
      </w:r>
      <w:bookmarkEnd w:id="32"/>
    </w:p>
    <w:p w:rsidR="000D53EA" w:rsidRDefault="00337CA3">
      <w:pPr>
        <w:pStyle w:val="Heading2"/>
        <w:jc w:val="left"/>
      </w:pPr>
      <w:bookmarkStart w:id="33" w:name="_Toc326747461"/>
      <w:r>
        <w:t>General</w:t>
      </w:r>
      <w:bookmarkEnd w:id="33"/>
    </w:p>
    <w:p w:rsidR="000D53EA" w:rsidRDefault="000E1D63">
      <w:pPr>
        <w:jc w:val="left"/>
      </w:pPr>
      <w:proofErr w:type="spellStart"/>
      <w:r>
        <w:t>Biosolids</w:t>
      </w:r>
      <w:proofErr w:type="spellEnd"/>
      <w:r>
        <w:t xml:space="preserve"> management can be separated into two main categories, treatment and beneficial use. These categories can be further broken down into the following main steps:</w:t>
      </w:r>
    </w:p>
    <w:p w:rsidR="000D53EA" w:rsidRDefault="000E1D63">
      <w:pPr>
        <w:pStyle w:val="ListParagraph"/>
        <w:numPr>
          <w:ilvl w:val="0"/>
          <w:numId w:val="25"/>
        </w:numPr>
      </w:pPr>
      <w:r>
        <w:t>Treatment</w:t>
      </w:r>
    </w:p>
    <w:p w:rsidR="000D53EA" w:rsidRDefault="000E1D63">
      <w:pPr>
        <w:pStyle w:val="ListParagraph"/>
        <w:numPr>
          <w:ilvl w:val="1"/>
          <w:numId w:val="25"/>
        </w:numPr>
      </w:pPr>
      <w:r>
        <w:t>dewatering</w:t>
      </w:r>
    </w:p>
    <w:p w:rsidR="000D53EA" w:rsidRDefault="000E1D63">
      <w:pPr>
        <w:pStyle w:val="ListParagraph"/>
        <w:numPr>
          <w:ilvl w:val="1"/>
          <w:numId w:val="25"/>
        </w:numPr>
      </w:pPr>
      <w:r>
        <w:t>stabilisation</w:t>
      </w:r>
    </w:p>
    <w:p w:rsidR="000D53EA" w:rsidRDefault="000E1D63">
      <w:pPr>
        <w:pStyle w:val="ListParagraph"/>
        <w:numPr>
          <w:ilvl w:val="1"/>
          <w:numId w:val="25"/>
        </w:numPr>
      </w:pPr>
      <w:r>
        <w:t>storage</w:t>
      </w:r>
      <w:r w:rsidR="009D60EF">
        <w:t xml:space="preserve"> (at treatment plant)</w:t>
      </w:r>
    </w:p>
    <w:p w:rsidR="000D53EA" w:rsidRDefault="000E1D63">
      <w:pPr>
        <w:pStyle w:val="ListParagraph"/>
        <w:numPr>
          <w:ilvl w:val="0"/>
          <w:numId w:val="25"/>
        </w:numPr>
      </w:pPr>
      <w:r>
        <w:t>Beneficial use</w:t>
      </w:r>
    </w:p>
    <w:p w:rsidR="000D53EA" w:rsidRDefault="000E1D63">
      <w:pPr>
        <w:pStyle w:val="ListParagraph"/>
        <w:numPr>
          <w:ilvl w:val="1"/>
          <w:numId w:val="25"/>
        </w:numPr>
      </w:pPr>
      <w:r>
        <w:t>transport</w:t>
      </w:r>
    </w:p>
    <w:p w:rsidR="000D53EA" w:rsidRDefault="009D60EF">
      <w:pPr>
        <w:pStyle w:val="ListParagraph"/>
        <w:numPr>
          <w:ilvl w:val="1"/>
          <w:numId w:val="25"/>
        </w:numPr>
      </w:pPr>
      <w:r>
        <w:t>storage (on farm)</w:t>
      </w:r>
    </w:p>
    <w:p w:rsidR="000D53EA" w:rsidRDefault="000E1D63">
      <w:pPr>
        <w:pStyle w:val="ListParagraph"/>
        <w:numPr>
          <w:ilvl w:val="1"/>
          <w:numId w:val="25"/>
        </w:numPr>
      </w:pPr>
      <w:r>
        <w:t>land application</w:t>
      </w:r>
    </w:p>
    <w:p w:rsidR="000D53EA" w:rsidRDefault="000E1D63">
      <w:pPr>
        <w:jc w:val="left"/>
      </w:pPr>
      <w:r>
        <w:t>The cost of each step varies significantly from treatment plant to treatment plant.  In general the breakdown between treatment and beneficial use for the two most common approaches to sewage treatment in</w:t>
      </w:r>
      <w:r w:rsidR="007471F4">
        <w:t xml:space="preserve"> Australia are shown in Table 3</w:t>
      </w:r>
      <w:r>
        <w:t xml:space="preserve"> below</w:t>
      </w:r>
      <w:r w:rsidR="009D60EF">
        <w:t xml:space="preserve"> as a proportion of the total cost of </w:t>
      </w:r>
      <w:r w:rsidR="003A41C2">
        <w:t>sewage treatment</w:t>
      </w:r>
      <w:r>
        <w:t>.</w:t>
      </w:r>
    </w:p>
    <w:p w:rsidR="000D53EA" w:rsidRDefault="007471F4">
      <w:pPr>
        <w:pStyle w:val="TableHeading"/>
        <w:jc w:val="left"/>
      </w:pPr>
      <w:r>
        <w:t>Table 3</w:t>
      </w:r>
      <w:r w:rsidR="009D60EF">
        <w:t xml:space="preserve"> – Cost of </w:t>
      </w:r>
      <w:proofErr w:type="spellStart"/>
      <w:r w:rsidR="009D60EF">
        <w:t>biosolids</w:t>
      </w:r>
      <w:proofErr w:type="spellEnd"/>
      <w:r w:rsidR="009D60EF">
        <w:t xml:space="preserve"> management</w:t>
      </w:r>
    </w:p>
    <w:tbl>
      <w:tblPr>
        <w:tblStyle w:val="TableGrid"/>
        <w:tblW w:w="0" w:type="auto"/>
        <w:tblLook w:val="04A0"/>
      </w:tblPr>
      <w:tblGrid>
        <w:gridCol w:w="2999"/>
        <w:gridCol w:w="2999"/>
      </w:tblGrid>
      <w:tr w:rsidR="009D60EF" w:rsidRPr="009D60EF" w:rsidTr="009D60EF">
        <w:tc>
          <w:tcPr>
            <w:tcW w:w="2999" w:type="dxa"/>
          </w:tcPr>
          <w:p w:rsidR="000D53EA" w:rsidRDefault="009D60EF">
            <w:pPr>
              <w:spacing w:before="60" w:after="60"/>
              <w:jc w:val="left"/>
              <w:rPr>
                <w:rFonts w:eastAsiaTheme="minorEastAsia"/>
                <w:b/>
                <w:sz w:val="18"/>
                <w:szCs w:val="18"/>
                <w:lang w:eastAsia="ja-JP"/>
              </w:rPr>
            </w:pPr>
            <w:r w:rsidRPr="009D60EF">
              <w:rPr>
                <w:b/>
                <w:sz w:val="18"/>
                <w:szCs w:val="18"/>
              </w:rPr>
              <w:t>Type of sewage treatment process</w:t>
            </w:r>
          </w:p>
        </w:tc>
        <w:tc>
          <w:tcPr>
            <w:tcW w:w="2999" w:type="dxa"/>
          </w:tcPr>
          <w:p w:rsidR="000D53EA" w:rsidRDefault="009D60EF">
            <w:pPr>
              <w:spacing w:before="60" w:after="60"/>
              <w:jc w:val="left"/>
              <w:rPr>
                <w:rFonts w:eastAsiaTheme="minorEastAsia"/>
                <w:b/>
                <w:sz w:val="18"/>
                <w:szCs w:val="18"/>
                <w:lang w:eastAsia="ja-JP"/>
              </w:rPr>
            </w:pPr>
            <w:r w:rsidRPr="009D60EF">
              <w:rPr>
                <w:b/>
                <w:sz w:val="18"/>
                <w:szCs w:val="18"/>
              </w:rPr>
              <w:t xml:space="preserve">Cost of </w:t>
            </w:r>
            <w:proofErr w:type="spellStart"/>
            <w:r>
              <w:rPr>
                <w:b/>
                <w:sz w:val="18"/>
                <w:szCs w:val="18"/>
              </w:rPr>
              <w:t>biosolids</w:t>
            </w:r>
            <w:proofErr w:type="spellEnd"/>
            <w:r>
              <w:rPr>
                <w:b/>
                <w:sz w:val="18"/>
                <w:szCs w:val="18"/>
              </w:rPr>
              <w:t xml:space="preserve"> management</w:t>
            </w:r>
          </w:p>
        </w:tc>
      </w:tr>
      <w:tr w:rsidR="009D60EF" w:rsidRPr="009D60EF" w:rsidTr="009D60EF">
        <w:tc>
          <w:tcPr>
            <w:tcW w:w="2999" w:type="dxa"/>
          </w:tcPr>
          <w:p w:rsidR="000D53EA" w:rsidRDefault="009D60EF">
            <w:pPr>
              <w:spacing w:before="60" w:after="60"/>
              <w:jc w:val="left"/>
              <w:rPr>
                <w:rFonts w:eastAsiaTheme="minorEastAsia"/>
                <w:sz w:val="18"/>
                <w:szCs w:val="18"/>
                <w:lang w:eastAsia="ja-JP"/>
              </w:rPr>
            </w:pPr>
            <w:r>
              <w:rPr>
                <w:sz w:val="18"/>
                <w:szCs w:val="18"/>
              </w:rPr>
              <w:t>Primary</w:t>
            </w:r>
          </w:p>
        </w:tc>
        <w:tc>
          <w:tcPr>
            <w:tcW w:w="2999" w:type="dxa"/>
          </w:tcPr>
          <w:p w:rsidR="000D53EA" w:rsidRDefault="009D60EF">
            <w:pPr>
              <w:spacing w:before="60" w:after="60"/>
              <w:jc w:val="left"/>
              <w:rPr>
                <w:rFonts w:eastAsiaTheme="minorEastAsia"/>
                <w:sz w:val="18"/>
                <w:szCs w:val="18"/>
                <w:lang w:eastAsia="ja-JP"/>
              </w:rPr>
            </w:pPr>
            <w:r>
              <w:rPr>
                <w:sz w:val="18"/>
                <w:szCs w:val="18"/>
              </w:rPr>
              <w:t>70-90%</w:t>
            </w:r>
          </w:p>
        </w:tc>
      </w:tr>
      <w:tr w:rsidR="009D60EF" w:rsidRPr="009D60EF" w:rsidTr="009D60EF">
        <w:tc>
          <w:tcPr>
            <w:tcW w:w="2999" w:type="dxa"/>
          </w:tcPr>
          <w:p w:rsidR="000D53EA" w:rsidRDefault="009D60EF">
            <w:pPr>
              <w:spacing w:before="60" w:after="60"/>
              <w:jc w:val="left"/>
              <w:rPr>
                <w:rFonts w:eastAsiaTheme="minorEastAsia"/>
                <w:sz w:val="18"/>
                <w:szCs w:val="18"/>
                <w:lang w:eastAsia="ja-JP"/>
              </w:rPr>
            </w:pPr>
            <w:r>
              <w:rPr>
                <w:sz w:val="18"/>
                <w:szCs w:val="18"/>
              </w:rPr>
              <w:t>Secondary</w:t>
            </w:r>
          </w:p>
        </w:tc>
        <w:tc>
          <w:tcPr>
            <w:tcW w:w="2999" w:type="dxa"/>
          </w:tcPr>
          <w:p w:rsidR="000D53EA" w:rsidRDefault="009D60EF">
            <w:pPr>
              <w:spacing w:before="60" w:after="60"/>
              <w:jc w:val="left"/>
              <w:rPr>
                <w:rFonts w:eastAsiaTheme="minorEastAsia"/>
                <w:sz w:val="18"/>
                <w:szCs w:val="18"/>
                <w:lang w:eastAsia="ja-JP"/>
              </w:rPr>
            </w:pPr>
            <w:r>
              <w:rPr>
                <w:sz w:val="18"/>
                <w:szCs w:val="18"/>
              </w:rPr>
              <w:t>30-60%</w:t>
            </w:r>
          </w:p>
        </w:tc>
      </w:tr>
    </w:tbl>
    <w:p w:rsidR="000D53EA" w:rsidRDefault="009D60EF">
      <w:pPr>
        <w:pStyle w:val="Heading2"/>
        <w:jc w:val="left"/>
      </w:pPr>
      <w:bookmarkStart w:id="34" w:name="_Toc326747462"/>
      <w:r>
        <w:t>Treatment</w:t>
      </w:r>
      <w:bookmarkEnd w:id="34"/>
    </w:p>
    <w:p w:rsidR="000D53EA" w:rsidRDefault="00507F3E">
      <w:pPr>
        <w:jc w:val="left"/>
      </w:pPr>
      <w:r>
        <w:t>The whole of life cost of dewatering varies significantly depending on the type of process, the size of the treatment plant and the utilisation of the plant – many plants operate only 30</w:t>
      </w:r>
      <w:r w:rsidR="000C019A">
        <w:t>–</w:t>
      </w:r>
      <w:r>
        <w:t>40 hours per week. The normal range of c</w:t>
      </w:r>
      <w:r w:rsidR="007A37C2">
        <w:t>ost for dewatering is around $10</w:t>
      </w:r>
      <w:r>
        <w:t>0</w:t>
      </w:r>
      <w:r w:rsidR="000C019A">
        <w:t>–</w:t>
      </w:r>
      <w:r>
        <w:t>300 per tonne of dry solids processed. This includes capital, operating and maintenance costs.</w:t>
      </w:r>
    </w:p>
    <w:p w:rsidR="000D53EA" w:rsidRDefault="00507F3E">
      <w:pPr>
        <w:jc w:val="left"/>
      </w:pPr>
      <w:r>
        <w:t xml:space="preserve">The total cost to the community </w:t>
      </w:r>
      <w:r w:rsidR="0015250D">
        <w:t xml:space="preserve">in Australia </w:t>
      </w:r>
      <w:r>
        <w:t xml:space="preserve">of dewatering </w:t>
      </w:r>
      <w:proofErr w:type="spellStart"/>
      <w:r w:rsidR="00286CC7">
        <w:t>biosolids</w:t>
      </w:r>
      <w:proofErr w:type="spellEnd"/>
      <w:r w:rsidR="00286CC7">
        <w:t xml:space="preserve"> is</w:t>
      </w:r>
      <w:r w:rsidR="0015250D">
        <w:t xml:space="preserve"> about $50 million per year.</w:t>
      </w:r>
    </w:p>
    <w:p w:rsidR="000D53EA" w:rsidRDefault="0015250D">
      <w:pPr>
        <w:jc w:val="left"/>
      </w:pPr>
      <w:r>
        <w:t>Stabilisation processes are even more varied than dewatering processes.</w:t>
      </w:r>
      <w:r w:rsidR="004324C9">
        <w:t xml:space="preserve"> The whole of life cost of stabilisation is higher than dewatering at around $300</w:t>
      </w:r>
      <w:r w:rsidR="000C019A">
        <w:t>–</w:t>
      </w:r>
      <w:r w:rsidR="004324C9">
        <w:t xml:space="preserve">1000 per tonne of dry </w:t>
      </w:r>
      <w:proofErr w:type="spellStart"/>
      <w:r w:rsidR="004324C9">
        <w:t>biosolids</w:t>
      </w:r>
      <w:proofErr w:type="spellEnd"/>
      <w:r w:rsidR="004324C9">
        <w:t xml:space="preserve"> processed.</w:t>
      </w:r>
    </w:p>
    <w:p w:rsidR="000D53EA" w:rsidRDefault="004324C9">
      <w:pPr>
        <w:jc w:val="left"/>
      </w:pPr>
      <w:r>
        <w:t xml:space="preserve">The total cost to the community in Australia of stabilising </w:t>
      </w:r>
      <w:proofErr w:type="spellStart"/>
      <w:r w:rsidR="00286CC7">
        <w:t>biosolids</w:t>
      </w:r>
      <w:proofErr w:type="spellEnd"/>
      <w:r w:rsidR="00286CC7">
        <w:t xml:space="preserve"> is</w:t>
      </w:r>
      <w:r>
        <w:t xml:space="preserve"> about $150 million per year.</w:t>
      </w:r>
    </w:p>
    <w:p w:rsidR="000D53EA" w:rsidRDefault="004324C9">
      <w:pPr>
        <w:jc w:val="left"/>
      </w:pPr>
      <w:r>
        <w:t xml:space="preserve">The cost of storage </w:t>
      </w:r>
      <w:r w:rsidR="00030C72">
        <w:t>during</w:t>
      </w:r>
      <w:r>
        <w:t xml:space="preserve"> treatment</w:t>
      </w:r>
      <w:r w:rsidR="0004274C">
        <w:t xml:space="preserve"> is becoming increasingly expensive due to the need for ventilation and odour control. Typically enclosed </w:t>
      </w:r>
      <w:proofErr w:type="spellStart"/>
      <w:r w:rsidR="0004274C">
        <w:t>biosolids</w:t>
      </w:r>
      <w:proofErr w:type="spellEnd"/>
      <w:r w:rsidR="0004274C">
        <w:t xml:space="preserve"> storage buildings cost around $20</w:t>
      </w:r>
      <w:r w:rsidR="000C019A">
        <w:t>–</w:t>
      </w:r>
      <w:r w:rsidR="0004274C">
        <w:t xml:space="preserve">50 per tonne of dry </w:t>
      </w:r>
      <w:proofErr w:type="spellStart"/>
      <w:r w:rsidR="0004274C">
        <w:t>biosolids</w:t>
      </w:r>
      <w:proofErr w:type="spellEnd"/>
      <w:r w:rsidR="0004274C">
        <w:t xml:space="preserve"> processed over the life of the </w:t>
      </w:r>
      <w:proofErr w:type="gramStart"/>
      <w:r w:rsidR="0004274C">
        <w:t>project,</w:t>
      </w:r>
      <w:proofErr w:type="gramEnd"/>
      <w:r w:rsidR="0004274C">
        <w:t xml:space="preserve"> however a recent project addressing community odour concerns cost nearly $300 per tonne of </w:t>
      </w:r>
      <w:proofErr w:type="spellStart"/>
      <w:r w:rsidR="0004274C">
        <w:t>biosolids</w:t>
      </w:r>
      <w:proofErr w:type="spellEnd"/>
      <w:r w:rsidR="0004274C">
        <w:t>.</w:t>
      </w:r>
    </w:p>
    <w:p w:rsidR="000D53EA" w:rsidRDefault="0004274C">
      <w:pPr>
        <w:jc w:val="left"/>
      </w:pPr>
      <w:r>
        <w:t xml:space="preserve">The total cost to the community in Australia of storing </w:t>
      </w:r>
      <w:proofErr w:type="spellStart"/>
      <w:r>
        <w:t>biosolids</w:t>
      </w:r>
      <w:proofErr w:type="spellEnd"/>
      <w:r>
        <w:t xml:space="preserve"> at the treatment site is about $15 million per year.</w:t>
      </w:r>
    </w:p>
    <w:p w:rsidR="000D53EA" w:rsidRDefault="0004274C">
      <w:pPr>
        <w:jc w:val="left"/>
      </w:pPr>
      <w:r>
        <w:t xml:space="preserve">The costs of </w:t>
      </w:r>
      <w:r w:rsidR="00004115">
        <w:t xml:space="preserve">treatment </w:t>
      </w:r>
      <w:r w:rsidR="007471F4">
        <w:t>are summarised in Table 4</w:t>
      </w:r>
      <w:r>
        <w:t xml:space="preserve"> below.</w:t>
      </w:r>
      <w:r w:rsidR="00004115">
        <w:t xml:space="preserve">  It should be noted that the average cost of treatment is around $700 per tonne of dry </w:t>
      </w:r>
      <w:proofErr w:type="spellStart"/>
      <w:r w:rsidR="00004115">
        <w:t>biosolids</w:t>
      </w:r>
      <w:proofErr w:type="spellEnd"/>
      <w:r w:rsidR="00004115">
        <w:t>.</w:t>
      </w:r>
    </w:p>
    <w:p w:rsidR="000D53EA" w:rsidRDefault="007471F4">
      <w:pPr>
        <w:pStyle w:val="TableHeading"/>
        <w:jc w:val="left"/>
      </w:pPr>
      <w:r>
        <w:lastRenderedPageBreak/>
        <w:t>Table 4</w:t>
      </w:r>
      <w:r w:rsidR="0004274C">
        <w:t xml:space="preserve"> – Cost of </w:t>
      </w:r>
      <w:proofErr w:type="spellStart"/>
      <w:r w:rsidR="0004274C">
        <w:t>biosolids</w:t>
      </w:r>
      <w:proofErr w:type="spellEnd"/>
      <w:r w:rsidR="0004274C">
        <w:t xml:space="preserve"> management</w:t>
      </w:r>
    </w:p>
    <w:tbl>
      <w:tblPr>
        <w:tblStyle w:val="TableGrid"/>
        <w:tblW w:w="0" w:type="auto"/>
        <w:tblLook w:val="04A0"/>
      </w:tblPr>
      <w:tblGrid>
        <w:gridCol w:w="2999"/>
        <w:gridCol w:w="2999"/>
        <w:gridCol w:w="2999"/>
      </w:tblGrid>
      <w:tr w:rsidR="00FA3278" w:rsidRPr="009D60EF" w:rsidTr="0004274C">
        <w:tc>
          <w:tcPr>
            <w:tcW w:w="2999" w:type="dxa"/>
          </w:tcPr>
          <w:p w:rsidR="000D53EA" w:rsidRDefault="00FA3278">
            <w:pPr>
              <w:spacing w:before="60" w:after="60"/>
              <w:jc w:val="left"/>
              <w:rPr>
                <w:rFonts w:eastAsiaTheme="minorEastAsia"/>
                <w:b/>
                <w:sz w:val="18"/>
                <w:szCs w:val="18"/>
                <w:lang w:eastAsia="ja-JP"/>
              </w:rPr>
            </w:pPr>
            <w:r>
              <w:rPr>
                <w:b/>
                <w:sz w:val="18"/>
                <w:szCs w:val="18"/>
              </w:rPr>
              <w:t>Treatment step</w:t>
            </w:r>
          </w:p>
        </w:tc>
        <w:tc>
          <w:tcPr>
            <w:tcW w:w="2999" w:type="dxa"/>
          </w:tcPr>
          <w:p w:rsidR="000D53EA" w:rsidRDefault="00FA3278">
            <w:pPr>
              <w:spacing w:before="60" w:after="60"/>
              <w:jc w:val="left"/>
              <w:rPr>
                <w:rFonts w:eastAsiaTheme="minorEastAsia"/>
                <w:b/>
                <w:sz w:val="18"/>
                <w:szCs w:val="18"/>
                <w:lang w:eastAsia="ja-JP"/>
              </w:rPr>
            </w:pPr>
            <w:r>
              <w:rPr>
                <w:b/>
                <w:sz w:val="18"/>
                <w:szCs w:val="18"/>
              </w:rPr>
              <w:t>Cost per tonne processed (dry)</w:t>
            </w:r>
          </w:p>
        </w:tc>
        <w:tc>
          <w:tcPr>
            <w:tcW w:w="2999" w:type="dxa"/>
          </w:tcPr>
          <w:p w:rsidR="000D53EA" w:rsidRDefault="00FA3278">
            <w:pPr>
              <w:spacing w:before="60" w:after="60"/>
              <w:jc w:val="left"/>
              <w:rPr>
                <w:rFonts w:eastAsiaTheme="minorEastAsia"/>
                <w:b/>
                <w:sz w:val="18"/>
                <w:szCs w:val="18"/>
                <w:lang w:eastAsia="ja-JP"/>
              </w:rPr>
            </w:pPr>
            <w:r>
              <w:rPr>
                <w:b/>
                <w:sz w:val="18"/>
                <w:szCs w:val="18"/>
              </w:rPr>
              <w:t>National annual cost</w:t>
            </w:r>
          </w:p>
        </w:tc>
      </w:tr>
      <w:tr w:rsidR="0004274C" w:rsidRPr="009D60EF" w:rsidTr="0004274C">
        <w:tc>
          <w:tcPr>
            <w:tcW w:w="2999" w:type="dxa"/>
          </w:tcPr>
          <w:p w:rsidR="000D53EA" w:rsidRDefault="0004274C">
            <w:pPr>
              <w:spacing w:before="60" w:after="60"/>
              <w:jc w:val="left"/>
              <w:rPr>
                <w:rFonts w:eastAsiaTheme="minorEastAsia"/>
                <w:sz w:val="18"/>
                <w:szCs w:val="18"/>
                <w:lang w:eastAsia="ja-JP"/>
              </w:rPr>
            </w:pPr>
            <w:r>
              <w:rPr>
                <w:sz w:val="18"/>
                <w:szCs w:val="18"/>
              </w:rPr>
              <w:t>Dewatering</w:t>
            </w:r>
          </w:p>
        </w:tc>
        <w:tc>
          <w:tcPr>
            <w:tcW w:w="2999" w:type="dxa"/>
          </w:tcPr>
          <w:p w:rsidR="000D53EA" w:rsidRDefault="0004274C">
            <w:pPr>
              <w:spacing w:before="60" w:after="60"/>
              <w:jc w:val="left"/>
              <w:rPr>
                <w:rFonts w:eastAsiaTheme="minorEastAsia"/>
                <w:sz w:val="18"/>
                <w:szCs w:val="18"/>
                <w:lang w:eastAsia="ja-JP"/>
              </w:rPr>
            </w:pPr>
            <w:r>
              <w:rPr>
                <w:sz w:val="18"/>
                <w:szCs w:val="18"/>
              </w:rPr>
              <w:t>$100-300</w:t>
            </w:r>
          </w:p>
        </w:tc>
        <w:tc>
          <w:tcPr>
            <w:tcW w:w="2999" w:type="dxa"/>
          </w:tcPr>
          <w:p w:rsidR="000D53EA" w:rsidRDefault="0004274C">
            <w:pPr>
              <w:spacing w:before="60" w:after="60"/>
              <w:jc w:val="left"/>
              <w:rPr>
                <w:rFonts w:eastAsiaTheme="minorEastAsia"/>
                <w:sz w:val="18"/>
                <w:szCs w:val="18"/>
                <w:lang w:eastAsia="ja-JP"/>
              </w:rPr>
            </w:pPr>
            <w:r>
              <w:rPr>
                <w:sz w:val="18"/>
                <w:szCs w:val="18"/>
              </w:rPr>
              <w:t>$50 million</w:t>
            </w:r>
          </w:p>
        </w:tc>
      </w:tr>
      <w:tr w:rsidR="0004274C" w:rsidRPr="009D60EF" w:rsidTr="0004274C">
        <w:tc>
          <w:tcPr>
            <w:tcW w:w="2999" w:type="dxa"/>
          </w:tcPr>
          <w:p w:rsidR="000D53EA" w:rsidRDefault="0004274C">
            <w:pPr>
              <w:spacing w:before="60" w:after="60"/>
              <w:jc w:val="left"/>
              <w:rPr>
                <w:rFonts w:eastAsiaTheme="minorEastAsia"/>
                <w:sz w:val="18"/>
                <w:szCs w:val="18"/>
                <w:lang w:eastAsia="ja-JP"/>
              </w:rPr>
            </w:pPr>
            <w:r>
              <w:rPr>
                <w:sz w:val="18"/>
                <w:szCs w:val="18"/>
              </w:rPr>
              <w:t>Stabilisation</w:t>
            </w:r>
          </w:p>
        </w:tc>
        <w:tc>
          <w:tcPr>
            <w:tcW w:w="2999" w:type="dxa"/>
          </w:tcPr>
          <w:p w:rsidR="000D53EA" w:rsidRDefault="0004274C">
            <w:pPr>
              <w:spacing w:before="60" w:after="60"/>
              <w:jc w:val="left"/>
              <w:rPr>
                <w:rFonts w:eastAsiaTheme="minorEastAsia"/>
                <w:sz w:val="18"/>
                <w:szCs w:val="18"/>
                <w:lang w:eastAsia="ja-JP"/>
              </w:rPr>
            </w:pPr>
            <w:r>
              <w:rPr>
                <w:sz w:val="18"/>
                <w:szCs w:val="18"/>
              </w:rPr>
              <w:t>$300-1000</w:t>
            </w:r>
          </w:p>
        </w:tc>
        <w:tc>
          <w:tcPr>
            <w:tcW w:w="2999" w:type="dxa"/>
          </w:tcPr>
          <w:p w:rsidR="000D53EA" w:rsidRDefault="0004274C">
            <w:pPr>
              <w:spacing w:before="60" w:after="60"/>
              <w:jc w:val="left"/>
              <w:rPr>
                <w:rFonts w:eastAsiaTheme="minorEastAsia"/>
                <w:sz w:val="18"/>
                <w:szCs w:val="18"/>
                <w:lang w:eastAsia="ja-JP"/>
              </w:rPr>
            </w:pPr>
            <w:r>
              <w:rPr>
                <w:sz w:val="18"/>
                <w:szCs w:val="18"/>
              </w:rPr>
              <w:t>$150 million</w:t>
            </w:r>
          </w:p>
        </w:tc>
      </w:tr>
      <w:tr w:rsidR="0004274C" w:rsidRPr="009D60EF" w:rsidTr="0004274C">
        <w:tc>
          <w:tcPr>
            <w:tcW w:w="2999" w:type="dxa"/>
          </w:tcPr>
          <w:p w:rsidR="000D53EA" w:rsidRDefault="0004274C">
            <w:pPr>
              <w:spacing w:before="60" w:after="60"/>
              <w:jc w:val="left"/>
              <w:rPr>
                <w:rFonts w:eastAsiaTheme="minorEastAsia"/>
                <w:sz w:val="18"/>
                <w:szCs w:val="18"/>
                <w:lang w:eastAsia="ja-JP"/>
              </w:rPr>
            </w:pPr>
            <w:r>
              <w:rPr>
                <w:sz w:val="18"/>
                <w:szCs w:val="18"/>
              </w:rPr>
              <w:t>Storage</w:t>
            </w:r>
          </w:p>
        </w:tc>
        <w:tc>
          <w:tcPr>
            <w:tcW w:w="2999" w:type="dxa"/>
          </w:tcPr>
          <w:p w:rsidR="000D53EA" w:rsidRDefault="0004274C">
            <w:pPr>
              <w:spacing w:before="60" w:after="60"/>
              <w:jc w:val="left"/>
              <w:rPr>
                <w:rFonts w:eastAsiaTheme="minorEastAsia"/>
                <w:sz w:val="18"/>
                <w:szCs w:val="18"/>
                <w:lang w:eastAsia="ja-JP"/>
              </w:rPr>
            </w:pPr>
            <w:r>
              <w:rPr>
                <w:sz w:val="18"/>
                <w:szCs w:val="18"/>
              </w:rPr>
              <w:t>$20-50</w:t>
            </w:r>
          </w:p>
        </w:tc>
        <w:tc>
          <w:tcPr>
            <w:tcW w:w="2999" w:type="dxa"/>
          </w:tcPr>
          <w:p w:rsidR="000D53EA" w:rsidRDefault="0004274C">
            <w:pPr>
              <w:spacing w:before="60" w:after="60"/>
              <w:jc w:val="left"/>
              <w:rPr>
                <w:rFonts w:eastAsiaTheme="minorEastAsia"/>
                <w:sz w:val="18"/>
                <w:szCs w:val="18"/>
                <w:lang w:eastAsia="ja-JP"/>
              </w:rPr>
            </w:pPr>
            <w:r>
              <w:rPr>
                <w:sz w:val="18"/>
                <w:szCs w:val="18"/>
              </w:rPr>
              <w:t>$15 million</w:t>
            </w:r>
          </w:p>
        </w:tc>
      </w:tr>
      <w:tr w:rsidR="00FA3278" w:rsidRPr="00FA3278" w:rsidTr="0004274C">
        <w:tc>
          <w:tcPr>
            <w:tcW w:w="2999" w:type="dxa"/>
          </w:tcPr>
          <w:p w:rsidR="000D53EA" w:rsidRDefault="00FA3278">
            <w:pPr>
              <w:spacing w:before="60" w:after="60"/>
              <w:jc w:val="left"/>
              <w:rPr>
                <w:rFonts w:eastAsiaTheme="minorEastAsia"/>
                <w:b/>
                <w:sz w:val="18"/>
                <w:szCs w:val="18"/>
                <w:lang w:eastAsia="ja-JP"/>
              </w:rPr>
            </w:pPr>
            <w:r w:rsidRPr="00FA3278">
              <w:rPr>
                <w:b/>
                <w:sz w:val="18"/>
                <w:szCs w:val="18"/>
              </w:rPr>
              <w:t>Total treatment</w:t>
            </w:r>
          </w:p>
        </w:tc>
        <w:tc>
          <w:tcPr>
            <w:tcW w:w="2999" w:type="dxa"/>
          </w:tcPr>
          <w:p w:rsidR="000D53EA" w:rsidRDefault="00FA3278">
            <w:pPr>
              <w:spacing w:before="60" w:after="60"/>
              <w:jc w:val="left"/>
              <w:rPr>
                <w:rFonts w:eastAsiaTheme="minorEastAsia"/>
                <w:b/>
                <w:sz w:val="18"/>
                <w:szCs w:val="18"/>
                <w:lang w:eastAsia="ja-JP"/>
              </w:rPr>
            </w:pPr>
            <w:r w:rsidRPr="00FA3278">
              <w:rPr>
                <w:b/>
                <w:sz w:val="18"/>
                <w:szCs w:val="18"/>
              </w:rPr>
              <w:t>$400-1500</w:t>
            </w:r>
          </w:p>
        </w:tc>
        <w:tc>
          <w:tcPr>
            <w:tcW w:w="2999" w:type="dxa"/>
          </w:tcPr>
          <w:p w:rsidR="000D53EA" w:rsidRDefault="00FA3278">
            <w:pPr>
              <w:spacing w:before="60" w:after="60"/>
              <w:jc w:val="left"/>
              <w:rPr>
                <w:rFonts w:eastAsiaTheme="minorEastAsia"/>
                <w:b/>
                <w:sz w:val="18"/>
                <w:szCs w:val="18"/>
                <w:lang w:eastAsia="ja-JP"/>
              </w:rPr>
            </w:pPr>
            <w:r w:rsidRPr="00FA3278">
              <w:rPr>
                <w:b/>
                <w:sz w:val="18"/>
                <w:szCs w:val="18"/>
              </w:rPr>
              <w:t>$215 million</w:t>
            </w:r>
          </w:p>
        </w:tc>
      </w:tr>
    </w:tbl>
    <w:p w:rsidR="000D53EA" w:rsidRDefault="009D60EF">
      <w:pPr>
        <w:pStyle w:val="Heading2"/>
        <w:jc w:val="left"/>
      </w:pPr>
      <w:bookmarkStart w:id="35" w:name="_Toc326747463"/>
      <w:r>
        <w:t>Beneficial use</w:t>
      </w:r>
      <w:bookmarkEnd w:id="35"/>
    </w:p>
    <w:p w:rsidR="000D53EA" w:rsidRDefault="0004274C">
      <w:pPr>
        <w:jc w:val="left"/>
      </w:pPr>
      <w:r>
        <w:t xml:space="preserve">The </w:t>
      </w:r>
      <w:proofErr w:type="gramStart"/>
      <w:r>
        <w:t>cost of beneficial use</w:t>
      </w:r>
      <w:proofErr w:type="gramEnd"/>
      <w:r>
        <w:t xml:space="preserve"> makes up anywhere between about 30</w:t>
      </w:r>
      <w:r w:rsidR="00E548E7">
        <w:t>–</w:t>
      </w:r>
      <w:r>
        <w:t xml:space="preserve">90% of the total cost of </w:t>
      </w:r>
      <w:proofErr w:type="spellStart"/>
      <w:r>
        <w:t>biosolids</w:t>
      </w:r>
      <w:proofErr w:type="spellEnd"/>
      <w:r>
        <w:t xml:space="preserve"> management, depending on the t</w:t>
      </w:r>
      <w:r w:rsidR="00117339">
        <w:t xml:space="preserve">ype of sewage treatment process and the location of the end use. The most common end use in Australia is application to agricultural land, followed by landscaping and soil amendment after </w:t>
      </w:r>
      <w:proofErr w:type="spellStart"/>
      <w:r w:rsidR="00286CC7">
        <w:t>biosolids</w:t>
      </w:r>
      <w:proofErr w:type="spellEnd"/>
      <w:r w:rsidR="00286CC7">
        <w:t xml:space="preserve"> are</w:t>
      </w:r>
      <w:r w:rsidR="00117339">
        <w:t xml:space="preserve"> composted.</w:t>
      </w:r>
    </w:p>
    <w:p w:rsidR="000D53EA" w:rsidRDefault="00117339">
      <w:pPr>
        <w:jc w:val="left"/>
      </w:pPr>
      <w:r>
        <w:t>Beneficial use typically costs from</w:t>
      </w:r>
      <w:r w:rsidR="00F922BD">
        <w:t xml:space="preserve"> $</w:t>
      </w:r>
      <w:r w:rsidR="00FA3278">
        <w:t>150</w:t>
      </w:r>
      <w:r w:rsidR="00E548E7">
        <w:t>–</w:t>
      </w:r>
      <w:r w:rsidR="00FA3278">
        <w:t>500</w:t>
      </w:r>
      <w:r>
        <w:t xml:space="preserve"> per tonne of </w:t>
      </w:r>
      <w:proofErr w:type="spellStart"/>
      <w:r>
        <w:t>biosolids</w:t>
      </w:r>
      <w:proofErr w:type="spellEnd"/>
      <w:r>
        <w:t xml:space="preserve"> on a </w:t>
      </w:r>
      <w:r w:rsidR="00FA3278">
        <w:t>dry</w:t>
      </w:r>
      <w:r>
        <w:t xml:space="preserve"> basis</w:t>
      </w:r>
      <w:r w:rsidR="00FA3278">
        <w:t xml:space="preserve">. Most commonly beneficial use costs around $300 per tonne of dry </w:t>
      </w:r>
      <w:proofErr w:type="spellStart"/>
      <w:r w:rsidR="00FA3278">
        <w:t>biosolids</w:t>
      </w:r>
      <w:proofErr w:type="spellEnd"/>
      <w:r w:rsidR="00FA3278">
        <w:t>.</w:t>
      </w:r>
    </w:p>
    <w:p w:rsidR="000D53EA" w:rsidRDefault="00FA3278">
      <w:pPr>
        <w:jc w:val="left"/>
      </w:pPr>
      <w:r>
        <w:t>The cost of transport makes up about 60</w:t>
      </w:r>
      <w:r w:rsidR="00E548E7">
        <w:t>–</w:t>
      </w:r>
      <w:r>
        <w:t xml:space="preserve">70% of the cost of beneficial use or typically around $200 per tonne of dry </w:t>
      </w:r>
      <w:proofErr w:type="spellStart"/>
      <w:r>
        <w:t>biosolids</w:t>
      </w:r>
      <w:proofErr w:type="spellEnd"/>
      <w:r>
        <w:t>.</w:t>
      </w:r>
    </w:p>
    <w:p w:rsidR="000D53EA" w:rsidRDefault="00FA3278">
      <w:pPr>
        <w:jc w:val="left"/>
      </w:pPr>
      <w:r>
        <w:t xml:space="preserve">Spreading and incorporation (ploughing) of </w:t>
      </w:r>
      <w:proofErr w:type="spellStart"/>
      <w:r>
        <w:t>biosolids</w:t>
      </w:r>
      <w:proofErr w:type="spellEnd"/>
      <w:r>
        <w:t xml:space="preserve"> makes up 25</w:t>
      </w:r>
      <w:r w:rsidR="00E548E7">
        <w:t>–</w:t>
      </w:r>
      <w:r>
        <w:t xml:space="preserve">30% of the total cost of beneficial use or around $90 per tonne of dry </w:t>
      </w:r>
      <w:proofErr w:type="spellStart"/>
      <w:r>
        <w:t>biosolids</w:t>
      </w:r>
      <w:proofErr w:type="spellEnd"/>
      <w:r>
        <w:t>.</w:t>
      </w:r>
    </w:p>
    <w:p w:rsidR="000D53EA" w:rsidRDefault="00FA3278">
      <w:pPr>
        <w:jc w:val="left"/>
      </w:pPr>
      <w:proofErr w:type="gramStart"/>
      <w:r>
        <w:t>Storage on the farm or nearby costs about $25</w:t>
      </w:r>
      <w:r w:rsidR="00E548E7">
        <w:t>–</w:t>
      </w:r>
      <w:r>
        <w:t xml:space="preserve">30 per tonne of dry </w:t>
      </w:r>
      <w:proofErr w:type="spellStart"/>
      <w:r>
        <w:t>biosolids</w:t>
      </w:r>
      <w:proofErr w:type="spellEnd"/>
      <w:r>
        <w:t xml:space="preserve"> and sampling and monitoring about $10 per dry tonne.</w:t>
      </w:r>
      <w:proofErr w:type="gramEnd"/>
    </w:p>
    <w:p w:rsidR="000D53EA" w:rsidRDefault="00FA3278">
      <w:pPr>
        <w:jc w:val="left"/>
      </w:pPr>
      <w:r>
        <w:t>The breakdown of beneficial</w:t>
      </w:r>
      <w:r w:rsidR="007471F4">
        <w:t xml:space="preserve"> use costs are given in Table 5</w:t>
      </w:r>
      <w:r>
        <w:t xml:space="preserve"> below.</w:t>
      </w:r>
      <w:r w:rsidR="00004115">
        <w:t xml:space="preserve">  It should be noted that the average cost of beneficial use is about $300 per tonne of dry </w:t>
      </w:r>
      <w:proofErr w:type="spellStart"/>
      <w:r w:rsidR="00004115">
        <w:t>biosolids</w:t>
      </w:r>
      <w:proofErr w:type="spellEnd"/>
      <w:r w:rsidR="00004115">
        <w:t>.</w:t>
      </w:r>
    </w:p>
    <w:p w:rsidR="000D53EA" w:rsidRDefault="007471F4">
      <w:pPr>
        <w:pStyle w:val="TableHeading"/>
        <w:jc w:val="left"/>
      </w:pPr>
      <w:r>
        <w:t>Table 5</w:t>
      </w:r>
      <w:r w:rsidR="00FA3278">
        <w:t xml:space="preserve"> – Cost of </w:t>
      </w:r>
      <w:proofErr w:type="spellStart"/>
      <w:r w:rsidR="00FA3278">
        <w:t>biosolids</w:t>
      </w:r>
      <w:proofErr w:type="spellEnd"/>
      <w:r w:rsidR="00FA3278">
        <w:t xml:space="preserve"> management</w:t>
      </w:r>
    </w:p>
    <w:tbl>
      <w:tblPr>
        <w:tblStyle w:val="TableGrid"/>
        <w:tblW w:w="0" w:type="auto"/>
        <w:tblLook w:val="04A0"/>
      </w:tblPr>
      <w:tblGrid>
        <w:gridCol w:w="2999"/>
        <w:gridCol w:w="2999"/>
        <w:gridCol w:w="2999"/>
      </w:tblGrid>
      <w:tr w:rsidR="00FA3278" w:rsidRPr="009D60EF" w:rsidTr="00996D66">
        <w:tc>
          <w:tcPr>
            <w:tcW w:w="2999" w:type="dxa"/>
          </w:tcPr>
          <w:p w:rsidR="000D53EA" w:rsidRDefault="00FA3278">
            <w:pPr>
              <w:spacing w:before="60" w:after="60"/>
              <w:jc w:val="left"/>
              <w:rPr>
                <w:rFonts w:eastAsiaTheme="minorEastAsia"/>
                <w:b/>
                <w:sz w:val="18"/>
                <w:szCs w:val="18"/>
                <w:lang w:eastAsia="ja-JP"/>
              </w:rPr>
            </w:pPr>
            <w:r>
              <w:rPr>
                <w:b/>
                <w:sz w:val="18"/>
                <w:szCs w:val="18"/>
              </w:rPr>
              <w:t xml:space="preserve">Beneficial use </w:t>
            </w:r>
          </w:p>
        </w:tc>
        <w:tc>
          <w:tcPr>
            <w:tcW w:w="2999" w:type="dxa"/>
          </w:tcPr>
          <w:p w:rsidR="000D53EA" w:rsidRDefault="00FA3278">
            <w:pPr>
              <w:spacing w:before="60" w:after="60"/>
              <w:jc w:val="left"/>
              <w:rPr>
                <w:rFonts w:eastAsiaTheme="minorEastAsia"/>
                <w:b/>
                <w:sz w:val="18"/>
                <w:szCs w:val="18"/>
                <w:lang w:eastAsia="ja-JP"/>
              </w:rPr>
            </w:pPr>
            <w:r>
              <w:rPr>
                <w:b/>
                <w:sz w:val="18"/>
                <w:szCs w:val="18"/>
              </w:rPr>
              <w:t>Cost per tonne used (dry)</w:t>
            </w:r>
          </w:p>
        </w:tc>
        <w:tc>
          <w:tcPr>
            <w:tcW w:w="2999" w:type="dxa"/>
          </w:tcPr>
          <w:p w:rsidR="000D53EA" w:rsidRDefault="00FA3278">
            <w:pPr>
              <w:spacing w:before="60" w:after="60"/>
              <w:jc w:val="left"/>
              <w:rPr>
                <w:rFonts w:eastAsiaTheme="minorEastAsia"/>
                <w:b/>
                <w:sz w:val="18"/>
                <w:szCs w:val="18"/>
                <w:lang w:eastAsia="ja-JP"/>
              </w:rPr>
            </w:pPr>
            <w:r>
              <w:rPr>
                <w:b/>
                <w:sz w:val="18"/>
                <w:szCs w:val="18"/>
              </w:rPr>
              <w:t>National annual cost</w:t>
            </w:r>
          </w:p>
        </w:tc>
      </w:tr>
      <w:tr w:rsidR="00FA3278" w:rsidRPr="009D60EF" w:rsidTr="00996D66">
        <w:tc>
          <w:tcPr>
            <w:tcW w:w="2999" w:type="dxa"/>
          </w:tcPr>
          <w:p w:rsidR="000D53EA" w:rsidRDefault="00FA3278">
            <w:pPr>
              <w:spacing w:before="60" w:after="60"/>
              <w:jc w:val="left"/>
              <w:rPr>
                <w:rFonts w:eastAsiaTheme="minorEastAsia"/>
                <w:sz w:val="18"/>
                <w:szCs w:val="18"/>
                <w:lang w:eastAsia="ja-JP"/>
              </w:rPr>
            </w:pPr>
            <w:r>
              <w:rPr>
                <w:sz w:val="18"/>
                <w:szCs w:val="18"/>
              </w:rPr>
              <w:t>Transport</w:t>
            </w:r>
          </w:p>
        </w:tc>
        <w:tc>
          <w:tcPr>
            <w:tcW w:w="2999" w:type="dxa"/>
          </w:tcPr>
          <w:p w:rsidR="000D53EA" w:rsidRDefault="00FA3278">
            <w:pPr>
              <w:spacing w:before="60" w:after="60"/>
              <w:jc w:val="left"/>
              <w:rPr>
                <w:rFonts w:eastAsiaTheme="minorEastAsia"/>
                <w:sz w:val="18"/>
                <w:szCs w:val="18"/>
                <w:lang w:eastAsia="ja-JP"/>
              </w:rPr>
            </w:pPr>
            <w:r>
              <w:rPr>
                <w:sz w:val="18"/>
                <w:szCs w:val="18"/>
              </w:rPr>
              <w:t>$100-300</w:t>
            </w:r>
          </w:p>
        </w:tc>
        <w:tc>
          <w:tcPr>
            <w:tcW w:w="2999" w:type="dxa"/>
          </w:tcPr>
          <w:p w:rsidR="000D53EA" w:rsidRDefault="00FA3278">
            <w:pPr>
              <w:spacing w:before="60" w:after="60"/>
              <w:jc w:val="left"/>
              <w:rPr>
                <w:rFonts w:eastAsiaTheme="minorEastAsia"/>
                <w:sz w:val="18"/>
                <w:szCs w:val="18"/>
                <w:lang w:eastAsia="ja-JP"/>
              </w:rPr>
            </w:pPr>
            <w:r>
              <w:rPr>
                <w:sz w:val="18"/>
                <w:szCs w:val="18"/>
              </w:rPr>
              <w:t>$60 million</w:t>
            </w:r>
          </w:p>
        </w:tc>
      </w:tr>
      <w:tr w:rsidR="00FA3278" w:rsidRPr="009D60EF" w:rsidTr="00996D66">
        <w:tc>
          <w:tcPr>
            <w:tcW w:w="2999" w:type="dxa"/>
          </w:tcPr>
          <w:p w:rsidR="000D53EA" w:rsidRDefault="00FA3278">
            <w:pPr>
              <w:spacing w:before="60" w:after="60"/>
              <w:jc w:val="left"/>
              <w:rPr>
                <w:rFonts w:eastAsiaTheme="minorEastAsia"/>
                <w:sz w:val="18"/>
                <w:szCs w:val="18"/>
                <w:lang w:eastAsia="ja-JP"/>
              </w:rPr>
            </w:pPr>
            <w:r>
              <w:rPr>
                <w:sz w:val="18"/>
                <w:szCs w:val="18"/>
              </w:rPr>
              <w:t>Spreading and incorporation</w:t>
            </w:r>
          </w:p>
        </w:tc>
        <w:tc>
          <w:tcPr>
            <w:tcW w:w="2999" w:type="dxa"/>
          </w:tcPr>
          <w:p w:rsidR="000D53EA" w:rsidRDefault="00FA3278">
            <w:pPr>
              <w:spacing w:before="60" w:after="60"/>
              <w:jc w:val="left"/>
              <w:rPr>
                <w:rFonts w:eastAsiaTheme="minorEastAsia"/>
                <w:sz w:val="18"/>
                <w:szCs w:val="18"/>
                <w:lang w:eastAsia="ja-JP"/>
              </w:rPr>
            </w:pPr>
            <w:r>
              <w:rPr>
                <w:sz w:val="18"/>
                <w:szCs w:val="18"/>
              </w:rPr>
              <w:t>$40-150</w:t>
            </w:r>
          </w:p>
        </w:tc>
        <w:tc>
          <w:tcPr>
            <w:tcW w:w="2999" w:type="dxa"/>
          </w:tcPr>
          <w:p w:rsidR="000D53EA" w:rsidRDefault="00FA3278">
            <w:pPr>
              <w:spacing w:before="60" w:after="60"/>
              <w:jc w:val="left"/>
              <w:rPr>
                <w:rFonts w:eastAsiaTheme="minorEastAsia"/>
                <w:sz w:val="18"/>
                <w:szCs w:val="18"/>
                <w:lang w:eastAsia="ja-JP"/>
              </w:rPr>
            </w:pPr>
            <w:r>
              <w:rPr>
                <w:sz w:val="18"/>
                <w:szCs w:val="18"/>
              </w:rPr>
              <w:t>$30 million</w:t>
            </w:r>
          </w:p>
        </w:tc>
      </w:tr>
      <w:tr w:rsidR="00FA3278" w:rsidRPr="009D60EF" w:rsidTr="00996D66">
        <w:tc>
          <w:tcPr>
            <w:tcW w:w="2999" w:type="dxa"/>
          </w:tcPr>
          <w:p w:rsidR="000D53EA" w:rsidRDefault="00FA3278">
            <w:pPr>
              <w:spacing w:before="60" w:after="60"/>
              <w:jc w:val="left"/>
              <w:rPr>
                <w:rFonts w:eastAsiaTheme="minorEastAsia"/>
                <w:sz w:val="18"/>
                <w:szCs w:val="18"/>
                <w:lang w:eastAsia="ja-JP"/>
              </w:rPr>
            </w:pPr>
            <w:r>
              <w:rPr>
                <w:sz w:val="18"/>
                <w:szCs w:val="18"/>
              </w:rPr>
              <w:t>Storage</w:t>
            </w:r>
          </w:p>
        </w:tc>
        <w:tc>
          <w:tcPr>
            <w:tcW w:w="2999" w:type="dxa"/>
          </w:tcPr>
          <w:p w:rsidR="000D53EA" w:rsidRDefault="00FA3278">
            <w:pPr>
              <w:spacing w:before="60" w:after="60"/>
              <w:jc w:val="left"/>
              <w:rPr>
                <w:rFonts w:eastAsiaTheme="minorEastAsia"/>
                <w:sz w:val="18"/>
                <w:szCs w:val="18"/>
                <w:lang w:eastAsia="ja-JP"/>
              </w:rPr>
            </w:pPr>
            <w:r>
              <w:rPr>
                <w:sz w:val="18"/>
                <w:szCs w:val="18"/>
              </w:rPr>
              <w:t>$20-30</w:t>
            </w:r>
          </w:p>
        </w:tc>
        <w:tc>
          <w:tcPr>
            <w:tcW w:w="2999" w:type="dxa"/>
          </w:tcPr>
          <w:p w:rsidR="000D53EA" w:rsidRDefault="00FA3278">
            <w:pPr>
              <w:spacing w:before="60" w:after="60"/>
              <w:jc w:val="left"/>
              <w:rPr>
                <w:rFonts w:eastAsiaTheme="minorEastAsia"/>
                <w:sz w:val="18"/>
                <w:szCs w:val="18"/>
                <w:lang w:eastAsia="ja-JP"/>
              </w:rPr>
            </w:pPr>
            <w:r>
              <w:rPr>
                <w:sz w:val="18"/>
                <w:szCs w:val="18"/>
              </w:rPr>
              <w:t>$8 million</w:t>
            </w:r>
          </w:p>
        </w:tc>
      </w:tr>
      <w:tr w:rsidR="00FA3278" w:rsidRPr="009D60EF" w:rsidTr="00996D66">
        <w:tc>
          <w:tcPr>
            <w:tcW w:w="2999" w:type="dxa"/>
          </w:tcPr>
          <w:p w:rsidR="000D53EA" w:rsidRDefault="00FA3278">
            <w:pPr>
              <w:spacing w:before="60" w:after="60"/>
              <w:jc w:val="left"/>
              <w:rPr>
                <w:rFonts w:eastAsiaTheme="minorEastAsia"/>
                <w:sz w:val="18"/>
                <w:szCs w:val="18"/>
                <w:lang w:eastAsia="ja-JP"/>
              </w:rPr>
            </w:pPr>
            <w:r>
              <w:rPr>
                <w:sz w:val="18"/>
                <w:szCs w:val="18"/>
              </w:rPr>
              <w:t>Sampling and monitoring</w:t>
            </w:r>
          </w:p>
        </w:tc>
        <w:tc>
          <w:tcPr>
            <w:tcW w:w="2999" w:type="dxa"/>
          </w:tcPr>
          <w:p w:rsidR="000D53EA" w:rsidRDefault="00FA3278">
            <w:pPr>
              <w:spacing w:before="60" w:after="60"/>
              <w:jc w:val="left"/>
              <w:rPr>
                <w:rFonts w:eastAsiaTheme="minorEastAsia"/>
                <w:sz w:val="18"/>
                <w:szCs w:val="18"/>
                <w:lang w:eastAsia="ja-JP"/>
              </w:rPr>
            </w:pPr>
            <w:r>
              <w:rPr>
                <w:sz w:val="18"/>
                <w:szCs w:val="18"/>
              </w:rPr>
              <w:t>$10</w:t>
            </w:r>
          </w:p>
        </w:tc>
        <w:tc>
          <w:tcPr>
            <w:tcW w:w="2999" w:type="dxa"/>
          </w:tcPr>
          <w:p w:rsidR="000D53EA" w:rsidRDefault="00FA3278">
            <w:pPr>
              <w:spacing w:before="60" w:after="60"/>
              <w:jc w:val="left"/>
              <w:rPr>
                <w:rFonts w:eastAsiaTheme="minorEastAsia"/>
                <w:sz w:val="18"/>
                <w:szCs w:val="18"/>
                <w:lang w:eastAsia="ja-JP"/>
              </w:rPr>
            </w:pPr>
            <w:r>
              <w:rPr>
                <w:sz w:val="18"/>
                <w:szCs w:val="18"/>
              </w:rPr>
              <w:t>$3 million</w:t>
            </w:r>
          </w:p>
        </w:tc>
      </w:tr>
      <w:tr w:rsidR="00FA3278" w:rsidRPr="009D60EF" w:rsidTr="00996D66">
        <w:tc>
          <w:tcPr>
            <w:tcW w:w="2999" w:type="dxa"/>
          </w:tcPr>
          <w:p w:rsidR="000D53EA" w:rsidRDefault="00CC074C">
            <w:pPr>
              <w:spacing w:before="60" w:after="60"/>
              <w:jc w:val="left"/>
              <w:rPr>
                <w:b/>
                <w:sz w:val="18"/>
                <w:szCs w:val="18"/>
              </w:rPr>
            </w:pPr>
            <w:r w:rsidRPr="00CC074C">
              <w:rPr>
                <w:b/>
                <w:sz w:val="18"/>
                <w:szCs w:val="18"/>
              </w:rPr>
              <w:t>Total beneficial use</w:t>
            </w:r>
          </w:p>
        </w:tc>
        <w:tc>
          <w:tcPr>
            <w:tcW w:w="2999" w:type="dxa"/>
          </w:tcPr>
          <w:p w:rsidR="000D53EA" w:rsidRDefault="00CC074C">
            <w:pPr>
              <w:spacing w:before="60" w:after="60"/>
              <w:jc w:val="left"/>
              <w:rPr>
                <w:b/>
                <w:sz w:val="18"/>
                <w:szCs w:val="18"/>
              </w:rPr>
            </w:pPr>
            <w:r w:rsidRPr="00CC074C">
              <w:rPr>
                <w:b/>
                <w:sz w:val="18"/>
                <w:szCs w:val="18"/>
              </w:rPr>
              <w:t>$150-500</w:t>
            </w:r>
          </w:p>
        </w:tc>
        <w:tc>
          <w:tcPr>
            <w:tcW w:w="2999" w:type="dxa"/>
          </w:tcPr>
          <w:p w:rsidR="000D53EA" w:rsidRDefault="00CC074C">
            <w:pPr>
              <w:spacing w:before="60" w:after="60"/>
              <w:jc w:val="left"/>
              <w:rPr>
                <w:b/>
                <w:sz w:val="18"/>
                <w:szCs w:val="18"/>
              </w:rPr>
            </w:pPr>
            <w:r w:rsidRPr="00CC074C">
              <w:rPr>
                <w:b/>
                <w:sz w:val="18"/>
                <w:szCs w:val="18"/>
              </w:rPr>
              <w:t>$100 million</w:t>
            </w:r>
          </w:p>
        </w:tc>
      </w:tr>
    </w:tbl>
    <w:p w:rsidR="000D53EA" w:rsidRDefault="000D53EA">
      <w:pPr>
        <w:jc w:val="left"/>
      </w:pPr>
    </w:p>
    <w:p w:rsidR="00E604FA" w:rsidRDefault="00E604FA" w:rsidP="00A35633">
      <w:pPr>
        <w:spacing w:before="0" w:after="0"/>
        <w:jc w:val="left"/>
        <w:rPr>
          <w:b/>
          <w:caps/>
          <w:kern w:val="28"/>
          <w:sz w:val="28"/>
        </w:rPr>
      </w:pPr>
      <w:r>
        <w:br w:type="page"/>
      </w:r>
    </w:p>
    <w:p w:rsidR="000D53EA" w:rsidRDefault="00662774">
      <w:pPr>
        <w:pStyle w:val="Heading1"/>
        <w:jc w:val="left"/>
      </w:pPr>
      <w:bookmarkStart w:id="36" w:name="_Toc326747464"/>
      <w:r>
        <w:lastRenderedPageBreak/>
        <w:t>Value of biosolids</w:t>
      </w:r>
      <w:bookmarkEnd w:id="36"/>
    </w:p>
    <w:p w:rsidR="000D53EA" w:rsidRDefault="00BD2485">
      <w:pPr>
        <w:pStyle w:val="Heading2"/>
        <w:jc w:val="left"/>
      </w:pPr>
      <w:bookmarkStart w:id="37" w:name="_Toc326747465"/>
      <w:r>
        <w:t>General</w:t>
      </w:r>
      <w:bookmarkEnd w:id="37"/>
    </w:p>
    <w:p w:rsidR="000D53EA" w:rsidRDefault="00E604FA">
      <w:pPr>
        <w:jc w:val="left"/>
      </w:pPr>
      <w:proofErr w:type="spellStart"/>
      <w:r>
        <w:t>Bios</w:t>
      </w:r>
      <w:r w:rsidR="00432C80">
        <w:t>olids</w:t>
      </w:r>
      <w:proofErr w:type="spellEnd"/>
      <w:r w:rsidR="00432C80">
        <w:t xml:space="preserve"> has value by virtue of </w:t>
      </w:r>
      <w:r w:rsidR="00184B27">
        <w:t>their</w:t>
      </w:r>
      <w:r>
        <w:t xml:space="preserve"> constituents. The components which give </w:t>
      </w:r>
      <w:proofErr w:type="spellStart"/>
      <w:r>
        <w:t>biosolids</w:t>
      </w:r>
      <w:proofErr w:type="spellEnd"/>
      <w:r>
        <w:t xml:space="preserve"> value are;</w:t>
      </w:r>
    </w:p>
    <w:p w:rsidR="00E604FA" w:rsidRDefault="00E604FA" w:rsidP="00A35633">
      <w:pPr>
        <w:pStyle w:val="ListParagraph"/>
        <w:numPr>
          <w:ilvl w:val="0"/>
          <w:numId w:val="13"/>
        </w:numPr>
      </w:pPr>
      <w:r>
        <w:t>nutrients</w:t>
      </w:r>
    </w:p>
    <w:p w:rsidR="00E604FA" w:rsidRDefault="00E604FA" w:rsidP="00A35633">
      <w:pPr>
        <w:pStyle w:val="ListParagraph"/>
        <w:numPr>
          <w:ilvl w:val="0"/>
          <w:numId w:val="13"/>
        </w:numPr>
      </w:pPr>
      <w:r>
        <w:t>organic matter</w:t>
      </w:r>
    </w:p>
    <w:p w:rsidR="00E604FA" w:rsidRDefault="00E604FA" w:rsidP="00A35633">
      <w:pPr>
        <w:pStyle w:val="ListParagraph"/>
        <w:numPr>
          <w:ilvl w:val="0"/>
          <w:numId w:val="13"/>
        </w:numPr>
      </w:pPr>
      <w:r>
        <w:t>inorganic matter</w:t>
      </w:r>
    </w:p>
    <w:p w:rsidR="00E604FA" w:rsidRDefault="00E604FA" w:rsidP="00A35633">
      <w:pPr>
        <w:pStyle w:val="ListParagraph"/>
        <w:numPr>
          <w:ilvl w:val="0"/>
          <w:numId w:val="13"/>
        </w:numPr>
      </w:pPr>
      <w:r>
        <w:t>trace metals</w:t>
      </w:r>
    </w:p>
    <w:p w:rsidR="000D53EA" w:rsidRDefault="00E604FA">
      <w:pPr>
        <w:jc w:val="left"/>
      </w:pPr>
      <w:r>
        <w:t>The most valuable constituents are the nutrients and organic matter. Each constituent is discussed below.</w:t>
      </w:r>
    </w:p>
    <w:p w:rsidR="000D53EA" w:rsidRDefault="00E604FA">
      <w:pPr>
        <w:pStyle w:val="Heading2"/>
        <w:jc w:val="left"/>
      </w:pPr>
      <w:bookmarkStart w:id="38" w:name="_Toc272997673"/>
      <w:bookmarkStart w:id="39" w:name="_Toc326747466"/>
      <w:r>
        <w:t>Nutrients</w:t>
      </w:r>
      <w:bookmarkEnd w:id="38"/>
      <w:bookmarkEnd w:id="39"/>
    </w:p>
    <w:p w:rsidR="000D53EA" w:rsidRDefault="00E604FA">
      <w:pPr>
        <w:jc w:val="left"/>
      </w:pPr>
      <w:r>
        <w:t xml:space="preserve">The current prices of the main plant nutrients, </w:t>
      </w:r>
      <w:r w:rsidR="00ED2183">
        <w:t>n</w:t>
      </w:r>
      <w:r>
        <w:t xml:space="preserve">itrogen and </w:t>
      </w:r>
      <w:r w:rsidR="00ED2183">
        <w:t>p</w:t>
      </w:r>
      <w:r>
        <w:t xml:space="preserve">hosphorus, based on the price of commonly available inorganic fertilisers, </w:t>
      </w:r>
      <w:proofErr w:type="gramStart"/>
      <w:r>
        <w:t>are</w:t>
      </w:r>
      <w:proofErr w:type="gramEnd"/>
      <w:r>
        <w:t xml:space="preserve"> shown below in</w:t>
      </w:r>
      <w:r w:rsidR="007471F4">
        <w:t xml:space="preserve"> Table 6</w:t>
      </w:r>
      <w:r>
        <w:t xml:space="preserve">. Farmers must calculate the most cost effective fertiliser to use based on plant nutrient requirements and the cost of fertiliser. </w:t>
      </w:r>
    </w:p>
    <w:p w:rsidR="000D53EA" w:rsidRDefault="00E604FA">
      <w:pPr>
        <w:pStyle w:val="TableHeading"/>
        <w:jc w:val="left"/>
      </w:pPr>
      <w:bookmarkStart w:id="40" w:name="_Ref270500829"/>
      <w:r>
        <w:t xml:space="preserve">Table </w:t>
      </w:r>
      <w:bookmarkEnd w:id="40"/>
      <w:r w:rsidR="007471F4">
        <w:t>6</w:t>
      </w:r>
      <w:r>
        <w:t xml:space="preserve"> - Current inorganic fertiliser prices</w:t>
      </w:r>
    </w:p>
    <w:tbl>
      <w:tblPr>
        <w:tblW w:w="837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8"/>
        <w:gridCol w:w="1470"/>
        <w:gridCol w:w="1417"/>
        <w:gridCol w:w="1418"/>
        <w:gridCol w:w="857"/>
        <w:gridCol w:w="844"/>
      </w:tblGrid>
      <w:tr w:rsidR="00E604FA" w:rsidRPr="002272BD" w:rsidTr="002272BD">
        <w:trPr>
          <w:trHeight w:val="300"/>
        </w:trPr>
        <w:tc>
          <w:tcPr>
            <w:tcW w:w="2368" w:type="dxa"/>
            <w:shd w:val="clear" w:color="auto" w:fill="auto"/>
            <w:noWrap/>
            <w:vAlign w:val="bottom"/>
          </w:tcPr>
          <w:p w:rsidR="00E604FA" w:rsidRPr="002272BD" w:rsidRDefault="00E604FA" w:rsidP="00A35633">
            <w:pPr>
              <w:pStyle w:val="ReportTableHeading"/>
              <w:rPr>
                <w:rFonts w:ascii="Times New Roman" w:hAnsi="Times New Roman" w:cs="Times New Roman"/>
                <w:color w:val="auto"/>
              </w:rPr>
            </w:pPr>
            <w:r w:rsidRPr="002272BD">
              <w:rPr>
                <w:rFonts w:ascii="Times New Roman" w:hAnsi="Times New Roman" w:cs="Times New Roman"/>
                <w:color w:val="auto"/>
              </w:rPr>
              <w:t>Fertiliser</w:t>
            </w:r>
          </w:p>
        </w:tc>
        <w:tc>
          <w:tcPr>
            <w:tcW w:w="1470" w:type="dxa"/>
            <w:shd w:val="clear" w:color="auto" w:fill="auto"/>
            <w:noWrap/>
            <w:vAlign w:val="bottom"/>
          </w:tcPr>
          <w:p w:rsidR="000D53EA" w:rsidRDefault="00E604FA">
            <w:pPr>
              <w:pStyle w:val="ReportTableHeading"/>
              <w:rPr>
                <w:rFonts w:ascii="Times New Roman" w:hAnsi="Times New Roman" w:cs="Times New Roman"/>
                <w:color w:val="auto"/>
              </w:rPr>
            </w:pPr>
            <w:r w:rsidRPr="002272BD">
              <w:rPr>
                <w:rFonts w:ascii="Times New Roman" w:hAnsi="Times New Roman" w:cs="Times New Roman"/>
                <w:color w:val="auto"/>
              </w:rPr>
              <w:t>Nitrogen content (%)</w:t>
            </w:r>
          </w:p>
        </w:tc>
        <w:tc>
          <w:tcPr>
            <w:tcW w:w="1417" w:type="dxa"/>
            <w:shd w:val="clear" w:color="auto" w:fill="auto"/>
            <w:noWrap/>
            <w:vAlign w:val="bottom"/>
          </w:tcPr>
          <w:p w:rsidR="000D53EA" w:rsidRDefault="00E604FA">
            <w:pPr>
              <w:pStyle w:val="ReportTableHeading"/>
              <w:rPr>
                <w:rFonts w:ascii="Times New Roman" w:hAnsi="Times New Roman" w:cs="Times New Roman"/>
                <w:color w:val="auto"/>
              </w:rPr>
            </w:pPr>
            <w:r w:rsidRPr="002272BD">
              <w:rPr>
                <w:rFonts w:ascii="Times New Roman" w:hAnsi="Times New Roman" w:cs="Times New Roman"/>
                <w:color w:val="auto"/>
              </w:rPr>
              <w:t>Phosphorus content (%)</w:t>
            </w:r>
          </w:p>
        </w:tc>
        <w:tc>
          <w:tcPr>
            <w:tcW w:w="1418" w:type="dxa"/>
            <w:shd w:val="clear" w:color="auto" w:fill="auto"/>
            <w:noWrap/>
            <w:vAlign w:val="bottom"/>
          </w:tcPr>
          <w:p w:rsidR="000D53EA" w:rsidRDefault="00E604FA">
            <w:pPr>
              <w:pStyle w:val="ReportTableHeading"/>
              <w:rPr>
                <w:rFonts w:ascii="Times New Roman" w:hAnsi="Times New Roman" w:cs="Times New Roman"/>
                <w:color w:val="auto"/>
                <w:vertAlign w:val="superscript"/>
              </w:rPr>
            </w:pPr>
            <w:r w:rsidRPr="002272BD">
              <w:rPr>
                <w:rFonts w:ascii="Times New Roman" w:hAnsi="Times New Roman" w:cs="Times New Roman"/>
                <w:color w:val="auto"/>
              </w:rPr>
              <w:t>Current price $/tonne</w:t>
            </w:r>
            <w:r w:rsidRPr="002272BD">
              <w:rPr>
                <w:rFonts w:ascii="Times New Roman" w:hAnsi="Times New Roman" w:cs="Times New Roman"/>
                <w:color w:val="auto"/>
                <w:vertAlign w:val="superscript"/>
              </w:rPr>
              <w:t>1</w:t>
            </w:r>
          </w:p>
        </w:tc>
        <w:tc>
          <w:tcPr>
            <w:tcW w:w="857" w:type="dxa"/>
            <w:shd w:val="clear" w:color="auto" w:fill="auto"/>
            <w:noWrap/>
            <w:vAlign w:val="bottom"/>
          </w:tcPr>
          <w:p w:rsidR="000D53EA" w:rsidRDefault="00E604FA">
            <w:pPr>
              <w:pStyle w:val="ReportTableHeading"/>
              <w:rPr>
                <w:rFonts w:ascii="Times New Roman" w:hAnsi="Times New Roman" w:cs="Times New Roman"/>
                <w:color w:val="auto"/>
              </w:rPr>
            </w:pPr>
            <w:r w:rsidRPr="002272BD">
              <w:rPr>
                <w:rFonts w:ascii="Times New Roman" w:hAnsi="Times New Roman" w:cs="Times New Roman"/>
                <w:color w:val="auto"/>
              </w:rPr>
              <w:t>$/kg N</w:t>
            </w:r>
          </w:p>
        </w:tc>
        <w:tc>
          <w:tcPr>
            <w:tcW w:w="844" w:type="dxa"/>
            <w:shd w:val="clear" w:color="auto" w:fill="auto"/>
            <w:noWrap/>
            <w:vAlign w:val="bottom"/>
          </w:tcPr>
          <w:p w:rsidR="000D53EA" w:rsidRDefault="00E604FA">
            <w:pPr>
              <w:pStyle w:val="ReportTableHeading"/>
              <w:rPr>
                <w:rFonts w:ascii="Times New Roman" w:hAnsi="Times New Roman" w:cs="Times New Roman"/>
                <w:color w:val="auto"/>
              </w:rPr>
            </w:pPr>
            <w:r w:rsidRPr="002272BD">
              <w:rPr>
                <w:rFonts w:ascii="Times New Roman" w:hAnsi="Times New Roman" w:cs="Times New Roman"/>
                <w:color w:val="auto"/>
              </w:rPr>
              <w:t>$/kg P</w:t>
            </w:r>
          </w:p>
        </w:tc>
      </w:tr>
      <w:tr w:rsidR="00E604FA" w:rsidRPr="002272BD" w:rsidTr="002272BD">
        <w:trPr>
          <w:trHeight w:val="300"/>
        </w:trPr>
        <w:tc>
          <w:tcPr>
            <w:tcW w:w="2368" w:type="dxa"/>
            <w:shd w:val="clear" w:color="auto" w:fill="auto"/>
            <w:noWrap/>
            <w:vAlign w:val="bottom"/>
          </w:tcPr>
          <w:p w:rsidR="00E604FA" w:rsidRPr="002272BD" w:rsidRDefault="00E604FA" w:rsidP="00A35633">
            <w:pPr>
              <w:pStyle w:val="ReportTableText"/>
              <w:rPr>
                <w:rFonts w:ascii="Times New Roman" w:hAnsi="Times New Roman"/>
              </w:rPr>
            </w:pPr>
            <w:r w:rsidRPr="002272BD">
              <w:rPr>
                <w:rFonts w:ascii="Times New Roman" w:hAnsi="Times New Roman"/>
              </w:rPr>
              <w:t>Ammonium phosphate</w:t>
            </w:r>
          </w:p>
        </w:tc>
        <w:tc>
          <w:tcPr>
            <w:tcW w:w="1470" w:type="dxa"/>
            <w:shd w:val="clear" w:color="auto" w:fill="auto"/>
            <w:noWrap/>
            <w:vAlign w:val="bottom"/>
          </w:tcPr>
          <w:p w:rsidR="000D53EA" w:rsidRDefault="00E604FA">
            <w:pPr>
              <w:pStyle w:val="ReportTableText"/>
              <w:rPr>
                <w:rFonts w:ascii="Times New Roman" w:hAnsi="Times New Roman"/>
              </w:rPr>
            </w:pPr>
            <w:r w:rsidRPr="002272BD">
              <w:rPr>
                <w:rFonts w:ascii="Times New Roman" w:hAnsi="Times New Roman"/>
              </w:rPr>
              <w:t>10</w:t>
            </w:r>
          </w:p>
        </w:tc>
        <w:tc>
          <w:tcPr>
            <w:tcW w:w="1417" w:type="dxa"/>
            <w:shd w:val="clear" w:color="auto" w:fill="auto"/>
            <w:noWrap/>
            <w:vAlign w:val="bottom"/>
          </w:tcPr>
          <w:p w:rsidR="000D53EA" w:rsidRDefault="00E604FA">
            <w:pPr>
              <w:pStyle w:val="ReportTableText"/>
              <w:rPr>
                <w:rFonts w:ascii="Times New Roman" w:hAnsi="Times New Roman"/>
              </w:rPr>
            </w:pPr>
            <w:r w:rsidRPr="002272BD">
              <w:rPr>
                <w:rFonts w:ascii="Times New Roman" w:hAnsi="Times New Roman"/>
              </w:rPr>
              <w:t>21.9</w:t>
            </w:r>
          </w:p>
        </w:tc>
        <w:tc>
          <w:tcPr>
            <w:tcW w:w="1418" w:type="dxa"/>
            <w:shd w:val="clear" w:color="auto" w:fill="auto"/>
            <w:noWrap/>
            <w:vAlign w:val="bottom"/>
          </w:tcPr>
          <w:p w:rsidR="000D53EA" w:rsidRDefault="00E604FA">
            <w:pPr>
              <w:pStyle w:val="ReportTableText"/>
              <w:rPr>
                <w:rFonts w:ascii="Times New Roman" w:hAnsi="Times New Roman"/>
              </w:rPr>
            </w:pPr>
            <w:r w:rsidRPr="002272BD">
              <w:rPr>
                <w:rFonts w:ascii="Times New Roman" w:hAnsi="Times New Roman"/>
              </w:rPr>
              <w:t>890</w:t>
            </w:r>
          </w:p>
        </w:tc>
        <w:tc>
          <w:tcPr>
            <w:tcW w:w="857" w:type="dxa"/>
            <w:shd w:val="clear" w:color="auto" w:fill="auto"/>
            <w:noWrap/>
            <w:vAlign w:val="bottom"/>
          </w:tcPr>
          <w:p w:rsidR="000D53EA" w:rsidRDefault="00E604FA">
            <w:pPr>
              <w:pStyle w:val="ReportTableText"/>
              <w:rPr>
                <w:rFonts w:ascii="Times New Roman" w:hAnsi="Times New Roman"/>
              </w:rPr>
            </w:pPr>
            <w:r w:rsidRPr="002272BD">
              <w:rPr>
                <w:rFonts w:ascii="Times New Roman" w:hAnsi="Times New Roman"/>
              </w:rPr>
              <w:t>8.90</w:t>
            </w:r>
          </w:p>
        </w:tc>
        <w:tc>
          <w:tcPr>
            <w:tcW w:w="844" w:type="dxa"/>
            <w:shd w:val="clear" w:color="auto" w:fill="auto"/>
            <w:noWrap/>
            <w:vAlign w:val="bottom"/>
          </w:tcPr>
          <w:p w:rsidR="000D53EA" w:rsidRDefault="00E604FA">
            <w:pPr>
              <w:pStyle w:val="ReportTableText"/>
              <w:rPr>
                <w:rFonts w:ascii="Times New Roman" w:hAnsi="Times New Roman"/>
              </w:rPr>
            </w:pPr>
            <w:r w:rsidRPr="002272BD">
              <w:rPr>
                <w:rFonts w:ascii="Times New Roman" w:hAnsi="Times New Roman"/>
              </w:rPr>
              <w:t>4.06</w:t>
            </w:r>
          </w:p>
        </w:tc>
      </w:tr>
      <w:tr w:rsidR="00E604FA" w:rsidRPr="002272BD" w:rsidTr="002272BD">
        <w:trPr>
          <w:trHeight w:val="300"/>
        </w:trPr>
        <w:tc>
          <w:tcPr>
            <w:tcW w:w="2368" w:type="dxa"/>
            <w:shd w:val="clear" w:color="auto" w:fill="auto"/>
            <w:noWrap/>
            <w:vAlign w:val="bottom"/>
          </w:tcPr>
          <w:p w:rsidR="00E604FA" w:rsidRPr="002272BD" w:rsidRDefault="00E604FA" w:rsidP="00A35633">
            <w:pPr>
              <w:pStyle w:val="ReportTableText"/>
              <w:rPr>
                <w:rFonts w:ascii="Times New Roman" w:hAnsi="Times New Roman"/>
              </w:rPr>
            </w:pPr>
            <w:proofErr w:type="spellStart"/>
            <w:r w:rsidRPr="002272BD">
              <w:rPr>
                <w:rFonts w:ascii="Times New Roman" w:hAnsi="Times New Roman"/>
              </w:rPr>
              <w:t>Diammonium</w:t>
            </w:r>
            <w:proofErr w:type="spellEnd"/>
            <w:r w:rsidRPr="002272BD">
              <w:rPr>
                <w:rFonts w:ascii="Times New Roman" w:hAnsi="Times New Roman"/>
              </w:rPr>
              <w:t xml:space="preserve"> phosphate</w:t>
            </w:r>
          </w:p>
        </w:tc>
        <w:tc>
          <w:tcPr>
            <w:tcW w:w="1470" w:type="dxa"/>
            <w:shd w:val="clear" w:color="auto" w:fill="auto"/>
            <w:noWrap/>
            <w:vAlign w:val="bottom"/>
          </w:tcPr>
          <w:p w:rsidR="000D53EA" w:rsidRDefault="00E604FA">
            <w:pPr>
              <w:pStyle w:val="ReportTableText"/>
              <w:rPr>
                <w:rFonts w:ascii="Times New Roman" w:hAnsi="Times New Roman"/>
              </w:rPr>
            </w:pPr>
            <w:r w:rsidRPr="002272BD">
              <w:rPr>
                <w:rFonts w:ascii="Times New Roman" w:hAnsi="Times New Roman"/>
              </w:rPr>
              <w:t>18</w:t>
            </w:r>
          </w:p>
        </w:tc>
        <w:tc>
          <w:tcPr>
            <w:tcW w:w="1417" w:type="dxa"/>
            <w:shd w:val="clear" w:color="auto" w:fill="auto"/>
            <w:noWrap/>
            <w:vAlign w:val="bottom"/>
          </w:tcPr>
          <w:p w:rsidR="000D53EA" w:rsidRDefault="00E604FA">
            <w:pPr>
              <w:pStyle w:val="ReportTableText"/>
              <w:rPr>
                <w:rFonts w:ascii="Times New Roman" w:hAnsi="Times New Roman"/>
              </w:rPr>
            </w:pPr>
            <w:r w:rsidRPr="002272BD">
              <w:rPr>
                <w:rFonts w:ascii="Times New Roman" w:hAnsi="Times New Roman"/>
              </w:rPr>
              <w:t>20</w:t>
            </w:r>
          </w:p>
        </w:tc>
        <w:tc>
          <w:tcPr>
            <w:tcW w:w="1418" w:type="dxa"/>
            <w:shd w:val="clear" w:color="auto" w:fill="auto"/>
            <w:noWrap/>
            <w:vAlign w:val="bottom"/>
          </w:tcPr>
          <w:p w:rsidR="000D53EA" w:rsidRDefault="00E604FA">
            <w:pPr>
              <w:pStyle w:val="ReportTableText"/>
              <w:rPr>
                <w:rFonts w:ascii="Times New Roman" w:hAnsi="Times New Roman"/>
              </w:rPr>
            </w:pPr>
            <w:r w:rsidRPr="002272BD">
              <w:rPr>
                <w:rFonts w:ascii="Times New Roman" w:hAnsi="Times New Roman"/>
              </w:rPr>
              <w:t>880</w:t>
            </w:r>
          </w:p>
        </w:tc>
        <w:tc>
          <w:tcPr>
            <w:tcW w:w="857" w:type="dxa"/>
            <w:shd w:val="clear" w:color="auto" w:fill="auto"/>
            <w:noWrap/>
            <w:vAlign w:val="bottom"/>
          </w:tcPr>
          <w:p w:rsidR="000D53EA" w:rsidRDefault="00E604FA">
            <w:pPr>
              <w:pStyle w:val="ReportTableText"/>
              <w:rPr>
                <w:rFonts w:ascii="Times New Roman" w:hAnsi="Times New Roman"/>
              </w:rPr>
            </w:pPr>
            <w:r w:rsidRPr="002272BD">
              <w:rPr>
                <w:rFonts w:ascii="Times New Roman" w:hAnsi="Times New Roman"/>
              </w:rPr>
              <w:t>4.89</w:t>
            </w:r>
          </w:p>
        </w:tc>
        <w:tc>
          <w:tcPr>
            <w:tcW w:w="844" w:type="dxa"/>
            <w:shd w:val="clear" w:color="auto" w:fill="auto"/>
            <w:noWrap/>
            <w:vAlign w:val="bottom"/>
          </w:tcPr>
          <w:p w:rsidR="000D53EA" w:rsidRDefault="00E604FA">
            <w:pPr>
              <w:pStyle w:val="ReportTableText"/>
              <w:rPr>
                <w:rFonts w:ascii="Times New Roman" w:hAnsi="Times New Roman"/>
              </w:rPr>
            </w:pPr>
            <w:r w:rsidRPr="002272BD">
              <w:rPr>
                <w:rFonts w:ascii="Times New Roman" w:hAnsi="Times New Roman"/>
              </w:rPr>
              <w:t>4.40</w:t>
            </w:r>
          </w:p>
        </w:tc>
      </w:tr>
      <w:tr w:rsidR="00E604FA" w:rsidRPr="002272BD" w:rsidTr="002272BD">
        <w:trPr>
          <w:trHeight w:val="300"/>
        </w:trPr>
        <w:tc>
          <w:tcPr>
            <w:tcW w:w="2368" w:type="dxa"/>
            <w:shd w:val="clear" w:color="auto" w:fill="auto"/>
            <w:noWrap/>
            <w:vAlign w:val="bottom"/>
          </w:tcPr>
          <w:p w:rsidR="00E604FA" w:rsidRPr="002272BD" w:rsidRDefault="00E604FA" w:rsidP="00A35633">
            <w:pPr>
              <w:pStyle w:val="ReportTableText"/>
              <w:rPr>
                <w:rFonts w:ascii="Times New Roman" w:hAnsi="Times New Roman"/>
              </w:rPr>
            </w:pPr>
            <w:r w:rsidRPr="002272BD">
              <w:rPr>
                <w:rFonts w:ascii="Times New Roman" w:hAnsi="Times New Roman"/>
              </w:rPr>
              <w:t>Urea</w:t>
            </w:r>
          </w:p>
        </w:tc>
        <w:tc>
          <w:tcPr>
            <w:tcW w:w="1470" w:type="dxa"/>
            <w:shd w:val="clear" w:color="auto" w:fill="auto"/>
            <w:noWrap/>
            <w:vAlign w:val="bottom"/>
          </w:tcPr>
          <w:p w:rsidR="000D53EA" w:rsidRDefault="00E604FA">
            <w:pPr>
              <w:pStyle w:val="ReportTableText"/>
              <w:rPr>
                <w:rFonts w:ascii="Times New Roman" w:hAnsi="Times New Roman"/>
              </w:rPr>
            </w:pPr>
            <w:r w:rsidRPr="002272BD">
              <w:rPr>
                <w:rFonts w:ascii="Times New Roman" w:hAnsi="Times New Roman"/>
              </w:rPr>
              <w:t>46</w:t>
            </w:r>
          </w:p>
        </w:tc>
        <w:tc>
          <w:tcPr>
            <w:tcW w:w="1417" w:type="dxa"/>
            <w:shd w:val="clear" w:color="auto" w:fill="auto"/>
            <w:noWrap/>
            <w:vAlign w:val="bottom"/>
          </w:tcPr>
          <w:p w:rsidR="000D53EA" w:rsidRDefault="00E604FA">
            <w:pPr>
              <w:pStyle w:val="ReportTableText"/>
              <w:rPr>
                <w:rFonts w:ascii="Times New Roman" w:hAnsi="Times New Roman"/>
              </w:rPr>
            </w:pPr>
            <w:r w:rsidRPr="002272BD">
              <w:rPr>
                <w:rFonts w:ascii="Times New Roman" w:hAnsi="Times New Roman"/>
              </w:rPr>
              <w:t>0</w:t>
            </w:r>
          </w:p>
        </w:tc>
        <w:tc>
          <w:tcPr>
            <w:tcW w:w="1418" w:type="dxa"/>
            <w:shd w:val="clear" w:color="auto" w:fill="auto"/>
            <w:noWrap/>
            <w:vAlign w:val="bottom"/>
          </w:tcPr>
          <w:p w:rsidR="000D53EA" w:rsidRDefault="00E604FA">
            <w:pPr>
              <w:pStyle w:val="ReportTableText"/>
              <w:rPr>
                <w:rFonts w:ascii="Times New Roman" w:hAnsi="Times New Roman"/>
              </w:rPr>
            </w:pPr>
            <w:r w:rsidRPr="002272BD">
              <w:rPr>
                <w:rFonts w:ascii="Times New Roman" w:hAnsi="Times New Roman"/>
              </w:rPr>
              <w:t>565</w:t>
            </w:r>
          </w:p>
        </w:tc>
        <w:tc>
          <w:tcPr>
            <w:tcW w:w="857" w:type="dxa"/>
            <w:shd w:val="clear" w:color="auto" w:fill="auto"/>
            <w:noWrap/>
            <w:vAlign w:val="bottom"/>
          </w:tcPr>
          <w:p w:rsidR="000D53EA" w:rsidRDefault="00E604FA">
            <w:pPr>
              <w:pStyle w:val="ReportTableText"/>
              <w:rPr>
                <w:rFonts w:ascii="Times New Roman" w:hAnsi="Times New Roman"/>
              </w:rPr>
            </w:pPr>
            <w:r w:rsidRPr="002272BD">
              <w:rPr>
                <w:rFonts w:ascii="Times New Roman" w:hAnsi="Times New Roman"/>
              </w:rPr>
              <w:t>1.23</w:t>
            </w:r>
          </w:p>
        </w:tc>
        <w:tc>
          <w:tcPr>
            <w:tcW w:w="844" w:type="dxa"/>
            <w:shd w:val="clear" w:color="auto" w:fill="auto"/>
            <w:noWrap/>
            <w:vAlign w:val="bottom"/>
          </w:tcPr>
          <w:p w:rsidR="000D53EA" w:rsidRDefault="00E604FA">
            <w:pPr>
              <w:pStyle w:val="ReportTableText"/>
              <w:rPr>
                <w:rFonts w:ascii="Times New Roman" w:hAnsi="Times New Roman"/>
              </w:rPr>
            </w:pPr>
            <w:r w:rsidRPr="002272BD">
              <w:rPr>
                <w:rFonts w:ascii="Times New Roman" w:hAnsi="Times New Roman"/>
              </w:rPr>
              <w:t>-</w:t>
            </w:r>
          </w:p>
        </w:tc>
      </w:tr>
      <w:tr w:rsidR="00E604FA" w:rsidRPr="002272BD" w:rsidTr="002272BD">
        <w:trPr>
          <w:trHeight w:val="300"/>
        </w:trPr>
        <w:tc>
          <w:tcPr>
            <w:tcW w:w="2368" w:type="dxa"/>
            <w:shd w:val="clear" w:color="auto" w:fill="auto"/>
            <w:noWrap/>
            <w:vAlign w:val="bottom"/>
          </w:tcPr>
          <w:p w:rsidR="00E604FA" w:rsidRPr="002272BD" w:rsidRDefault="00E604FA" w:rsidP="00A35633">
            <w:pPr>
              <w:pStyle w:val="ReportTableText"/>
              <w:rPr>
                <w:rFonts w:ascii="Times New Roman" w:hAnsi="Times New Roman"/>
              </w:rPr>
            </w:pPr>
            <w:r w:rsidRPr="002272BD">
              <w:rPr>
                <w:rFonts w:ascii="Times New Roman" w:hAnsi="Times New Roman"/>
              </w:rPr>
              <w:t>Superphosphate</w:t>
            </w:r>
          </w:p>
        </w:tc>
        <w:tc>
          <w:tcPr>
            <w:tcW w:w="1470" w:type="dxa"/>
            <w:shd w:val="clear" w:color="auto" w:fill="auto"/>
            <w:noWrap/>
            <w:vAlign w:val="bottom"/>
          </w:tcPr>
          <w:p w:rsidR="000D53EA" w:rsidRDefault="00E604FA">
            <w:pPr>
              <w:pStyle w:val="ReportTableText"/>
              <w:rPr>
                <w:rFonts w:ascii="Times New Roman" w:hAnsi="Times New Roman"/>
              </w:rPr>
            </w:pPr>
            <w:r w:rsidRPr="002272BD">
              <w:rPr>
                <w:rFonts w:ascii="Times New Roman" w:hAnsi="Times New Roman"/>
              </w:rPr>
              <w:t>0</w:t>
            </w:r>
          </w:p>
        </w:tc>
        <w:tc>
          <w:tcPr>
            <w:tcW w:w="1417" w:type="dxa"/>
            <w:shd w:val="clear" w:color="auto" w:fill="auto"/>
            <w:noWrap/>
            <w:vAlign w:val="bottom"/>
          </w:tcPr>
          <w:p w:rsidR="000D53EA" w:rsidRDefault="00E604FA">
            <w:pPr>
              <w:pStyle w:val="ReportTableText"/>
              <w:rPr>
                <w:rFonts w:ascii="Times New Roman" w:hAnsi="Times New Roman"/>
              </w:rPr>
            </w:pPr>
            <w:r w:rsidRPr="002272BD">
              <w:rPr>
                <w:rFonts w:ascii="Times New Roman" w:hAnsi="Times New Roman"/>
              </w:rPr>
              <w:t>8.8</w:t>
            </w:r>
          </w:p>
        </w:tc>
        <w:tc>
          <w:tcPr>
            <w:tcW w:w="1418" w:type="dxa"/>
            <w:shd w:val="clear" w:color="auto" w:fill="auto"/>
            <w:noWrap/>
            <w:vAlign w:val="bottom"/>
          </w:tcPr>
          <w:p w:rsidR="000D53EA" w:rsidRDefault="00E604FA">
            <w:pPr>
              <w:pStyle w:val="ReportTableText"/>
              <w:rPr>
                <w:rFonts w:ascii="Times New Roman" w:hAnsi="Times New Roman"/>
              </w:rPr>
            </w:pPr>
            <w:r w:rsidRPr="002272BD">
              <w:rPr>
                <w:rFonts w:ascii="Times New Roman" w:hAnsi="Times New Roman"/>
              </w:rPr>
              <w:t>440</w:t>
            </w:r>
          </w:p>
        </w:tc>
        <w:tc>
          <w:tcPr>
            <w:tcW w:w="857" w:type="dxa"/>
            <w:shd w:val="clear" w:color="auto" w:fill="auto"/>
            <w:noWrap/>
            <w:vAlign w:val="bottom"/>
          </w:tcPr>
          <w:p w:rsidR="000D53EA" w:rsidRDefault="00E604FA">
            <w:pPr>
              <w:pStyle w:val="ReportTableText"/>
              <w:rPr>
                <w:rFonts w:ascii="Times New Roman" w:hAnsi="Times New Roman"/>
              </w:rPr>
            </w:pPr>
            <w:r w:rsidRPr="002272BD">
              <w:rPr>
                <w:rFonts w:ascii="Times New Roman" w:hAnsi="Times New Roman"/>
              </w:rPr>
              <w:t>-</w:t>
            </w:r>
          </w:p>
        </w:tc>
        <w:tc>
          <w:tcPr>
            <w:tcW w:w="844" w:type="dxa"/>
            <w:shd w:val="clear" w:color="auto" w:fill="auto"/>
            <w:noWrap/>
            <w:vAlign w:val="bottom"/>
          </w:tcPr>
          <w:p w:rsidR="000D53EA" w:rsidRDefault="00E604FA">
            <w:pPr>
              <w:pStyle w:val="ReportTableText"/>
              <w:rPr>
                <w:rFonts w:ascii="Times New Roman" w:hAnsi="Times New Roman"/>
              </w:rPr>
            </w:pPr>
            <w:r w:rsidRPr="002272BD">
              <w:rPr>
                <w:rFonts w:ascii="Times New Roman" w:hAnsi="Times New Roman"/>
              </w:rPr>
              <w:t>5.00</w:t>
            </w:r>
          </w:p>
        </w:tc>
      </w:tr>
      <w:tr w:rsidR="00E604FA" w:rsidRPr="002272BD" w:rsidTr="002272BD">
        <w:trPr>
          <w:trHeight w:val="300"/>
        </w:trPr>
        <w:tc>
          <w:tcPr>
            <w:tcW w:w="2368" w:type="dxa"/>
            <w:shd w:val="clear" w:color="auto" w:fill="auto"/>
            <w:noWrap/>
            <w:vAlign w:val="bottom"/>
          </w:tcPr>
          <w:p w:rsidR="00E604FA" w:rsidRPr="002272BD" w:rsidRDefault="00E604FA" w:rsidP="00A35633">
            <w:pPr>
              <w:pStyle w:val="ReportTableText"/>
              <w:rPr>
                <w:rFonts w:ascii="Times New Roman" w:hAnsi="Times New Roman"/>
              </w:rPr>
            </w:pPr>
            <w:r w:rsidRPr="002272BD">
              <w:rPr>
                <w:rFonts w:ascii="Times New Roman" w:hAnsi="Times New Roman"/>
              </w:rPr>
              <w:t>Triple Superphosphate</w:t>
            </w:r>
          </w:p>
        </w:tc>
        <w:tc>
          <w:tcPr>
            <w:tcW w:w="1470" w:type="dxa"/>
            <w:shd w:val="clear" w:color="auto" w:fill="auto"/>
            <w:noWrap/>
            <w:vAlign w:val="bottom"/>
          </w:tcPr>
          <w:p w:rsidR="000D53EA" w:rsidRDefault="00E604FA">
            <w:pPr>
              <w:pStyle w:val="ReportTableText"/>
              <w:rPr>
                <w:rFonts w:ascii="Times New Roman" w:hAnsi="Times New Roman"/>
              </w:rPr>
            </w:pPr>
            <w:r w:rsidRPr="002272BD">
              <w:rPr>
                <w:rFonts w:ascii="Times New Roman" w:hAnsi="Times New Roman"/>
              </w:rPr>
              <w:t>0</w:t>
            </w:r>
          </w:p>
        </w:tc>
        <w:tc>
          <w:tcPr>
            <w:tcW w:w="1417" w:type="dxa"/>
            <w:shd w:val="clear" w:color="auto" w:fill="auto"/>
            <w:noWrap/>
            <w:vAlign w:val="bottom"/>
          </w:tcPr>
          <w:p w:rsidR="000D53EA" w:rsidRDefault="00E604FA">
            <w:pPr>
              <w:pStyle w:val="ReportTableText"/>
              <w:rPr>
                <w:rFonts w:ascii="Times New Roman" w:hAnsi="Times New Roman"/>
              </w:rPr>
            </w:pPr>
            <w:r w:rsidRPr="002272BD">
              <w:rPr>
                <w:rFonts w:ascii="Times New Roman" w:hAnsi="Times New Roman"/>
              </w:rPr>
              <w:t>20.7</w:t>
            </w:r>
          </w:p>
        </w:tc>
        <w:tc>
          <w:tcPr>
            <w:tcW w:w="1418" w:type="dxa"/>
            <w:shd w:val="clear" w:color="auto" w:fill="auto"/>
            <w:noWrap/>
            <w:vAlign w:val="bottom"/>
          </w:tcPr>
          <w:p w:rsidR="000D53EA" w:rsidRDefault="00E604FA">
            <w:pPr>
              <w:pStyle w:val="ReportTableText"/>
              <w:rPr>
                <w:rFonts w:ascii="Times New Roman" w:hAnsi="Times New Roman"/>
              </w:rPr>
            </w:pPr>
            <w:r w:rsidRPr="002272BD">
              <w:rPr>
                <w:rFonts w:ascii="Times New Roman" w:hAnsi="Times New Roman"/>
              </w:rPr>
              <w:t>870</w:t>
            </w:r>
          </w:p>
        </w:tc>
        <w:tc>
          <w:tcPr>
            <w:tcW w:w="857" w:type="dxa"/>
            <w:shd w:val="clear" w:color="auto" w:fill="auto"/>
            <w:noWrap/>
            <w:vAlign w:val="bottom"/>
          </w:tcPr>
          <w:p w:rsidR="000D53EA" w:rsidRDefault="00E604FA">
            <w:pPr>
              <w:pStyle w:val="ReportTableText"/>
              <w:rPr>
                <w:rFonts w:ascii="Times New Roman" w:hAnsi="Times New Roman"/>
              </w:rPr>
            </w:pPr>
            <w:r w:rsidRPr="002272BD">
              <w:rPr>
                <w:rFonts w:ascii="Times New Roman" w:hAnsi="Times New Roman"/>
              </w:rPr>
              <w:t>-</w:t>
            </w:r>
          </w:p>
        </w:tc>
        <w:tc>
          <w:tcPr>
            <w:tcW w:w="844" w:type="dxa"/>
            <w:shd w:val="clear" w:color="auto" w:fill="auto"/>
            <w:noWrap/>
            <w:vAlign w:val="bottom"/>
          </w:tcPr>
          <w:p w:rsidR="000D53EA" w:rsidRDefault="00E604FA">
            <w:pPr>
              <w:pStyle w:val="ReportTableText"/>
              <w:rPr>
                <w:rFonts w:ascii="Times New Roman" w:hAnsi="Times New Roman"/>
              </w:rPr>
            </w:pPr>
            <w:r w:rsidRPr="002272BD">
              <w:rPr>
                <w:rFonts w:ascii="Times New Roman" w:hAnsi="Times New Roman"/>
              </w:rPr>
              <w:t>4.20</w:t>
            </w:r>
          </w:p>
        </w:tc>
      </w:tr>
    </w:tbl>
    <w:p w:rsidR="000D53EA" w:rsidRDefault="00E604FA">
      <w:pPr>
        <w:pStyle w:val="ReportBodyText"/>
        <w:spacing w:before="0"/>
        <w:jc w:val="left"/>
        <w:rPr>
          <w:rFonts w:ascii="Times New Roman" w:hAnsi="Times New Roman" w:cs="Times New Roman"/>
          <w:sz w:val="16"/>
          <w:szCs w:val="16"/>
        </w:rPr>
      </w:pPr>
      <w:proofErr w:type="gramStart"/>
      <w:r w:rsidRPr="002272BD">
        <w:rPr>
          <w:rFonts w:ascii="Times New Roman" w:hAnsi="Times New Roman" w:cs="Times New Roman"/>
          <w:sz w:val="16"/>
          <w:szCs w:val="16"/>
        </w:rPr>
        <w:t>Notes</w:t>
      </w:r>
      <w:r w:rsidR="00ED2183">
        <w:rPr>
          <w:rFonts w:ascii="Times New Roman" w:hAnsi="Times New Roman" w:cs="Times New Roman"/>
          <w:sz w:val="16"/>
          <w:szCs w:val="16"/>
        </w:rPr>
        <w:t xml:space="preserve"> </w:t>
      </w:r>
      <w:r w:rsidRPr="002272BD">
        <w:rPr>
          <w:rFonts w:ascii="Times New Roman" w:hAnsi="Times New Roman" w:cs="Times New Roman"/>
          <w:sz w:val="16"/>
          <w:szCs w:val="16"/>
        </w:rPr>
        <w:t>1) Prices from Landmark, Orange, not including delivery.</w:t>
      </w:r>
      <w:proofErr w:type="gramEnd"/>
    </w:p>
    <w:p w:rsidR="000D53EA" w:rsidRDefault="002272BD">
      <w:pPr>
        <w:jc w:val="left"/>
      </w:pPr>
      <w:r>
        <w:t xml:space="preserve">The nitrogen and phosphorus content of </w:t>
      </w:r>
      <w:proofErr w:type="spellStart"/>
      <w:r>
        <w:t>biosolids</w:t>
      </w:r>
      <w:proofErr w:type="spellEnd"/>
      <w:r>
        <w:t xml:space="preserve"> varies </w:t>
      </w:r>
      <w:r w:rsidR="00170412">
        <w:t>widely</w:t>
      </w:r>
      <w:r>
        <w:t xml:space="preserve"> from </w:t>
      </w:r>
      <w:r w:rsidR="00ED2183">
        <w:t xml:space="preserve">treatment </w:t>
      </w:r>
      <w:r>
        <w:t xml:space="preserve">plant to </w:t>
      </w:r>
      <w:r w:rsidR="00ED2183">
        <w:t xml:space="preserve">treatment </w:t>
      </w:r>
      <w:r>
        <w:t>plant. An estimate of typical average values would be about 4% nitrogen and 2.5</w:t>
      </w:r>
      <w:r w:rsidR="00E604FA">
        <w:t xml:space="preserve">% phosphorus. </w:t>
      </w:r>
      <w:r w:rsidR="007471F4">
        <w:t>Table 7</w:t>
      </w:r>
      <w:r>
        <w:t xml:space="preserve"> shows the potential nutrient value of typical </w:t>
      </w:r>
      <w:proofErr w:type="spellStart"/>
      <w:r>
        <w:t>biosolids</w:t>
      </w:r>
      <w:proofErr w:type="spellEnd"/>
      <w:r w:rsidR="00E604FA">
        <w:t xml:space="preserve"> based on current price of inorganic fertilisers.</w:t>
      </w:r>
    </w:p>
    <w:p w:rsidR="000D53EA" w:rsidRDefault="00E604FA">
      <w:pPr>
        <w:pStyle w:val="TableHeading"/>
        <w:jc w:val="left"/>
      </w:pPr>
      <w:bookmarkStart w:id="41" w:name="_Ref270501224"/>
      <w:r>
        <w:t xml:space="preserve">Table </w:t>
      </w:r>
      <w:bookmarkEnd w:id="41"/>
      <w:r w:rsidR="007471F4">
        <w:t>7</w:t>
      </w:r>
      <w:r>
        <w:t xml:space="preserve"> - Nutrient value </w:t>
      </w:r>
      <w:r w:rsidR="002272BD">
        <w:t xml:space="preserve">typical </w:t>
      </w:r>
      <w:proofErr w:type="spellStart"/>
      <w:r w:rsidR="002272BD">
        <w:t>biosolids</w:t>
      </w:r>
      <w:proofErr w:type="spellEnd"/>
      <w:r>
        <w:t xml:space="preserve"> (per dry tonne)</w:t>
      </w:r>
    </w:p>
    <w:tbl>
      <w:tblPr>
        <w:tblW w:w="7251"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0"/>
        <w:gridCol w:w="960"/>
        <w:gridCol w:w="1267"/>
        <w:gridCol w:w="1258"/>
        <w:gridCol w:w="1246"/>
      </w:tblGrid>
      <w:tr w:rsidR="00E604FA" w:rsidRPr="002272BD" w:rsidTr="002272BD">
        <w:trPr>
          <w:trHeight w:val="255"/>
        </w:trPr>
        <w:tc>
          <w:tcPr>
            <w:tcW w:w="2520" w:type="dxa"/>
            <w:shd w:val="clear" w:color="auto" w:fill="auto"/>
            <w:noWrap/>
            <w:vAlign w:val="bottom"/>
          </w:tcPr>
          <w:p w:rsidR="00E604FA" w:rsidRPr="002272BD" w:rsidRDefault="00E604FA" w:rsidP="00A35633">
            <w:pPr>
              <w:pStyle w:val="ReportTableHeading"/>
              <w:rPr>
                <w:rFonts w:ascii="Times New Roman" w:hAnsi="Times New Roman" w:cs="Times New Roman"/>
                <w:color w:val="auto"/>
              </w:rPr>
            </w:pPr>
          </w:p>
        </w:tc>
        <w:tc>
          <w:tcPr>
            <w:tcW w:w="960" w:type="dxa"/>
            <w:shd w:val="clear" w:color="auto" w:fill="auto"/>
            <w:noWrap/>
            <w:vAlign w:val="bottom"/>
          </w:tcPr>
          <w:p w:rsidR="000D53EA" w:rsidRDefault="00E604FA">
            <w:pPr>
              <w:pStyle w:val="ReportTableHeading"/>
              <w:rPr>
                <w:rFonts w:ascii="Times New Roman" w:hAnsi="Times New Roman" w:cs="Times New Roman"/>
                <w:color w:val="auto"/>
              </w:rPr>
            </w:pPr>
            <w:r w:rsidRPr="002272BD">
              <w:rPr>
                <w:rFonts w:ascii="Times New Roman" w:hAnsi="Times New Roman" w:cs="Times New Roman"/>
                <w:color w:val="auto"/>
              </w:rPr>
              <w:t>Nitrogen</w:t>
            </w:r>
          </w:p>
        </w:tc>
        <w:tc>
          <w:tcPr>
            <w:tcW w:w="1267" w:type="dxa"/>
            <w:shd w:val="clear" w:color="auto" w:fill="auto"/>
            <w:noWrap/>
            <w:vAlign w:val="bottom"/>
          </w:tcPr>
          <w:p w:rsidR="000D53EA" w:rsidRDefault="00E604FA">
            <w:pPr>
              <w:pStyle w:val="ReportTableHeading"/>
              <w:rPr>
                <w:rFonts w:ascii="Times New Roman" w:hAnsi="Times New Roman" w:cs="Times New Roman"/>
                <w:color w:val="auto"/>
              </w:rPr>
            </w:pPr>
            <w:r w:rsidRPr="002272BD">
              <w:rPr>
                <w:rFonts w:ascii="Times New Roman" w:hAnsi="Times New Roman" w:cs="Times New Roman"/>
                <w:color w:val="auto"/>
              </w:rPr>
              <w:t>Phosphorus</w:t>
            </w:r>
          </w:p>
        </w:tc>
        <w:tc>
          <w:tcPr>
            <w:tcW w:w="1258" w:type="dxa"/>
            <w:shd w:val="clear" w:color="auto" w:fill="auto"/>
          </w:tcPr>
          <w:p w:rsidR="000D53EA" w:rsidRDefault="00E604FA">
            <w:pPr>
              <w:pStyle w:val="ReportTableHeading"/>
              <w:rPr>
                <w:rFonts w:ascii="Times New Roman" w:hAnsi="Times New Roman" w:cs="Times New Roman"/>
                <w:color w:val="auto"/>
                <w:vertAlign w:val="superscript"/>
              </w:rPr>
            </w:pPr>
            <w:r w:rsidRPr="002272BD">
              <w:rPr>
                <w:rFonts w:ascii="Times New Roman" w:hAnsi="Times New Roman" w:cs="Times New Roman"/>
                <w:color w:val="auto"/>
              </w:rPr>
              <w:t>P Value $/tonne</w:t>
            </w:r>
            <w:r w:rsidRPr="002272BD">
              <w:rPr>
                <w:rFonts w:ascii="Times New Roman" w:hAnsi="Times New Roman" w:cs="Times New Roman"/>
                <w:color w:val="auto"/>
                <w:vertAlign w:val="superscript"/>
              </w:rPr>
              <w:t>2</w:t>
            </w:r>
          </w:p>
        </w:tc>
        <w:tc>
          <w:tcPr>
            <w:tcW w:w="1246" w:type="dxa"/>
            <w:shd w:val="clear" w:color="auto" w:fill="auto"/>
          </w:tcPr>
          <w:p w:rsidR="000D53EA" w:rsidRDefault="00E604FA">
            <w:pPr>
              <w:pStyle w:val="ReportTableHeading"/>
              <w:rPr>
                <w:rFonts w:ascii="Times New Roman" w:hAnsi="Times New Roman" w:cs="Times New Roman"/>
                <w:color w:val="auto"/>
                <w:vertAlign w:val="superscript"/>
              </w:rPr>
            </w:pPr>
            <w:r w:rsidRPr="002272BD">
              <w:rPr>
                <w:rFonts w:ascii="Times New Roman" w:hAnsi="Times New Roman" w:cs="Times New Roman"/>
                <w:color w:val="auto"/>
              </w:rPr>
              <w:t>N Value $/tonne</w:t>
            </w:r>
            <w:r w:rsidRPr="002272BD">
              <w:rPr>
                <w:rFonts w:ascii="Times New Roman" w:hAnsi="Times New Roman" w:cs="Times New Roman"/>
                <w:color w:val="auto"/>
                <w:vertAlign w:val="superscript"/>
              </w:rPr>
              <w:t>3</w:t>
            </w:r>
          </w:p>
        </w:tc>
      </w:tr>
      <w:tr w:rsidR="00E604FA" w:rsidRPr="002272BD" w:rsidTr="002272BD">
        <w:trPr>
          <w:trHeight w:val="255"/>
        </w:trPr>
        <w:tc>
          <w:tcPr>
            <w:tcW w:w="2520" w:type="dxa"/>
            <w:shd w:val="clear" w:color="auto" w:fill="auto"/>
            <w:noWrap/>
            <w:vAlign w:val="bottom"/>
          </w:tcPr>
          <w:p w:rsidR="00E604FA" w:rsidRPr="002272BD" w:rsidRDefault="002272BD" w:rsidP="00A35633">
            <w:pPr>
              <w:pStyle w:val="ReportTableText"/>
              <w:rPr>
                <w:rFonts w:ascii="Times New Roman" w:hAnsi="Times New Roman"/>
              </w:rPr>
            </w:pPr>
            <w:r>
              <w:rPr>
                <w:rFonts w:ascii="Times New Roman" w:hAnsi="Times New Roman"/>
              </w:rPr>
              <w:t xml:space="preserve">Typical </w:t>
            </w:r>
            <w:proofErr w:type="spellStart"/>
            <w:r>
              <w:rPr>
                <w:rFonts w:ascii="Times New Roman" w:hAnsi="Times New Roman"/>
              </w:rPr>
              <w:t>biosolids</w:t>
            </w:r>
            <w:proofErr w:type="spellEnd"/>
            <w:r>
              <w:rPr>
                <w:rFonts w:ascii="Times New Roman" w:hAnsi="Times New Roman"/>
              </w:rPr>
              <w:t xml:space="preserve"> analysis</w:t>
            </w:r>
          </w:p>
        </w:tc>
        <w:tc>
          <w:tcPr>
            <w:tcW w:w="960" w:type="dxa"/>
            <w:shd w:val="clear" w:color="auto" w:fill="auto"/>
            <w:noWrap/>
            <w:vAlign w:val="bottom"/>
          </w:tcPr>
          <w:p w:rsidR="000D53EA" w:rsidRDefault="002272BD">
            <w:pPr>
              <w:pStyle w:val="ReportTableText"/>
              <w:rPr>
                <w:rFonts w:ascii="Times New Roman" w:hAnsi="Times New Roman"/>
              </w:rPr>
            </w:pPr>
            <w:r>
              <w:rPr>
                <w:rFonts w:ascii="Times New Roman" w:hAnsi="Times New Roman"/>
              </w:rPr>
              <w:t>4%</w:t>
            </w:r>
          </w:p>
        </w:tc>
        <w:tc>
          <w:tcPr>
            <w:tcW w:w="1267" w:type="dxa"/>
            <w:shd w:val="clear" w:color="auto" w:fill="auto"/>
            <w:noWrap/>
            <w:vAlign w:val="bottom"/>
          </w:tcPr>
          <w:p w:rsidR="000D53EA" w:rsidRDefault="002272BD">
            <w:pPr>
              <w:pStyle w:val="ReportTableText"/>
              <w:rPr>
                <w:rFonts w:ascii="Times New Roman" w:hAnsi="Times New Roman"/>
              </w:rPr>
            </w:pPr>
            <w:r>
              <w:rPr>
                <w:rFonts w:ascii="Times New Roman" w:hAnsi="Times New Roman"/>
              </w:rPr>
              <w:t>2.5%</w:t>
            </w:r>
          </w:p>
        </w:tc>
        <w:tc>
          <w:tcPr>
            <w:tcW w:w="1258" w:type="dxa"/>
            <w:shd w:val="clear" w:color="auto" w:fill="auto"/>
          </w:tcPr>
          <w:p w:rsidR="000D53EA" w:rsidRDefault="002272BD">
            <w:pPr>
              <w:pStyle w:val="ReportTableText"/>
              <w:rPr>
                <w:rFonts w:ascii="Times New Roman" w:hAnsi="Times New Roman"/>
              </w:rPr>
            </w:pPr>
            <w:r>
              <w:rPr>
                <w:rFonts w:ascii="Times New Roman" w:hAnsi="Times New Roman"/>
              </w:rPr>
              <w:t>102</w:t>
            </w:r>
          </w:p>
        </w:tc>
        <w:tc>
          <w:tcPr>
            <w:tcW w:w="1246" w:type="dxa"/>
            <w:shd w:val="clear" w:color="auto" w:fill="auto"/>
            <w:vAlign w:val="bottom"/>
          </w:tcPr>
          <w:p w:rsidR="000D53EA" w:rsidRDefault="002272BD">
            <w:pPr>
              <w:pStyle w:val="ReportTableText"/>
              <w:rPr>
                <w:rFonts w:ascii="Times New Roman" w:hAnsi="Times New Roman"/>
              </w:rPr>
            </w:pPr>
            <w:r>
              <w:rPr>
                <w:rFonts w:ascii="Times New Roman" w:hAnsi="Times New Roman"/>
              </w:rPr>
              <w:t>49</w:t>
            </w:r>
          </w:p>
        </w:tc>
      </w:tr>
    </w:tbl>
    <w:p w:rsidR="000D53EA" w:rsidRDefault="00E604FA">
      <w:pPr>
        <w:pStyle w:val="ReportBodyText"/>
        <w:spacing w:before="0" w:after="0" w:line="240" w:lineRule="auto"/>
        <w:jc w:val="left"/>
        <w:rPr>
          <w:rFonts w:ascii="Times New Roman" w:hAnsi="Times New Roman" w:cs="Times New Roman"/>
          <w:sz w:val="16"/>
          <w:szCs w:val="16"/>
        </w:rPr>
      </w:pPr>
      <w:r w:rsidRPr="002272BD">
        <w:rPr>
          <w:rFonts w:ascii="Times New Roman" w:hAnsi="Times New Roman" w:cs="Times New Roman"/>
          <w:sz w:val="16"/>
          <w:szCs w:val="16"/>
        </w:rPr>
        <w:t>Notes</w:t>
      </w:r>
      <w:r w:rsidRPr="002272BD">
        <w:rPr>
          <w:rFonts w:ascii="Times New Roman" w:hAnsi="Times New Roman" w:cs="Times New Roman"/>
          <w:sz w:val="16"/>
          <w:szCs w:val="16"/>
        </w:rPr>
        <w:tab/>
        <w:t>1</w:t>
      </w:r>
      <w:proofErr w:type="gramStart"/>
      <w:r w:rsidRPr="002272BD">
        <w:rPr>
          <w:rFonts w:ascii="Times New Roman" w:hAnsi="Times New Roman" w:cs="Times New Roman"/>
          <w:sz w:val="16"/>
          <w:szCs w:val="16"/>
        </w:rPr>
        <w:t>)  Prices</w:t>
      </w:r>
      <w:proofErr w:type="gramEnd"/>
      <w:r w:rsidRPr="002272BD">
        <w:rPr>
          <w:rFonts w:ascii="Times New Roman" w:hAnsi="Times New Roman" w:cs="Times New Roman"/>
          <w:sz w:val="16"/>
          <w:szCs w:val="16"/>
        </w:rPr>
        <w:t xml:space="preserve"> from Landmark, Orange, not including delivery.</w:t>
      </w:r>
    </w:p>
    <w:p w:rsidR="000D53EA" w:rsidRDefault="00E604FA">
      <w:pPr>
        <w:pStyle w:val="ReportBodyText"/>
        <w:spacing w:before="0" w:after="0" w:line="240" w:lineRule="auto"/>
        <w:jc w:val="left"/>
        <w:rPr>
          <w:rFonts w:ascii="Times New Roman" w:hAnsi="Times New Roman" w:cs="Times New Roman"/>
          <w:sz w:val="16"/>
          <w:szCs w:val="16"/>
        </w:rPr>
      </w:pPr>
      <w:r w:rsidRPr="002272BD">
        <w:rPr>
          <w:rFonts w:ascii="Times New Roman" w:hAnsi="Times New Roman" w:cs="Times New Roman"/>
          <w:sz w:val="16"/>
          <w:szCs w:val="16"/>
        </w:rPr>
        <w:tab/>
        <w:t>2)  Based on mono ammonium phosphate, which is the most cost effective source of phosphorus</w:t>
      </w:r>
    </w:p>
    <w:p w:rsidR="000D53EA" w:rsidRDefault="00E604FA">
      <w:pPr>
        <w:pStyle w:val="ReportBodyText"/>
        <w:spacing w:before="0" w:after="0" w:line="240" w:lineRule="auto"/>
        <w:jc w:val="left"/>
        <w:rPr>
          <w:rFonts w:ascii="Times New Roman" w:hAnsi="Times New Roman" w:cs="Times New Roman"/>
          <w:sz w:val="16"/>
          <w:szCs w:val="16"/>
        </w:rPr>
      </w:pPr>
      <w:r w:rsidRPr="002272BD">
        <w:rPr>
          <w:rFonts w:ascii="Times New Roman" w:hAnsi="Times New Roman" w:cs="Times New Roman"/>
          <w:sz w:val="16"/>
          <w:szCs w:val="16"/>
        </w:rPr>
        <w:tab/>
        <w:t>3)  Based on urea, which is the most cost effective source of nitrogen</w:t>
      </w:r>
    </w:p>
    <w:p w:rsidR="000D53EA" w:rsidRDefault="00432C80">
      <w:pPr>
        <w:jc w:val="left"/>
      </w:pPr>
      <w:proofErr w:type="spellStart"/>
      <w:r>
        <w:t>Biosolids</w:t>
      </w:r>
      <w:proofErr w:type="spellEnd"/>
      <w:r>
        <w:t xml:space="preserve"> has a current potential nutrient value of around $100 per tonne of dry </w:t>
      </w:r>
      <w:proofErr w:type="spellStart"/>
      <w:r>
        <w:t>biosolids</w:t>
      </w:r>
      <w:proofErr w:type="spellEnd"/>
      <w:r>
        <w:t xml:space="preserve">.  </w:t>
      </w:r>
      <w:r w:rsidR="002272BD">
        <w:t xml:space="preserve">With approximately 300,000 tonnes of </w:t>
      </w:r>
      <w:proofErr w:type="spellStart"/>
      <w:r w:rsidR="002272BD">
        <w:t>biosolids</w:t>
      </w:r>
      <w:proofErr w:type="spellEnd"/>
      <w:r w:rsidR="002272BD">
        <w:t xml:space="preserve"> under management each year in Australia the </w:t>
      </w:r>
      <w:r w:rsidR="00475528">
        <w:t xml:space="preserve">potential </w:t>
      </w:r>
      <w:r w:rsidR="002272BD">
        <w:t xml:space="preserve">nutrient value, based on phosphorus is </w:t>
      </w:r>
      <w:r w:rsidR="00475528">
        <w:t xml:space="preserve">around $30 million per year. </w:t>
      </w:r>
      <w:r w:rsidR="00BD2485">
        <w:t xml:space="preserve">This potential value represents around one third to one half of the cost of transport and beneficial use of </w:t>
      </w:r>
      <w:proofErr w:type="spellStart"/>
      <w:r w:rsidR="00BD2485">
        <w:t>biosolids</w:t>
      </w:r>
      <w:proofErr w:type="spellEnd"/>
      <w:r w:rsidR="00BD2485">
        <w:t xml:space="preserve"> (not including processing costs) in Australia.</w:t>
      </w:r>
      <w:r>
        <w:t xml:space="preserve"> </w:t>
      </w:r>
      <w:r w:rsidR="00ED2183">
        <w:t xml:space="preserve">The current potential </w:t>
      </w:r>
      <w:proofErr w:type="gramStart"/>
      <w:r w:rsidR="00ED2183">
        <w:t xml:space="preserve">value of </w:t>
      </w:r>
      <w:proofErr w:type="spellStart"/>
      <w:r w:rsidR="00286CC7">
        <w:t>biosolids</w:t>
      </w:r>
      <w:proofErr w:type="spellEnd"/>
      <w:r w:rsidR="00286CC7">
        <w:t xml:space="preserve"> are</w:t>
      </w:r>
      <w:proofErr w:type="gramEnd"/>
      <w:r w:rsidR="00ED2183">
        <w:t xml:space="preserve"> therefore likely to be less than the cost of transport and beneficial use</w:t>
      </w:r>
      <w:r w:rsidR="00C96BDF">
        <w:t xml:space="preserve">. </w:t>
      </w:r>
      <w:r>
        <w:t>It should be noted that the value of both nitrogen and phosphorus are not counted as one of these is effectively ‘free’ when you buy complex fertilisers which have both. This is a conservative approach which reflects farming practice.</w:t>
      </w:r>
    </w:p>
    <w:p w:rsidR="000D53EA" w:rsidRDefault="00522F85">
      <w:pPr>
        <w:jc w:val="left"/>
      </w:pPr>
      <w:r>
        <w:lastRenderedPageBreak/>
        <w:t>The f</w:t>
      </w:r>
      <w:r w:rsidR="00E604FA">
        <w:t xml:space="preserve">uture value of both nitrogen and phosphorus is likely to be linked closely to fuel prices and availability of phosphate rock. Both of these commodities are likely to continue to rise in price as they are non-renewable resources. The long term value of </w:t>
      </w:r>
      <w:proofErr w:type="spellStart"/>
      <w:r w:rsidR="00286CC7">
        <w:t>biosolids</w:t>
      </w:r>
      <w:proofErr w:type="spellEnd"/>
      <w:r w:rsidR="00286CC7">
        <w:t xml:space="preserve"> is</w:t>
      </w:r>
      <w:r w:rsidR="00E604FA">
        <w:t xml:space="preserve"> therefore likely to continue to rise over the next 10</w:t>
      </w:r>
      <w:r w:rsidR="00170412">
        <w:t>–</w:t>
      </w:r>
      <w:r w:rsidR="00E604FA">
        <w:t xml:space="preserve">15 years </w:t>
      </w:r>
      <w:r>
        <w:t>as</w:t>
      </w:r>
      <w:r w:rsidR="00E604FA">
        <w:t xml:space="preserve"> oil price</w:t>
      </w:r>
      <w:r w:rsidR="00170412">
        <w:t>s</w:t>
      </w:r>
      <w:r w:rsidR="00E604FA">
        <w:t xml:space="preserve"> rise. </w:t>
      </w:r>
      <w:r w:rsidR="00A14343">
        <w:t>The US Department of Energy is predicting the price of oil to increase by about three times over the next 10</w:t>
      </w:r>
      <w:r w:rsidR="00170412">
        <w:t>–</w:t>
      </w:r>
      <w:r w:rsidR="00A14343">
        <w:t>15 years and t</w:t>
      </w:r>
      <w:r w:rsidR="00E604FA">
        <w:t xml:space="preserve">his would put the </w:t>
      </w:r>
      <w:r w:rsidR="00A14343">
        <w:t xml:space="preserve">potential future </w:t>
      </w:r>
      <w:r w:rsidR="00E604FA">
        <w:t xml:space="preserve">value of </w:t>
      </w:r>
      <w:proofErr w:type="spellStart"/>
      <w:r w:rsidR="00E604FA">
        <w:t>biosolids</w:t>
      </w:r>
      <w:proofErr w:type="spellEnd"/>
      <w:r w:rsidR="00E604FA">
        <w:t xml:space="preserve"> at $</w:t>
      </w:r>
      <w:r w:rsidR="00432C80">
        <w:t>300</w:t>
      </w:r>
      <w:r w:rsidR="00E604FA">
        <w:t xml:space="preserve"> per tonne (dry basis).</w:t>
      </w:r>
    </w:p>
    <w:p w:rsidR="000D53EA" w:rsidRDefault="00E604FA">
      <w:pPr>
        <w:jc w:val="left"/>
      </w:pPr>
      <w:r>
        <w:t xml:space="preserve">When considered on a product (wet) basis the current value of </w:t>
      </w:r>
      <w:proofErr w:type="spellStart"/>
      <w:r w:rsidR="00286CC7">
        <w:t>biosolids</w:t>
      </w:r>
      <w:proofErr w:type="spellEnd"/>
      <w:r w:rsidR="00286CC7">
        <w:t xml:space="preserve"> is</w:t>
      </w:r>
      <w:r>
        <w:t xml:space="preserve"> around $</w:t>
      </w:r>
      <w:r w:rsidR="00432C80">
        <w:t>20</w:t>
      </w:r>
      <w:r w:rsidR="00985F46">
        <w:t> </w:t>
      </w:r>
      <w:r>
        <w:t>per</w:t>
      </w:r>
      <w:r w:rsidR="00985F46">
        <w:t> </w:t>
      </w:r>
      <w:r>
        <w:t>tonne and the potential future value $</w:t>
      </w:r>
      <w:r w:rsidR="00432C80">
        <w:t>60</w:t>
      </w:r>
      <w:r>
        <w:t xml:space="preserve"> per tonne. In the case of current value this is still significantly less than the current price of beneficial use, </w:t>
      </w:r>
      <w:r w:rsidR="00A14343">
        <w:t>typically at $40</w:t>
      </w:r>
      <w:r w:rsidR="00985F46">
        <w:noBreakHyphen/>
      </w:r>
      <w:r w:rsidR="00A14343">
        <w:t>80</w:t>
      </w:r>
      <w:r w:rsidR="00985F46">
        <w:t> </w:t>
      </w:r>
      <w:r w:rsidR="00A14343">
        <w:t>per</w:t>
      </w:r>
      <w:r w:rsidR="00985F46">
        <w:t> </w:t>
      </w:r>
      <w:r w:rsidR="00A14343">
        <w:t xml:space="preserve">tonne (wet basis), </w:t>
      </w:r>
      <w:r>
        <w:t xml:space="preserve">although </w:t>
      </w:r>
      <w:r w:rsidR="00985F46">
        <w:t xml:space="preserve">it </w:t>
      </w:r>
      <w:r>
        <w:t xml:space="preserve">may provide a useful offset if the full value of nutrients in </w:t>
      </w:r>
      <w:proofErr w:type="spellStart"/>
      <w:r w:rsidR="00286CC7">
        <w:t>biosolids</w:t>
      </w:r>
      <w:proofErr w:type="spellEnd"/>
      <w:r w:rsidR="00286CC7">
        <w:t xml:space="preserve"> </w:t>
      </w:r>
      <w:r w:rsidR="00F63D2F">
        <w:t>is</w:t>
      </w:r>
      <w:r>
        <w:t xml:space="preserve"> realised.</w:t>
      </w:r>
    </w:p>
    <w:p w:rsidR="000D53EA" w:rsidRDefault="00E604FA">
      <w:pPr>
        <w:pStyle w:val="Heading2"/>
        <w:jc w:val="left"/>
      </w:pPr>
      <w:bookmarkStart w:id="42" w:name="_Toc272997674"/>
      <w:bookmarkStart w:id="43" w:name="_Toc326747467"/>
      <w:r>
        <w:t>Organic matter</w:t>
      </w:r>
      <w:bookmarkEnd w:id="42"/>
      <w:bookmarkEnd w:id="43"/>
    </w:p>
    <w:p w:rsidR="000D53EA" w:rsidRDefault="00E604FA">
      <w:pPr>
        <w:jc w:val="left"/>
      </w:pPr>
      <w:r>
        <w:t xml:space="preserve">The primary value of organic matter in </w:t>
      </w:r>
      <w:proofErr w:type="spellStart"/>
      <w:r w:rsidR="00286CC7">
        <w:t>biosolids</w:t>
      </w:r>
      <w:proofErr w:type="spellEnd"/>
      <w:r w:rsidR="00286CC7">
        <w:t xml:space="preserve"> </w:t>
      </w:r>
      <w:r w:rsidR="00F63D2F">
        <w:t>is</w:t>
      </w:r>
      <w:r>
        <w:t xml:space="preserve"> for its energy content. </w:t>
      </w:r>
      <w:r w:rsidR="0067650C">
        <w:t xml:space="preserve">Energy can be produced from </w:t>
      </w:r>
      <w:proofErr w:type="spellStart"/>
      <w:r w:rsidR="0067650C">
        <w:t>biosolids</w:t>
      </w:r>
      <w:proofErr w:type="spellEnd"/>
      <w:r w:rsidR="0067650C">
        <w:t xml:space="preserve"> by anaerobic decomposition of the organic matter or direct combustion. Anaerobic processes generate methane which can be burnt to produce electricity. Direct combustion processes can produce </w:t>
      </w:r>
      <w:proofErr w:type="gramStart"/>
      <w:r w:rsidR="0067650C">
        <w:t>energy,</w:t>
      </w:r>
      <w:proofErr w:type="gramEnd"/>
      <w:r w:rsidR="0067650C">
        <w:t xml:space="preserve"> however t</w:t>
      </w:r>
      <w:r>
        <w:t xml:space="preserve">he energy content of </w:t>
      </w:r>
      <w:proofErr w:type="spellStart"/>
      <w:r w:rsidR="00286CC7">
        <w:t>biosolids</w:t>
      </w:r>
      <w:proofErr w:type="spellEnd"/>
      <w:r w:rsidR="00286CC7">
        <w:t xml:space="preserve"> </w:t>
      </w:r>
      <w:r w:rsidR="00F63D2F">
        <w:t>is</w:t>
      </w:r>
      <w:r>
        <w:t xml:space="preserve"> dependent on the moisture content and the volatile solids content. </w:t>
      </w:r>
      <w:proofErr w:type="spellStart"/>
      <w:r w:rsidR="00A14343">
        <w:t>B</w:t>
      </w:r>
      <w:r>
        <w:t>iosolids</w:t>
      </w:r>
      <w:proofErr w:type="spellEnd"/>
      <w:r>
        <w:t xml:space="preserve"> must generally have higher solids content than </w:t>
      </w:r>
      <w:r w:rsidR="00A14343">
        <w:t>most sewage treatment plants in Australia</w:t>
      </w:r>
      <w:r>
        <w:t xml:space="preserve"> achieve with mechanical dewatering before it </w:t>
      </w:r>
      <w:r w:rsidR="0067650C">
        <w:t>has a significant energy value.</w:t>
      </w:r>
    </w:p>
    <w:p w:rsidR="000D53EA" w:rsidRDefault="00F0797F">
      <w:pPr>
        <w:jc w:val="left"/>
      </w:pPr>
      <w:r>
        <w:t xml:space="preserve">The efficiency of energy from </w:t>
      </w:r>
      <w:proofErr w:type="spellStart"/>
      <w:r>
        <w:t>biosolids</w:t>
      </w:r>
      <w:proofErr w:type="spellEnd"/>
      <w:r>
        <w:t xml:space="preserve"> processes</w:t>
      </w:r>
      <w:r w:rsidR="007471F4">
        <w:t xml:space="preserve"> varies significantly. Table 8</w:t>
      </w:r>
      <w:r>
        <w:t xml:space="preserve"> below shows the upper bounds </w:t>
      </w:r>
      <w:r w:rsidR="009F7577">
        <w:t xml:space="preserve">of the </w:t>
      </w:r>
      <w:r w:rsidR="00082FC6">
        <w:t xml:space="preserve">gross </w:t>
      </w:r>
      <w:r w:rsidR="009F7577">
        <w:t xml:space="preserve">energy value of </w:t>
      </w:r>
      <w:proofErr w:type="spellStart"/>
      <w:r w:rsidR="009F7577">
        <w:t>biosolids</w:t>
      </w:r>
      <w:proofErr w:type="spellEnd"/>
      <w:r w:rsidR="009F7577">
        <w:t xml:space="preserve"> from</w:t>
      </w:r>
      <w:r>
        <w:t xml:space="preserve"> anaerobic decomposition and combustion.</w:t>
      </w:r>
      <w:r w:rsidR="008177E2">
        <w:t xml:space="preserve"> The value includes an allowance for Renewable Energy Credits.</w:t>
      </w:r>
    </w:p>
    <w:p w:rsidR="000D53EA" w:rsidRDefault="00E604FA">
      <w:pPr>
        <w:pStyle w:val="TableHeading"/>
        <w:jc w:val="left"/>
      </w:pPr>
      <w:bookmarkStart w:id="44" w:name="_Ref270601672"/>
      <w:r>
        <w:t xml:space="preserve">Table </w:t>
      </w:r>
      <w:bookmarkEnd w:id="44"/>
      <w:r w:rsidR="007471F4">
        <w:t>8</w:t>
      </w:r>
      <w:r>
        <w:t xml:space="preserve"> - Value of </w:t>
      </w:r>
      <w:proofErr w:type="spellStart"/>
      <w:r>
        <w:t>biosolids</w:t>
      </w:r>
      <w:proofErr w:type="spellEnd"/>
      <w:r>
        <w:t xml:space="preserve"> for energy</w:t>
      </w:r>
      <w:r w:rsidR="00F0797F">
        <w:t xml:space="preserve"> (per dry tonne)</w:t>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8"/>
        <w:gridCol w:w="2410"/>
        <w:gridCol w:w="2410"/>
      </w:tblGrid>
      <w:tr w:rsidR="00166057" w:rsidRPr="00A14343" w:rsidTr="00166057">
        <w:tc>
          <w:tcPr>
            <w:tcW w:w="2518" w:type="dxa"/>
            <w:shd w:val="clear" w:color="auto" w:fill="auto"/>
          </w:tcPr>
          <w:p w:rsidR="00166057" w:rsidRPr="00A14343" w:rsidRDefault="00166057" w:rsidP="00A35633">
            <w:pPr>
              <w:pStyle w:val="ReportTableHeading"/>
              <w:rPr>
                <w:rFonts w:ascii="Times New Roman" w:hAnsi="Times New Roman" w:cs="Times New Roman"/>
                <w:color w:val="auto"/>
              </w:rPr>
            </w:pPr>
            <w:r>
              <w:rPr>
                <w:rFonts w:ascii="Times New Roman" w:hAnsi="Times New Roman" w:cs="Times New Roman"/>
                <w:color w:val="auto"/>
              </w:rPr>
              <w:t>Process</w:t>
            </w:r>
          </w:p>
        </w:tc>
        <w:tc>
          <w:tcPr>
            <w:tcW w:w="2410" w:type="dxa"/>
            <w:shd w:val="clear" w:color="auto" w:fill="auto"/>
          </w:tcPr>
          <w:p w:rsidR="000D53EA" w:rsidRDefault="00166057">
            <w:pPr>
              <w:pStyle w:val="ReportTableHeading"/>
              <w:rPr>
                <w:rFonts w:ascii="Times New Roman" w:hAnsi="Times New Roman" w:cs="Times New Roman"/>
                <w:color w:val="auto"/>
              </w:rPr>
            </w:pPr>
            <w:r>
              <w:rPr>
                <w:rFonts w:ascii="Times New Roman" w:hAnsi="Times New Roman" w:cs="Times New Roman"/>
                <w:color w:val="auto"/>
              </w:rPr>
              <w:t>Electricity generated (</w:t>
            </w:r>
            <w:proofErr w:type="spellStart"/>
            <w:r>
              <w:rPr>
                <w:rFonts w:ascii="Times New Roman" w:hAnsi="Times New Roman" w:cs="Times New Roman"/>
                <w:color w:val="auto"/>
              </w:rPr>
              <w:t>MWhr</w:t>
            </w:r>
            <w:proofErr w:type="spellEnd"/>
            <w:r>
              <w:rPr>
                <w:rFonts w:ascii="Times New Roman" w:hAnsi="Times New Roman" w:cs="Times New Roman"/>
                <w:color w:val="auto"/>
              </w:rPr>
              <w:t>/dry tonne)</w:t>
            </w:r>
          </w:p>
        </w:tc>
        <w:tc>
          <w:tcPr>
            <w:tcW w:w="2410" w:type="dxa"/>
            <w:shd w:val="clear" w:color="auto" w:fill="auto"/>
          </w:tcPr>
          <w:p w:rsidR="000D53EA" w:rsidRDefault="00166057">
            <w:pPr>
              <w:pStyle w:val="ReportTableHeading"/>
              <w:rPr>
                <w:rFonts w:ascii="Times New Roman" w:hAnsi="Times New Roman" w:cs="Times New Roman"/>
                <w:color w:val="auto"/>
              </w:rPr>
            </w:pPr>
            <w:r w:rsidRPr="00166057">
              <w:rPr>
                <w:rFonts w:ascii="Times New Roman" w:hAnsi="Times New Roman" w:cs="Times New Roman"/>
                <w:color w:val="auto"/>
              </w:rPr>
              <w:t>Value</w:t>
            </w:r>
            <w:r>
              <w:rPr>
                <w:rFonts w:ascii="Times New Roman" w:hAnsi="Times New Roman" w:cs="Times New Roman"/>
                <w:color w:val="auto"/>
              </w:rPr>
              <w:t xml:space="preserve"> of Energy </w:t>
            </w:r>
            <w:r>
              <w:rPr>
                <w:rFonts w:ascii="Times New Roman" w:hAnsi="Times New Roman" w:cs="Times New Roman"/>
                <w:color w:val="auto"/>
              </w:rPr>
              <w:br/>
              <w:t>($/dry tonne)</w:t>
            </w:r>
          </w:p>
        </w:tc>
      </w:tr>
      <w:tr w:rsidR="00166057" w:rsidRPr="00A14343" w:rsidTr="00166057">
        <w:tc>
          <w:tcPr>
            <w:tcW w:w="2518" w:type="dxa"/>
          </w:tcPr>
          <w:p w:rsidR="00166057" w:rsidRPr="00A14343" w:rsidRDefault="00166057" w:rsidP="00A35633">
            <w:pPr>
              <w:pStyle w:val="ReportTableText"/>
              <w:rPr>
                <w:rFonts w:ascii="Times New Roman" w:hAnsi="Times New Roman"/>
              </w:rPr>
            </w:pPr>
            <w:r>
              <w:rPr>
                <w:rFonts w:ascii="Times New Roman" w:hAnsi="Times New Roman"/>
              </w:rPr>
              <w:t>Anaerobic digestion</w:t>
            </w:r>
          </w:p>
        </w:tc>
        <w:tc>
          <w:tcPr>
            <w:tcW w:w="2410" w:type="dxa"/>
          </w:tcPr>
          <w:p w:rsidR="000D53EA" w:rsidRDefault="00166057">
            <w:pPr>
              <w:pStyle w:val="ReportTableText"/>
              <w:rPr>
                <w:rFonts w:ascii="Times New Roman" w:hAnsi="Times New Roman"/>
              </w:rPr>
            </w:pPr>
            <w:r>
              <w:rPr>
                <w:rFonts w:ascii="Times New Roman" w:hAnsi="Times New Roman"/>
              </w:rPr>
              <w:t>1.0</w:t>
            </w:r>
          </w:p>
        </w:tc>
        <w:tc>
          <w:tcPr>
            <w:tcW w:w="2410" w:type="dxa"/>
          </w:tcPr>
          <w:p w:rsidR="000D53EA" w:rsidRDefault="00166057">
            <w:pPr>
              <w:pStyle w:val="ReportTableText"/>
              <w:rPr>
                <w:rFonts w:ascii="Times New Roman" w:hAnsi="Times New Roman"/>
              </w:rPr>
            </w:pPr>
            <w:r>
              <w:rPr>
                <w:rFonts w:ascii="Times New Roman" w:hAnsi="Times New Roman"/>
              </w:rPr>
              <w:t>100</w:t>
            </w:r>
          </w:p>
        </w:tc>
      </w:tr>
      <w:tr w:rsidR="00166057" w:rsidRPr="00A14343" w:rsidTr="00166057">
        <w:tc>
          <w:tcPr>
            <w:tcW w:w="2518" w:type="dxa"/>
          </w:tcPr>
          <w:p w:rsidR="00166057" w:rsidRPr="00A14343" w:rsidRDefault="00166057" w:rsidP="00A35633">
            <w:pPr>
              <w:pStyle w:val="ReportTableText"/>
              <w:rPr>
                <w:rFonts w:ascii="Times New Roman" w:hAnsi="Times New Roman"/>
              </w:rPr>
            </w:pPr>
            <w:r>
              <w:rPr>
                <w:rFonts w:ascii="Times New Roman" w:hAnsi="Times New Roman"/>
              </w:rPr>
              <w:t>Combustion</w:t>
            </w:r>
          </w:p>
        </w:tc>
        <w:tc>
          <w:tcPr>
            <w:tcW w:w="2410" w:type="dxa"/>
          </w:tcPr>
          <w:p w:rsidR="000D53EA" w:rsidRDefault="00166057">
            <w:pPr>
              <w:pStyle w:val="ReportTableText"/>
              <w:rPr>
                <w:rFonts w:ascii="Times New Roman" w:hAnsi="Times New Roman"/>
              </w:rPr>
            </w:pPr>
            <w:r>
              <w:rPr>
                <w:rFonts w:ascii="Times New Roman" w:hAnsi="Times New Roman"/>
              </w:rPr>
              <w:t>1.0</w:t>
            </w:r>
          </w:p>
        </w:tc>
        <w:tc>
          <w:tcPr>
            <w:tcW w:w="2410" w:type="dxa"/>
          </w:tcPr>
          <w:p w:rsidR="000D53EA" w:rsidRDefault="00166057">
            <w:pPr>
              <w:pStyle w:val="ReportTableText"/>
              <w:rPr>
                <w:rFonts w:ascii="Times New Roman" w:hAnsi="Times New Roman"/>
              </w:rPr>
            </w:pPr>
            <w:r>
              <w:rPr>
                <w:rFonts w:ascii="Times New Roman" w:hAnsi="Times New Roman"/>
              </w:rPr>
              <w:t>100</w:t>
            </w:r>
          </w:p>
        </w:tc>
      </w:tr>
    </w:tbl>
    <w:p w:rsidR="000D53EA" w:rsidRDefault="00E604FA">
      <w:pPr>
        <w:jc w:val="left"/>
      </w:pPr>
      <w:r>
        <w:t xml:space="preserve">The organic matter in </w:t>
      </w:r>
      <w:proofErr w:type="spellStart"/>
      <w:r>
        <w:t>biosolids</w:t>
      </w:r>
      <w:proofErr w:type="spellEnd"/>
      <w:r>
        <w:t xml:space="preserve"> also provides substantial agronomic benefit, by improving soil biological </w:t>
      </w:r>
      <w:r w:rsidR="00F1281A">
        <w:t xml:space="preserve">and </w:t>
      </w:r>
      <w:r>
        <w:t>physical properties</w:t>
      </w:r>
      <w:r w:rsidR="00F1281A">
        <w:t>,</w:t>
      </w:r>
      <w:r>
        <w:t xml:space="preserve"> such as structure, infiltration, water holding capacity, and porosity. The carbon in </w:t>
      </w:r>
      <w:proofErr w:type="spellStart"/>
      <w:r>
        <w:t>biochar</w:t>
      </w:r>
      <w:proofErr w:type="spellEnd"/>
      <w:r>
        <w:t xml:space="preserve"> is also expected to provide similar agrono</w:t>
      </w:r>
      <w:r w:rsidR="00221483">
        <w:t>mic benefits. The value of the benefit of increased organic carbon</w:t>
      </w:r>
      <w:r>
        <w:t xml:space="preserve"> is not readily </w:t>
      </w:r>
      <w:proofErr w:type="gramStart"/>
      <w:r>
        <w:t>quantifiable,</w:t>
      </w:r>
      <w:proofErr w:type="gramEnd"/>
      <w:r>
        <w:t xml:space="preserve"> </w:t>
      </w:r>
      <w:r w:rsidR="00221483">
        <w:t xml:space="preserve">however </w:t>
      </w:r>
      <w:proofErr w:type="spellStart"/>
      <w:r w:rsidR="00221483">
        <w:t>biochar</w:t>
      </w:r>
      <w:proofErr w:type="spellEnd"/>
      <w:r w:rsidR="00221483">
        <w:t xml:space="preserve"> sales are now increasingly common and achieve $200</w:t>
      </w:r>
      <w:r w:rsidR="00170412">
        <w:t>–</w:t>
      </w:r>
      <w:r w:rsidR="00221483">
        <w:t>400 per tonne of char</w:t>
      </w:r>
      <w:r>
        <w:t>.</w:t>
      </w:r>
      <w:r w:rsidR="00221483">
        <w:t xml:space="preserve"> </w:t>
      </w:r>
      <w:r w:rsidR="00F1281A">
        <w:t xml:space="preserve">This equates to a value of </w:t>
      </w:r>
      <w:r w:rsidR="00221483">
        <w:t>$120</w:t>
      </w:r>
      <w:r w:rsidR="00170412">
        <w:t>–</w:t>
      </w:r>
      <w:r w:rsidR="00221483">
        <w:t xml:space="preserve">320 per tonne of dry </w:t>
      </w:r>
      <w:proofErr w:type="spellStart"/>
      <w:r w:rsidR="00221483">
        <w:t>biosolids</w:t>
      </w:r>
      <w:proofErr w:type="spellEnd"/>
      <w:r w:rsidR="00221483">
        <w:t>, based on an organic content of 60</w:t>
      </w:r>
      <w:r w:rsidR="00170412">
        <w:t>–</w:t>
      </w:r>
      <w:r w:rsidR="00221483">
        <w:t xml:space="preserve">80%. It should be noted that there are substantial technical issues around production of </w:t>
      </w:r>
      <w:proofErr w:type="spellStart"/>
      <w:r w:rsidR="00221483">
        <w:t>biochar</w:t>
      </w:r>
      <w:proofErr w:type="spellEnd"/>
      <w:r w:rsidR="00221483">
        <w:t xml:space="preserve"> from </w:t>
      </w:r>
      <w:proofErr w:type="spellStart"/>
      <w:r w:rsidR="00221483">
        <w:t>biosolids</w:t>
      </w:r>
      <w:proofErr w:type="spellEnd"/>
      <w:r w:rsidR="00221483">
        <w:t>.</w:t>
      </w:r>
    </w:p>
    <w:p w:rsidR="000D53EA" w:rsidRDefault="00E604FA">
      <w:pPr>
        <w:pStyle w:val="Heading2"/>
        <w:jc w:val="left"/>
      </w:pPr>
      <w:bookmarkStart w:id="45" w:name="_Toc272997675"/>
      <w:bookmarkStart w:id="46" w:name="_Toc326747468"/>
      <w:r>
        <w:t>Inorganic matter</w:t>
      </w:r>
      <w:bookmarkEnd w:id="45"/>
      <w:bookmarkEnd w:id="46"/>
    </w:p>
    <w:p w:rsidR="000D53EA" w:rsidRDefault="00E604FA" w:rsidP="00343A76">
      <w:pPr>
        <w:jc w:val="left"/>
      </w:pPr>
      <w:r>
        <w:t xml:space="preserve">The value of inorganic matter in </w:t>
      </w:r>
      <w:proofErr w:type="spellStart"/>
      <w:r>
        <w:t>biosolids</w:t>
      </w:r>
      <w:proofErr w:type="spellEnd"/>
      <w:r>
        <w:t xml:space="preserve"> applies largely to cement and brick making where the inorganic matter provides a substitute for some raw materials </w:t>
      </w:r>
      <w:r w:rsidR="00F1281A">
        <w:t xml:space="preserve">(such as clay) </w:t>
      </w:r>
      <w:r>
        <w:t xml:space="preserve">in these products. Generally the value of raw materials is low, particularly </w:t>
      </w:r>
      <w:r w:rsidR="00F1281A">
        <w:t xml:space="preserve">of </w:t>
      </w:r>
      <w:r>
        <w:t xml:space="preserve">inert solids found in </w:t>
      </w:r>
      <w:proofErr w:type="spellStart"/>
      <w:r>
        <w:t>biosolids</w:t>
      </w:r>
      <w:proofErr w:type="spellEnd"/>
      <w:r>
        <w:t>, because the source of raw materials</w:t>
      </w:r>
      <w:r w:rsidR="00F1281A">
        <w:t xml:space="preserve">, like clay, used </w:t>
      </w:r>
      <w:r w:rsidR="00FF5C76">
        <w:t xml:space="preserve">for building products </w:t>
      </w:r>
      <w:r>
        <w:t xml:space="preserve">is close to the point of manufacturing. </w:t>
      </w:r>
      <w:r w:rsidR="00343A76">
        <w:t xml:space="preserve">For example a cement works or brick works usually has an associated quarry close by. </w:t>
      </w:r>
      <w:r>
        <w:t xml:space="preserve">As a result the value of inorganic matter in </w:t>
      </w:r>
      <w:proofErr w:type="spellStart"/>
      <w:r w:rsidR="00286CC7">
        <w:t>biosolids</w:t>
      </w:r>
      <w:proofErr w:type="spellEnd"/>
      <w:r w:rsidR="00286CC7">
        <w:t xml:space="preserve"> </w:t>
      </w:r>
      <w:r w:rsidR="00F63D2F">
        <w:t>is</w:t>
      </w:r>
      <w:r>
        <w:t xml:space="preserve"> potentially $5</w:t>
      </w:r>
      <w:r w:rsidR="00343A76">
        <w:t>–</w:t>
      </w:r>
      <w:r>
        <w:t>15 per tonne.</w:t>
      </w:r>
    </w:p>
    <w:p w:rsidR="000D53EA" w:rsidRDefault="00E604FA">
      <w:pPr>
        <w:jc w:val="left"/>
      </w:pPr>
      <w:proofErr w:type="spellStart"/>
      <w:r>
        <w:lastRenderedPageBreak/>
        <w:t>Biosolids</w:t>
      </w:r>
      <w:proofErr w:type="spellEnd"/>
      <w:r>
        <w:t xml:space="preserve"> ha</w:t>
      </w:r>
      <w:r w:rsidR="00184B27">
        <w:t>ve</w:t>
      </w:r>
      <w:r>
        <w:t xml:space="preserve"> a wide range of inorganic matter content and </w:t>
      </w:r>
      <w:r w:rsidR="00FF5C76">
        <w:t>typically</w:t>
      </w:r>
      <w:r>
        <w:t xml:space="preserve"> range</w:t>
      </w:r>
      <w:r w:rsidR="00FF5C76">
        <w:t>s</w:t>
      </w:r>
      <w:r>
        <w:t xml:space="preserve"> from around 20% up to 40%, depending on the </w:t>
      </w:r>
      <w:proofErr w:type="spellStart"/>
      <w:r>
        <w:t>biosolids</w:t>
      </w:r>
      <w:proofErr w:type="spellEnd"/>
      <w:r>
        <w:t xml:space="preserve"> treatment processes. At an assumed average value of $10 per tonne of inorganic matter this gives </w:t>
      </w:r>
      <w:proofErr w:type="spellStart"/>
      <w:r>
        <w:t>biosolids</w:t>
      </w:r>
      <w:proofErr w:type="spellEnd"/>
      <w:r>
        <w:t xml:space="preserve"> a value of $2</w:t>
      </w:r>
      <w:r w:rsidR="00343A76">
        <w:t>–</w:t>
      </w:r>
      <w:r>
        <w:t>4 per tonne (dry basis). Whilst this value is relatively low it may be significan</w:t>
      </w:r>
      <w:r w:rsidR="00FF5C76">
        <w:t>t to a brick making operation.</w:t>
      </w:r>
    </w:p>
    <w:p w:rsidR="000D53EA" w:rsidRDefault="00E604FA">
      <w:pPr>
        <w:pStyle w:val="Heading2"/>
        <w:jc w:val="left"/>
      </w:pPr>
      <w:bookmarkStart w:id="47" w:name="_Toc272997676"/>
      <w:bookmarkStart w:id="48" w:name="_Toc326747469"/>
      <w:r>
        <w:t>Trace metals</w:t>
      </w:r>
      <w:bookmarkEnd w:id="47"/>
      <w:bookmarkEnd w:id="48"/>
    </w:p>
    <w:p w:rsidR="000D53EA" w:rsidRDefault="00E604FA">
      <w:pPr>
        <w:jc w:val="left"/>
      </w:pPr>
      <w:r>
        <w:t xml:space="preserve">The trace metals in </w:t>
      </w:r>
      <w:proofErr w:type="spellStart"/>
      <w:r>
        <w:t>biosolids</w:t>
      </w:r>
      <w:proofErr w:type="spellEnd"/>
      <w:r>
        <w:t xml:space="preserve"> are not usually </w:t>
      </w:r>
      <w:proofErr w:type="gramStart"/>
      <w:r>
        <w:t>valued,</w:t>
      </w:r>
      <w:proofErr w:type="gramEnd"/>
      <w:r>
        <w:t xml:space="preserve"> however farmers use copper and zinc sulphate as well as a range of other trace metals to aid plant growth. Boron, chlorine, manganese, iron, molybdenum, selenium and sodium are all plant micronutrients which are present in </w:t>
      </w:r>
      <w:proofErr w:type="spellStart"/>
      <w:r>
        <w:t>biosolids</w:t>
      </w:r>
      <w:proofErr w:type="spellEnd"/>
      <w:r>
        <w:t>.</w:t>
      </w:r>
    </w:p>
    <w:p w:rsidR="000D53EA" w:rsidRDefault="00E604FA">
      <w:pPr>
        <w:jc w:val="left"/>
      </w:pPr>
      <w:r>
        <w:t xml:space="preserve">Based on the main micronutrients present in </w:t>
      </w:r>
      <w:proofErr w:type="spellStart"/>
      <w:r>
        <w:t>biosolids</w:t>
      </w:r>
      <w:proofErr w:type="spellEnd"/>
      <w:r>
        <w:t>, that is copper and zinc</w:t>
      </w:r>
      <w:r w:rsidR="00AD1713">
        <w:t>,</w:t>
      </w:r>
      <w:r>
        <w:t xml:space="preserve"> the value of </w:t>
      </w:r>
      <w:proofErr w:type="spellStart"/>
      <w:r>
        <w:t>biosolids</w:t>
      </w:r>
      <w:proofErr w:type="spellEnd"/>
      <w:r>
        <w:t xml:space="preserve"> can be determined from the current market price for copper and zinc sulphate, which are the most commonly used forms of these metals when applied to land. </w:t>
      </w:r>
      <w:r w:rsidR="00FF5C76">
        <w:t>A typical</w:t>
      </w:r>
      <w:r>
        <w:t xml:space="preserve"> </w:t>
      </w:r>
      <w:proofErr w:type="spellStart"/>
      <w:r>
        <w:t>biosolids</w:t>
      </w:r>
      <w:proofErr w:type="spellEnd"/>
      <w:r>
        <w:t xml:space="preserve"> product has about 550 mg/kg copper and 800 mg/kg zinc. This gives around 1 kg of copper and 1.5 kg of zinc per tonne</w:t>
      </w:r>
      <w:r w:rsidR="00221483">
        <w:t xml:space="preserve"> of </w:t>
      </w:r>
      <w:proofErr w:type="spellStart"/>
      <w:r w:rsidR="00221483">
        <w:t>biosolids</w:t>
      </w:r>
      <w:proofErr w:type="spellEnd"/>
      <w:r w:rsidR="00221483">
        <w:t xml:space="preserve"> (dry basis). The c</w:t>
      </w:r>
      <w:r>
        <w:t xml:space="preserve">opper and zinc in their respective sulphates are worth around $13 and $7 per kilogram respectively, which therefore makes the micronutrient value of </w:t>
      </w:r>
      <w:proofErr w:type="spellStart"/>
      <w:r>
        <w:t>biosolids</w:t>
      </w:r>
      <w:proofErr w:type="spellEnd"/>
      <w:r>
        <w:t xml:space="preserve"> around $13 per tonne (dry basis).</w:t>
      </w:r>
    </w:p>
    <w:p w:rsidR="000D53EA" w:rsidRDefault="00E604FA">
      <w:pPr>
        <w:pStyle w:val="TableHeading"/>
        <w:jc w:val="left"/>
      </w:pPr>
      <w:bookmarkStart w:id="49" w:name="_Ref271547186"/>
      <w:r>
        <w:t xml:space="preserve">Table </w:t>
      </w:r>
      <w:bookmarkEnd w:id="49"/>
      <w:r w:rsidR="007471F4">
        <w:t>9</w:t>
      </w:r>
      <w:r>
        <w:t xml:space="preserve"> - Current inorganic fertiliser prices</w:t>
      </w:r>
    </w:p>
    <w:tbl>
      <w:tblPr>
        <w:tblW w:w="752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8"/>
        <w:gridCol w:w="2462"/>
        <w:gridCol w:w="1417"/>
        <w:gridCol w:w="1276"/>
      </w:tblGrid>
      <w:tr w:rsidR="00E604FA" w:rsidRPr="00FF5C76" w:rsidTr="00FF5C76">
        <w:trPr>
          <w:trHeight w:val="300"/>
        </w:trPr>
        <w:tc>
          <w:tcPr>
            <w:tcW w:w="2368" w:type="dxa"/>
            <w:shd w:val="clear" w:color="auto" w:fill="auto"/>
            <w:noWrap/>
            <w:vAlign w:val="bottom"/>
          </w:tcPr>
          <w:p w:rsidR="00E604FA" w:rsidRPr="00FF5C76" w:rsidRDefault="00E604FA" w:rsidP="00A35633">
            <w:pPr>
              <w:pStyle w:val="ReportTableHeading"/>
              <w:rPr>
                <w:rFonts w:ascii="Times New Roman" w:hAnsi="Times New Roman" w:cs="Times New Roman"/>
                <w:color w:val="auto"/>
              </w:rPr>
            </w:pPr>
            <w:r w:rsidRPr="00FF5C76">
              <w:rPr>
                <w:rFonts w:ascii="Times New Roman" w:hAnsi="Times New Roman" w:cs="Times New Roman"/>
                <w:color w:val="auto"/>
              </w:rPr>
              <w:t> Micro nutrient</w:t>
            </w:r>
          </w:p>
        </w:tc>
        <w:tc>
          <w:tcPr>
            <w:tcW w:w="2462" w:type="dxa"/>
            <w:shd w:val="clear" w:color="auto" w:fill="auto"/>
            <w:noWrap/>
            <w:vAlign w:val="bottom"/>
          </w:tcPr>
          <w:p w:rsidR="000D53EA" w:rsidRDefault="00E604FA">
            <w:pPr>
              <w:pStyle w:val="ReportTableHeading"/>
              <w:rPr>
                <w:rFonts w:ascii="Times New Roman" w:hAnsi="Times New Roman" w:cs="Times New Roman"/>
                <w:color w:val="auto"/>
              </w:rPr>
            </w:pPr>
            <w:r w:rsidRPr="00FF5C76">
              <w:rPr>
                <w:rFonts w:ascii="Times New Roman" w:hAnsi="Times New Roman" w:cs="Times New Roman"/>
                <w:color w:val="auto"/>
              </w:rPr>
              <w:t xml:space="preserve">Typical level in </w:t>
            </w:r>
            <w:proofErr w:type="spellStart"/>
            <w:r w:rsidRPr="00FF5C76">
              <w:rPr>
                <w:rFonts w:ascii="Times New Roman" w:hAnsi="Times New Roman" w:cs="Times New Roman"/>
                <w:color w:val="auto"/>
              </w:rPr>
              <w:t>biosolids</w:t>
            </w:r>
            <w:proofErr w:type="spellEnd"/>
            <w:r w:rsidRPr="00FF5C76">
              <w:rPr>
                <w:rFonts w:ascii="Times New Roman" w:hAnsi="Times New Roman" w:cs="Times New Roman"/>
                <w:color w:val="auto"/>
              </w:rPr>
              <w:t xml:space="preserve"> (mg/kg)</w:t>
            </w:r>
          </w:p>
        </w:tc>
        <w:tc>
          <w:tcPr>
            <w:tcW w:w="1417" w:type="dxa"/>
            <w:shd w:val="clear" w:color="auto" w:fill="auto"/>
            <w:noWrap/>
            <w:vAlign w:val="bottom"/>
          </w:tcPr>
          <w:p w:rsidR="000D53EA" w:rsidRDefault="00E604FA">
            <w:pPr>
              <w:pStyle w:val="ReportTableHeading"/>
              <w:rPr>
                <w:rFonts w:ascii="Times New Roman" w:hAnsi="Times New Roman" w:cs="Times New Roman"/>
                <w:color w:val="auto"/>
              </w:rPr>
            </w:pPr>
            <w:r w:rsidRPr="00FF5C76">
              <w:rPr>
                <w:rFonts w:ascii="Times New Roman" w:hAnsi="Times New Roman" w:cs="Times New Roman"/>
                <w:color w:val="auto"/>
              </w:rPr>
              <w:t>Typical price $/kg</w:t>
            </w:r>
          </w:p>
        </w:tc>
        <w:tc>
          <w:tcPr>
            <w:tcW w:w="1276" w:type="dxa"/>
            <w:shd w:val="clear" w:color="auto" w:fill="auto"/>
            <w:noWrap/>
            <w:vAlign w:val="bottom"/>
          </w:tcPr>
          <w:p w:rsidR="000D53EA" w:rsidRDefault="00E604FA">
            <w:pPr>
              <w:pStyle w:val="ReportTableHeading"/>
              <w:rPr>
                <w:rFonts w:ascii="Times New Roman" w:hAnsi="Times New Roman" w:cs="Times New Roman"/>
                <w:color w:val="auto"/>
                <w:vertAlign w:val="superscript"/>
              </w:rPr>
            </w:pPr>
            <w:r w:rsidRPr="00FF5C76">
              <w:rPr>
                <w:rFonts w:ascii="Times New Roman" w:hAnsi="Times New Roman" w:cs="Times New Roman"/>
                <w:color w:val="auto"/>
              </w:rPr>
              <w:t xml:space="preserve">Value $/ dry tonne of </w:t>
            </w:r>
            <w:proofErr w:type="spellStart"/>
            <w:r w:rsidRPr="00FF5C76">
              <w:rPr>
                <w:rFonts w:ascii="Times New Roman" w:hAnsi="Times New Roman" w:cs="Times New Roman"/>
                <w:color w:val="auto"/>
              </w:rPr>
              <w:t>biosolids</w:t>
            </w:r>
            <w:proofErr w:type="spellEnd"/>
          </w:p>
        </w:tc>
      </w:tr>
      <w:tr w:rsidR="00E604FA" w:rsidRPr="00FF5C76" w:rsidTr="00FF5C76">
        <w:trPr>
          <w:trHeight w:val="300"/>
        </w:trPr>
        <w:tc>
          <w:tcPr>
            <w:tcW w:w="2368" w:type="dxa"/>
            <w:shd w:val="clear" w:color="auto" w:fill="auto"/>
            <w:noWrap/>
            <w:vAlign w:val="bottom"/>
          </w:tcPr>
          <w:p w:rsidR="00E604FA" w:rsidRPr="00FF5C76" w:rsidRDefault="00E604FA" w:rsidP="00A35633">
            <w:pPr>
              <w:pStyle w:val="ReportTableText"/>
              <w:rPr>
                <w:rFonts w:ascii="Times New Roman" w:hAnsi="Times New Roman"/>
              </w:rPr>
            </w:pPr>
            <w:r w:rsidRPr="00FF5C76">
              <w:rPr>
                <w:rFonts w:ascii="Times New Roman" w:hAnsi="Times New Roman"/>
              </w:rPr>
              <w:t>Copper</w:t>
            </w:r>
          </w:p>
        </w:tc>
        <w:tc>
          <w:tcPr>
            <w:tcW w:w="2462" w:type="dxa"/>
            <w:shd w:val="clear" w:color="auto" w:fill="auto"/>
            <w:noWrap/>
            <w:vAlign w:val="bottom"/>
          </w:tcPr>
          <w:p w:rsidR="000D53EA" w:rsidRDefault="00E604FA">
            <w:pPr>
              <w:pStyle w:val="ReportTableText"/>
              <w:rPr>
                <w:rFonts w:ascii="Times New Roman" w:hAnsi="Times New Roman"/>
              </w:rPr>
            </w:pPr>
            <w:r w:rsidRPr="00FF5C76">
              <w:rPr>
                <w:rFonts w:ascii="Times New Roman" w:hAnsi="Times New Roman"/>
              </w:rPr>
              <w:t>550</w:t>
            </w:r>
          </w:p>
        </w:tc>
        <w:tc>
          <w:tcPr>
            <w:tcW w:w="1417" w:type="dxa"/>
            <w:shd w:val="clear" w:color="auto" w:fill="auto"/>
            <w:noWrap/>
            <w:vAlign w:val="bottom"/>
          </w:tcPr>
          <w:p w:rsidR="000D53EA" w:rsidRDefault="00E604FA">
            <w:pPr>
              <w:pStyle w:val="ReportTableText"/>
              <w:rPr>
                <w:rFonts w:ascii="Times New Roman" w:hAnsi="Times New Roman"/>
              </w:rPr>
            </w:pPr>
            <w:r w:rsidRPr="00FF5C76">
              <w:rPr>
                <w:rFonts w:ascii="Times New Roman" w:hAnsi="Times New Roman"/>
              </w:rPr>
              <w:t>13</w:t>
            </w:r>
          </w:p>
        </w:tc>
        <w:tc>
          <w:tcPr>
            <w:tcW w:w="1276" w:type="dxa"/>
            <w:shd w:val="clear" w:color="auto" w:fill="auto"/>
            <w:noWrap/>
            <w:vAlign w:val="bottom"/>
          </w:tcPr>
          <w:p w:rsidR="000D53EA" w:rsidRDefault="00E604FA">
            <w:pPr>
              <w:pStyle w:val="ReportTableText"/>
              <w:rPr>
                <w:rFonts w:ascii="Times New Roman" w:hAnsi="Times New Roman"/>
              </w:rPr>
            </w:pPr>
            <w:r w:rsidRPr="00FF5C76">
              <w:rPr>
                <w:rFonts w:ascii="Times New Roman" w:hAnsi="Times New Roman"/>
              </w:rPr>
              <w:t>7.15</w:t>
            </w:r>
          </w:p>
        </w:tc>
      </w:tr>
      <w:tr w:rsidR="00E604FA" w:rsidRPr="00FF5C76" w:rsidTr="00FF5C76">
        <w:trPr>
          <w:trHeight w:val="300"/>
        </w:trPr>
        <w:tc>
          <w:tcPr>
            <w:tcW w:w="2368" w:type="dxa"/>
            <w:shd w:val="clear" w:color="auto" w:fill="auto"/>
            <w:noWrap/>
            <w:vAlign w:val="bottom"/>
          </w:tcPr>
          <w:p w:rsidR="00E604FA" w:rsidRPr="00FF5C76" w:rsidRDefault="00E604FA" w:rsidP="00A35633">
            <w:pPr>
              <w:pStyle w:val="ReportTableText"/>
              <w:rPr>
                <w:rFonts w:ascii="Times New Roman" w:hAnsi="Times New Roman"/>
              </w:rPr>
            </w:pPr>
            <w:r w:rsidRPr="00FF5C76">
              <w:rPr>
                <w:rFonts w:ascii="Times New Roman" w:hAnsi="Times New Roman"/>
              </w:rPr>
              <w:t>Zinc</w:t>
            </w:r>
          </w:p>
        </w:tc>
        <w:tc>
          <w:tcPr>
            <w:tcW w:w="2462" w:type="dxa"/>
            <w:shd w:val="clear" w:color="auto" w:fill="auto"/>
            <w:noWrap/>
            <w:vAlign w:val="bottom"/>
          </w:tcPr>
          <w:p w:rsidR="000D53EA" w:rsidRDefault="00E604FA">
            <w:pPr>
              <w:pStyle w:val="ReportTableText"/>
              <w:rPr>
                <w:rFonts w:ascii="Times New Roman" w:hAnsi="Times New Roman"/>
              </w:rPr>
            </w:pPr>
            <w:r w:rsidRPr="00FF5C76">
              <w:rPr>
                <w:rFonts w:ascii="Times New Roman" w:hAnsi="Times New Roman"/>
              </w:rPr>
              <w:t>800</w:t>
            </w:r>
          </w:p>
        </w:tc>
        <w:tc>
          <w:tcPr>
            <w:tcW w:w="1417" w:type="dxa"/>
            <w:shd w:val="clear" w:color="auto" w:fill="auto"/>
            <w:noWrap/>
            <w:vAlign w:val="bottom"/>
          </w:tcPr>
          <w:p w:rsidR="000D53EA" w:rsidRDefault="00E604FA">
            <w:pPr>
              <w:pStyle w:val="ReportTableText"/>
              <w:rPr>
                <w:rFonts w:ascii="Times New Roman" w:hAnsi="Times New Roman"/>
              </w:rPr>
            </w:pPr>
            <w:r w:rsidRPr="00FF5C76">
              <w:rPr>
                <w:rFonts w:ascii="Times New Roman" w:hAnsi="Times New Roman"/>
              </w:rPr>
              <w:t>7</w:t>
            </w:r>
          </w:p>
        </w:tc>
        <w:tc>
          <w:tcPr>
            <w:tcW w:w="1276" w:type="dxa"/>
            <w:shd w:val="clear" w:color="auto" w:fill="auto"/>
            <w:noWrap/>
            <w:vAlign w:val="bottom"/>
          </w:tcPr>
          <w:p w:rsidR="000D53EA" w:rsidRDefault="00E604FA">
            <w:pPr>
              <w:pStyle w:val="ReportTableText"/>
              <w:rPr>
                <w:rFonts w:ascii="Times New Roman" w:hAnsi="Times New Roman"/>
              </w:rPr>
            </w:pPr>
            <w:r w:rsidRPr="00FF5C76">
              <w:rPr>
                <w:rFonts w:ascii="Times New Roman" w:hAnsi="Times New Roman"/>
              </w:rPr>
              <w:t>5.60</w:t>
            </w:r>
          </w:p>
        </w:tc>
      </w:tr>
    </w:tbl>
    <w:p w:rsidR="000D53EA" w:rsidRDefault="00E604FA">
      <w:pPr>
        <w:pStyle w:val="Heading2"/>
        <w:jc w:val="left"/>
      </w:pPr>
      <w:bookmarkStart w:id="50" w:name="_Toc272997677"/>
      <w:bookmarkStart w:id="51" w:name="_Toc326747470"/>
      <w:r>
        <w:t>Summary of product value</w:t>
      </w:r>
      <w:bookmarkEnd w:id="50"/>
      <w:bookmarkEnd w:id="51"/>
    </w:p>
    <w:p w:rsidR="000D53EA" w:rsidRDefault="00E604FA">
      <w:pPr>
        <w:jc w:val="left"/>
      </w:pPr>
      <w:r>
        <w:t xml:space="preserve">The current and future value of </w:t>
      </w:r>
      <w:proofErr w:type="spellStart"/>
      <w:r>
        <w:t>biosolids</w:t>
      </w:r>
      <w:proofErr w:type="spellEnd"/>
      <w:r>
        <w:t xml:space="preserve"> based on the key value characteristics are summarised in </w:t>
      </w:r>
      <w:r w:rsidR="007471F4">
        <w:t>Table 10</w:t>
      </w:r>
      <w:r w:rsidR="00FF5C76">
        <w:t xml:space="preserve"> </w:t>
      </w:r>
      <w:r>
        <w:t xml:space="preserve">below. This shows that the likely value of </w:t>
      </w:r>
      <w:proofErr w:type="spellStart"/>
      <w:r>
        <w:t>biosolids</w:t>
      </w:r>
      <w:proofErr w:type="spellEnd"/>
      <w:r>
        <w:t xml:space="preserve"> will increase significantly over the next 10</w:t>
      </w:r>
      <w:r w:rsidR="00E548E7">
        <w:t>–</w:t>
      </w:r>
      <w:r>
        <w:t xml:space="preserve">20 years if </w:t>
      </w:r>
      <w:r w:rsidR="00400DCE">
        <w:t>Australia</w:t>
      </w:r>
      <w:r>
        <w:t xml:space="preserve"> produces products which meet the market needs. It should be noted that the highest </w:t>
      </w:r>
      <w:proofErr w:type="spellStart"/>
      <w:r>
        <w:t>biosolids</w:t>
      </w:r>
      <w:proofErr w:type="spellEnd"/>
      <w:r>
        <w:t xml:space="preserve"> value products are those which have the best</w:t>
      </w:r>
      <w:r w:rsidR="00BF24BB">
        <w:t xml:space="preserve"> visual and low odour</w:t>
      </w:r>
      <w:r>
        <w:t xml:space="preserve"> characteristics and are least recognisable as </w:t>
      </w:r>
      <w:proofErr w:type="spellStart"/>
      <w:r>
        <w:t>biosolids</w:t>
      </w:r>
      <w:proofErr w:type="spellEnd"/>
      <w:r>
        <w:t xml:space="preserve">. </w:t>
      </w:r>
      <w:r w:rsidR="00BF24BB">
        <w:t xml:space="preserve"> </w:t>
      </w:r>
      <w:r>
        <w:t xml:space="preserve">In general these are thermally dried </w:t>
      </w:r>
      <w:proofErr w:type="spellStart"/>
      <w:r>
        <w:t>biosolids</w:t>
      </w:r>
      <w:proofErr w:type="spellEnd"/>
      <w:r>
        <w:t xml:space="preserve"> in a granular form.</w:t>
      </w:r>
    </w:p>
    <w:p w:rsidR="000D53EA" w:rsidRDefault="00221483">
      <w:pPr>
        <w:jc w:val="left"/>
      </w:pPr>
      <w:r>
        <w:rPr>
          <w:noProof/>
          <w:lang w:eastAsia="en-AU"/>
        </w:rPr>
        <w:drawing>
          <wp:inline distT="0" distB="0" distL="0" distR="0">
            <wp:extent cx="2441236" cy="1831763"/>
            <wp:effectExtent l="25400" t="0" r="0" b="0"/>
            <wp:docPr id="1" name="Picture 1" descr=":::::Administration:pictures:caloundra and camelia:DSC0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ministration:pictures:caloundra and camelia:DSC00721.JPG"/>
                    <pic:cNvPicPr>
                      <a:picLocks noChangeAspect="1" noChangeArrowheads="1"/>
                    </pic:cNvPicPr>
                  </pic:nvPicPr>
                  <pic:blipFill>
                    <a:blip r:embed="rId17"/>
                    <a:srcRect/>
                    <a:stretch>
                      <a:fillRect/>
                    </a:stretch>
                  </pic:blipFill>
                  <pic:spPr bwMode="auto">
                    <a:xfrm>
                      <a:off x="0" y="0"/>
                      <a:ext cx="2441754" cy="1832152"/>
                    </a:xfrm>
                    <a:prstGeom prst="rect">
                      <a:avLst/>
                    </a:prstGeom>
                    <a:noFill/>
                    <a:ln w="9525">
                      <a:noFill/>
                      <a:miter lim="800000"/>
                      <a:headEnd/>
                      <a:tailEnd/>
                    </a:ln>
                  </pic:spPr>
                </pic:pic>
              </a:graphicData>
            </a:graphic>
          </wp:inline>
        </w:drawing>
      </w:r>
    </w:p>
    <w:p w:rsidR="000D53EA" w:rsidRDefault="00BF24BB">
      <w:pPr>
        <w:jc w:val="left"/>
      </w:pPr>
      <w:r>
        <w:t>T</w:t>
      </w:r>
      <w:r w:rsidR="00F00529">
        <w:t xml:space="preserve">hermally dried </w:t>
      </w:r>
      <w:proofErr w:type="spellStart"/>
      <w:r w:rsidR="00F00529">
        <w:t>biosolids</w:t>
      </w:r>
      <w:proofErr w:type="spellEnd"/>
      <w:r w:rsidR="00F00529">
        <w:t xml:space="preserve"> granules</w:t>
      </w:r>
    </w:p>
    <w:p w:rsidR="000D53EA" w:rsidRDefault="00E604FA">
      <w:pPr>
        <w:keepLines/>
        <w:jc w:val="left"/>
      </w:pPr>
      <w:r>
        <w:lastRenderedPageBreak/>
        <w:t xml:space="preserve">It is essential however that the cost of producing higher value products is assessed as this may exceed the benefits gained. It is also critical to establish a market based approach for products which are potentially of higher value. If the current distribution framework is used for higher value products without differentiating these products from current </w:t>
      </w:r>
      <w:proofErr w:type="spellStart"/>
      <w:r>
        <w:t>biosolids</w:t>
      </w:r>
      <w:proofErr w:type="spellEnd"/>
      <w:r>
        <w:t xml:space="preserve"> products then it will be difficult or impossible to realise the full value of these higher value products.</w:t>
      </w:r>
    </w:p>
    <w:p w:rsidR="000D53EA" w:rsidRDefault="00E604FA">
      <w:pPr>
        <w:pStyle w:val="TableHeading"/>
        <w:jc w:val="left"/>
      </w:pPr>
      <w:bookmarkStart w:id="52" w:name="_Ref271547294"/>
      <w:r>
        <w:t xml:space="preserve">Table </w:t>
      </w:r>
      <w:bookmarkEnd w:id="52"/>
      <w:r w:rsidR="007471F4">
        <w:t>10</w:t>
      </w:r>
      <w:r>
        <w:t xml:space="preserve"> – Summary of product value</w:t>
      </w:r>
    </w:p>
    <w:tbl>
      <w:tblPr>
        <w:tblW w:w="918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95"/>
        <w:gridCol w:w="2338"/>
        <w:gridCol w:w="1417"/>
        <w:gridCol w:w="1490"/>
        <w:gridCol w:w="1947"/>
      </w:tblGrid>
      <w:tr w:rsidR="00E604FA" w:rsidRPr="00FF5C76" w:rsidTr="00FF5C76">
        <w:trPr>
          <w:trHeight w:val="300"/>
        </w:trPr>
        <w:tc>
          <w:tcPr>
            <w:tcW w:w="1995" w:type="dxa"/>
            <w:shd w:val="clear" w:color="auto" w:fill="auto"/>
            <w:noWrap/>
            <w:vAlign w:val="bottom"/>
          </w:tcPr>
          <w:p w:rsidR="00E604FA" w:rsidRPr="00FF5C76" w:rsidRDefault="00E604FA" w:rsidP="00A35633">
            <w:pPr>
              <w:pStyle w:val="ReportTableHeading"/>
              <w:rPr>
                <w:rFonts w:ascii="Times New Roman" w:hAnsi="Times New Roman" w:cs="Times New Roman"/>
                <w:color w:val="auto"/>
              </w:rPr>
            </w:pPr>
            <w:r w:rsidRPr="00FF5C76">
              <w:rPr>
                <w:rFonts w:ascii="Times New Roman" w:hAnsi="Times New Roman" w:cs="Times New Roman"/>
                <w:color w:val="auto"/>
              </w:rPr>
              <w:t>Characteristic</w:t>
            </w:r>
          </w:p>
        </w:tc>
        <w:tc>
          <w:tcPr>
            <w:tcW w:w="2338" w:type="dxa"/>
            <w:shd w:val="clear" w:color="auto" w:fill="auto"/>
            <w:noWrap/>
            <w:vAlign w:val="bottom"/>
          </w:tcPr>
          <w:p w:rsidR="000D53EA" w:rsidRDefault="00E604FA">
            <w:pPr>
              <w:pStyle w:val="ReportTableHeading"/>
              <w:rPr>
                <w:rFonts w:ascii="Times New Roman" w:hAnsi="Times New Roman" w:cs="Times New Roman"/>
                <w:color w:val="auto"/>
              </w:rPr>
            </w:pPr>
            <w:r w:rsidRPr="00FF5C76">
              <w:rPr>
                <w:rFonts w:ascii="Times New Roman" w:hAnsi="Times New Roman" w:cs="Times New Roman"/>
                <w:color w:val="auto"/>
              </w:rPr>
              <w:t>Description</w:t>
            </w:r>
          </w:p>
        </w:tc>
        <w:tc>
          <w:tcPr>
            <w:tcW w:w="1417" w:type="dxa"/>
            <w:shd w:val="clear" w:color="auto" w:fill="auto"/>
            <w:noWrap/>
            <w:vAlign w:val="bottom"/>
          </w:tcPr>
          <w:p w:rsidR="000D53EA" w:rsidRDefault="00E604FA">
            <w:pPr>
              <w:pStyle w:val="ReportTableHeading"/>
              <w:rPr>
                <w:rFonts w:ascii="Times New Roman" w:hAnsi="Times New Roman" w:cs="Times New Roman"/>
                <w:color w:val="auto"/>
              </w:rPr>
            </w:pPr>
            <w:r w:rsidRPr="00FF5C76">
              <w:rPr>
                <w:rFonts w:ascii="Times New Roman" w:hAnsi="Times New Roman" w:cs="Times New Roman"/>
                <w:color w:val="auto"/>
              </w:rPr>
              <w:t>Current value $/tonne</w:t>
            </w:r>
          </w:p>
        </w:tc>
        <w:tc>
          <w:tcPr>
            <w:tcW w:w="1490" w:type="dxa"/>
            <w:shd w:val="clear" w:color="auto" w:fill="auto"/>
            <w:noWrap/>
            <w:vAlign w:val="bottom"/>
          </w:tcPr>
          <w:p w:rsidR="000D53EA" w:rsidRDefault="00E604FA">
            <w:pPr>
              <w:pStyle w:val="ReportTableHeading"/>
              <w:rPr>
                <w:rFonts w:ascii="Times New Roman" w:hAnsi="Times New Roman" w:cs="Times New Roman"/>
                <w:color w:val="auto"/>
                <w:vertAlign w:val="superscript"/>
              </w:rPr>
            </w:pPr>
            <w:r w:rsidRPr="00FF5C76">
              <w:rPr>
                <w:rFonts w:ascii="Times New Roman" w:hAnsi="Times New Roman" w:cs="Times New Roman"/>
                <w:color w:val="auto"/>
              </w:rPr>
              <w:t>Future value $/tonne</w:t>
            </w:r>
          </w:p>
        </w:tc>
        <w:tc>
          <w:tcPr>
            <w:tcW w:w="1947" w:type="dxa"/>
            <w:shd w:val="clear" w:color="auto" w:fill="auto"/>
          </w:tcPr>
          <w:p w:rsidR="000D53EA" w:rsidRDefault="00E604FA">
            <w:pPr>
              <w:pStyle w:val="ReportTableHeading"/>
              <w:rPr>
                <w:rFonts w:ascii="Times New Roman" w:hAnsi="Times New Roman" w:cs="Times New Roman"/>
                <w:color w:val="auto"/>
              </w:rPr>
            </w:pPr>
            <w:r w:rsidRPr="00FF5C76">
              <w:rPr>
                <w:rFonts w:ascii="Times New Roman" w:hAnsi="Times New Roman" w:cs="Times New Roman"/>
                <w:color w:val="auto"/>
              </w:rPr>
              <w:t>Value based on</w:t>
            </w:r>
          </w:p>
        </w:tc>
      </w:tr>
      <w:tr w:rsidR="00E604FA" w:rsidRPr="00FF5C76" w:rsidTr="00E604FA">
        <w:trPr>
          <w:trHeight w:val="300"/>
        </w:trPr>
        <w:tc>
          <w:tcPr>
            <w:tcW w:w="1995" w:type="dxa"/>
            <w:noWrap/>
            <w:vAlign w:val="bottom"/>
          </w:tcPr>
          <w:p w:rsidR="00E604FA" w:rsidRPr="00FF5C76" w:rsidRDefault="00E604FA" w:rsidP="00A35633">
            <w:pPr>
              <w:pStyle w:val="ReportTableText"/>
              <w:rPr>
                <w:rFonts w:ascii="Times New Roman" w:hAnsi="Times New Roman"/>
              </w:rPr>
            </w:pPr>
            <w:r w:rsidRPr="00FF5C76">
              <w:rPr>
                <w:rFonts w:ascii="Times New Roman" w:hAnsi="Times New Roman"/>
              </w:rPr>
              <w:t>Macro-nutrients</w:t>
            </w:r>
          </w:p>
        </w:tc>
        <w:tc>
          <w:tcPr>
            <w:tcW w:w="2338" w:type="dxa"/>
            <w:noWrap/>
            <w:vAlign w:val="bottom"/>
          </w:tcPr>
          <w:p w:rsidR="000D53EA" w:rsidRDefault="00E604FA">
            <w:pPr>
              <w:pStyle w:val="ReportTableText"/>
              <w:rPr>
                <w:rFonts w:ascii="Times New Roman" w:hAnsi="Times New Roman"/>
              </w:rPr>
            </w:pPr>
            <w:r w:rsidRPr="00FF5C76">
              <w:rPr>
                <w:rFonts w:ascii="Times New Roman" w:hAnsi="Times New Roman"/>
              </w:rPr>
              <w:t>Nitrogen and phosphorus</w:t>
            </w:r>
          </w:p>
        </w:tc>
        <w:tc>
          <w:tcPr>
            <w:tcW w:w="1417" w:type="dxa"/>
            <w:noWrap/>
            <w:vAlign w:val="bottom"/>
          </w:tcPr>
          <w:p w:rsidR="000D53EA" w:rsidRDefault="00E604FA">
            <w:pPr>
              <w:pStyle w:val="ReportTableText"/>
              <w:rPr>
                <w:rFonts w:ascii="Times New Roman" w:hAnsi="Times New Roman"/>
                <w:vertAlign w:val="superscript"/>
              </w:rPr>
            </w:pPr>
            <w:r w:rsidRPr="00FF5C76">
              <w:rPr>
                <w:rFonts w:ascii="Times New Roman" w:hAnsi="Times New Roman"/>
              </w:rPr>
              <w:t>40-140</w:t>
            </w:r>
            <w:r w:rsidRPr="00FF5C76">
              <w:rPr>
                <w:rFonts w:ascii="Times New Roman" w:hAnsi="Times New Roman"/>
                <w:vertAlign w:val="superscript"/>
              </w:rPr>
              <w:t>1</w:t>
            </w:r>
          </w:p>
        </w:tc>
        <w:tc>
          <w:tcPr>
            <w:tcW w:w="1490" w:type="dxa"/>
            <w:noWrap/>
            <w:vAlign w:val="bottom"/>
          </w:tcPr>
          <w:p w:rsidR="000D53EA" w:rsidRDefault="00E604FA">
            <w:pPr>
              <w:pStyle w:val="ReportTableText"/>
              <w:rPr>
                <w:rFonts w:ascii="Times New Roman" w:hAnsi="Times New Roman"/>
                <w:vertAlign w:val="superscript"/>
              </w:rPr>
            </w:pPr>
            <w:r w:rsidRPr="00FF5C76">
              <w:rPr>
                <w:rFonts w:ascii="Times New Roman" w:hAnsi="Times New Roman"/>
              </w:rPr>
              <w:t>120-400</w:t>
            </w:r>
            <w:r w:rsidRPr="00FF5C76">
              <w:rPr>
                <w:rFonts w:ascii="Times New Roman" w:hAnsi="Times New Roman"/>
                <w:vertAlign w:val="superscript"/>
              </w:rPr>
              <w:t>2</w:t>
            </w:r>
          </w:p>
        </w:tc>
        <w:tc>
          <w:tcPr>
            <w:tcW w:w="1947" w:type="dxa"/>
          </w:tcPr>
          <w:p w:rsidR="000D53EA" w:rsidRDefault="00E604FA">
            <w:pPr>
              <w:pStyle w:val="ReportTableText"/>
              <w:rPr>
                <w:rFonts w:ascii="Times New Roman" w:hAnsi="Times New Roman"/>
              </w:rPr>
            </w:pPr>
            <w:r w:rsidRPr="00FF5C76">
              <w:rPr>
                <w:rFonts w:ascii="Times New Roman" w:hAnsi="Times New Roman"/>
              </w:rPr>
              <w:t>Phosphorus content</w:t>
            </w:r>
          </w:p>
        </w:tc>
      </w:tr>
      <w:tr w:rsidR="00E604FA" w:rsidRPr="00FF5C76" w:rsidTr="00E604FA">
        <w:trPr>
          <w:trHeight w:val="300"/>
        </w:trPr>
        <w:tc>
          <w:tcPr>
            <w:tcW w:w="1995" w:type="dxa"/>
            <w:noWrap/>
            <w:vAlign w:val="bottom"/>
          </w:tcPr>
          <w:p w:rsidR="00E604FA" w:rsidRPr="00FF5C76" w:rsidRDefault="00E604FA" w:rsidP="00A35633">
            <w:pPr>
              <w:pStyle w:val="ReportTableText"/>
              <w:rPr>
                <w:rFonts w:ascii="Times New Roman" w:hAnsi="Times New Roman"/>
              </w:rPr>
            </w:pPr>
            <w:r w:rsidRPr="00FF5C76">
              <w:rPr>
                <w:rFonts w:ascii="Times New Roman" w:hAnsi="Times New Roman"/>
              </w:rPr>
              <w:t>Organic matter</w:t>
            </w:r>
          </w:p>
        </w:tc>
        <w:tc>
          <w:tcPr>
            <w:tcW w:w="2338" w:type="dxa"/>
            <w:noWrap/>
            <w:vAlign w:val="bottom"/>
          </w:tcPr>
          <w:p w:rsidR="000D53EA" w:rsidRDefault="00E604FA">
            <w:pPr>
              <w:pStyle w:val="ReportTableText"/>
              <w:rPr>
                <w:rFonts w:ascii="Times New Roman" w:hAnsi="Times New Roman"/>
              </w:rPr>
            </w:pPr>
            <w:r w:rsidRPr="00FF5C76">
              <w:rPr>
                <w:rFonts w:ascii="Times New Roman" w:hAnsi="Times New Roman"/>
              </w:rPr>
              <w:t>Volatile solids</w:t>
            </w:r>
          </w:p>
        </w:tc>
        <w:tc>
          <w:tcPr>
            <w:tcW w:w="1417" w:type="dxa"/>
            <w:noWrap/>
            <w:vAlign w:val="bottom"/>
          </w:tcPr>
          <w:p w:rsidR="000D53EA" w:rsidRDefault="00E604FA">
            <w:pPr>
              <w:pStyle w:val="ReportTableText"/>
              <w:rPr>
                <w:rFonts w:ascii="Times New Roman" w:hAnsi="Times New Roman"/>
                <w:vertAlign w:val="superscript"/>
              </w:rPr>
            </w:pPr>
            <w:r w:rsidRPr="00FF5C76">
              <w:rPr>
                <w:rFonts w:ascii="Times New Roman" w:hAnsi="Times New Roman"/>
              </w:rPr>
              <w:t>100-150</w:t>
            </w:r>
            <w:r w:rsidRPr="00FF5C76">
              <w:rPr>
                <w:rFonts w:ascii="Times New Roman" w:hAnsi="Times New Roman"/>
                <w:vertAlign w:val="superscript"/>
              </w:rPr>
              <w:t>3</w:t>
            </w:r>
          </w:p>
        </w:tc>
        <w:tc>
          <w:tcPr>
            <w:tcW w:w="1490" w:type="dxa"/>
            <w:noWrap/>
            <w:vAlign w:val="bottom"/>
          </w:tcPr>
          <w:p w:rsidR="000D53EA" w:rsidRDefault="00E604FA">
            <w:pPr>
              <w:pStyle w:val="ReportTableText"/>
              <w:rPr>
                <w:rFonts w:ascii="Times New Roman" w:hAnsi="Times New Roman"/>
                <w:vertAlign w:val="superscript"/>
              </w:rPr>
            </w:pPr>
            <w:r w:rsidRPr="00FF5C76">
              <w:rPr>
                <w:rFonts w:ascii="Times New Roman" w:hAnsi="Times New Roman"/>
              </w:rPr>
              <w:t>210-300</w:t>
            </w:r>
            <w:r w:rsidRPr="00FF5C76">
              <w:rPr>
                <w:rFonts w:ascii="Times New Roman" w:hAnsi="Times New Roman"/>
                <w:vertAlign w:val="superscript"/>
              </w:rPr>
              <w:t>4</w:t>
            </w:r>
          </w:p>
        </w:tc>
        <w:tc>
          <w:tcPr>
            <w:tcW w:w="1947" w:type="dxa"/>
          </w:tcPr>
          <w:p w:rsidR="000D53EA" w:rsidRDefault="00E604FA">
            <w:pPr>
              <w:pStyle w:val="ReportTableText"/>
              <w:rPr>
                <w:rFonts w:ascii="Times New Roman" w:hAnsi="Times New Roman"/>
              </w:rPr>
            </w:pPr>
            <w:r w:rsidRPr="00FF5C76">
              <w:rPr>
                <w:rFonts w:ascii="Times New Roman" w:hAnsi="Times New Roman"/>
              </w:rPr>
              <w:t>Electricity generated relative to coal, plus the value of RECs</w:t>
            </w:r>
          </w:p>
        </w:tc>
      </w:tr>
      <w:tr w:rsidR="00E604FA" w:rsidRPr="00FF5C76" w:rsidTr="00E604FA">
        <w:trPr>
          <w:trHeight w:val="300"/>
        </w:trPr>
        <w:tc>
          <w:tcPr>
            <w:tcW w:w="1995" w:type="dxa"/>
            <w:noWrap/>
            <w:vAlign w:val="bottom"/>
          </w:tcPr>
          <w:p w:rsidR="00E604FA" w:rsidRPr="00FF5C76" w:rsidRDefault="00E604FA" w:rsidP="00A35633">
            <w:pPr>
              <w:pStyle w:val="ReportTableText"/>
              <w:rPr>
                <w:rFonts w:ascii="Times New Roman" w:hAnsi="Times New Roman"/>
              </w:rPr>
            </w:pPr>
            <w:r w:rsidRPr="00FF5C76">
              <w:rPr>
                <w:rFonts w:ascii="Times New Roman" w:hAnsi="Times New Roman"/>
              </w:rPr>
              <w:t>Inorganic matter</w:t>
            </w:r>
          </w:p>
        </w:tc>
        <w:tc>
          <w:tcPr>
            <w:tcW w:w="2338" w:type="dxa"/>
            <w:noWrap/>
            <w:vAlign w:val="bottom"/>
          </w:tcPr>
          <w:p w:rsidR="000D53EA" w:rsidRDefault="00E604FA">
            <w:pPr>
              <w:pStyle w:val="ReportTableText"/>
              <w:rPr>
                <w:rFonts w:ascii="Times New Roman" w:hAnsi="Times New Roman"/>
              </w:rPr>
            </w:pPr>
            <w:r w:rsidRPr="00FF5C76">
              <w:rPr>
                <w:rFonts w:ascii="Times New Roman" w:hAnsi="Times New Roman"/>
              </w:rPr>
              <w:t>Non volatile solids</w:t>
            </w:r>
          </w:p>
        </w:tc>
        <w:tc>
          <w:tcPr>
            <w:tcW w:w="1417" w:type="dxa"/>
            <w:noWrap/>
            <w:vAlign w:val="bottom"/>
          </w:tcPr>
          <w:p w:rsidR="000D53EA" w:rsidRDefault="00E604FA">
            <w:pPr>
              <w:pStyle w:val="ReportTableText"/>
              <w:rPr>
                <w:rFonts w:ascii="Times New Roman" w:hAnsi="Times New Roman"/>
                <w:vertAlign w:val="superscript"/>
              </w:rPr>
            </w:pPr>
            <w:r w:rsidRPr="00FF5C76">
              <w:rPr>
                <w:rFonts w:ascii="Times New Roman" w:hAnsi="Times New Roman"/>
              </w:rPr>
              <w:t>2-4</w:t>
            </w:r>
            <w:r w:rsidRPr="00FF5C76">
              <w:rPr>
                <w:rFonts w:ascii="Times New Roman" w:hAnsi="Times New Roman"/>
                <w:vertAlign w:val="superscript"/>
              </w:rPr>
              <w:t>5</w:t>
            </w:r>
          </w:p>
        </w:tc>
        <w:tc>
          <w:tcPr>
            <w:tcW w:w="1490" w:type="dxa"/>
            <w:noWrap/>
            <w:vAlign w:val="bottom"/>
          </w:tcPr>
          <w:p w:rsidR="000D53EA" w:rsidRDefault="00E604FA">
            <w:pPr>
              <w:pStyle w:val="ReportTableText"/>
              <w:rPr>
                <w:rFonts w:ascii="Times New Roman" w:hAnsi="Times New Roman"/>
                <w:vertAlign w:val="superscript"/>
              </w:rPr>
            </w:pPr>
            <w:r w:rsidRPr="00FF5C76">
              <w:rPr>
                <w:rFonts w:ascii="Times New Roman" w:hAnsi="Times New Roman"/>
              </w:rPr>
              <w:t>5-10</w:t>
            </w:r>
            <w:r w:rsidRPr="00FF5C76">
              <w:rPr>
                <w:rFonts w:ascii="Times New Roman" w:hAnsi="Times New Roman"/>
                <w:vertAlign w:val="superscript"/>
              </w:rPr>
              <w:t>6</w:t>
            </w:r>
          </w:p>
        </w:tc>
        <w:tc>
          <w:tcPr>
            <w:tcW w:w="1947" w:type="dxa"/>
          </w:tcPr>
          <w:p w:rsidR="000D53EA" w:rsidRDefault="00E604FA">
            <w:pPr>
              <w:pStyle w:val="ReportTableText"/>
              <w:rPr>
                <w:rFonts w:ascii="Times New Roman" w:hAnsi="Times New Roman"/>
              </w:rPr>
            </w:pPr>
            <w:r w:rsidRPr="00FF5C76">
              <w:rPr>
                <w:rFonts w:ascii="Times New Roman" w:hAnsi="Times New Roman"/>
              </w:rPr>
              <w:t>Clay replacement</w:t>
            </w:r>
          </w:p>
        </w:tc>
      </w:tr>
      <w:tr w:rsidR="00E604FA" w:rsidRPr="00FF5C76" w:rsidTr="00E604FA">
        <w:trPr>
          <w:trHeight w:val="300"/>
        </w:trPr>
        <w:tc>
          <w:tcPr>
            <w:tcW w:w="1995" w:type="dxa"/>
            <w:noWrap/>
            <w:vAlign w:val="bottom"/>
          </w:tcPr>
          <w:p w:rsidR="00E604FA" w:rsidRPr="00FF5C76" w:rsidRDefault="00E604FA" w:rsidP="00A35633">
            <w:pPr>
              <w:pStyle w:val="ReportTableText"/>
              <w:rPr>
                <w:rFonts w:ascii="Times New Roman" w:hAnsi="Times New Roman"/>
              </w:rPr>
            </w:pPr>
            <w:r w:rsidRPr="00FF5C76">
              <w:rPr>
                <w:rFonts w:ascii="Times New Roman" w:hAnsi="Times New Roman"/>
              </w:rPr>
              <w:t>Micro-nutrients</w:t>
            </w:r>
          </w:p>
        </w:tc>
        <w:tc>
          <w:tcPr>
            <w:tcW w:w="2338" w:type="dxa"/>
            <w:noWrap/>
            <w:vAlign w:val="bottom"/>
          </w:tcPr>
          <w:p w:rsidR="000D53EA" w:rsidRDefault="00E604FA">
            <w:pPr>
              <w:pStyle w:val="ReportTableText"/>
              <w:rPr>
                <w:rFonts w:ascii="Times New Roman" w:hAnsi="Times New Roman"/>
              </w:rPr>
            </w:pPr>
            <w:r w:rsidRPr="00FF5C76">
              <w:rPr>
                <w:rFonts w:ascii="Times New Roman" w:hAnsi="Times New Roman"/>
              </w:rPr>
              <w:t>Copper and zinc</w:t>
            </w:r>
          </w:p>
        </w:tc>
        <w:tc>
          <w:tcPr>
            <w:tcW w:w="1417" w:type="dxa"/>
            <w:noWrap/>
            <w:vAlign w:val="bottom"/>
          </w:tcPr>
          <w:p w:rsidR="000D53EA" w:rsidRDefault="00E604FA">
            <w:pPr>
              <w:pStyle w:val="ReportTableText"/>
              <w:rPr>
                <w:rFonts w:ascii="Times New Roman" w:hAnsi="Times New Roman"/>
                <w:vertAlign w:val="superscript"/>
              </w:rPr>
            </w:pPr>
            <w:r w:rsidRPr="00FF5C76">
              <w:rPr>
                <w:rFonts w:ascii="Times New Roman" w:hAnsi="Times New Roman"/>
              </w:rPr>
              <w:t>13</w:t>
            </w:r>
            <w:r w:rsidRPr="00FF5C76">
              <w:rPr>
                <w:rFonts w:ascii="Times New Roman" w:hAnsi="Times New Roman"/>
                <w:vertAlign w:val="superscript"/>
              </w:rPr>
              <w:t>7</w:t>
            </w:r>
          </w:p>
        </w:tc>
        <w:tc>
          <w:tcPr>
            <w:tcW w:w="1490" w:type="dxa"/>
            <w:noWrap/>
            <w:vAlign w:val="bottom"/>
          </w:tcPr>
          <w:p w:rsidR="000D53EA" w:rsidRDefault="00E604FA">
            <w:pPr>
              <w:pStyle w:val="ReportTableText"/>
              <w:rPr>
                <w:rFonts w:ascii="Times New Roman" w:hAnsi="Times New Roman"/>
                <w:vertAlign w:val="superscript"/>
              </w:rPr>
            </w:pPr>
            <w:r w:rsidRPr="00FF5C76">
              <w:rPr>
                <w:rFonts w:ascii="Times New Roman" w:hAnsi="Times New Roman"/>
              </w:rPr>
              <w:t>Not estimated</w:t>
            </w:r>
          </w:p>
        </w:tc>
        <w:tc>
          <w:tcPr>
            <w:tcW w:w="1947" w:type="dxa"/>
          </w:tcPr>
          <w:p w:rsidR="000D53EA" w:rsidRDefault="00E604FA">
            <w:pPr>
              <w:pStyle w:val="ReportTableText"/>
              <w:rPr>
                <w:rFonts w:ascii="Times New Roman" w:hAnsi="Times New Roman"/>
              </w:rPr>
            </w:pPr>
            <w:r w:rsidRPr="00FF5C76">
              <w:rPr>
                <w:rFonts w:ascii="Times New Roman" w:hAnsi="Times New Roman"/>
              </w:rPr>
              <w:t>Copper and zinc</w:t>
            </w:r>
          </w:p>
        </w:tc>
      </w:tr>
    </w:tbl>
    <w:p w:rsidR="000D53EA" w:rsidRDefault="00E604FA">
      <w:pPr>
        <w:pStyle w:val="ReportBodyText"/>
        <w:spacing w:before="0" w:after="0" w:line="240" w:lineRule="auto"/>
        <w:jc w:val="left"/>
        <w:rPr>
          <w:rFonts w:ascii="Times New Roman" w:hAnsi="Times New Roman" w:cs="Times New Roman"/>
          <w:sz w:val="16"/>
          <w:szCs w:val="16"/>
        </w:rPr>
      </w:pPr>
      <w:r w:rsidRPr="00FF5C76">
        <w:rPr>
          <w:rFonts w:ascii="Times New Roman" w:hAnsi="Times New Roman" w:cs="Times New Roman"/>
          <w:sz w:val="16"/>
          <w:szCs w:val="16"/>
        </w:rPr>
        <w:t>Notes</w:t>
      </w:r>
      <w:r w:rsidRPr="00FF5C76">
        <w:rPr>
          <w:rFonts w:ascii="Times New Roman" w:hAnsi="Times New Roman" w:cs="Times New Roman"/>
          <w:sz w:val="16"/>
          <w:szCs w:val="16"/>
        </w:rPr>
        <w:tab/>
        <w:t>1</w:t>
      </w:r>
      <w:proofErr w:type="gramStart"/>
      <w:r w:rsidRPr="00FF5C76">
        <w:rPr>
          <w:rFonts w:ascii="Times New Roman" w:hAnsi="Times New Roman" w:cs="Times New Roman"/>
          <w:sz w:val="16"/>
          <w:szCs w:val="16"/>
        </w:rPr>
        <w:t>)  Based</w:t>
      </w:r>
      <w:proofErr w:type="gramEnd"/>
      <w:r w:rsidRPr="00FF5C76">
        <w:rPr>
          <w:rFonts w:ascii="Times New Roman" w:hAnsi="Times New Roman" w:cs="Times New Roman"/>
          <w:sz w:val="16"/>
          <w:szCs w:val="16"/>
        </w:rPr>
        <w:t xml:space="preserve"> on current value of inorganic fertiliser phosphorus and typical phosphorus levels in </w:t>
      </w:r>
      <w:proofErr w:type="spellStart"/>
      <w:r w:rsidRPr="00FF5C76">
        <w:rPr>
          <w:rFonts w:ascii="Times New Roman" w:hAnsi="Times New Roman" w:cs="Times New Roman"/>
          <w:sz w:val="16"/>
          <w:szCs w:val="16"/>
        </w:rPr>
        <w:t>biosolids</w:t>
      </w:r>
      <w:proofErr w:type="spellEnd"/>
      <w:r w:rsidRPr="00FF5C76">
        <w:rPr>
          <w:rFonts w:ascii="Times New Roman" w:hAnsi="Times New Roman" w:cs="Times New Roman"/>
          <w:sz w:val="16"/>
          <w:szCs w:val="16"/>
        </w:rPr>
        <w:t>.</w:t>
      </w:r>
    </w:p>
    <w:p w:rsidR="000D53EA" w:rsidRDefault="00E604FA">
      <w:pPr>
        <w:pStyle w:val="ReportBodyText"/>
        <w:spacing w:before="0" w:after="0" w:line="240" w:lineRule="auto"/>
        <w:jc w:val="left"/>
        <w:rPr>
          <w:rFonts w:ascii="Times New Roman" w:hAnsi="Times New Roman" w:cs="Times New Roman"/>
          <w:sz w:val="16"/>
          <w:szCs w:val="16"/>
        </w:rPr>
      </w:pPr>
      <w:r w:rsidRPr="00FF5C76">
        <w:rPr>
          <w:rFonts w:ascii="Times New Roman" w:hAnsi="Times New Roman" w:cs="Times New Roman"/>
          <w:sz w:val="16"/>
          <w:szCs w:val="16"/>
        </w:rPr>
        <w:tab/>
        <w:t>2)  Based on assumed increase of phosphorus of three times consistent with US DOE predictions for oil prices.</w:t>
      </w:r>
    </w:p>
    <w:p w:rsidR="000D53EA" w:rsidRDefault="00E604FA">
      <w:pPr>
        <w:pStyle w:val="ReportBodyText"/>
        <w:spacing w:before="0" w:after="0" w:line="240" w:lineRule="auto"/>
        <w:jc w:val="left"/>
        <w:rPr>
          <w:rFonts w:ascii="Times New Roman" w:hAnsi="Times New Roman" w:cs="Times New Roman"/>
          <w:sz w:val="16"/>
          <w:szCs w:val="16"/>
        </w:rPr>
      </w:pPr>
      <w:r w:rsidRPr="00FF5C76">
        <w:rPr>
          <w:rFonts w:ascii="Times New Roman" w:hAnsi="Times New Roman" w:cs="Times New Roman"/>
          <w:sz w:val="16"/>
          <w:szCs w:val="16"/>
        </w:rPr>
        <w:tab/>
        <w:t>3)  Based on potential electricity generation using $15/</w:t>
      </w:r>
      <w:proofErr w:type="spellStart"/>
      <w:r w:rsidRPr="00FF5C76">
        <w:rPr>
          <w:rFonts w:ascii="Times New Roman" w:hAnsi="Times New Roman" w:cs="Times New Roman"/>
          <w:sz w:val="16"/>
          <w:szCs w:val="16"/>
        </w:rPr>
        <w:t>MWhr</w:t>
      </w:r>
      <w:proofErr w:type="spellEnd"/>
      <w:r w:rsidRPr="00FF5C76">
        <w:rPr>
          <w:rFonts w:ascii="Times New Roman" w:hAnsi="Times New Roman" w:cs="Times New Roman"/>
          <w:sz w:val="16"/>
          <w:szCs w:val="16"/>
        </w:rPr>
        <w:t xml:space="preserve"> plus $40/</w:t>
      </w:r>
      <w:proofErr w:type="spellStart"/>
      <w:r w:rsidRPr="00FF5C76">
        <w:rPr>
          <w:rFonts w:ascii="Times New Roman" w:hAnsi="Times New Roman" w:cs="Times New Roman"/>
          <w:sz w:val="16"/>
          <w:szCs w:val="16"/>
        </w:rPr>
        <w:t>MWhr</w:t>
      </w:r>
      <w:proofErr w:type="spellEnd"/>
      <w:r w:rsidRPr="00FF5C76">
        <w:rPr>
          <w:rFonts w:ascii="Times New Roman" w:hAnsi="Times New Roman" w:cs="Times New Roman"/>
          <w:sz w:val="16"/>
          <w:szCs w:val="16"/>
        </w:rPr>
        <w:t xml:space="preserve"> for </w:t>
      </w:r>
      <w:proofErr w:type="spellStart"/>
      <w:r w:rsidRPr="00FF5C76">
        <w:rPr>
          <w:rFonts w:ascii="Times New Roman" w:hAnsi="Times New Roman" w:cs="Times New Roman"/>
          <w:sz w:val="16"/>
          <w:szCs w:val="16"/>
        </w:rPr>
        <w:t>RECs.</w:t>
      </w:r>
      <w:proofErr w:type="spellEnd"/>
    </w:p>
    <w:p w:rsidR="000D53EA" w:rsidRDefault="00E604FA">
      <w:pPr>
        <w:pStyle w:val="ReportBodyText"/>
        <w:spacing w:before="0" w:after="0" w:line="240" w:lineRule="auto"/>
        <w:ind w:left="720" w:right="-7"/>
        <w:jc w:val="left"/>
        <w:rPr>
          <w:rFonts w:ascii="Times New Roman" w:hAnsi="Times New Roman" w:cs="Times New Roman"/>
          <w:sz w:val="16"/>
          <w:szCs w:val="16"/>
        </w:rPr>
      </w:pPr>
      <w:r w:rsidRPr="00FF5C76">
        <w:rPr>
          <w:rFonts w:ascii="Times New Roman" w:hAnsi="Times New Roman" w:cs="Times New Roman"/>
          <w:sz w:val="16"/>
          <w:szCs w:val="16"/>
        </w:rPr>
        <w:t>4)  Based on a threefold increase in the price of RECs due to carbon management policies and stable coal prices as per World</w:t>
      </w:r>
      <w:r w:rsidR="002F6B1D">
        <w:rPr>
          <w:rFonts w:ascii="Times New Roman" w:hAnsi="Times New Roman" w:cs="Times New Roman"/>
          <w:sz w:val="16"/>
          <w:szCs w:val="16"/>
        </w:rPr>
        <w:t> </w:t>
      </w:r>
      <w:r w:rsidRPr="00FF5C76">
        <w:rPr>
          <w:rFonts w:ascii="Times New Roman" w:hAnsi="Times New Roman" w:cs="Times New Roman"/>
          <w:sz w:val="16"/>
          <w:szCs w:val="16"/>
        </w:rPr>
        <w:t>Bank predictions.</w:t>
      </w:r>
    </w:p>
    <w:p w:rsidR="000D53EA" w:rsidRDefault="00E604FA">
      <w:pPr>
        <w:pStyle w:val="ReportBodyText"/>
        <w:spacing w:before="0" w:after="0" w:line="240" w:lineRule="auto"/>
        <w:ind w:right="1700" w:firstLine="720"/>
        <w:jc w:val="left"/>
        <w:rPr>
          <w:rFonts w:ascii="Times New Roman" w:hAnsi="Times New Roman" w:cs="Times New Roman"/>
          <w:sz w:val="16"/>
          <w:szCs w:val="16"/>
        </w:rPr>
      </w:pPr>
      <w:r w:rsidRPr="00FF5C76">
        <w:rPr>
          <w:rFonts w:ascii="Times New Roman" w:hAnsi="Times New Roman" w:cs="Times New Roman"/>
          <w:sz w:val="16"/>
          <w:szCs w:val="16"/>
        </w:rPr>
        <w:t>5)  Based on non volatile solids content and typical cost of clay for brick making.</w:t>
      </w:r>
    </w:p>
    <w:p w:rsidR="000D53EA" w:rsidRDefault="00E604FA">
      <w:pPr>
        <w:pStyle w:val="ReportBodyText"/>
        <w:spacing w:before="0" w:after="0" w:line="240" w:lineRule="auto"/>
        <w:ind w:right="1700" w:firstLine="720"/>
        <w:jc w:val="left"/>
        <w:rPr>
          <w:rFonts w:ascii="Times New Roman" w:hAnsi="Times New Roman" w:cs="Times New Roman"/>
          <w:sz w:val="16"/>
          <w:szCs w:val="16"/>
        </w:rPr>
      </w:pPr>
      <w:r w:rsidRPr="00FF5C76">
        <w:rPr>
          <w:rFonts w:ascii="Times New Roman" w:hAnsi="Times New Roman" w:cs="Times New Roman"/>
          <w:sz w:val="16"/>
          <w:szCs w:val="16"/>
        </w:rPr>
        <w:t>6)  Based on increased cost of raw materials including diminishing local reserves.</w:t>
      </w:r>
    </w:p>
    <w:p w:rsidR="000D53EA" w:rsidRDefault="00E604FA">
      <w:pPr>
        <w:pStyle w:val="ReportBodyText"/>
        <w:spacing w:before="0" w:after="0" w:line="240" w:lineRule="auto"/>
        <w:ind w:left="720" w:right="-7"/>
        <w:jc w:val="left"/>
        <w:rPr>
          <w:rFonts w:ascii="Times New Roman" w:hAnsi="Times New Roman" w:cs="Times New Roman"/>
          <w:sz w:val="16"/>
          <w:szCs w:val="16"/>
        </w:rPr>
      </w:pPr>
      <w:r w:rsidRPr="00FF5C76">
        <w:rPr>
          <w:rFonts w:ascii="Times New Roman" w:hAnsi="Times New Roman" w:cs="Times New Roman"/>
          <w:sz w:val="16"/>
          <w:szCs w:val="16"/>
        </w:rPr>
        <w:t xml:space="preserve">7)  Based on current price of agricultural copper and zinc sulphate, and their copper and zinc content relative to </w:t>
      </w:r>
      <w:proofErr w:type="spellStart"/>
      <w:r w:rsidRPr="00FF5C76">
        <w:rPr>
          <w:rFonts w:ascii="Times New Roman" w:hAnsi="Times New Roman" w:cs="Times New Roman"/>
          <w:sz w:val="16"/>
          <w:szCs w:val="16"/>
        </w:rPr>
        <w:t>biosolids</w:t>
      </w:r>
      <w:proofErr w:type="spellEnd"/>
      <w:r w:rsidRPr="00FF5C76">
        <w:rPr>
          <w:rFonts w:ascii="Times New Roman" w:hAnsi="Times New Roman" w:cs="Times New Roman"/>
          <w:sz w:val="16"/>
          <w:szCs w:val="16"/>
        </w:rPr>
        <w:t>.</w:t>
      </w:r>
    </w:p>
    <w:p w:rsidR="000D53EA" w:rsidRDefault="000D53EA">
      <w:pPr>
        <w:jc w:val="left"/>
      </w:pPr>
    </w:p>
    <w:p w:rsidR="00221483" w:rsidRDefault="00221483" w:rsidP="00A35633">
      <w:pPr>
        <w:spacing w:before="0" w:after="0"/>
        <w:jc w:val="left"/>
        <w:rPr>
          <w:b/>
          <w:caps/>
          <w:kern w:val="28"/>
          <w:sz w:val="28"/>
        </w:rPr>
      </w:pPr>
      <w:r>
        <w:br w:type="page"/>
      </w:r>
    </w:p>
    <w:p w:rsidR="000D53EA" w:rsidRDefault="00337CA3">
      <w:pPr>
        <w:pStyle w:val="Heading1"/>
        <w:jc w:val="left"/>
      </w:pPr>
      <w:bookmarkStart w:id="53" w:name="_Toc326747471"/>
      <w:r>
        <w:lastRenderedPageBreak/>
        <w:t>Biosolids markets</w:t>
      </w:r>
      <w:bookmarkEnd w:id="53"/>
    </w:p>
    <w:p w:rsidR="000D53EA" w:rsidRDefault="00F501C8">
      <w:pPr>
        <w:pStyle w:val="Heading2"/>
        <w:jc w:val="left"/>
      </w:pPr>
      <w:bookmarkStart w:id="54" w:name="_Toc326747472"/>
      <w:r>
        <w:t>General</w:t>
      </w:r>
      <w:bookmarkEnd w:id="54"/>
    </w:p>
    <w:p w:rsidR="000D53EA" w:rsidRDefault="00F501C8">
      <w:pPr>
        <w:jc w:val="left"/>
      </w:pPr>
      <w:proofErr w:type="spellStart"/>
      <w:r>
        <w:t>Biosolids</w:t>
      </w:r>
      <w:proofErr w:type="spellEnd"/>
      <w:r>
        <w:t xml:space="preserve"> ha</w:t>
      </w:r>
      <w:r w:rsidR="00221483">
        <w:t>ve</w:t>
      </w:r>
      <w:r>
        <w:t xml:space="preserve"> been used in Australia under the current regulations since the early 1990’s.  In this time around 2 milli</w:t>
      </w:r>
      <w:r w:rsidR="00221483">
        <w:t xml:space="preserve">on tonnes (dry) of </w:t>
      </w:r>
      <w:proofErr w:type="spellStart"/>
      <w:r w:rsidR="00221483">
        <w:t>biosolids</w:t>
      </w:r>
      <w:proofErr w:type="spellEnd"/>
      <w:r w:rsidR="00221483">
        <w:t xml:space="preserve"> have</w:t>
      </w:r>
      <w:r>
        <w:t xml:space="preserve"> been beneficially used, the majority of this on agricultural land. The key existing and potential future </w:t>
      </w:r>
      <w:proofErr w:type="spellStart"/>
      <w:r>
        <w:t>bioso</w:t>
      </w:r>
      <w:r w:rsidR="008E3757">
        <w:t>lids</w:t>
      </w:r>
      <w:proofErr w:type="spellEnd"/>
      <w:r w:rsidR="008E3757">
        <w:t xml:space="preserve"> markets are outlined below</w:t>
      </w:r>
      <w:r w:rsidR="007471F4">
        <w:t xml:space="preserve"> and broadly defined in Table 11</w:t>
      </w:r>
      <w:r w:rsidR="008E3757">
        <w:t xml:space="preserve"> below.</w:t>
      </w:r>
    </w:p>
    <w:p w:rsidR="000D53EA" w:rsidRDefault="008E3757">
      <w:pPr>
        <w:pStyle w:val="TableHeading"/>
        <w:jc w:val="left"/>
      </w:pPr>
      <w:bookmarkStart w:id="55" w:name="_Ref267906361"/>
      <w:r w:rsidRPr="008E3757">
        <w:t xml:space="preserve">Table </w:t>
      </w:r>
      <w:bookmarkEnd w:id="55"/>
      <w:r w:rsidR="007471F4">
        <w:t>11</w:t>
      </w:r>
      <w:r w:rsidRPr="008E3757">
        <w:t xml:space="preserve"> Definition and scope of markets considered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61"/>
        <w:gridCol w:w="6037"/>
      </w:tblGrid>
      <w:tr w:rsidR="008E3757" w:rsidRPr="008E3757" w:rsidTr="003B769B">
        <w:tc>
          <w:tcPr>
            <w:tcW w:w="2961" w:type="dxa"/>
            <w:shd w:val="clear" w:color="auto" w:fill="auto"/>
          </w:tcPr>
          <w:p w:rsidR="008E3757" w:rsidRPr="008E3757" w:rsidRDefault="008E3757" w:rsidP="00A35633">
            <w:pPr>
              <w:pStyle w:val="ReportTableHeading"/>
              <w:rPr>
                <w:rFonts w:ascii="Times New Roman" w:hAnsi="Times New Roman" w:cs="Times New Roman"/>
                <w:color w:val="auto"/>
              </w:rPr>
            </w:pPr>
            <w:r w:rsidRPr="008E3757">
              <w:rPr>
                <w:rFonts w:ascii="Times New Roman" w:hAnsi="Times New Roman" w:cs="Times New Roman"/>
                <w:color w:val="auto"/>
              </w:rPr>
              <w:t>Market</w:t>
            </w:r>
          </w:p>
        </w:tc>
        <w:tc>
          <w:tcPr>
            <w:tcW w:w="6037" w:type="dxa"/>
            <w:shd w:val="clear" w:color="auto" w:fill="auto"/>
          </w:tcPr>
          <w:p w:rsidR="008E3757" w:rsidRPr="008E3757" w:rsidRDefault="008E3757" w:rsidP="00A35633">
            <w:pPr>
              <w:pStyle w:val="ReportTableHeading"/>
              <w:rPr>
                <w:rFonts w:ascii="Times New Roman" w:hAnsi="Times New Roman" w:cs="Times New Roman"/>
                <w:color w:val="auto"/>
              </w:rPr>
            </w:pPr>
            <w:r w:rsidRPr="008E3757">
              <w:rPr>
                <w:rFonts w:ascii="Times New Roman" w:hAnsi="Times New Roman" w:cs="Times New Roman"/>
                <w:color w:val="auto"/>
              </w:rPr>
              <w:t>Definition</w:t>
            </w:r>
          </w:p>
        </w:tc>
      </w:tr>
      <w:tr w:rsidR="008E3757" w:rsidRPr="008E3757" w:rsidTr="003B769B">
        <w:tc>
          <w:tcPr>
            <w:tcW w:w="2961" w:type="dxa"/>
          </w:tcPr>
          <w:p w:rsidR="008E3757" w:rsidRPr="008E3757" w:rsidRDefault="008E3757" w:rsidP="00A35633">
            <w:pPr>
              <w:pStyle w:val="ReportTableText"/>
              <w:rPr>
                <w:rFonts w:ascii="Times New Roman" w:hAnsi="Times New Roman"/>
                <w:lang w:val="en-AU"/>
              </w:rPr>
            </w:pPr>
            <w:r w:rsidRPr="008E3757">
              <w:rPr>
                <w:rFonts w:ascii="Times New Roman" w:hAnsi="Times New Roman"/>
                <w:lang w:val="en-AU"/>
              </w:rPr>
              <w:t>Agriculture</w:t>
            </w:r>
          </w:p>
        </w:tc>
        <w:tc>
          <w:tcPr>
            <w:tcW w:w="6037" w:type="dxa"/>
          </w:tcPr>
          <w:p w:rsidR="008E3757" w:rsidRPr="008E3757" w:rsidRDefault="008E3757" w:rsidP="00A35633">
            <w:pPr>
              <w:pStyle w:val="ReportTableText"/>
              <w:rPr>
                <w:rFonts w:ascii="Times New Roman" w:hAnsi="Times New Roman"/>
                <w:lang w:val="en-AU"/>
              </w:rPr>
            </w:pPr>
            <w:r w:rsidRPr="008E3757">
              <w:rPr>
                <w:rFonts w:ascii="Times New Roman" w:hAnsi="Times New Roman"/>
                <w:lang w:val="en-AU"/>
              </w:rPr>
              <w:t xml:space="preserve">Fertiliser supplement for </w:t>
            </w:r>
            <w:proofErr w:type="spellStart"/>
            <w:r w:rsidRPr="008E3757">
              <w:rPr>
                <w:rFonts w:ascii="Times New Roman" w:hAnsi="Times New Roman"/>
                <w:lang w:val="en-AU"/>
              </w:rPr>
              <w:t>broadacre</w:t>
            </w:r>
            <w:proofErr w:type="spellEnd"/>
            <w:r w:rsidRPr="008E3757">
              <w:rPr>
                <w:rFonts w:ascii="Times New Roman" w:hAnsi="Times New Roman"/>
                <w:lang w:val="en-AU"/>
              </w:rPr>
              <w:t xml:space="preserve"> pasture and cereal cropping, not including orchards, vegetables, vineyards or small agricultural endeavours</w:t>
            </w:r>
          </w:p>
        </w:tc>
      </w:tr>
      <w:tr w:rsidR="008E3757" w:rsidRPr="008E3757" w:rsidTr="003B769B">
        <w:tc>
          <w:tcPr>
            <w:tcW w:w="2961" w:type="dxa"/>
          </w:tcPr>
          <w:p w:rsidR="008E3757" w:rsidRPr="008E3757" w:rsidRDefault="008E3757" w:rsidP="00A35633">
            <w:pPr>
              <w:pStyle w:val="ReportTableText"/>
              <w:rPr>
                <w:rFonts w:ascii="Times New Roman" w:hAnsi="Times New Roman"/>
                <w:lang w:val="en-AU"/>
              </w:rPr>
            </w:pPr>
            <w:r w:rsidRPr="008E3757">
              <w:rPr>
                <w:rFonts w:ascii="Times New Roman" w:hAnsi="Times New Roman"/>
                <w:lang w:val="en-AU"/>
              </w:rPr>
              <w:t>Soil rehabilitation</w:t>
            </w:r>
          </w:p>
        </w:tc>
        <w:tc>
          <w:tcPr>
            <w:tcW w:w="6037" w:type="dxa"/>
          </w:tcPr>
          <w:p w:rsidR="008E3757" w:rsidRPr="008E3757" w:rsidRDefault="008E3757" w:rsidP="00A35633">
            <w:pPr>
              <w:pStyle w:val="ReportTableText"/>
              <w:rPr>
                <w:rFonts w:ascii="Times New Roman" w:hAnsi="Times New Roman"/>
                <w:lang w:val="en-AU"/>
              </w:rPr>
            </w:pPr>
            <w:r w:rsidRPr="008E3757">
              <w:rPr>
                <w:rFonts w:ascii="Times New Roman" w:hAnsi="Times New Roman"/>
                <w:lang w:val="en-AU"/>
              </w:rPr>
              <w:t>Remediation of degraded soils</w:t>
            </w:r>
          </w:p>
        </w:tc>
      </w:tr>
      <w:tr w:rsidR="008E3757" w:rsidRPr="008E3757" w:rsidTr="003B769B">
        <w:tc>
          <w:tcPr>
            <w:tcW w:w="2961" w:type="dxa"/>
          </w:tcPr>
          <w:p w:rsidR="008E3757" w:rsidRPr="008E3757" w:rsidRDefault="008E3757" w:rsidP="00A35633">
            <w:pPr>
              <w:pStyle w:val="ReportTableText"/>
              <w:rPr>
                <w:rFonts w:ascii="Times New Roman" w:hAnsi="Times New Roman"/>
                <w:lang w:val="en-AU"/>
              </w:rPr>
            </w:pPr>
            <w:r w:rsidRPr="008E3757">
              <w:rPr>
                <w:rFonts w:ascii="Times New Roman" w:hAnsi="Times New Roman"/>
                <w:lang w:val="en-AU"/>
              </w:rPr>
              <w:t>Forestry</w:t>
            </w:r>
          </w:p>
        </w:tc>
        <w:tc>
          <w:tcPr>
            <w:tcW w:w="6037" w:type="dxa"/>
          </w:tcPr>
          <w:p w:rsidR="008E3757" w:rsidRPr="008E3757" w:rsidRDefault="008E3757" w:rsidP="00A35633">
            <w:pPr>
              <w:pStyle w:val="ReportTableText"/>
              <w:rPr>
                <w:rFonts w:ascii="Times New Roman" w:hAnsi="Times New Roman"/>
                <w:lang w:val="en-AU"/>
              </w:rPr>
            </w:pPr>
            <w:r w:rsidRPr="008E3757">
              <w:rPr>
                <w:rFonts w:ascii="Times New Roman" w:hAnsi="Times New Roman"/>
                <w:lang w:val="en-AU"/>
              </w:rPr>
              <w:t xml:space="preserve">Fertiliser supplement for </w:t>
            </w:r>
            <w:proofErr w:type="spellStart"/>
            <w:r w:rsidRPr="008E3757">
              <w:rPr>
                <w:rFonts w:ascii="Times New Roman" w:hAnsi="Times New Roman"/>
                <w:lang w:val="en-AU"/>
              </w:rPr>
              <w:t>pinus</w:t>
            </w:r>
            <w:proofErr w:type="spellEnd"/>
            <w:r w:rsidRPr="008E3757">
              <w:rPr>
                <w:rFonts w:ascii="Times New Roman" w:hAnsi="Times New Roman"/>
                <w:lang w:val="en-AU"/>
              </w:rPr>
              <w:t xml:space="preserve"> </w:t>
            </w:r>
            <w:proofErr w:type="spellStart"/>
            <w:r w:rsidRPr="008E3757">
              <w:rPr>
                <w:rFonts w:ascii="Times New Roman" w:hAnsi="Times New Roman"/>
                <w:lang w:val="en-AU"/>
              </w:rPr>
              <w:t>radiata</w:t>
            </w:r>
            <w:proofErr w:type="spellEnd"/>
            <w:r w:rsidRPr="008E3757">
              <w:rPr>
                <w:rFonts w:ascii="Times New Roman" w:hAnsi="Times New Roman"/>
                <w:lang w:val="en-AU"/>
              </w:rPr>
              <w:t xml:space="preserve"> plantations</w:t>
            </w:r>
          </w:p>
        </w:tc>
      </w:tr>
      <w:tr w:rsidR="008E3757" w:rsidRPr="008E3757" w:rsidTr="003B769B">
        <w:tc>
          <w:tcPr>
            <w:tcW w:w="2961" w:type="dxa"/>
          </w:tcPr>
          <w:p w:rsidR="008E3757" w:rsidRPr="008E3757" w:rsidRDefault="008E3757" w:rsidP="00A35633">
            <w:pPr>
              <w:pStyle w:val="ReportTableText"/>
              <w:rPr>
                <w:rFonts w:ascii="Times New Roman" w:hAnsi="Times New Roman"/>
                <w:lang w:val="en-AU"/>
              </w:rPr>
            </w:pPr>
            <w:r w:rsidRPr="008E3757">
              <w:rPr>
                <w:rFonts w:ascii="Times New Roman" w:hAnsi="Times New Roman"/>
                <w:lang w:val="en-AU"/>
              </w:rPr>
              <w:t>Site (mine) rehabilitation</w:t>
            </w:r>
          </w:p>
        </w:tc>
        <w:tc>
          <w:tcPr>
            <w:tcW w:w="6037" w:type="dxa"/>
          </w:tcPr>
          <w:p w:rsidR="008E3757" w:rsidRPr="008E3757" w:rsidRDefault="008E3757" w:rsidP="00A35633">
            <w:pPr>
              <w:pStyle w:val="ReportTableText"/>
              <w:rPr>
                <w:rFonts w:ascii="Times New Roman" w:hAnsi="Times New Roman"/>
                <w:lang w:val="en-AU"/>
              </w:rPr>
            </w:pPr>
            <w:r w:rsidRPr="008E3757">
              <w:rPr>
                <w:rFonts w:ascii="Times New Roman" w:hAnsi="Times New Roman"/>
                <w:lang w:val="en-AU"/>
              </w:rPr>
              <w:t>Remediation of degraded sites to aid re-establishment of plant growth</w:t>
            </w:r>
          </w:p>
        </w:tc>
      </w:tr>
      <w:tr w:rsidR="008E3757" w:rsidRPr="008E3757" w:rsidTr="003B769B">
        <w:tc>
          <w:tcPr>
            <w:tcW w:w="2961" w:type="dxa"/>
          </w:tcPr>
          <w:p w:rsidR="008E3757" w:rsidRPr="008E3757" w:rsidRDefault="008E3757" w:rsidP="00A35633">
            <w:pPr>
              <w:pStyle w:val="ReportTableText"/>
              <w:rPr>
                <w:rFonts w:ascii="Times New Roman" w:hAnsi="Times New Roman"/>
                <w:lang w:val="en-AU"/>
              </w:rPr>
            </w:pPr>
            <w:r w:rsidRPr="008E3757">
              <w:rPr>
                <w:rFonts w:ascii="Times New Roman" w:hAnsi="Times New Roman"/>
                <w:lang w:val="en-AU"/>
              </w:rPr>
              <w:t>Landscaping and minor horticulture</w:t>
            </w:r>
          </w:p>
        </w:tc>
        <w:tc>
          <w:tcPr>
            <w:tcW w:w="6037" w:type="dxa"/>
          </w:tcPr>
          <w:p w:rsidR="008E3757" w:rsidRPr="008E3757" w:rsidRDefault="008E3757" w:rsidP="00A35633">
            <w:pPr>
              <w:pStyle w:val="ReportTableText"/>
              <w:rPr>
                <w:rFonts w:ascii="Times New Roman" w:hAnsi="Times New Roman"/>
                <w:lang w:val="en-AU"/>
              </w:rPr>
            </w:pPr>
            <w:r w:rsidRPr="008E3757">
              <w:rPr>
                <w:rFonts w:ascii="Times New Roman" w:hAnsi="Times New Roman"/>
                <w:lang w:val="en-AU"/>
              </w:rPr>
              <w:t>Composted product largely for urban landscaping and small scale horticultural use</w:t>
            </w:r>
          </w:p>
        </w:tc>
      </w:tr>
      <w:tr w:rsidR="008E3757" w:rsidRPr="008E3757" w:rsidTr="003B769B">
        <w:tc>
          <w:tcPr>
            <w:tcW w:w="2961" w:type="dxa"/>
          </w:tcPr>
          <w:p w:rsidR="008E3757" w:rsidRPr="008E3757" w:rsidRDefault="008E3757" w:rsidP="00A35633">
            <w:pPr>
              <w:pStyle w:val="ReportTableText"/>
              <w:rPr>
                <w:rFonts w:ascii="Times New Roman" w:hAnsi="Times New Roman"/>
                <w:lang w:val="en-AU"/>
              </w:rPr>
            </w:pPr>
            <w:r w:rsidRPr="008E3757">
              <w:rPr>
                <w:rFonts w:ascii="Times New Roman" w:hAnsi="Times New Roman"/>
                <w:lang w:val="en-AU"/>
              </w:rPr>
              <w:t>Building products</w:t>
            </w:r>
          </w:p>
        </w:tc>
        <w:tc>
          <w:tcPr>
            <w:tcW w:w="6037" w:type="dxa"/>
          </w:tcPr>
          <w:p w:rsidR="008E3757" w:rsidRPr="008E3757" w:rsidRDefault="008E3757" w:rsidP="00A35633">
            <w:pPr>
              <w:pStyle w:val="ReportTableText"/>
              <w:rPr>
                <w:rFonts w:ascii="Times New Roman" w:hAnsi="Times New Roman"/>
                <w:lang w:val="en-AU"/>
              </w:rPr>
            </w:pPr>
            <w:r w:rsidRPr="008E3757">
              <w:rPr>
                <w:rFonts w:ascii="Times New Roman" w:hAnsi="Times New Roman"/>
                <w:lang w:val="en-AU"/>
              </w:rPr>
              <w:t>Cement and brick making, not including roof and floor tiles, specialised ceramics, minor refractory products and artificial aggregates</w:t>
            </w:r>
          </w:p>
        </w:tc>
      </w:tr>
      <w:tr w:rsidR="008E3757" w:rsidRPr="008E3757" w:rsidTr="003B769B">
        <w:tc>
          <w:tcPr>
            <w:tcW w:w="2961" w:type="dxa"/>
          </w:tcPr>
          <w:p w:rsidR="008E3757" w:rsidRPr="008E3757" w:rsidRDefault="008E3757" w:rsidP="00A35633">
            <w:pPr>
              <w:pStyle w:val="ReportTableText"/>
              <w:rPr>
                <w:rFonts w:ascii="Times New Roman" w:hAnsi="Times New Roman"/>
                <w:lang w:val="en-AU"/>
              </w:rPr>
            </w:pPr>
            <w:r w:rsidRPr="008E3757">
              <w:rPr>
                <w:rFonts w:ascii="Times New Roman" w:hAnsi="Times New Roman"/>
                <w:lang w:val="en-AU"/>
              </w:rPr>
              <w:t>Energy production</w:t>
            </w:r>
          </w:p>
        </w:tc>
        <w:tc>
          <w:tcPr>
            <w:tcW w:w="6037" w:type="dxa"/>
          </w:tcPr>
          <w:p w:rsidR="008E3757" w:rsidRPr="008E3757" w:rsidRDefault="008E3757" w:rsidP="00A35633">
            <w:pPr>
              <w:pStyle w:val="ReportTableText"/>
              <w:rPr>
                <w:rFonts w:ascii="Times New Roman" w:hAnsi="Times New Roman"/>
                <w:lang w:val="en-AU"/>
              </w:rPr>
            </w:pPr>
            <w:r w:rsidRPr="008E3757">
              <w:rPr>
                <w:rFonts w:ascii="Times New Roman" w:hAnsi="Times New Roman"/>
                <w:lang w:val="en-AU"/>
              </w:rPr>
              <w:t xml:space="preserve">Direct combustion of </w:t>
            </w:r>
            <w:proofErr w:type="spellStart"/>
            <w:r w:rsidRPr="008E3757">
              <w:rPr>
                <w:rFonts w:ascii="Times New Roman" w:hAnsi="Times New Roman"/>
                <w:lang w:val="en-AU"/>
              </w:rPr>
              <w:t>biosolids</w:t>
            </w:r>
            <w:proofErr w:type="spellEnd"/>
            <w:r w:rsidRPr="008E3757">
              <w:rPr>
                <w:rFonts w:ascii="Times New Roman" w:hAnsi="Times New Roman"/>
                <w:lang w:val="en-AU"/>
              </w:rPr>
              <w:t xml:space="preserve"> or </w:t>
            </w:r>
            <w:proofErr w:type="spellStart"/>
            <w:r w:rsidRPr="008E3757">
              <w:rPr>
                <w:rFonts w:ascii="Times New Roman" w:hAnsi="Times New Roman"/>
                <w:lang w:val="en-AU"/>
              </w:rPr>
              <w:t>biosolids</w:t>
            </w:r>
            <w:proofErr w:type="spellEnd"/>
            <w:r w:rsidRPr="008E3757">
              <w:rPr>
                <w:rFonts w:ascii="Times New Roman" w:hAnsi="Times New Roman"/>
                <w:lang w:val="en-AU"/>
              </w:rPr>
              <w:t xml:space="preserve"> derived products to produce energy</w:t>
            </w:r>
          </w:p>
        </w:tc>
      </w:tr>
      <w:tr w:rsidR="008E3757" w:rsidRPr="008E3757" w:rsidTr="003B769B">
        <w:tc>
          <w:tcPr>
            <w:tcW w:w="2961" w:type="dxa"/>
          </w:tcPr>
          <w:p w:rsidR="008E3757" w:rsidRPr="008E3757" w:rsidRDefault="008E3757" w:rsidP="00A35633">
            <w:pPr>
              <w:pStyle w:val="ReportTableText"/>
              <w:rPr>
                <w:rFonts w:ascii="Times New Roman" w:hAnsi="Times New Roman"/>
                <w:lang w:val="en-AU"/>
              </w:rPr>
            </w:pPr>
            <w:r w:rsidRPr="008E3757">
              <w:rPr>
                <w:rFonts w:ascii="Times New Roman" w:hAnsi="Times New Roman"/>
                <w:lang w:val="en-AU"/>
              </w:rPr>
              <w:t>Carbon sequestration</w:t>
            </w:r>
          </w:p>
        </w:tc>
        <w:tc>
          <w:tcPr>
            <w:tcW w:w="6037" w:type="dxa"/>
          </w:tcPr>
          <w:p w:rsidR="008E3757" w:rsidRPr="008E3757" w:rsidRDefault="008E3757" w:rsidP="00A35633">
            <w:pPr>
              <w:pStyle w:val="ReportTableText"/>
              <w:rPr>
                <w:rFonts w:ascii="Times New Roman" w:hAnsi="Times New Roman"/>
                <w:lang w:val="en-AU"/>
              </w:rPr>
            </w:pPr>
            <w:r w:rsidRPr="008E3757">
              <w:rPr>
                <w:rFonts w:ascii="Times New Roman" w:hAnsi="Times New Roman"/>
                <w:lang w:val="en-AU"/>
              </w:rPr>
              <w:t xml:space="preserve">Land application of </w:t>
            </w:r>
            <w:r w:rsidR="00082FC6">
              <w:rPr>
                <w:rFonts w:ascii="Times New Roman" w:hAnsi="Times New Roman"/>
                <w:lang w:val="en-AU"/>
              </w:rPr>
              <w:t xml:space="preserve">char derived from </w:t>
            </w:r>
            <w:proofErr w:type="spellStart"/>
            <w:r w:rsidRPr="008E3757">
              <w:rPr>
                <w:rFonts w:ascii="Times New Roman" w:hAnsi="Times New Roman"/>
                <w:lang w:val="en-AU"/>
              </w:rPr>
              <w:t>biosolids</w:t>
            </w:r>
            <w:proofErr w:type="spellEnd"/>
            <w:r w:rsidRPr="008E3757">
              <w:rPr>
                <w:rFonts w:ascii="Times New Roman" w:hAnsi="Times New Roman"/>
                <w:lang w:val="en-AU"/>
              </w:rPr>
              <w:t xml:space="preserve"> in order to gain carbon credits or similar.</w:t>
            </w:r>
          </w:p>
        </w:tc>
      </w:tr>
    </w:tbl>
    <w:p w:rsidR="000D53EA" w:rsidRDefault="00F501C8">
      <w:pPr>
        <w:pStyle w:val="Heading2"/>
        <w:jc w:val="left"/>
      </w:pPr>
      <w:bookmarkStart w:id="56" w:name="_Toc272997685"/>
      <w:bookmarkStart w:id="57" w:name="_Toc326747473"/>
      <w:r w:rsidRPr="00F501C8">
        <w:t>Agriculture, landscaping and minor horticulture</w:t>
      </w:r>
      <w:bookmarkEnd w:id="56"/>
      <w:bookmarkEnd w:id="57"/>
    </w:p>
    <w:p w:rsidR="000D53EA" w:rsidRDefault="00F501C8">
      <w:pPr>
        <w:jc w:val="left"/>
      </w:pPr>
      <w:r w:rsidRPr="00F501C8">
        <w:t>Agriculture</w:t>
      </w:r>
      <w:r w:rsidR="00BE6D10">
        <w:t>,</w:t>
      </w:r>
      <w:r w:rsidRPr="00F501C8">
        <w:t xml:space="preserve"> landscaping and minor horticulture are existing, successful markets which have few barriers to their continued use. Agriculture has a total market potential </w:t>
      </w:r>
      <w:r w:rsidR="008E3757">
        <w:t>likely in</w:t>
      </w:r>
      <w:r w:rsidRPr="00F501C8">
        <w:t xml:space="preserve"> excess of 1</w:t>
      </w:r>
      <w:r w:rsidR="008E3757">
        <w:t>0</w:t>
      </w:r>
      <w:r w:rsidRPr="00F501C8">
        <w:t xml:space="preserve"> million tonnes per year of dry solids. Landscaping and minor horticulture has a </w:t>
      </w:r>
      <w:r w:rsidR="008E3757">
        <w:t xml:space="preserve">likely </w:t>
      </w:r>
      <w:r w:rsidRPr="00F501C8">
        <w:t xml:space="preserve">maximum capacity of around </w:t>
      </w:r>
      <w:r w:rsidR="008E3757">
        <w:t>1</w:t>
      </w:r>
      <w:r w:rsidRPr="00F501C8">
        <w:t>5</w:t>
      </w:r>
      <w:r w:rsidR="008E3757">
        <w:t>0</w:t>
      </w:r>
      <w:r w:rsidRPr="00F501C8">
        <w:t xml:space="preserve">,000 tonnes per year of dry solids and at this size all the compost made would have </w:t>
      </w:r>
      <w:proofErr w:type="spellStart"/>
      <w:r w:rsidRPr="00F501C8">
        <w:t>biosolids</w:t>
      </w:r>
      <w:proofErr w:type="spellEnd"/>
      <w:r w:rsidRPr="00F501C8">
        <w:t xml:space="preserve"> in it.</w:t>
      </w:r>
    </w:p>
    <w:p w:rsidR="000D53EA" w:rsidRDefault="00F501C8">
      <w:pPr>
        <w:jc w:val="left"/>
      </w:pPr>
      <w:r w:rsidRPr="00F501C8">
        <w:t xml:space="preserve">The value of </w:t>
      </w:r>
      <w:proofErr w:type="spellStart"/>
      <w:r w:rsidRPr="00F501C8">
        <w:t>biosolids</w:t>
      </w:r>
      <w:proofErr w:type="spellEnd"/>
      <w:r w:rsidRPr="00F501C8">
        <w:t xml:space="preserve"> in agriculture is </w:t>
      </w:r>
      <w:r w:rsidR="00A33119">
        <w:t xml:space="preserve">primarily </w:t>
      </w:r>
      <w:r w:rsidRPr="00F501C8">
        <w:t xml:space="preserve">the nutrients and typical </w:t>
      </w:r>
      <w:proofErr w:type="spellStart"/>
      <w:r w:rsidRPr="00F501C8">
        <w:t>biosolids</w:t>
      </w:r>
      <w:proofErr w:type="spellEnd"/>
      <w:r w:rsidRPr="00F501C8">
        <w:t xml:space="preserve"> has a potential value of around $100 per tonne of dry solids on this basis. The value of compost in this market is as a soil conditioner and low grade fertiliser and has a typical sale price of about $34 per tonne of dry solids.</w:t>
      </w:r>
    </w:p>
    <w:p w:rsidR="000D53EA" w:rsidRDefault="00F501C8">
      <w:pPr>
        <w:jc w:val="left"/>
      </w:pPr>
      <w:r w:rsidRPr="00F501C8">
        <w:t xml:space="preserve">The demand for </w:t>
      </w:r>
      <w:proofErr w:type="spellStart"/>
      <w:r w:rsidRPr="00F501C8">
        <w:t>biosolids</w:t>
      </w:r>
      <w:proofErr w:type="spellEnd"/>
      <w:r w:rsidRPr="00F501C8">
        <w:t xml:space="preserve"> products in these markets is projected to continue to grow roughly in proportion to population growth. These markets are relatively expensive to access and have a high sensitivity to fuel prices.</w:t>
      </w:r>
    </w:p>
    <w:p w:rsidR="000D53EA" w:rsidRDefault="00F501C8">
      <w:pPr>
        <w:jc w:val="left"/>
      </w:pPr>
      <w:r w:rsidRPr="00F501C8">
        <w:t>The key risk to the agricultural marke</w:t>
      </w:r>
      <w:r w:rsidR="008E3757">
        <w:t xml:space="preserve">t is odorous </w:t>
      </w:r>
      <w:proofErr w:type="spellStart"/>
      <w:r w:rsidR="008E3757">
        <w:t>biosolids</w:t>
      </w:r>
      <w:proofErr w:type="spellEnd"/>
      <w:r w:rsidR="008E3757">
        <w:t>.</w:t>
      </w:r>
    </w:p>
    <w:p w:rsidR="000D53EA" w:rsidRDefault="00F501C8">
      <w:pPr>
        <w:jc w:val="left"/>
      </w:pPr>
      <w:r w:rsidRPr="00F501C8">
        <w:t xml:space="preserve">The key risk to the landscaping and minor horticulture market is the limited market size.  </w:t>
      </w:r>
      <w:r w:rsidR="00A33119">
        <w:t>For example, b</w:t>
      </w:r>
      <w:r w:rsidRPr="00F501C8">
        <w:t xml:space="preserve">ased on the dilution rate needed for </w:t>
      </w:r>
      <w:proofErr w:type="spellStart"/>
      <w:r w:rsidRPr="00F501C8">
        <w:t>biosolids</w:t>
      </w:r>
      <w:proofErr w:type="spellEnd"/>
      <w:r w:rsidRPr="00F501C8">
        <w:t xml:space="preserve"> to make unrestricted grade compost, about two thirds of the compost in Sydney has </w:t>
      </w:r>
      <w:proofErr w:type="spellStart"/>
      <w:r w:rsidRPr="00F501C8">
        <w:t>biosolids</w:t>
      </w:r>
      <w:proofErr w:type="spellEnd"/>
      <w:r w:rsidRPr="00F501C8">
        <w:t xml:space="preserve"> in it. This market saturation is significant when compared with agriculture, in which less than about 1% of the potential market is used.</w:t>
      </w:r>
    </w:p>
    <w:p w:rsidR="000D53EA" w:rsidRDefault="00F501C8">
      <w:pPr>
        <w:pStyle w:val="Heading2"/>
        <w:keepLines/>
        <w:jc w:val="left"/>
      </w:pPr>
      <w:bookmarkStart w:id="58" w:name="_Toc272997686"/>
      <w:bookmarkStart w:id="59" w:name="_Toc326747474"/>
      <w:r w:rsidRPr="00F501C8">
        <w:lastRenderedPageBreak/>
        <w:t>Site rehabilitation, forestry</w:t>
      </w:r>
      <w:bookmarkEnd w:id="58"/>
      <w:bookmarkEnd w:id="59"/>
    </w:p>
    <w:p w:rsidR="000D53EA" w:rsidRDefault="00F501C8">
      <w:pPr>
        <w:keepNext/>
        <w:keepLines/>
        <w:jc w:val="left"/>
      </w:pPr>
      <w:r w:rsidRPr="00F501C8">
        <w:t xml:space="preserve">Site rehabilitation and forestry are existing markets which have been used to a limited extent by water businesses in Australia. </w:t>
      </w:r>
      <w:r w:rsidR="008E3757">
        <w:t>In NSW s</w:t>
      </w:r>
      <w:r w:rsidRPr="00F501C8">
        <w:t xml:space="preserve">ite rehabilitation has </w:t>
      </w:r>
      <w:r w:rsidR="008E3757">
        <w:t>been</w:t>
      </w:r>
      <w:r w:rsidRPr="00F501C8">
        <w:t xml:space="preserve"> estimated</w:t>
      </w:r>
      <w:r w:rsidR="008E3757">
        <w:t xml:space="preserve"> at a</w:t>
      </w:r>
      <w:r w:rsidRPr="00F501C8">
        <w:t xml:space="preserve"> size of around 16,000 tonnes per year of dry solids and forestry up to around 60,000 tonnes per year of dry solids. </w:t>
      </w:r>
      <w:r w:rsidR="00A33119">
        <w:t xml:space="preserve">Nationally there are no estimates of the size of these markets. </w:t>
      </w:r>
      <w:r w:rsidR="00AB318B">
        <w:t xml:space="preserve"> </w:t>
      </w:r>
      <w:r w:rsidRPr="00F501C8">
        <w:t xml:space="preserve">Although both markets have larger potential to take </w:t>
      </w:r>
      <w:proofErr w:type="spellStart"/>
      <w:r w:rsidRPr="00F501C8">
        <w:t>biosolids</w:t>
      </w:r>
      <w:proofErr w:type="spellEnd"/>
      <w:r w:rsidRPr="00F501C8">
        <w:t>, the practical size is limited due to other constraints.</w:t>
      </w:r>
      <w:r w:rsidR="00457AE8">
        <w:t xml:space="preserve"> In practical terms the indication is that these markets are equal to or smaller than the production of </w:t>
      </w:r>
      <w:proofErr w:type="spellStart"/>
      <w:r w:rsidR="00457AE8">
        <w:t>biosolids</w:t>
      </w:r>
      <w:proofErr w:type="spellEnd"/>
      <w:r w:rsidR="00457AE8">
        <w:t xml:space="preserve"> and are therefore significantly more limited than agriculture.</w:t>
      </w:r>
    </w:p>
    <w:p w:rsidR="000D53EA" w:rsidRDefault="00F501C8">
      <w:pPr>
        <w:jc w:val="left"/>
      </w:pPr>
      <w:r w:rsidRPr="00F501C8">
        <w:t xml:space="preserve">The primary value of </w:t>
      </w:r>
      <w:proofErr w:type="spellStart"/>
      <w:r w:rsidRPr="00F501C8">
        <w:t>biosolids</w:t>
      </w:r>
      <w:proofErr w:type="spellEnd"/>
      <w:r w:rsidRPr="00F501C8">
        <w:t xml:space="preserve"> in the site rehabilitation market is as a soil replacement product, which </w:t>
      </w:r>
      <w:r w:rsidR="00184B27">
        <w:t>have</w:t>
      </w:r>
      <w:r w:rsidRPr="00F501C8">
        <w:t xml:space="preserve"> a typical sale price of $23</w:t>
      </w:r>
      <w:r w:rsidR="00343A76">
        <w:t>–</w:t>
      </w:r>
      <w:r w:rsidRPr="00F501C8">
        <w:t xml:space="preserve">40 per tonne of dry solids. The value of </w:t>
      </w:r>
      <w:proofErr w:type="spellStart"/>
      <w:r w:rsidRPr="00F501C8">
        <w:t>biosolids</w:t>
      </w:r>
      <w:proofErr w:type="spellEnd"/>
      <w:r w:rsidRPr="00F501C8">
        <w:t xml:space="preserve"> in forestry is the nutrients and typical </w:t>
      </w:r>
      <w:proofErr w:type="spellStart"/>
      <w:r w:rsidRPr="00F501C8">
        <w:t>biosolids</w:t>
      </w:r>
      <w:proofErr w:type="spellEnd"/>
      <w:r w:rsidRPr="00F501C8">
        <w:t xml:space="preserve"> h</w:t>
      </w:r>
      <w:r w:rsidR="00184B27">
        <w:t>ave</w:t>
      </w:r>
      <w:r w:rsidRPr="00F501C8">
        <w:t xml:space="preserve"> a potential value of around $100 per tonne of dry solids on this basis. The demand for products in these markets is projected to be stable.</w:t>
      </w:r>
    </w:p>
    <w:p w:rsidR="000D53EA" w:rsidRDefault="00F501C8">
      <w:pPr>
        <w:jc w:val="left"/>
      </w:pPr>
      <w:r w:rsidRPr="00F501C8">
        <w:t xml:space="preserve">The key limitation to both these markets is application of </w:t>
      </w:r>
      <w:proofErr w:type="spellStart"/>
      <w:r w:rsidRPr="00F501C8">
        <w:t>biosolids</w:t>
      </w:r>
      <w:proofErr w:type="spellEnd"/>
      <w:r w:rsidRPr="00F501C8">
        <w:t xml:space="preserve">.  In both markets the terrain is very rough and </w:t>
      </w:r>
      <w:proofErr w:type="gramStart"/>
      <w:r w:rsidRPr="00F501C8">
        <w:t>conventional application equipment cannot access sites easily and often not at all</w:t>
      </w:r>
      <w:proofErr w:type="gramEnd"/>
      <w:r w:rsidRPr="00F501C8">
        <w:t>. In the case of forestry there is the additional problem of spacing between the trees not allowing access for spreading equipment. Mine sites also have significant additional safety requirements for equipment and personnel which is both an additional cost and deterrent to contractors.</w:t>
      </w:r>
    </w:p>
    <w:p w:rsidR="000D53EA" w:rsidRDefault="00F501C8">
      <w:pPr>
        <w:pStyle w:val="Heading2"/>
        <w:jc w:val="left"/>
      </w:pPr>
      <w:bookmarkStart w:id="60" w:name="_Toc272997687"/>
      <w:bookmarkStart w:id="61" w:name="_Toc326747475"/>
      <w:r w:rsidRPr="00F501C8">
        <w:t>Cement production, brick making, fuel</w:t>
      </w:r>
      <w:bookmarkEnd w:id="60"/>
      <w:bookmarkEnd w:id="61"/>
    </w:p>
    <w:p w:rsidR="000D53EA" w:rsidRDefault="00F501C8">
      <w:pPr>
        <w:jc w:val="left"/>
      </w:pPr>
      <w:r w:rsidRPr="00F501C8">
        <w:t xml:space="preserve">Cement production, brick making and fuel are markets </w:t>
      </w:r>
      <w:r w:rsidR="00BE6D10">
        <w:t xml:space="preserve">for </w:t>
      </w:r>
      <w:r w:rsidRPr="00F501C8">
        <w:t xml:space="preserve">which </w:t>
      </w:r>
      <w:proofErr w:type="spellStart"/>
      <w:r w:rsidRPr="00F501C8">
        <w:t>biosolids</w:t>
      </w:r>
      <w:proofErr w:type="spellEnd"/>
      <w:r w:rsidRPr="00F501C8">
        <w:t xml:space="preserve"> are not accessed in Australia, however all are utilised in Europe.  These markets are significant in size.  </w:t>
      </w:r>
      <w:proofErr w:type="gramStart"/>
      <w:r w:rsidRPr="00F501C8">
        <w:t xml:space="preserve">Cement and brick making have a potential capacity to take 100,000 and 200,000 tonnes per year of dry </w:t>
      </w:r>
      <w:proofErr w:type="spellStart"/>
      <w:r w:rsidRPr="00F501C8">
        <w:t>biosolids</w:t>
      </w:r>
      <w:proofErr w:type="spellEnd"/>
      <w:r w:rsidRPr="00F501C8">
        <w:t xml:space="preserve"> respectively</w:t>
      </w:r>
      <w:r w:rsidR="00A33119">
        <w:t xml:space="preserve"> in NSW</w:t>
      </w:r>
      <w:r w:rsidRPr="00F501C8">
        <w:t>.</w:t>
      </w:r>
      <w:proofErr w:type="gramEnd"/>
      <w:r w:rsidRPr="00F501C8">
        <w:t xml:space="preserve">  The fuel market is very large an</w:t>
      </w:r>
      <w:r w:rsidR="00A33119">
        <w:t>d has a potential size of over 1 million</w:t>
      </w:r>
      <w:r w:rsidRPr="00F501C8">
        <w:t xml:space="preserve"> tonnes per year of dry </w:t>
      </w:r>
      <w:proofErr w:type="spellStart"/>
      <w:r w:rsidRPr="00F501C8">
        <w:t>biosolids</w:t>
      </w:r>
      <w:proofErr w:type="spellEnd"/>
      <w:r w:rsidRPr="00F501C8">
        <w:t>.</w:t>
      </w:r>
    </w:p>
    <w:p w:rsidR="000D53EA" w:rsidRDefault="00F501C8">
      <w:pPr>
        <w:jc w:val="left"/>
      </w:pPr>
      <w:r w:rsidRPr="00F501C8">
        <w:t xml:space="preserve">The primary value of </w:t>
      </w:r>
      <w:proofErr w:type="spellStart"/>
      <w:r w:rsidRPr="00F501C8">
        <w:t>biosolids</w:t>
      </w:r>
      <w:proofErr w:type="spellEnd"/>
      <w:r w:rsidRPr="00F501C8">
        <w:t xml:space="preserve"> in these markets is their fuel value.  </w:t>
      </w:r>
      <w:proofErr w:type="spellStart"/>
      <w:r w:rsidRPr="00F501C8">
        <w:t>Biosolids</w:t>
      </w:r>
      <w:proofErr w:type="spellEnd"/>
      <w:r w:rsidRPr="00F501C8">
        <w:t xml:space="preserve"> must be dried to a level of greater than 90% solids to </w:t>
      </w:r>
      <w:r w:rsidR="00D55A57">
        <w:t xml:space="preserve">be suitable for use </w:t>
      </w:r>
      <w:proofErr w:type="gramStart"/>
      <w:r w:rsidR="00D55A57">
        <w:t>a</w:t>
      </w:r>
      <w:proofErr w:type="gramEnd"/>
      <w:r w:rsidR="00D55A57">
        <w:t xml:space="preserve"> </w:t>
      </w:r>
      <w:proofErr w:type="spellStart"/>
      <w:r w:rsidR="00D55A57">
        <w:t>a</w:t>
      </w:r>
      <w:proofErr w:type="spellEnd"/>
      <w:r w:rsidR="00D55A57">
        <w:t xml:space="preserve"> fuel</w:t>
      </w:r>
      <w:r w:rsidRPr="00F501C8">
        <w:t xml:space="preserve">.  There is also some small value in the inert matter in </w:t>
      </w:r>
      <w:proofErr w:type="spellStart"/>
      <w:r w:rsidRPr="00F501C8">
        <w:t>biosolids</w:t>
      </w:r>
      <w:proofErr w:type="spellEnd"/>
      <w:r w:rsidRPr="00F501C8">
        <w:t xml:space="preserve"> for cement production and brick making, which would act as a raw material replacement.</w:t>
      </w:r>
    </w:p>
    <w:p w:rsidR="000D53EA" w:rsidRDefault="00F501C8">
      <w:pPr>
        <w:jc w:val="left"/>
      </w:pPr>
      <w:r w:rsidRPr="00F501C8">
        <w:t xml:space="preserve">The potential value of </w:t>
      </w:r>
      <w:proofErr w:type="spellStart"/>
      <w:r w:rsidRPr="00F501C8">
        <w:t>biosolids</w:t>
      </w:r>
      <w:proofErr w:type="spellEnd"/>
      <w:r w:rsidRPr="00F501C8">
        <w:t xml:space="preserve"> as source of energy is difficult to estimate and depends on the use of the energy. The base value of a dried </w:t>
      </w:r>
      <w:proofErr w:type="spellStart"/>
      <w:r w:rsidRPr="00F501C8">
        <w:t>biosolids</w:t>
      </w:r>
      <w:proofErr w:type="spellEnd"/>
      <w:r w:rsidRPr="00F501C8">
        <w:t xml:space="preserve"> product can be compared with coal and equates to a potential value of $55</w:t>
      </w:r>
      <w:r w:rsidR="00D55A57">
        <w:t>–</w:t>
      </w:r>
      <w:r w:rsidRPr="00F501C8">
        <w:t xml:space="preserve">80 per dry tonne of </w:t>
      </w:r>
      <w:proofErr w:type="spellStart"/>
      <w:r w:rsidRPr="00F501C8">
        <w:t>biosolids</w:t>
      </w:r>
      <w:proofErr w:type="spellEnd"/>
      <w:r w:rsidRPr="00F501C8">
        <w:t xml:space="preserve">. If </w:t>
      </w:r>
      <w:proofErr w:type="spellStart"/>
      <w:r w:rsidRPr="00F501C8">
        <w:t>biosolids</w:t>
      </w:r>
      <w:proofErr w:type="spellEnd"/>
      <w:r w:rsidRPr="00F501C8">
        <w:t xml:space="preserve"> are used to generate electricity they act as a replacement for non-renewable fuel and therefore attract renewable energy credits (RECs)</w:t>
      </w:r>
      <w:r w:rsidR="00082FC6">
        <w:t xml:space="preserve"> with a total value of around $100 per tonne of dry </w:t>
      </w:r>
      <w:proofErr w:type="spellStart"/>
      <w:r w:rsidR="00082FC6">
        <w:t>biosolids</w:t>
      </w:r>
      <w:proofErr w:type="spellEnd"/>
      <w:r w:rsidRPr="00F501C8">
        <w:t>. It is also possible such a use may gain carbon credits in the future.</w:t>
      </w:r>
    </w:p>
    <w:p w:rsidR="000D53EA" w:rsidRDefault="00F501C8">
      <w:pPr>
        <w:jc w:val="left"/>
      </w:pPr>
      <w:r w:rsidRPr="00F501C8">
        <w:t xml:space="preserve">The primary limitation of these markets is that they are not currently accessed by </w:t>
      </w:r>
      <w:r w:rsidR="00A33119">
        <w:t>utilities in Australia to any extent</w:t>
      </w:r>
      <w:r w:rsidRPr="00F501C8">
        <w:t xml:space="preserve">. This means that a significant amount of market development work must be done, however it is important </w:t>
      </w:r>
      <w:r w:rsidR="00BE6D10">
        <w:t xml:space="preserve">to note </w:t>
      </w:r>
      <w:r w:rsidRPr="00F501C8">
        <w:t xml:space="preserve">that there are precedents for </w:t>
      </w:r>
      <w:proofErr w:type="spellStart"/>
      <w:r w:rsidRPr="00F501C8">
        <w:t>biosolids</w:t>
      </w:r>
      <w:proofErr w:type="spellEnd"/>
      <w:r w:rsidRPr="00F501C8">
        <w:t xml:space="preserve"> use in all these markets which can be drawn on.</w:t>
      </w:r>
    </w:p>
    <w:p w:rsidR="000D53EA" w:rsidRDefault="00F501C8" w:rsidP="000D53EA">
      <w:pPr>
        <w:pStyle w:val="Heading2"/>
        <w:jc w:val="left"/>
      </w:pPr>
      <w:bookmarkStart w:id="62" w:name="_Toc272997688"/>
      <w:bookmarkStart w:id="63" w:name="_Toc326747476"/>
      <w:r w:rsidRPr="00F501C8">
        <w:lastRenderedPageBreak/>
        <w:t>Soil rehabilitation, carbon sequestration</w:t>
      </w:r>
      <w:bookmarkEnd w:id="62"/>
      <w:bookmarkEnd w:id="63"/>
    </w:p>
    <w:p w:rsidR="000D53EA" w:rsidRDefault="00F501C8" w:rsidP="000D53EA">
      <w:pPr>
        <w:keepNext/>
        <w:jc w:val="left"/>
      </w:pPr>
      <w:r w:rsidRPr="00F501C8">
        <w:t xml:space="preserve">Soil rehabilitation and carbon sequestration are potentially large markets, each with the potential to take over 1 million tonnes per year of </w:t>
      </w:r>
      <w:proofErr w:type="spellStart"/>
      <w:r w:rsidRPr="00F501C8">
        <w:t>biosolids</w:t>
      </w:r>
      <w:proofErr w:type="spellEnd"/>
      <w:r w:rsidRPr="00F501C8">
        <w:t>. These markets are not established markets.</w:t>
      </w:r>
    </w:p>
    <w:p w:rsidR="000D53EA" w:rsidRDefault="00F501C8">
      <w:pPr>
        <w:jc w:val="left"/>
      </w:pPr>
      <w:r w:rsidRPr="00F501C8">
        <w:t xml:space="preserve">The value of </w:t>
      </w:r>
      <w:proofErr w:type="spellStart"/>
      <w:r w:rsidRPr="00F501C8">
        <w:t>biosolids</w:t>
      </w:r>
      <w:proofErr w:type="spellEnd"/>
      <w:r w:rsidRPr="00F501C8">
        <w:t xml:space="preserve"> in these markets is primarily the organic matter. In the case of soil rehabilitation the value of improving soils so that they can become productive agricultural land is clearly significant, but currently no value is attributed to such endeavours. The current value of </w:t>
      </w:r>
      <w:proofErr w:type="spellStart"/>
      <w:r w:rsidRPr="00F501C8">
        <w:t>biosolids</w:t>
      </w:r>
      <w:proofErr w:type="spellEnd"/>
      <w:r w:rsidRPr="00F501C8">
        <w:t xml:space="preserve"> in this market is therefore zero. In the case of carbon sequestration the future potential value is up to about $30 per tonne of dry </w:t>
      </w:r>
      <w:proofErr w:type="spellStart"/>
      <w:r w:rsidRPr="00F501C8">
        <w:t>biosolids</w:t>
      </w:r>
      <w:proofErr w:type="spellEnd"/>
      <w:r w:rsidRPr="00F501C8">
        <w:t>.</w:t>
      </w:r>
    </w:p>
    <w:p w:rsidR="003F7F21" w:rsidRDefault="00F501C8">
      <w:pPr>
        <w:jc w:val="left"/>
      </w:pPr>
      <w:r w:rsidRPr="00F501C8">
        <w:t xml:space="preserve">The primary limitation of these markets is that there are no current drivers to enable the markets. </w:t>
      </w:r>
      <w:r w:rsidR="000D53EA">
        <w:t>The advent of the Australian legislation on carbon, commonly called the carbon tax, will increase focus on reduction in greenhouse gas emissions. The most like</w:t>
      </w:r>
      <w:r w:rsidR="003F7F21">
        <w:t>l</w:t>
      </w:r>
      <w:r w:rsidR="000D53EA">
        <w:t xml:space="preserve">y </w:t>
      </w:r>
      <w:r w:rsidR="003F7F21">
        <w:t>outcome of the carbon tax will be increased focus on energy recovery.</w:t>
      </w:r>
    </w:p>
    <w:p w:rsidR="000D53EA" w:rsidRDefault="00F501C8">
      <w:pPr>
        <w:jc w:val="left"/>
      </w:pPr>
      <w:r w:rsidRPr="00F501C8">
        <w:t xml:space="preserve">In the case of carbon sequestration through </w:t>
      </w:r>
      <w:proofErr w:type="spellStart"/>
      <w:r w:rsidRPr="00F501C8">
        <w:t>biochar</w:t>
      </w:r>
      <w:proofErr w:type="spellEnd"/>
      <w:r w:rsidRPr="00F501C8">
        <w:t>, this market is still in the research and development phase and requires a price on carbon to be cost effective.  Whilst the problems with soil degradation are broadly recognised there is little institutional support for work in this area.</w:t>
      </w:r>
    </w:p>
    <w:p w:rsidR="00C76BBA" w:rsidRDefault="00C76BBA" w:rsidP="00A35633">
      <w:pPr>
        <w:spacing w:before="0" w:after="0"/>
        <w:jc w:val="left"/>
        <w:rPr>
          <w:b/>
          <w:caps/>
          <w:kern w:val="28"/>
          <w:sz w:val="28"/>
        </w:rPr>
      </w:pPr>
      <w:r>
        <w:br w:type="page"/>
      </w:r>
    </w:p>
    <w:p w:rsidR="000D53EA" w:rsidRDefault="00337CA3">
      <w:pPr>
        <w:pStyle w:val="Heading1"/>
        <w:jc w:val="left"/>
      </w:pPr>
      <w:bookmarkStart w:id="64" w:name="_Toc326747477"/>
      <w:r>
        <w:lastRenderedPageBreak/>
        <w:t>Greenhouse gas implications of biosolids</w:t>
      </w:r>
      <w:bookmarkEnd w:id="64"/>
    </w:p>
    <w:p w:rsidR="000D53EA" w:rsidRDefault="00662774">
      <w:pPr>
        <w:pStyle w:val="Heading2"/>
        <w:jc w:val="left"/>
      </w:pPr>
      <w:bookmarkStart w:id="65" w:name="_Toc326747478"/>
      <w:r>
        <w:t>General</w:t>
      </w:r>
      <w:bookmarkEnd w:id="65"/>
    </w:p>
    <w:p w:rsidR="000D53EA" w:rsidRDefault="00996D66">
      <w:pPr>
        <w:jc w:val="left"/>
      </w:pPr>
      <w:proofErr w:type="spellStart"/>
      <w:r>
        <w:t>Biosolids</w:t>
      </w:r>
      <w:proofErr w:type="spellEnd"/>
      <w:r>
        <w:t xml:space="preserve"> can reduce greenhouse gas emissions in two ways:</w:t>
      </w:r>
    </w:p>
    <w:p w:rsidR="00996D66" w:rsidRDefault="00996D66" w:rsidP="00A35633">
      <w:pPr>
        <w:pStyle w:val="ListParagraph"/>
        <w:numPr>
          <w:ilvl w:val="0"/>
          <w:numId w:val="17"/>
        </w:numPr>
      </w:pPr>
      <w:r>
        <w:t>generation of green power through direct combustion or anaerobic digestion;</w:t>
      </w:r>
    </w:p>
    <w:p w:rsidR="00996D66" w:rsidRDefault="00996D66" w:rsidP="00A35633">
      <w:pPr>
        <w:pStyle w:val="ListParagraph"/>
        <w:numPr>
          <w:ilvl w:val="0"/>
          <w:numId w:val="17"/>
        </w:numPr>
      </w:pPr>
      <w:proofErr w:type="gramStart"/>
      <w:r>
        <w:t>offset</w:t>
      </w:r>
      <w:proofErr w:type="gramEnd"/>
      <w:r>
        <w:t xml:space="preserve"> of emissions associated with</w:t>
      </w:r>
      <w:r w:rsidRPr="00996D66">
        <w:t xml:space="preserve"> </w:t>
      </w:r>
      <w:r>
        <w:t>production of inorganic fertilisers.</w:t>
      </w:r>
    </w:p>
    <w:p w:rsidR="000D53EA" w:rsidRDefault="00885DEF">
      <w:pPr>
        <w:jc w:val="left"/>
      </w:pPr>
      <w:r>
        <w:t>Each of these points is discussed briefly below.</w:t>
      </w:r>
    </w:p>
    <w:p w:rsidR="000D53EA" w:rsidRDefault="00082FC6">
      <w:pPr>
        <w:pStyle w:val="Heading2"/>
        <w:jc w:val="left"/>
      </w:pPr>
      <w:bookmarkStart w:id="66" w:name="_Toc326747479"/>
      <w:r>
        <w:t>Electricity</w:t>
      </w:r>
      <w:r w:rsidR="00662774">
        <w:t xml:space="preserve"> production</w:t>
      </w:r>
      <w:bookmarkEnd w:id="66"/>
    </w:p>
    <w:p w:rsidR="000D53EA" w:rsidRDefault="00286CC7">
      <w:pPr>
        <w:jc w:val="left"/>
      </w:pPr>
      <w:proofErr w:type="spellStart"/>
      <w:r>
        <w:t>Biosolids</w:t>
      </w:r>
      <w:proofErr w:type="spellEnd"/>
      <w:r>
        <w:t xml:space="preserve"> are</w:t>
      </w:r>
      <w:r w:rsidR="00885DEF">
        <w:t xml:space="preserve"> largely made up of organic matter which can be utilised to produce energy.  Anaerobic digestion processes convert organic matter to methane, which is then burnt to generate heat and power. Direct combustion processes burn the </w:t>
      </w:r>
      <w:proofErr w:type="spellStart"/>
      <w:r w:rsidR="00885DEF">
        <w:t>biosolids</w:t>
      </w:r>
      <w:proofErr w:type="spellEnd"/>
      <w:r w:rsidR="00885DEF">
        <w:t xml:space="preserve"> and the heat is used to generate steam to drive a steam turbine which generates power.</w:t>
      </w:r>
    </w:p>
    <w:p w:rsidR="000D53EA" w:rsidRDefault="00885DEF">
      <w:pPr>
        <w:jc w:val="left"/>
      </w:pPr>
      <w:r>
        <w:t>Anaerobic digestions processes typically generate</w:t>
      </w:r>
      <w:r w:rsidR="00082FC6">
        <w:t xml:space="preserve"> a net energy output of</w:t>
      </w:r>
      <w:r>
        <w:t xml:space="preserve"> 300</w:t>
      </w:r>
      <w:r w:rsidR="00D55A57">
        <w:t>–</w:t>
      </w:r>
      <w:r>
        <w:t xml:space="preserve">700 </w:t>
      </w:r>
      <w:proofErr w:type="spellStart"/>
      <w:r>
        <w:t>kWhr</w:t>
      </w:r>
      <w:proofErr w:type="spellEnd"/>
      <w:r>
        <w:t xml:space="preserve"> per tonne of dry </w:t>
      </w:r>
      <w:proofErr w:type="spellStart"/>
      <w:r>
        <w:t>biosolids</w:t>
      </w:r>
      <w:proofErr w:type="spellEnd"/>
      <w:r>
        <w:t xml:space="preserve"> processed.</w:t>
      </w:r>
      <w:r w:rsidR="00396489">
        <w:t xml:space="preserve"> This equates to around 0.3 to 0.7 tonnes of CO</w:t>
      </w:r>
      <w:r w:rsidR="00396489" w:rsidRPr="00396489">
        <w:rPr>
          <w:vertAlign w:val="subscript"/>
        </w:rPr>
        <w:t>2e</w:t>
      </w:r>
      <w:r w:rsidR="00396489">
        <w:t xml:space="preserve"> for every tonne of </w:t>
      </w:r>
      <w:proofErr w:type="spellStart"/>
      <w:r w:rsidR="00396489">
        <w:t>biosolids</w:t>
      </w:r>
      <w:proofErr w:type="spellEnd"/>
      <w:r w:rsidR="00396489">
        <w:t xml:space="preserve"> processed when replacing coal fired power generation.</w:t>
      </w:r>
    </w:p>
    <w:p w:rsidR="000D53EA" w:rsidRDefault="00885DEF">
      <w:pPr>
        <w:jc w:val="left"/>
      </w:pPr>
      <w:r>
        <w:t xml:space="preserve">Combustion processes must have more than about 35% solids content before they are net energy producers and as a result there are very few </w:t>
      </w:r>
      <w:proofErr w:type="spellStart"/>
      <w:r>
        <w:t>biosolids</w:t>
      </w:r>
      <w:proofErr w:type="spellEnd"/>
      <w:r>
        <w:t xml:space="preserve"> combustion plants in the world which directly produce net energy. However, there are cases where it is advantageous to process </w:t>
      </w:r>
      <w:proofErr w:type="spellStart"/>
      <w:r>
        <w:t>biosolids</w:t>
      </w:r>
      <w:proofErr w:type="spellEnd"/>
      <w:r>
        <w:t xml:space="preserve"> </w:t>
      </w:r>
      <w:r w:rsidR="00B10538">
        <w:t xml:space="preserve">to a point where it does have </w:t>
      </w:r>
      <w:proofErr w:type="gramStart"/>
      <w:r w:rsidR="00B10538">
        <w:t xml:space="preserve">a </w:t>
      </w:r>
      <w:r>
        <w:t>significant</w:t>
      </w:r>
      <w:proofErr w:type="gramEnd"/>
      <w:r>
        <w:t xml:space="preserve"> energy content. Thermal drying which produces a </w:t>
      </w:r>
      <w:proofErr w:type="spellStart"/>
      <w:r>
        <w:t>biosolids</w:t>
      </w:r>
      <w:proofErr w:type="spellEnd"/>
      <w:r>
        <w:t xml:space="preserve"> product with about 90% solids content is one example.</w:t>
      </w:r>
    </w:p>
    <w:p w:rsidR="000D53EA" w:rsidRDefault="00396489">
      <w:pPr>
        <w:jc w:val="left"/>
      </w:pPr>
      <w:r>
        <w:t xml:space="preserve">If </w:t>
      </w:r>
      <w:proofErr w:type="spellStart"/>
      <w:r w:rsidR="00286CC7">
        <w:t>biosolids</w:t>
      </w:r>
      <w:proofErr w:type="spellEnd"/>
      <w:r w:rsidR="00286CC7">
        <w:t xml:space="preserve"> are</w:t>
      </w:r>
      <w:r>
        <w:t xml:space="preserve"> dried to 90% this equates to</w:t>
      </w:r>
      <w:r w:rsidR="00082FC6" w:rsidRPr="00082FC6">
        <w:t xml:space="preserve"> </w:t>
      </w:r>
      <w:r w:rsidR="00082FC6">
        <w:t>a net energy output of</w:t>
      </w:r>
      <w:r>
        <w:t xml:space="preserve"> about 600</w:t>
      </w:r>
      <w:r w:rsidR="00D55A57">
        <w:t>–</w:t>
      </w:r>
      <w:r>
        <w:t xml:space="preserve">900 </w:t>
      </w:r>
      <w:proofErr w:type="spellStart"/>
      <w:r>
        <w:t>kWhr</w:t>
      </w:r>
      <w:proofErr w:type="spellEnd"/>
      <w:r>
        <w:t xml:space="preserve"> per tonne of dry </w:t>
      </w:r>
      <w:proofErr w:type="spellStart"/>
      <w:r>
        <w:t>biosolids</w:t>
      </w:r>
      <w:proofErr w:type="spellEnd"/>
      <w:r>
        <w:t xml:space="preserve"> which equates to around 0.6</w:t>
      </w:r>
      <w:r w:rsidR="00D55A57">
        <w:t>–</w:t>
      </w:r>
      <w:r>
        <w:t>0.9 tonnes of CO</w:t>
      </w:r>
      <w:r w:rsidRPr="00396489">
        <w:rPr>
          <w:vertAlign w:val="subscript"/>
        </w:rPr>
        <w:t>2e</w:t>
      </w:r>
      <w:r>
        <w:t xml:space="preserve"> for every tonne of </w:t>
      </w:r>
      <w:proofErr w:type="spellStart"/>
      <w:r>
        <w:t>biosolids</w:t>
      </w:r>
      <w:proofErr w:type="spellEnd"/>
      <w:r>
        <w:t xml:space="preserve"> processed when replacing coal fired power generation. It should be noted that a significant amount of energy is required to process </w:t>
      </w:r>
      <w:proofErr w:type="spellStart"/>
      <w:r>
        <w:t>biosolids</w:t>
      </w:r>
      <w:proofErr w:type="spellEnd"/>
      <w:r>
        <w:t xml:space="preserve"> to 90% solids content.</w:t>
      </w:r>
    </w:p>
    <w:p w:rsidR="000D53EA" w:rsidRDefault="00082FC6">
      <w:pPr>
        <w:pStyle w:val="Heading2"/>
        <w:jc w:val="left"/>
      </w:pPr>
      <w:bookmarkStart w:id="67" w:name="_Toc326747480"/>
      <w:r>
        <w:t>Replacement of inorganic fertilisers</w:t>
      </w:r>
      <w:bookmarkEnd w:id="67"/>
    </w:p>
    <w:p w:rsidR="000D53EA" w:rsidRDefault="00665F54">
      <w:pPr>
        <w:jc w:val="left"/>
      </w:pPr>
      <w:r>
        <w:t xml:space="preserve">When </w:t>
      </w:r>
      <w:proofErr w:type="spellStart"/>
      <w:r w:rsidR="00286CC7">
        <w:t>biosolids</w:t>
      </w:r>
      <w:proofErr w:type="spellEnd"/>
      <w:r w:rsidR="00286CC7">
        <w:t xml:space="preserve"> are</w:t>
      </w:r>
      <w:r>
        <w:t xml:space="preserve"> used to replace inorganic fertilisers they reduce the emissions associated with the production of the inorganic fertilisers. If the </w:t>
      </w:r>
      <w:proofErr w:type="spellStart"/>
      <w:r>
        <w:t>biosolids</w:t>
      </w:r>
      <w:proofErr w:type="spellEnd"/>
      <w:r>
        <w:t xml:space="preserve"> are diverted from landfill disposal further emissions are avoided.</w:t>
      </w:r>
    </w:p>
    <w:p w:rsidR="000D53EA" w:rsidRDefault="00665F54">
      <w:pPr>
        <w:jc w:val="left"/>
      </w:pPr>
      <w:r>
        <w:t xml:space="preserve">Studies by PSD on the emissions avoided by the use of </w:t>
      </w:r>
      <w:proofErr w:type="spellStart"/>
      <w:r>
        <w:t>biosolids</w:t>
      </w:r>
      <w:proofErr w:type="spellEnd"/>
      <w:r>
        <w:t xml:space="preserve"> show that for every tonne of dry </w:t>
      </w:r>
      <w:proofErr w:type="spellStart"/>
      <w:r>
        <w:t>biosolids</w:t>
      </w:r>
      <w:proofErr w:type="spellEnd"/>
      <w:r>
        <w:t xml:space="preserve"> used around 6 tonnes of CO</w:t>
      </w:r>
      <w:r w:rsidRPr="00396489">
        <w:rPr>
          <w:vertAlign w:val="subscript"/>
        </w:rPr>
        <w:t>2e</w:t>
      </w:r>
      <w:r>
        <w:t xml:space="preserve"> are avoided</w:t>
      </w:r>
      <w:r w:rsidR="00400DCE">
        <w:t xml:space="preserve"> from the production of the inorganic fertilisers</w:t>
      </w:r>
      <w:r>
        <w:t xml:space="preserve">. If the </w:t>
      </w:r>
      <w:proofErr w:type="spellStart"/>
      <w:r w:rsidR="00286CC7">
        <w:t>biosolids</w:t>
      </w:r>
      <w:proofErr w:type="spellEnd"/>
      <w:r w:rsidR="00286CC7">
        <w:t xml:space="preserve"> are</w:t>
      </w:r>
      <w:r>
        <w:t xml:space="preserve"> diverted from landfill a further 5 tonnes of CO</w:t>
      </w:r>
      <w:r w:rsidRPr="00396489">
        <w:rPr>
          <w:vertAlign w:val="subscript"/>
        </w:rPr>
        <w:t>2e</w:t>
      </w:r>
      <w:r>
        <w:t xml:space="preserve"> are avoided</w:t>
      </w:r>
      <w:r w:rsidR="00082FC6">
        <w:t xml:space="preserve"> for</w:t>
      </w:r>
      <w:r w:rsidRPr="00665F54">
        <w:t xml:space="preserve"> </w:t>
      </w:r>
      <w:r>
        <w:t xml:space="preserve">every tonne of </w:t>
      </w:r>
      <w:proofErr w:type="spellStart"/>
      <w:r>
        <w:t>biosolids</w:t>
      </w:r>
      <w:proofErr w:type="spellEnd"/>
      <w:r>
        <w:t xml:space="preserve"> used.</w:t>
      </w:r>
    </w:p>
    <w:p w:rsidR="000D53EA" w:rsidRDefault="00665F54">
      <w:pPr>
        <w:jc w:val="left"/>
      </w:pPr>
      <w:r>
        <w:t>Emissions associated with transport are small compared to the emissions listed above.</w:t>
      </w:r>
    </w:p>
    <w:p w:rsidR="000D53EA" w:rsidRDefault="00665F54">
      <w:pPr>
        <w:jc w:val="left"/>
      </w:pPr>
      <w:r>
        <w:t xml:space="preserve">It is possible to both generate energy from </w:t>
      </w:r>
      <w:proofErr w:type="spellStart"/>
      <w:r>
        <w:t>biosolids</w:t>
      </w:r>
      <w:proofErr w:type="spellEnd"/>
      <w:r>
        <w:t xml:space="preserve"> through anaerobic digestion processes and have a final </w:t>
      </w:r>
      <w:proofErr w:type="spellStart"/>
      <w:r>
        <w:t>biosolids</w:t>
      </w:r>
      <w:proofErr w:type="spellEnd"/>
      <w:r>
        <w:t xml:space="preserve"> product which can be used as a fertiliser. In such a case the greenhouse gas benefits gained through </w:t>
      </w:r>
      <w:proofErr w:type="spellStart"/>
      <w:r>
        <w:t>biosolids</w:t>
      </w:r>
      <w:proofErr w:type="spellEnd"/>
      <w:r>
        <w:t xml:space="preserve"> are significant.</w:t>
      </w:r>
    </w:p>
    <w:p w:rsidR="00C76BBA" w:rsidRDefault="00C76BBA" w:rsidP="00A35633">
      <w:pPr>
        <w:spacing w:before="0" w:after="0"/>
        <w:jc w:val="left"/>
        <w:rPr>
          <w:b/>
          <w:caps/>
          <w:kern w:val="28"/>
          <w:sz w:val="28"/>
        </w:rPr>
      </w:pPr>
      <w:r>
        <w:br w:type="page"/>
      </w:r>
    </w:p>
    <w:p w:rsidR="000D53EA" w:rsidRDefault="00337CA3">
      <w:pPr>
        <w:pStyle w:val="Heading1"/>
        <w:jc w:val="left"/>
      </w:pPr>
      <w:bookmarkStart w:id="68" w:name="_Toc326747481"/>
      <w:r>
        <w:lastRenderedPageBreak/>
        <w:t>Standards and guidelines applying to biosolids</w:t>
      </w:r>
      <w:bookmarkEnd w:id="68"/>
    </w:p>
    <w:p w:rsidR="000D53EA" w:rsidRDefault="00337CA3">
      <w:pPr>
        <w:pStyle w:val="Heading2"/>
        <w:jc w:val="left"/>
      </w:pPr>
      <w:bookmarkStart w:id="69" w:name="_Toc326747482"/>
      <w:r>
        <w:t>General</w:t>
      </w:r>
      <w:bookmarkEnd w:id="69"/>
    </w:p>
    <w:p w:rsidR="000D53EA" w:rsidRDefault="00022544">
      <w:pPr>
        <w:jc w:val="left"/>
      </w:pPr>
      <w:r>
        <w:t xml:space="preserve">In Australia </w:t>
      </w:r>
      <w:proofErr w:type="spellStart"/>
      <w:r>
        <w:t>biosolids</w:t>
      </w:r>
      <w:proofErr w:type="spellEnd"/>
      <w:r>
        <w:t xml:space="preserve"> are regulated under a specific statutory framework in each State.  Generally the key piece of legislation is the State’s </w:t>
      </w:r>
      <w:r w:rsidR="00E41A8D">
        <w:t>head</w:t>
      </w:r>
      <w:r>
        <w:t xml:space="preserve"> environment protection Act. These Acts require that any discharge to the environment must be managed so that they do not adversely affect the receiving environment. These Acts also generally describe the key principles of environment management and the waste hierarchy, with waste avoidance and recycling the preferred management option compared to disposal.</w:t>
      </w:r>
    </w:p>
    <w:p w:rsidR="000D53EA" w:rsidRDefault="00022544">
      <w:pPr>
        <w:jc w:val="left"/>
      </w:pPr>
      <w:r>
        <w:t>The Acts are legal documents and a person or company can be held liable under the relevant Act if they do not comply with them by creating pollution. The Acts set out penalties which include fines and/or gaol sentences for persons and companies.</w:t>
      </w:r>
    </w:p>
    <w:p w:rsidR="000D53EA" w:rsidRDefault="00022544">
      <w:pPr>
        <w:jc w:val="left"/>
      </w:pPr>
      <w:r>
        <w:t xml:space="preserve">Each State in Australia also has a </w:t>
      </w:r>
      <w:proofErr w:type="spellStart"/>
      <w:r>
        <w:t>biosolids</w:t>
      </w:r>
      <w:proofErr w:type="spellEnd"/>
      <w:r>
        <w:t xml:space="preserve"> guideline. This is a specific guideline which sets out the best practice requirements for </w:t>
      </w:r>
      <w:proofErr w:type="spellStart"/>
      <w:r>
        <w:t>biosolids</w:t>
      </w:r>
      <w:proofErr w:type="spellEnd"/>
      <w:r>
        <w:t xml:space="preserve"> use. The guidelines are not legal documents on their own but have legal significance because of reference from other legal documents. The guidelines are developed such that compliance with them will normally mean compliance with other relevant regulations and there is normally a statement in the guidelines to this effect.</w:t>
      </w:r>
    </w:p>
    <w:p w:rsidR="000D53EA" w:rsidRDefault="00022544">
      <w:pPr>
        <w:jc w:val="left"/>
      </w:pPr>
      <w:r>
        <w:t xml:space="preserve">Generally the </w:t>
      </w:r>
      <w:proofErr w:type="spellStart"/>
      <w:r>
        <w:t>biosolids</w:t>
      </w:r>
      <w:proofErr w:type="spellEnd"/>
      <w:r>
        <w:t xml:space="preserve"> guidelines are referred to in the Acts and may also be part of a water </w:t>
      </w:r>
      <w:proofErr w:type="gramStart"/>
      <w:r>
        <w:t>authority’s</w:t>
      </w:r>
      <w:proofErr w:type="gramEnd"/>
      <w:r>
        <w:t xml:space="preserve"> or Council’s operating licence. An operating licence is a legal document which sets out the environment agency’s requirements of an organisation, for example a Council operating a sewage treatment plant.</w:t>
      </w:r>
    </w:p>
    <w:p w:rsidR="000D53EA" w:rsidRDefault="00022544">
      <w:pPr>
        <w:jc w:val="left"/>
      </w:pPr>
      <w:r>
        <w:t xml:space="preserve">Generally </w:t>
      </w:r>
      <w:proofErr w:type="spellStart"/>
      <w:r w:rsidR="00286CC7">
        <w:t>biosolids</w:t>
      </w:r>
      <w:proofErr w:type="spellEnd"/>
      <w:r w:rsidR="00286CC7">
        <w:t xml:space="preserve"> are</w:t>
      </w:r>
      <w:r>
        <w:t xml:space="preserve"> classified as a waste under the key environment legislation and is exempt from this waste classification if used in accordance with the guidelines. Therefore use of </w:t>
      </w:r>
      <w:proofErr w:type="spellStart"/>
      <w:r>
        <w:t>biosolids</w:t>
      </w:r>
      <w:proofErr w:type="spellEnd"/>
      <w:r>
        <w:t xml:space="preserve"> in a way which is not consistent with the guidelines would normally constitute an offence under the referring Act or Licence.</w:t>
      </w:r>
    </w:p>
    <w:p w:rsidR="000D53EA" w:rsidRDefault="00022544">
      <w:pPr>
        <w:jc w:val="left"/>
      </w:pPr>
      <w:r>
        <w:t>In general terms a person is liable under the Australian statutory framework if they create pollution or harm to the environment. Liability would be prosecuted under the relevant Act but other guidelines and policies are often used to determine whether harm has been caused to the environment or an action was contrary to best practice and the standards set out by the State.</w:t>
      </w:r>
    </w:p>
    <w:p w:rsidR="000D53EA" w:rsidRDefault="00022544">
      <w:pPr>
        <w:jc w:val="left"/>
      </w:pPr>
      <w:r>
        <w:t>In addition to the key piece of environment legislation there are a broad range of o</w:t>
      </w:r>
      <w:r w:rsidRPr="00CF712D">
        <w:t xml:space="preserve">ther regulations </w:t>
      </w:r>
      <w:r>
        <w:t xml:space="preserve">which cover areas which may be impacted by </w:t>
      </w:r>
      <w:proofErr w:type="spellStart"/>
      <w:r>
        <w:t>biosolids</w:t>
      </w:r>
      <w:proofErr w:type="spellEnd"/>
      <w:r>
        <w:t xml:space="preserve"> use. These include Acts which cover areas such as health, fertiliser use, </w:t>
      </w:r>
      <w:proofErr w:type="gramStart"/>
      <w:r>
        <w:t>food</w:t>
      </w:r>
      <w:proofErr w:type="gramEnd"/>
      <w:r>
        <w:t xml:space="preserve"> and livestock disease. When using </w:t>
      </w:r>
      <w:proofErr w:type="spellStart"/>
      <w:r>
        <w:t>biosolids</w:t>
      </w:r>
      <w:proofErr w:type="spellEnd"/>
      <w:r>
        <w:t xml:space="preserve"> it is therefore essential to comply with all the relevant Acts. Generally the </w:t>
      </w:r>
      <w:proofErr w:type="spellStart"/>
      <w:r>
        <w:t>biosolids</w:t>
      </w:r>
      <w:proofErr w:type="spellEnd"/>
      <w:r>
        <w:t xml:space="preserve"> guidelines are prepared in a way such that following them will achieve this aim.</w:t>
      </w:r>
    </w:p>
    <w:p w:rsidR="000D53EA" w:rsidRDefault="00022544">
      <w:pPr>
        <w:jc w:val="left"/>
      </w:pPr>
      <w:r>
        <w:t xml:space="preserve">A particular feature of </w:t>
      </w:r>
      <w:proofErr w:type="spellStart"/>
      <w:r>
        <w:t>biosolids</w:t>
      </w:r>
      <w:proofErr w:type="spellEnd"/>
      <w:r>
        <w:t xml:space="preserve"> guidelines is that they deal exclusively with application of </w:t>
      </w:r>
      <w:proofErr w:type="spellStart"/>
      <w:r>
        <w:t>biosolids</w:t>
      </w:r>
      <w:proofErr w:type="spellEnd"/>
      <w:r>
        <w:t xml:space="preserve"> to land, either directly or indirectly. Other uses for </w:t>
      </w:r>
      <w:proofErr w:type="spellStart"/>
      <w:r>
        <w:t>biosolids</w:t>
      </w:r>
      <w:proofErr w:type="spellEnd"/>
      <w:r>
        <w:t>, such as in making bricks, conversion to energy through incineration or discharge to sea are covered by general legislation which is specific to the respective area; in the case of incineration, air pollution.</w:t>
      </w:r>
    </w:p>
    <w:p w:rsidR="000D53EA" w:rsidRDefault="00337CA3" w:rsidP="00143CA4">
      <w:pPr>
        <w:pStyle w:val="Heading2"/>
        <w:keepLines/>
        <w:jc w:val="left"/>
      </w:pPr>
      <w:bookmarkStart w:id="70" w:name="_Toc326747483"/>
      <w:proofErr w:type="spellStart"/>
      <w:r>
        <w:lastRenderedPageBreak/>
        <w:t>Biosolids</w:t>
      </w:r>
      <w:proofErr w:type="spellEnd"/>
      <w:r>
        <w:t xml:space="preserve"> guidelines</w:t>
      </w:r>
      <w:bookmarkEnd w:id="70"/>
    </w:p>
    <w:p w:rsidR="000D53EA" w:rsidRDefault="00E41A8D" w:rsidP="00143CA4">
      <w:pPr>
        <w:keepLines/>
        <w:jc w:val="left"/>
      </w:pPr>
      <w:proofErr w:type="spellStart"/>
      <w:r>
        <w:t>Biosolids</w:t>
      </w:r>
      <w:proofErr w:type="spellEnd"/>
      <w:r>
        <w:t xml:space="preserve">, nightsoil and manures have been applied to land for thousands of years. During the 1980’s </w:t>
      </w:r>
      <w:proofErr w:type="spellStart"/>
      <w:r>
        <w:t>biosolids</w:t>
      </w:r>
      <w:proofErr w:type="spellEnd"/>
      <w:r>
        <w:t xml:space="preserve"> became a focus of improved environmental performance in Europe and the US and not long after in Australia. As a result guidelines and regulations were developed controlling the use of </w:t>
      </w:r>
      <w:proofErr w:type="spellStart"/>
      <w:r>
        <w:t>biosolids</w:t>
      </w:r>
      <w:proofErr w:type="spellEnd"/>
      <w:r>
        <w:t xml:space="preserve"> when applied to land.</w:t>
      </w:r>
    </w:p>
    <w:p w:rsidR="000D53EA" w:rsidRDefault="007471F4">
      <w:pPr>
        <w:jc w:val="left"/>
      </w:pPr>
      <w:r>
        <w:t>Table 12</w:t>
      </w:r>
      <w:r w:rsidR="00E41A8D">
        <w:t xml:space="preserve"> below shows a timeline for the development of </w:t>
      </w:r>
      <w:proofErr w:type="spellStart"/>
      <w:r w:rsidR="00E41A8D">
        <w:t>biosolids</w:t>
      </w:r>
      <w:proofErr w:type="spellEnd"/>
      <w:r w:rsidR="00E41A8D">
        <w:t xml:space="preserve"> regulations</w:t>
      </w:r>
    </w:p>
    <w:p w:rsidR="000D53EA" w:rsidRDefault="007471F4">
      <w:pPr>
        <w:pStyle w:val="TableHeading"/>
        <w:jc w:val="left"/>
      </w:pPr>
      <w:r>
        <w:t>Table 12</w:t>
      </w:r>
      <w:r w:rsidR="00E41A8D">
        <w:t xml:space="preserve"> – Timeline for </w:t>
      </w:r>
      <w:proofErr w:type="spellStart"/>
      <w:r w:rsidR="00E41A8D">
        <w:t>Biosolids</w:t>
      </w:r>
      <w:proofErr w:type="spellEnd"/>
      <w:r w:rsidR="00E41A8D">
        <w:t xml:space="preserve"> Guidelines</w:t>
      </w:r>
    </w:p>
    <w:tbl>
      <w:tblPr>
        <w:tblW w:w="679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80"/>
        <w:gridCol w:w="5616"/>
      </w:tblGrid>
      <w:tr w:rsidR="00E41A8D" w:rsidRPr="00E41A8D" w:rsidTr="00E41A8D">
        <w:trPr>
          <w:trHeight w:val="300"/>
        </w:trPr>
        <w:tc>
          <w:tcPr>
            <w:tcW w:w="1180" w:type="dxa"/>
            <w:shd w:val="clear" w:color="auto" w:fill="auto"/>
            <w:noWrap/>
            <w:vAlign w:val="bottom"/>
          </w:tcPr>
          <w:p w:rsidR="000D53EA" w:rsidRDefault="00E41A8D">
            <w:pPr>
              <w:spacing w:before="60" w:after="60"/>
              <w:jc w:val="left"/>
              <w:rPr>
                <w:rFonts w:cstheme="minorBidi"/>
                <w:b/>
                <w:sz w:val="18"/>
                <w:szCs w:val="18"/>
              </w:rPr>
            </w:pPr>
            <w:r w:rsidRPr="00E41A8D">
              <w:rPr>
                <w:rFonts w:cstheme="minorBidi"/>
                <w:b/>
                <w:sz w:val="18"/>
                <w:szCs w:val="18"/>
              </w:rPr>
              <w:t>Year</w:t>
            </w:r>
          </w:p>
        </w:tc>
        <w:tc>
          <w:tcPr>
            <w:tcW w:w="5616" w:type="dxa"/>
            <w:shd w:val="clear" w:color="auto" w:fill="auto"/>
            <w:noWrap/>
            <w:vAlign w:val="bottom"/>
          </w:tcPr>
          <w:p w:rsidR="000D53EA" w:rsidRDefault="00E41A8D">
            <w:pPr>
              <w:spacing w:before="60" w:after="60"/>
              <w:jc w:val="left"/>
              <w:rPr>
                <w:rFonts w:cstheme="minorBidi"/>
                <w:b/>
                <w:sz w:val="18"/>
                <w:szCs w:val="18"/>
              </w:rPr>
            </w:pPr>
            <w:r w:rsidRPr="00E41A8D">
              <w:rPr>
                <w:rFonts w:cstheme="minorBidi"/>
                <w:b/>
                <w:sz w:val="18"/>
                <w:szCs w:val="18"/>
              </w:rPr>
              <w:t>Guideline</w:t>
            </w:r>
          </w:p>
        </w:tc>
      </w:tr>
      <w:tr w:rsidR="00E41A8D" w:rsidRPr="00FA4ECC" w:rsidTr="00E41A8D">
        <w:trPr>
          <w:trHeight w:val="300"/>
        </w:trPr>
        <w:tc>
          <w:tcPr>
            <w:tcW w:w="1180" w:type="dxa"/>
            <w:shd w:val="clear" w:color="auto" w:fill="auto"/>
            <w:noWrap/>
            <w:vAlign w:val="bottom"/>
          </w:tcPr>
          <w:p w:rsidR="000D53EA" w:rsidRDefault="00E41A8D">
            <w:pPr>
              <w:spacing w:before="60" w:after="60"/>
              <w:jc w:val="left"/>
              <w:rPr>
                <w:rFonts w:cstheme="minorBidi"/>
                <w:sz w:val="18"/>
                <w:szCs w:val="18"/>
              </w:rPr>
            </w:pPr>
            <w:bookmarkStart w:id="71" w:name="OLE_LINK1"/>
            <w:r w:rsidRPr="00E41A8D">
              <w:rPr>
                <w:rFonts w:cstheme="minorBidi"/>
                <w:sz w:val="18"/>
                <w:szCs w:val="18"/>
              </w:rPr>
              <w:t>1986</w:t>
            </w:r>
          </w:p>
        </w:tc>
        <w:tc>
          <w:tcPr>
            <w:tcW w:w="5616" w:type="dxa"/>
            <w:shd w:val="clear" w:color="auto" w:fill="auto"/>
            <w:noWrap/>
            <w:vAlign w:val="bottom"/>
          </w:tcPr>
          <w:p w:rsidR="000D53EA" w:rsidRDefault="00E41A8D">
            <w:pPr>
              <w:spacing w:before="60" w:after="60"/>
              <w:jc w:val="left"/>
              <w:rPr>
                <w:rFonts w:cstheme="minorBidi"/>
                <w:sz w:val="18"/>
                <w:szCs w:val="18"/>
              </w:rPr>
            </w:pPr>
            <w:r w:rsidRPr="00E41A8D">
              <w:rPr>
                <w:rFonts w:cstheme="minorBidi"/>
                <w:sz w:val="18"/>
                <w:szCs w:val="18"/>
              </w:rPr>
              <w:t>EU Sludge Directive</w:t>
            </w:r>
          </w:p>
        </w:tc>
      </w:tr>
      <w:tr w:rsidR="00E41A8D" w:rsidRPr="00FA4ECC" w:rsidTr="00E41A8D">
        <w:trPr>
          <w:trHeight w:val="300"/>
        </w:trPr>
        <w:tc>
          <w:tcPr>
            <w:tcW w:w="1180" w:type="dxa"/>
            <w:shd w:val="clear" w:color="auto" w:fill="auto"/>
            <w:noWrap/>
            <w:vAlign w:val="bottom"/>
          </w:tcPr>
          <w:p w:rsidR="000D53EA" w:rsidRDefault="00E41A8D">
            <w:pPr>
              <w:spacing w:before="60" w:after="60"/>
              <w:jc w:val="left"/>
              <w:rPr>
                <w:rFonts w:cstheme="minorBidi"/>
                <w:sz w:val="18"/>
                <w:szCs w:val="18"/>
              </w:rPr>
            </w:pPr>
            <w:r w:rsidRPr="00E41A8D">
              <w:rPr>
                <w:rFonts w:cstheme="minorBidi"/>
                <w:sz w:val="18"/>
                <w:szCs w:val="18"/>
              </w:rPr>
              <w:t>1987</w:t>
            </w:r>
          </w:p>
        </w:tc>
        <w:tc>
          <w:tcPr>
            <w:tcW w:w="5616" w:type="dxa"/>
            <w:shd w:val="clear" w:color="auto" w:fill="auto"/>
            <w:noWrap/>
            <w:vAlign w:val="bottom"/>
          </w:tcPr>
          <w:p w:rsidR="000D53EA" w:rsidRDefault="00E41A8D">
            <w:pPr>
              <w:spacing w:before="60" w:after="60"/>
              <w:jc w:val="left"/>
              <w:rPr>
                <w:rFonts w:cstheme="minorBidi"/>
                <w:sz w:val="18"/>
                <w:szCs w:val="18"/>
              </w:rPr>
            </w:pPr>
            <w:r w:rsidRPr="00E41A8D">
              <w:rPr>
                <w:rFonts w:cstheme="minorBidi"/>
                <w:sz w:val="18"/>
                <w:szCs w:val="18"/>
              </w:rPr>
              <w:t>NSW Agriculture</w:t>
            </w:r>
          </w:p>
        </w:tc>
      </w:tr>
      <w:tr w:rsidR="00E41A8D" w:rsidRPr="00FA4ECC" w:rsidTr="00E41A8D">
        <w:trPr>
          <w:trHeight w:val="300"/>
        </w:trPr>
        <w:tc>
          <w:tcPr>
            <w:tcW w:w="1180" w:type="dxa"/>
            <w:shd w:val="clear" w:color="auto" w:fill="auto"/>
            <w:noWrap/>
            <w:vAlign w:val="bottom"/>
          </w:tcPr>
          <w:p w:rsidR="000D53EA" w:rsidRDefault="00E41A8D">
            <w:pPr>
              <w:spacing w:before="60" w:after="60"/>
              <w:jc w:val="left"/>
              <w:rPr>
                <w:rFonts w:cstheme="minorBidi"/>
                <w:sz w:val="18"/>
                <w:szCs w:val="18"/>
              </w:rPr>
            </w:pPr>
            <w:r w:rsidRPr="00E41A8D">
              <w:rPr>
                <w:rFonts w:cstheme="minorBidi"/>
                <w:sz w:val="18"/>
                <w:szCs w:val="18"/>
              </w:rPr>
              <w:t>1993</w:t>
            </w:r>
          </w:p>
        </w:tc>
        <w:tc>
          <w:tcPr>
            <w:tcW w:w="5616" w:type="dxa"/>
            <w:shd w:val="clear" w:color="auto" w:fill="auto"/>
            <w:noWrap/>
            <w:vAlign w:val="bottom"/>
          </w:tcPr>
          <w:p w:rsidR="000D53EA" w:rsidRDefault="00E41A8D">
            <w:pPr>
              <w:spacing w:before="60" w:after="60"/>
              <w:jc w:val="left"/>
              <w:rPr>
                <w:rFonts w:cstheme="minorBidi"/>
                <w:sz w:val="18"/>
                <w:szCs w:val="18"/>
              </w:rPr>
            </w:pPr>
            <w:r w:rsidRPr="00E41A8D">
              <w:rPr>
                <w:rFonts w:cstheme="minorBidi"/>
                <w:sz w:val="18"/>
                <w:szCs w:val="18"/>
              </w:rPr>
              <w:t>US EPA 40CRF503 rule</w:t>
            </w:r>
          </w:p>
        </w:tc>
      </w:tr>
      <w:tr w:rsidR="001C7E31" w:rsidRPr="00FA4ECC" w:rsidTr="00E41A8D">
        <w:trPr>
          <w:trHeight w:val="300"/>
        </w:trPr>
        <w:tc>
          <w:tcPr>
            <w:tcW w:w="1180" w:type="dxa"/>
            <w:shd w:val="clear" w:color="auto" w:fill="auto"/>
            <w:noWrap/>
            <w:vAlign w:val="bottom"/>
          </w:tcPr>
          <w:p w:rsidR="000D53EA" w:rsidRDefault="001C7E31">
            <w:pPr>
              <w:spacing w:before="60" w:after="60"/>
              <w:jc w:val="left"/>
              <w:rPr>
                <w:rFonts w:cstheme="minorBidi"/>
                <w:sz w:val="18"/>
                <w:szCs w:val="18"/>
              </w:rPr>
            </w:pPr>
            <w:r>
              <w:rPr>
                <w:rFonts w:cstheme="minorBidi"/>
                <w:sz w:val="18"/>
                <w:szCs w:val="18"/>
              </w:rPr>
              <w:t>1996</w:t>
            </w:r>
          </w:p>
        </w:tc>
        <w:tc>
          <w:tcPr>
            <w:tcW w:w="5616" w:type="dxa"/>
            <w:shd w:val="clear" w:color="auto" w:fill="auto"/>
            <w:noWrap/>
            <w:vAlign w:val="bottom"/>
          </w:tcPr>
          <w:p w:rsidR="000D53EA" w:rsidRDefault="001C7E31">
            <w:pPr>
              <w:spacing w:before="60" w:after="60"/>
              <w:jc w:val="left"/>
              <w:rPr>
                <w:rFonts w:cstheme="minorBidi"/>
                <w:sz w:val="18"/>
                <w:szCs w:val="18"/>
              </w:rPr>
            </w:pPr>
            <w:r>
              <w:rPr>
                <w:rFonts w:cstheme="minorBidi"/>
                <w:sz w:val="18"/>
                <w:szCs w:val="18"/>
              </w:rPr>
              <w:t>SA EPA</w:t>
            </w:r>
          </w:p>
        </w:tc>
      </w:tr>
      <w:tr w:rsidR="00E41A8D" w:rsidRPr="00FA4ECC" w:rsidTr="00E41A8D">
        <w:trPr>
          <w:trHeight w:val="300"/>
        </w:trPr>
        <w:tc>
          <w:tcPr>
            <w:tcW w:w="1180" w:type="dxa"/>
            <w:shd w:val="clear" w:color="auto" w:fill="auto"/>
            <w:noWrap/>
            <w:vAlign w:val="bottom"/>
          </w:tcPr>
          <w:p w:rsidR="000D53EA" w:rsidRDefault="00E41A8D">
            <w:pPr>
              <w:spacing w:before="60" w:after="60"/>
              <w:jc w:val="left"/>
              <w:rPr>
                <w:rFonts w:cstheme="minorBidi"/>
                <w:sz w:val="18"/>
                <w:szCs w:val="18"/>
              </w:rPr>
            </w:pPr>
            <w:r w:rsidRPr="00E41A8D">
              <w:rPr>
                <w:rFonts w:cstheme="minorBidi"/>
                <w:sz w:val="18"/>
                <w:szCs w:val="18"/>
              </w:rPr>
              <w:t>1997</w:t>
            </w:r>
          </w:p>
        </w:tc>
        <w:tc>
          <w:tcPr>
            <w:tcW w:w="5616" w:type="dxa"/>
            <w:shd w:val="clear" w:color="auto" w:fill="auto"/>
            <w:noWrap/>
            <w:vAlign w:val="bottom"/>
          </w:tcPr>
          <w:p w:rsidR="000D53EA" w:rsidRDefault="00E41A8D">
            <w:pPr>
              <w:spacing w:before="60" w:after="60"/>
              <w:jc w:val="left"/>
              <w:rPr>
                <w:rFonts w:cstheme="minorBidi"/>
                <w:sz w:val="18"/>
                <w:szCs w:val="18"/>
              </w:rPr>
            </w:pPr>
            <w:r w:rsidRPr="00E41A8D">
              <w:rPr>
                <w:rFonts w:cstheme="minorBidi"/>
                <w:sz w:val="18"/>
                <w:szCs w:val="18"/>
              </w:rPr>
              <w:t>NSW EPA</w:t>
            </w:r>
          </w:p>
        </w:tc>
      </w:tr>
      <w:tr w:rsidR="00E41A8D" w:rsidRPr="00FA4ECC" w:rsidTr="00E41A8D">
        <w:trPr>
          <w:trHeight w:val="300"/>
        </w:trPr>
        <w:tc>
          <w:tcPr>
            <w:tcW w:w="1180" w:type="dxa"/>
            <w:shd w:val="clear" w:color="auto" w:fill="auto"/>
            <w:noWrap/>
            <w:vAlign w:val="bottom"/>
          </w:tcPr>
          <w:p w:rsidR="000D53EA" w:rsidRDefault="00E41A8D">
            <w:pPr>
              <w:spacing w:before="60" w:after="60"/>
              <w:jc w:val="left"/>
              <w:rPr>
                <w:rFonts w:cstheme="minorBidi"/>
                <w:sz w:val="18"/>
                <w:szCs w:val="18"/>
              </w:rPr>
            </w:pPr>
            <w:r w:rsidRPr="00E41A8D">
              <w:rPr>
                <w:rFonts w:cstheme="minorBidi"/>
                <w:sz w:val="18"/>
                <w:szCs w:val="18"/>
              </w:rPr>
              <w:t>1999</w:t>
            </w:r>
          </w:p>
        </w:tc>
        <w:tc>
          <w:tcPr>
            <w:tcW w:w="5616" w:type="dxa"/>
            <w:shd w:val="clear" w:color="auto" w:fill="auto"/>
            <w:noWrap/>
            <w:vAlign w:val="bottom"/>
          </w:tcPr>
          <w:p w:rsidR="000D53EA" w:rsidRDefault="00E41A8D">
            <w:pPr>
              <w:spacing w:before="60" w:after="60"/>
              <w:jc w:val="left"/>
              <w:rPr>
                <w:rFonts w:cstheme="minorBidi"/>
                <w:sz w:val="18"/>
                <w:szCs w:val="18"/>
              </w:rPr>
            </w:pPr>
            <w:r w:rsidRPr="00E41A8D">
              <w:rPr>
                <w:rFonts w:cstheme="minorBidi"/>
                <w:sz w:val="18"/>
                <w:szCs w:val="18"/>
              </w:rPr>
              <w:t>Tasmanian EPA</w:t>
            </w:r>
          </w:p>
        </w:tc>
      </w:tr>
      <w:tr w:rsidR="00E41A8D" w:rsidRPr="00FA4ECC" w:rsidTr="00E41A8D">
        <w:trPr>
          <w:trHeight w:val="300"/>
        </w:trPr>
        <w:tc>
          <w:tcPr>
            <w:tcW w:w="1180" w:type="dxa"/>
            <w:shd w:val="clear" w:color="auto" w:fill="auto"/>
            <w:noWrap/>
            <w:vAlign w:val="bottom"/>
          </w:tcPr>
          <w:p w:rsidR="000D53EA" w:rsidRDefault="00E41A8D">
            <w:pPr>
              <w:spacing w:before="60" w:after="60"/>
              <w:jc w:val="left"/>
              <w:rPr>
                <w:rFonts w:cstheme="minorBidi"/>
                <w:sz w:val="18"/>
                <w:szCs w:val="18"/>
              </w:rPr>
            </w:pPr>
            <w:r w:rsidRPr="00E41A8D">
              <w:rPr>
                <w:rFonts w:cstheme="minorBidi"/>
                <w:sz w:val="18"/>
                <w:szCs w:val="18"/>
              </w:rPr>
              <w:t>2001</w:t>
            </w:r>
          </w:p>
        </w:tc>
        <w:tc>
          <w:tcPr>
            <w:tcW w:w="5616" w:type="dxa"/>
            <w:shd w:val="clear" w:color="auto" w:fill="auto"/>
            <w:noWrap/>
            <w:vAlign w:val="bottom"/>
          </w:tcPr>
          <w:p w:rsidR="000D53EA" w:rsidRDefault="00E41A8D">
            <w:pPr>
              <w:spacing w:before="60" w:after="60"/>
              <w:jc w:val="left"/>
              <w:rPr>
                <w:rFonts w:cstheme="minorBidi"/>
                <w:sz w:val="18"/>
                <w:szCs w:val="18"/>
              </w:rPr>
            </w:pPr>
            <w:r w:rsidRPr="00E41A8D">
              <w:rPr>
                <w:rFonts w:cstheme="minorBidi"/>
                <w:sz w:val="18"/>
                <w:szCs w:val="18"/>
              </w:rPr>
              <w:t>Qld EPA Operational policy</w:t>
            </w:r>
          </w:p>
        </w:tc>
      </w:tr>
      <w:tr w:rsidR="00E41A8D" w:rsidRPr="00FA4ECC" w:rsidTr="00E41A8D">
        <w:trPr>
          <w:trHeight w:val="300"/>
        </w:trPr>
        <w:tc>
          <w:tcPr>
            <w:tcW w:w="1180" w:type="dxa"/>
            <w:shd w:val="clear" w:color="auto" w:fill="auto"/>
            <w:noWrap/>
            <w:vAlign w:val="bottom"/>
          </w:tcPr>
          <w:p w:rsidR="000D53EA" w:rsidRDefault="00E41A8D">
            <w:pPr>
              <w:spacing w:before="60" w:after="60"/>
              <w:jc w:val="left"/>
              <w:rPr>
                <w:rFonts w:cstheme="minorBidi"/>
                <w:sz w:val="18"/>
                <w:szCs w:val="18"/>
              </w:rPr>
            </w:pPr>
            <w:r>
              <w:rPr>
                <w:rFonts w:cstheme="minorBidi"/>
                <w:sz w:val="18"/>
                <w:szCs w:val="18"/>
              </w:rPr>
              <w:t>2001</w:t>
            </w:r>
          </w:p>
        </w:tc>
        <w:tc>
          <w:tcPr>
            <w:tcW w:w="5616" w:type="dxa"/>
            <w:shd w:val="clear" w:color="auto" w:fill="auto"/>
            <w:noWrap/>
            <w:vAlign w:val="bottom"/>
          </w:tcPr>
          <w:p w:rsidR="000D53EA" w:rsidRDefault="00E41A8D">
            <w:pPr>
              <w:spacing w:before="60" w:after="60"/>
              <w:jc w:val="left"/>
              <w:rPr>
                <w:rFonts w:cstheme="minorBidi"/>
                <w:sz w:val="18"/>
                <w:szCs w:val="18"/>
              </w:rPr>
            </w:pPr>
            <w:r>
              <w:rPr>
                <w:rFonts w:cstheme="minorBidi"/>
                <w:sz w:val="18"/>
                <w:szCs w:val="18"/>
              </w:rPr>
              <w:t>Safe Sludge Matrix (UK Water and British Retail Consortium)</w:t>
            </w:r>
          </w:p>
        </w:tc>
      </w:tr>
      <w:tr w:rsidR="00E41A8D" w:rsidRPr="00FA4ECC" w:rsidTr="00E41A8D">
        <w:trPr>
          <w:trHeight w:val="300"/>
        </w:trPr>
        <w:tc>
          <w:tcPr>
            <w:tcW w:w="1180" w:type="dxa"/>
            <w:shd w:val="clear" w:color="auto" w:fill="auto"/>
            <w:noWrap/>
            <w:vAlign w:val="bottom"/>
          </w:tcPr>
          <w:p w:rsidR="000D53EA" w:rsidRDefault="00E41A8D">
            <w:pPr>
              <w:spacing w:before="60" w:after="60"/>
              <w:jc w:val="left"/>
              <w:rPr>
                <w:rFonts w:cstheme="minorBidi"/>
                <w:sz w:val="18"/>
                <w:szCs w:val="18"/>
              </w:rPr>
            </w:pPr>
            <w:r w:rsidRPr="00E41A8D">
              <w:rPr>
                <w:rFonts w:cstheme="minorBidi"/>
                <w:sz w:val="18"/>
                <w:szCs w:val="18"/>
              </w:rPr>
              <w:t>2002</w:t>
            </w:r>
          </w:p>
        </w:tc>
        <w:tc>
          <w:tcPr>
            <w:tcW w:w="5616" w:type="dxa"/>
            <w:shd w:val="clear" w:color="auto" w:fill="auto"/>
            <w:noWrap/>
            <w:vAlign w:val="bottom"/>
          </w:tcPr>
          <w:p w:rsidR="000D53EA" w:rsidRDefault="00E41A8D">
            <w:pPr>
              <w:spacing w:before="60" w:after="60"/>
              <w:jc w:val="left"/>
              <w:rPr>
                <w:rFonts w:cstheme="minorBidi"/>
                <w:sz w:val="18"/>
                <w:szCs w:val="18"/>
              </w:rPr>
            </w:pPr>
            <w:r w:rsidRPr="00E41A8D">
              <w:rPr>
                <w:rFonts w:cstheme="minorBidi"/>
                <w:sz w:val="18"/>
                <w:szCs w:val="18"/>
              </w:rPr>
              <w:t>WA EPA</w:t>
            </w:r>
          </w:p>
        </w:tc>
      </w:tr>
      <w:tr w:rsidR="00E41A8D" w:rsidRPr="00FA4ECC" w:rsidTr="00E41A8D">
        <w:trPr>
          <w:trHeight w:val="300"/>
        </w:trPr>
        <w:tc>
          <w:tcPr>
            <w:tcW w:w="1180" w:type="dxa"/>
            <w:shd w:val="clear" w:color="auto" w:fill="auto"/>
            <w:noWrap/>
            <w:vAlign w:val="bottom"/>
          </w:tcPr>
          <w:p w:rsidR="000D53EA" w:rsidRDefault="00E41A8D">
            <w:pPr>
              <w:spacing w:before="60" w:after="60"/>
              <w:jc w:val="left"/>
              <w:rPr>
                <w:rFonts w:cstheme="minorBidi"/>
                <w:sz w:val="18"/>
                <w:szCs w:val="18"/>
              </w:rPr>
            </w:pPr>
            <w:r w:rsidRPr="00E41A8D">
              <w:rPr>
                <w:rFonts w:cstheme="minorBidi"/>
                <w:sz w:val="18"/>
                <w:szCs w:val="18"/>
              </w:rPr>
              <w:t>2003</w:t>
            </w:r>
          </w:p>
        </w:tc>
        <w:tc>
          <w:tcPr>
            <w:tcW w:w="5616" w:type="dxa"/>
            <w:shd w:val="clear" w:color="auto" w:fill="auto"/>
            <w:noWrap/>
            <w:vAlign w:val="bottom"/>
          </w:tcPr>
          <w:p w:rsidR="000D53EA" w:rsidRDefault="00E41A8D">
            <w:pPr>
              <w:spacing w:before="60" w:after="60"/>
              <w:jc w:val="left"/>
              <w:rPr>
                <w:rFonts w:cstheme="minorBidi"/>
                <w:sz w:val="18"/>
                <w:szCs w:val="18"/>
              </w:rPr>
            </w:pPr>
            <w:r w:rsidRPr="00E41A8D">
              <w:rPr>
                <w:rFonts w:cstheme="minorBidi"/>
                <w:sz w:val="18"/>
                <w:szCs w:val="18"/>
              </w:rPr>
              <w:t>NZWWA supported by Ministry for the Environment</w:t>
            </w:r>
          </w:p>
        </w:tc>
      </w:tr>
      <w:tr w:rsidR="00E41A8D" w:rsidRPr="00FA4ECC" w:rsidTr="00E41A8D">
        <w:trPr>
          <w:trHeight w:val="300"/>
        </w:trPr>
        <w:tc>
          <w:tcPr>
            <w:tcW w:w="1180" w:type="dxa"/>
            <w:shd w:val="clear" w:color="auto" w:fill="auto"/>
            <w:noWrap/>
            <w:vAlign w:val="bottom"/>
          </w:tcPr>
          <w:p w:rsidR="000D53EA" w:rsidRDefault="00E41A8D">
            <w:pPr>
              <w:spacing w:before="60" w:after="60"/>
              <w:jc w:val="left"/>
              <w:rPr>
                <w:rFonts w:cstheme="minorBidi"/>
                <w:sz w:val="18"/>
                <w:szCs w:val="18"/>
              </w:rPr>
            </w:pPr>
            <w:r w:rsidRPr="00E41A8D">
              <w:rPr>
                <w:rFonts w:cstheme="minorBidi"/>
                <w:sz w:val="18"/>
                <w:szCs w:val="18"/>
              </w:rPr>
              <w:t>2004</w:t>
            </w:r>
          </w:p>
        </w:tc>
        <w:tc>
          <w:tcPr>
            <w:tcW w:w="5616" w:type="dxa"/>
            <w:shd w:val="clear" w:color="auto" w:fill="auto"/>
            <w:noWrap/>
            <w:vAlign w:val="bottom"/>
          </w:tcPr>
          <w:p w:rsidR="000D53EA" w:rsidRDefault="00E41A8D">
            <w:pPr>
              <w:spacing w:before="60" w:after="60"/>
              <w:jc w:val="left"/>
              <w:rPr>
                <w:rFonts w:cstheme="minorBidi"/>
                <w:sz w:val="18"/>
                <w:szCs w:val="18"/>
              </w:rPr>
            </w:pPr>
            <w:r w:rsidRPr="00E41A8D">
              <w:rPr>
                <w:rFonts w:cstheme="minorBidi"/>
                <w:sz w:val="18"/>
                <w:szCs w:val="18"/>
              </w:rPr>
              <w:t>Vic EPA</w:t>
            </w:r>
          </w:p>
        </w:tc>
      </w:tr>
      <w:tr w:rsidR="00E41A8D" w:rsidRPr="00FA4ECC" w:rsidTr="00E41A8D">
        <w:trPr>
          <w:trHeight w:val="300"/>
        </w:trPr>
        <w:tc>
          <w:tcPr>
            <w:tcW w:w="1180" w:type="dxa"/>
            <w:shd w:val="clear" w:color="auto" w:fill="auto"/>
            <w:noWrap/>
            <w:vAlign w:val="bottom"/>
          </w:tcPr>
          <w:p w:rsidR="000D53EA" w:rsidRDefault="00E41A8D">
            <w:pPr>
              <w:spacing w:before="60" w:after="60"/>
              <w:jc w:val="left"/>
              <w:rPr>
                <w:rFonts w:cstheme="minorBidi"/>
                <w:sz w:val="18"/>
                <w:szCs w:val="18"/>
              </w:rPr>
            </w:pPr>
            <w:r w:rsidRPr="00E41A8D">
              <w:rPr>
                <w:rFonts w:cstheme="minorBidi"/>
                <w:sz w:val="18"/>
                <w:szCs w:val="18"/>
              </w:rPr>
              <w:t>2004</w:t>
            </w:r>
          </w:p>
        </w:tc>
        <w:tc>
          <w:tcPr>
            <w:tcW w:w="5616" w:type="dxa"/>
            <w:shd w:val="clear" w:color="auto" w:fill="auto"/>
            <w:noWrap/>
            <w:vAlign w:val="bottom"/>
          </w:tcPr>
          <w:p w:rsidR="000D53EA" w:rsidRDefault="00927A1A">
            <w:pPr>
              <w:spacing w:before="60" w:after="60"/>
              <w:jc w:val="left"/>
              <w:rPr>
                <w:rFonts w:cstheme="minorBidi"/>
                <w:sz w:val="18"/>
                <w:szCs w:val="18"/>
              </w:rPr>
            </w:pPr>
            <w:r>
              <w:rPr>
                <w:rFonts w:cstheme="minorBidi"/>
                <w:sz w:val="18"/>
                <w:szCs w:val="18"/>
              </w:rPr>
              <w:t>National Water Quality Management Strategy (National guideline)</w:t>
            </w:r>
          </w:p>
        </w:tc>
      </w:tr>
      <w:tr w:rsidR="00E41A8D" w:rsidRPr="00FA4ECC" w:rsidTr="00E41A8D">
        <w:trPr>
          <w:trHeight w:val="300"/>
        </w:trPr>
        <w:tc>
          <w:tcPr>
            <w:tcW w:w="1180" w:type="dxa"/>
            <w:shd w:val="clear" w:color="auto" w:fill="auto"/>
            <w:noWrap/>
            <w:vAlign w:val="bottom"/>
          </w:tcPr>
          <w:p w:rsidR="000D53EA" w:rsidRDefault="00E41A8D">
            <w:pPr>
              <w:spacing w:before="60" w:after="60"/>
              <w:jc w:val="left"/>
              <w:rPr>
                <w:rFonts w:cstheme="minorBidi"/>
                <w:sz w:val="18"/>
                <w:szCs w:val="18"/>
              </w:rPr>
            </w:pPr>
            <w:r w:rsidRPr="00E41A8D">
              <w:rPr>
                <w:rFonts w:cstheme="minorBidi"/>
                <w:sz w:val="18"/>
                <w:szCs w:val="18"/>
              </w:rPr>
              <w:t>2009</w:t>
            </w:r>
          </w:p>
        </w:tc>
        <w:tc>
          <w:tcPr>
            <w:tcW w:w="5616" w:type="dxa"/>
            <w:shd w:val="clear" w:color="auto" w:fill="auto"/>
            <w:noWrap/>
            <w:vAlign w:val="bottom"/>
          </w:tcPr>
          <w:p w:rsidR="000D53EA" w:rsidRDefault="00E41A8D">
            <w:pPr>
              <w:spacing w:before="60" w:after="60"/>
              <w:jc w:val="left"/>
              <w:rPr>
                <w:rFonts w:cstheme="minorBidi"/>
                <w:sz w:val="18"/>
                <w:szCs w:val="18"/>
              </w:rPr>
            </w:pPr>
            <w:r w:rsidRPr="00E41A8D">
              <w:rPr>
                <w:rFonts w:cstheme="minorBidi"/>
                <w:sz w:val="18"/>
                <w:szCs w:val="18"/>
              </w:rPr>
              <w:t>SA EPA</w:t>
            </w:r>
            <w:r>
              <w:rPr>
                <w:rFonts w:cstheme="minorBidi"/>
                <w:sz w:val="18"/>
                <w:szCs w:val="18"/>
              </w:rPr>
              <w:t xml:space="preserve"> (draft)</w:t>
            </w:r>
          </w:p>
        </w:tc>
      </w:tr>
      <w:tr w:rsidR="00E41A8D" w:rsidRPr="00FA4ECC" w:rsidTr="00E41A8D">
        <w:trPr>
          <w:trHeight w:val="300"/>
        </w:trPr>
        <w:tc>
          <w:tcPr>
            <w:tcW w:w="1180" w:type="dxa"/>
            <w:shd w:val="clear" w:color="auto" w:fill="auto"/>
            <w:noWrap/>
            <w:vAlign w:val="bottom"/>
          </w:tcPr>
          <w:p w:rsidR="000D53EA" w:rsidRDefault="00E41A8D">
            <w:pPr>
              <w:spacing w:before="60" w:after="60"/>
              <w:jc w:val="left"/>
              <w:rPr>
                <w:rFonts w:cstheme="minorBidi"/>
                <w:sz w:val="18"/>
                <w:szCs w:val="18"/>
              </w:rPr>
            </w:pPr>
            <w:r>
              <w:rPr>
                <w:rFonts w:cstheme="minorBidi"/>
                <w:sz w:val="18"/>
                <w:szCs w:val="18"/>
              </w:rPr>
              <w:t>2010</w:t>
            </w:r>
          </w:p>
        </w:tc>
        <w:tc>
          <w:tcPr>
            <w:tcW w:w="5616" w:type="dxa"/>
            <w:shd w:val="clear" w:color="auto" w:fill="auto"/>
            <w:noWrap/>
            <w:vAlign w:val="bottom"/>
          </w:tcPr>
          <w:p w:rsidR="000D53EA" w:rsidRDefault="00E41A8D">
            <w:pPr>
              <w:spacing w:before="60" w:after="60"/>
              <w:jc w:val="left"/>
              <w:rPr>
                <w:rFonts w:cstheme="minorBidi"/>
                <w:sz w:val="18"/>
                <w:szCs w:val="18"/>
              </w:rPr>
            </w:pPr>
            <w:r>
              <w:rPr>
                <w:rFonts w:cstheme="minorBidi"/>
                <w:sz w:val="18"/>
                <w:szCs w:val="18"/>
              </w:rPr>
              <w:t>WA EPA (draft)</w:t>
            </w:r>
          </w:p>
        </w:tc>
      </w:tr>
    </w:tbl>
    <w:bookmarkEnd w:id="71"/>
    <w:p w:rsidR="000D53EA" w:rsidRDefault="00927A1A">
      <w:pPr>
        <w:jc w:val="left"/>
      </w:pPr>
      <w:r>
        <w:t xml:space="preserve">The body of research supporting these regulations was done through the 1980’s and 1990’s.  Australian guidelines were largely based on the US EPA’s 40CFR503 rule, albeit supported by some local research and the local guidelines are much more conservative (protective of the environment) than the US rule. Australian guidelines are all based strongly on the NSW EPA’s guideline, which was the first comprehensive </w:t>
      </w:r>
      <w:proofErr w:type="spellStart"/>
      <w:r>
        <w:t>biosolids</w:t>
      </w:r>
      <w:proofErr w:type="spellEnd"/>
      <w:r>
        <w:t xml:space="preserve"> guideline to be released in Australia.</w:t>
      </w:r>
    </w:p>
    <w:p w:rsidR="000D53EA" w:rsidRDefault="00927A1A">
      <w:pPr>
        <w:jc w:val="left"/>
      </w:pPr>
      <w:r>
        <w:t xml:space="preserve">In recent years South Australia and Western Australia have released updates to their </w:t>
      </w:r>
      <w:proofErr w:type="spellStart"/>
      <w:r>
        <w:t>biosolids</w:t>
      </w:r>
      <w:proofErr w:type="spellEnd"/>
      <w:r>
        <w:t xml:space="preserve"> guidelines</w:t>
      </w:r>
      <w:r w:rsidR="001C7E31">
        <w:t xml:space="preserve"> which include the outputs of the National </w:t>
      </w:r>
      <w:proofErr w:type="spellStart"/>
      <w:r w:rsidR="001C7E31">
        <w:t>Biosolids</w:t>
      </w:r>
      <w:proofErr w:type="spellEnd"/>
      <w:r w:rsidR="001C7E31">
        <w:t xml:space="preserve"> Research Program.</w:t>
      </w:r>
    </w:p>
    <w:p w:rsidR="000D53EA" w:rsidRDefault="009C76E5">
      <w:pPr>
        <w:pStyle w:val="Heading2"/>
        <w:jc w:val="left"/>
      </w:pPr>
      <w:bookmarkStart w:id="72" w:name="_Toc326747484"/>
      <w:r>
        <w:t>Regulated compounds</w:t>
      </w:r>
      <w:bookmarkEnd w:id="72"/>
    </w:p>
    <w:p w:rsidR="000D53EA" w:rsidRDefault="009C76E5">
      <w:pPr>
        <w:jc w:val="left"/>
      </w:pPr>
      <w:r>
        <w:t>The compounds which are regulated in each region of Australia vary somewhat. Table 13 below shows the list of 22 regulated chemicals for each of the states in Australia and compares this to the EU and USA.</w:t>
      </w:r>
    </w:p>
    <w:p w:rsidR="000D53EA" w:rsidRDefault="009C76E5" w:rsidP="00143CA4">
      <w:pPr>
        <w:pStyle w:val="TableHeading"/>
        <w:jc w:val="left"/>
      </w:pPr>
      <w:r>
        <w:lastRenderedPageBreak/>
        <w:t>Table 13 – Regulated chemicals</w:t>
      </w:r>
    </w:p>
    <w:tbl>
      <w:tblPr>
        <w:tblW w:w="679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16"/>
        <w:gridCol w:w="1397"/>
        <w:gridCol w:w="1003"/>
        <w:gridCol w:w="1039"/>
        <w:gridCol w:w="1039"/>
      </w:tblGrid>
      <w:tr w:rsidR="009C76E5" w:rsidRPr="00047CE9" w:rsidTr="009C76E5">
        <w:trPr>
          <w:trHeight w:val="645"/>
        </w:trPr>
        <w:tc>
          <w:tcPr>
            <w:tcW w:w="2316" w:type="dxa"/>
            <w:shd w:val="clear" w:color="auto" w:fill="auto"/>
            <w:vAlign w:val="center"/>
          </w:tcPr>
          <w:p w:rsidR="009C76E5" w:rsidRPr="00047CE9" w:rsidRDefault="009C76E5" w:rsidP="00143CA4">
            <w:pPr>
              <w:keepNext/>
              <w:spacing w:before="0" w:after="0"/>
              <w:jc w:val="left"/>
              <w:rPr>
                <w:rFonts w:cstheme="minorBidi"/>
                <w:b/>
                <w:bCs/>
                <w:sz w:val="18"/>
              </w:rPr>
            </w:pPr>
            <w:r w:rsidRPr="00047CE9">
              <w:rPr>
                <w:rFonts w:cstheme="minorBidi"/>
                <w:b/>
                <w:bCs/>
                <w:sz w:val="18"/>
              </w:rPr>
              <w:t>Contaminant</w:t>
            </w:r>
          </w:p>
        </w:tc>
        <w:tc>
          <w:tcPr>
            <w:tcW w:w="1397" w:type="dxa"/>
            <w:shd w:val="clear" w:color="auto" w:fill="auto"/>
            <w:vAlign w:val="center"/>
          </w:tcPr>
          <w:p w:rsidR="000D53EA" w:rsidRDefault="009C76E5" w:rsidP="00143CA4">
            <w:pPr>
              <w:keepNext/>
              <w:spacing w:before="0" w:after="0"/>
              <w:jc w:val="left"/>
              <w:rPr>
                <w:rFonts w:cstheme="minorBidi"/>
                <w:b/>
                <w:bCs/>
                <w:sz w:val="18"/>
              </w:rPr>
            </w:pPr>
            <w:r>
              <w:rPr>
                <w:rFonts w:cstheme="minorBidi"/>
                <w:b/>
                <w:bCs/>
                <w:sz w:val="18"/>
              </w:rPr>
              <w:t>NSW, Qld, National, Tas, Vic, WA</w:t>
            </w:r>
          </w:p>
        </w:tc>
        <w:tc>
          <w:tcPr>
            <w:tcW w:w="1003" w:type="dxa"/>
            <w:shd w:val="clear" w:color="auto" w:fill="auto"/>
            <w:vAlign w:val="center"/>
          </w:tcPr>
          <w:p w:rsidR="000D53EA" w:rsidRDefault="009C76E5" w:rsidP="00143CA4">
            <w:pPr>
              <w:keepNext/>
              <w:spacing w:before="0" w:after="0"/>
              <w:jc w:val="left"/>
              <w:rPr>
                <w:rFonts w:cstheme="minorBidi"/>
                <w:b/>
                <w:bCs/>
                <w:sz w:val="18"/>
              </w:rPr>
            </w:pPr>
            <w:r w:rsidRPr="00047CE9">
              <w:rPr>
                <w:rFonts w:cstheme="minorBidi"/>
                <w:b/>
                <w:bCs/>
                <w:sz w:val="18"/>
              </w:rPr>
              <w:t>SA</w:t>
            </w:r>
          </w:p>
        </w:tc>
        <w:tc>
          <w:tcPr>
            <w:tcW w:w="1039" w:type="dxa"/>
            <w:vAlign w:val="center"/>
          </w:tcPr>
          <w:p w:rsidR="000D53EA" w:rsidRDefault="009C76E5" w:rsidP="00143CA4">
            <w:pPr>
              <w:keepNext/>
              <w:spacing w:before="0" w:after="0"/>
              <w:jc w:val="left"/>
              <w:rPr>
                <w:rFonts w:cstheme="minorBidi"/>
                <w:b/>
                <w:bCs/>
                <w:sz w:val="18"/>
              </w:rPr>
            </w:pPr>
            <w:r>
              <w:rPr>
                <w:rFonts w:cstheme="minorBidi"/>
                <w:b/>
                <w:bCs/>
                <w:sz w:val="18"/>
              </w:rPr>
              <w:t>EU</w:t>
            </w:r>
          </w:p>
        </w:tc>
        <w:tc>
          <w:tcPr>
            <w:tcW w:w="1039" w:type="dxa"/>
            <w:vAlign w:val="center"/>
          </w:tcPr>
          <w:p w:rsidR="000D53EA" w:rsidRDefault="009C76E5" w:rsidP="00143CA4">
            <w:pPr>
              <w:keepNext/>
              <w:spacing w:before="0" w:after="0"/>
              <w:jc w:val="left"/>
              <w:rPr>
                <w:rFonts w:cstheme="minorBidi"/>
                <w:b/>
                <w:bCs/>
                <w:sz w:val="18"/>
              </w:rPr>
            </w:pPr>
            <w:r>
              <w:rPr>
                <w:rFonts w:cstheme="minorBidi"/>
                <w:b/>
                <w:bCs/>
                <w:sz w:val="18"/>
              </w:rPr>
              <w:t>USA</w:t>
            </w:r>
          </w:p>
        </w:tc>
      </w:tr>
      <w:tr w:rsidR="009C76E5" w:rsidRPr="00FF74D7" w:rsidTr="009C76E5">
        <w:trPr>
          <w:trHeight w:val="280"/>
        </w:trPr>
        <w:tc>
          <w:tcPr>
            <w:tcW w:w="2316" w:type="dxa"/>
            <w:shd w:val="clear" w:color="auto" w:fill="auto"/>
            <w:noWrap/>
            <w:vAlign w:val="center"/>
          </w:tcPr>
          <w:p w:rsidR="009C76E5" w:rsidRPr="00FF74D7" w:rsidRDefault="009C76E5" w:rsidP="00143CA4">
            <w:pPr>
              <w:keepNext/>
              <w:spacing w:before="0" w:after="0"/>
              <w:jc w:val="left"/>
              <w:rPr>
                <w:rFonts w:cstheme="minorBidi"/>
                <w:sz w:val="18"/>
              </w:rPr>
            </w:pPr>
            <w:r w:rsidRPr="00FF74D7">
              <w:rPr>
                <w:rFonts w:cstheme="minorBidi"/>
                <w:sz w:val="18"/>
              </w:rPr>
              <w:t>Arsenic</w:t>
            </w:r>
          </w:p>
        </w:tc>
        <w:tc>
          <w:tcPr>
            <w:tcW w:w="1397" w:type="dxa"/>
            <w:shd w:val="clear" w:color="auto" w:fill="auto"/>
            <w:noWrap/>
            <w:vAlign w:val="center"/>
          </w:tcPr>
          <w:p w:rsidR="000D53EA" w:rsidRDefault="009C76E5" w:rsidP="00143CA4">
            <w:pPr>
              <w:keepNext/>
              <w:spacing w:before="0" w:after="0"/>
              <w:jc w:val="left"/>
              <w:rPr>
                <w:rFonts w:cstheme="minorBidi"/>
                <w:sz w:val="18"/>
              </w:rPr>
            </w:pPr>
            <w:r w:rsidRPr="00FF74D7">
              <w:rPr>
                <w:rFonts w:cstheme="minorBidi"/>
                <w:sz w:val="18"/>
              </w:rPr>
              <w:t>Y</w:t>
            </w:r>
          </w:p>
        </w:tc>
        <w:tc>
          <w:tcPr>
            <w:tcW w:w="1003" w:type="dxa"/>
            <w:shd w:val="clear" w:color="auto" w:fill="auto"/>
            <w:vAlign w:val="center"/>
          </w:tcPr>
          <w:p w:rsidR="000D53EA" w:rsidRDefault="009C76E5" w:rsidP="00143CA4">
            <w:pPr>
              <w:keepNext/>
              <w:spacing w:before="0" w:after="0"/>
              <w:jc w:val="left"/>
              <w:rPr>
                <w:rFonts w:cstheme="minorBidi"/>
                <w:sz w:val="18"/>
              </w:rPr>
            </w:pPr>
            <w:r w:rsidRPr="00FF74D7">
              <w:rPr>
                <w:rFonts w:cstheme="minorBidi"/>
                <w:sz w:val="18"/>
              </w:rPr>
              <w:t>-</w:t>
            </w:r>
          </w:p>
        </w:tc>
        <w:tc>
          <w:tcPr>
            <w:tcW w:w="1039" w:type="dxa"/>
          </w:tcPr>
          <w:p w:rsidR="000D53EA" w:rsidRDefault="009C76E5" w:rsidP="00143CA4">
            <w:pPr>
              <w:keepNext/>
              <w:spacing w:before="0" w:after="0"/>
              <w:jc w:val="left"/>
              <w:rPr>
                <w:rFonts w:cstheme="minorBidi"/>
                <w:sz w:val="18"/>
              </w:rPr>
            </w:pPr>
            <w:r w:rsidRPr="00FF74D7">
              <w:rPr>
                <w:rFonts w:cstheme="minorBidi"/>
                <w:sz w:val="18"/>
              </w:rPr>
              <w:t>-</w:t>
            </w:r>
          </w:p>
        </w:tc>
        <w:tc>
          <w:tcPr>
            <w:tcW w:w="1039" w:type="dxa"/>
            <w:vAlign w:val="center"/>
          </w:tcPr>
          <w:p w:rsidR="000D53EA" w:rsidRDefault="009C76E5" w:rsidP="00143CA4">
            <w:pPr>
              <w:keepNext/>
              <w:spacing w:before="0" w:after="0"/>
              <w:jc w:val="left"/>
              <w:rPr>
                <w:rFonts w:cstheme="minorBidi"/>
                <w:sz w:val="18"/>
              </w:rPr>
            </w:pPr>
            <w:r w:rsidRPr="00FF74D7">
              <w:rPr>
                <w:rFonts w:cstheme="minorBidi"/>
                <w:sz w:val="18"/>
              </w:rPr>
              <w:t>Y</w:t>
            </w:r>
          </w:p>
        </w:tc>
      </w:tr>
      <w:tr w:rsidR="009C76E5" w:rsidRPr="00FF74D7" w:rsidTr="009C76E5">
        <w:trPr>
          <w:trHeight w:val="280"/>
        </w:trPr>
        <w:tc>
          <w:tcPr>
            <w:tcW w:w="2316" w:type="dxa"/>
            <w:shd w:val="clear" w:color="auto" w:fill="auto"/>
            <w:noWrap/>
            <w:vAlign w:val="center"/>
          </w:tcPr>
          <w:p w:rsidR="009C76E5" w:rsidRPr="00FF74D7" w:rsidRDefault="009C76E5" w:rsidP="00143CA4">
            <w:pPr>
              <w:keepNext/>
              <w:spacing w:before="0" w:after="0"/>
              <w:jc w:val="left"/>
              <w:rPr>
                <w:rFonts w:cstheme="minorBidi"/>
                <w:sz w:val="18"/>
              </w:rPr>
            </w:pPr>
            <w:r w:rsidRPr="00FF74D7">
              <w:rPr>
                <w:rFonts w:cstheme="minorBidi"/>
                <w:sz w:val="18"/>
              </w:rPr>
              <w:t>Cadmium</w:t>
            </w:r>
          </w:p>
        </w:tc>
        <w:tc>
          <w:tcPr>
            <w:tcW w:w="1397" w:type="dxa"/>
            <w:shd w:val="clear" w:color="auto" w:fill="auto"/>
            <w:noWrap/>
            <w:vAlign w:val="center"/>
          </w:tcPr>
          <w:p w:rsidR="000D53EA" w:rsidRDefault="009C76E5" w:rsidP="00143CA4">
            <w:pPr>
              <w:keepNext/>
              <w:spacing w:before="0" w:after="0"/>
              <w:jc w:val="left"/>
              <w:rPr>
                <w:rFonts w:cstheme="minorBidi"/>
                <w:sz w:val="18"/>
              </w:rPr>
            </w:pPr>
            <w:r w:rsidRPr="00FF74D7">
              <w:rPr>
                <w:rFonts w:cstheme="minorBidi"/>
                <w:sz w:val="18"/>
              </w:rPr>
              <w:t>Y</w:t>
            </w:r>
          </w:p>
        </w:tc>
        <w:tc>
          <w:tcPr>
            <w:tcW w:w="1003" w:type="dxa"/>
            <w:shd w:val="clear" w:color="auto" w:fill="auto"/>
            <w:vAlign w:val="center"/>
          </w:tcPr>
          <w:p w:rsidR="000D53EA" w:rsidRDefault="009C76E5" w:rsidP="00143CA4">
            <w:pPr>
              <w:keepNext/>
              <w:spacing w:before="0" w:after="0"/>
              <w:jc w:val="left"/>
              <w:rPr>
                <w:rFonts w:cstheme="minorBidi"/>
                <w:sz w:val="18"/>
              </w:rPr>
            </w:pPr>
            <w:r w:rsidRPr="00FF74D7">
              <w:rPr>
                <w:rFonts w:cstheme="minorBidi"/>
                <w:sz w:val="18"/>
              </w:rPr>
              <w:t>Y</w:t>
            </w:r>
          </w:p>
        </w:tc>
        <w:tc>
          <w:tcPr>
            <w:tcW w:w="1039" w:type="dxa"/>
          </w:tcPr>
          <w:p w:rsidR="000D53EA" w:rsidRDefault="009C76E5" w:rsidP="00143CA4">
            <w:pPr>
              <w:keepNext/>
              <w:spacing w:before="0" w:after="0"/>
              <w:jc w:val="left"/>
              <w:rPr>
                <w:rFonts w:cstheme="minorBidi"/>
                <w:sz w:val="18"/>
              </w:rPr>
            </w:pPr>
            <w:r>
              <w:rPr>
                <w:rFonts w:cstheme="minorBidi"/>
                <w:sz w:val="18"/>
              </w:rPr>
              <w:t>Y</w:t>
            </w:r>
          </w:p>
        </w:tc>
        <w:tc>
          <w:tcPr>
            <w:tcW w:w="1039" w:type="dxa"/>
            <w:vAlign w:val="center"/>
          </w:tcPr>
          <w:p w:rsidR="000D53EA" w:rsidRDefault="009C76E5" w:rsidP="00143CA4">
            <w:pPr>
              <w:keepNext/>
              <w:spacing w:before="0" w:after="0"/>
              <w:jc w:val="left"/>
              <w:rPr>
                <w:rFonts w:cstheme="minorBidi"/>
                <w:sz w:val="18"/>
              </w:rPr>
            </w:pPr>
            <w:r w:rsidRPr="00FF74D7">
              <w:rPr>
                <w:rFonts w:cstheme="minorBidi"/>
                <w:sz w:val="18"/>
              </w:rPr>
              <w:t>Y</w:t>
            </w:r>
          </w:p>
        </w:tc>
      </w:tr>
      <w:tr w:rsidR="009C76E5" w:rsidRPr="00FF74D7" w:rsidTr="009C76E5">
        <w:trPr>
          <w:trHeight w:val="280"/>
        </w:trPr>
        <w:tc>
          <w:tcPr>
            <w:tcW w:w="2316" w:type="dxa"/>
            <w:shd w:val="clear" w:color="auto" w:fill="auto"/>
            <w:noWrap/>
            <w:vAlign w:val="center"/>
          </w:tcPr>
          <w:p w:rsidR="009C76E5" w:rsidRPr="00FF74D7" w:rsidRDefault="009C76E5" w:rsidP="00143CA4">
            <w:pPr>
              <w:keepNext/>
              <w:spacing w:before="0" w:after="0"/>
              <w:jc w:val="left"/>
              <w:rPr>
                <w:rFonts w:cstheme="minorBidi"/>
                <w:sz w:val="18"/>
              </w:rPr>
            </w:pPr>
            <w:r w:rsidRPr="00FF74D7">
              <w:rPr>
                <w:rFonts w:cstheme="minorBidi"/>
                <w:sz w:val="18"/>
              </w:rPr>
              <w:t>Chromium</w:t>
            </w:r>
          </w:p>
        </w:tc>
        <w:tc>
          <w:tcPr>
            <w:tcW w:w="1397" w:type="dxa"/>
            <w:shd w:val="clear" w:color="auto" w:fill="auto"/>
            <w:noWrap/>
            <w:vAlign w:val="center"/>
          </w:tcPr>
          <w:p w:rsidR="000D53EA" w:rsidRDefault="009C76E5" w:rsidP="00143CA4">
            <w:pPr>
              <w:keepNext/>
              <w:spacing w:before="0" w:after="0"/>
              <w:jc w:val="left"/>
              <w:rPr>
                <w:rFonts w:cstheme="minorBidi"/>
                <w:sz w:val="18"/>
              </w:rPr>
            </w:pPr>
            <w:r w:rsidRPr="00FF74D7">
              <w:rPr>
                <w:rFonts w:cstheme="minorBidi"/>
                <w:sz w:val="18"/>
              </w:rPr>
              <w:t>Y</w:t>
            </w:r>
          </w:p>
        </w:tc>
        <w:tc>
          <w:tcPr>
            <w:tcW w:w="1003" w:type="dxa"/>
            <w:shd w:val="clear" w:color="auto" w:fill="auto"/>
            <w:vAlign w:val="center"/>
          </w:tcPr>
          <w:p w:rsidR="000D53EA" w:rsidRDefault="009C76E5" w:rsidP="00143CA4">
            <w:pPr>
              <w:keepNext/>
              <w:spacing w:before="0" w:after="0"/>
              <w:jc w:val="left"/>
              <w:rPr>
                <w:rFonts w:cstheme="minorBidi"/>
                <w:sz w:val="18"/>
              </w:rPr>
            </w:pPr>
            <w:r w:rsidRPr="00FF74D7">
              <w:rPr>
                <w:rFonts w:cstheme="minorBidi"/>
                <w:sz w:val="18"/>
              </w:rPr>
              <w:t>Y</w:t>
            </w:r>
          </w:p>
        </w:tc>
        <w:tc>
          <w:tcPr>
            <w:tcW w:w="1039" w:type="dxa"/>
          </w:tcPr>
          <w:p w:rsidR="000D53EA" w:rsidRDefault="009C76E5" w:rsidP="00143CA4">
            <w:pPr>
              <w:keepNext/>
              <w:spacing w:before="0" w:after="0"/>
              <w:jc w:val="left"/>
              <w:rPr>
                <w:rFonts w:cstheme="minorBidi"/>
                <w:sz w:val="18"/>
              </w:rPr>
            </w:pPr>
            <w:r w:rsidRPr="00FF74D7">
              <w:rPr>
                <w:rFonts w:cstheme="minorBidi"/>
                <w:sz w:val="18"/>
              </w:rPr>
              <w:t>-</w:t>
            </w:r>
          </w:p>
        </w:tc>
        <w:tc>
          <w:tcPr>
            <w:tcW w:w="1039" w:type="dxa"/>
            <w:vAlign w:val="center"/>
          </w:tcPr>
          <w:p w:rsidR="000D53EA" w:rsidRDefault="009C76E5" w:rsidP="00143CA4">
            <w:pPr>
              <w:keepNext/>
              <w:spacing w:before="0" w:after="0"/>
              <w:jc w:val="left"/>
              <w:rPr>
                <w:rFonts w:cstheme="minorBidi"/>
                <w:sz w:val="18"/>
              </w:rPr>
            </w:pPr>
            <w:r w:rsidRPr="00FF74D7">
              <w:rPr>
                <w:rFonts w:cstheme="minorBidi"/>
                <w:sz w:val="18"/>
              </w:rPr>
              <w:t>Y</w:t>
            </w:r>
          </w:p>
        </w:tc>
      </w:tr>
      <w:tr w:rsidR="009C76E5" w:rsidRPr="00FF74D7" w:rsidTr="009C76E5">
        <w:trPr>
          <w:trHeight w:val="280"/>
        </w:trPr>
        <w:tc>
          <w:tcPr>
            <w:tcW w:w="2316" w:type="dxa"/>
            <w:shd w:val="clear" w:color="auto" w:fill="auto"/>
            <w:noWrap/>
            <w:vAlign w:val="center"/>
          </w:tcPr>
          <w:p w:rsidR="009C76E5" w:rsidRPr="00FF74D7" w:rsidRDefault="009C76E5" w:rsidP="00143CA4">
            <w:pPr>
              <w:keepNext/>
              <w:spacing w:before="0" w:after="0"/>
              <w:jc w:val="left"/>
              <w:rPr>
                <w:rFonts w:cstheme="minorBidi"/>
                <w:sz w:val="18"/>
              </w:rPr>
            </w:pPr>
            <w:r w:rsidRPr="00FF74D7">
              <w:rPr>
                <w:rFonts w:cstheme="minorBidi"/>
                <w:sz w:val="18"/>
              </w:rPr>
              <w:t>Copper</w:t>
            </w:r>
          </w:p>
        </w:tc>
        <w:tc>
          <w:tcPr>
            <w:tcW w:w="1397" w:type="dxa"/>
            <w:shd w:val="clear" w:color="auto" w:fill="auto"/>
            <w:noWrap/>
            <w:vAlign w:val="center"/>
          </w:tcPr>
          <w:p w:rsidR="000D53EA" w:rsidRDefault="009C76E5" w:rsidP="00143CA4">
            <w:pPr>
              <w:keepNext/>
              <w:spacing w:before="2" w:after="2"/>
              <w:jc w:val="left"/>
              <w:rPr>
                <w:rFonts w:cstheme="minorBidi"/>
                <w:sz w:val="18"/>
              </w:rPr>
            </w:pPr>
            <w:r w:rsidRPr="00FF74D7">
              <w:rPr>
                <w:rFonts w:cstheme="minorBidi"/>
                <w:sz w:val="18"/>
              </w:rPr>
              <w:t>Y</w:t>
            </w:r>
          </w:p>
        </w:tc>
        <w:tc>
          <w:tcPr>
            <w:tcW w:w="1003" w:type="dxa"/>
            <w:shd w:val="clear" w:color="auto" w:fill="auto"/>
            <w:vAlign w:val="center"/>
          </w:tcPr>
          <w:p w:rsidR="000D53EA" w:rsidRDefault="009C76E5" w:rsidP="00143CA4">
            <w:pPr>
              <w:keepNext/>
              <w:spacing w:before="0" w:after="0"/>
              <w:jc w:val="left"/>
              <w:rPr>
                <w:rFonts w:cstheme="minorBidi"/>
                <w:sz w:val="18"/>
              </w:rPr>
            </w:pPr>
            <w:r w:rsidRPr="00FF74D7">
              <w:rPr>
                <w:rFonts w:cstheme="minorBidi"/>
                <w:sz w:val="18"/>
              </w:rPr>
              <w:t>Y</w:t>
            </w:r>
          </w:p>
        </w:tc>
        <w:tc>
          <w:tcPr>
            <w:tcW w:w="1039" w:type="dxa"/>
          </w:tcPr>
          <w:p w:rsidR="000D53EA" w:rsidRDefault="009C76E5" w:rsidP="00143CA4">
            <w:pPr>
              <w:keepNext/>
              <w:spacing w:before="0" w:after="0"/>
              <w:jc w:val="left"/>
              <w:rPr>
                <w:rFonts w:cstheme="minorBidi"/>
                <w:sz w:val="18"/>
              </w:rPr>
            </w:pPr>
            <w:r>
              <w:rPr>
                <w:rFonts w:cstheme="minorBidi"/>
                <w:sz w:val="18"/>
              </w:rPr>
              <w:t>Y</w:t>
            </w:r>
          </w:p>
        </w:tc>
        <w:tc>
          <w:tcPr>
            <w:tcW w:w="1039" w:type="dxa"/>
            <w:vAlign w:val="center"/>
          </w:tcPr>
          <w:p w:rsidR="000D53EA" w:rsidRDefault="009C76E5" w:rsidP="00143CA4">
            <w:pPr>
              <w:keepNext/>
              <w:spacing w:before="2" w:after="2"/>
              <w:jc w:val="left"/>
              <w:rPr>
                <w:rFonts w:cstheme="minorBidi"/>
                <w:sz w:val="18"/>
              </w:rPr>
            </w:pPr>
            <w:r w:rsidRPr="00FF74D7">
              <w:rPr>
                <w:rFonts w:cstheme="minorBidi"/>
                <w:sz w:val="18"/>
              </w:rPr>
              <w:t>Y</w:t>
            </w:r>
          </w:p>
        </w:tc>
      </w:tr>
      <w:tr w:rsidR="009C76E5" w:rsidRPr="00FF74D7" w:rsidTr="009C76E5">
        <w:trPr>
          <w:trHeight w:val="280"/>
        </w:trPr>
        <w:tc>
          <w:tcPr>
            <w:tcW w:w="2316" w:type="dxa"/>
            <w:shd w:val="clear" w:color="auto" w:fill="auto"/>
            <w:noWrap/>
            <w:vAlign w:val="center"/>
          </w:tcPr>
          <w:p w:rsidR="009C76E5" w:rsidRPr="00FF74D7" w:rsidRDefault="009C76E5" w:rsidP="00143CA4">
            <w:pPr>
              <w:keepNext/>
              <w:spacing w:before="0" w:after="0"/>
              <w:jc w:val="left"/>
              <w:rPr>
                <w:rFonts w:cstheme="minorBidi"/>
                <w:sz w:val="18"/>
              </w:rPr>
            </w:pPr>
            <w:r w:rsidRPr="00FF74D7">
              <w:rPr>
                <w:rFonts w:cstheme="minorBidi"/>
                <w:sz w:val="18"/>
              </w:rPr>
              <w:t>Lead</w:t>
            </w:r>
          </w:p>
        </w:tc>
        <w:tc>
          <w:tcPr>
            <w:tcW w:w="1397" w:type="dxa"/>
            <w:shd w:val="clear" w:color="auto" w:fill="auto"/>
            <w:noWrap/>
            <w:vAlign w:val="center"/>
          </w:tcPr>
          <w:p w:rsidR="000D53EA" w:rsidRDefault="009C76E5" w:rsidP="00143CA4">
            <w:pPr>
              <w:keepNext/>
              <w:spacing w:before="2" w:after="2"/>
              <w:jc w:val="left"/>
              <w:rPr>
                <w:rFonts w:cstheme="minorBidi"/>
                <w:sz w:val="18"/>
              </w:rPr>
            </w:pPr>
            <w:r w:rsidRPr="00FF74D7">
              <w:rPr>
                <w:rFonts w:cstheme="minorBidi"/>
                <w:sz w:val="18"/>
              </w:rPr>
              <w:t>Y</w:t>
            </w:r>
          </w:p>
        </w:tc>
        <w:tc>
          <w:tcPr>
            <w:tcW w:w="1003" w:type="dxa"/>
            <w:shd w:val="clear" w:color="auto" w:fill="auto"/>
            <w:vAlign w:val="center"/>
          </w:tcPr>
          <w:p w:rsidR="000D53EA" w:rsidRDefault="009C76E5" w:rsidP="00143CA4">
            <w:pPr>
              <w:keepNext/>
              <w:spacing w:before="0" w:after="0"/>
              <w:jc w:val="left"/>
              <w:rPr>
                <w:rFonts w:cstheme="minorBidi"/>
                <w:sz w:val="18"/>
              </w:rPr>
            </w:pPr>
            <w:r w:rsidRPr="00FF74D7">
              <w:rPr>
                <w:rFonts w:cstheme="minorBidi"/>
                <w:sz w:val="18"/>
              </w:rPr>
              <w:t>-</w:t>
            </w:r>
          </w:p>
        </w:tc>
        <w:tc>
          <w:tcPr>
            <w:tcW w:w="1039" w:type="dxa"/>
          </w:tcPr>
          <w:p w:rsidR="000D53EA" w:rsidRDefault="009C76E5" w:rsidP="00143CA4">
            <w:pPr>
              <w:keepNext/>
              <w:spacing w:before="0" w:after="0"/>
              <w:jc w:val="left"/>
              <w:rPr>
                <w:rFonts w:cstheme="minorBidi"/>
                <w:sz w:val="18"/>
              </w:rPr>
            </w:pPr>
            <w:r>
              <w:rPr>
                <w:rFonts w:cstheme="minorBidi"/>
                <w:sz w:val="18"/>
              </w:rPr>
              <w:t>Y</w:t>
            </w:r>
          </w:p>
        </w:tc>
        <w:tc>
          <w:tcPr>
            <w:tcW w:w="1039" w:type="dxa"/>
            <w:vAlign w:val="center"/>
          </w:tcPr>
          <w:p w:rsidR="000D53EA" w:rsidRDefault="009C76E5" w:rsidP="00143CA4">
            <w:pPr>
              <w:keepNext/>
              <w:spacing w:before="2" w:after="2"/>
              <w:jc w:val="left"/>
              <w:rPr>
                <w:rFonts w:cstheme="minorBidi"/>
                <w:sz w:val="18"/>
              </w:rPr>
            </w:pPr>
            <w:r w:rsidRPr="00FF74D7">
              <w:rPr>
                <w:rFonts w:cstheme="minorBidi"/>
                <w:sz w:val="18"/>
              </w:rPr>
              <w:t>Y</w:t>
            </w:r>
          </w:p>
        </w:tc>
      </w:tr>
      <w:tr w:rsidR="009C76E5" w:rsidRPr="00FF74D7" w:rsidTr="009C76E5">
        <w:trPr>
          <w:trHeight w:val="280"/>
        </w:trPr>
        <w:tc>
          <w:tcPr>
            <w:tcW w:w="2316" w:type="dxa"/>
            <w:shd w:val="clear" w:color="auto" w:fill="auto"/>
            <w:noWrap/>
            <w:vAlign w:val="center"/>
          </w:tcPr>
          <w:p w:rsidR="009C76E5" w:rsidRPr="00FF74D7" w:rsidRDefault="009C76E5" w:rsidP="00A35633">
            <w:pPr>
              <w:spacing w:before="0" w:after="0"/>
              <w:jc w:val="left"/>
              <w:rPr>
                <w:rFonts w:cstheme="minorBidi"/>
                <w:sz w:val="18"/>
              </w:rPr>
            </w:pPr>
            <w:r w:rsidRPr="00FF74D7">
              <w:rPr>
                <w:rFonts w:cstheme="minorBidi"/>
                <w:sz w:val="18"/>
              </w:rPr>
              <w:t>Mercury</w:t>
            </w:r>
          </w:p>
        </w:tc>
        <w:tc>
          <w:tcPr>
            <w:tcW w:w="1397" w:type="dxa"/>
            <w:shd w:val="clear" w:color="auto" w:fill="auto"/>
            <w:noWrap/>
            <w:vAlign w:val="center"/>
          </w:tcPr>
          <w:p w:rsidR="000D53EA" w:rsidRDefault="009C76E5">
            <w:pPr>
              <w:spacing w:before="2" w:after="2"/>
              <w:jc w:val="left"/>
              <w:rPr>
                <w:rFonts w:cstheme="minorBidi"/>
                <w:sz w:val="18"/>
              </w:rPr>
            </w:pPr>
            <w:r w:rsidRPr="00FF74D7">
              <w:rPr>
                <w:rFonts w:cstheme="minorBidi"/>
                <w:sz w:val="18"/>
              </w:rPr>
              <w:t>Y</w:t>
            </w:r>
          </w:p>
        </w:tc>
        <w:tc>
          <w:tcPr>
            <w:tcW w:w="1003" w:type="dxa"/>
            <w:shd w:val="clear" w:color="auto" w:fill="auto"/>
            <w:vAlign w:val="center"/>
          </w:tcPr>
          <w:p w:rsidR="000D53EA" w:rsidRDefault="009C76E5">
            <w:pPr>
              <w:spacing w:before="0" w:after="0"/>
              <w:jc w:val="left"/>
              <w:rPr>
                <w:rFonts w:cstheme="minorBidi"/>
                <w:sz w:val="18"/>
              </w:rPr>
            </w:pPr>
            <w:r w:rsidRPr="00FF74D7">
              <w:rPr>
                <w:rFonts w:cstheme="minorBidi"/>
                <w:sz w:val="18"/>
              </w:rPr>
              <w:t>-</w:t>
            </w:r>
          </w:p>
        </w:tc>
        <w:tc>
          <w:tcPr>
            <w:tcW w:w="1039" w:type="dxa"/>
          </w:tcPr>
          <w:p w:rsidR="000D53EA" w:rsidRDefault="009C76E5">
            <w:pPr>
              <w:spacing w:before="0" w:after="0"/>
              <w:jc w:val="left"/>
              <w:rPr>
                <w:rFonts w:cstheme="minorBidi"/>
                <w:sz w:val="18"/>
              </w:rPr>
            </w:pPr>
            <w:r>
              <w:rPr>
                <w:rFonts w:cstheme="minorBidi"/>
                <w:sz w:val="18"/>
              </w:rPr>
              <w:t>Y</w:t>
            </w:r>
          </w:p>
        </w:tc>
        <w:tc>
          <w:tcPr>
            <w:tcW w:w="1039" w:type="dxa"/>
            <w:vAlign w:val="center"/>
          </w:tcPr>
          <w:p w:rsidR="000D53EA" w:rsidRDefault="009C76E5">
            <w:pPr>
              <w:spacing w:before="2" w:after="2"/>
              <w:jc w:val="left"/>
              <w:rPr>
                <w:rFonts w:cstheme="minorBidi"/>
                <w:sz w:val="18"/>
              </w:rPr>
            </w:pPr>
            <w:r w:rsidRPr="00FF74D7">
              <w:rPr>
                <w:rFonts w:cstheme="minorBidi"/>
                <w:sz w:val="18"/>
              </w:rPr>
              <w:t>Y</w:t>
            </w:r>
          </w:p>
        </w:tc>
      </w:tr>
      <w:tr w:rsidR="009C76E5" w:rsidRPr="00FF74D7" w:rsidTr="009C76E5">
        <w:trPr>
          <w:trHeight w:val="280"/>
        </w:trPr>
        <w:tc>
          <w:tcPr>
            <w:tcW w:w="2316" w:type="dxa"/>
            <w:shd w:val="clear" w:color="auto" w:fill="auto"/>
            <w:noWrap/>
            <w:vAlign w:val="center"/>
          </w:tcPr>
          <w:p w:rsidR="009C76E5" w:rsidRPr="00FF74D7" w:rsidRDefault="009C76E5" w:rsidP="00A35633">
            <w:pPr>
              <w:spacing w:before="0" w:after="0"/>
              <w:jc w:val="left"/>
              <w:rPr>
                <w:rFonts w:cstheme="minorBidi"/>
                <w:sz w:val="18"/>
              </w:rPr>
            </w:pPr>
            <w:r w:rsidRPr="00FF74D7">
              <w:rPr>
                <w:rFonts w:cstheme="minorBidi"/>
                <w:sz w:val="18"/>
              </w:rPr>
              <w:t>Nickel</w:t>
            </w:r>
          </w:p>
        </w:tc>
        <w:tc>
          <w:tcPr>
            <w:tcW w:w="1397" w:type="dxa"/>
            <w:shd w:val="clear" w:color="auto" w:fill="auto"/>
            <w:noWrap/>
            <w:vAlign w:val="center"/>
          </w:tcPr>
          <w:p w:rsidR="000D53EA" w:rsidRDefault="009C76E5">
            <w:pPr>
              <w:spacing w:before="0" w:after="0"/>
              <w:jc w:val="left"/>
              <w:rPr>
                <w:rFonts w:cstheme="minorBidi"/>
                <w:sz w:val="18"/>
              </w:rPr>
            </w:pPr>
            <w:r w:rsidRPr="00FF74D7">
              <w:rPr>
                <w:rFonts w:cstheme="minorBidi"/>
                <w:sz w:val="18"/>
              </w:rPr>
              <w:t>Y</w:t>
            </w:r>
          </w:p>
        </w:tc>
        <w:tc>
          <w:tcPr>
            <w:tcW w:w="1003" w:type="dxa"/>
            <w:shd w:val="clear" w:color="auto" w:fill="auto"/>
            <w:vAlign w:val="center"/>
          </w:tcPr>
          <w:p w:rsidR="000D53EA" w:rsidRDefault="009C76E5">
            <w:pPr>
              <w:spacing w:before="0" w:after="0"/>
              <w:jc w:val="left"/>
              <w:rPr>
                <w:rFonts w:cstheme="minorBidi"/>
                <w:sz w:val="18"/>
              </w:rPr>
            </w:pPr>
            <w:r w:rsidRPr="00FF74D7">
              <w:rPr>
                <w:rFonts w:cstheme="minorBidi"/>
                <w:sz w:val="18"/>
              </w:rPr>
              <w:t>-</w:t>
            </w:r>
          </w:p>
        </w:tc>
        <w:tc>
          <w:tcPr>
            <w:tcW w:w="1039" w:type="dxa"/>
          </w:tcPr>
          <w:p w:rsidR="000D53EA" w:rsidRDefault="009C76E5">
            <w:pPr>
              <w:spacing w:before="0" w:after="0"/>
              <w:jc w:val="left"/>
              <w:rPr>
                <w:rFonts w:cstheme="minorBidi"/>
                <w:sz w:val="18"/>
              </w:rPr>
            </w:pPr>
            <w:r>
              <w:rPr>
                <w:rFonts w:cstheme="minorBidi"/>
                <w:sz w:val="18"/>
              </w:rPr>
              <w:t>Y</w:t>
            </w:r>
          </w:p>
        </w:tc>
        <w:tc>
          <w:tcPr>
            <w:tcW w:w="1039" w:type="dxa"/>
            <w:vAlign w:val="center"/>
          </w:tcPr>
          <w:p w:rsidR="000D53EA" w:rsidRDefault="009C76E5">
            <w:pPr>
              <w:spacing w:before="0" w:after="0"/>
              <w:jc w:val="left"/>
              <w:rPr>
                <w:rFonts w:cstheme="minorBidi"/>
                <w:sz w:val="18"/>
              </w:rPr>
            </w:pPr>
            <w:r w:rsidRPr="00FF74D7">
              <w:rPr>
                <w:rFonts w:cstheme="minorBidi"/>
                <w:sz w:val="18"/>
              </w:rPr>
              <w:t>Y</w:t>
            </w:r>
          </w:p>
        </w:tc>
      </w:tr>
      <w:tr w:rsidR="009C76E5" w:rsidRPr="00FF74D7" w:rsidTr="009C76E5">
        <w:trPr>
          <w:trHeight w:val="280"/>
        </w:trPr>
        <w:tc>
          <w:tcPr>
            <w:tcW w:w="2316" w:type="dxa"/>
            <w:shd w:val="clear" w:color="auto" w:fill="auto"/>
            <w:noWrap/>
            <w:vAlign w:val="center"/>
          </w:tcPr>
          <w:p w:rsidR="009C76E5" w:rsidRPr="00FF74D7" w:rsidRDefault="009C76E5" w:rsidP="00A35633">
            <w:pPr>
              <w:spacing w:before="0" w:after="0"/>
              <w:jc w:val="left"/>
              <w:rPr>
                <w:rFonts w:cstheme="minorBidi"/>
                <w:sz w:val="18"/>
              </w:rPr>
            </w:pPr>
            <w:r w:rsidRPr="00FF74D7">
              <w:rPr>
                <w:rFonts w:cstheme="minorBidi"/>
                <w:sz w:val="18"/>
              </w:rPr>
              <w:t>Selenium</w:t>
            </w:r>
          </w:p>
        </w:tc>
        <w:tc>
          <w:tcPr>
            <w:tcW w:w="1397" w:type="dxa"/>
            <w:shd w:val="clear" w:color="auto" w:fill="auto"/>
            <w:noWrap/>
            <w:vAlign w:val="center"/>
          </w:tcPr>
          <w:p w:rsidR="000D53EA" w:rsidRDefault="009C76E5">
            <w:pPr>
              <w:spacing w:before="0" w:after="0"/>
              <w:jc w:val="left"/>
              <w:rPr>
                <w:rFonts w:cstheme="minorBidi"/>
                <w:sz w:val="18"/>
              </w:rPr>
            </w:pPr>
            <w:r w:rsidRPr="00FF74D7">
              <w:rPr>
                <w:rFonts w:cstheme="minorBidi"/>
                <w:sz w:val="18"/>
              </w:rPr>
              <w:t>Y</w:t>
            </w:r>
          </w:p>
        </w:tc>
        <w:tc>
          <w:tcPr>
            <w:tcW w:w="1003" w:type="dxa"/>
            <w:shd w:val="clear" w:color="auto" w:fill="auto"/>
            <w:vAlign w:val="center"/>
          </w:tcPr>
          <w:p w:rsidR="000D53EA" w:rsidRDefault="009C76E5">
            <w:pPr>
              <w:spacing w:before="0" w:after="0"/>
              <w:jc w:val="left"/>
              <w:rPr>
                <w:rFonts w:cstheme="minorBidi"/>
                <w:sz w:val="18"/>
              </w:rPr>
            </w:pPr>
            <w:r w:rsidRPr="00FF74D7">
              <w:rPr>
                <w:rFonts w:cstheme="minorBidi"/>
                <w:sz w:val="18"/>
              </w:rPr>
              <w:t>-</w:t>
            </w:r>
          </w:p>
        </w:tc>
        <w:tc>
          <w:tcPr>
            <w:tcW w:w="1039" w:type="dxa"/>
          </w:tcPr>
          <w:p w:rsidR="000D53EA" w:rsidRDefault="009C76E5">
            <w:pPr>
              <w:spacing w:before="0" w:after="0"/>
              <w:jc w:val="left"/>
              <w:rPr>
                <w:rFonts w:cstheme="minorBidi"/>
                <w:sz w:val="18"/>
              </w:rPr>
            </w:pPr>
            <w:r w:rsidRPr="00FF74D7">
              <w:rPr>
                <w:rFonts w:cstheme="minorBidi"/>
                <w:sz w:val="18"/>
              </w:rPr>
              <w:t>-</w:t>
            </w:r>
          </w:p>
        </w:tc>
        <w:tc>
          <w:tcPr>
            <w:tcW w:w="1039" w:type="dxa"/>
            <w:vAlign w:val="center"/>
          </w:tcPr>
          <w:p w:rsidR="000D53EA" w:rsidRDefault="009C76E5">
            <w:pPr>
              <w:spacing w:before="0" w:after="0"/>
              <w:jc w:val="left"/>
              <w:rPr>
                <w:rFonts w:cstheme="minorBidi"/>
                <w:sz w:val="18"/>
              </w:rPr>
            </w:pPr>
            <w:r w:rsidRPr="00FF74D7">
              <w:rPr>
                <w:rFonts w:cstheme="minorBidi"/>
                <w:sz w:val="18"/>
              </w:rPr>
              <w:t>Y</w:t>
            </w:r>
          </w:p>
        </w:tc>
      </w:tr>
      <w:tr w:rsidR="009C76E5" w:rsidRPr="00FF74D7" w:rsidTr="009C76E5">
        <w:trPr>
          <w:trHeight w:val="280"/>
        </w:trPr>
        <w:tc>
          <w:tcPr>
            <w:tcW w:w="2316" w:type="dxa"/>
            <w:shd w:val="clear" w:color="auto" w:fill="auto"/>
            <w:noWrap/>
            <w:vAlign w:val="center"/>
          </w:tcPr>
          <w:p w:rsidR="009C76E5" w:rsidRPr="00FF74D7" w:rsidRDefault="009C76E5" w:rsidP="00A35633">
            <w:pPr>
              <w:spacing w:before="0" w:after="0"/>
              <w:jc w:val="left"/>
              <w:rPr>
                <w:rFonts w:cstheme="minorBidi"/>
                <w:sz w:val="18"/>
              </w:rPr>
            </w:pPr>
            <w:r w:rsidRPr="00FF74D7">
              <w:rPr>
                <w:rFonts w:cstheme="minorBidi"/>
                <w:sz w:val="18"/>
              </w:rPr>
              <w:t>Zinc</w:t>
            </w:r>
          </w:p>
        </w:tc>
        <w:tc>
          <w:tcPr>
            <w:tcW w:w="1397" w:type="dxa"/>
            <w:shd w:val="clear" w:color="auto" w:fill="auto"/>
            <w:noWrap/>
            <w:vAlign w:val="center"/>
          </w:tcPr>
          <w:p w:rsidR="000D53EA" w:rsidRDefault="009C76E5">
            <w:pPr>
              <w:spacing w:before="0" w:after="0"/>
              <w:jc w:val="left"/>
              <w:rPr>
                <w:rFonts w:cstheme="minorBidi"/>
                <w:sz w:val="18"/>
              </w:rPr>
            </w:pPr>
            <w:r w:rsidRPr="00FF74D7">
              <w:rPr>
                <w:rFonts w:cstheme="minorBidi"/>
                <w:sz w:val="18"/>
              </w:rPr>
              <w:t>Y</w:t>
            </w:r>
          </w:p>
        </w:tc>
        <w:tc>
          <w:tcPr>
            <w:tcW w:w="1003" w:type="dxa"/>
            <w:shd w:val="clear" w:color="auto" w:fill="auto"/>
            <w:vAlign w:val="center"/>
          </w:tcPr>
          <w:p w:rsidR="000D53EA" w:rsidRDefault="009C76E5">
            <w:pPr>
              <w:spacing w:before="0" w:after="0"/>
              <w:jc w:val="left"/>
              <w:rPr>
                <w:rFonts w:cstheme="minorBidi"/>
                <w:sz w:val="18"/>
              </w:rPr>
            </w:pPr>
            <w:r w:rsidRPr="00FF74D7">
              <w:rPr>
                <w:rFonts w:cstheme="minorBidi"/>
                <w:sz w:val="18"/>
              </w:rPr>
              <w:t>Y</w:t>
            </w:r>
          </w:p>
        </w:tc>
        <w:tc>
          <w:tcPr>
            <w:tcW w:w="1039" w:type="dxa"/>
          </w:tcPr>
          <w:p w:rsidR="000D53EA" w:rsidRDefault="009C76E5">
            <w:pPr>
              <w:spacing w:before="0" w:after="0"/>
              <w:jc w:val="left"/>
              <w:rPr>
                <w:rFonts w:cstheme="minorBidi"/>
                <w:sz w:val="18"/>
              </w:rPr>
            </w:pPr>
            <w:r>
              <w:rPr>
                <w:rFonts w:cstheme="minorBidi"/>
                <w:sz w:val="18"/>
              </w:rPr>
              <w:t>Y</w:t>
            </w:r>
          </w:p>
        </w:tc>
        <w:tc>
          <w:tcPr>
            <w:tcW w:w="1039" w:type="dxa"/>
            <w:vAlign w:val="center"/>
          </w:tcPr>
          <w:p w:rsidR="000D53EA" w:rsidRDefault="009C76E5">
            <w:pPr>
              <w:spacing w:before="0" w:after="0"/>
              <w:jc w:val="left"/>
              <w:rPr>
                <w:rFonts w:cstheme="minorBidi"/>
                <w:sz w:val="18"/>
              </w:rPr>
            </w:pPr>
            <w:r w:rsidRPr="00FF74D7">
              <w:rPr>
                <w:rFonts w:cstheme="minorBidi"/>
                <w:sz w:val="18"/>
              </w:rPr>
              <w:t>Y</w:t>
            </w:r>
          </w:p>
        </w:tc>
      </w:tr>
      <w:tr w:rsidR="009C76E5" w:rsidRPr="00FF74D7" w:rsidTr="009C76E5">
        <w:trPr>
          <w:trHeight w:val="280"/>
        </w:trPr>
        <w:tc>
          <w:tcPr>
            <w:tcW w:w="2316" w:type="dxa"/>
            <w:shd w:val="clear" w:color="auto" w:fill="auto"/>
            <w:noWrap/>
            <w:vAlign w:val="center"/>
          </w:tcPr>
          <w:p w:rsidR="009C76E5" w:rsidRPr="00FF74D7" w:rsidRDefault="009C76E5" w:rsidP="00A35633">
            <w:pPr>
              <w:spacing w:before="0" w:after="0"/>
              <w:jc w:val="left"/>
              <w:rPr>
                <w:rFonts w:cstheme="minorBidi"/>
                <w:sz w:val="18"/>
              </w:rPr>
            </w:pPr>
            <w:proofErr w:type="spellStart"/>
            <w:r>
              <w:rPr>
                <w:rFonts w:cstheme="minorBidi"/>
                <w:sz w:val="18"/>
              </w:rPr>
              <w:t>Hexachlorobenzene</w:t>
            </w:r>
            <w:proofErr w:type="spellEnd"/>
          </w:p>
        </w:tc>
        <w:tc>
          <w:tcPr>
            <w:tcW w:w="1397" w:type="dxa"/>
            <w:shd w:val="clear" w:color="auto" w:fill="auto"/>
            <w:noWrap/>
            <w:vAlign w:val="center"/>
          </w:tcPr>
          <w:p w:rsidR="000D53EA" w:rsidRDefault="009C76E5">
            <w:pPr>
              <w:spacing w:before="2" w:after="2"/>
              <w:jc w:val="left"/>
              <w:rPr>
                <w:rFonts w:cstheme="minorBidi"/>
                <w:sz w:val="18"/>
              </w:rPr>
            </w:pPr>
            <w:r w:rsidRPr="00FF74D7">
              <w:rPr>
                <w:rFonts w:cstheme="minorBidi"/>
                <w:sz w:val="18"/>
              </w:rPr>
              <w:t>Y</w:t>
            </w:r>
          </w:p>
        </w:tc>
        <w:tc>
          <w:tcPr>
            <w:tcW w:w="1003" w:type="dxa"/>
            <w:shd w:val="clear" w:color="auto" w:fill="auto"/>
            <w:vAlign w:val="center"/>
          </w:tcPr>
          <w:p w:rsidR="000D53EA" w:rsidRDefault="009C76E5">
            <w:pPr>
              <w:spacing w:before="0" w:after="0"/>
              <w:jc w:val="left"/>
              <w:rPr>
                <w:rFonts w:cstheme="minorBidi"/>
                <w:sz w:val="18"/>
              </w:rPr>
            </w:pPr>
            <w:r w:rsidRPr="00FF74D7">
              <w:rPr>
                <w:rFonts w:cstheme="minorBidi"/>
                <w:sz w:val="18"/>
              </w:rPr>
              <w:t>-</w:t>
            </w:r>
          </w:p>
        </w:tc>
        <w:tc>
          <w:tcPr>
            <w:tcW w:w="1039" w:type="dxa"/>
          </w:tcPr>
          <w:p w:rsidR="000D53EA" w:rsidRDefault="009C76E5">
            <w:pPr>
              <w:spacing w:before="0" w:after="0"/>
              <w:jc w:val="left"/>
              <w:rPr>
                <w:rFonts w:cstheme="minorBidi"/>
                <w:sz w:val="18"/>
              </w:rPr>
            </w:pPr>
            <w:r w:rsidRPr="00FF74D7">
              <w:rPr>
                <w:rFonts w:cstheme="minorBidi"/>
                <w:sz w:val="18"/>
              </w:rPr>
              <w:t>-</w:t>
            </w:r>
          </w:p>
        </w:tc>
        <w:tc>
          <w:tcPr>
            <w:tcW w:w="1039" w:type="dxa"/>
          </w:tcPr>
          <w:p w:rsidR="000D53EA" w:rsidRDefault="009C76E5">
            <w:pPr>
              <w:spacing w:before="0" w:after="0"/>
              <w:jc w:val="left"/>
              <w:rPr>
                <w:rFonts w:cstheme="minorBidi"/>
                <w:sz w:val="18"/>
              </w:rPr>
            </w:pPr>
            <w:r w:rsidRPr="00FF74D7">
              <w:rPr>
                <w:rFonts w:cstheme="minorBidi"/>
                <w:sz w:val="18"/>
              </w:rPr>
              <w:t>-</w:t>
            </w:r>
          </w:p>
        </w:tc>
      </w:tr>
      <w:tr w:rsidR="009C76E5" w:rsidRPr="00FF74D7" w:rsidTr="009C76E5">
        <w:trPr>
          <w:trHeight w:val="280"/>
        </w:trPr>
        <w:tc>
          <w:tcPr>
            <w:tcW w:w="2316" w:type="dxa"/>
            <w:shd w:val="clear" w:color="auto" w:fill="auto"/>
            <w:noWrap/>
            <w:vAlign w:val="center"/>
          </w:tcPr>
          <w:p w:rsidR="009C76E5" w:rsidRPr="00FF74D7" w:rsidRDefault="009C76E5" w:rsidP="00A35633">
            <w:pPr>
              <w:spacing w:before="0" w:after="0"/>
              <w:jc w:val="left"/>
              <w:rPr>
                <w:rFonts w:cstheme="minorBidi"/>
                <w:sz w:val="18"/>
              </w:rPr>
            </w:pPr>
            <w:r>
              <w:rPr>
                <w:rFonts w:cstheme="minorBidi"/>
                <w:sz w:val="18"/>
              </w:rPr>
              <w:t xml:space="preserve">Benzene </w:t>
            </w:r>
            <w:proofErr w:type="spellStart"/>
            <w:r>
              <w:rPr>
                <w:rFonts w:cstheme="minorBidi"/>
                <w:sz w:val="18"/>
              </w:rPr>
              <w:t>hexachloride</w:t>
            </w:r>
            <w:proofErr w:type="spellEnd"/>
            <w:r w:rsidRPr="00FF74D7">
              <w:rPr>
                <w:rFonts w:cstheme="minorBidi"/>
                <w:sz w:val="18"/>
              </w:rPr>
              <w:t xml:space="preserve"> total</w:t>
            </w:r>
          </w:p>
        </w:tc>
        <w:tc>
          <w:tcPr>
            <w:tcW w:w="1397" w:type="dxa"/>
            <w:shd w:val="clear" w:color="auto" w:fill="auto"/>
            <w:noWrap/>
            <w:vAlign w:val="center"/>
          </w:tcPr>
          <w:p w:rsidR="000D53EA" w:rsidRDefault="009C76E5">
            <w:pPr>
              <w:spacing w:before="2" w:after="2"/>
              <w:jc w:val="left"/>
              <w:rPr>
                <w:rFonts w:cstheme="minorBidi"/>
                <w:sz w:val="18"/>
              </w:rPr>
            </w:pPr>
            <w:r w:rsidRPr="00FF74D7">
              <w:rPr>
                <w:rFonts w:cstheme="minorBidi"/>
                <w:sz w:val="18"/>
              </w:rPr>
              <w:t>Y</w:t>
            </w:r>
          </w:p>
        </w:tc>
        <w:tc>
          <w:tcPr>
            <w:tcW w:w="1003" w:type="dxa"/>
            <w:shd w:val="clear" w:color="auto" w:fill="auto"/>
            <w:vAlign w:val="center"/>
          </w:tcPr>
          <w:p w:rsidR="000D53EA" w:rsidRDefault="009C76E5">
            <w:pPr>
              <w:spacing w:before="0" w:after="0"/>
              <w:jc w:val="left"/>
              <w:rPr>
                <w:rFonts w:cstheme="minorBidi"/>
                <w:sz w:val="18"/>
              </w:rPr>
            </w:pPr>
            <w:r w:rsidRPr="00FF74D7">
              <w:rPr>
                <w:rFonts w:cstheme="minorBidi"/>
                <w:sz w:val="18"/>
              </w:rPr>
              <w:t>-</w:t>
            </w:r>
          </w:p>
        </w:tc>
        <w:tc>
          <w:tcPr>
            <w:tcW w:w="1039" w:type="dxa"/>
          </w:tcPr>
          <w:p w:rsidR="000D53EA" w:rsidRDefault="009C76E5">
            <w:pPr>
              <w:spacing w:before="0" w:after="0"/>
              <w:jc w:val="left"/>
              <w:rPr>
                <w:rFonts w:cstheme="minorBidi"/>
                <w:sz w:val="18"/>
              </w:rPr>
            </w:pPr>
            <w:r w:rsidRPr="00FF74D7">
              <w:rPr>
                <w:rFonts w:cstheme="minorBidi"/>
                <w:sz w:val="18"/>
              </w:rPr>
              <w:t>-</w:t>
            </w:r>
          </w:p>
        </w:tc>
        <w:tc>
          <w:tcPr>
            <w:tcW w:w="1039" w:type="dxa"/>
          </w:tcPr>
          <w:p w:rsidR="000D53EA" w:rsidRDefault="009C76E5">
            <w:pPr>
              <w:spacing w:before="0" w:after="0"/>
              <w:jc w:val="left"/>
              <w:rPr>
                <w:rFonts w:cstheme="minorBidi"/>
                <w:sz w:val="18"/>
              </w:rPr>
            </w:pPr>
            <w:r w:rsidRPr="00FF74D7">
              <w:rPr>
                <w:rFonts w:cstheme="minorBidi"/>
                <w:sz w:val="18"/>
              </w:rPr>
              <w:t>-</w:t>
            </w:r>
          </w:p>
        </w:tc>
      </w:tr>
      <w:tr w:rsidR="009C76E5" w:rsidRPr="00FF74D7" w:rsidTr="009C76E5">
        <w:trPr>
          <w:trHeight w:val="280"/>
        </w:trPr>
        <w:tc>
          <w:tcPr>
            <w:tcW w:w="2316" w:type="dxa"/>
            <w:shd w:val="clear" w:color="auto" w:fill="auto"/>
            <w:noWrap/>
            <w:vAlign w:val="center"/>
          </w:tcPr>
          <w:p w:rsidR="009C76E5" w:rsidRPr="00FF74D7" w:rsidRDefault="009C76E5" w:rsidP="00A35633">
            <w:pPr>
              <w:spacing w:before="0" w:after="0"/>
              <w:jc w:val="left"/>
              <w:rPr>
                <w:rFonts w:cstheme="minorBidi"/>
                <w:sz w:val="18"/>
              </w:rPr>
            </w:pPr>
            <w:proofErr w:type="spellStart"/>
            <w:r w:rsidRPr="00FF74D7">
              <w:rPr>
                <w:rFonts w:cstheme="minorBidi"/>
                <w:sz w:val="18"/>
              </w:rPr>
              <w:t>Lindane</w:t>
            </w:r>
            <w:proofErr w:type="spellEnd"/>
          </w:p>
        </w:tc>
        <w:tc>
          <w:tcPr>
            <w:tcW w:w="1397" w:type="dxa"/>
            <w:shd w:val="clear" w:color="auto" w:fill="auto"/>
            <w:noWrap/>
            <w:vAlign w:val="center"/>
          </w:tcPr>
          <w:p w:rsidR="000D53EA" w:rsidRDefault="009C76E5">
            <w:pPr>
              <w:spacing w:before="2" w:after="2"/>
              <w:jc w:val="left"/>
              <w:rPr>
                <w:rFonts w:cstheme="minorBidi"/>
                <w:sz w:val="18"/>
              </w:rPr>
            </w:pPr>
            <w:r w:rsidRPr="00FF74D7">
              <w:rPr>
                <w:rFonts w:cstheme="minorBidi"/>
                <w:sz w:val="18"/>
              </w:rPr>
              <w:t>Y</w:t>
            </w:r>
          </w:p>
        </w:tc>
        <w:tc>
          <w:tcPr>
            <w:tcW w:w="1003" w:type="dxa"/>
            <w:shd w:val="clear" w:color="auto" w:fill="auto"/>
            <w:vAlign w:val="center"/>
          </w:tcPr>
          <w:p w:rsidR="000D53EA" w:rsidRDefault="009C76E5">
            <w:pPr>
              <w:spacing w:before="0" w:after="0"/>
              <w:jc w:val="left"/>
              <w:rPr>
                <w:rFonts w:cstheme="minorBidi"/>
                <w:sz w:val="18"/>
              </w:rPr>
            </w:pPr>
            <w:r w:rsidRPr="00FF74D7">
              <w:rPr>
                <w:rFonts w:cstheme="minorBidi"/>
                <w:sz w:val="18"/>
              </w:rPr>
              <w:t>-</w:t>
            </w:r>
          </w:p>
        </w:tc>
        <w:tc>
          <w:tcPr>
            <w:tcW w:w="1039" w:type="dxa"/>
          </w:tcPr>
          <w:p w:rsidR="000D53EA" w:rsidRDefault="009C76E5">
            <w:pPr>
              <w:spacing w:before="0" w:after="0"/>
              <w:jc w:val="left"/>
              <w:rPr>
                <w:rFonts w:cstheme="minorBidi"/>
                <w:sz w:val="18"/>
              </w:rPr>
            </w:pPr>
            <w:r w:rsidRPr="00FF74D7">
              <w:rPr>
                <w:rFonts w:cstheme="minorBidi"/>
                <w:sz w:val="18"/>
              </w:rPr>
              <w:t>-</w:t>
            </w:r>
          </w:p>
        </w:tc>
        <w:tc>
          <w:tcPr>
            <w:tcW w:w="1039" w:type="dxa"/>
          </w:tcPr>
          <w:p w:rsidR="000D53EA" w:rsidRDefault="009C76E5">
            <w:pPr>
              <w:spacing w:before="0" w:after="0"/>
              <w:jc w:val="left"/>
              <w:rPr>
                <w:rFonts w:cstheme="minorBidi"/>
                <w:sz w:val="18"/>
              </w:rPr>
            </w:pPr>
            <w:r w:rsidRPr="00FF74D7">
              <w:rPr>
                <w:rFonts w:cstheme="minorBidi"/>
                <w:sz w:val="18"/>
              </w:rPr>
              <w:t>-</w:t>
            </w:r>
          </w:p>
        </w:tc>
      </w:tr>
      <w:tr w:rsidR="009C76E5" w:rsidRPr="00FF74D7" w:rsidTr="009C76E5">
        <w:trPr>
          <w:trHeight w:val="280"/>
        </w:trPr>
        <w:tc>
          <w:tcPr>
            <w:tcW w:w="2316" w:type="dxa"/>
            <w:shd w:val="clear" w:color="auto" w:fill="auto"/>
            <w:noWrap/>
            <w:vAlign w:val="center"/>
          </w:tcPr>
          <w:p w:rsidR="009C76E5" w:rsidRPr="00FF74D7" w:rsidRDefault="009C76E5" w:rsidP="00A35633">
            <w:pPr>
              <w:spacing w:before="0" w:after="0"/>
              <w:jc w:val="left"/>
              <w:rPr>
                <w:rFonts w:cstheme="minorBidi"/>
                <w:sz w:val="18"/>
              </w:rPr>
            </w:pPr>
            <w:proofErr w:type="spellStart"/>
            <w:r w:rsidRPr="00FF74D7">
              <w:rPr>
                <w:rFonts w:cstheme="minorBidi"/>
                <w:sz w:val="18"/>
              </w:rPr>
              <w:t>Dieldrin</w:t>
            </w:r>
            <w:proofErr w:type="spellEnd"/>
          </w:p>
        </w:tc>
        <w:tc>
          <w:tcPr>
            <w:tcW w:w="1397" w:type="dxa"/>
            <w:shd w:val="clear" w:color="auto" w:fill="auto"/>
            <w:noWrap/>
            <w:vAlign w:val="center"/>
          </w:tcPr>
          <w:p w:rsidR="000D53EA" w:rsidRDefault="009C76E5">
            <w:pPr>
              <w:spacing w:before="0" w:after="0"/>
              <w:jc w:val="left"/>
              <w:rPr>
                <w:rFonts w:cstheme="minorBidi"/>
                <w:sz w:val="18"/>
              </w:rPr>
            </w:pPr>
            <w:r w:rsidRPr="00FF74D7">
              <w:rPr>
                <w:rFonts w:cstheme="minorBidi"/>
                <w:sz w:val="18"/>
              </w:rPr>
              <w:t>Y</w:t>
            </w:r>
          </w:p>
        </w:tc>
        <w:tc>
          <w:tcPr>
            <w:tcW w:w="1003" w:type="dxa"/>
            <w:shd w:val="clear" w:color="auto" w:fill="auto"/>
            <w:vAlign w:val="center"/>
          </w:tcPr>
          <w:p w:rsidR="000D53EA" w:rsidRDefault="009C76E5">
            <w:pPr>
              <w:spacing w:before="0" w:after="0"/>
              <w:jc w:val="left"/>
              <w:rPr>
                <w:rFonts w:cstheme="minorBidi"/>
                <w:sz w:val="18"/>
              </w:rPr>
            </w:pPr>
            <w:r w:rsidRPr="00FF74D7">
              <w:rPr>
                <w:rFonts w:cstheme="minorBidi"/>
                <w:sz w:val="18"/>
              </w:rPr>
              <w:t>Y</w:t>
            </w:r>
          </w:p>
        </w:tc>
        <w:tc>
          <w:tcPr>
            <w:tcW w:w="1039" w:type="dxa"/>
          </w:tcPr>
          <w:p w:rsidR="000D53EA" w:rsidRDefault="009C76E5">
            <w:pPr>
              <w:spacing w:before="0" w:after="0"/>
              <w:jc w:val="left"/>
              <w:rPr>
                <w:rFonts w:cstheme="minorBidi"/>
                <w:sz w:val="18"/>
              </w:rPr>
            </w:pPr>
            <w:r w:rsidRPr="00FF74D7">
              <w:rPr>
                <w:rFonts w:cstheme="minorBidi"/>
                <w:sz w:val="18"/>
              </w:rPr>
              <w:t>-</w:t>
            </w:r>
          </w:p>
        </w:tc>
        <w:tc>
          <w:tcPr>
            <w:tcW w:w="1039" w:type="dxa"/>
          </w:tcPr>
          <w:p w:rsidR="000D53EA" w:rsidRDefault="009C76E5">
            <w:pPr>
              <w:spacing w:before="0" w:after="0"/>
              <w:jc w:val="left"/>
              <w:rPr>
                <w:rFonts w:cstheme="minorBidi"/>
                <w:sz w:val="18"/>
              </w:rPr>
            </w:pPr>
            <w:r w:rsidRPr="00FF74D7">
              <w:rPr>
                <w:rFonts w:cstheme="minorBidi"/>
                <w:sz w:val="18"/>
              </w:rPr>
              <w:t>-</w:t>
            </w:r>
          </w:p>
        </w:tc>
      </w:tr>
      <w:tr w:rsidR="009C76E5" w:rsidRPr="00FF74D7" w:rsidTr="009C76E5">
        <w:trPr>
          <w:trHeight w:val="280"/>
        </w:trPr>
        <w:tc>
          <w:tcPr>
            <w:tcW w:w="2316" w:type="dxa"/>
            <w:shd w:val="clear" w:color="auto" w:fill="auto"/>
            <w:noWrap/>
            <w:vAlign w:val="center"/>
          </w:tcPr>
          <w:p w:rsidR="009C76E5" w:rsidRPr="00FF74D7" w:rsidRDefault="009C76E5" w:rsidP="00A35633">
            <w:pPr>
              <w:spacing w:before="0" w:after="0"/>
              <w:jc w:val="left"/>
              <w:rPr>
                <w:rFonts w:cstheme="minorBidi"/>
                <w:sz w:val="18"/>
              </w:rPr>
            </w:pPr>
            <w:r w:rsidRPr="00FF74D7">
              <w:rPr>
                <w:rFonts w:cstheme="minorBidi"/>
                <w:sz w:val="18"/>
              </w:rPr>
              <w:t>Heptachlor</w:t>
            </w:r>
          </w:p>
        </w:tc>
        <w:tc>
          <w:tcPr>
            <w:tcW w:w="1397" w:type="dxa"/>
            <w:shd w:val="clear" w:color="auto" w:fill="auto"/>
            <w:noWrap/>
            <w:vAlign w:val="center"/>
          </w:tcPr>
          <w:p w:rsidR="000D53EA" w:rsidRDefault="009C76E5">
            <w:pPr>
              <w:spacing w:before="0" w:after="0"/>
              <w:jc w:val="left"/>
              <w:rPr>
                <w:rFonts w:cstheme="minorBidi"/>
                <w:sz w:val="18"/>
              </w:rPr>
            </w:pPr>
            <w:r w:rsidRPr="00FF74D7">
              <w:rPr>
                <w:rFonts w:cstheme="minorBidi"/>
                <w:sz w:val="18"/>
              </w:rPr>
              <w:t>Y</w:t>
            </w:r>
          </w:p>
        </w:tc>
        <w:tc>
          <w:tcPr>
            <w:tcW w:w="1003" w:type="dxa"/>
            <w:shd w:val="clear" w:color="auto" w:fill="auto"/>
            <w:vAlign w:val="center"/>
          </w:tcPr>
          <w:p w:rsidR="000D53EA" w:rsidRDefault="009C76E5">
            <w:pPr>
              <w:spacing w:before="0" w:after="0"/>
              <w:jc w:val="left"/>
              <w:rPr>
                <w:rFonts w:cstheme="minorBidi"/>
                <w:sz w:val="18"/>
              </w:rPr>
            </w:pPr>
            <w:r w:rsidRPr="00FF74D7">
              <w:rPr>
                <w:rFonts w:cstheme="minorBidi"/>
                <w:sz w:val="18"/>
              </w:rPr>
              <w:t>-</w:t>
            </w:r>
          </w:p>
        </w:tc>
        <w:tc>
          <w:tcPr>
            <w:tcW w:w="1039" w:type="dxa"/>
          </w:tcPr>
          <w:p w:rsidR="000D53EA" w:rsidRDefault="009C76E5">
            <w:pPr>
              <w:spacing w:before="0" w:after="0"/>
              <w:jc w:val="left"/>
              <w:rPr>
                <w:rFonts w:cstheme="minorBidi"/>
                <w:sz w:val="18"/>
              </w:rPr>
            </w:pPr>
            <w:r w:rsidRPr="00FF74D7">
              <w:rPr>
                <w:rFonts w:cstheme="minorBidi"/>
                <w:sz w:val="18"/>
              </w:rPr>
              <w:t>-</w:t>
            </w:r>
          </w:p>
        </w:tc>
        <w:tc>
          <w:tcPr>
            <w:tcW w:w="1039" w:type="dxa"/>
          </w:tcPr>
          <w:p w:rsidR="000D53EA" w:rsidRDefault="009C76E5">
            <w:pPr>
              <w:spacing w:before="0" w:after="0"/>
              <w:jc w:val="left"/>
              <w:rPr>
                <w:rFonts w:cstheme="minorBidi"/>
                <w:sz w:val="18"/>
              </w:rPr>
            </w:pPr>
            <w:r w:rsidRPr="00FF74D7">
              <w:rPr>
                <w:rFonts w:cstheme="minorBidi"/>
                <w:sz w:val="18"/>
              </w:rPr>
              <w:t>-</w:t>
            </w:r>
          </w:p>
        </w:tc>
      </w:tr>
      <w:tr w:rsidR="009C76E5" w:rsidRPr="00FF74D7" w:rsidTr="009C76E5">
        <w:trPr>
          <w:trHeight w:val="280"/>
        </w:trPr>
        <w:tc>
          <w:tcPr>
            <w:tcW w:w="2316" w:type="dxa"/>
            <w:shd w:val="clear" w:color="auto" w:fill="auto"/>
            <w:noWrap/>
            <w:vAlign w:val="center"/>
          </w:tcPr>
          <w:p w:rsidR="009C76E5" w:rsidRPr="00FF74D7" w:rsidRDefault="009C76E5" w:rsidP="00A35633">
            <w:pPr>
              <w:spacing w:before="0" w:after="0"/>
              <w:jc w:val="left"/>
              <w:rPr>
                <w:rFonts w:cstheme="minorBidi"/>
                <w:sz w:val="18"/>
              </w:rPr>
            </w:pPr>
            <w:r w:rsidRPr="00FF74D7">
              <w:rPr>
                <w:rFonts w:cstheme="minorBidi"/>
                <w:sz w:val="18"/>
              </w:rPr>
              <w:t>DDD</w:t>
            </w:r>
          </w:p>
        </w:tc>
        <w:tc>
          <w:tcPr>
            <w:tcW w:w="1397" w:type="dxa"/>
            <w:shd w:val="clear" w:color="auto" w:fill="auto"/>
            <w:noWrap/>
            <w:vAlign w:val="center"/>
          </w:tcPr>
          <w:p w:rsidR="000D53EA" w:rsidRDefault="009C76E5">
            <w:pPr>
              <w:spacing w:before="0" w:after="0"/>
              <w:jc w:val="left"/>
              <w:rPr>
                <w:rFonts w:cstheme="minorBidi"/>
                <w:sz w:val="18"/>
              </w:rPr>
            </w:pPr>
            <w:r w:rsidRPr="00FF74D7">
              <w:rPr>
                <w:rFonts w:cstheme="minorBidi"/>
                <w:sz w:val="18"/>
              </w:rPr>
              <w:t>Y</w:t>
            </w:r>
          </w:p>
        </w:tc>
        <w:tc>
          <w:tcPr>
            <w:tcW w:w="1003" w:type="dxa"/>
            <w:shd w:val="clear" w:color="auto" w:fill="auto"/>
            <w:vAlign w:val="center"/>
          </w:tcPr>
          <w:p w:rsidR="000D53EA" w:rsidRDefault="009C76E5">
            <w:pPr>
              <w:spacing w:before="0" w:after="0"/>
              <w:jc w:val="left"/>
              <w:rPr>
                <w:rFonts w:cstheme="minorBidi"/>
                <w:sz w:val="18"/>
              </w:rPr>
            </w:pPr>
            <w:r w:rsidRPr="00FF74D7">
              <w:rPr>
                <w:rFonts w:cstheme="minorBidi"/>
                <w:sz w:val="18"/>
              </w:rPr>
              <w:t>-</w:t>
            </w:r>
          </w:p>
        </w:tc>
        <w:tc>
          <w:tcPr>
            <w:tcW w:w="1039" w:type="dxa"/>
          </w:tcPr>
          <w:p w:rsidR="000D53EA" w:rsidRDefault="009C76E5">
            <w:pPr>
              <w:spacing w:before="0" w:after="0"/>
              <w:jc w:val="left"/>
              <w:rPr>
                <w:rFonts w:cstheme="minorBidi"/>
                <w:sz w:val="18"/>
              </w:rPr>
            </w:pPr>
            <w:r w:rsidRPr="00FF74D7">
              <w:rPr>
                <w:rFonts w:cstheme="minorBidi"/>
                <w:sz w:val="18"/>
              </w:rPr>
              <w:t>-</w:t>
            </w:r>
          </w:p>
        </w:tc>
        <w:tc>
          <w:tcPr>
            <w:tcW w:w="1039" w:type="dxa"/>
          </w:tcPr>
          <w:p w:rsidR="000D53EA" w:rsidRDefault="009C76E5">
            <w:pPr>
              <w:spacing w:before="0" w:after="0"/>
              <w:jc w:val="left"/>
              <w:rPr>
                <w:rFonts w:cstheme="minorBidi"/>
                <w:sz w:val="18"/>
              </w:rPr>
            </w:pPr>
            <w:r w:rsidRPr="00FF74D7">
              <w:rPr>
                <w:rFonts w:cstheme="minorBidi"/>
                <w:sz w:val="18"/>
              </w:rPr>
              <w:t>-</w:t>
            </w:r>
          </w:p>
        </w:tc>
      </w:tr>
      <w:tr w:rsidR="009C76E5" w:rsidRPr="00FF74D7" w:rsidTr="009C76E5">
        <w:trPr>
          <w:trHeight w:val="280"/>
        </w:trPr>
        <w:tc>
          <w:tcPr>
            <w:tcW w:w="2316" w:type="dxa"/>
            <w:shd w:val="clear" w:color="auto" w:fill="auto"/>
            <w:noWrap/>
            <w:vAlign w:val="center"/>
          </w:tcPr>
          <w:p w:rsidR="009C76E5" w:rsidRPr="00FF74D7" w:rsidRDefault="009C76E5" w:rsidP="00A35633">
            <w:pPr>
              <w:spacing w:before="0" w:after="0"/>
              <w:jc w:val="left"/>
              <w:rPr>
                <w:rFonts w:cstheme="minorBidi"/>
                <w:sz w:val="18"/>
              </w:rPr>
            </w:pPr>
            <w:r w:rsidRPr="00FF74D7">
              <w:rPr>
                <w:rFonts w:cstheme="minorBidi"/>
                <w:sz w:val="18"/>
              </w:rPr>
              <w:t>DDE</w:t>
            </w:r>
          </w:p>
        </w:tc>
        <w:tc>
          <w:tcPr>
            <w:tcW w:w="1397" w:type="dxa"/>
            <w:shd w:val="clear" w:color="auto" w:fill="auto"/>
            <w:noWrap/>
            <w:vAlign w:val="center"/>
          </w:tcPr>
          <w:p w:rsidR="000D53EA" w:rsidRDefault="009C76E5">
            <w:pPr>
              <w:spacing w:before="0" w:after="0"/>
              <w:jc w:val="left"/>
              <w:rPr>
                <w:rFonts w:cstheme="minorBidi"/>
                <w:sz w:val="18"/>
              </w:rPr>
            </w:pPr>
            <w:r w:rsidRPr="00FF74D7">
              <w:rPr>
                <w:rFonts w:cstheme="minorBidi"/>
                <w:sz w:val="18"/>
              </w:rPr>
              <w:t>Y</w:t>
            </w:r>
          </w:p>
        </w:tc>
        <w:tc>
          <w:tcPr>
            <w:tcW w:w="1003" w:type="dxa"/>
            <w:shd w:val="clear" w:color="auto" w:fill="auto"/>
            <w:vAlign w:val="center"/>
          </w:tcPr>
          <w:p w:rsidR="000D53EA" w:rsidRDefault="009C76E5">
            <w:pPr>
              <w:spacing w:before="0" w:after="0"/>
              <w:jc w:val="left"/>
              <w:rPr>
                <w:rFonts w:cstheme="minorBidi"/>
                <w:sz w:val="18"/>
              </w:rPr>
            </w:pPr>
            <w:r w:rsidRPr="00FF74D7">
              <w:rPr>
                <w:rFonts w:cstheme="minorBidi"/>
                <w:sz w:val="18"/>
              </w:rPr>
              <w:t>-</w:t>
            </w:r>
          </w:p>
        </w:tc>
        <w:tc>
          <w:tcPr>
            <w:tcW w:w="1039" w:type="dxa"/>
          </w:tcPr>
          <w:p w:rsidR="000D53EA" w:rsidRDefault="009C76E5">
            <w:pPr>
              <w:spacing w:before="0" w:after="0"/>
              <w:jc w:val="left"/>
              <w:rPr>
                <w:rFonts w:cstheme="minorBidi"/>
                <w:sz w:val="18"/>
              </w:rPr>
            </w:pPr>
            <w:r w:rsidRPr="00FF74D7">
              <w:rPr>
                <w:rFonts w:cstheme="minorBidi"/>
                <w:sz w:val="18"/>
              </w:rPr>
              <w:t>-</w:t>
            </w:r>
          </w:p>
        </w:tc>
        <w:tc>
          <w:tcPr>
            <w:tcW w:w="1039" w:type="dxa"/>
          </w:tcPr>
          <w:p w:rsidR="000D53EA" w:rsidRDefault="009C76E5">
            <w:pPr>
              <w:spacing w:before="0" w:after="0"/>
              <w:jc w:val="left"/>
              <w:rPr>
                <w:rFonts w:cstheme="minorBidi"/>
                <w:sz w:val="18"/>
              </w:rPr>
            </w:pPr>
            <w:r w:rsidRPr="00FF74D7">
              <w:rPr>
                <w:rFonts w:cstheme="minorBidi"/>
                <w:sz w:val="18"/>
              </w:rPr>
              <w:t>-</w:t>
            </w:r>
          </w:p>
        </w:tc>
      </w:tr>
      <w:tr w:rsidR="009C76E5" w:rsidRPr="00FF74D7" w:rsidTr="009C76E5">
        <w:trPr>
          <w:trHeight w:val="280"/>
        </w:trPr>
        <w:tc>
          <w:tcPr>
            <w:tcW w:w="2316" w:type="dxa"/>
            <w:shd w:val="clear" w:color="auto" w:fill="auto"/>
            <w:noWrap/>
            <w:vAlign w:val="center"/>
          </w:tcPr>
          <w:p w:rsidR="009C76E5" w:rsidRPr="00FF74D7" w:rsidRDefault="009C76E5" w:rsidP="00A35633">
            <w:pPr>
              <w:spacing w:before="0" w:after="0"/>
              <w:jc w:val="left"/>
              <w:rPr>
                <w:rFonts w:cstheme="minorBidi"/>
                <w:sz w:val="18"/>
              </w:rPr>
            </w:pPr>
            <w:r w:rsidRPr="00FF74D7">
              <w:rPr>
                <w:rFonts w:cstheme="minorBidi"/>
                <w:sz w:val="18"/>
              </w:rPr>
              <w:t>DDT</w:t>
            </w:r>
          </w:p>
        </w:tc>
        <w:tc>
          <w:tcPr>
            <w:tcW w:w="1397" w:type="dxa"/>
            <w:shd w:val="clear" w:color="auto" w:fill="auto"/>
            <w:noWrap/>
            <w:vAlign w:val="center"/>
          </w:tcPr>
          <w:p w:rsidR="000D53EA" w:rsidRDefault="009C76E5">
            <w:pPr>
              <w:spacing w:before="0" w:after="0"/>
              <w:jc w:val="left"/>
              <w:rPr>
                <w:rFonts w:cstheme="minorBidi"/>
                <w:sz w:val="18"/>
              </w:rPr>
            </w:pPr>
            <w:r w:rsidRPr="00FF74D7">
              <w:rPr>
                <w:rFonts w:cstheme="minorBidi"/>
                <w:sz w:val="18"/>
              </w:rPr>
              <w:t>Y</w:t>
            </w:r>
          </w:p>
        </w:tc>
        <w:tc>
          <w:tcPr>
            <w:tcW w:w="1003" w:type="dxa"/>
            <w:shd w:val="clear" w:color="auto" w:fill="auto"/>
            <w:vAlign w:val="center"/>
          </w:tcPr>
          <w:p w:rsidR="000D53EA" w:rsidRDefault="009C76E5">
            <w:pPr>
              <w:spacing w:before="0" w:after="0"/>
              <w:jc w:val="left"/>
              <w:rPr>
                <w:rFonts w:cstheme="minorBidi"/>
                <w:sz w:val="18"/>
              </w:rPr>
            </w:pPr>
            <w:r w:rsidRPr="00FF74D7">
              <w:rPr>
                <w:rFonts w:cstheme="minorBidi"/>
                <w:sz w:val="18"/>
              </w:rPr>
              <w:t>-</w:t>
            </w:r>
          </w:p>
        </w:tc>
        <w:tc>
          <w:tcPr>
            <w:tcW w:w="1039" w:type="dxa"/>
          </w:tcPr>
          <w:p w:rsidR="000D53EA" w:rsidRDefault="009C76E5">
            <w:pPr>
              <w:spacing w:before="0" w:after="0"/>
              <w:jc w:val="left"/>
              <w:rPr>
                <w:rFonts w:cstheme="minorBidi"/>
                <w:sz w:val="18"/>
              </w:rPr>
            </w:pPr>
            <w:r w:rsidRPr="00FF74D7">
              <w:rPr>
                <w:rFonts w:cstheme="minorBidi"/>
                <w:sz w:val="18"/>
              </w:rPr>
              <w:t>-</w:t>
            </w:r>
          </w:p>
        </w:tc>
        <w:tc>
          <w:tcPr>
            <w:tcW w:w="1039" w:type="dxa"/>
          </w:tcPr>
          <w:p w:rsidR="000D53EA" w:rsidRDefault="009C76E5">
            <w:pPr>
              <w:spacing w:before="0" w:after="0"/>
              <w:jc w:val="left"/>
              <w:rPr>
                <w:rFonts w:cstheme="minorBidi"/>
                <w:sz w:val="18"/>
              </w:rPr>
            </w:pPr>
            <w:r w:rsidRPr="00FF74D7">
              <w:rPr>
                <w:rFonts w:cstheme="minorBidi"/>
                <w:sz w:val="18"/>
              </w:rPr>
              <w:t>-</w:t>
            </w:r>
          </w:p>
        </w:tc>
      </w:tr>
      <w:tr w:rsidR="009C76E5" w:rsidRPr="00FF74D7" w:rsidTr="009C76E5">
        <w:trPr>
          <w:trHeight w:val="280"/>
        </w:trPr>
        <w:tc>
          <w:tcPr>
            <w:tcW w:w="2316" w:type="dxa"/>
            <w:shd w:val="clear" w:color="auto" w:fill="auto"/>
            <w:noWrap/>
            <w:vAlign w:val="center"/>
          </w:tcPr>
          <w:p w:rsidR="009C76E5" w:rsidRPr="00FF74D7" w:rsidRDefault="009C76E5" w:rsidP="00A35633">
            <w:pPr>
              <w:spacing w:before="0" w:after="0"/>
              <w:jc w:val="left"/>
              <w:rPr>
                <w:rFonts w:cstheme="minorBidi"/>
                <w:sz w:val="18"/>
              </w:rPr>
            </w:pPr>
            <w:r w:rsidRPr="00FF74D7">
              <w:rPr>
                <w:rFonts w:cstheme="minorBidi"/>
                <w:sz w:val="18"/>
              </w:rPr>
              <w:t xml:space="preserve">Total DDT </w:t>
            </w:r>
            <w:proofErr w:type="spellStart"/>
            <w:r w:rsidRPr="00FF74D7">
              <w:rPr>
                <w:rFonts w:cstheme="minorBidi"/>
                <w:sz w:val="18"/>
              </w:rPr>
              <w:t>analogs</w:t>
            </w:r>
            <w:proofErr w:type="spellEnd"/>
          </w:p>
        </w:tc>
        <w:tc>
          <w:tcPr>
            <w:tcW w:w="1397" w:type="dxa"/>
            <w:shd w:val="clear" w:color="auto" w:fill="auto"/>
            <w:noWrap/>
            <w:vAlign w:val="center"/>
          </w:tcPr>
          <w:p w:rsidR="000D53EA" w:rsidRDefault="000D53EA">
            <w:pPr>
              <w:spacing w:before="0" w:after="0"/>
              <w:jc w:val="left"/>
              <w:rPr>
                <w:rFonts w:cstheme="minorBidi"/>
                <w:sz w:val="18"/>
              </w:rPr>
            </w:pPr>
          </w:p>
        </w:tc>
        <w:tc>
          <w:tcPr>
            <w:tcW w:w="1003" w:type="dxa"/>
            <w:shd w:val="clear" w:color="auto" w:fill="auto"/>
            <w:vAlign w:val="center"/>
          </w:tcPr>
          <w:p w:rsidR="000D53EA" w:rsidRDefault="000D53EA">
            <w:pPr>
              <w:spacing w:before="0" w:after="0"/>
              <w:jc w:val="left"/>
              <w:rPr>
                <w:rFonts w:cstheme="minorBidi"/>
                <w:sz w:val="18"/>
              </w:rPr>
            </w:pPr>
          </w:p>
        </w:tc>
        <w:tc>
          <w:tcPr>
            <w:tcW w:w="1039" w:type="dxa"/>
          </w:tcPr>
          <w:p w:rsidR="000D53EA" w:rsidRDefault="009C76E5">
            <w:pPr>
              <w:spacing w:before="0" w:after="0"/>
              <w:jc w:val="left"/>
              <w:rPr>
                <w:rFonts w:cstheme="minorBidi"/>
                <w:sz w:val="18"/>
              </w:rPr>
            </w:pPr>
            <w:r w:rsidRPr="00FF74D7">
              <w:rPr>
                <w:rFonts w:cstheme="minorBidi"/>
                <w:sz w:val="18"/>
              </w:rPr>
              <w:t>-</w:t>
            </w:r>
          </w:p>
        </w:tc>
        <w:tc>
          <w:tcPr>
            <w:tcW w:w="1039" w:type="dxa"/>
          </w:tcPr>
          <w:p w:rsidR="000D53EA" w:rsidRDefault="009C76E5">
            <w:pPr>
              <w:spacing w:before="0" w:after="0"/>
              <w:jc w:val="left"/>
              <w:rPr>
                <w:rFonts w:cstheme="minorBidi"/>
                <w:sz w:val="18"/>
              </w:rPr>
            </w:pPr>
            <w:r w:rsidRPr="00FF74D7">
              <w:rPr>
                <w:rFonts w:cstheme="minorBidi"/>
                <w:sz w:val="18"/>
              </w:rPr>
              <w:t>-</w:t>
            </w:r>
          </w:p>
        </w:tc>
      </w:tr>
      <w:tr w:rsidR="009C76E5" w:rsidRPr="00FF74D7" w:rsidTr="009C76E5">
        <w:trPr>
          <w:trHeight w:val="280"/>
        </w:trPr>
        <w:tc>
          <w:tcPr>
            <w:tcW w:w="2316" w:type="dxa"/>
            <w:shd w:val="clear" w:color="auto" w:fill="auto"/>
            <w:noWrap/>
            <w:vAlign w:val="center"/>
          </w:tcPr>
          <w:p w:rsidR="009C76E5" w:rsidRPr="00FF74D7" w:rsidRDefault="009C76E5" w:rsidP="00A35633">
            <w:pPr>
              <w:spacing w:before="0" w:after="0"/>
              <w:jc w:val="left"/>
              <w:rPr>
                <w:rFonts w:cstheme="minorBidi"/>
                <w:sz w:val="18"/>
              </w:rPr>
            </w:pPr>
            <w:r w:rsidRPr="00FF74D7">
              <w:rPr>
                <w:rFonts w:cstheme="minorBidi"/>
                <w:sz w:val="18"/>
              </w:rPr>
              <w:t>PCB Total</w:t>
            </w:r>
          </w:p>
        </w:tc>
        <w:tc>
          <w:tcPr>
            <w:tcW w:w="1397" w:type="dxa"/>
            <w:shd w:val="clear" w:color="auto" w:fill="auto"/>
            <w:noWrap/>
            <w:vAlign w:val="center"/>
          </w:tcPr>
          <w:p w:rsidR="000D53EA" w:rsidRDefault="009C76E5">
            <w:pPr>
              <w:spacing w:before="0" w:after="0"/>
              <w:jc w:val="left"/>
              <w:rPr>
                <w:rFonts w:cstheme="minorBidi"/>
                <w:sz w:val="18"/>
              </w:rPr>
            </w:pPr>
            <w:r w:rsidRPr="00FF74D7">
              <w:rPr>
                <w:rFonts w:cstheme="minorBidi"/>
                <w:sz w:val="18"/>
              </w:rPr>
              <w:t>Y</w:t>
            </w:r>
          </w:p>
        </w:tc>
        <w:tc>
          <w:tcPr>
            <w:tcW w:w="1003" w:type="dxa"/>
            <w:shd w:val="clear" w:color="auto" w:fill="auto"/>
            <w:vAlign w:val="center"/>
          </w:tcPr>
          <w:p w:rsidR="000D53EA" w:rsidRDefault="009C76E5">
            <w:pPr>
              <w:spacing w:before="0" w:after="0"/>
              <w:jc w:val="left"/>
              <w:rPr>
                <w:rFonts w:cstheme="minorBidi"/>
                <w:sz w:val="18"/>
              </w:rPr>
            </w:pPr>
            <w:r w:rsidRPr="00FF74D7">
              <w:rPr>
                <w:rFonts w:cstheme="minorBidi"/>
                <w:sz w:val="18"/>
              </w:rPr>
              <w:t>-</w:t>
            </w:r>
          </w:p>
        </w:tc>
        <w:tc>
          <w:tcPr>
            <w:tcW w:w="1039" w:type="dxa"/>
          </w:tcPr>
          <w:p w:rsidR="000D53EA" w:rsidRDefault="009C76E5">
            <w:pPr>
              <w:spacing w:before="0" w:after="0"/>
              <w:jc w:val="left"/>
              <w:rPr>
                <w:rFonts w:cstheme="minorBidi"/>
                <w:sz w:val="18"/>
              </w:rPr>
            </w:pPr>
            <w:r w:rsidRPr="00FF74D7">
              <w:rPr>
                <w:rFonts w:cstheme="minorBidi"/>
                <w:sz w:val="18"/>
              </w:rPr>
              <w:t>-</w:t>
            </w:r>
          </w:p>
        </w:tc>
        <w:tc>
          <w:tcPr>
            <w:tcW w:w="1039" w:type="dxa"/>
          </w:tcPr>
          <w:p w:rsidR="000D53EA" w:rsidRDefault="009C76E5">
            <w:pPr>
              <w:spacing w:before="0" w:after="0"/>
              <w:jc w:val="left"/>
              <w:rPr>
                <w:rFonts w:cstheme="minorBidi"/>
                <w:sz w:val="18"/>
              </w:rPr>
            </w:pPr>
            <w:r w:rsidRPr="00FF74D7">
              <w:rPr>
                <w:rFonts w:cstheme="minorBidi"/>
                <w:sz w:val="18"/>
              </w:rPr>
              <w:t>-</w:t>
            </w:r>
          </w:p>
        </w:tc>
      </w:tr>
      <w:tr w:rsidR="009C76E5" w:rsidRPr="00FF74D7" w:rsidTr="009C76E5">
        <w:trPr>
          <w:trHeight w:val="280"/>
        </w:trPr>
        <w:tc>
          <w:tcPr>
            <w:tcW w:w="2316" w:type="dxa"/>
            <w:shd w:val="clear" w:color="auto" w:fill="auto"/>
            <w:noWrap/>
            <w:vAlign w:val="center"/>
          </w:tcPr>
          <w:p w:rsidR="009C76E5" w:rsidRPr="00FF74D7" w:rsidRDefault="009C76E5" w:rsidP="00A35633">
            <w:pPr>
              <w:spacing w:before="0" w:after="0"/>
              <w:jc w:val="left"/>
              <w:rPr>
                <w:rFonts w:cstheme="minorBidi"/>
                <w:sz w:val="18"/>
              </w:rPr>
            </w:pPr>
            <w:r w:rsidRPr="00FF74D7">
              <w:rPr>
                <w:rFonts w:cstheme="minorBidi"/>
                <w:sz w:val="18"/>
              </w:rPr>
              <w:t>Aldrin</w:t>
            </w:r>
          </w:p>
        </w:tc>
        <w:tc>
          <w:tcPr>
            <w:tcW w:w="1397" w:type="dxa"/>
            <w:shd w:val="clear" w:color="auto" w:fill="auto"/>
            <w:noWrap/>
            <w:vAlign w:val="center"/>
          </w:tcPr>
          <w:p w:rsidR="000D53EA" w:rsidRDefault="009C76E5">
            <w:pPr>
              <w:spacing w:before="0" w:after="0"/>
              <w:jc w:val="left"/>
              <w:rPr>
                <w:rFonts w:cstheme="minorBidi"/>
                <w:sz w:val="18"/>
              </w:rPr>
            </w:pPr>
            <w:r w:rsidRPr="00FF74D7">
              <w:rPr>
                <w:rFonts w:cstheme="minorBidi"/>
                <w:sz w:val="18"/>
              </w:rPr>
              <w:t>Y</w:t>
            </w:r>
          </w:p>
        </w:tc>
        <w:tc>
          <w:tcPr>
            <w:tcW w:w="1003" w:type="dxa"/>
            <w:shd w:val="clear" w:color="auto" w:fill="auto"/>
            <w:vAlign w:val="center"/>
          </w:tcPr>
          <w:p w:rsidR="000D53EA" w:rsidRDefault="009C76E5">
            <w:pPr>
              <w:spacing w:before="0" w:after="0"/>
              <w:jc w:val="left"/>
              <w:rPr>
                <w:rFonts w:cstheme="minorBidi"/>
                <w:sz w:val="18"/>
              </w:rPr>
            </w:pPr>
            <w:r w:rsidRPr="00FF74D7">
              <w:rPr>
                <w:rFonts w:cstheme="minorBidi"/>
                <w:sz w:val="18"/>
              </w:rPr>
              <w:t>-</w:t>
            </w:r>
          </w:p>
        </w:tc>
        <w:tc>
          <w:tcPr>
            <w:tcW w:w="1039" w:type="dxa"/>
          </w:tcPr>
          <w:p w:rsidR="000D53EA" w:rsidRDefault="009C76E5">
            <w:pPr>
              <w:spacing w:before="0" w:after="0"/>
              <w:jc w:val="left"/>
              <w:rPr>
                <w:rFonts w:cstheme="minorBidi"/>
                <w:sz w:val="18"/>
              </w:rPr>
            </w:pPr>
            <w:r w:rsidRPr="00FF74D7">
              <w:rPr>
                <w:rFonts w:cstheme="minorBidi"/>
                <w:sz w:val="18"/>
              </w:rPr>
              <w:t>-</w:t>
            </w:r>
          </w:p>
        </w:tc>
        <w:tc>
          <w:tcPr>
            <w:tcW w:w="1039" w:type="dxa"/>
          </w:tcPr>
          <w:p w:rsidR="000D53EA" w:rsidRDefault="009C76E5">
            <w:pPr>
              <w:spacing w:before="0" w:after="0"/>
              <w:jc w:val="left"/>
              <w:rPr>
                <w:rFonts w:cstheme="minorBidi"/>
                <w:sz w:val="18"/>
              </w:rPr>
            </w:pPr>
            <w:r w:rsidRPr="00FF74D7">
              <w:rPr>
                <w:rFonts w:cstheme="minorBidi"/>
                <w:sz w:val="18"/>
              </w:rPr>
              <w:t>-</w:t>
            </w:r>
          </w:p>
        </w:tc>
      </w:tr>
      <w:tr w:rsidR="009C76E5" w:rsidRPr="00FF74D7" w:rsidTr="009C76E5">
        <w:trPr>
          <w:trHeight w:val="280"/>
        </w:trPr>
        <w:tc>
          <w:tcPr>
            <w:tcW w:w="2316" w:type="dxa"/>
            <w:shd w:val="clear" w:color="auto" w:fill="auto"/>
            <w:noWrap/>
            <w:vAlign w:val="center"/>
          </w:tcPr>
          <w:p w:rsidR="009C76E5" w:rsidRPr="00FF74D7" w:rsidRDefault="009C76E5" w:rsidP="00A35633">
            <w:pPr>
              <w:spacing w:before="0" w:after="0"/>
              <w:jc w:val="left"/>
              <w:rPr>
                <w:rFonts w:cstheme="minorBidi"/>
                <w:sz w:val="18"/>
              </w:rPr>
            </w:pPr>
            <w:r w:rsidRPr="00FF74D7">
              <w:rPr>
                <w:rFonts w:cstheme="minorBidi"/>
                <w:sz w:val="18"/>
              </w:rPr>
              <w:t>Chlordane</w:t>
            </w:r>
          </w:p>
        </w:tc>
        <w:tc>
          <w:tcPr>
            <w:tcW w:w="1397" w:type="dxa"/>
            <w:shd w:val="clear" w:color="auto" w:fill="auto"/>
            <w:noWrap/>
            <w:vAlign w:val="center"/>
          </w:tcPr>
          <w:p w:rsidR="000D53EA" w:rsidRDefault="009C76E5">
            <w:pPr>
              <w:spacing w:before="0" w:after="0"/>
              <w:jc w:val="left"/>
              <w:rPr>
                <w:rFonts w:cstheme="minorBidi"/>
                <w:sz w:val="18"/>
              </w:rPr>
            </w:pPr>
            <w:r w:rsidRPr="00FF74D7">
              <w:rPr>
                <w:rFonts w:cstheme="minorBidi"/>
                <w:sz w:val="18"/>
              </w:rPr>
              <w:t>Y</w:t>
            </w:r>
          </w:p>
        </w:tc>
        <w:tc>
          <w:tcPr>
            <w:tcW w:w="1003" w:type="dxa"/>
            <w:shd w:val="clear" w:color="auto" w:fill="auto"/>
            <w:vAlign w:val="center"/>
          </w:tcPr>
          <w:p w:rsidR="000D53EA" w:rsidRDefault="009C76E5">
            <w:pPr>
              <w:spacing w:before="0" w:after="0"/>
              <w:jc w:val="left"/>
              <w:rPr>
                <w:rFonts w:cstheme="minorBidi"/>
                <w:sz w:val="18"/>
              </w:rPr>
            </w:pPr>
            <w:r w:rsidRPr="00FF74D7">
              <w:rPr>
                <w:rFonts w:cstheme="minorBidi"/>
                <w:sz w:val="18"/>
              </w:rPr>
              <w:t>Y</w:t>
            </w:r>
          </w:p>
        </w:tc>
        <w:tc>
          <w:tcPr>
            <w:tcW w:w="1039" w:type="dxa"/>
          </w:tcPr>
          <w:p w:rsidR="000D53EA" w:rsidRDefault="009C76E5">
            <w:pPr>
              <w:spacing w:before="0" w:after="0"/>
              <w:jc w:val="left"/>
              <w:rPr>
                <w:rFonts w:cstheme="minorBidi"/>
                <w:sz w:val="18"/>
              </w:rPr>
            </w:pPr>
            <w:r w:rsidRPr="00FF74D7">
              <w:rPr>
                <w:rFonts w:cstheme="minorBidi"/>
                <w:sz w:val="18"/>
              </w:rPr>
              <w:t>-</w:t>
            </w:r>
          </w:p>
        </w:tc>
        <w:tc>
          <w:tcPr>
            <w:tcW w:w="1039" w:type="dxa"/>
          </w:tcPr>
          <w:p w:rsidR="000D53EA" w:rsidRDefault="009C76E5">
            <w:pPr>
              <w:spacing w:before="0" w:after="0"/>
              <w:jc w:val="left"/>
              <w:rPr>
                <w:rFonts w:cstheme="minorBidi"/>
                <w:sz w:val="18"/>
              </w:rPr>
            </w:pPr>
            <w:r w:rsidRPr="00FF74D7">
              <w:rPr>
                <w:rFonts w:cstheme="minorBidi"/>
                <w:sz w:val="18"/>
              </w:rPr>
              <w:t>-</w:t>
            </w:r>
          </w:p>
        </w:tc>
      </w:tr>
      <w:tr w:rsidR="009C76E5" w:rsidRPr="00FF74D7" w:rsidTr="009C76E5">
        <w:trPr>
          <w:trHeight w:val="280"/>
        </w:trPr>
        <w:tc>
          <w:tcPr>
            <w:tcW w:w="2316" w:type="dxa"/>
            <w:shd w:val="clear" w:color="auto" w:fill="auto"/>
            <w:noWrap/>
            <w:vAlign w:val="center"/>
          </w:tcPr>
          <w:p w:rsidR="009C76E5" w:rsidRPr="00FF74D7" w:rsidRDefault="009C76E5" w:rsidP="00A35633">
            <w:pPr>
              <w:spacing w:before="0" w:after="0"/>
              <w:jc w:val="left"/>
              <w:rPr>
                <w:rFonts w:cstheme="minorBidi"/>
                <w:sz w:val="18"/>
              </w:rPr>
            </w:pPr>
            <w:r w:rsidRPr="00FF74D7">
              <w:rPr>
                <w:rFonts w:cstheme="minorBidi"/>
                <w:sz w:val="18"/>
              </w:rPr>
              <w:t>Total dioxins</w:t>
            </w:r>
          </w:p>
        </w:tc>
        <w:tc>
          <w:tcPr>
            <w:tcW w:w="1397" w:type="dxa"/>
            <w:shd w:val="clear" w:color="auto" w:fill="auto"/>
            <w:noWrap/>
            <w:vAlign w:val="center"/>
          </w:tcPr>
          <w:p w:rsidR="000D53EA" w:rsidRDefault="009C76E5">
            <w:pPr>
              <w:spacing w:before="0" w:after="0"/>
              <w:jc w:val="left"/>
              <w:rPr>
                <w:rFonts w:cstheme="minorBidi"/>
                <w:sz w:val="18"/>
              </w:rPr>
            </w:pPr>
            <w:r w:rsidRPr="00FF74D7">
              <w:rPr>
                <w:rFonts w:cstheme="minorBidi"/>
                <w:sz w:val="18"/>
              </w:rPr>
              <w:t>-</w:t>
            </w:r>
          </w:p>
        </w:tc>
        <w:tc>
          <w:tcPr>
            <w:tcW w:w="1003" w:type="dxa"/>
            <w:shd w:val="clear" w:color="auto" w:fill="auto"/>
            <w:vAlign w:val="center"/>
          </w:tcPr>
          <w:p w:rsidR="000D53EA" w:rsidRDefault="009C76E5">
            <w:pPr>
              <w:spacing w:before="0" w:after="0"/>
              <w:jc w:val="left"/>
              <w:rPr>
                <w:rFonts w:cstheme="minorBidi"/>
                <w:sz w:val="18"/>
              </w:rPr>
            </w:pPr>
            <w:r w:rsidRPr="00FF74D7">
              <w:rPr>
                <w:rFonts w:cstheme="minorBidi"/>
                <w:sz w:val="18"/>
              </w:rPr>
              <w:t>-</w:t>
            </w:r>
          </w:p>
        </w:tc>
        <w:tc>
          <w:tcPr>
            <w:tcW w:w="1039" w:type="dxa"/>
          </w:tcPr>
          <w:p w:rsidR="000D53EA" w:rsidRDefault="009C76E5">
            <w:pPr>
              <w:spacing w:before="0" w:after="0"/>
              <w:jc w:val="left"/>
              <w:rPr>
                <w:rFonts w:cstheme="minorBidi"/>
                <w:sz w:val="18"/>
              </w:rPr>
            </w:pPr>
            <w:r w:rsidRPr="00FF74D7">
              <w:rPr>
                <w:rFonts w:cstheme="minorBidi"/>
                <w:sz w:val="18"/>
              </w:rPr>
              <w:t>-</w:t>
            </w:r>
          </w:p>
        </w:tc>
        <w:tc>
          <w:tcPr>
            <w:tcW w:w="1039" w:type="dxa"/>
          </w:tcPr>
          <w:p w:rsidR="000D53EA" w:rsidRDefault="009C76E5">
            <w:pPr>
              <w:spacing w:before="0" w:after="0"/>
              <w:jc w:val="left"/>
              <w:rPr>
                <w:rFonts w:cstheme="minorBidi"/>
                <w:sz w:val="18"/>
              </w:rPr>
            </w:pPr>
            <w:r w:rsidRPr="00FF74D7">
              <w:rPr>
                <w:rFonts w:cstheme="minorBidi"/>
                <w:sz w:val="18"/>
              </w:rPr>
              <w:t>-</w:t>
            </w:r>
          </w:p>
        </w:tc>
      </w:tr>
    </w:tbl>
    <w:p w:rsidR="000D53EA" w:rsidRDefault="009C76E5">
      <w:pPr>
        <w:spacing w:before="0" w:after="0"/>
        <w:jc w:val="left"/>
        <w:rPr>
          <w:sz w:val="16"/>
        </w:rPr>
      </w:pPr>
      <w:r w:rsidRPr="00FF74D7">
        <w:rPr>
          <w:sz w:val="16"/>
        </w:rPr>
        <w:t>Notes:</w:t>
      </w:r>
      <w:r w:rsidRPr="00FF74D7">
        <w:rPr>
          <w:sz w:val="16"/>
        </w:rPr>
        <w:tab/>
        <w:t xml:space="preserve">1) WA includes DDT </w:t>
      </w:r>
      <w:proofErr w:type="spellStart"/>
      <w:r w:rsidRPr="00FF74D7">
        <w:rPr>
          <w:sz w:val="16"/>
        </w:rPr>
        <w:t>analogs</w:t>
      </w:r>
      <w:proofErr w:type="spellEnd"/>
    </w:p>
    <w:p w:rsidR="000D53EA" w:rsidRDefault="009C76E5">
      <w:pPr>
        <w:spacing w:before="0" w:after="0"/>
        <w:ind w:firstLine="720"/>
        <w:jc w:val="left"/>
        <w:rPr>
          <w:sz w:val="16"/>
        </w:rPr>
      </w:pPr>
      <w:r w:rsidRPr="00FF74D7">
        <w:rPr>
          <w:sz w:val="16"/>
        </w:rPr>
        <w:t>2) Vic doesn’t have a limit for BHC</w:t>
      </w:r>
    </w:p>
    <w:p w:rsidR="000D53EA" w:rsidRDefault="003E66C5">
      <w:pPr>
        <w:jc w:val="left"/>
      </w:pPr>
      <w:r>
        <w:t xml:space="preserve">Of particular interest is the draft </w:t>
      </w:r>
      <w:proofErr w:type="spellStart"/>
      <w:r>
        <w:t>Biosolids</w:t>
      </w:r>
      <w:proofErr w:type="spellEnd"/>
      <w:r>
        <w:t xml:space="preserve"> Guidelines developed by the South Australian EPA in conjunction with the National </w:t>
      </w:r>
      <w:proofErr w:type="spellStart"/>
      <w:r>
        <w:t>Biosolids</w:t>
      </w:r>
      <w:proofErr w:type="spellEnd"/>
      <w:r>
        <w:t xml:space="preserve"> Research Program which proposes to regulate only 6 compounds, as shown above. This decision was made following a review of the levels of contaminants in </w:t>
      </w:r>
      <w:proofErr w:type="spellStart"/>
      <w:r>
        <w:t>biosolids</w:t>
      </w:r>
      <w:proofErr w:type="spellEnd"/>
      <w:r>
        <w:t xml:space="preserve"> and the potential risk these contaminants posed to human and environmental health.</w:t>
      </w:r>
    </w:p>
    <w:p w:rsidR="000D53EA" w:rsidRDefault="00662774">
      <w:pPr>
        <w:pStyle w:val="Heading2"/>
        <w:jc w:val="left"/>
      </w:pPr>
      <w:bookmarkStart w:id="73" w:name="_Toc326747485"/>
      <w:r>
        <w:t>Australian Standards</w:t>
      </w:r>
      <w:r w:rsidR="00927A1A">
        <w:t>, Best practice and specifications</w:t>
      </w:r>
      <w:bookmarkEnd w:id="73"/>
    </w:p>
    <w:p w:rsidR="000D53EA" w:rsidRDefault="00927A1A">
      <w:pPr>
        <w:jc w:val="left"/>
      </w:pPr>
      <w:r>
        <w:t xml:space="preserve">There are no Australian Standards applying to </w:t>
      </w:r>
      <w:proofErr w:type="spellStart"/>
      <w:r>
        <w:t>biosolids</w:t>
      </w:r>
      <w:proofErr w:type="spellEnd"/>
      <w:r>
        <w:t xml:space="preserve"> use, however the </w:t>
      </w:r>
      <w:r w:rsidRPr="00927A1A">
        <w:rPr>
          <w:lang w:val="en-US"/>
        </w:rPr>
        <w:t>Aus</w:t>
      </w:r>
      <w:r>
        <w:rPr>
          <w:lang w:val="en-US"/>
        </w:rPr>
        <w:t>tralian Standard AS 4454 (2003) for</w:t>
      </w:r>
      <w:r w:rsidRPr="00927A1A">
        <w:rPr>
          <w:lang w:val="en-US"/>
        </w:rPr>
        <w:t xml:space="preserve"> Composts</w:t>
      </w:r>
      <w:r>
        <w:rPr>
          <w:lang w:val="en-US"/>
        </w:rPr>
        <w:t xml:space="preserve">, Soil Conditioners and Mulches references the </w:t>
      </w:r>
      <w:proofErr w:type="spellStart"/>
      <w:r>
        <w:rPr>
          <w:lang w:val="en-US"/>
        </w:rPr>
        <w:t>biosolids</w:t>
      </w:r>
      <w:proofErr w:type="spellEnd"/>
      <w:r>
        <w:rPr>
          <w:lang w:val="en-US"/>
        </w:rPr>
        <w:t xml:space="preserve"> guidelines. This reference to the </w:t>
      </w:r>
      <w:proofErr w:type="spellStart"/>
      <w:r>
        <w:rPr>
          <w:lang w:val="en-US"/>
        </w:rPr>
        <w:t>biosolids</w:t>
      </w:r>
      <w:proofErr w:type="spellEnd"/>
      <w:r>
        <w:rPr>
          <w:lang w:val="en-US"/>
        </w:rPr>
        <w:t xml:space="preserve"> guidelines has far reaching implications as it implies that composted products must be controlled in the same manner as </w:t>
      </w:r>
      <w:proofErr w:type="spellStart"/>
      <w:r>
        <w:rPr>
          <w:lang w:val="en-US"/>
        </w:rPr>
        <w:t>biosolids</w:t>
      </w:r>
      <w:proofErr w:type="spellEnd"/>
      <w:r>
        <w:rPr>
          <w:lang w:val="en-US"/>
        </w:rPr>
        <w:t>. This means that restrictions due to contaminants and nutrients apply to compost. Arguably this restriction is inconsistent with the concept of a composted product, which is intended to be suitable for unrestricted use.</w:t>
      </w:r>
    </w:p>
    <w:p w:rsidR="000D53EA" w:rsidRDefault="00927A1A">
      <w:pPr>
        <w:jc w:val="left"/>
      </w:pPr>
      <w:r>
        <w:t xml:space="preserve">There are no best practice manuals or specifications relating to </w:t>
      </w:r>
      <w:proofErr w:type="spellStart"/>
      <w:r>
        <w:t>biosolids</w:t>
      </w:r>
      <w:proofErr w:type="spellEnd"/>
      <w:r>
        <w:t>.</w:t>
      </w:r>
    </w:p>
    <w:p w:rsidR="000D53EA" w:rsidRDefault="00662774" w:rsidP="00926C91">
      <w:pPr>
        <w:pStyle w:val="Heading2"/>
        <w:keepLines/>
        <w:jc w:val="left"/>
      </w:pPr>
      <w:bookmarkStart w:id="74" w:name="_Toc326747486"/>
      <w:r>
        <w:lastRenderedPageBreak/>
        <w:t>Regulatory trends</w:t>
      </w:r>
      <w:bookmarkEnd w:id="74"/>
    </w:p>
    <w:p w:rsidR="000D53EA" w:rsidRDefault="001C7E31" w:rsidP="00926C91">
      <w:pPr>
        <w:keepLines/>
        <w:jc w:val="left"/>
      </w:pPr>
      <w:r>
        <w:t xml:space="preserve">Regulation of </w:t>
      </w:r>
      <w:proofErr w:type="spellStart"/>
      <w:r>
        <w:t>biosolids</w:t>
      </w:r>
      <w:proofErr w:type="spellEnd"/>
      <w:r>
        <w:t xml:space="preserve"> in Australia is well established and has functioned successfully for around 15 years. In this regard there is not any major impetus from industry or the regulators to change the current guidelines</w:t>
      </w:r>
      <w:r w:rsidR="00A340F6">
        <w:t xml:space="preserve"> (if it </w:t>
      </w:r>
      <w:proofErr w:type="spellStart"/>
      <w:r w:rsidR="00A340F6">
        <w:t>aint</w:t>
      </w:r>
      <w:proofErr w:type="spellEnd"/>
      <w:r w:rsidR="00A340F6">
        <w:t xml:space="preserve"> broke don’t fix it)</w:t>
      </w:r>
      <w:r>
        <w:t xml:space="preserve">. In light of the age of the current guidelines and the outcomes of the National </w:t>
      </w:r>
      <w:proofErr w:type="spellStart"/>
      <w:r>
        <w:t>Biosolids</w:t>
      </w:r>
      <w:proofErr w:type="spellEnd"/>
      <w:r>
        <w:t xml:space="preserve"> Research Program, the Victorian and NSW EPA’s have expressed </w:t>
      </w:r>
      <w:proofErr w:type="gramStart"/>
      <w:r>
        <w:t xml:space="preserve">desire to update their </w:t>
      </w:r>
      <w:proofErr w:type="spellStart"/>
      <w:r>
        <w:t>biosolids</w:t>
      </w:r>
      <w:proofErr w:type="spellEnd"/>
      <w:r>
        <w:t xml:space="preserve"> guidelines and</w:t>
      </w:r>
      <w:r w:rsidR="00A340F6">
        <w:t xml:space="preserve"> the</w:t>
      </w:r>
      <w:r>
        <w:t xml:space="preserve"> South Australia</w:t>
      </w:r>
      <w:r w:rsidR="00A340F6">
        <w:t>n</w:t>
      </w:r>
      <w:r>
        <w:t xml:space="preserve"> and Western Australian EPA’s have</w:t>
      </w:r>
      <w:proofErr w:type="gramEnd"/>
      <w:r>
        <w:t xml:space="preserve"> released updated draft guidelines for comment.</w:t>
      </w:r>
    </w:p>
    <w:p w:rsidR="000D53EA" w:rsidRDefault="00A340F6">
      <w:pPr>
        <w:jc w:val="left"/>
      </w:pPr>
      <w:r>
        <w:t xml:space="preserve">From an institutional viewpoint, guideline update is not a high priority across Australia.  The desire to update guidelines is impacted by the political implications arising from the Australian Standards for Compost (AS 4454) and certain conclusions of the National </w:t>
      </w:r>
      <w:proofErr w:type="spellStart"/>
      <w:r>
        <w:t>Biosolids</w:t>
      </w:r>
      <w:proofErr w:type="spellEnd"/>
      <w:r>
        <w:t xml:space="preserve"> Research Program.</w:t>
      </w:r>
    </w:p>
    <w:p w:rsidR="000D53EA" w:rsidRDefault="00A340F6">
      <w:pPr>
        <w:jc w:val="left"/>
      </w:pPr>
      <w:r>
        <w:t xml:space="preserve">The compost industry is strongly opposed to the application of </w:t>
      </w:r>
      <w:proofErr w:type="spellStart"/>
      <w:r>
        <w:t>biosolids</w:t>
      </w:r>
      <w:proofErr w:type="spellEnd"/>
      <w:r>
        <w:t xml:space="preserve"> guidelines to compost. Composted products become significantly more restricted if </w:t>
      </w:r>
      <w:proofErr w:type="spellStart"/>
      <w:r>
        <w:t>biosolids</w:t>
      </w:r>
      <w:proofErr w:type="spellEnd"/>
      <w:r>
        <w:t xml:space="preserve"> guidelines are applied to them. With the current reference in the Australian Compost Standard to </w:t>
      </w:r>
      <w:proofErr w:type="spellStart"/>
      <w:r>
        <w:t>biosolids</w:t>
      </w:r>
      <w:proofErr w:type="spellEnd"/>
      <w:r>
        <w:t xml:space="preserve"> guidelines, any discussion of review of the </w:t>
      </w:r>
      <w:proofErr w:type="spellStart"/>
      <w:r>
        <w:t>biosolids</w:t>
      </w:r>
      <w:proofErr w:type="spellEnd"/>
      <w:r>
        <w:t xml:space="preserve"> guidelines has drawn strong opposition from the compost industry. There is merit in the compost industry’s argument that compost should not be regulated as a </w:t>
      </w:r>
      <w:proofErr w:type="spellStart"/>
      <w:r>
        <w:t>biosolids</w:t>
      </w:r>
      <w:proofErr w:type="spellEnd"/>
      <w:r>
        <w:t xml:space="preserve"> product, even when it contains </w:t>
      </w:r>
      <w:proofErr w:type="spellStart"/>
      <w:r>
        <w:t>biosolids</w:t>
      </w:r>
      <w:proofErr w:type="spellEnd"/>
      <w:r>
        <w:t>.</w:t>
      </w:r>
    </w:p>
    <w:p w:rsidR="000D53EA" w:rsidRDefault="00A340F6">
      <w:pPr>
        <w:jc w:val="left"/>
      </w:pPr>
      <w:r>
        <w:t xml:space="preserve">A number of the outcomes of the National </w:t>
      </w:r>
      <w:proofErr w:type="spellStart"/>
      <w:r>
        <w:t>Biosolids</w:t>
      </w:r>
      <w:proofErr w:type="spellEnd"/>
      <w:r>
        <w:t xml:space="preserve"> Research Program were keenly debated in the industry. Whilst the scientific method of the NBRP is generally considered sound, some conclusions of the research are contested. The contested areas of the NBRP lead to more conservative recommendations of application rates for </w:t>
      </w:r>
      <w:proofErr w:type="spellStart"/>
      <w:r>
        <w:t>biosolids</w:t>
      </w:r>
      <w:proofErr w:type="spellEnd"/>
      <w:r>
        <w:t xml:space="preserve"> in some conditions as a result of the metal content of the </w:t>
      </w:r>
      <w:proofErr w:type="spellStart"/>
      <w:r>
        <w:t>biosolids</w:t>
      </w:r>
      <w:proofErr w:type="spellEnd"/>
      <w:r>
        <w:t xml:space="preserve">. The metals in questions </w:t>
      </w:r>
      <w:r w:rsidR="00371181">
        <w:t>are primarily copper and zinc.</w:t>
      </w:r>
    </w:p>
    <w:p w:rsidR="000D53EA" w:rsidRDefault="00A340F6">
      <w:pPr>
        <w:jc w:val="left"/>
      </w:pPr>
      <w:r>
        <w:t xml:space="preserve">If </w:t>
      </w:r>
      <w:proofErr w:type="spellStart"/>
      <w:r>
        <w:t>biosolids</w:t>
      </w:r>
      <w:proofErr w:type="spellEnd"/>
      <w:r>
        <w:t xml:space="preserve"> application rates are reduced below the </w:t>
      </w:r>
      <w:r w:rsidR="00371181">
        <w:t xml:space="preserve">agronomic nutrient requirements of crops as a result of the newly recommended metals levels this is a significant restriction to </w:t>
      </w:r>
      <w:proofErr w:type="spellStart"/>
      <w:r w:rsidR="00371181">
        <w:t>biosolids</w:t>
      </w:r>
      <w:proofErr w:type="spellEnd"/>
      <w:r w:rsidR="00371181">
        <w:t xml:space="preserve"> use. It will either operate as a pseudo-barrier to application or significantly increase the cost of </w:t>
      </w:r>
      <w:proofErr w:type="spellStart"/>
      <w:r w:rsidR="00371181">
        <w:t>biosolids</w:t>
      </w:r>
      <w:proofErr w:type="spellEnd"/>
      <w:r w:rsidR="00371181">
        <w:t xml:space="preserve"> use. Determining the correct limits for metals application is therefore essential for large parts of the industry to continue to operate successfully.</w:t>
      </w:r>
    </w:p>
    <w:p w:rsidR="000D53EA" w:rsidRDefault="00371181">
      <w:pPr>
        <w:jc w:val="left"/>
      </w:pPr>
      <w:r>
        <w:t xml:space="preserve">The Australian and New Zealand </w:t>
      </w:r>
      <w:proofErr w:type="spellStart"/>
      <w:r>
        <w:t>Biosolids</w:t>
      </w:r>
      <w:proofErr w:type="spellEnd"/>
      <w:r>
        <w:t xml:space="preserve"> Partnership recently undertook a major review of </w:t>
      </w:r>
      <w:proofErr w:type="spellStart"/>
      <w:r>
        <w:t>biosolids</w:t>
      </w:r>
      <w:proofErr w:type="spellEnd"/>
      <w:r>
        <w:t xml:space="preserve"> regulations in Australia and the </w:t>
      </w:r>
      <w:r w:rsidR="005D3A6C">
        <w:t>overarching outcome was that whilst there was no perceived need to change the existing guidelines to protect human health and the environment there would be significant benefit to the industry if guidelines were consistent across Australia.</w:t>
      </w:r>
    </w:p>
    <w:p w:rsidR="000D53EA" w:rsidRDefault="005D3A6C">
      <w:pPr>
        <w:jc w:val="left"/>
      </w:pPr>
      <w:r>
        <w:t xml:space="preserve">With respect to the NWQMS Guideline #13 (ARMCANZ 2004), generally referred to as the National </w:t>
      </w:r>
      <w:proofErr w:type="spellStart"/>
      <w:r>
        <w:t>Biosolids</w:t>
      </w:r>
      <w:proofErr w:type="spellEnd"/>
      <w:r>
        <w:t xml:space="preserve"> Guidelines, the Partnership’s review made no specific recommendations. This was largely due to the nature of </w:t>
      </w:r>
      <w:proofErr w:type="spellStart"/>
      <w:r>
        <w:t>biosolids</w:t>
      </w:r>
      <w:proofErr w:type="spellEnd"/>
      <w:r>
        <w:t xml:space="preserve"> regulation in Australia, i.e. </w:t>
      </w:r>
      <w:proofErr w:type="spellStart"/>
      <w:r w:rsidR="00286CC7">
        <w:t>biosolids</w:t>
      </w:r>
      <w:proofErr w:type="spellEnd"/>
      <w:r w:rsidR="00286CC7">
        <w:t xml:space="preserve"> are</w:t>
      </w:r>
      <w:r>
        <w:t xml:space="preserve"> regulated on a State-basis and therefore the National </w:t>
      </w:r>
      <w:proofErr w:type="spellStart"/>
      <w:r>
        <w:t>Biosolids</w:t>
      </w:r>
      <w:proofErr w:type="spellEnd"/>
      <w:r>
        <w:t xml:space="preserve"> Guidelines are generally not used. In addition the development of the National </w:t>
      </w:r>
      <w:proofErr w:type="spellStart"/>
      <w:r>
        <w:t>Biosolids</w:t>
      </w:r>
      <w:proofErr w:type="spellEnd"/>
      <w:r>
        <w:t xml:space="preserve"> Guidelines was less rigorous and extensive than many of the State guidelines. In practical terms this makes the National </w:t>
      </w:r>
      <w:proofErr w:type="spellStart"/>
      <w:r>
        <w:t>Biosolids</w:t>
      </w:r>
      <w:proofErr w:type="spellEnd"/>
      <w:r>
        <w:t xml:space="preserve"> Guidelines </w:t>
      </w:r>
      <w:r w:rsidR="00FA3D5A">
        <w:t>a reference of last priority for the industry.</w:t>
      </w:r>
    </w:p>
    <w:p w:rsidR="000D53EA" w:rsidRDefault="005D3A6C" w:rsidP="00542F41">
      <w:pPr>
        <w:keepNext/>
        <w:keepLines/>
        <w:jc w:val="left"/>
      </w:pPr>
      <w:r>
        <w:lastRenderedPageBreak/>
        <w:t xml:space="preserve">Other </w:t>
      </w:r>
      <w:r w:rsidR="00371181">
        <w:t xml:space="preserve">key conclusions from </w:t>
      </w:r>
      <w:r>
        <w:t>the review</w:t>
      </w:r>
      <w:r w:rsidR="00371181">
        <w:t xml:space="preserve"> were:</w:t>
      </w:r>
    </w:p>
    <w:p w:rsidR="000D53EA" w:rsidRDefault="00371181" w:rsidP="00542F41">
      <w:pPr>
        <w:pStyle w:val="ListParagraph"/>
        <w:keepLines/>
        <w:numPr>
          <w:ilvl w:val="0"/>
          <w:numId w:val="18"/>
        </w:numPr>
        <w:spacing w:before="120" w:after="120"/>
        <w:ind w:left="924"/>
        <w:contextualSpacing w:val="0"/>
      </w:pPr>
      <w:r>
        <w:t xml:space="preserve">The guidelines of Australia and New Zealand have many inconsistencies from region to region. It is the view of the project team that there is no need for the majority of these inconsistencies to exist. Further it is considered that there is significant benefit to </w:t>
      </w:r>
      <w:proofErr w:type="spellStart"/>
      <w:r>
        <w:t>biosolids</w:t>
      </w:r>
      <w:proofErr w:type="spellEnd"/>
      <w:r>
        <w:t xml:space="preserve"> management in having a consistent approach for all guidelines and that regulators should collaborate with stakeholders to develop such;</w:t>
      </w:r>
    </w:p>
    <w:p w:rsidR="000D53EA" w:rsidRDefault="00371181">
      <w:pPr>
        <w:pStyle w:val="ListParagraph"/>
        <w:numPr>
          <w:ilvl w:val="0"/>
          <w:numId w:val="18"/>
        </w:numPr>
        <w:spacing w:before="120" w:after="120"/>
        <w:ind w:left="924"/>
        <w:contextualSpacing w:val="0"/>
      </w:pPr>
      <w:r>
        <w:t xml:space="preserve">Odour from </w:t>
      </w:r>
      <w:proofErr w:type="spellStart"/>
      <w:r>
        <w:t>biosolids</w:t>
      </w:r>
      <w:proofErr w:type="spellEnd"/>
      <w:r>
        <w:t xml:space="preserve"> was considered by the project team as the greatest threat to the long term, sustainable, beneficial use of </w:t>
      </w:r>
      <w:proofErr w:type="spellStart"/>
      <w:r>
        <w:t>biosolids</w:t>
      </w:r>
      <w:proofErr w:type="spellEnd"/>
      <w:r>
        <w:t xml:space="preserve"> because of its potential negative impact on public perception. The project team considers that the vector attraction reduction requirements in all current guidelines are inadequate in some aspects to reduce the odour potential of </w:t>
      </w:r>
      <w:proofErr w:type="spellStart"/>
      <w:r>
        <w:t>biosolids</w:t>
      </w:r>
      <w:proofErr w:type="spellEnd"/>
      <w:r>
        <w:t xml:space="preserve"> and require further research and optimisation;</w:t>
      </w:r>
    </w:p>
    <w:p w:rsidR="000D53EA" w:rsidRDefault="00371181">
      <w:pPr>
        <w:pStyle w:val="ListParagraph"/>
        <w:numPr>
          <w:ilvl w:val="0"/>
          <w:numId w:val="18"/>
        </w:numPr>
        <w:spacing w:before="120" w:after="120"/>
        <w:ind w:left="924"/>
        <w:contextualSpacing w:val="0"/>
      </w:pPr>
      <w:r>
        <w:t xml:space="preserve">All guidelines in Australia, New Zealand and the USA have the same basic structure in that they set standards for contaminant </w:t>
      </w:r>
      <w:r w:rsidR="00542F41">
        <w:t>levels</w:t>
      </w:r>
      <w:r>
        <w:t>, pathogen and vector attraction reduction</w:t>
      </w:r>
      <w:r w:rsidR="00542F41">
        <w:t>,</w:t>
      </w:r>
      <w:r>
        <w:t xml:space="preserve"> management practices and sampling and reporting requirements. The EU Sludge Directive does not have specific requirements for management practices and sampling and reporting requirements;</w:t>
      </w:r>
    </w:p>
    <w:p w:rsidR="000D53EA" w:rsidRDefault="00371181">
      <w:pPr>
        <w:pStyle w:val="ListParagraph"/>
        <w:numPr>
          <w:ilvl w:val="0"/>
          <w:numId w:val="18"/>
        </w:numPr>
        <w:spacing w:before="120" w:after="120"/>
        <w:ind w:left="924"/>
        <w:contextualSpacing w:val="0"/>
      </w:pPr>
      <w:r>
        <w:t xml:space="preserve">The Australian and New Zealand guidelines were developed with the primary aim of protecting the quality of grain and livestock products which are exported.  The EU and </w:t>
      </w:r>
      <w:proofErr w:type="gramStart"/>
      <w:r>
        <w:t>US</w:t>
      </w:r>
      <w:proofErr w:type="gramEnd"/>
      <w:r>
        <w:t xml:space="preserve"> regulations were developed with the primary aim of protecting human health. As a result the Australian and New Zealand guidelines are significantly more stringent than the European and US regulations</w:t>
      </w:r>
    </w:p>
    <w:p w:rsidR="000D53EA" w:rsidRDefault="00371181">
      <w:pPr>
        <w:jc w:val="left"/>
      </w:pPr>
      <w:r>
        <w:t xml:space="preserve">The report also made a series of recommendations for development of future </w:t>
      </w:r>
      <w:proofErr w:type="spellStart"/>
      <w:r>
        <w:t>biosolids</w:t>
      </w:r>
      <w:proofErr w:type="spellEnd"/>
      <w:r>
        <w:t xml:space="preserve"> guidelines in Australia. These focussed on gaining greater consistency, incorporating the latest science and using a more performance based approach to regulation. These recommendations are repeated below:</w:t>
      </w:r>
    </w:p>
    <w:p w:rsidR="000D53EA" w:rsidRDefault="00371181">
      <w:pPr>
        <w:pStyle w:val="ListParagraph"/>
        <w:numPr>
          <w:ilvl w:val="0"/>
          <w:numId w:val="19"/>
        </w:numPr>
        <w:spacing w:before="120" w:after="120"/>
        <w:ind w:left="714" w:hanging="714"/>
        <w:contextualSpacing w:val="0"/>
      </w:pPr>
      <w:r>
        <w:t xml:space="preserve">Guidelines across Australia and New Zealand should be consistent in the limits and controls set on </w:t>
      </w:r>
      <w:proofErr w:type="spellStart"/>
      <w:r>
        <w:t>biosolids</w:t>
      </w:r>
      <w:proofErr w:type="spellEnd"/>
      <w:r>
        <w:t xml:space="preserve"> use;</w:t>
      </w:r>
    </w:p>
    <w:p w:rsidR="000D53EA" w:rsidRDefault="00371181">
      <w:pPr>
        <w:pStyle w:val="ListParagraph"/>
        <w:numPr>
          <w:ilvl w:val="0"/>
          <w:numId w:val="19"/>
        </w:numPr>
        <w:spacing w:before="120" w:after="120"/>
        <w:ind w:left="714" w:hanging="714"/>
        <w:contextualSpacing w:val="0"/>
      </w:pPr>
      <w:r>
        <w:t>Guidelines should be based on sound science with a proportionate risk basis;</w:t>
      </w:r>
    </w:p>
    <w:p w:rsidR="000D53EA" w:rsidRDefault="00371181">
      <w:pPr>
        <w:pStyle w:val="ListParagraph"/>
        <w:numPr>
          <w:ilvl w:val="0"/>
          <w:numId w:val="19"/>
        </w:numPr>
        <w:spacing w:before="120" w:after="120"/>
        <w:ind w:left="714" w:hanging="714"/>
        <w:contextualSpacing w:val="0"/>
      </w:pPr>
      <w:r>
        <w:t xml:space="preserve">Guidelines should be based around sustainable </w:t>
      </w:r>
      <w:proofErr w:type="spellStart"/>
      <w:r>
        <w:t>biosolids</w:t>
      </w:r>
      <w:proofErr w:type="spellEnd"/>
      <w:r>
        <w:t xml:space="preserve"> use;</w:t>
      </w:r>
    </w:p>
    <w:p w:rsidR="000D53EA" w:rsidRDefault="00371181">
      <w:pPr>
        <w:pStyle w:val="ListParagraph"/>
        <w:numPr>
          <w:ilvl w:val="0"/>
          <w:numId w:val="19"/>
        </w:numPr>
        <w:spacing w:before="120" w:after="120"/>
        <w:ind w:left="714" w:hanging="714"/>
        <w:contextualSpacing w:val="0"/>
      </w:pPr>
      <w:r>
        <w:t xml:space="preserve">The current guideline structure which addresses contaminant and pathogen levels in </w:t>
      </w:r>
      <w:proofErr w:type="spellStart"/>
      <w:r>
        <w:t>biosolids</w:t>
      </w:r>
      <w:proofErr w:type="spellEnd"/>
      <w:r>
        <w:t xml:space="preserve"> along with management practices and sampling and reporting requirements should be maintained;</w:t>
      </w:r>
    </w:p>
    <w:p w:rsidR="000D53EA" w:rsidRDefault="00371181">
      <w:pPr>
        <w:pStyle w:val="ListParagraph"/>
        <w:numPr>
          <w:ilvl w:val="0"/>
          <w:numId w:val="19"/>
        </w:numPr>
        <w:spacing w:before="120" w:after="120"/>
        <w:ind w:left="714" w:hanging="714"/>
        <w:contextualSpacing w:val="0"/>
      </w:pPr>
      <w:r>
        <w:t xml:space="preserve">Vector attractant reduction standards should be significantly improved with a focus to reducing the odour potential of </w:t>
      </w:r>
      <w:proofErr w:type="spellStart"/>
      <w:r>
        <w:t>biosolids</w:t>
      </w:r>
      <w:proofErr w:type="spellEnd"/>
      <w:r>
        <w:t>;</w:t>
      </w:r>
    </w:p>
    <w:p w:rsidR="000D53EA" w:rsidRDefault="00371181">
      <w:pPr>
        <w:pStyle w:val="ListParagraph"/>
        <w:numPr>
          <w:ilvl w:val="0"/>
          <w:numId w:val="19"/>
        </w:numPr>
        <w:spacing w:before="120" w:after="120"/>
        <w:ind w:left="714" w:hanging="714"/>
        <w:contextualSpacing w:val="0"/>
      </w:pPr>
      <w:r>
        <w:t xml:space="preserve">The list of regulated compounds should be reviewed and can be significantly reduced for most circumstances. In the view of the project team not more than the six compounds need regular monitoring (cadmium, copper, chromium, zinc, chlordane and </w:t>
      </w:r>
      <w:proofErr w:type="spellStart"/>
      <w:r>
        <w:t>dieldrin</w:t>
      </w:r>
      <w:proofErr w:type="spellEnd"/>
      <w:r>
        <w:t>) and possibly only four (cadmium, copper, chromium and zinc);</w:t>
      </w:r>
    </w:p>
    <w:p w:rsidR="000D53EA" w:rsidRDefault="00371181">
      <w:pPr>
        <w:pStyle w:val="ListParagraph"/>
        <w:numPr>
          <w:ilvl w:val="0"/>
          <w:numId w:val="19"/>
        </w:numPr>
        <w:spacing w:before="120" w:after="120"/>
        <w:ind w:left="714" w:hanging="714"/>
        <w:contextualSpacing w:val="0"/>
      </w:pPr>
      <w:r>
        <w:t xml:space="preserve">The guideline should have only two contaminant grades A and B with any </w:t>
      </w:r>
      <w:proofErr w:type="spellStart"/>
      <w:r>
        <w:t>biosolids</w:t>
      </w:r>
      <w:proofErr w:type="spellEnd"/>
      <w:r>
        <w:t xml:space="preserve"> unsuitable for use or ungraded remaining unclassified;</w:t>
      </w:r>
    </w:p>
    <w:p w:rsidR="000D53EA" w:rsidRDefault="00371181">
      <w:pPr>
        <w:pStyle w:val="ListParagraph"/>
        <w:numPr>
          <w:ilvl w:val="0"/>
          <w:numId w:val="19"/>
        </w:numPr>
        <w:spacing w:before="120" w:after="120"/>
        <w:ind w:left="714" w:hanging="714"/>
        <w:contextualSpacing w:val="0"/>
      </w:pPr>
      <w:r>
        <w:lastRenderedPageBreak/>
        <w:t>Contaminant levels for each of the contaminant grades should be updated in line with current international, Australian and New Zealand research experience</w:t>
      </w:r>
      <w:r w:rsidR="0095180F">
        <w:t>;</w:t>
      </w:r>
    </w:p>
    <w:p w:rsidR="000D53EA" w:rsidRDefault="00371181">
      <w:pPr>
        <w:pStyle w:val="ListParagraph"/>
        <w:numPr>
          <w:ilvl w:val="0"/>
          <w:numId w:val="19"/>
        </w:numPr>
        <w:spacing w:before="120" w:after="120"/>
        <w:ind w:left="714" w:hanging="714"/>
        <w:contextualSpacing w:val="0"/>
      </w:pPr>
      <w:r>
        <w:t>The guideline should have only two pathogen grades A and B with any un</w:t>
      </w:r>
      <w:r w:rsidR="0095180F">
        <w:noBreakHyphen/>
      </w:r>
      <w:proofErr w:type="spellStart"/>
      <w:r>
        <w:t>stabilised</w:t>
      </w:r>
      <w:proofErr w:type="spellEnd"/>
      <w:r>
        <w:t xml:space="preserve"> or ungraded </w:t>
      </w:r>
      <w:proofErr w:type="spellStart"/>
      <w:r>
        <w:t>biosolids</w:t>
      </w:r>
      <w:proofErr w:type="spellEnd"/>
      <w:r>
        <w:t xml:space="preserve"> remaining unclassified. The highest level of pathogen treatment should be equal to the National </w:t>
      </w:r>
      <w:r w:rsidR="00BE6D10">
        <w:t>G</w:t>
      </w:r>
      <w:r>
        <w:t>uidelines P1 level. The Grade B pathogen level should be based on a 99% reduction in pathogen levels. Terminology used across ANZ should be consistent;</w:t>
      </w:r>
    </w:p>
    <w:p w:rsidR="000D53EA" w:rsidRDefault="00371181">
      <w:pPr>
        <w:pStyle w:val="ListParagraph"/>
        <w:numPr>
          <w:ilvl w:val="0"/>
          <w:numId w:val="19"/>
        </w:numPr>
        <w:spacing w:before="120" w:after="120"/>
        <w:ind w:left="714" w:hanging="714"/>
        <w:contextualSpacing w:val="0"/>
      </w:pPr>
      <w:r>
        <w:t xml:space="preserve">Pathogen reduction requirements should be performance-based as opposed to process-based with the </w:t>
      </w:r>
      <w:proofErr w:type="spellStart"/>
      <w:r>
        <w:t>helminth</w:t>
      </w:r>
      <w:proofErr w:type="spellEnd"/>
      <w:r>
        <w:t xml:space="preserve"> criteria removed. The requirement to prove pathogen destruction performance of unknown processes should be retained;</w:t>
      </w:r>
    </w:p>
    <w:p w:rsidR="000D53EA" w:rsidRDefault="00371181">
      <w:pPr>
        <w:pStyle w:val="ListParagraph"/>
        <w:numPr>
          <w:ilvl w:val="0"/>
          <w:numId w:val="19"/>
        </w:numPr>
        <w:spacing w:before="120" w:after="120"/>
        <w:ind w:left="714" w:hanging="714"/>
        <w:contextualSpacing w:val="0"/>
      </w:pPr>
      <w:r>
        <w:t xml:space="preserve">Sampling requirements should be streamlined where it can be demonstrated higher quality </w:t>
      </w:r>
      <w:proofErr w:type="spellStart"/>
      <w:r>
        <w:t>biosolids</w:t>
      </w:r>
      <w:proofErr w:type="spellEnd"/>
      <w:r>
        <w:t xml:space="preserve"> are produced which do not exceed certain ‘trigger’ levels of regulated chemicals;</w:t>
      </w:r>
    </w:p>
    <w:p w:rsidR="000D53EA" w:rsidRDefault="00371181">
      <w:pPr>
        <w:pStyle w:val="ListParagraph"/>
        <w:numPr>
          <w:ilvl w:val="0"/>
          <w:numId w:val="19"/>
        </w:numPr>
        <w:spacing w:before="120" w:after="120"/>
        <w:ind w:left="714" w:hanging="714"/>
        <w:contextualSpacing w:val="0"/>
      </w:pPr>
      <w:r>
        <w:t>Guidelines should recognise the need for accountability to the community as well as statutory reporting requirements. As a result, initial screening of a broader range of contaminants and intermittent monitoring of unregulated compounds should be carried out where appropriate on a semi-regular basis (say, annually) and inform the need for which compounds should be subject to ongoing analysis;</w:t>
      </w:r>
    </w:p>
    <w:p w:rsidR="000D53EA" w:rsidRDefault="00371181">
      <w:pPr>
        <w:pStyle w:val="ListParagraph"/>
        <w:numPr>
          <w:ilvl w:val="0"/>
          <w:numId w:val="19"/>
        </w:numPr>
        <w:spacing w:before="120" w:after="120"/>
        <w:ind w:left="714" w:hanging="714"/>
        <w:contextualSpacing w:val="0"/>
      </w:pPr>
      <w:r>
        <w:t>Management restrictions and guidance should be reduced and be more performance-based rather than descriptive (e.g. instead of limiting storage time at the farm, rely on a performance objective for prevention of fly strike, odour, groundwater pollution or the like);</w:t>
      </w:r>
    </w:p>
    <w:p w:rsidR="000D53EA" w:rsidRDefault="00371181">
      <w:pPr>
        <w:pStyle w:val="ListParagraph"/>
        <w:numPr>
          <w:ilvl w:val="0"/>
          <w:numId w:val="19"/>
        </w:numPr>
        <w:spacing w:before="120" w:after="120"/>
        <w:ind w:left="714" w:hanging="714"/>
        <w:contextualSpacing w:val="0"/>
      </w:pPr>
      <w:r>
        <w:t>Allowable end uses and associated controls should be rationalised on the basis of practicality and operating experience gained over the past 20 years.</w:t>
      </w:r>
    </w:p>
    <w:p w:rsidR="00F00529" w:rsidRDefault="00F00529" w:rsidP="00A35633">
      <w:pPr>
        <w:spacing w:before="0" w:after="0"/>
        <w:jc w:val="left"/>
        <w:rPr>
          <w:b/>
          <w:caps/>
          <w:kern w:val="28"/>
          <w:sz w:val="28"/>
        </w:rPr>
      </w:pPr>
      <w:r>
        <w:br w:type="page"/>
      </w:r>
    </w:p>
    <w:p w:rsidR="000D53EA" w:rsidRDefault="00337CA3">
      <w:pPr>
        <w:pStyle w:val="Heading1"/>
        <w:jc w:val="left"/>
      </w:pPr>
      <w:bookmarkStart w:id="75" w:name="_Toc326747487"/>
      <w:r>
        <w:lastRenderedPageBreak/>
        <w:t>Market barriers</w:t>
      </w:r>
      <w:r w:rsidR="00C76BBA">
        <w:t>/risks</w:t>
      </w:r>
      <w:r>
        <w:t xml:space="preserve"> and opportunities</w:t>
      </w:r>
      <w:bookmarkEnd w:id="75"/>
    </w:p>
    <w:p w:rsidR="000D53EA" w:rsidRDefault="00C76BBA">
      <w:pPr>
        <w:pStyle w:val="Heading2"/>
        <w:jc w:val="left"/>
      </w:pPr>
      <w:bookmarkStart w:id="76" w:name="_Toc326747488"/>
      <w:r>
        <w:t>Market barriers/risks</w:t>
      </w:r>
      <w:bookmarkEnd w:id="76"/>
    </w:p>
    <w:p w:rsidR="000D53EA" w:rsidRDefault="00C76BBA">
      <w:pPr>
        <w:jc w:val="left"/>
      </w:pPr>
      <w:r>
        <w:t xml:space="preserve">The key barriers to a high level of sustainable </w:t>
      </w:r>
      <w:proofErr w:type="spellStart"/>
      <w:r>
        <w:t>biosolids</w:t>
      </w:r>
      <w:proofErr w:type="spellEnd"/>
      <w:r>
        <w:t xml:space="preserve"> use are discussed briefly below.</w:t>
      </w:r>
      <w:r w:rsidR="00CA147A">
        <w:t xml:space="preserve"> In terms of the community and the environment the overall risk of </w:t>
      </w:r>
      <w:proofErr w:type="spellStart"/>
      <w:r w:rsidR="00CA147A">
        <w:t>biosolids</w:t>
      </w:r>
      <w:proofErr w:type="spellEnd"/>
      <w:r w:rsidR="00CA147A">
        <w:t xml:space="preserve"> use is extremely low. Health and environmental impacts associated with </w:t>
      </w:r>
      <w:proofErr w:type="spellStart"/>
      <w:r w:rsidR="00CA147A">
        <w:t>biosolids</w:t>
      </w:r>
      <w:proofErr w:type="spellEnd"/>
      <w:r w:rsidR="00CA147A">
        <w:t xml:space="preserve"> are few and minor and the body of scientific research supports the position that </w:t>
      </w:r>
      <w:proofErr w:type="spellStart"/>
      <w:r w:rsidR="00CA147A">
        <w:t>biosolids</w:t>
      </w:r>
      <w:proofErr w:type="spellEnd"/>
      <w:r w:rsidR="00CA147A">
        <w:t xml:space="preserve"> used in accordance with the re</w:t>
      </w:r>
      <w:r w:rsidR="00184B27">
        <w:t>gulations are</w:t>
      </w:r>
      <w:r w:rsidR="00CA147A">
        <w:t xml:space="preserve"> safe.</w:t>
      </w:r>
    </w:p>
    <w:p w:rsidR="000D53EA" w:rsidRDefault="00F00529">
      <w:pPr>
        <w:pStyle w:val="Heading3"/>
        <w:jc w:val="left"/>
      </w:pPr>
      <w:bookmarkStart w:id="77" w:name="_Toc326747489"/>
      <w:proofErr w:type="spellStart"/>
      <w:r>
        <w:t>Biosolids</w:t>
      </w:r>
      <w:proofErr w:type="spellEnd"/>
      <w:r>
        <w:t xml:space="preserve"> health and environment risks</w:t>
      </w:r>
      <w:bookmarkEnd w:id="77"/>
    </w:p>
    <w:p w:rsidR="000D53EA" w:rsidRDefault="00A20A5F">
      <w:pPr>
        <w:jc w:val="left"/>
      </w:pPr>
      <w:r>
        <w:t>Researchers</w:t>
      </w:r>
      <w:r w:rsidRPr="00992F76">
        <w:t xml:space="preserve"> and regulators have concluded that “application of </w:t>
      </w:r>
      <w:proofErr w:type="spellStart"/>
      <w:r w:rsidRPr="00992F76">
        <w:t>biosolids</w:t>
      </w:r>
      <w:proofErr w:type="spellEnd"/>
      <w:r w:rsidRPr="00992F76">
        <w:t xml:space="preserve"> on agricultural land is safe, provided the guidelines are followed” (WEAO, 2001), and cite studies showing that there </w:t>
      </w:r>
      <w:r>
        <w:t>are</w:t>
      </w:r>
      <w:r w:rsidRPr="00992F76">
        <w:t xml:space="preserve"> no </w:t>
      </w:r>
      <w:r>
        <w:t xml:space="preserve">significant </w:t>
      </w:r>
      <w:r w:rsidRPr="00992F76">
        <w:t xml:space="preserve">health effects from living on farms receiving </w:t>
      </w:r>
      <w:proofErr w:type="spellStart"/>
      <w:r w:rsidRPr="00992F76">
        <w:t>biosolids</w:t>
      </w:r>
      <w:proofErr w:type="spellEnd"/>
      <w:r w:rsidRPr="00992F76">
        <w:t xml:space="preserve">. </w:t>
      </w:r>
      <w:r>
        <w:t xml:space="preserve">Further, </w:t>
      </w:r>
      <w:proofErr w:type="spellStart"/>
      <w:r>
        <w:t>b</w:t>
      </w:r>
      <w:r w:rsidRPr="00992F76">
        <w:t>iosolids</w:t>
      </w:r>
      <w:proofErr w:type="spellEnd"/>
      <w:r w:rsidRPr="00992F76">
        <w:t xml:space="preserve"> are beneficial to soils in terms of structure, water holding and microbial population (</w:t>
      </w:r>
      <w:proofErr w:type="spellStart"/>
      <w:r w:rsidRPr="00992F76">
        <w:t>Tenenbaum</w:t>
      </w:r>
      <w:proofErr w:type="spellEnd"/>
      <w:r w:rsidRPr="00992F76">
        <w:t>, 1997)</w:t>
      </w:r>
      <w:r>
        <w:t xml:space="preserve"> and provide a useful alternative to inorganic fertilisers</w:t>
      </w:r>
      <w:r w:rsidRPr="00992F76">
        <w:t>.</w:t>
      </w:r>
    </w:p>
    <w:p w:rsidR="000D53EA" w:rsidRDefault="00A20A5F">
      <w:pPr>
        <w:jc w:val="left"/>
      </w:pPr>
      <w:r w:rsidRPr="00992F76">
        <w:t xml:space="preserve">The US EPA concluded more cautiously, “that there is no documented scientific evidence that sewage sludge regulations have failed to protect public health” </w:t>
      </w:r>
      <w:bookmarkStart w:id="78" w:name="OLE_LINK2"/>
      <w:bookmarkStart w:id="79" w:name="OLE_LINK3"/>
      <w:r w:rsidRPr="00992F76">
        <w:t>(USEPA, 2003)</w:t>
      </w:r>
      <w:bookmarkEnd w:id="78"/>
      <w:bookmarkEnd w:id="79"/>
      <w:r w:rsidRPr="00992F76">
        <w:t xml:space="preserve">.  However, in response to concerns raised by the National Research Council, the EPA identified areas requiring further investigations and risk assessment, particularly regarding </w:t>
      </w:r>
      <w:r w:rsidR="00C97D00">
        <w:t xml:space="preserve">pathogens and </w:t>
      </w:r>
      <w:r w:rsidRPr="00992F76">
        <w:t>a specific list of 15 chemicals (USEPA, 2003).</w:t>
      </w:r>
    </w:p>
    <w:p w:rsidR="000D53EA" w:rsidRDefault="009C76E5">
      <w:pPr>
        <w:jc w:val="left"/>
      </w:pPr>
      <w:r>
        <w:t>Since 1990, around 1</w:t>
      </w:r>
      <w:r w:rsidR="00184B27">
        <w:t xml:space="preserve"> billion tonnes of </w:t>
      </w:r>
      <w:proofErr w:type="spellStart"/>
      <w:r w:rsidR="00184B27">
        <w:t>biosolids</w:t>
      </w:r>
      <w:proofErr w:type="spellEnd"/>
      <w:r w:rsidR="00184B27">
        <w:t xml:space="preserve"> have</w:t>
      </w:r>
      <w:r>
        <w:t xml:space="preserve"> been applied to agricultural land in Australia, the EU and USA without significant adverse impact.</w:t>
      </w:r>
    </w:p>
    <w:p w:rsidR="000D53EA" w:rsidRDefault="009C76E5">
      <w:pPr>
        <w:jc w:val="left"/>
      </w:pPr>
      <w:r>
        <w:t>When considering regulated compounds</w:t>
      </w:r>
      <w:r w:rsidR="003E66C5">
        <w:t xml:space="preserve"> there is a substantial body of scientific evidence which defines the behaviour of these compounds and hence allows accurate definition of safe levels, such as set out in the various </w:t>
      </w:r>
      <w:proofErr w:type="spellStart"/>
      <w:r w:rsidR="003E66C5">
        <w:t>biosolids</w:t>
      </w:r>
      <w:proofErr w:type="spellEnd"/>
      <w:r w:rsidR="003E66C5">
        <w:t xml:space="preserve"> guidelines. Research and anecdotal evidence support that the levels stipulated in the various </w:t>
      </w:r>
      <w:proofErr w:type="spellStart"/>
      <w:r w:rsidR="003E66C5">
        <w:t>biosolids</w:t>
      </w:r>
      <w:proofErr w:type="spellEnd"/>
      <w:r w:rsidR="003E66C5">
        <w:t xml:space="preserve"> guidelines are adequate to protect human health, produce quality and the environment.</w:t>
      </w:r>
    </w:p>
    <w:p w:rsidR="000D53EA" w:rsidRDefault="009C76E5">
      <w:pPr>
        <w:jc w:val="left"/>
      </w:pPr>
      <w:r>
        <w:t xml:space="preserve">When considering potential impacts of chemicals in </w:t>
      </w:r>
      <w:proofErr w:type="spellStart"/>
      <w:r>
        <w:t>biosolids</w:t>
      </w:r>
      <w:proofErr w:type="spellEnd"/>
      <w:r>
        <w:t xml:space="preserve"> it is important to think of the way in which people and animals may be exposed. The worst exposure route for humans is by direct contact with </w:t>
      </w:r>
      <w:proofErr w:type="spellStart"/>
      <w:r>
        <w:t>biosolids</w:t>
      </w:r>
      <w:proofErr w:type="spellEnd"/>
      <w:r>
        <w:t>.</w:t>
      </w:r>
      <w:r w:rsidR="00A27DE5">
        <w:t xml:space="preserve"> </w:t>
      </w:r>
      <w:r>
        <w:t xml:space="preserve">Indirect exposure poses a far lower risk. Another important consideration is that many of the chemicals of concern in </w:t>
      </w:r>
      <w:proofErr w:type="spellStart"/>
      <w:r>
        <w:t>biosolids</w:t>
      </w:r>
      <w:proofErr w:type="spellEnd"/>
      <w:r>
        <w:t xml:space="preserve"> come from household products such as detergent, shampoo, soap, cleaners, etc which are used every day and which people apply directly to themselves. Other chemicals arise mainly as a result of atmospheric deposition. Exposure to these types of chemicals through </w:t>
      </w:r>
      <w:proofErr w:type="spellStart"/>
      <w:r w:rsidR="00286CC7">
        <w:t>biosolids</w:t>
      </w:r>
      <w:proofErr w:type="spellEnd"/>
      <w:r w:rsidR="00286CC7">
        <w:t xml:space="preserve"> </w:t>
      </w:r>
      <w:r w:rsidR="00F63D2F">
        <w:t>is</w:t>
      </w:r>
      <w:r>
        <w:t xml:space="preserve"> therefore negligible when compared to the overall exposure a person may have.</w:t>
      </w:r>
    </w:p>
    <w:p w:rsidR="000D53EA" w:rsidRDefault="003E66C5">
      <w:pPr>
        <w:jc w:val="left"/>
      </w:pPr>
      <w:r>
        <w:t xml:space="preserve">In addition to the regulated compounds in </w:t>
      </w:r>
      <w:proofErr w:type="spellStart"/>
      <w:r>
        <w:t>biosolids</w:t>
      </w:r>
      <w:proofErr w:type="spellEnd"/>
      <w:r>
        <w:t xml:space="preserve"> there are a broad range of unregulated compounds including endocrine disruptors, poly </w:t>
      </w:r>
      <w:proofErr w:type="spellStart"/>
      <w:r>
        <w:t>brominated</w:t>
      </w:r>
      <w:proofErr w:type="spellEnd"/>
      <w:r>
        <w:t xml:space="preserve"> fire retardants, pharmaceuticals and new compounds which pose a potential threat to the environment and human health. In these cases environmental impact is often more important for persistent chemicals than human health impacts.</w:t>
      </w:r>
    </w:p>
    <w:p w:rsidR="000D53EA" w:rsidRDefault="003E66C5">
      <w:pPr>
        <w:jc w:val="left"/>
      </w:pPr>
      <w:r>
        <w:t xml:space="preserve">By way of example </w:t>
      </w:r>
      <w:proofErr w:type="spellStart"/>
      <w:r>
        <w:t>triclosan</w:t>
      </w:r>
      <w:proofErr w:type="spellEnd"/>
      <w:r>
        <w:t xml:space="preserve">, which is increasingly common in personal care products, is a persistent environmental antibacterial agent. Whilst the concentrations in </w:t>
      </w:r>
      <w:proofErr w:type="spellStart"/>
      <w:r>
        <w:t>biosolids</w:t>
      </w:r>
      <w:proofErr w:type="spellEnd"/>
      <w:r>
        <w:t xml:space="preserve"> are low the increasing use of </w:t>
      </w:r>
      <w:proofErr w:type="spellStart"/>
      <w:r>
        <w:t>triclosan</w:t>
      </w:r>
      <w:proofErr w:type="spellEnd"/>
      <w:r>
        <w:t xml:space="preserve"> and </w:t>
      </w:r>
      <w:r w:rsidR="00580729">
        <w:t xml:space="preserve">its </w:t>
      </w:r>
      <w:r>
        <w:t>persistence raise potential long term concerns primarily about its use, but also about its long term impact.</w:t>
      </w:r>
      <w:r w:rsidR="00580729">
        <w:t xml:space="preserve"> </w:t>
      </w:r>
      <w:proofErr w:type="spellStart"/>
      <w:r w:rsidR="00580729">
        <w:t>Triclosan</w:t>
      </w:r>
      <w:proofErr w:type="spellEnd"/>
      <w:r w:rsidR="00580729">
        <w:t xml:space="preserve"> is not regulated and is not normally measured by water utilities.</w:t>
      </w:r>
    </w:p>
    <w:p w:rsidR="000D53EA" w:rsidRDefault="00580729">
      <w:pPr>
        <w:jc w:val="left"/>
      </w:pPr>
      <w:r>
        <w:lastRenderedPageBreak/>
        <w:t xml:space="preserve">The mitigating factors for </w:t>
      </w:r>
      <w:proofErr w:type="spellStart"/>
      <w:r>
        <w:t>biosolids</w:t>
      </w:r>
      <w:proofErr w:type="spellEnd"/>
      <w:r>
        <w:t xml:space="preserve"> with a compound like </w:t>
      </w:r>
      <w:proofErr w:type="spellStart"/>
      <w:r>
        <w:t>triclosan</w:t>
      </w:r>
      <w:proofErr w:type="spellEnd"/>
      <w:r>
        <w:t xml:space="preserve"> are that levels in </w:t>
      </w:r>
      <w:proofErr w:type="spellStart"/>
      <w:r>
        <w:t>biosolids</w:t>
      </w:r>
      <w:proofErr w:type="spellEnd"/>
      <w:r>
        <w:t xml:space="preserve"> are generally low and when </w:t>
      </w:r>
      <w:proofErr w:type="spellStart"/>
      <w:r w:rsidR="00286CC7">
        <w:t>biosolids</w:t>
      </w:r>
      <w:proofErr w:type="spellEnd"/>
      <w:r w:rsidR="00286CC7">
        <w:t xml:space="preserve"> are</w:t>
      </w:r>
      <w:r>
        <w:t xml:space="preserve"> applied to land it is ploughed into the soil giving a dilution of around 100-150 to one. In addition repeat applications of </w:t>
      </w:r>
      <w:proofErr w:type="spellStart"/>
      <w:r>
        <w:t>biosolids</w:t>
      </w:r>
      <w:proofErr w:type="spellEnd"/>
      <w:r>
        <w:t xml:space="preserve"> are not normal practice and when they do occur </w:t>
      </w:r>
      <w:proofErr w:type="gramStart"/>
      <w:r>
        <w:t>are</w:t>
      </w:r>
      <w:proofErr w:type="gramEnd"/>
      <w:r>
        <w:t xml:space="preserve"> generally separated by 3</w:t>
      </w:r>
      <w:r w:rsidR="000F4B4A">
        <w:t>–</w:t>
      </w:r>
      <w:r>
        <w:t xml:space="preserve">5 years. These factors combine to reduce the potential risk of accumulation and movement of </w:t>
      </w:r>
      <w:proofErr w:type="spellStart"/>
      <w:r>
        <w:t>triclosan</w:t>
      </w:r>
      <w:proofErr w:type="spellEnd"/>
      <w:r>
        <w:t xml:space="preserve"> in and around the application site.</w:t>
      </w:r>
    </w:p>
    <w:p w:rsidR="000D53EA" w:rsidRDefault="00580729">
      <w:pPr>
        <w:jc w:val="left"/>
      </w:pPr>
      <w:r>
        <w:t xml:space="preserve">Overall the risks to human and environmental health from </w:t>
      </w:r>
      <w:proofErr w:type="spellStart"/>
      <w:r>
        <w:t>biosolids</w:t>
      </w:r>
      <w:proofErr w:type="spellEnd"/>
      <w:r>
        <w:t xml:space="preserve"> use are considered to be extremely low. Regulators and the industry support the need for further information and continual monitoring of emerging chemicals of concern to improve understanding and provide greater assurance to end users and the community.</w:t>
      </w:r>
    </w:p>
    <w:p w:rsidR="000D53EA" w:rsidRDefault="00C76BBA">
      <w:pPr>
        <w:pStyle w:val="Heading3"/>
        <w:jc w:val="left"/>
      </w:pPr>
      <w:bookmarkStart w:id="80" w:name="_Toc326747490"/>
      <w:r>
        <w:t>Odour nuisance</w:t>
      </w:r>
      <w:bookmarkEnd w:id="80"/>
    </w:p>
    <w:p w:rsidR="000D53EA" w:rsidRDefault="00286CC7">
      <w:pPr>
        <w:jc w:val="left"/>
      </w:pPr>
      <w:proofErr w:type="spellStart"/>
      <w:r>
        <w:t>Biosolids</w:t>
      </w:r>
      <w:proofErr w:type="spellEnd"/>
      <w:r>
        <w:t xml:space="preserve"> are</w:t>
      </w:r>
      <w:r w:rsidR="008C627F">
        <w:t xml:space="preserve"> by nature odorous. Almost all </w:t>
      </w:r>
      <w:proofErr w:type="spellStart"/>
      <w:r w:rsidR="008C627F">
        <w:t>biosolids</w:t>
      </w:r>
      <w:proofErr w:type="spellEnd"/>
      <w:r w:rsidR="008C627F">
        <w:t xml:space="preserve"> products have a recognisable level of sewage odour. The exception to this are composted products, which have an earth-like odour.</w:t>
      </w:r>
    </w:p>
    <w:p w:rsidR="000D53EA" w:rsidRDefault="008C627F">
      <w:pPr>
        <w:jc w:val="left"/>
      </w:pPr>
      <w:r>
        <w:t xml:space="preserve">The vast majority of objections to </w:t>
      </w:r>
      <w:proofErr w:type="spellStart"/>
      <w:r>
        <w:t>biosolids</w:t>
      </w:r>
      <w:proofErr w:type="spellEnd"/>
      <w:r>
        <w:t xml:space="preserve"> use and processing arise from odour nuisance.  With </w:t>
      </w:r>
      <w:proofErr w:type="spellStart"/>
      <w:r>
        <w:t>biosolids</w:t>
      </w:r>
      <w:proofErr w:type="spellEnd"/>
      <w:r>
        <w:t xml:space="preserve"> the most likely scenario is that odour potential can be minimised but not eliminated. The existing regulatory framework across Australia is however inadequate in setting appropriate standards for low odour potential </w:t>
      </w:r>
      <w:proofErr w:type="spellStart"/>
      <w:r>
        <w:t>biosolids</w:t>
      </w:r>
      <w:proofErr w:type="spellEnd"/>
      <w:r>
        <w:t xml:space="preserve"> and this fact </w:t>
      </w:r>
      <w:proofErr w:type="gramStart"/>
      <w:r>
        <w:t>has</w:t>
      </w:r>
      <w:proofErr w:type="gramEnd"/>
      <w:r>
        <w:t xml:space="preserve"> been recognised by the industry.</w:t>
      </w:r>
    </w:p>
    <w:p w:rsidR="000D53EA" w:rsidRDefault="008C627F">
      <w:pPr>
        <w:jc w:val="left"/>
      </w:pPr>
      <w:r>
        <w:t>Odour incident</w:t>
      </w:r>
      <w:r w:rsidR="0078463A">
        <w:t>s</w:t>
      </w:r>
      <w:r>
        <w:t xml:space="preserve"> create public opposition to </w:t>
      </w:r>
      <w:proofErr w:type="spellStart"/>
      <w:r>
        <w:t>biosolids</w:t>
      </w:r>
      <w:proofErr w:type="spellEnd"/>
      <w:r>
        <w:t xml:space="preserve"> use. It also creates a lower level of trust</w:t>
      </w:r>
      <w:r w:rsidR="00CA147A">
        <w:t>,</w:t>
      </w:r>
      <w:r>
        <w:t xml:space="preserve"> as the logic ‘if it smells bad it must be dangerous’ </w:t>
      </w:r>
      <w:r w:rsidR="0078463A">
        <w:t xml:space="preserve">appears to apply to community response. </w:t>
      </w:r>
      <w:r>
        <w:t xml:space="preserve">Producing </w:t>
      </w:r>
      <w:proofErr w:type="spellStart"/>
      <w:r>
        <w:t>biosolids</w:t>
      </w:r>
      <w:proofErr w:type="spellEnd"/>
      <w:r>
        <w:t xml:space="preserve"> products with lower odour potential is one of the most effective ways of reducing</w:t>
      </w:r>
      <w:r w:rsidR="0078463A">
        <w:t xml:space="preserve"> opposition to </w:t>
      </w:r>
      <w:proofErr w:type="spellStart"/>
      <w:r w:rsidR="0078463A">
        <w:t>biosolids</w:t>
      </w:r>
      <w:proofErr w:type="spellEnd"/>
      <w:r w:rsidR="0078463A">
        <w:t xml:space="preserve"> use.</w:t>
      </w:r>
    </w:p>
    <w:p w:rsidR="000D53EA" w:rsidRDefault="00C76BBA">
      <w:pPr>
        <w:pStyle w:val="Heading3"/>
        <w:jc w:val="left"/>
      </w:pPr>
      <w:bookmarkStart w:id="81" w:name="_Toc326747491"/>
      <w:r>
        <w:t>Public perception</w:t>
      </w:r>
      <w:bookmarkEnd w:id="81"/>
      <w:r>
        <w:t xml:space="preserve"> </w:t>
      </w:r>
    </w:p>
    <w:p w:rsidR="000D53EA" w:rsidRDefault="0078463A">
      <w:pPr>
        <w:jc w:val="left"/>
      </w:pPr>
      <w:r>
        <w:t xml:space="preserve">Public perception to </w:t>
      </w:r>
      <w:proofErr w:type="spellStart"/>
      <w:r>
        <w:t>biosolids</w:t>
      </w:r>
      <w:proofErr w:type="spellEnd"/>
      <w:r>
        <w:t xml:space="preserve"> has been researched in some detail by the Australian and New Zealand </w:t>
      </w:r>
      <w:proofErr w:type="spellStart"/>
      <w:r>
        <w:t>Biosolids</w:t>
      </w:r>
      <w:proofErr w:type="spellEnd"/>
      <w:r>
        <w:t xml:space="preserve"> Partnership’s Community Attitudinal Survey. This work highlighted the following key points:</w:t>
      </w:r>
    </w:p>
    <w:p w:rsidR="0078463A" w:rsidRDefault="0078463A" w:rsidP="00A35633">
      <w:pPr>
        <w:pStyle w:val="ListParagraph"/>
        <w:numPr>
          <w:ilvl w:val="0"/>
          <w:numId w:val="15"/>
        </w:numPr>
      </w:pPr>
      <w:r>
        <w:t>the public is averse to odour;</w:t>
      </w:r>
    </w:p>
    <w:p w:rsidR="0078463A" w:rsidRDefault="0078463A" w:rsidP="00A35633">
      <w:pPr>
        <w:pStyle w:val="ListParagraph"/>
        <w:numPr>
          <w:ilvl w:val="0"/>
          <w:numId w:val="15"/>
        </w:numPr>
      </w:pPr>
      <w:r>
        <w:t>bad odour is perceived by the public as high health risk;</w:t>
      </w:r>
    </w:p>
    <w:p w:rsidR="0078463A" w:rsidRDefault="0078463A" w:rsidP="00A35633">
      <w:pPr>
        <w:pStyle w:val="ListParagraph"/>
        <w:numPr>
          <w:ilvl w:val="0"/>
          <w:numId w:val="15"/>
        </w:numPr>
      </w:pPr>
      <w:r>
        <w:t xml:space="preserve">the public generally supports recycling and </w:t>
      </w:r>
      <w:proofErr w:type="spellStart"/>
      <w:r>
        <w:t>biosolids</w:t>
      </w:r>
      <w:proofErr w:type="spellEnd"/>
      <w:r>
        <w:t xml:space="preserve"> use;</w:t>
      </w:r>
    </w:p>
    <w:p w:rsidR="0078463A" w:rsidRDefault="0078463A" w:rsidP="00A35633">
      <w:pPr>
        <w:pStyle w:val="ListParagraph"/>
        <w:numPr>
          <w:ilvl w:val="0"/>
          <w:numId w:val="15"/>
        </w:numPr>
      </w:pPr>
      <w:r>
        <w:t xml:space="preserve">most people accept that </w:t>
      </w:r>
      <w:proofErr w:type="spellStart"/>
      <w:r>
        <w:t>biosolids</w:t>
      </w:r>
      <w:proofErr w:type="spellEnd"/>
      <w:r>
        <w:t xml:space="preserve"> use in agriculture is a good thing;</w:t>
      </w:r>
    </w:p>
    <w:p w:rsidR="0078463A" w:rsidRDefault="0078463A" w:rsidP="00A35633">
      <w:pPr>
        <w:pStyle w:val="ListParagraph"/>
        <w:numPr>
          <w:ilvl w:val="0"/>
          <w:numId w:val="15"/>
        </w:numPr>
      </w:pPr>
      <w:proofErr w:type="gramStart"/>
      <w:r>
        <w:t>the</w:t>
      </w:r>
      <w:proofErr w:type="gramEnd"/>
      <w:r>
        <w:t xml:space="preserve"> general public is less concerned about </w:t>
      </w:r>
      <w:proofErr w:type="spellStart"/>
      <w:r>
        <w:t>biosolids</w:t>
      </w:r>
      <w:proofErr w:type="spellEnd"/>
      <w:r>
        <w:t xml:space="preserve"> than people working in the industry perceive they are.</w:t>
      </w:r>
    </w:p>
    <w:p w:rsidR="000D53EA" w:rsidRDefault="0078463A">
      <w:pPr>
        <w:jc w:val="left"/>
      </w:pPr>
      <w:r>
        <w:t xml:space="preserve">Public perception is therefore a key risk to </w:t>
      </w:r>
      <w:proofErr w:type="spellStart"/>
      <w:r>
        <w:t>biosolids</w:t>
      </w:r>
      <w:proofErr w:type="spellEnd"/>
      <w:r>
        <w:t xml:space="preserve"> </w:t>
      </w:r>
      <w:proofErr w:type="gramStart"/>
      <w:r>
        <w:t>use,</w:t>
      </w:r>
      <w:proofErr w:type="gramEnd"/>
      <w:r>
        <w:t xml:space="preserve"> however the public is generally quite supportive of appropriate </w:t>
      </w:r>
      <w:proofErr w:type="spellStart"/>
      <w:r>
        <w:t>biosolids</w:t>
      </w:r>
      <w:proofErr w:type="spellEnd"/>
      <w:r>
        <w:t xml:space="preserve"> use.</w:t>
      </w:r>
    </w:p>
    <w:p w:rsidR="000D53EA" w:rsidRDefault="00C76BBA">
      <w:pPr>
        <w:pStyle w:val="Heading3"/>
        <w:jc w:val="left"/>
      </w:pPr>
      <w:bookmarkStart w:id="82" w:name="_Toc326747492"/>
      <w:r>
        <w:t>Distance to markets</w:t>
      </w:r>
      <w:bookmarkEnd w:id="82"/>
    </w:p>
    <w:p w:rsidR="000D53EA" w:rsidRDefault="0078463A">
      <w:pPr>
        <w:jc w:val="left"/>
      </w:pPr>
      <w:r>
        <w:t xml:space="preserve">A key barrier to </w:t>
      </w:r>
      <w:proofErr w:type="spellStart"/>
      <w:r>
        <w:t>biosolids</w:t>
      </w:r>
      <w:proofErr w:type="spellEnd"/>
      <w:r>
        <w:t xml:space="preserve"> use is the distance to the beneficial use markets. Most </w:t>
      </w:r>
      <w:proofErr w:type="spellStart"/>
      <w:r w:rsidR="00286CC7">
        <w:t>biosolids</w:t>
      </w:r>
      <w:proofErr w:type="spellEnd"/>
      <w:r w:rsidR="00286CC7">
        <w:t xml:space="preserve"> are</w:t>
      </w:r>
      <w:r>
        <w:t xml:space="preserve"> produced in the cities and the most common use for </w:t>
      </w:r>
      <w:proofErr w:type="spellStart"/>
      <w:r w:rsidR="00286CC7">
        <w:t>biosolids</w:t>
      </w:r>
      <w:proofErr w:type="spellEnd"/>
      <w:r w:rsidR="00286CC7">
        <w:t xml:space="preserve"> </w:t>
      </w:r>
      <w:r w:rsidR="00F63D2F">
        <w:t>is</w:t>
      </w:r>
      <w:r>
        <w:t xml:space="preserve"> in </w:t>
      </w:r>
      <w:r w:rsidR="00082FC6">
        <w:t xml:space="preserve">broad acre </w:t>
      </w:r>
      <w:r>
        <w:t>agriculture.  Typical transport distances are 200</w:t>
      </w:r>
      <w:r w:rsidR="000F4B4A">
        <w:t>–</w:t>
      </w:r>
      <w:r>
        <w:t>300 km from point of ge</w:t>
      </w:r>
      <w:r w:rsidR="00893F8D">
        <w:t>neration to end use destination for the major population centres of Australia.</w:t>
      </w:r>
    </w:p>
    <w:p w:rsidR="000D53EA" w:rsidRDefault="00893F8D" w:rsidP="00FE7169">
      <w:pPr>
        <w:keepLines/>
        <w:jc w:val="left"/>
      </w:pPr>
      <w:r>
        <w:lastRenderedPageBreak/>
        <w:t xml:space="preserve">Transport is the most significant </w:t>
      </w:r>
      <w:r w:rsidR="00082FC6">
        <w:t>component</w:t>
      </w:r>
      <w:r>
        <w:t xml:space="preserve"> of beneficial use of </w:t>
      </w:r>
      <w:proofErr w:type="spellStart"/>
      <w:r>
        <w:t>biosolids</w:t>
      </w:r>
      <w:proofErr w:type="spellEnd"/>
      <w:r>
        <w:t xml:space="preserve"> and the most energy intensive. However the majority of </w:t>
      </w:r>
      <w:proofErr w:type="spellStart"/>
      <w:r>
        <w:t>biosolids</w:t>
      </w:r>
      <w:proofErr w:type="spellEnd"/>
      <w:r>
        <w:t xml:space="preserve"> production is a significant distance from the largest end use market, agriculture. Agriculture is by far the largest </w:t>
      </w:r>
      <w:proofErr w:type="spellStart"/>
      <w:r>
        <w:t>biosolids</w:t>
      </w:r>
      <w:proofErr w:type="spellEnd"/>
      <w:r>
        <w:t xml:space="preserve"> market and the distance to the market will result in increasingly high cost of beneficial use as fuel prices increase.</w:t>
      </w:r>
    </w:p>
    <w:p w:rsidR="000D53EA" w:rsidRDefault="00C76BBA">
      <w:pPr>
        <w:pStyle w:val="Heading3"/>
        <w:jc w:val="left"/>
      </w:pPr>
      <w:bookmarkStart w:id="83" w:name="_Toc326747493"/>
      <w:r>
        <w:t>Regulatory framework</w:t>
      </w:r>
      <w:bookmarkEnd w:id="83"/>
    </w:p>
    <w:p w:rsidR="000D53EA" w:rsidRDefault="00286CC7">
      <w:pPr>
        <w:jc w:val="left"/>
      </w:pPr>
      <w:proofErr w:type="spellStart"/>
      <w:r>
        <w:t>Biosolids</w:t>
      </w:r>
      <w:proofErr w:type="spellEnd"/>
      <w:r>
        <w:t xml:space="preserve"> are</w:t>
      </w:r>
      <w:r w:rsidR="00893F8D">
        <w:t xml:space="preserve"> regulated independently in each </w:t>
      </w:r>
      <w:r w:rsidR="00BE6D10">
        <w:t>s</w:t>
      </w:r>
      <w:r w:rsidR="00893F8D">
        <w:t xml:space="preserve">tate </w:t>
      </w:r>
      <w:r w:rsidR="008C0AEC">
        <w:t xml:space="preserve">and territory </w:t>
      </w:r>
      <w:r w:rsidR="00893F8D">
        <w:t xml:space="preserve">of Australia.  Whilst sharing some similarities in structure, the State regulations, typically called guidelines, are inconsistent in terminology, content, extent and limitations on </w:t>
      </w:r>
      <w:proofErr w:type="spellStart"/>
      <w:r w:rsidR="00893F8D">
        <w:t>biosolids</w:t>
      </w:r>
      <w:proofErr w:type="spellEnd"/>
      <w:r w:rsidR="00893F8D">
        <w:t xml:space="preserve"> use. Although the guidelines have</w:t>
      </w:r>
      <w:r w:rsidR="0029621A">
        <w:t xml:space="preserve"> been very successful in establishing safe and sustainable </w:t>
      </w:r>
      <w:proofErr w:type="spellStart"/>
      <w:r w:rsidR="0029621A">
        <w:t>biosolids</w:t>
      </w:r>
      <w:proofErr w:type="spellEnd"/>
      <w:r w:rsidR="0029621A">
        <w:t xml:space="preserve"> use in Australia the inconsistencies do not support the continued growth and sustainability of </w:t>
      </w:r>
      <w:proofErr w:type="spellStart"/>
      <w:r w:rsidR="0029621A">
        <w:t>biosolids</w:t>
      </w:r>
      <w:proofErr w:type="spellEnd"/>
      <w:r w:rsidR="0029621A">
        <w:t xml:space="preserve"> in a national sense.</w:t>
      </w:r>
    </w:p>
    <w:p w:rsidR="000D53EA" w:rsidRDefault="0029621A">
      <w:pPr>
        <w:jc w:val="left"/>
      </w:pPr>
      <w:r>
        <w:t xml:space="preserve">All Australian guidelines are lacking in their requirements for reducing odour potential of </w:t>
      </w:r>
      <w:proofErr w:type="spellStart"/>
      <w:r>
        <w:t>biosolids</w:t>
      </w:r>
      <w:proofErr w:type="spellEnd"/>
      <w:r>
        <w:t>. This area of the guidelines needs to be improved in recognition of the importance of reducing odour nuisance and mi</w:t>
      </w:r>
      <w:r w:rsidR="00CA147A">
        <w:t>ni</w:t>
      </w:r>
      <w:r>
        <w:t xml:space="preserve">mising public opposition to </w:t>
      </w:r>
      <w:proofErr w:type="spellStart"/>
      <w:r>
        <w:t>biosolids</w:t>
      </w:r>
      <w:proofErr w:type="spellEnd"/>
      <w:r>
        <w:t xml:space="preserve"> as a result of odour.</w:t>
      </w:r>
    </w:p>
    <w:p w:rsidR="000D53EA" w:rsidRDefault="0029621A">
      <w:pPr>
        <w:jc w:val="left"/>
      </w:pPr>
      <w:r>
        <w:t xml:space="preserve">The National </w:t>
      </w:r>
      <w:proofErr w:type="spellStart"/>
      <w:r>
        <w:t>Biosolids</w:t>
      </w:r>
      <w:proofErr w:type="spellEnd"/>
      <w:r>
        <w:t xml:space="preserve"> Research Program made significant improvements in the approach to regulating cadmium, copper and zinc in </w:t>
      </w:r>
      <w:proofErr w:type="spellStart"/>
      <w:r>
        <w:t>biosolids</w:t>
      </w:r>
      <w:proofErr w:type="spellEnd"/>
      <w:r>
        <w:t xml:space="preserve">. As a result, new recommendations were made as to appropriate </w:t>
      </w:r>
      <w:r w:rsidR="000B3642">
        <w:t>concentrations</w:t>
      </w:r>
      <w:r>
        <w:t xml:space="preserve"> of these metals when applied to agricultural land.</w:t>
      </w:r>
      <w:r w:rsidR="000B3642">
        <w:t xml:space="preserve"> The level of conservatism in setting the appropriate metal concentrations has however been a matter of some debate and it is possible that the concentrations are overly conservative, i.e. too low. It would be of significant benefit to the industry if further research could be undertaken to eliminate any debate around this issue and gain consensus in the industry for the concentrations of these metals which is appropriate.</w:t>
      </w:r>
    </w:p>
    <w:p w:rsidR="000D53EA" w:rsidRDefault="00C76BBA">
      <w:pPr>
        <w:pStyle w:val="Heading3"/>
        <w:jc w:val="left"/>
      </w:pPr>
      <w:bookmarkStart w:id="84" w:name="_Toc326747494"/>
      <w:r>
        <w:t>Policy framework</w:t>
      </w:r>
      <w:bookmarkEnd w:id="84"/>
    </w:p>
    <w:p w:rsidR="000D53EA" w:rsidRDefault="00BE1A21" w:rsidP="004116D3">
      <w:pPr>
        <w:jc w:val="left"/>
      </w:pPr>
      <w:r>
        <w:t xml:space="preserve">In a national policy framework there would be significant benefit in recognising the value of </w:t>
      </w:r>
      <w:proofErr w:type="spellStart"/>
      <w:r>
        <w:t>biosolids</w:t>
      </w:r>
      <w:proofErr w:type="spellEnd"/>
      <w:r>
        <w:t>. Two key areas which are not currently supported by any policy initiative are:</w:t>
      </w:r>
    </w:p>
    <w:p w:rsidR="000D53EA" w:rsidRDefault="00BE1A21" w:rsidP="004116D3">
      <w:pPr>
        <w:pStyle w:val="ListBullet"/>
        <w:jc w:val="left"/>
      </w:pPr>
      <w:r>
        <w:t xml:space="preserve">Carbon benefits. As discussed elsewhere in this report the value of </w:t>
      </w:r>
      <w:proofErr w:type="spellStart"/>
      <w:r>
        <w:t>biosolids</w:t>
      </w:r>
      <w:proofErr w:type="spellEnd"/>
      <w:r>
        <w:t xml:space="preserve"> in terms of carbon is significant. Every tonne of </w:t>
      </w:r>
      <w:proofErr w:type="spellStart"/>
      <w:r>
        <w:t>biosolids</w:t>
      </w:r>
      <w:proofErr w:type="spellEnd"/>
      <w:r>
        <w:t xml:space="preserve"> use can reduce carbon emissions by up to around 2 tonnes of carbon dioxide equivalents.</w:t>
      </w:r>
    </w:p>
    <w:p w:rsidR="000D53EA" w:rsidRDefault="006318FD" w:rsidP="004116D3">
      <w:pPr>
        <w:pStyle w:val="ListBullet"/>
        <w:jc w:val="left"/>
      </w:pPr>
      <w:r>
        <w:t>Agronomic</w:t>
      </w:r>
      <w:r w:rsidR="00BE1A21">
        <w:t xml:space="preserve"> benefits.</w:t>
      </w:r>
      <w:r w:rsidR="004116D3">
        <w:t xml:space="preserve"> </w:t>
      </w:r>
      <w:r w:rsidR="00BE1A21">
        <w:t xml:space="preserve">Research </w:t>
      </w:r>
      <w:r>
        <w:t xml:space="preserve">and anecdotal reports support that the benefits from </w:t>
      </w:r>
      <w:proofErr w:type="spellStart"/>
      <w:r>
        <w:t>biosolids</w:t>
      </w:r>
      <w:proofErr w:type="spellEnd"/>
      <w:r>
        <w:t xml:space="preserve"> use are far greater than the nutrient only benefits of </w:t>
      </w:r>
      <w:proofErr w:type="spellStart"/>
      <w:r>
        <w:t>biosolids</w:t>
      </w:r>
      <w:proofErr w:type="spellEnd"/>
      <w:r>
        <w:t>. It is likely that the combined effect of applying nutrients, trace metals, organic matter and a healthy microbial population give greater benefit to plant growth than nutrients alon</w:t>
      </w:r>
      <w:r w:rsidR="00F76784">
        <w:t>e.</w:t>
      </w:r>
    </w:p>
    <w:p w:rsidR="000D53EA" w:rsidRDefault="00F76784" w:rsidP="004116D3">
      <w:pPr>
        <w:jc w:val="left"/>
      </w:pPr>
      <w:r>
        <w:t xml:space="preserve">The absence of policy support for </w:t>
      </w:r>
      <w:proofErr w:type="spellStart"/>
      <w:r>
        <w:t>biosolids</w:t>
      </w:r>
      <w:proofErr w:type="spellEnd"/>
      <w:r>
        <w:t xml:space="preserve"> limits the development of higher quality </w:t>
      </w:r>
      <w:proofErr w:type="spellStart"/>
      <w:r>
        <w:t>biosolids</w:t>
      </w:r>
      <w:proofErr w:type="spellEnd"/>
      <w:r>
        <w:t xml:space="preserve"> products. A policy platform which gave direct incentives for production of higher quality </w:t>
      </w:r>
      <w:proofErr w:type="spellStart"/>
      <w:r>
        <w:t>biosolids</w:t>
      </w:r>
      <w:proofErr w:type="spellEnd"/>
      <w:r>
        <w:t xml:space="preserve"> products, as opposed to traditional </w:t>
      </w:r>
      <w:proofErr w:type="spellStart"/>
      <w:r>
        <w:t>biosolids</w:t>
      </w:r>
      <w:proofErr w:type="spellEnd"/>
      <w:r>
        <w:t xml:space="preserve"> products, would assist greatly in developing the extent and improving the sustainable performance</w:t>
      </w:r>
      <w:r w:rsidRPr="00F76784">
        <w:t xml:space="preserve"> </w:t>
      </w:r>
      <w:r>
        <w:t>of the industry.</w:t>
      </w:r>
    </w:p>
    <w:p w:rsidR="000D53EA" w:rsidRDefault="00C76BBA" w:rsidP="00D1073C">
      <w:pPr>
        <w:pStyle w:val="Heading3"/>
        <w:keepLines/>
        <w:jc w:val="left"/>
      </w:pPr>
      <w:bookmarkStart w:id="85" w:name="_Toc326747495"/>
      <w:proofErr w:type="spellStart"/>
      <w:r>
        <w:lastRenderedPageBreak/>
        <w:t>Biosolids</w:t>
      </w:r>
      <w:proofErr w:type="spellEnd"/>
      <w:r>
        <w:t xml:space="preserve"> appearance</w:t>
      </w:r>
      <w:bookmarkEnd w:id="85"/>
    </w:p>
    <w:p w:rsidR="000D53EA" w:rsidRDefault="00F76784" w:rsidP="00D1073C">
      <w:pPr>
        <w:keepNext/>
        <w:keepLines/>
        <w:jc w:val="left"/>
      </w:pPr>
      <w:r>
        <w:t xml:space="preserve">Many </w:t>
      </w:r>
      <w:proofErr w:type="spellStart"/>
      <w:r>
        <w:t>biosolids</w:t>
      </w:r>
      <w:proofErr w:type="spellEnd"/>
      <w:r>
        <w:t xml:space="preserve"> products have poor appearance which encourage</w:t>
      </w:r>
      <w:r w:rsidR="00082FC6">
        <w:t>s</w:t>
      </w:r>
      <w:r>
        <w:t xml:space="preserve"> the ‘yuk!’ factor.  Production of </w:t>
      </w:r>
      <w:proofErr w:type="spellStart"/>
      <w:r>
        <w:t>biosolids</w:t>
      </w:r>
      <w:proofErr w:type="spellEnd"/>
      <w:r>
        <w:t xml:space="preserve"> products which are not recognisably of sewage origin is a significant benefit and a barrier which the industry needs to overcome</w:t>
      </w:r>
    </w:p>
    <w:p w:rsidR="000D53EA" w:rsidRDefault="00082FC6">
      <w:pPr>
        <w:jc w:val="left"/>
      </w:pPr>
      <w:r>
        <w:rPr>
          <w:noProof/>
          <w:lang w:eastAsia="en-AU"/>
        </w:rPr>
        <w:drawing>
          <wp:inline distT="0" distB="0" distL="0" distR="0">
            <wp:extent cx="2642471" cy="1730163"/>
            <wp:effectExtent l="25400" t="0" r="0" b="0"/>
            <wp:docPr id="17" name="Picture 3" descr=":::::Administration:marketing:biosolids course:Copy of north head in building p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ministration:marketing:biosolids course:Copy of north head in building pile.jpg"/>
                    <pic:cNvPicPr>
                      <a:picLocks noChangeAspect="1" noChangeArrowheads="1"/>
                    </pic:cNvPicPr>
                  </pic:nvPicPr>
                  <pic:blipFill>
                    <a:blip r:embed="rId19"/>
                    <a:srcRect/>
                    <a:stretch>
                      <a:fillRect/>
                    </a:stretch>
                  </pic:blipFill>
                  <pic:spPr bwMode="auto">
                    <a:xfrm>
                      <a:off x="0" y="0"/>
                      <a:ext cx="2646548" cy="1732833"/>
                    </a:xfrm>
                    <a:prstGeom prst="rect">
                      <a:avLst/>
                    </a:prstGeom>
                    <a:noFill/>
                    <a:ln w="9525">
                      <a:noFill/>
                      <a:miter lim="800000"/>
                      <a:headEnd/>
                      <a:tailEnd/>
                    </a:ln>
                  </pic:spPr>
                </pic:pic>
              </a:graphicData>
            </a:graphic>
          </wp:inline>
        </w:drawing>
      </w:r>
      <w:r>
        <w:tab/>
      </w:r>
      <w:r>
        <w:rPr>
          <w:noProof/>
          <w:lang w:eastAsia="en-AU"/>
        </w:rPr>
        <w:drawing>
          <wp:inline distT="0" distB="0" distL="0" distR="0">
            <wp:extent cx="2324167" cy="17272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mary's dewatered cake (pre screws).jpg"/>
                    <pic:cNvPicPr/>
                  </pic:nvPicPr>
                  <pic:blipFill>
                    <a:blip r:embed="rId3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26323" cy="1728803"/>
                    </a:xfrm>
                    <a:prstGeom prst="rect">
                      <a:avLst/>
                    </a:prstGeom>
                  </pic:spPr>
                </pic:pic>
              </a:graphicData>
            </a:graphic>
          </wp:inline>
        </w:drawing>
      </w:r>
    </w:p>
    <w:p w:rsidR="000D53EA" w:rsidRDefault="00D1073C">
      <w:pPr>
        <w:jc w:val="left"/>
      </w:pPr>
      <w:r>
        <w:t>L</w:t>
      </w:r>
      <w:r w:rsidR="00F00529">
        <w:t xml:space="preserve">ime stabilised </w:t>
      </w:r>
      <w:proofErr w:type="spellStart"/>
      <w:r w:rsidR="00F00529">
        <w:t>biosolids</w:t>
      </w:r>
      <w:proofErr w:type="spellEnd"/>
      <w:r w:rsidR="00F00529">
        <w:tab/>
      </w:r>
      <w:r w:rsidR="00F00529">
        <w:tab/>
      </w:r>
      <w:r w:rsidR="00F00529">
        <w:tab/>
      </w:r>
      <w:r>
        <w:t>D</w:t>
      </w:r>
      <w:r w:rsidR="00F00529">
        <w:t xml:space="preserve">ewatered </w:t>
      </w:r>
      <w:proofErr w:type="spellStart"/>
      <w:r w:rsidR="00F00529">
        <w:t>anaerobically</w:t>
      </w:r>
      <w:proofErr w:type="spellEnd"/>
      <w:r w:rsidR="00F00529">
        <w:t xml:space="preserve"> digested </w:t>
      </w:r>
      <w:proofErr w:type="spellStart"/>
      <w:r w:rsidR="00F00529">
        <w:t>biosolids</w:t>
      </w:r>
      <w:proofErr w:type="spellEnd"/>
    </w:p>
    <w:p w:rsidR="000D53EA" w:rsidRDefault="00C76BBA">
      <w:pPr>
        <w:pStyle w:val="Heading2"/>
        <w:jc w:val="left"/>
      </w:pPr>
      <w:bookmarkStart w:id="86" w:name="_Toc326747496"/>
      <w:r>
        <w:t>Market opportunities</w:t>
      </w:r>
      <w:bookmarkEnd w:id="86"/>
    </w:p>
    <w:p w:rsidR="000D53EA" w:rsidRDefault="00C76BBA">
      <w:pPr>
        <w:jc w:val="left"/>
      </w:pPr>
      <w:r>
        <w:t xml:space="preserve">The key </w:t>
      </w:r>
      <w:r w:rsidR="008C627F">
        <w:t xml:space="preserve">opportunities for </w:t>
      </w:r>
      <w:proofErr w:type="spellStart"/>
      <w:r w:rsidR="008C627F">
        <w:t>biosolids</w:t>
      </w:r>
      <w:proofErr w:type="spellEnd"/>
      <w:r w:rsidR="008C627F">
        <w:t xml:space="preserve"> are discussed below.</w:t>
      </w:r>
    </w:p>
    <w:p w:rsidR="000D53EA" w:rsidRDefault="00662774">
      <w:pPr>
        <w:pStyle w:val="Heading3"/>
        <w:jc w:val="left"/>
      </w:pPr>
      <w:bookmarkStart w:id="87" w:name="_Toc326747497"/>
      <w:r>
        <w:t>Environmental and economic value</w:t>
      </w:r>
      <w:bookmarkEnd w:id="87"/>
    </w:p>
    <w:p w:rsidR="000D53EA" w:rsidRDefault="00CA147A">
      <w:pPr>
        <w:jc w:val="left"/>
      </w:pPr>
      <w:proofErr w:type="spellStart"/>
      <w:r>
        <w:t>Biosolids</w:t>
      </w:r>
      <w:proofErr w:type="spellEnd"/>
      <w:r>
        <w:t xml:space="preserve"> has a significant potential value in terms of the total cost of </w:t>
      </w:r>
      <w:proofErr w:type="spellStart"/>
      <w:r>
        <w:t>biosolids</w:t>
      </w:r>
      <w:proofErr w:type="spellEnd"/>
      <w:r>
        <w:t xml:space="preserve"> management. If this value is realised the cost of </w:t>
      </w:r>
      <w:proofErr w:type="spellStart"/>
      <w:r>
        <w:t>biosolids</w:t>
      </w:r>
      <w:proofErr w:type="spellEnd"/>
      <w:r>
        <w:t xml:space="preserve"> management can be reduced.  Historically </w:t>
      </w:r>
      <w:proofErr w:type="spellStart"/>
      <w:r>
        <w:t>biosolids</w:t>
      </w:r>
      <w:proofErr w:type="spellEnd"/>
      <w:r>
        <w:t xml:space="preserve"> has been treated as a waste product and the current regulatory framework enshrines the concept of waste for many reusable organic products.  Increasingly the community is recognising the value of </w:t>
      </w:r>
      <w:proofErr w:type="spellStart"/>
      <w:r>
        <w:t>biosolids</w:t>
      </w:r>
      <w:proofErr w:type="spellEnd"/>
      <w:r>
        <w:t xml:space="preserve"> and other organic products, particularly in agriculture.</w:t>
      </w:r>
    </w:p>
    <w:p w:rsidR="000D53EA" w:rsidRDefault="00F76784">
      <w:pPr>
        <w:jc w:val="left"/>
      </w:pPr>
      <w:r>
        <w:t xml:space="preserve">Research and anecdotal reports support that the benefits from </w:t>
      </w:r>
      <w:proofErr w:type="spellStart"/>
      <w:r>
        <w:t>biosolids</w:t>
      </w:r>
      <w:proofErr w:type="spellEnd"/>
      <w:r>
        <w:t xml:space="preserve"> use are far greater than the nutrient only benefits of </w:t>
      </w:r>
      <w:proofErr w:type="spellStart"/>
      <w:r>
        <w:t>biosolids</w:t>
      </w:r>
      <w:proofErr w:type="spellEnd"/>
      <w:r>
        <w:t>. It is likely that the combined effect of applying nutrients, trace metals, organic matter and a healthy microbial population give greater benefit to plant growth than nutrients alone.</w:t>
      </w:r>
    </w:p>
    <w:p w:rsidR="000D53EA" w:rsidRDefault="00CA147A">
      <w:pPr>
        <w:jc w:val="left"/>
      </w:pPr>
      <w:r>
        <w:t xml:space="preserve">Recognition and support of the increasing trend to capture the value of </w:t>
      </w:r>
      <w:proofErr w:type="spellStart"/>
      <w:r w:rsidR="00286CC7">
        <w:t>biosolids</w:t>
      </w:r>
      <w:proofErr w:type="spellEnd"/>
      <w:r w:rsidR="00286CC7">
        <w:t xml:space="preserve"> </w:t>
      </w:r>
      <w:r w:rsidR="003979E1">
        <w:t>is</w:t>
      </w:r>
      <w:r>
        <w:t xml:space="preserve"> essential as the industry moves forward.</w:t>
      </w:r>
    </w:p>
    <w:p w:rsidR="000D53EA" w:rsidRDefault="00662774">
      <w:pPr>
        <w:pStyle w:val="Heading3"/>
        <w:jc w:val="left"/>
      </w:pPr>
      <w:bookmarkStart w:id="88" w:name="_Toc326747498"/>
      <w:r>
        <w:t>Reduction in carbon emissions</w:t>
      </w:r>
      <w:bookmarkEnd w:id="88"/>
    </w:p>
    <w:p w:rsidR="000D53EA" w:rsidRDefault="00F76784">
      <w:pPr>
        <w:jc w:val="left"/>
      </w:pPr>
      <w:r>
        <w:t xml:space="preserve">As discussed elsewhere in this report the value of </w:t>
      </w:r>
      <w:proofErr w:type="spellStart"/>
      <w:r>
        <w:t>biosolids</w:t>
      </w:r>
      <w:proofErr w:type="spellEnd"/>
      <w:r>
        <w:t xml:space="preserve"> in terms of carbon is significant.  Every tonne of </w:t>
      </w:r>
      <w:proofErr w:type="spellStart"/>
      <w:r>
        <w:t>biosolids</w:t>
      </w:r>
      <w:proofErr w:type="spellEnd"/>
      <w:r>
        <w:t xml:space="preserve"> use can reduce carbon emissions by up to around 2 tonnes of carbon dioxide equivalents.</w:t>
      </w:r>
      <w:r w:rsidR="000E1D63">
        <w:t xml:space="preserve"> Current practice and regulation still sees a significant amount of </w:t>
      </w:r>
      <w:proofErr w:type="spellStart"/>
      <w:r w:rsidR="000E1D63">
        <w:t>biosolids</w:t>
      </w:r>
      <w:proofErr w:type="spellEnd"/>
      <w:r w:rsidR="000E1D63">
        <w:t xml:space="preserve"> in Australia disposed to landfill and the use of </w:t>
      </w:r>
      <w:proofErr w:type="spellStart"/>
      <w:r w:rsidR="000E1D63">
        <w:t>biosolids</w:t>
      </w:r>
      <w:proofErr w:type="spellEnd"/>
      <w:r w:rsidR="000E1D63">
        <w:t xml:space="preserve"> as a means to reduce greenhouse gas emissions is not recognised by the Australian </w:t>
      </w:r>
      <w:r w:rsidR="00D1073C">
        <w:t>Government climate policy</w:t>
      </w:r>
      <w:r w:rsidR="000E1D63">
        <w:t>.</w:t>
      </w:r>
    </w:p>
    <w:p w:rsidR="000D53EA" w:rsidRDefault="00662774">
      <w:pPr>
        <w:pStyle w:val="Heading3"/>
        <w:jc w:val="left"/>
      </w:pPr>
      <w:bookmarkStart w:id="89" w:name="_Toc326747499"/>
      <w:r>
        <w:t>Reduced reliance on non renewable resources</w:t>
      </w:r>
      <w:bookmarkEnd w:id="89"/>
    </w:p>
    <w:p w:rsidR="000D53EA" w:rsidRDefault="000E1D63">
      <w:pPr>
        <w:jc w:val="left"/>
      </w:pPr>
      <w:r>
        <w:t xml:space="preserve">Use of </w:t>
      </w:r>
      <w:proofErr w:type="spellStart"/>
      <w:r>
        <w:t>biosolids</w:t>
      </w:r>
      <w:proofErr w:type="spellEnd"/>
      <w:r>
        <w:t xml:space="preserve"> as a fertiliser, soil conditioner or soil replacement product reduces the community’s reliance on non-renewable resources. Increased </w:t>
      </w:r>
      <w:proofErr w:type="spellStart"/>
      <w:r>
        <w:t>biosolids</w:t>
      </w:r>
      <w:proofErr w:type="spellEnd"/>
      <w:r>
        <w:t xml:space="preserve"> use will continue to reduce consumption of non-renewable resources.</w:t>
      </w:r>
    </w:p>
    <w:p w:rsidR="000D53EA" w:rsidRDefault="000D53EA">
      <w:pPr>
        <w:jc w:val="left"/>
      </w:pPr>
    </w:p>
    <w:p w:rsidR="00FA3D5A" w:rsidRDefault="00FA3D5A" w:rsidP="00A35633">
      <w:pPr>
        <w:spacing w:before="0" w:after="0"/>
        <w:jc w:val="left"/>
        <w:rPr>
          <w:b/>
          <w:smallCaps/>
          <w:sz w:val="28"/>
        </w:rPr>
      </w:pPr>
      <w:r>
        <w:br w:type="page"/>
      </w:r>
    </w:p>
    <w:p w:rsidR="000D53EA" w:rsidRDefault="00FA3D5A">
      <w:pPr>
        <w:pStyle w:val="Heading1"/>
        <w:jc w:val="left"/>
      </w:pPr>
      <w:bookmarkStart w:id="90" w:name="_Toc326747500"/>
      <w:r w:rsidRPr="00992F76">
        <w:lastRenderedPageBreak/>
        <w:t>References</w:t>
      </w:r>
      <w:bookmarkEnd w:id="90"/>
    </w:p>
    <w:p w:rsidR="000D53EA" w:rsidRDefault="004B4276">
      <w:pPr>
        <w:numPr>
          <w:ilvl w:val="0"/>
          <w:numId w:val="22"/>
        </w:numPr>
        <w:jc w:val="left"/>
      </w:pPr>
      <w:proofErr w:type="spellStart"/>
      <w:r>
        <w:t>Darvodelsky</w:t>
      </w:r>
      <w:proofErr w:type="spellEnd"/>
      <w:r>
        <w:t xml:space="preserve">, P., </w:t>
      </w:r>
      <w:r w:rsidRPr="00FA3D5A">
        <w:rPr>
          <w:i/>
        </w:rPr>
        <w:t xml:space="preserve">Health Risks from </w:t>
      </w:r>
      <w:proofErr w:type="spellStart"/>
      <w:r w:rsidRPr="00FA3D5A">
        <w:rPr>
          <w:i/>
        </w:rPr>
        <w:t>Biosolids</w:t>
      </w:r>
      <w:proofErr w:type="spellEnd"/>
      <w:r w:rsidRPr="00FA3D5A">
        <w:rPr>
          <w:i/>
        </w:rPr>
        <w:t>.  Identifying the Gaps in the Literature.</w:t>
      </w:r>
      <w:r>
        <w:t xml:space="preserve">  Australian Water </w:t>
      </w:r>
      <w:proofErr w:type="spellStart"/>
      <w:r>
        <w:t>Assocation</w:t>
      </w:r>
      <w:proofErr w:type="spellEnd"/>
      <w:r>
        <w:t xml:space="preserve">, </w:t>
      </w:r>
      <w:proofErr w:type="spellStart"/>
      <w:r>
        <w:t>Biosolids</w:t>
      </w:r>
      <w:proofErr w:type="spellEnd"/>
      <w:r>
        <w:t xml:space="preserve"> Speciality Conference, June 2006.</w:t>
      </w:r>
    </w:p>
    <w:p w:rsidR="000D53EA" w:rsidRDefault="00FA3D5A">
      <w:pPr>
        <w:numPr>
          <w:ilvl w:val="0"/>
          <w:numId w:val="22"/>
        </w:numPr>
        <w:jc w:val="left"/>
      </w:pPr>
      <w:proofErr w:type="spellStart"/>
      <w:r w:rsidRPr="00992F76">
        <w:t>Tenenbaum</w:t>
      </w:r>
      <w:proofErr w:type="spellEnd"/>
      <w:r w:rsidRPr="00992F76">
        <w:t xml:space="preserve">, D., </w:t>
      </w:r>
      <w:r w:rsidRPr="00992F76">
        <w:rPr>
          <w:i/>
          <w:iCs/>
        </w:rPr>
        <w:t xml:space="preserve">The beauty of </w:t>
      </w:r>
      <w:proofErr w:type="spellStart"/>
      <w:r w:rsidRPr="00992F76">
        <w:rPr>
          <w:i/>
          <w:iCs/>
        </w:rPr>
        <w:t>biosolids</w:t>
      </w:r>
      <w:proofErr w:type="spellEnd"/>
      <w:r w:rsidRPr="00992F76">
        <w:t>. Environmental Health Journal, 105(1), 1997.</w:t>
      </w:r>
    </w:p>
    <w:p w:rsidR="000D53EA" w:rsidRDefault="00FA3D5A">
      <w:pPr>
        <w:numPr>
          <w:ilvl w:val="0"/>
          <w:numId w:val="22"/>
        </w:numPr>
        <w:jc w:val="left"/>
      </w:pPr>
      <w:r w:rsidRPr="00992F76">
        <w:t xml:space="preserve">United States Environmental Protection Agency, Office of Water, Use and Disposal of </w:t>
      </w:r>
      <w:proofErr w:type="spellStart"/>
      <w:r w:rsidRPr="00992F76">
        <w:t>Biosolids</w:t>
      </w:r>
      <w:proofErr w:type="spellEnd"/>
      <w:r w:rsidRPr="00992F76">
        <w:t xml:space="preserve"> (Sewage Sludge): </w:t>
      </w:r>
      <w:r w:rsidRPr="00992F76">
        <w:rPr>
          <w:i/>
          <w:iCs/>
        </w:rPr>
        <w:t xml:space="preserve">Agency Final Response to the National Research Council Report on </w:t>
      </w:r>
      <w:proofErr w:type="spellStart"/>
      <w:r w:rsidRPr="00992F76">
        <w:rPr>
          <w:i/>
          <w:iCs/>
        </w:rPr>
        <w:t>Biosolids</w:t>
      </w:r>
      <w:proofErr w:type="spellEnd"/>
      <w:r w:rsidRPr="00992F76">
        <w:rPr>
          <w:i/>
          <w:iCs/>
        </w:rPr>
        <w:t xml:space="preserve"> Applied to Land and the Results of the Review of Existing Sewage Sludge Regulations</w:t>
      </w:r>
      <w:r w:rsidRPr="00992F76">
        <w:t>. 4304T, EPA-822-F-03-010, December 2003</w:t>
      </w:r>
    </w:p>
    <w:p w:rsidR="000D53EA" w:rsidRDefault="00FA3D5A">
      <w:pPr>
        <w:numPr>
          <w:ilvl w:val="0"/>
          <w:numId w:val="22"/>
        </w:numPr>
        <w:jc w:val="left"/>
      </w:pPr>
      <w:r w:rsidRPr="00992F76">
        <w:t xml:space="preserve">The Water Environment Association of Ontario, </w:t>
      </w:r>
      <w:r w:rsidRPr="00992F76">
        <w:rPr>
          <w:i/>
          <w:iCs/>
        </w:rPr>
        <w:t xml:space="preserve">Fate and significance of selected contaminants in sewage </w:t>
      </w:r>
      <w:proofErr w:type="spellStart"/>
      <w:r w:rsidRPr="00992F76">
        <w:rPr>
          <w:i/>
          <w:iCs/>
        </w:rPr>
        <w:t>biosolids</w:t>
      </w:r>
      <w:proofErr w:type="spellEnd"/>
      <w:r w:rsidRPr="00992F76">
        <w:rPr>
          <w:i/>
          <w:iCs/>
        </w:rPr>
        <w:t xml:space="preserve"> applied to agricultural land through literature review and consultation with stakeholder groups</w:t>
      </w:r>
      <w:r w:rsidRPr="00992F76">
        <w:t>. April 2001.</w:t>
      </w:r>
    </w:p>
    <w:p w:rsidR="000D53EA" w:rsidRDefault="00FA3D5A">
      <w:pPr>
        <w:numPr>
          <w:ilvl w:val="0"/>
          <w:numId w:val="22"/>
        </w:numPr>
        <w:jc w:val="left"/>
      </w:pPr>
      <w:proofErr w:type="spellStart"/>
      <w:r w:rsidRPr="00992F76">
        <w:t>Biosolids</w:t>
      </w:r>
      <w:proofErr w:type="spellEnd"/>
      <w:r w:rsidRPr="00992F76">
        <w:t xml:space="preserve"> Applied to Land:  Advancing Standards and Practices, National Research Council July 2002</w:t>
      </w:r>
      <w:r>
        <w:t>.</w:t>
      </w:r>
    </w:p>
    <w:p w:rsidR="000D53EA" w:rsidRDefault="00FA3D5A">
      <w:pPr>
        <w:numPr>
          <w:ilvl w:val="0"/>
          <w:numId w:val="22"/>
        </w:numPr>
        <w:jc w:val="left"/>
      </w:pPr>
      <w:r>
        <w:t xml:space="preserve">The Australian and New Zealand </w:t>
      </w:r>
      <w:proofErr w:type="spellStart"/>
      <w:r>
        <w:t>Biosolids</w:t>
      </w:r>
      <w:proofErr w:type="spellEnd"/>
      <w:r>
        <w:t xml:space="preserve"> Partnership, </w:t>
      </w:r>
      <w:proofErr w:type="spellStart"/>
      <w:r w:rsidR="004B4276">
        <w:t>Biosolids</w:t>
      </w:r>
      <w:proofErr w:type="spellEnd"/>
      <w:r w:rsidR="004B4276">
        <w:t xml:space="preserve"> Production in Australia, 2010.</w:t>
      </w:r>
    </w:p>
    <w:p w:rsidR="000D53EA" w:rsidRDefault="00FA3D5A">
      <w:pPr>
        <w:numPr>
          <w:ilvl w:val="0"/>
          <w:numId w:val="22"/>
        </w:numPr>
        <w:jc w:val="left"/>
      </w:pPr>
      <w:r>
        <w:t xml:space="preserve">The Australian and New Zealand </w:t>
      </w:r>
      <w:proofErr w:type="spellStart"/>
      <w:r>
        <w:t>Biosolids</w:t>
      </w:r>
      <w:proofErr w:type="spellEnd"/>
      <w:r>
        <w:t xml:space="preserve"> Partnership, </w:t>
      </w:r>
      <w:r w:rsidR="004B4276">
        <w:t xml:space="preserve">Review of </w:t>
      </w:r>
      <w:proofErr w:type="spellStart"/>
      <w:r w:rsidR="004B4276">
        <w:t>Biosolids</w:t>
      </w:r>
      <w:proofErr w:type="spellEnd"/>
      <w:r w:rsidR="004B4276">
        <w:t xml:space="preserve"> Guidelines, December 2009.</w:t>
      </w:r>
    </w:p>
    <w:p w:rsidR="000D53EA" w:rsidRDefault="000D53EA">
      <w:pPr>
        <w:jc w:val="left"/>
      </w:pPr>
    </w:p>
    <w:sectPr w:rsidR="000D53EA" w:rsidSect="00284D69">
      <w:pgSz w:w="11901" w:h="16817"/>
      <w:pgMar w:top="1418" w:right="1418" w:bottom="1418" w:left="1701" w:header="680" w:footer="680"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D2F" w:rsidRDefault="00F63D2F">
      <w:pPr>
        <w:spacing w:before="0" w:after="0"/>
      </w:pPr>
      <w:r>
        <w:separator/>
      </w:r>
    </w:p>
  </w:endnote>
  <w:endnote w:type="continuationSeparator" w:id="0">
    <w:p w:rsidR="00F63D2F" w:rsidRDefault="00F63D2F">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2020803070505020304"/>
    <w:charset w:val="00"/>
    <w:family w:val="roman"/>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Arial Bold">
    <w:panose1 w:val="020B0704020202020204"/>
    <w:charset w:val="00"/>
    <w:family w:val="auto"/>
    <w:pitch w:val="variable"/>
    <w:sig w:usb0="00000003" w:usb1="00000000" w:usb2="00000000" w:usb3="00000000" w:csb0="00000001" w:csb1="00000000"/>
  </w:font>
  <w:font w:name="MS Minngs">
    <w:altName w:val="MS Mincho"/>
    <w:panose1 w:val="00000000000000000000"/>
    <w:charset w:val="80"/>
    <w:family w:val="roman"/>
    <w:notTrueType/>
    <w:pitch w:val="fixed"/>
    <w:sig w:usb0="00000000" w:usb1="08070000" w:usb2="00000010" w:usb3="00000000" w:csb0="00020000" w:csb1="00000000"/>
  </w:font>
  <w:font w:name="Helvetica Neue CE">
    <w:altName w:val="Helvetica Neue CE"/>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D2F" w:rsidRPr="00FE537F" w:rsidRDefault="00F63D2F" w:rsidP="00FE537F">
    <w:pPr>
      <w:pStyle w:val="Footer"/>
      <w:pBdr>
        <w:top w:val="single" w:sz="4" w:space="1" w:color="auto"/>
      </w:pBdr>
      <w:tabs>
        <w:tab w:val="clear" w:pos="4320"/>
        <w:tab w:val="clear" w:pos="8640"/>
        <w:tab w:val="center" w:pos="4394"/>
        <w:tab w:val="right" w:pos="8789"/>
      </w:tabs>
      <w:spacing w:before="0"/>
      <w:rPr>
        <w:rFonts w:ascii="Arial" w:hAnsi="Arial"/>
        <w:b/>
        <w:sz w:val="18"/>
      </w:rPr>
    </w:pPr>
    <w:proofErr w:type="gramStart"/>
    <w:r>
      <w:rPr>
        <w:rFonts w:ascii="Arial" w:hAnsi="Arial"/>
        <w:b/>
        <w:sz w:val="18"/>
      </w:rPr>
      <w:t>improving</w:t>
    </w:r>
    <w:proofErr w:type="gramEnd"/>
    <w:r w:rsidRPr="00FE537F">
      <w:rPr>
        <w:rFonts w:ascii="Arial" w:hAnsi="Arial"/>
        <w:b/>
        <w:sz w:val="18"/>
      </w:rPr>
      <w:t xml:space="preserve"> our environment</w:t>
    </w:r>
    <w:r w:rsidRPr="00FE537F">
      <w:rPr>
        <w:rFonts w:ascii="Arial" w:hAnsi="Arial"/>
        <w:b/>
        <w:sz w:val="18"/>
      </w:rPr>
      <w:tab/>
      <w:t>Page</w:t>
    </w:r>
    <w:r>
      <w:rPr>
        <w:rFonts w:ascii="Arial" w:hAnsi="Arial"/>
        <w:b/>
        <w:sz w:val="18"/>
      </w:rPr>
      <w:t xml:space="preserve"> </w:t>
    </w:r>
    <w:r w:rsidR="00F14300" w:rsidRPr="00F14300">
      <w:fldChar w:fldCharType="begin"/>
    </w:r>
    <w:r>
      <w:instrText xml:space="preserve"> PAGE  \* MERGEFORMAT </w:instrText>
    </w:r>
    <w:r w:rsidR="00F14300" w:rsidRPr="00F14300">
      <w:fldChar w:fldCharType="separate"/>
    </w:r>
    <w:r w:rsidR="00F80DA0" w:rsidRPr="00F80DA0">
      <w:rPr>
        <w:rFonts w:ascii="Arial" w:hAnsi="Arial"/>
        <w:b/>
        <w:noProof/>
        <w:sz w:val="18"/>
      </w:rPr>
      <w:t>49</w:t>
    </w:r>
    <w:r w:rsidR="00F14300">
      <w:rPr>
        <w:rFonts w:ascii="Arial" w:hAnsi="Arial"/>
        <w:b/>
        <w:noProof/>
        <w:sz w:val="18"/>
      </w:rPr>
      <w:fldChar w:fldCharType="end"/>
    </w:r>
    <w:r w:rsidRPr="00FE537F">
      <w:rPr>
        <w:rFonts w:ascii="Arial" w:hAnsi="Arial"/>
        <w:b/>
        <w:sz w:val="18"/>
      </w:rPr>
      <w:tab/>
    </w:r>
    <w:proofErr w:type="spellStart"/>
    <w:r w:rsidRPr="00FE537F">
      <w:rPr>
        <w:rFonts w:ascii="Arial" w:hAnsi="Arial"/>
        <w:b/>
        <w:sz w:val="18"/>
      </w:rPr>
      <w:t>psd</w:t>
    </w:r>
    <w:proofErr w:type="spellEnd"/>
    <w:r w:rsidRPr="00FE537F">
      <w:rPr>
        <w:rFonts w:ascii="Arial" w:hAnsi="Arial"/>
        <w:b/>
        <w:sz w:val="18"/>
      </w:rPr>
      <w:t xml:space="preserve"> </w:t>
    </w:r>
    <w:proofErr w:type="spellStart"/>
    <w:r w:rsidRPr="00FE537F">
      <w:rPr>
        <w:rFonts w:ascii="Arial" w:hAnsi="Arial"/>
        <w:b/>
        <w:sz w:val="18"/>
      </w:rPr>
      <w:t>pty</w:t>
    </w:r>
    <w:proofErr w:type="spellEnd"/>
    <w:r w:rsidRPr="00FE537F">
      <w:rPr>
        <w:rFonts w:ascii="Arial" w:hAnsi="Arial"/>
        <w:b/>
        <w:sz w:val="18"/>
      </w:rPr>
      <w:t xml:space="preserve"> ltd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D2F" w:rsidRDefault="00F63D2F">
      <w:pPr>
        <w:spacing w:before="0" w:after="0"/>
      </w:pPr>
      <w:r>
        <w:separator/>
      </w:r>
    </w:p>
  </w:footnote>
  <w:footnote w:type="continuationSeparator" w:id="0">
    <w:p w:rsidR="00F63D2F" w:rsidRDefault="00F63D2F">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D2F" w:rsidRPr="00FE537F" w:rsidRDefault="00F63D2F" w:rsidP="00FE537F">
    <w:pPr>
      <w:pStyle w:val="Header"/>
      <w:pBdr>
        <w:bottom w:val="single" w:sz="4" w:space="1" w:color="auto"/>
      </w:pBdr>
      <w:tabs>
        <w:tab w:val="clear" w:pos="4320"/>
        <w:tab w:val="clear" w:pos="8640"/>
        <w:tab w:val="right" w:pos="8789"/>
      </w:tabs>
      <w:spacing w:after="0"/>
      <w:rPr>
        <w:b/>
        <w:smallCaps/>
        <w:sz w:val="20"/>
      </w:rPr>
    </w:pPr>
    <w:r>
      <w:rPr>
        <w:b/>
        <w:smallCaps/>
        <w:sz w:val="20"/>
      </w:rPr>
      <w:t>SEWPAC</w:t>
    </w:r>
    <w:r>
      <w:rPr>
        <w:b/>
        <w:smallCaps/>
        <w:sz w:val="20"/>
      </w:rPr>
      <w:tab/>
    </w:r>
    <w:proofErr w:type="spellStart"/>
    <w:r>
      <w:rPr>
        <w:b/>
        <w:smallCaps/>
        <w:sz w:val="20"/>
      </w:rPr>
      <w:t>Biosolids</w:t>
    </w:r>
    <w:proofErr w:type="spellEnd"/>
    <w:r>
      <w:rPr>
        <w:b/>
        <w:smallCaps/>
        <w:sz w:val="20"/>
      </w:rPr>
      <w:t xml:space="preserve"> SNAPSHOT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9D66BB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AD0952"/>
    <w:multiLevelType w:val="hybridMultilevel"/>
    <w:tmpl w:val="5ABA0F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3A7290"/>
    <w:multiLevelType w:val="hybridMultilevel"/>
    <w:tmpl w:val="82EAC6DE"/>
    <w:lvl w:ilvl="0" w:tplc="B216A312">
      <w:start w:val="1"/>
      <w:numFmt w:val="bullet"/>
      <w:pStyle w:val="ReportBullet1"/>
      <w:lvlText w:val=""/>
      <w:lvlJc w:val="left"/>
      <w:pPr>
        <w:tabs>
          <w:tab w:val="num" w:pos="397"/>
        </w:tabs>
        <w:ind w:left="397" w:hanging="397"/>
      </w:pPr>
      <w:rPr>
        <w:rFonts w:ascii="Symbol" w:hAnsi="Symbol" w:hint="default"/>
        <w:b/>
        <w:i w:val="0"/>
        <w:color w:val="auto"/>
        <w:position w:val="3"/>
        <w:sz w:val="16"/>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574E51"/>
    <w:multiLevelType w:val="hybridMultilevel"/>
    <w:tmpl w:val="F6662B54"/>
    <w:lvl w:ilvl="0" w:tplc="0C090001">
      <w:start w:val="1"/>
      <w:numFmt w:val="bullet"/>
      <w:lvlText w:val=""/>
      <w:lvlJc w:val="left"/>
      <w:pPr>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7A6C87"/>
    <w:multiLevelType w:val="hybridMultilevel"/>
    <w:tmpl w:val="6CEE6026"/>
    <w:lvl w:ilvl="0" w:tplc="0BB0A742">
      <w:start w:val="1"/>
      <w:numFmt w:val="bullet"/>
      <w:lvlText w:val=""/>
      <w:lvlJc w:val="left"/>
      <w:pPr>
        <w:ind w:left="720" w:hanging="360"/>
      </w:pPr>
      <w:rPr>
        <w:rFonts w:ascii="Symbol" w:hAnsi="Symbol" w:hint="default"/>
      </w:rPr>
    </w:lvl>
    <w:lvl w:ilvl="1" w:tplc="03A88840" w:tentative="1">
      <w:start w:val="1"/>
      <w:numFmt w:val="bullet"/>
      <w:lvlText w:val="o"/>
      <w:lvlJc w:val="left"/>
      <w:pPr>
        <w:ind w:left="1440" w:hanging="360"/>
      </w:pPr>
      <w:rPr>
        <w:rFonts w:ascii="Courier New" w:hAnsi="Courier New" w:hint="default"/>
      </w:rPr>
    </w:lvl>
    <w:lvl w:ilvl="2" w:tplc="6AE0AC12" w:tentative="1">
      <w:start w:val="1"/>
      <w:numFmt w:val="bullet"/>
      <w:lvlText w:val=""/>
      <w:lvlJc w:val="left"/>
      <w:pPr>
        <w:ind w:left="2160" w:hanging="360"/>
      </w:pPr>
      <w:rPr>
        <w:rFonts w:ascii="Wingdings" w:hAnsi="Wingdings" w:hint="default"/>
      </w:rPr>
    </w:lvl>
    <w:lvl w:ilvl="3" w:tplc="B6682A22" w:tentative="1">
      <w:start w:val="1"/>
      <w:numFmt w:val="bullet"/>
      <w:lvlText w:val=""/>
      <w:lvlJc w:val="left"/>
      <w:pPr>
        <w:ind w:left="2880" w:hanging="360"/>
      </w:pPr>
      <w:rPr>
        <w:rFonts w:ascii="Symbol" w:hAnsi="Symbol" w:hint="default"/>
      </w:rPr>
    </w:lvl>
    <w:lvl w:ilvl="4" w:tplc="E8B60A90" w:tentative="1">
      <w:start w:val="1"/>
      <w:numFmt w:val="bullet"/>
      <w:lvlText w:val="o"/>
      <w:lvlJc w:val="left"/>
      <w:pPr>
        <w:ind w:left="3600" w:hanging="360"/>
      </w:pPr>
      <w:rPr>
        <w:rFonts w:ascii="Courier New" w:hAnsi="Courier New" w:hint="default"/>
      </w:rPr>
    </w:lvl>
    <w:lvl w:ilvl="5" w:tplc="8FCE3478" w:tentative="1">
      <w:start w:val="1"/>
      <w:numFmt w:val="bullet"/>
      <w:lvlText w:val=""/>
      <w:lvlJc w:val="left"/>
      <w:pPr>
        <w:ind w:left="4320" w:hanging="360"/>
      </w:pPr>
      <w:rPr>
        <w:rFonts w:ascii="Wingdings" w:hAnsi="Wingdings" w:hint="default"/>
      </w:rPr>
    </w:lvl>
    <w:lvl w:ilvl="6" w:tplc="30B88254" w:tentative="1">
      <w:start w:val="1"/>
      <w:numFmt w:val="bullet"/>
      <w:lvlText w:val=""/>
      <w:lvlJc w:val="left"/>
      <w:pPr>
        <w:ind w:left="5040" w:hanging="360"/>
      </w:pPr>
      <w:rPr>
        <w:rFonts w:ascii="Symbol" w:hAnsi="Symbol" w:hint="default"/>
      </w:rPr>
    </w:lvl>
    <w:lvl w:ilvl="7" w:tplc="52E45122" w:tentative="1">
      <w:start w:val="1"/>
      <w:numFmt w:val="bullet"/>
      <w:lvlText w:val="o"/>
      <w:lvlJc w:val="left"/>
      <w:pPr>
        <w:ind w:left="5760" w:hanging="360"/>
      </w:pPr>
      <w:rPr>
        <w:rFonts w:ascii="Courier New" w:hAnsi="Courier New" w:hint="default"/>
      </w:rPr>
    </w:lvl>
    <w:lvl w:ilvl="8" w:tplc="FD8217BE" w:tentative="1">
      <w:start w:val="1"/>
      <w:numFmt w:val="bullet"/>
      <w:lvlText w:val=""/>
      <w:lvlJc w:val="left"/>
      <w:pPr>
        <w:ind w:left="6480" w:hanging="360"/>
      </w:pPr>
      <w:rPr>
        <w:rFonts w:ascii="Wingdings" w:hAnsi="Wingdings" w:hint="default"/>
      </w:rPr>
    </w:lvl>
  </w:abstractNum>
  <w:abstractNum w:abstractNumId="5">
    <w:nsid w:val="13555153"/>
    <w:multiLevelType w:val="singleLevel"/>
    <w:tmpl w:val="3A9823C8"/>
    <w:lvl w:ilvl="0">
      <w:start w:val="1"/>
      <w:numFmt w:val="bullet"/>
      <w:pStyle w:val="bullet"/>
      <w:lvlText w:val=""/>
      <w:lvlJc w:val="left"/>
      <w:pPr>
        <w:tabs>
          <w:tab w:val="num" w:pos="851"/>
        </w:tabs>
        <w:ind w:left="851" w:hanging="851"/>
      </w:pPr>
      <w:rPr>
        <w:rFonts w:ascii="Symbol" w:hAnsi="Symbol" w:hint="default"/>
        <w:b w:val="0"/>
        <w:i w:val="0"/>
        <w:sz w:val="24"/>
      </w:rPr>
    </w:lvl>
  </w:abstractNum>
  <w:abstractNum w:abstractNumId="6">
    <w:nsid w:val="15AD449C"/>
    <w:multiLevelType w:val="hybridMultilevel"/>
    <w:tmpl w:val="99AA8F12"/>
    <w:lvl w:ilvl="0" w:tplc="0C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C7763A"/>
    <w:multiLevelType w:val="hybridMultilevel"/>
    <w:tmpl w:val="7D6618AE"/>
    <w:lvl w:ilvl="0" w:tplc="0C090001">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8F65845"/>
    <w:multiLevelType w:val="hybridMultilevel"/>
    <w:tmpl w:val="61883636"/>
    <w:lvl w:ilvl="0" w:tplc="0D5C06F6">
      <w:start w:val="1"/>
      <w:numFmt w:val="decimal"/>
      <w:pStyle w:val="ReportNumbering"/>
      <w:lvlText w:val="%1."/>
      <w:lvlJc w:val="left"/>
      <w:pPr>
        <w:ind w:left="360" w:hanging="360"/>
      </w:pPr>
      <w:rPr>
        <w:rFonts w:ascii="Arial" w:hAnsi="Arial" w:hint="default"/>
        <w:b w:val="0"/>
        <w:i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B5E113B"/>
    <w:multiLevelType w:val="multilevel"/>
    <w:tmpl w:val="2A72B64E"/>
    <w:lvl w:ilvl="0">
      <w:start w:val="1"/>
      <w:numFmt w:val="decimal"/>
      <w:lvlText w:val="%1"/>
      <w:lvlJc w:val="left"/>
      <w:pPr>
        <w:tabs>
          <w:tab w:val="num" w:pos="432"/>
        </w:tabs>
        <w:ind w:left="432" w:hanging="432"/>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1C4650F1"/>
    <w:multiLevelType w:val="hybridMultilevel"/>
    <w:tmpl w:val="020E4E2A"/>
    <w:lvl w:ilvl="0" w:tplc="04090019">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2B53A54"/>
    <w:multiLevelType w:val="hybridMultilevel"/>
    <w:tmpl w:val="EB42EC2E"/>
    <w:lvl w:ilvl="0" w:tplc="0C090001">
      <w:start w:val="1"/>
      <w:numFmt w:val="bullet"/>
      <w:lvlText w:val=""/>
      <w:lvlJc w:val="left"/>
      <w:pPr>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1D4FFA"/>
    <w:multiLevelType w:val="hybridMultilevel"/>
    <w:tmpl w:val="31FAC37C"/>
    <w:lvl w:ilvl="0" w:tplc="0C090001">
      <w:start w:val="1"/>
      <w:numFmt w:val="bullet"/>
      <w:lvlText w:val=""/>
      <w:lvlJc w:val="left"/>
      <w:pPr>
        <w:tabs>
          <w:tab w:val="num" w:pos="720"/>
        </w:tabs>
        <w:ind w:left="720" w:hanging="360"/>
      </w:pPr>
      <w:rPr>
        <w:rFonts w:ascii="Symbol" w:hAnsi="Symbol" w:hint="default"/>
      </w:rPr>
    </w:lvl>
    <w:lvl w:ilvl="1" w:tplc="CB7E5AAE">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2D4A18D1"/>
    <w:multiLevelType w:val="hybridMultilevel"/>
    <w:tmpl w:val="6C1AB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920020"/>
    <w:multiLevelType w:val="hybridMultilevel"/>
    <w:tmpl w:val="D2BA9F12"/>
    <w:lvl w:ilvl="0" w:tplc="FFFFFFFF">
      <w:start w:val="1"/>
      <w:numFmt w:val="decimal"/>
      <w:lvlText w:val="%1."/>
      <w:lvlJc w:val="left"/>
      <w:pPr>
        <w:tabs>
          <w:tab w:val="num" w:pos="709"/>
        </w:tabs>
        <w:ind w:left="709" w:hanging="709"/>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31D2A6A"/>
    <w:multiLevelType w:val="hybridMultilevel"/>
    <w:tmpl w:val="4880C60A"/>
    <w:lvl w:ilvl="0" w:tplc="0C090001">
      <w:start w:val="1"/>
      <w:numFmt w:val="bullet"/>
      <w:lvlText w:val=""/>
      <w:lvlJc w:val="left"/>
      <w:pPr>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B0438B"/>
    <w:multiLevelType w:val="multilevel"/>
    <w:tmpl w:val="5C76722C"/>
    <w:lvl w:ilvl="0">
      <w:start w:val="1"/>
      <w:numFmt w:val="decimal"/>
      <w:pStyle w:val="Heading1"/>
      <w:lvlText w:val="%1"/>
      <w:lvlJc w:val="left"/>
      <w:pPr>
        <w:tabs>
          <w:tab w:val="num" w:pos="1134"/>
        </w:tabs>
        <w:ind w:left="1134" w:hanging="1134"/>
      </w:pPr>
    </w:lvl>
    <w:lvl w:ilvl="1">
      <w:start w:val="1"/>
      <w:numFmt w:val="decimal"/>
      <w:pStyle w:val="Heading2"/>
      <w:lvlText w:val="%1.%2"/>
      <w:lvlJc w:val="left"/>
      <w:pPr>
        <w:tabs>
          <w:tab w:val="num" w:pos="1418"/>
        </w:tabs>
        <w:ind w:left="1418" w:hanging="1134"/>
      </w:pPr>
    </w:lvl>
    <w:lvl w:ilvl="2">
      <w:start w:val="1"/>
      <w:numFmt w:val="decimal"/>
      <w:pStyle w:val="Heading3"/>
      <w:lvlText w:val="%1.%2.%3"/>
      <w:lvlJc w:val="left"/>
      <w:pPr>
        <w:tabs>
          <w:tab w:val="num" w:pos="1134"/>
        </w:tabs>
        <w:ind w:left="1134" w:hanging="1134"/>
      </w:pPr>
    </w:lvl>
    <w:lvl w:ilvl="3">
      <w:start w:val="1"/>
      <w:numFmt w:val="none"/>
      <w:lvlText w:val=""/>
      <w:lvlJc w:val="left"/>
      <w:pPr>
        <w:tabs>
          <w:tab w:val="num" w:pos="360"/>
        </w:tabs>
        <w:ind w:left="0" w:firstLine="0"/>
      </w:pPr>
    </w:lvl>
    <w:lvl w:ilvl="4">
      <w:start w:val="1"/>
      <w:numFmt w:val="decimal"/>
      <w:lvlText w:val="%1"/>
      <w:lvlJc w:val="left"/>
      <w:pPr>
        <w:tabs>
          <w:tab w:val="num" w:pos="1008"/>
        </w:tabs>
        <w:ind w:left="1008" w:hanging="1008"/>
      </w:pPr>
    </w:lvl>
    <w:lvl w:ilvl="5">
      <w:start w:val="1"/>
      <w:numFmt w:val="decimal"/>
      <w:lvlText w:val="%1"/>
      <w:lvlJc w:val="left"/>
      <w:pPr>
        <w:tabs>
          <w:tab w:val="num" w:pos="1152"/>
        </w:tabs>
        <w:ind w:left="1152" w:hanging="1152"/>
      </w:pPr>
    </w:lvl>
    <w:lvl w:ilvl="6">
      <w:start w:val="1"/>
      <w:numFmt w:val="decimal"/>
      <w:lvlText w:val="%1"/>
      <w:lvlJc w:val="left"/>
      <w:pPr>
        <w:tabs>
          <w:tab w:val="num" w:pos="1296"/>
        </w:tabs>
        <w:ind w:left="1296" w:hanging="1296"/>
      </w:pPr>
    </w:lvl>
    <w:lvl w:ilvl="7">
      <w:start w:val="1"/>
      <w:numFmt w:val="decimal"/>
      <w:lvlText w:val="%1"/>
      <w:lvlJc w:val="left"/>
      <w:pPr>
        <w:tabs>
          <w:tab w:val="num" w:pos="1440"/>
        </w:tabs>
        <w:ind w:left="1440" w:hanging="1440"/>
      </w:pPr>
    </w:lvl>
    <w:lvl w:ilvl="8">
      <w:start w:val="1"/>
      <w:numFmt w:val="decimal"/>
      <w:lvlText w:val="%1"/>
      <w:lvlJc w:val="left"/>
      <w:pPr>
        <w:tabs>
          <w:tab w:val="num" w:pos="1584"/>
        </w:tabs>
        <w:ind w:left="1584" w:hanging="1584"/>
      </w:pPr>
    </w:lvl>
  </w:abstractNum>
  <w:abstractNum w:abstractNumId="17">
    <w:nsid w:val="3D8133E9"/>
    <w:multiLevelType w:val="hybridMultilevel"/>
    <w:tmpl w:val="5ABA0F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8065F9"/>
    <w:multiLevelType w:val="hybridMultilevel"/>
    <w:tmpl w:val="8B2C9128"/>
    <w:lvl w:ilvl="0" w:tplc="0C090001">
      <w:start w:val="1"/>
      <w:numFmt w:val="bullet"/>
      <w:lvlText w:val=""/>
      <w:lvlJc w:val="left"/>
      <w:pPr>
        <w:ind w:left="927" w:hanging="567"/>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E4F4648"/>
    <w:multiLevelType w:val="hybridMultilevel"/>
    <w:tmpl w:val="08AAD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1E5BF8"/>
    <w:multiLevelType w:val="hybridMultilevel"/>
    <w:tmpl w:val="F7C87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6464CD"/>
    <w:multiLevelType w:val="hybridMultilevel"/>
    <w:tmpl w:val="87681B00"/>
    <w:lvl w:ilvl="0" w:tplc="0C090001">
      <w:start w:val="1"/>
      <w:numFmt w:val="bullet"/>
      <w:lvlText w:val=""/>
      <w:lvlJc w:val="left"/>
      <w:pPr>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6"/>
  </w:num>
  <w:num w:numId="3">
    <w:abstractNumId w:val="16"/>
  </w:num>
  <w:num w:numId="4">
    <w:abstractNumId w:val="16"/>
  </w:num>
  <w:num w:numId="5">
    <w:abstractNumId w:val="4"/>
  </w:num>
  <w:num w:numId="6">
    <w:abstractNumId w:val="3"/>
  </w:num>
  <w:num w:numId="7">
    <w:abstractNumId w:val="15"/>
  </w:num>
  <w:num w:numId="8">
    <w:abstractNumId w:val="21"/>
  </w:num>
  <w:num w:numId="9">
    <w:abstractNumId w:val="11"/>
  </w:num>
  <w:num w:numId="10">
    <w:abstractNumId w:val="16"/>
  </w:num>
  <w:num w:numId="11">
    <w:abstractNumId w:val="9"/>
  </w:num>
  <w:num w:numId="12">
    <w:abstractNumId w:val="2"/>
  </w:num>
  <w:num w:numId="13">
    <w:abstractNumId w:val="19"/>
  </w:num>
  <w:num w:numId="14">
    <w:abstractNumId w:val="8"/>
  </w:num>
  <w:num w:numId="15">
    <w:abstractNumId w:val="13"/>
  </w:num>
  <w:num w:numId="16">
    <w:abstractNumId w:val="1"/>
  </w:num>
  <w:num w:numId="17">
    <w:abstractNumId w:val="20"/>
  </w:num>
  <w:num w:numId="18">
    <w:abstractNumId w:val="18"/>
  </w:num>
  <w:num w:numId="19">
    <w:abstractNumId w:val="6"/>
  </w:num>
  <w:num w:numId="20">
    <w:abstractNumId w:val="12"/>
  </w:num>
  <w:num w:numId="21">
    <w:abstractNumId w:val="7"/>
  </w:num>
  <w:num w:numId="22">
    <w:abstractNumId w:val="14"/>
  </w:num>
  <w:num w:numId="23">
    <w:abstractNumId w:val="0"/>
  </w:num>
  <w:num w:numId="24">
    <w:abstractNumId w:val="10"/>
  </w:num>
  <w:num w:numId="2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
  <w:rsids>
    <w:rsidRoot w:val="0046013B"/>
    <w:rsid w:val="00004115"/>
    <w:rsid w:val="00017EC7"/>
    <w:rsid w:val="00022544"/>
    <w:rsid w:val="00030C72"/>
    <w:rsid w:val="00035AB1"/>
    <w:rsid w:val="0004274C"/>
    <w:rsid w:val="00062A65"/>
    <w:rsid w:val="00073F1E"/>
    <w:rsid w:val="00081B06"/>
    <w:rsid w:val="00082FC6"/>
    <w:rsid w:val="00095FC8"/>
    <w:rsid w:val="000B3642"/>
    <w:rsid w:val="000C019A"/>
    <w:rsid w:val="000D2101"/>
    <w:rsid w:val="000D53EA"/>
    <w:rsid w:val="000E0F70"/>
    <w:rsid w:val="000E1D63"/>
    <w:rsid w:val="000E6439"/>
    <w:rsid w:val="000F4B4A"/>
    <w:rsid w:val="000F6697"/>
    <w:rsid w:val="00102797"/>
    <w:rsid w:val="001151DD"/>
    <w:rsid w:val="00117339"/>
    <w:rsid w:val="001371D3"/>
    <w:rsid w:val="001425A3"/>
    <w:rsid w:val="00143CA4"/>
    <w:rsid w:val="0015250D"/>
    <w:rsid w:val="00166057"/>
    <w:rsid w:val="0016718A"/>
    <w:rsid w:val="00170412"/>
    <w:rsid w:val="00184B27"/>
    <w:rsid w:val="001965B0"/>
    <w:rsid w:val="001A6B9D"/>
    <w:rsid w:val="001C5BD8"/>
    <w:rsid w:val="001C5BF2"/>
    <w:rsid w:val="001C7E31"/>
    <w:rsid w:val="001E363D"/>
    <w:rsid w:val="001E6123"/>
    <w:rsid w:val="00207904"/>
    <w:rsid w:val="0022063B"/>
    <w:rsid w:val="00221483"/>
    <w:rsid w:val="00224C12"/>
    <w:rsid w:val="002272BD"/>
    <w:rsid w:val="00237FA8"/>
    <w:rsid w:val="00253825"/>
    <w:rsid w:val="00255CBF"/>
    <w:rsid w:val="00265A57"/>
    <w:rsid w:val="00272A5C"/>
    <w:rsid w:val="00272D80"/>
    <w:rsid w:val="00284D69"/>
    <w:rsid w:val="00286CC7"/>
    <w:rsid w:val="00292E2A"/>
    <w:rsid w:val="00293227"/>
    <w:rsid w:val="0029621A"/>
    <w:rsid w:val="002A158A"/>
    <w:rsid w:val="002C013A"/>
    <w:rsid w:val="002D012B"/>
    <w:rsid w:val="002D7648"/>
    <w:rsid w:val="002E0834"/>
    <w:rsid w:val="002E455A"/>
    <w:rsid w:val="002F086D"/>
    <w:rsid w:val="002F5597"/>
    <w:rsid w:val="002F6B1D"/>
    <w:rsid w:val="00336462"/>
    <w:rsid w:val="0033705B"/>
    <w:rsid w:val="00337CA3"/>
    <w:rsid w:val="003432F8"/>
    <w:rsid w:val="00343A76"/>
    <w:rsid w:val="00371181"/>
    <w:rsid w:val="00371745"/>
    <w:rsid w:val="003769C2"/>
    <w:rsid w:val="00381FDC"/>
    <w:rsid w:val="003829D8"/>
    <w:rsid w:val="00383B21"/>
    <w:rsid w:val="00387AFE"/>
    <w:rsid w:val="00396489"/>
    <w:rsid w:val="003979E1"/>
    <w:rsid w:val="003A41C2"/>
    <w:rsid w:val="003A763A"/>
    <w:rsid w:val="003A78AC"/>
    <w:rsid w:val="003B4B52"/>
    <w:rsid w:val="003B769B"/>
    <w:rsid w:val="003C5BA4"/>
    <w:rsid w:val="003C6C5D"/>
    <w:rsid w:val="003E1544"/>
    <w:rsid w:val="003E1E80"/>
    <w:rsid w:val="003E62E4"/>
    <w:rsid w:val="003E66C5"/>
    <w:rsid w:val="003F29DC"/>
    <w:rsid w:val="003F7F21"/>
    <w:rsid w:val="00400DCE"/>
    <w:rsid w:val="00405A97"/>
    <w:rsid w:val="004116D3"/>
    <w:rsid w:val="004176B6"/>
    <w:rsid w:val="004209B2"/>
    <w:rsid w:val="004276CB"/>
    <w:rsid w:val="004324C9"/>
    <w:rsid w:val="00432C80"/>
    <w:rsid w:val="0045161B"/>
    <w:rsid w:val="00457AE8"/>
    <w:rsid w:val="0046013B"/>
    <w:rsid w:val="004625E6"/>
    <w:rsid w:val="00466A84"/>
    <w:rsid w:val="0047033B"/>
    <w:rsid w:val="00475528"/>
    <w:rsid w:val="00480ECC"/>
    <w:rsid w:val="00493777"/>
    <w:rsid w:val="004A29C6"/>
    <w:rsid w:val="004A4FEC"/>
    <w:rsid w:val="004A6F36"/>
    <w:rsid w:val="004A700C"/>
    <w:rsid w:val="004B4276"/>
    <w:rsid w:val="004B5639"/>
    <w:rsid w:val="004B7D14"/>
    <w:rsid w:val="004C3F7A"/>
    <w:rsid w:val="004D1811"/>
    <w:rsid w:val="00507F3E"/>
    <w:rsid w:val="00522F85"/>
    <w:rsid w:val="00533F1E"/>
    <w:rsid w:val="00540E7A"/>
    <w:rsid w:val="00542F41"/>
    <w:rsid w:val="00557B32"/>
    <w:rsid w:val="0056736F"/>
    <w:rsid w:val="00580729"/>
    <w:rsid w:val="005B5D6E"/>
    <w:rsid w:val="005B6269"/>
    <w:rsid w:val="005D3A6C"/>
    <w:rsid w:val="005E58B1"/>
    <w:rsid w:val="005F13F0"/>
    <w:rsid w:val="005F5C1E"/>
    <w:rsid w:val="0060630C"/>
    <w:rsid w:val="00611787"/>
    <w:rsid w:val="00611C27"/>
    <w:rsid w:val="00613255"/>
    <w:rsid w:val="00615B5A"/>
    <w:rsid w:val="00623D82"/>
    <w:rsid w:val="006318FD"/>
    <w:rsid w:val="006404B4"/>
    <w:rsid w:val="00662774"/>
    <w:rsid w:val="00665F54"/>
    <w:rsid w:val="00667F2C"/>
    <w:rsid w:val="0067650C"/>
    <w:rsid w:val="00677B4A"/>
    <w:rsid w:val="007054DC"/>
    <w:rsid w:val="00714778"/>
    <w:rsid w:val="00722025"/>
    <w:rsid w:val="00727CBD"/>
    <w:rsid w:val="007471F4"/>
    <w:rsid w:val="00760491"/>
    <w:rsid w:val="00775537"/>
    <w:rsid w:val="0078463A"/>
    <w:rsid w:val="00791C6C"/>
    <w:rsid w:val="007A37C2"/>
    <w:rsid w:val="007C1121"/>
    <w:rsid w:val="007C219D"/>
    <w:rsid w:val="007D01B2"/>
    <w:rsid w:val="007D5073"/>
    <w:rsid w:val="007F1FD4"/>
    <w:rsid w:val="007F45F1"/>
    <w:rsid w:val="007F66BD"/>
    <w:rsid w:val="008177E2"/>
    <w:rsid w:val="00824B3D"/>
    <w:rsid w:val="00841BEF"/>
    <w:rsid w:val="00852B18"/>
    <w:rsid w:val="00876E7B"/>
    <w:rsid w:val="00885DEF"/>
    <w:rsid w:val="00892389"/>
    <w:rsid w:val="00893F8D"/>
    <w:rsid w:val="008B5ACF"/>
    <w:rsid w:val="008C0AEC"/>
    <w:rsid w:val="008C627F"/>
    <w:rsid w:val="008D1581"/>
    <w:rsid w:val="008D35CC"/>
    <w:rsid w:val="008E2C59"/>
    <w:rsid w:val="008E3757"/>
    <w:rsid w:val="008E5232"/>
    <w:rsid w:val="008F199C"/>
    <w:rsid w:val="00907858"/>
    <w:rsid w:val="00913EF3"/>
    <w:rsid w:val="00926C91"/>
    <w:rsid w:val="00927A1A"/>
    <w:rsid w:val="00950DFE"/>
    <w:rsid w:val="0095180F"/>
    <w:rsid w:val="00954823"/>
    <w:rsid w:val="00973176"/>
    <w:rsid w:val="009732B2"/>
    <w:rsid w:val="00976157"/>
    <w:rsid w:val="00983949"/>
    <w:rsid w:val="00985F46"/>
    <w:rsid w:val="00991A4D"/>
    <w:rsid w:val="009934D6"/>
    <w:rsid w:val="00996D66"/>
    <w:rsid w:val="009A4CBE"/>
    <w:rsid w:val="009C5F8E"/>
    <w:rsid w:val="009C76E5"/>
    <w:rsid w:val="009D60EF"/>
    <w:rsid w:val="009F6D94"/>
    <w:rsid w:val="009F7577"/>
    <w:rsid w:val="00A07910"/>
    <w:rsid w:val="00A14343"/>
    <w:rsid w:val="00A20A5F"/>
    <w:rsid w:val="00A27DE5"/>
    <w:rsid w:val="00A33119"/>
    <w:rsid w:val="00A340F6"/>
    <w:rsid w:val="00A35633"/>
    <w:rsid w:val="00A37DD9"/>
    <w:rsid w:val="00A506C4"/>
    <w:rsid w:val="00A92ED2"/>
    <w:rsid w:val="00AA09B9"/>
    <w:rsid w:val="00AA24C8"/>
    <w:rsid w:val="00AB318B"/>
    <w:rsid w:val="00AB43CD"/>
    <w:rsid w:val="00AC3F88"/>
    <w:rsid w:val="00AD1713"/>
    <w:rsid w:val="00AD5A08"/>
    <w:rsid w:val="00AF1A16"/>
    <w:rsid w:val="00B10538"/>
    <w:rsid w:val="00B12F1F"/>
    <w:rsid w:val="00B469C6"/>
    <w:rsid w:val="00B5021D"/>
    <w:rsid w:val="00B50979"/>
    <w:rsid w:val="00B57929"/>
    <w:rsid w:val="00B63C1A"/>
    <w:rsid w:val="00B64DB8"/>
    <w:rsid w:val="00B770FA"/>
    <w:rsid w:val="00BD2485"/>
    <w:rsid w:val="00BE1A21"/>
    <w:rsid w:val="00BE6D10"/>
    <w:rsid w:val="00BE7EC4"/>
    <w:rsid w:val="00BF24BB"/>
    <w:rsid w:val="00C30AEA"/>
    <w:rsid w:val="00C3608E"/>
    <w:rsid w:val="00C76BBA"/>
    <w:rsid w:val="00C85EA4"/>
    <w:rsid w:val="00C8670F"/>
    <w:rsid w:val="00C96BDF"/>
    <w:rsid w:val="00C97D00"/>
    <w:rsid w:val="00CA147A"/>
    <w:rsid w:val="00CB28E4"/>
    <w:rsid w:val="00CC04C2"/>
    <w:rsid w:val="00CC074C"/>
    <w:rsid w:val="00CF2770"/>
    <w:rsid w:val="00D02EA0"/>
    <w:rsid w:val="00D1073C"/>
    <w:rsid w:val="00D55A57"/>
    <w:rsid w:val="00D62C91"/>
    <w:rsid w:val="00D62CD8"/>
    <w:rsid w:val="00D64EB6"/>
    <w:rsid w:val="00D71E4C"/>
    <w:rsid w:val="00D94A6F"/>
    <w:rsid w:val="00D94BF5"/>
    <w:rsid w:val="00D96FB8"/>
    <w:rsid w:val="00DB227F"/>
    <w:rsid w:val="00DB3EEB"/>
    <w:rsid w:val="00DB7F84"/>
    <w:rsid w:val="00DD5F39"/>
    <w:rsid w:val="00DF1957"/>
    <w:rsid w:val="00DF5CD8"/>
    <w:rsid w:val="00E20128"/>
    <w:rsid w:val="00E2088C"/>
    <w:rsid w:val="00E234EE"/>
    <w:rsid w:val="00E23A6C"/>
    <w:rsid w:val="00E3148E"/>
    <w:rsid w:val="00E369F6"/>
    <w:rsid w:val="00E41A8D"/>
    <w:rsid w:val="00E429D1"/>
    <w:rsid w:val="00E51A58"/>
    <w:rsid w:val="00E548E7"/>
    <w:rsid w:val="00E604FA"/>
    <w:rsid w:val="00E6461E"/>
    <w:rsid w:val="00E67119"/>
    <w:rsid w:val="00E7231B"/>
    <w:rsid w:val="00E72ABB"/>
    <w:rsid w:val="00E86307"/>
    <w:rsid w:val="00EC05DC"/>
    <w:rsid w:val="00EC53C6"/>
    <w:rsid w:val="00ED2183"/>
    <w:rsid w:val="00EE1FF7"/>
    <w:rsid w:val="00EE21CB"/>
    <w:rsid w:val="00EE2241"/>
    <w:rsid w:val="00EE616A"/>
    <w:rsid w:val="00EE7364"/>
    <w:rsid w:val="00EF5E52"/>
    <w:rsid w:val="00F00529"/>
    <w:rsid w:val="00F04117"/>
    <w:rsid w:val="00F0797F"/>
    <w:rsid w:val="00F1281A"/>
    <w:rsid w:val="00F14300"/>
    <w:rsid w:val="00F20242"/>
    <w:rsid w:val="00F44205"/>
    <w:rsid w:val="00F501C8"/>
    <w:rsid w:val="00F63D2F"/>
    <w:rsid w:val="00F67632"/>
    <w:rsid w:val="00F76784"/>
    <w:rsid w:val="00F80DA0"/>
    <w:rsid w:val="00F834E5"/>
    <w:rsid w:val="00F922BD"/>
    <w:rsid w:val="00FA3278"/>
    <w:rsid w:val="00FA3D5A"/>
    <w:rsid w:val="00FA6CF1"/>
    <w:rsid w:val="00FC40BD"/>
    <w:rsid w:val="00FC67DC"/>
    <w:rsid w:val="00FE537F"/>
    <w:rsid w:val="00FE7169"/>
    <w:rsid w:val="00FE7202"/>
    <w:rsid w:val="00FF5C76"/>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 List" w:uiPriority="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815"/>
    <w:pPr>
      <w:spacing w:before="120" w:after="120"/>
      <w:jc w:val="both"/>
    </w:pPr>
    <w:rPr>
      <w:rFonts w:ascii="Times New Roman" w:hAnsi="Times New Roman" w:cs="Times New Roman"/>
      <w:szCs w:val="20"/>
      <w:lang w:val="en-AU"/>
    </w:rPr>
  </w:style>
  <w:style w:type="paragraph" w:styleId="Heading1">
    <w:name w:val="heading 1"/>
    <w:basedOn w:val="Normal"/>
    <w:next w:val="Normal"/>
    <w:link w:val="Heading1Char"/>
    <w:uiPriority w:val="99"/>
    <w:qFormat/>
    <w:rsid w:val="005D2815"/>
    <w:pPr>
      <w:keepNext/>
      <w:numPr>
        <w:numId w:val="4"/>
      </w:numPr>
      <w:tabs>
        <w:tab w:val="left" w:pos="851"/>
      </w:tabs>
      <w:spacing w:after="240"/>
      <w:outlineLvl w:val="0"/>
    </w:pPr>
    <w:rPr>
      <w:b/>
      <w:caps/>
      <w:kern w:val="28"/>
      <w:sz w:val="28"/>
    </w:rPr>
  </w:style>
  <w:style w:type="paragraph" w:styleId="Heading2">
    <w:name w:val="heading 2"/>
    <w:basedOn w:val="Normal"/>
    <w:next w:val="Normal"/>
    <w:link w:val="Heading2Char"/>
    <w:uiPriority w:val="99"/>
    <w:qFormat/>
    <w:rsid w:val="005D2815"/>
    <w:pPr>
      <w:keepNext/>
      <w:numPr>
        <w:ilvl w:val="1"/>
        <w:numId w:val="4"/>
      </w:numPr>
      <w:tabs>
        <w:tab w:val="left" w:pos="851"/>
      </w:tabs>
      <w:outlineLvl w:val="1"/>
    </w:pPr>
    <w:rPr>
      <w:b/>
      <w:smallCaps/>
      <w:sz w:val="28"/>
    </w:rPr>
  </w:style>
  <w:style w:type="paragraph" w:styleId="Heading3">
    <w:name w:val="heading 3"/>
    <w:basedOn w:val="Normal"/>
    <w:next w:val="Normal"/>
    <w:link w:val="Heading3Char"/>
    <w:uiPriority w:val="99"/>
    <w:qFormat/>
    <w:rsid w:val="005D2815"/>
    <w:pPr>
      <w:keepNext/>
      <w:numPr>
        <w:ilvl w:val="2"/>
        <w:numId w:val="4"/>
      </w:numPr>
      <w:tabs>
        <w:tab w:val="left" w:pos="851"/>
      </w:tabs>
      <w:outlineLvl w:val="2"/>
    </w:pPr>
    <w:rPr>
      <w:b/>
      <w:sz w:val="28"/>
    </w:rPr>
  </w:style>
  <w:style w:type="paragraph" w:styleId="Heading4">
    <w:name w:val="heading 4"/>
    <w:basedOn w:val="Normal"/>
    <w:next w:val="Normal"/>
    <w:link w:val="Heading4Char"/>
    <w:qFormat/>
    <w:rsid w:val="005D2815"/>
    <w:pPr>
      <w:keepNext/>
      <w:tabs>
        <w:tab w:val="left" w:pos="851"/>
      </w:tabs>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rsid w:val="005D2815"/>
    <w:pPr>
      <w:numPr>
        <w:numId w:val="1"/>
      </w:numPr>
      <w:tabs>
        <w:tab w:val="left" w:pos="567"/>
      </w:tabs>
      <w:spacing w:before="60" w:after="60"/>
    </w:pPr>
  </w:style>
  <w:style w:type="paragraph" w:styleId="Footer">
    <w:name w:val="footer"/>
    <w:basedOn w:val="Normal"/>
    <w:link w:val="FooterChar"/>
    <w:rsid w:val="005D2815"/>
    <w:pPr>
      <w:tabs>
        <w:tab w:val="center" w:pos="4320"/>
        <w:tab w:val="right" w:pos="8640"/>
      </w:tabs>
    </w:pPr>
  </w:style>
  <w:style w:type="character" w:customStyle="1" w:styleId="FooterChar">
    <w:name w:val="Footer Char"/>
    <w:basedOn w:val="DefaultParagraphFont"/>
    <w:link w:val="Footer"/>
    <w:rsid w:val="005D2815"/>
    <w:rPr>
      <w:rFonts w:ascii="Times New Roman" w:eastAsia="Times New Roman" w:hAnsi="Times New Roman" w:cs="Times New Roman"/>
      <w:szCs w:val="20"/>
      <w:lang w:val="en-AU"/>
    </w:rPr>
  </w:style>
  <w:style w:type="paragraph" w:styleId="Header">
    <w:name w:val="header"/>
    <w:basedOn w:val="Normal"/>
    <w:link w:val="HeaderChar"/>
    <w:rsid w:val="005D2815"/>
    <w:pPr>
      <w:tabs>
        <w:tab w:val="center" w:pos="4320"/>
        <w:tab w:val="right" w:pos="8640"/>
      </w:tabs>
    </w:pPr>
  </w:style>
  <w:style w:type="character" w:customStyle="1" w:styleId="HeaderChar">
    <w:name w:val="Header Char"/>
    <w:basedOn w:val="DefaultParagraphFont"/>
    <w:link w:val="Header"/>
    <w:rsid w:val="005D2815"/>
    <w:rPr>
      <w:rFonts w:ascii="Times New Roman" w:eastAsia="Times New Roman" w:hAnsi="Times New Roman" w:cs="Times New Roman"/>
      <w:szCs w:val="20"/>
      <w:lang w:val="en-AU"/>
    </w:rPr>
  </w:style>
  <w:style w:type="character" w:customStyle="1" w:styleId="Heading1Char">
    <w:name w:val="Heading 1 Char"/>
    <w:basedOn w:val="DefaultParagraphFont"/>
    <w:link w:val="Heading1"/>
    <w:rsid w:val="005D2815"/>
    <w:rPr>
      <w:rFonts w:ascii="Times New Roman" w:hAnsi="Times New Roman" w:cs="Times New Roman"/>
      <w:b/>
      <w:caps/>
      <w:kern w:val="28"/>
      <w:sz w:val="28"/>
      <w:szCs w:val="20"/>
      <w:lang w:val="en-AU"/>
    </w:rPr>
  </w:style>
  <w:style w:type="character" w:customStyle="1" w:styleId="Heading2Char">
    <w:name w:val="Heading 2 Char"/>
    <w:basedOn w:val="DefaultParagraphFont"/>
    <w:link w:val="Heading2"/>
    <w:rsid w:val="005D2815"/>
    <w:rPr>
      <w:rFonts w:ascii="Times New Roman" w:hAnsi="Times New Roman" w:cs="Times New Roman"/>
      <w:b/>
      <w:smallCaps/>
      <w:sz w:val="28"/>
      <w:szCs w:val="20"/>
      <w:lang w:val="en-AU"/>
    </w:rPr>
  </w:style>
  <w:style w:type="character" w:customStyle="1" w:styleId="Heading3Char">
    <w:name w:val="Heading 3 Char"/>
    <w:basedOn w:val="DefaultParagraphFont"/>
    <w:link w:val="Heading3"/>
    <w:uiPriority w:val="99"/>
    <w:rsid w:val="005D2815"/>
    <w:rPr>
      <w:rFonts w:ascii="Times New Roman" w:hAnsi="Times New Roman" w:cs="Times New Roman"/>
      <w:b/>
      <w:sz w:val="28"/>
      <w:szCs w:val="20"/>
      <w:lang w:val="en-AU"/>
    </w:rPr>
  </w:style>
  <w:style w:type="character" w:customStyle="1" w:styleId="Heading4Char">
    <w:name w:val="Heading 4 Char"/>
    <w:basedOn w:val="DefaultParagraphFont"/>
    <w:link w:val="Heading4"/>
    <w:rsid w:val="005D2815"/>
    <w:rPr>
      <w:rFonts w:ascii="Times New Roman" w:eastAsia="Times New Roman" w:hAnsi="Times New Roman" w:cs="Times New Roman"/>
      <w:b/>
      <w:szCs w:val="20"/>
      <w:lang w:val="en-AU"/>
    </w:rPr>
  </w:style>
  <w:style w:type="character" w:styleId="PageNumber">
    <w:name w:val="page number"/>
    <w:basedOn w:val="DefaultParagraphFont"/>
    <w:rsid w:val="005D2815"/>
  </w:style>
  <w:style w:type="paragraph" w:customStyle="1" w:styleId="TableHeading">
    <w:name w:val="Table Heading"/>
    <w:basedOn w:val="Heading4"/>
    <w:rsid w:val="005D2815"/>
    <w:pPr>
      <w:spacing w:after="0"/>
    </w:pPr>
    <w:rPr>
      <w:rFonts w:ascii="Times New Roman Bold" w:hAnsi="Times New Roman Bold"/>
      <w:bCs/>
    </w:rPr>
  </w:style>
  <w:style w:type="paragraph" w:styleId="TOC1">
    <w:name w:val="toc 1"/>
    <w:basedOn w:val="Normal"/>
    <w:next w:val="Normal"/>
    <w:autoRedefine/>
    <w:uiPriority w:val="39"/>
    <w:unhideWhenUsed/>
    <w:rsid w:val="00677B4A"/>
    <w:pPr>
      <w:spacing w:after="0"/>
      <w:jc w:val="left"/>
    </w:pPr>
    <w:rPr>
      <w:rFonts w:asciiTheme="minorHAnsi" w:hAnsiTheme="minorHAnsi"/>
      <w:b/>
      <w:caps/>
      <w:sz w:val="22"/>
      <w:szCs w:val="22"/>
    </w:rPr>
  </w:style>
  <w:style w:type="paragraph" w:styleId="TOC2">
    <w:name w:val="toc 2"/>
    <w:basedOn w:val="Normal"/>
    <w:next w:val="Normal"/>
    <w:autoRedefine/>
    <w:uiPriority w:val="39"/>
    <w:unhideWhenUsed/>
    <w:rsid w:val="00677B4A"/>
    <w:pPr>
      <w:spacing w:before="0" w:after="0"/>
      <w:ind w:left="240"/>
      <w:jc w:val="left"/>
    </w:pPr>
    <w:rPr>
      <w:rFonts w:asciiTheme="minorHAnsi" w:hAnsiTheme="minorHAnsi"/>
      <w:smallCaps/>
      <w:sz w:val="22"/>
      <w:szCs w:val="22"/>
    </w:rPr>
  </w:style>
  <w:style w:type="paragraph" w:styleId="TOC3">
    <w:name w:val="toc 3"/>
    <w:basedOn w:val="Normal"/>
    <w:next w:val="Normal"/>
    <w:autoRedefine/>
    <w:uiPriority w:val="39"/>
    <w:unhideWhenUsed/>
    <w:rsid w:val="00677B4A"/>
    <w:pPr>
      <w:spacing w:before="0" w:after="0"/>
      <w:ind w:left="480"/>
      <w:jc w:val="left"/>
    </w:pPr>
    <w:rPr>
      <w:rFonts w:asciiTheme="minorHAnsi" w:hAnsiTheme="minorHAnsi"/>
      <w:i/>
      <w:sz w:val="22"/>
      <w:szCs w:val="22"/>
    </w:rPr>
  </w:style>
  <w:style w:type="paragraph" w:styleId="TOC4">
    <w:name w:val="toc 4"/>
    <w:basedOn w:val="Normal"/>
    <w:next w:val="Normal"/>
    <w:autoRedefine/>
    <w:uiPriority w:val="39"/>
    <w:unhideWhenUsed/>
    <w:rsid w:val="00677B4A"/>
    <w:pPr>
      <w:spacing w:before="0" w:after="0"/>
      <w:ind w:left="720"/>
      <w:jc w:val="left"/>
    </w:pPr>
    <w:rPr>
      <w:rFonts w:asciiTheme="minorHAnsi" w:hAnsiTheme="minorHAnsi"/>
      <w:sz w:val="18"/>
      <w:szCs w:val="18"/>
    </w:rPr>
  </w:style>
  <w:style w:type="paragraph" w:styleId="TOC5">
    <w:name w:val="toc 5"/>
    <w:basedOn w:val="Normal"/>
    <w:next w:val="Normal"/>
    <w:autoRedefine/>
    <w:uiPriority w:val="39"/>
    <w:unhideWhenUsed/>
    <w:rsid w:val="00677B4A"/>
    <w:pPr>
      <w:spacing w:before="0" w:after="0"/>
      <w:ind w:left="960"/>
      <w:jc w:val="left"/>
    </w:pPr>
    <w:rPr>
      <w:rFonts w:asciiTheme="minorHAnsi" w:hAnsiTheme="minorHAnsi"/>
      <w:sz w:val="18"/>
      <w:szCs w:val="18"/>
    </w:rPr>
  </w:style>
  <w:style w:type="paragraph" w:styleId="TOC6">
    <w:name w:val="toc 6"/>
    <w:basedOn w:val="Normal"/>
    <w:next w:val="Normal"/>
    <w:autoRedefine/>
    <w:uiPriority w:val="39"/>
    <w:unhideWhenUsed/>
    <w:rsid w:val="00677B4A"/>
    <w:pPr>
      <w:spacing w:before="0" w:after="0"/>
      <w:ind w:left="1200"/>
      <w:jc w:val="left"/>
    </w:pPr>
    <w:rPr>
      <w:rFonts w:asciiTheme="minorHAnsi" w:hAnsiTheme="minorHAnsi"/>
      <w:sz w:val="18"/>
      <w:szCs w:val="18"/>
    </w:rPr>
  </w:style>
  <w:style w:type="paragraph" w:styleId="TOC7">
    <w:name w:val="toc 7"/>
    <w:basedOn w:val="Normal"/>
    <w:next w:val="Normal"/>
    <w:autoRedefine/>
    <w:uiPriority w:val="39"/>
    <w:unhideWhenUsed/>
    <w:rsid w:val="00677B4A"/>
    <w:pPr>
      <w:spacing w:before="0" w:after="0"/>
      <w:ind w:left="1440"/>
      <w:jc w:val="left"/>
    </w:pPr>
    <w:rPr>
      <w:rFonts w:asciiTheme="minorHAnsi" w:hAnsiTheme="minorHAnsi"/>
      <w:sz w:val="18"/>
      <w:szCs w:val="18"/>
    </w:rPr>
  </w:style>
  <w:style w:type="paragraph" w:styleId="TOC8">
    <w:name w:val="toc 8"/>
    <w:basedOn w:val="Normal"/>
    <w:next w:val="Normal"/>
    <w:autoRedefine/>
    <w:uiPriority w:val="39"/>
    <w:unhideWhenUsed/>
    <w:rsid w:val="00677B4A"/>
    <w:pPr>
      <w:spacing w:before="0" w:after="0"/>
      <w:ind w:left="1680"/>
      <w:jc w:val="left"/>
    </w:pPr>
    <w:rPr>
      <w:rFonts w:asciiTheme="minorHAnsi" w:hAnsiTheme="minorHAnsi"/>
      <w:sz w:val="18"/>
      <w:szCs w:val="18"/>
    </w:rPr>
  </w:style>
  <w:style w:type="paragraph" w:styleId="TOC9">
    <w:name w:val="toc 9"/>
    <w:basedOn w:val="Normal"/>
    <w:next w:val="Normal"/>
    <w:autoRedefine/>
    <w:uiPriority w:val="39"/>
    <w:unhideWhenUsed/>
    <w:rsid w:val="00677B4A"/>
    <w:pPr>
      <w:spacing w:before="0" w:after="0"/>
      <w:ind w:left="1920"/>
      <w:jc w:val="left"/>
    </w:pPr>
    <w:rPr>
      <w:rFonts w:asciiTheme="minorHAnsi" w:hAnsiTheme="minorHAnsi"/>
      <w:sz w:val="18"/>
      <w:szCs w:val="18"/>
    </w:rPr>
  </w:style>
  <w:style w:type="paragraph" w:styleId="BalloonText">
    <w:name w:val="Balloon Text"/>
    <w:basedOn w:val="Normal"/>
    <w:link w:val="BalloonTextChar"/>
    <w:uiPriority w:val="99"/>
    <w:semiHidden/>
    <w:unhideWhenUsed/>
    <w:rsid w:val="00677B4A"/>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7B4A"/>
    <w:rPr>
      <w:rFonts w:ascii="Lucida Grande" w:hAnsi="Lucida Grande" w:cs="Lucida Grande"/>
      <w:sz w:val="18"/>
      <w:szCs w:val="18"/>
      <w:lang w:val="en-AU"/>
    </w:rPr>
  </w:style>
  <w:style w:type="paragraph" w:styleId="ListParagraph">
    <w:name w:val="List Paragraph"/>
    <w:basedOn w:val="Normal"/>
    <w:uiPriority w:val="99"/>
    <w:qFormat/>
    <w:rsid w:val="00DF5CD8"/>
    <w:pPr>
      <w:spacing w:before="0" w:after="0"/>
      <w:ind w:left="720"/>
      <w:contextualSpacing/>
      <w:jc w:val="left"/>
    </w:pPr>
    <w:rPr>
      <w:rFonts w:eastAsia="Times New Roman"/>
      <w:szCs w:val="24"/>
      <w:lang w:eastAsia="en-US"/>
    </w:rPr>
  </w:style>
  <w:style w:type="table" w:styleId="TableGrid">
    <w:name w:val="Table Grid"/>
    <w:basedOn w:val="TableNormal"/>
    <w:uiPriority w:val="99"/>
    <w:rsid w:val="00DF5CD8"/>
    <w:rPr>
      <w:rFonts w:eastAsia="Times New Roman"/>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FQPartA-Level2">
    <w:name w:val="RFQ PartA - Level 2"/>
    <w:basedOn w:val="ListNumber2"/>
    <w:next w:val="Normal"/>
    <w:rsid w:val="00540E7A"/>
    <w:pPr>
      <w:tabs>
        <w:tab w:val="num" w:pos="360"/>
      </w:tabs>
      <w:spacing w:before="0" w:after="0"/>
      <w:contextualSpacing w:val="0"/>
      <w:jc w:val="left"/>
    </w:pPr>
    <w:rPr>
      <w:rFonts w:ascii="Arial" w:eastAsia="Times New Roman" w:hAnsi="Arial" w:cs="Arial"/>
      <w:sz w:val="22"/>
      <w:szCs w:val="22"/>
      <w:lang w:val="en-US" w:eastAsia="en-AU"/>
    </w:rPr>
  </w:style>
  <w:style w:type="paragraph" w:styleId="ListNumber2">
    <w:name w:val="List Number 2"/>
    <w:basedOn w:val="Normal"/>
    <w:uiPriority w:val="99"/>
    <w:semiHidden/>
    <w:unhideWhenUsed/>
    <w:rsid w:val="00540E7A"/>
    <w:pPr>
      <w:tabs>
        <w:tab w:val="num" w:pos="432"/>
      </w:tabs>
      <w:ind w:left="432" w:hanging="432"/>
      <w:contextualSpacing/>
    </w:pPr>
  </w:style>
  <w:style w:type="paragraph" w:customStyle="1" w:styleId="ReportBodyText">
    <w:name w:val="Report Body Text"/>
    <w:qFormat/>
    <w:rsid w:val="00E604FA"/>
    <w:pPr>
      <w:spacing w:before="200" w:after="120" w:line="240" w:lineRule="atLeast"/>
      <w:jc w:val="both"/>
    </w:pPr>
    <w:rPr>
      <w:rFonts w:ascii="Arial" w:eastAsia="Calibri" w:hAnsi="Arial" w:cs="Arial"/>
      <w:sz w:val="22"/>
      <w:szCs w:val="20"/>
      <w:lang w:val="en-AU" w:eastAsia="en-US"/>
    </w:rPr>
  </w:style>
  <w:style w:type="paragraph" w:styleId="Caption">
    <w:name w:val="caption"/>
    <w:basedOn w:val="Normal"/>
    <w:next w:val="Normal"/>
    <w:qFormat/>
    <w:rsid w:val="00E604FA"/>
    <w:pPr>
      <w:spacing w:before="200"/>
      <w:ind w:left="1021" w:hanging="1021"/>
      <w:jc w:val="left"/>
    </w:pPr>
    <w:rPr>
      <w:rFonts w:ascii="Arial Bold" w:eastAsia="Calibri" w:hAnsi="Arial Bold"/>
      <w:b/>
      <w:bCs/>
      <w:color w:val="008FC5"/>
      <w:sz w:val="18"/>
      <w:lang w:eastAsia="en-US"/>
    </w:rPr>
  </w:style>
  <w:style w:type="paragraph" w:customStyle="1" w:styleId="ReportBullet1">
    <w:name w:val="Report Bullet 1"/>
    <w:basedOn w:val="Normal"/>
    <w:qFormat/>
    <w:rsid w:val="00E604FA"/>
    <w:pPr>
      <w:keepNext/>
      <w:numPr>
        <w:numId w:val="12"/>
      </w:numPr>
      <w:jc w:val="left"/>
    </w:pPr>
    <w:rPr>
      <w:rFonts w:ascii="Arial" w:eastAsia="Calibri" w:hAnsi="Arial" w:cs="Arial"/>
      <w:sz w:val="22"/>
      <w:szCs w:val="22"/>
      <w:lang w:eastAsia="en-US"/>
    </w:rPr>
  </w:style>
  <w:style w:type="paragraph" w:customStyle="1" w:styleId="ReportTableText">
    <w:name w:val="Report Table Text"/>
    <w:basedOn w:val="Normal"/>
    <w:rsid w:val="00E604FA"/>
    <w:pPr>
      <w:widowControl w:val="0"/>
      <w:suppressAutoHyphens/>
      <w:autoSpaceDE w:val="0"/>
      <w:autoSpaceDN w:val="0"/>
      <w:adjustRightInd w:val="0"/>
      <w:spacing w:before="40" w:after="40" w:line="240" w:lineRule="atLeast"/>
      <w:jc w:val="left"/>
      <w:textAlignment w:val="center"/>
    </w:pPr>
    <w:rPr>
      <w:rFonts w:ascii="Arial" w:eastAsia="Times New Roman" w:hAnsi="Arial"/>
      <w:sz w:val="18"/>
      <w:lang w:val="en-GB" w:eastAsia="en-US"/>
    </w:rPr>
  </w:style>
  <w:style w:type="paragraph" w:customStyle="1" w:styleId="Notes">
    <w:name w:val="Notes"/>
    <w:qFormat/>
    <w:rsid w:val="00E604FA"/>
    <w:pPr>
      <w:spacing w:before="40" w:after="40"/>
    </w:pPr>
    <w:rPr>
      <w:rFonts w:ascii="Arial" w:eastAsia="Calibri" w:hAnsi="Arial" w:cs="Arial"/>
      <w:sz w:val="16"/>
      <w:szCs w:val="20"/>
      <w:lang w:val="en-AU" w:eastAsia="en-US"/>
    </w:rPr>
  </w:style>
  <w:style w:type="character" w:styleId="FootnoteReference">
    <w:name w:val="footnote reference"/>
    <w:basedOn w:val="DefaultParagraphFont"/>
    <w:semiHidden/>
    <w:unhideWhenUsed/>
    <w:rsid w:val="00E604FA"/>
    <w:rPr>
      <w:vertAlign w:val="superscript"/>
    </w:rPr>
  </w:style>
  <w:style w:type="paragraph" w:customStyle="1" w:styleId="ReportTableHeading">
    <w:name w:val="Report Table Heading"/>
    <w:basedOn w:val="ReportTableText"/>
    <w:qFormat/>
    <w:rsid w:val="00E604FA"/>
    <w:pPr>
      <w:spacing w:before="120" w:after="120" w:line="240" w:lineRule="auto"/>
    </w:pPr>
    <w:rPr>
      <w:rFonts w:cs="Arial"/>
      <w:b/>
      <w:bCs/>
      <w:color w:val="FFFFFF"/>
      <w:szCs w:val="18"/>
    </w:rPr>
  </w:style>
  <w:style w:type="paragraph" w:customStyle="1" w:styleId="ReportNumbering">
    <w:name w:val="Report Numbering"/>
    <w:qFormat/>
    <w:rsid w:val="00F501C8"/>
    <w:pPr>
      <w:numPr>
        <w:numId w:val="14"/>
      </w:numPr>
      <w:spacing w:before="200" w:after="120"/>
    </w:pPr>
    <w:rPr>
      <w:rFonts w:ascii="Arial" w:eastAsia="Calibri" w:hAnsi="Arial" w:cs="Arial"/>
      <w:color w:val="221E1F"/>
      <w:sz w:val="22"/>
      <w:szCs w:val="20"/>
      <w:lang w:val="sv-SE" w:eastAsia="en-US"/>
    </w:rPr>
  </w:style>
  <w:style w:type="character" w:styleId="CommentReference">
    <w:name w:val="annotation reference"/>
    <w:basedOn w:val="DefaultParagraphFont"/>
    <w:uiPriority w:val="99"/>
    <w:semiHidden/>
    <w:unhideWhenUsed/>
    <w:rsid w:val="00371181"/>
    <w:rPr>
      <w:sz w:val="16"/>
      <w:szCs w:val="16"/>
    </w:rPr>
  </w:style>
  <w:style w:type="paragraph" w:styleId="CommentText">
    <w:name w:val="annotation text"/>
    <w:basedOn w:val="Normal"/>
    <w:link w:val="CommentTextChar"/>
    <w:uiPriority w:val="99"/>
    <w:semiHidden/>
    <w:unhideWhenUsed/>
    <w:rsid w:val="00371181"/>
    <w:rPr>
      <w:rFonts w:eastAsia="Times New Roman"/>
      <w:sz w:val="20"/>
      <w:lang w:eastAsia="en-US"/>
    </w:rPr>
  </w:style>
  <w:style w:type="character" w:customStyle="1" w:styleId="CommentTextChar">
    <w:name w:val="Comment Text Char"/>
    <w:basedOn w:val="DefaultParagraphFont"/>
    <w:link w:val="CommentText"/>
    <w:uiPriority w:val="99"/>
    <w:semiHidden/>
    <w:rsid w:val="00371181"/>
    <w:rPr>
      <w:rFonts w:ascii="Times New Roman" w:eastAsia="Times New Roman" w:hAnsi="Times New Roman" w:cs="Times New Roman"/>
      <w:sz w:val="20"/>
      <w:szCs w:val="20"/>
      <w:lang w:val="en-AU" w:eastAsia="en-US"/>
    </w:rPr>
  </w:style>
  <w:style w:type="paragraph" w:styleId="BlockText">
    <w:name w:val="Block Text"/>
    <w:basedOn w:val="Normal"/>
    <w:uiPriority w:val="99"/>
    <w:rsid w:val="00284D69"/>
    <w:pPr>
      <w:ind w:left="426" w:right="426"/>
    </w:pPr>
    <w:rPr>
      <w:rFonts w:eastAsia="MS Minngs"/>
      <w:szCs w:val="24"/>
      <w:lang w:val="en-US" w:eastAsia="en-US"/>
    </w:rPr>
  </w:style>
  <w:style w:type="paragraph" w:styleId="CommentSubject">
    <w:name w:val="annotation subject"/>
    <w:basedOn w:val="CommentText"/>
    <w:next w:val="CommentText"/>
    <w:link w:val="CommentSubjectChar"/>
    <w:uiPriority w:val="99"/>
    <w:semiHidden/>
    <w:unhideWhenUsed/>
    <w:rsid w:val="00207904"/>
    <w:rPr>
      <w:rFonts w:eastAsiaTheme="minorEastAsia"/>
      <w:b/>
      <w:bCs/>
      <w:lang w:eastAsia="ja-JP"/>
    </w:rPr>
  </w:style>
  <w:style w:type="character" w:customStyle="1" w:styleId="CommentSubjectChar">
    <w:name w:val="Comment Subject Char"/>
    <w:basedOn w:val="CommentTextChar"/>
    <w:link w:val="CommentSubject"/>
    <w:uiPriority w:val="99"/>
    <w:semiHidden/>
    <w:rsid w:val="00207904"/>
    <w:rPr>
      <w:rFonts w:ascii="Times New Roman" w:eastAsia="Times New Roman" w:hAnsi="Times New Roman" w:cs="Times New Roman"/>
      <w:b/>
      <w:bCs/>
      <w:sz w:val="20"/>
      <w:szCs w:val="20"/>
      <w:lang w:val="en-AU" w:eastAsia="en-US"/>
    </w:rPr>
  </w:style>
  <w:style w:type="character" w:styleId="Hyperlink">
    <w:name w:val="Hyperlink"/>
    <w:basedOn w:val="DefaultParagraphFont"/>
    <w:uiPriority w:val="99"/>
    <w:unhideWhenUsed/>
    <w:rsid w:val="00973176"/>
    <w:rPr>
      <w:color w:val="0000FF" w:themeColor="hyperlink"/>
      <w:u w:val="single"/>
    </w:rPr>
  </w:style>
  <w:style w:type="character" w:styleId="Strong">
    <w:name w:val="Strong"/>
    <w:basedOn w:val="DefaultParagraphFont"/>
    <w:qFormat/>
    <w:rsid w:val="00FA3D5A"/>
    <w:rPr>
      <w:b/>
      <w:bCs/>
    </w:rPr>
  </w:style>
  <w:style w:type="paragraph" w:customStyle="1" w:styleId="Default">
    <w:name w:val="Default"/>
    <w:rsid w:val="0060630C"/>
    <w:pPr>
      <w:autoSpaceDE w:val="0"/>
      <w:autoSpaceDN w:val="0"/>
      <w:adjustRightInd w:val="0"/>
    </w:pPr>
    <w:rPr>
      <w:rFonts w:ascii="Helvetica Neue CE" w:hAnsi="Helvetica Neue CE" w:cs="Helvetica Neue CE"/>
      <w:color w:val="000000"/>
      <w:lang w:val="en-AU"/>
    </w:rPr>
  </w:style>
  <w:style w:type="character" w:customStyle="1" w:styleId="A5">
    <w:name w:val="A5"/>
    <w:uiPriority w:val="99"/>
    <w:rsid w:val="0060630C"/>
    <w:rPr>
      <w:rFonts w:cs="Helvetica Neue CE"/>
      <w:color w:val="000000"/>
      <w:sz w:val="18"/>
      <w:szCs w:val="18"/>
    </w:rPr>
  </w:style>
  <w:style w:type="paragraph" w:styleId="Revision">
    <w:name w:val="Revision"/>
    <w:hidden/>
    <w:uiPriority w:val="99"/>
    <w:semiHidden/>
    <w:rsid w:val="001965B0"/>
    <w:rPr>
      <w:rFonts w:ascii="Times New Roman" w:hAnsi="Times New Roman" w:cs="Times New Roman"/>
      <w:szCs w:val="20"/>
      <w:lang w:val="en-AU"/>
    </w:rPr>
  </w:style>
  <w:style w:type="paragraph" w:styleId="ListBullet">
    <w:name w:val="List Bullet"/>
    <w:basedOn w:val="Normal"/>
    <w:uiPriority w:val="99"/>
    <w:unhideWhenUsed/>
    <w:rsid w:val="00B50979"/>
    <w:pPr>
      <w:numPr>
        <w:numId w:val="23"/>
      </w:numPr>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 List" w:uiPriority="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815"/>
    <w:pPr>
      <w:spacing w:before="120" w:after="120"/>
      <w:jc w:val="both"/>
    </w:pPr>
    <w:rPr>
      <w:rFonts w:ascii="Times New Roman" w:hAnsi="Times New Roman" w:cs="Times New Roman"/>
      <w:szCs w:val="20"/>
      <w:lang w:val="en-AU"/>
    </w:rPr>
  </w:style>
  <w:style w:type="paragraph" w:styleId="Heading1">
    <w:name w:val="heading 1"/>
    <w:basedOn w:val="Normal"/>
    <w:next w:val="Normal"/>
    <w:link w:val="Heading1Char"/>
    <w:uiPriority w:val="99"/>
    <w:qFormat/>
    <w:rsid w:val="005D2815"/>
    <w:pPr>
      <w:keepNext/>
      <w:numPr>
        <w:numId w:val="4"/>
      </w:numPr>
      <w:tabs>
        <w:tab w:val="left" w:pos="851"/>
      </w:tabs>
      <w:spacing w:after="240"/>
      <w:outlineLvl w:val="0"/>
    </w:pPr>
    <w:rPr>
      <w:b/>
      <w:caps/>
      <w:kern w:val="28"/>
      <w:sz w:val="28"/>
    </w:rPr>
  </w:style>
  <w:style w:type="paragraph" w:styleId="Heading2">
    <w:name w:val="heading 2"/>
    <w:basedOn w:val="Normal"/>
    <w:next w:val="Normal"/>
    <w:link w:val="Heading2Char"/>
    <w:uiPriority w:val="99"/>
    <w:qFormat/>
    <w:rsid w:val="005D2815"/>
    <w:pPr>
      <w:keepNext/>
      <w:numPr>
        <w:ilvl w:val="1"/>
        <w:numId w:val="4"/>
      </w:numPr>
      <w:tabs>
        <w:tab w:val="left" w:pos="851"/>
      </w:tabs>
      <w:outlineLvl w:val="1"/>
    </w:pPr>
    <w:rPr>
      <w:b/>
      <w:smallCaps/>
      <w:sz w:val="28"/>
    </w:rPr>
  </w:style>
  <w:style w:type="paragraph" w:styleId="Heading3">
    <w:name w:val="heading 3"/>
    <w:basedOn w:val="Normal"/>
    <w:next w:val="Normal"/>
    <w:link w:val="Heading3Char"/>
    <w:uiPriority w:val="99"/>
    <w:qFormat/>
    <w:rsid w:val="005D2815"/>
    <w:pPr>
      <w:keepNext/>
      <w:numPr>
        <w:ilvl w:val="2"/>
        <w:numId w:val="4"/>
      </w:numPr>
      <w:tabs>
        <w:tab w:val="left" w:pos="851"/>
      </w:tabs>
      <w:outlineLvl w:val="2"/>
    </w:pPr>
    <w:rPr>
      <w:b/>
      <w:sz w:val="28"/>
    </w:rPr>
  </w:style>
  <w:style w:type="paragraph" w:styleId="Heading4">
    <w:name w:val="heading 4"/>
    <w:basedOn w:val="Normal"/>
    <w:next w:val="Normal"/>
    <w:link w:val="Heading4Char"/>
    <w:qFormat/>
    <w:rsid w:val="005D2815"/>
    <w:pPr>
      <w:keepNext/>
      <w:tabs>
        <w:tab w:val="left" w:pos="851"/>
      </w:tabs>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
    <w:name w:val="bullet"/>
    <w:basedOn w:val="Normal"/>
    <w:rsid w:val="005D2815"/>
    <w:pPr>
      <w:numPr>
        <w:numId w:val="1"/>
      </w:numPr>
      <w:tabs>
        <w:tab w:val="left" w:pos="567"/>
      </w:tabs>
      <w:spacing w:before="60" w:after="60"/>
    </w:pPr>
  </w:style>
  <w:style w:type="paragraph" w:styleId="Footer">
    <w:name w:val="footer"/>
    <w:basedOn w:val="Normal"/>
    <w:link w:val="FooterChar"/>
    <w:rsid w:val="005D2815"/>
    <w:pPr>
      <w:tabs>
        <w:tab w:val="center" w:pos="4320"/>
        <w:tab w:val="right" w:pos="8640"/>
      </w:tabs>
    </w:pPr>
  </w:style>
  <w:style w:type="character" w:customStyle="1" w:styleId="FooterChar">
    <w:name w:val="Footer Char"/>
    <w:basedOn w:val="DefaultParagraphFont"/>
    <w:link w:val="Footer"/>
    <w:rsid w:val="005D2815"/>
    <w:rPr>
      <w:rFonts w:ascii="Times New Roman" w:eastAsia="Times New Roman" w:hAnsi="Times New Roman" w:cs="Times New Roman"/>
      <w:szCs w:val="20"/>
      <w:lang w:val="en-AU"/>
    </w:rPr>
  </w:style>
  <w:style w:type="paragraph" w:styleId="Header">
    <w:name w:val="header"/>
    <w:basedOn w:val="Normal"/>
    <w:link w:val="HeaderChar"/>
    <w:rsid w:val="005D2815"/>
    <w:pPr>
      <w:tabs>
        <w:tab w:val="center" w:pos="4320"/>
        <w:tab w:val="right" w:pos="8640"/>
      </w:tabs>
    </w:pPr>
  </w:style>
  <w:style w:type="character" w:customStyle="1" w:styleId="HeaderChar">
    <w:name w:val="Header Char"/>
    <w:basedOn w:val="DefaultParagraphFont"/>
    <w:link w:val="Header"/>
    <w:rsid w:val="005D2815"/>
    <w:rPr>
      <w:rFonts w:ascii="Times New Roman" w:eastAsia="Times New Roman" w:hAnsi="Times New Roman" w:cs="Times New Roman"/>
      <w:szCs w:val="20"/>
      <w:lang w:val="en-AU"/>
    </w:rPr>
  </w:style>
  <w:style w:type="character" w:customStyle="1" w:styleId="Heading1Char">
    <w:name w:val="Heading 1 Char"/>
    <w:basedOn w:val="DefaultParagraphFont"/>
    <w:link w:val="Heading1"/>
    <w:rsid w:val="005D2815"/>
    <w:rPr>
      <w:rFonts w:ascii="Times New Roman" w:hAnsi="Times New Roman" w:cs="Times New Roman"/>
      <w:b/>
      <w:caps/>
      <w:kern w:val="28"/>
      <w:sz w:val="28"/>
      <w:szCs w:val="20"/>
      <w:lang w:val="en-AU"/>
    </w:rPr>
  </w:style>
  <w:style w:type="character" w:customStyle="1" w:styleId="Heading2Char">
    <w:name w:val="Heading 2 Char"/>
    <w:basedOn w:val="DefaultParagraphFont"/>
    <w:link w:val="Heading2"/>
    <w:rsid w:val="005D2815"/>
    <w:rPr>
      <w:rFonts w:ascii="Times New Roman" w:hAnsi="Times New Roman" w:cs="Times New Roman"/>
      <w:b/>
      <w:smallCaps/>
      <w:sz w:val="28"/>
      <w:szCs w:val="20"/>
      <w:lang w:val="en-AU"/>
    </w:rPr>
  </w:style>
  <w:style w:type="character" w:customStyle="1" w:styleId="Heading3Char">
    <w:name w:val="Heading 3 Char"/>
    <w:basedOn w:val="DefaultParagraphFont"/>
    <w:link w:val="Heading3"/>
    <w:uiPriority w:val="99"/>
    <w:rsid w:val="005D2815"/>
    <w:rPr>
      <w:rFonts w:ascii="Times New Roman" w:hAnsi="Times New Roman" w:cs="Times New Roman"/>
      <w:b/>
      <w:sz w:val="28"/>
      <w:szCs w:val="20"/>
      <w:lang w:val="en-AU"/>
    </w:rPr>
  </w:style>
  <w:style w:type="character" w:customStyle="1" w:styleId="Heading4Char">
    <w:name w:val="Heading 4 Char"/>
    <w:basedOn w:val="DefaultParagraphFont"/>
    <w:link w:val="Heading4"/>
    <w:rsid w:val="005D2815"/>
    <w:rPr>
      <w:rFonts w:ascii="Times New Roman" w:eastAsia="Times New Roman" w:hAnsi="Times New Roman" w:cs="Times New Roman"/>
      <w:b/>
      <w:szCs w:val="20"/>
      <w:lang w:val="en-AU"/>
    </w:rPr>
  </w:style>
  <w:style w:type="character" w:styleId="PageNumber">
    <w:name w:val="page number"/>
    <w:basedOn w:val="DefaultParagraphFont"/>
    <w:rsid w:val="005D2815"/>
  </w:style>
  <w:style w:type="paragraph" w:customStyle="1" w:styleId="TableHeading">
    <w:name w:val="Table Heading"/>
    <w:basedOn w:val="Heading4"/>
    <w:rsid w:val="005D2815"/>
    <w:pPr>
      <w:spacing w:after="0"/>
    </w:pPr>
    <w:rPr>
      <w:rFonts w:ascii="Times New Roman Bold" w:hAnsi="Times New Roman Bold"/>
      <w:bCs/>
    </w:rPr>
  </w:style>
  <w:style w:type="paragraph" w:styleId="TOC1">
    <w:name w:val="toc 1"/>
    <w:basedOn w:val="Normal"/>
    <w:next w:val="Normal"/>
    <w:autoRedefine/>
    <w:uiPriority w:val="39"/>
    <w:unhideWhenUsed/>
    <w:rsid w:val="00677B4A"/>
    <w:pPr>
      <w:spacing w:after="0"/>
      <w:jc w:val="left"/>
    </w:pPr>
    <w:rPr>
      <w:rFonts w:asciiTheme="minorHAnsi" w:hAnsiTheme="minorHAnsi"/>
      <w:b/>
      <w:caps/>
      <w:sz w:val="22"/>
      <w:szCs w:val="22"/>
    </w:rPr>
  </w:style>
  <w:style w:type="paragraph" w:styleId="TOC2">
    <w:name w:val="toc 2"/>
    <w:basedOn w:val="Normal"/>
    <w:next w:val="Normal"/>
    <w:autoRedefine/>
    <w:uiPriority w:val="39"/>
    <w:unhideWhenUsed/>
    <w:rsid w:val="00677B4A"/>
    <w:pPr>
      <w:spacing w:before="0" w:after="0"/>
      <w:ind w:left="240"/>
      <w:jc w:val="left"/>
    </w:pPr>
    <w:rPr>
      <w:rFonts w:asciiTheme="minorHAnsi" w:hAnsiTheme="minorHAnsi"/>
      <w:smallCaps/>
      <w:sz w:val="22"/>
      <w:szCs w:val="22"/>
    </w:rPr>
  </w:style>
  <w:style w:type="paragraph" w:styleId="TOC3">
    <w:name w:val="toc 3"/>
    <w:basedOn w:val="Normal"/>
    <w:next w:val="Normal"/>
    <w:autoRedefine/>
    <w:uiPriority w:val="39"/>
    <w:unhideWhenUsed/>
    <w:rsid w:val="00677B4A"/>
    <w:pPr>
      <w:spacing w:before="0" w:after="0"/>
      <w:ind w:left="480"/>
      <w:jc w:val="left"/>
    </w:pPr>
    <w:rPr>
      <w:rFonts w:asciiTheme="minorHAnsi" w:hAnsiTheme="minorHAnsi"/>
      <w:i/>
      <w:sz w:val="22"/>
      <w:szCs w:val="22"/>
    </w:rPr>
  </w:style>
  <w:style w:type="paragraph" w:styleId="TOC4">
    <w:name w:val="toc 4"/>
    <w:basedOn w:val="Normal"/>
    <w:next w:val="Normal"/>
    <w:autoRedefine/>
    <w:uiPriority w:val="39"/>
    <w:unhideWhenUsed/>
    <w:rsid w:val="00677B4A"/>
    <w:pPr>
      <w:spacing w:before="0" w:after="0"/>
      <w:ind w:left="720"/>
      <w:jc w:val="left"/>
    </w:pPr>
    <w:rPr>
      <w:rFonts w:asciiTheme="minorHAnsi" w:hAnsiTheme="minorHAnsi"/>
      <w:sz w:val="18"/>
      <w:szCs w:val="18"/>
    </w:rPr>
  </w:style>
  <w:style w:type="paragraph" w:styleId="TOC5">
    <w:name w:val="toc 5"/>
    <w:basedOn w:val="Normal"/>
    <w:next w:val="Normal"/>
    <w:autoRedefine/>
    <w:uiPriority w:val="39"/>
    <w:unhideWhenUsed/>
    <w:rsid w:val="00677B4A"/>
    <w:pPr>
      <w:spacing w:before="0" w:after="0"/>
      <w:ind w:left="960"/>
      <w:jc w:val="left"/>
    </w:pPr>
    <w:rPr>
      <w:rFonts w:asciiTheme="minorHAnsi" w:hAnsiTheme="minorHAnsi"/>
      <w:sz w:val="18"/>
      <w:szCs w:val="18"/>
    </w:rPr>
  </w:style>
  <w:style w:type="paragraph" w:styleId="TOC6">
    <w:name w:val="toc 6"/>
    <w:basedOn w:val="Normal"/>
    <w:next w:val="Normal"/>
    <w:autoRedefine/>
    <w:uiPriority w:val="39"/>
    <w:unhideWhenUsed/>
    <w:rsid w:val="00677B4A"/>
    <w:pPr>
      <w:spacing w:before="0" w:after="0"/>
      <w:ind w:left="1200"/>
      <w:jc w:val="left"/>
    </w:pPr>
    <w:rPr>
      <w:rFonts w:asciiTheme="minorHAnsi" w:hAnsiTheme="minorHAnsi"/>
      <w:sz w:val="18"/>
      <w:szCs w:val="18"/>
    </w:rPr>
  </w:style>
  <w:style w:type="paragraph" w:styleId="TOC7">
    <w:name w:val="toc 7"/>
    <w:basedOn w:val="Normal"/>
    <w:next w:val="Normal"/>
    <w:autoRedefine/>
    <w:uiPriority w:val="39"/>
    <w:unhideWhenUsed/>
    <w:rsid w:val="00677B4A"/>
    <w:pPr>
      <w:spacing w:before="0" w:after="0"/>
      <w:ind w:left="1440"/>
      <w:jc w:val="left"/>
    </w:pPr>
    <w:rPr>
      <w:rFonts w:asciiTheme="minorHAnsi" w:hAnsiTheme="minorHAnsi"/>
      <w:sz w:val="18"/>
      <w:szCs w:val="18"/>
    </w:rPr>
  </w:style>
  <w:style w:type="paragraph" w:styleId="TOC8">
    <w:name w:val="toc 8"/>
    <w:basedOn w:val="Normal"/>
    <w:next w:val="Normal"/>
    <w:autoRedefine/>
    <w:uiPriority w:val="39"/>
    <w:unhideWhenUsed/>
    <w:rsid w:val="00677B4A"/>
    <w:pPr>
      <w:spacing w:before="0" w:after="0"/>
      <w:ind w:left="1680"/>
      <w:jc w:val="left"/>
    </w:pPr>
    <w:rPr>
      <w:rFonts w:asciiTheme="minorHAnsi" w:hAnsiTheme="minorHAnsi"/>
      <w:sz w:val="18"/>
      <w:szCs w:val="18"/>
    </w:rPr>
  </w:style>
  <w:style w:type="paragraph" w:styleId="TOC9">
    <w:name w:val="toc 9"/>
    <w:basedOn w:val="Normal"/>
    <w:next w:val="Normal"/>
    <w:autoRedefine/>
    <w:uiPriority w:val="39"/>
    <w:unhideWhenUsed/>
    <w:rsid w:val="00677B4A"/>
    <w:pPr>
      <w:spacing w:before="0" w:after="0"/>
      <w:ind w:left="1920"/>
      <w:jc w:val="left"/>
    </w:pPr>
    <w:rPr>
      <w:rFonts w:asciiTheme="minorHAnsi" w:hAnsiTheme="minorHAnsi"/>
      <w:sz w:val="18"/>
      <w:szCs w:val="18"/>
    </w:rPr>
  </w:style>
  <w:style w:type="paragraph" w:styleId="BalloonText">
    <w:name w:val="Balloon Text"/>
    <w:basedOn w:val="Normal"/>
    <w:link w:val="BalloonTextChar"/>
    <w:uiPriority w:val="99"/>
    <w:semiHidden/>
    <w:unhideWhenUsed/>
    <w:rsid w:val="00677B4A"/>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7B4A"/>
    <w:rPr>
      <w:rFonts w:ascii="Lucida Grande" w:hAnsi="Lucida Grande" w:cs="Lucida Grande"/>
      <w:sz w:val="18"/>
      <w:szCs w:val="18"/>
      <w:lang w:val="en-AU"/>
    </w:rPr>
  </w:style>
  <w:style w:type="paragraph" w:styleId="ListParagraph">
    <w:name w:val="List Paragraph"/>
    <w:basedOn w:val="Normal"/>
    <w:uiPriority w:val="99"/>
    <w:qFormat/>
    <w:rsid w:val="00DF5CD8"/>
    <w:pPr>
      <w:spacing w:before="0" w:after="0"/>
      <w:ind w:left="720"/>
      <w:contextualSpacing/>
      <w:jc w:val="left"/>
    </w:pPr>
    <w:rPr>
      <w:rFonts w:eastAsia="Times New Roman"/>
      <w:szCs w:val="24"/>
      <w:lang w:eastAsia="en-US"/>
    </w:rPr>
  </w:style>
  <w:style w:type="table" w:styleId="TableGrid">
    <w:name w:val="Table Grid"/>
    <w:basedOn w:val="TableNormal"/>
    <w:uiPriority w:val="99"/>
    <w:rsid w:val="00DF5CD8"/>
    <w:rPr>
      <w:rFonts w:eastAsia="Times New Roman"/>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FQPartA-Level2">
    <w:name w:val="RFQ PartA - Level 2"/>
    <w:basedOn w:val="ListNumber2"/>
    <w:next w:val="Normal"/>
    <w:rsid w:val="00540E7A"/>
    <w:pPr>
      <w:tabs>
        <w:tab w:val="num" w:pos="360"/>
      </w:tabs>
      <w:spacing w:before="0" w:after="0"/>
      <w:contextualSpacing w:val="0"/>
      <w:jc w:val="left"/>
    </w:pPr>
    <w:rPr>
      <w:rFonts w:ascii="Arial" w:eastAsia="Times New Roman" w:hAnsi="Arial" w:cs="Arial"/>
      <w:sz w:val="22"/>
      <w:szCs w:val="22"/>
      <w:lang w:val="en-US" w:eastAsia="en-AU"/>
    </w:rPr>
  </w:style>
  <w:style w:type="paragraph" w:styleId="ListNumber2">
    <w:name w:val="List Number 2"/>
    <w:basedOn w:val="Normal"/>
    <w:uiPriority w:val="99"/>
    <w:semiHidden/>
    <w:unhideWhenUsed/>
    <w:rsid w:val="00540E7A"/>
    <w:pPr>
      <w:tabs>
        <w:tab w:val="num" w:pos="432"/>
      </w:tabs>
      <w:ind w:left="432" w:hanging="432"/>
      <w:contextualSpacing/>
    </w:pPr>
  </w:style>
  <w:style w:type="paragraph" w:customStyle="1" w:styleId="ReportBodyText">
    <w:name w:val="Report Body Text"/>
    <w:qFormat/>
    <w:rsid w:val="00E604FA"/>
    <w:pPr>
      <w:spacing w:before="200" w:after="120" w:line="240" w:lineRule="atLeast"/>
      <w:jc w:val="both"/>
    </w:pPr>
    <w:rPr>
      <w:rFonts w:ascii="Arial" w:eastAsia="Calibri" w:hAnsi="Arial" w:cs="Arial"/>
      <w:sz w:val="22"/>
      <w:szCs w:val="20"/>
      <w:lang w:val="en-AU" w:eastAsia="en-US"/>
    </w:rPr>
  </w:style>
  <w:style w:type="paragraph" w:styleId="Caption">
    <w:name w:val="caption"/>
    <w:basedOn w:val="Normal"/>
    <w:next w:val="Normal"/>
    <w:qFormat/>
    <w:rsid w:val="00E604FA"/>
    <w:pPr>
      <w:spacing w:before="200"/>
      <w:ind w:left="1021" w:hanging="1021"/>
      <w:jc w:val="left"/>
    </w:pPr>
    <w:rPr>
      <w:rFonts w:ascii="Arial Bold" w:eastAsia="Calibri" w:hAnsi="Arial Bold"/>
      <w:b/>
      <w:bCs/>
      <w:color w:val="008FC5"/>
      <w:sz w:val="18"/>
      <w:lang w:eastAsia="en-US"/>
    </w:rPr>
  </w:style>
  <w:style w:type="paragraph" w:customStyle="1" w:styleId="ReportBullet1">
    <w:name w:val="Report Bullet 1"/>
    <w:basedOn w:val="Normal"/>
    <w:qFormat/>
    <w:rsid w:val="00E604FA"/>
    <w:pPr>
      <w:keepNext/>
      <w:numPr>
        <w:numId w:val="12"/>
      </w:numPr>
      <w:jc w:val="left"/>
    </w:pPr>
    <w:rPr>
      <w:rFonts w:ascii="Arial" w:eastAsia="Calibri" w:hAnsi="Arial" w:cs="Arial"/>
      <w:sz w:val="22"/>
      <w:szCs w:val="22"/>
      <w:lang w:eastAsia="en-US"/>
    </w:rPr>
  </w:style>
  <w:style w:type="paragraph" w:customStyle="1" w:styleId="ReportTableText">
    <w:name w:val="Report Table Text"/>
    <w:basedOn w:val="Normal"/>
    <w:rsid w:val="00E604FA"/>
    <w:pPr>
      <w:widowControl w:val="0"/>
      <w:suppressAutoHyphens/>
      <w:autoSpaceDE w:val="0"/>
      <w:autoSpaceDN w:val="0"/>
      <w:adjustRightInd w:val="0"/>
      <w:spacing w:before="40" w:after="40" w:line="240" w:lineRule="atLeast"/>
      <w:jc w:val="left"/>
      <w:textAlignment w:val="center"/>
    </w:pPr>
    <w:rPr>
      <w:rFonts w:ascii="Arial" w:eastAsia="Times New Roman" w:hAnsi="Arial"/>
      <w:sz w:val="18"/>
      <w:lang w:val="en-GB" w:eastAsia="en-US"/>
    </w:rPr>
  </w:style>
  <w:style w:type="paragraph" w:customStyle="1" w:styleId="Notes">
    <w:name w:val="Notes"/>
    <w:qFormat/>
    <w:rsid w:val="00E604FA"/>
    <w:pPr>
      <w:spacing w:before="40" w:after="40"/>
    </w:pPr>
    <w:rPr>
      <w:rFonts w:ascii="Arial" w:eastAsia="Calibri" w:hAnsi="Arial" w:cs="Arial"/>
      <w:sz w:val="16"/>
      <w:szCs w:val="20"/>
      <w:lang w:val="en-AU" w:eastAsia="en-US"/>
    </w:rPr>
  </w:style>
  <w:style w:type="character" w:styleId="FootnoteReference">
    <w:name w:val="footnote reference"/>
    <w:basedOn w:val="DefaultParagraphFont"/>
    <w:semiHidden/>
    <w:unhideWhenUsed/>
    <w:rsid w:val="00E604FA"/>
    <w:rPr>
      <w:vertAlign w:val="superscript"/>
    </w:rPr>
  </w:style>
  <w:style w:type="paragraph" w:customStyle="1" w:styleId="ReportTableHeading">
    <w:name w:val="Report Table Heading"/>
    <w:basedOn w:val="ReportTableText"/>
    <w:qFormat/>
    <w:rsid w:val="00E604FA"/>
    <w:pPr>
      <w:spacing w:before="120" w:after="120" w:line="240" w:lineRule="auto"/>
    </w:pPr>
    <w:rPr>
      <w:rFonts w:cs="Arial"/>
      <w:b/>
      <w:bCs/>
      <w:color w:val="FFFFFF"/>
      <w:szCs w:val="18"/>
    </w:rPr>
  </w:style>
  <w:style w:type="paragraph" w:customStyle="1" w:styleId="ReportNumbering">
    <w:name w:val="Report Numbering"/>
    <w:qFormat/>
    <w:rsid w:val="00F501C8"/>
    <w:pPr>
      <w:numPr>
        <w:numId w:val="14"/>
      </w:numPr>
      <w:spacing w:before="200" w:after="120"/>
    </w:pPr>
    <w:rPr>
      <w:rFonts w:ascii="Arial" w:eastAsia="Calibri" w:hAnsi="Arial" w:cs="Arial"/>
      <w:color w:val="221E1F"/>
      <w:sz w:val="22"/>
      <w:szCs w:val="20"/>
      <w:lang w:val="sv-SE" w:eastAsia="en-US"/>
    </w:rPr>
  </w:style>
  <w:style w:type="character" w:styleId="CommentReference">
    <w:name w:val="annotation reference"/>
    <w:basedOn w:val="DefaultParagraphFont"/>
    <w:uiPriority w:val="99"/>
    <w:semiHidden/>
    <w:unhideWhenUsed/>
    <w:rsid w:val="00371181"/>
    <w:rPr>
      <w:sz w:val="16"/>
      <w:szCs w:val="16"/>
    </w:rPr>
  </w:style>
  <w:style w:type="paragraph" w:styleId="CommentText">
    <w:name w:val="annotation text"/>
    <w:basedOn w:val="Normal"/>
    <w:link w:val="CommentTextChar"/>
    <w:uiPriority w:val="99"/>
    <w:semiHidden/>
    <w:unhideWhenUsed/>
    <w:rsid w:val="00371181"/>
    <w:rPr>
      <w:rFonts w:eastAsia="Times New Roman"/>
      <w:sz w:val="20"/>
      <w:lang w:eastAsia="en-US"/>
    </w:rPr>
  </w:style>
  <w:style w:type="character" w:customStyle="1" w:styleId="CommentTextChar">
    <w:name w:val="Comment Text Char"/>
    <w:basedOn w:val="DefaultParagraphFont"/>
    <w:link w:val="CommentText"/>
    <w:uiPriority w:val="99"/>
    <w:semiHidden/>
    <w:rsid w:val="00371181"/>
    <w:rPr>
      <w:rFonts w:ascii="Times New Roman" w:eastAsia="Times New Roman" w:hAnsi="Times New Roman" w:cs="Times New Roman"/>
      <w:sz w:val="20"/>
      <w:szCs w:val="20"/>
      <w:lang w:val="en-AU" w:eastAsia="en-US"/>
    </w:rPr>
  </w:style>
  <w:style w:type="paragraph" w:styleId="BlockText">
    <w:name w:val="Block Text"/>
    <w:basedOn w:val="Normal"/>
    <w:uiPriority w:val="99"/>
    <w:rsid w:val="00284D69"/>
    <w:pPr>
      <w:ind w:left="426" w:right="426"/>
    </w:pPr>
    <w:rPr>
      <w:rFonts w:eastAsia="MS Minngs"/>
      <w:szCs w:val="24"/>
      <w:lang w:val="en-US" w:eastAsia="en-US"/>
    </w:rPr>
  </w:style>
  <w:style w:type="paragraph" w:styleId="CommentSubject">
    <w:name w:val="annotation subject"/>
    <w:basedOn w:val="CommentText"/>
    <w:next w:val="CommentText"/>
    <w:link w:val="CommentSubjectChar"/>
    <w:uiPriority w:val="99"/>
    <w:semiHidden/>
    <w:unhideWhenUsed/>
    <w:rsid w:val="00207904"/>
    <w:rPr>
      <w:rFonts w:eastAsiaTheme="minorEastAsia"/>
      <w:b/>
      <w:bCs/>
      <w:lang w:eastAsia="ja-JP"/>
    </w:rPr>
  </w:style>
  <w:style w:type="character" w:customStyle="1" w:styleId="CommentSubjectChar">
    <w:name w:val="Comment Subject Char"/>
    <w:basedOn w:val="CommentTextChar"/>
    <w:link w:val="CommentSubject"/>
    <w:uiPriority w:val="99"/>
    <w:semiHidden/>
    <w:rsid w:val="00207904"/>
    <w:rPr>
      <w:rFonts w:ascii="Times New Roman" w:eastAsia="Times New Roman" w:hAnsi="Times New Roman" w:cs="Times New Roman"/>
      <w:b/>
      <w:bCs/>
      <w:sz w:val="20"/>
      <w:szCs w:val="20"/>
      <w:lang w:val="en-AU" w:eastAsia="en-US"/>
    </w:rPr>
  </w:style>
  <w:style w:type="character" w:styleId="Hyperlink">
    <w:name w:val="Hyperlink"/>
    <w:basedOn w:val="DefaultParagraphFont"/>
    <w:uiPriority w:val="99"/>
    <w:unhideWhenUsed/>
    <w:rsid w:val="00973176"/>
    <w:rPr>
      <w:color w:val="0000FF" w:themeColor="hyperlink"/>
      <w:u w:val="single"/>
    </w:rPr>
  </w:style>
  <w:style w:type="character" w:styleId="Strong">
    <w:name w:val="Strong"/>
    <w:basedOn w:val="DefaultParagraphFont"/>
    <w:qFormat/>
    <w:rsid w:val="00FA3D5A"/>
    <w:rPr>
      <w:b/>
      <w:bCs/>
    </w:rPr>
  </w:style>
</w:styles>
</file>

<file path=word/webSettings.xml><?xml version="1.0" encoding="utf-8"?>
<w:webSettings xmlns:r="http://schemas.openxmlformats.org/officeDocument/2006/relationships" xmlns:w="http://schemas.openxmlformats.org/wordprocessingml/2006/main">
  <w:divs>
    <w:div w:id="11898369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biosolids.com.au"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biosolids.com.au"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CD2F27-7D1A-49BC-B000-154094F12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49</Pages>
  <Words>12934</Words>
  <Characters>73729</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
    </vt:vector>
  </TitlesOfParts>
  <Company>PSD</Company>
  <LinksUpToDate>false</LinksUpToDate>
  <CharactersWithSpaces>86491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Biosolids snapshot</dc:title>
  <dc:creator>Paul Darvodelsky</dc:creator>
  <cp:lastModifiedBy>A00870</cp:lastModifiedBy>
  <cp:revision>4</cp:revision>
  <cp:lastPrinted>2008-10-28T05:23:00Z</cp:lastPrinted>
  <dcterms:created xsi:type="dcterms:W3CDTF">2012-06-28T01:17:00Z</dcterms:created>
  <dcterms:modified xsi:type="dcterms:W3CDTF">2012-06-28T04:05:00Z</dcterms:modified>
</cp:coreProperties>
</file>