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79889B97" w14:textId="77777777" w:rsidR="007E1BC9" w:rsidRPr="007E1BC9" w:rsidRDefault="007E1BC9" w:rsidP="007E1BC9">
      <w:pPr>
        <w:pStyle w:val="Title"/>
        <w:jc w:val="center"/>
        <w:rPr>
          <w:rStyle w:val="IntenseEmphasis"/>
          <w:i w:val="0"/>
          <w:color w:val="auto"/>
        </w:rPr>
      </w:pPr>
      <w:bookmarkStart w:id="0" w:name="_GoBack"/>
      <w:r w:rsidRPr="007E1BC9">
        <w:rPr>
          <w:rStyle w:val="IntenseEmphasis"/>
          <w:i w:val="0"/>
          <w:color w:val="auto"/>
        </w:rPr>
        <w:t>AEPCOMM video tutorial</w:t>
      </w:r>
    </w:p>
    <w:bookmarkEnd w:id="0"/>
    <w:p w14:paraId="08C5F05C" w14:textId="77777777" w:rsidR="007E1BC9" w:rsidRPr="007E1BC9" w:rsidRDefault="00DE5C2C" w:rsidP="007E1BC9">
      <w:pPr>
        <w:pStyle w:val="Heading4"/>
        <w:jc w:val="center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BMSB</w:t>
      </w:r>
    </w:p>
    <w:p w14:paraId="7AC6A315" w14:textId="77777777" w:rsidR="007E1BC9" w:rsidRPr="007E1BC9" w:rsidRDefault="007E1BC9" w:rsidP="007E1BC9">
      <w:pPr>
        <w:rPr>
          <w:lang w:eastAsia="ja-JP"/>
        </w:rPr>
      </w:pPr>
    </w:p>
    <w:p w14:paraId="3B65F0B8" w14:textId="77777777" w:rsidR="00ED7F74" w:rsidRPr="00ED7F74" w:rsidRDefault="00ED7F74" w:rsidP="00ED7F74">
      <w:pPr>
        <w:rPr>
          <w:i/>
          <w:iCs/>
          <w:color w:val="4F81BD" w:themeColor="accent1"/>
        </w:rPr>
      </w:pPr>
      <w:r w:rsidRPr="00ED7F74">
        <w:rPr>
          <w:i/>
          <w:iCs/>
          <w:color w:val="4F81BD" w:themeColor="accent1"/>
        </w:rPr>
        <w:t xml:space="preserve">Slide 1 </w:t>
      </w:r>
    </w:p>
    <w:p w14:paraId="50D08B99" w14:textId="66673685" w:rsidR="00ED7F74" w:rsidRPr="00ED7F74" w:rsidRDefault="00ED7F74" w:rsidP="00ED7F74">
      <w:pPr>
        <w:rPr>
          <w:lang w:eastAsia="ja-JP"/>
        </w:rPr>
      </w:pPr>
      <w:r w:rsidRPr="00ED7F74">
        <w:rPr>
          <w:lang w:eastAsia="ja-JP"/>
        </w:rPr>
        <w:t xml:space="preserve">Automatic entry processing for commodities (AEPCOMM) video tutorial for </w:t>
      </w:r>
      <w:r>
        <w:rPr>
          <w:lang w:eastAsia="ja-JP"/>
        </w:rPr>
        <w:t>g</w:t>
      </w:r>
      <w:r w:rsidR="004E2BA2">
        <w:rPr>
          <w:lang w:eastAsia="ja-JP"/>
        </w:rPr>
        <w:t>oods subject to Brown Marmorated Stink Bug (or BMSB)</w:t>
      </w:r>
      <w:r>
        <w:rPr>
          <w:lang w:eastAsia="ja-JP"/>
        </w:rPr>
        <w:t xml:space="preserve"> measures.</w:t>
      </w:r>
    </w:p>
    <w:p w14:paraId="6B8854BB" w14:textId="77777777" w:rsidR="00ED7F74" w:rsidRPr="00ED7F74" w:rsidRDefault="00ED7F74" w:rsidP="00ED7F74">
      <w:pPr>
        <w:rPr>
          <w:i/>
          <w:iCs/>
          <w:color w:val="4F81BD" w:themeColor="accent1"/>
        </w:rPr>
      </w:pPr>
      <w:r w:rsidRPr="00ED7F74">
        <w:rPr>
          <w:i/>
          <w:iCs/>
          <w:color w:val="4F81BD" w:themeColor="accent1"/>
        </w:rPr>
        <w:t>Slide 2</w:t>
      </w:r>
    </w:p>
    <w:p w14:paraId="68277634" w14:textId="77777777" w:rsidR="00ED7F74" w:rsidRPr="00ED7F74" w:rsidRDefault="00ED7F74" w:rsidP="00ED7F74">
      <w:pPr>
        <w:rPr>
          <w:lang w:eastAsia="ja-JP"/>
        </w:rPr>
      </w:pPr>
      <w:r w:rsidRPr="00ED7F74">
        <w:rPr>
          <w:lang w:eastAsia="ja-JP"/>
        </w:rPr>
        <w:t>We recommend that while watching this tutorial you have access to essential resources such as:</w:t>
      </w:r>
    </w:p>
    <w:p w14:paraId="77D1B24E" w14:textId="77777777" w:rsidR="00ED7F74" w:rsidRPr="00ED7F74" w:rsidRDefault="00ED7F74" w:rsidP="00DB4544">
      <w:pPr>
        <w:pStyle w:val="ListBullet"/>
        <w:rPr>
          <w:lang w:eastAsia="ja-JP"/>
        </w:rPr>
      </w:pPr>
      <w:r w:rsidRPr="00ED7F74">
        <w:rPr>
          <w:lang w:eastAsia="ja-JP"/>
        </w:rPr>
        <w:t>the class 19.2 requirements and conditions policy</w:t>
      </w:r>
    </w:p>
    <w:p w14:paraId="42B25A3D" w14:textId="77777777" w:rsidR="00ED7F74" w:rsidRPr="00ED7F74" w:rsidRDefault="00ED7F74" w:rsidP="00DB4544">
      <w:pPr>
        <w:pStyle w:val="ListBullet"/>
        <w:rPr>
          <w:lang w:eastAsia="ja-JP"/>
        </w:rPr>
      </w:pPr>
      <w:r w:rsidRPr="00ED7F74">
        <w:rPr>
          <w:lang w:eastAsia="ja-JP"/>
        </w:rPr>
        <w:t xml:space="preserve">the Approved commodities and related information for the class 19.2 approved arrangements webpage and </w:t>
      </w:r>
    </w:p>
    <w:p w14:paraId="4F3CB265" w14:textId="77777777" w:rsidR="00ED7F74" w:rsidRPr="00ED7F74" w:rsidRDefault="00ED7F74" w:rsidP="00DB4544">
      <w:pPr>
        <w:pStyle w:val="ListBullet"/>
        <w:rPr>
          <w:lang w:eastAsia="ja-JP"/>
        </w:rPr>
      </w:pPr>
      <w:r w:rsidRPr="00ED7F74">
        <w:rPr>
          <w:lang w:eastAsia="ja-JP"/>
        </w:rPr>
        <w:t>BICON (AEPCOMM user access)</w:t>
      </w:r>
    </w:p>
    <w:p w14:paraId="0EAB3880" w14:textId="63306114" w:rsidR="00123C37" w:rsidRPr="007E1BC9" w:rsidRDefault="00123C37" w:rsidP="00905F94">
      <w:pPr>
        <w:rPr>
          <w:rStyle w:val="IntenseEmphasis"/>
        </w:rPr>
      </w:pPr>
      <w:r w:rsidRPr="007E1BC9">
        <w:rPr>
          <w:rStyle w:val="IntenseEmphasis"/>
        </w:rPr>
        <w:t xml:space="preserve">Slide </w:t>
      </w:r>
      <w:r w:rsidR="004E2BA2">
        <w:rPr>
          <w:rStyle w:val="IntenseEmphasis"/>
        </w:rPr>
        <w:t>3</w:t>
      </w:r>
    </w:p>
    <w:p w14:paraId="52092B4F" w14:textId="6BDD4C8A" w:rsidR="004E2BA2" w:rsidRDefault="008570B5" w:rsidP="00905F94">
      <w:pPr>
        <w:rPr>
          <w:lang w:eastAsia="ja-JP"/>
        </w:rPr>
      </w:pPr>
      <w:r>
        <w:rPr>
          <w:lang w:eastAsia="ja-JP"/>
        </w:rPr>
        <w:t>When lodging an import declaration using AEPCOMM f</w:t>
      </w:r>
      <w:r w:rsidR="004E2BA2">
        <w:rPr>
          <w:lang w:eastAsia="ja-JP"/>
        </w:rPr>
        <w:t>or goods that are subject to</w:t>
      </w:r>
      <w:r w:rsidR="001B1A69">
        <w:rPr>
          <w:lang w:eastAsia="ja-JP"/>
        </w:rPr>
        <w:t xml:space="preserve"> BMSB</w:t>
      </w:r>
      <w:r w:rsidR="004E2BA2">
        <w:rPr>
          <w:lang w:eastAsia="ja-JP"/>
        </w:rPr>
        <w:t xml:space="preserve"> measures</w:t>
      </w:r>
      <w:r w:rsidR="00F025CE">
        <w:rPr>
          <w:lang w:eastAsia="ja-JP"/>
        </w:rPr>
        <w:t xml:space="preserve"> during the BMSB season</w:t>
      </w:r>
      <w:r w:rsidR="004E2BA2">
        <w:rPr>
          <w:lang w:eastAsia="ja-JP"/>
        </w:rPr>
        <w:t>, it i</w:t>
      </w:r>
      <w:r w:rsidR="001B1A69">
        <w:rPr>
          <w:lang w:eastAsia="ja-JP"/>
        </w:rPr>
        <w:t xml:space="preserve">s important </w:t>
      </w:r>
      <w:r w:rsidR="004E2BA2">
        <w:rPr>
          <w:lang w:eastAsia="ja-JP"/>
        </w:rPr>
        <w:t xml:space="preserve">you understand that you </w:t>
      </w:r>
      <w:r w:rsidR="000B792A">
        <w:rPr>
          <w:lang w:eastAsia="ja-JP"/>
        </w:rPr>
        <w:t xml:space="preserve">are required to </w:t>
      </w:r>
      <w:r w:rsidR="004E2BA2">
        <w:rPr>
          <w:lang w:eastAsia="ja-JP"/>
        </w:rPr>
        <w:t>determine the standard biosecurity risk associated with the commodity</w:t>
      </w:r>
      <w:r w:rsidR="003C6BEF">
        <w:rPr>
          <w:lang w:eastAsia="ja-JP"/>
        </w:rPr>
        <w:t xml:space="preserve"> (if any)</w:t>
      </w:r>
      <w:r w:rsidR="004E2BA2">
        <w:rPr>
          <w:lang w:eastAsia="ja-JP"/>
        </w:rPr>
        <w:t>, in addition to adequate measures to manage BMSB risk according to BICON</w:t>
      </w:r>
      <w:r w:rsidR="00222D36">
        <w:rPr>
          <w:lang w:eastAsia="ja-JP"/>
        </w:rPr>
        <w:t>.</w:t>
      </w:r>
    </w:p>
    <w:p w14:paraId="430FF594" w14:textId="26D3382E" w:rsidR="004E2BA2" w:rsidRDefault="008570B5" w:rsidP="00905F94">
      <w:pPr>
        <w:rPr>
          <w:lang w:eastAsia="ja-JP"/>
        </w:rPr>
      </w:pPr>
      <w:r>
        <w:rPr>
          <w:lang w:eastAsia="ja-JP"/>
        </w:rPr>
        <w:t xml:space="preserve">This is achieved by first ensuring the commodity is within scope of the approved arrangement and then referring </w:t>
      </w:r>
      <w:r w:rsidR="003C6BEF">
        <w:rPr>
          <w:lang w:eastAsia="ja-JP"/>
        </w:rPr>
        <w:t>to both: the relevant</w:t>
      </w:r>
      <w:r>
        <w:rPr>
          <w:lang w:eastAsia="ja-JP"/>
        </w:rPr>
        <w:t xml:space="preserve"> BICON case for the commodity, and the BMSB hitchhiker pests BICON case. </w:t>
      </w:r>
    </w:p>
    <w:p w14:paraId="45803FDF" w14:textId="0F402279" w:rsidR="003C6BEF" w:rsidRDefault="003C6BEF" w:rsidP="003C6BEF">
      <w:pPr>
        <w:rPr>
          <w:lang w:eastAsia="ja-JP"/>
        </w:rPr>
      </w:pPr>
      <w:r>
        <w:rPr>
          <w:lang w:eastAsia="ja-JP"/>
        </w:rPr>
        <w:t xml:space="preserve">If need help with this process please remember you can refer to (or print out) the help card ‘Using AEPCOMM during the BMSB season’ located on our </w:t>
      </w:r>
      <w:hyperlink r:id="rId8" w:history="1">
        <w:r w:rsidRPr="003C6BEF">
          <w:rPr>
            <w:rStyle w:val="Hyperlink"/>
            <w:lang w:eastAsia="ja-JP"/>
          </w:rPr>
          <w:t>AEP Reform</w:t>
        </w:r>
      </w:hyperlink>
      <w:r>
        <w:rPr>
          <w:lang w:eastAsia="ja-JP"/>
        </w:rPr>
        <w:t xml:space="preserve"> webpage. </w:t>
      </w:r>
    </w:p>
    <w:p w14:paraId="44CF56E2" w14:textId="4C7DC202" w:rsidR="004E2BA2" w:rsidRPr="008570B5" w:rsidRDefault="008570B5" w:rsidP="00905F94">
      <w:pPr>
        <w:rPr>
          <w:rStyle w:val="IntenseEmphasis"/>
        </w:rPr>
      </w:pPr>
      <w:r w:rsidRPr="008570B5">
        <w:rPr>
          <w:rStyle w:val="IntenseEmphasis"/>
        </w:rPr>
        <w:t>Slide 4</w:t>
      </w:r>
    </w:p>
    <w:p w14:paraId="6F88D77D" w14:textId="77777777" w:rsidR="00FC1186" w:rsidRDefault="00253DC6" w:rsidP="00905F94">
      <w:pPr>
        <w:rPr>
          <w:lang w:eastAsia="ja-JP"/>
        </w:rPr>
      </w:pPr>
      <w:r>
        <w:rPr>
          <w:lang w:eastAsia="ja-JP"/>
        </w:rPr>
        <w:t xml:space="preserve">Let’s have a look at </w:t>
      </w:r>
      <w:r w:rsidR="00FC1186">
        <w:rPr>
          <w:lang w:eastAsia="ja-JP"/>
        </w:rPr>
        <w:t>an example.</w:t>
      </w:r>
    </w:p>
    <w:p w14:paraId="1DBB6C31" w14:textId="77777777" w:rsidR="00E458A0" w:rsidRDefault="00422DCB" w:rsidP="00905F94">
      <w:pPr>
        <w:rPr>
          <w:lang w:eastAsia="ja-JP"/>
        </w:rPr>
      </w:pPr>
      <w:r>
        <w:rPr>
          <w:lang w:eastAsia="ja-JP"/>
        </w:rPr>
        <w:t>You have an FCL</w:t>
      </w:r>
      <w:r w:rsidR="00253DC6">
        <w:rPr>
          <w:lang w:eastAsia="ja-JP"/>
        </w:rPr>
        <w:t xml:space="preserve"> consignment of </w:t>
      </w:r>
      <w:r w:rsidR="004950C4">
        <w:rPr>
          <w:lang w:eastAsia="ja-JP"/>
        </w:rPr>
        <w:t xml:space="preserve">used </w:t>
      </w:r>
      <w:r w:rsidR="00C53B56">
        <w:rPr>
          <w:lang w:eastAsia="ja-JP"/>
        </w:rPr>
        <w:t xml:space="preserve">agricultural </w:t>
      </w:r>
      <w:r>
        <w:rPr>
          <w:lang w:eastAsia="ja-JP"/>
        </w:rPr>
        <w:t>machinery</w:t>
      </w:r>
      <w:r w:rsidR="00ED504A">
        <w:rPr>
          <w:lang w:eastAsia="ja-JP"/>
        </w:rPr>
        <w:t xml:space="preserve"> parts (tariff 8433.90.10.07</w:t>
      </w:r>
      <w:r w:rsidR="00253DC6">
        <w:rPr>
          <w:lang w:eastAsia="ja-JP"/>
        </w:rPr>
        <w:t>)</w:t>
      </w:r>
      <w:r w:rsidR="00C53B56">
        <w:rPr>
          <w:lang w:eastAsia="ja-JP"/>
        </w:rPr>
        <w:t xml:space="preserve"> from Germany (shipped during the BMSB season)</w:t>
      </w:r>
      <w:r w:rsidR="00253DC6">
        <w:rPr>
          <w:lang w:eastAsia="ja-JP"/>
        </w:rPr>
        <w:t xml:space="preserve">. </w:t>
      </w:r>
    </w:p>
    <w:p w14:paraId="60754CA0" w14:textId="77777777" w:rsidR="00E458A0" w:rsidRDefault="00A62F80" w:rsidP="00905F94">
      <w:pPr>
        <w:rPr>
          <w:lang w:eastAsia="ja-JP"/>
        </w:rPr>
      </w:pPr>
      <w:r>
        <w:rPr>
          <w:lang w:eastAsia="ja-JP"/>
        </w:rPr>
        <w:t xml:space="preserve">The importer has advised that the container is to be treated for BMSB </w:t>
      </w:r>
      <w:r w:rsidR="00501743">
        <w:rPr>
          <w:lang w:eastAsia="ja-JP"/>
        </w:rPr>
        <w:t xml:space="preserve">with Methyl Bromide </w:t>
      </w:r>
      <w:r>
        <w:rPr>
          <w:lang w:eastAsia="ja-JP"/>
        </w:rPr>
        <w:t xml:space="preserve">on arrival to Australia. </w:t>
      </w:r>
    </w:p>
    <w:p w14:paraId="66B1B4F4" w14:textId="0F097690" w:rsidR="00253DC6" w:rsidRDefault="00253DC6" w:rsidP="00905F94">
      <w:pPr>
        <w:rPr>
          <w:lang w:eastAsia="ja-JP"/>
        </w:rPr>
      </w:pPr>
      <w:r w:rsidRPr="00A436EC">
        <w:rPr>
          <w:lang w:eastAsia="ja-JP"/>
        </w:rPr>
        <w:t>You are in possession of</w:t>
      </w:r>
      <w:r w:rsidR="00A436EC" w:rsidRPr="00A436EC">
        <w:rPr>
          <w:lang w:eastAsia="ja-JP"/>
        </w:rPr>
        <w:t xml:space="preserve"> valid</w:t>
      </w:r>
      <w:r w:rsidRPr="00A436EC">
        <w:rPr>
          <w:lang w:eastAsia="ja-JP"/>
        </w:rPr>
        <w:t xml:space="preserve"> </w:t>
      </w:r>
      <w:r w:rsidR="001D266D" w:rsidRPr="00A436EC">
        <w:rPr>
          <w:lang w:eastAsia="ja-JP"/>
        </w:rPr>
        <w:t>non-commodity do</w:t>
      </w:r>
      <w:r w:rsidR="006F0D63" w:rsidRPr="00A436EC">
        <w:rPr>
          <w:lang w:eastAsia="ja-JP"/>
        </w:rPr>
        <w:t xml:space="preserve">cumentation </w:t>
      </w:r>
      <w:r w:rsidR="001D266D" w:rsidRPr="00A436EC">
        <w:rPr>
          <w:lang w:eastAsia="ja-JP"/>
        </w:rPr>
        <w:t>that meet</w:t>
      </w:r>
      <w:r w:rsidR="004C2828">
        <w:rPr>
          <w:lang w:eastAsia="ja-JP"/>
        </w:rPr>
        <w:t>s</w:t>
      </w:r>
      <w:r w:rsidR="001D266D" w:rsidRPr="00A436EC">
        <w:rPr>
          <w:lang w:eastAsia="ja-JP"/>
        </w:rPr>
        <w:t xml:space="preserve"> all requirements.</w:t>
      </w:r>
    </w:p>
    <w:p w14:paraId="7F3FD90A" w14:textId="4F7663F8" w:rsidR="00FC1186" w:rsidRPr="00FC1186" w:rsidRDefault="00FC1186" w:rsidP="00905F94">
      <w:pPr>
        <w:rPr>
          <w:rStyle w:val="IntenseEmphasis"/>
        </w:rPr>
      </w:pPr>
      <w:r w:rsidRPr="00FC1186">
        <w:rPr>
          <w:rStyle w:val="IntenseEmphasis"/>
        </w:rPr>
        <w:t>Slide 5</w:t>
      </w:r>
    </w:p>
    <w:p w14:paraId="4A77F0F2" w14:textId="77777777" w:rsidR="00253DC6" w:rsidRDefault="00E53B7E" w:rsidP="00905F94">
      <w:pPr>
        <w:rPr>
          <w:lang w:eastAsia="ja-JP"/>
        </w:rPr>
      </w:pPr>
      <w:r>
        <w:rPr>
          <w:lang w:eastAsia="ja-JP"/>
        </w:rPr>
        <w:t>Let’s go</w:t>
      </w:r>
      <w:r w:rsidR="00253DC6">
        <w:rPr>
          <w:lang w:eastAsia="ja-JP"/>
        </w:rPr>
        <w:t xml:space="preserve"> to the Approved commodities and related information for class 19.2 approved arrangements webpage</w:t>
      </w:r>
      <w:r w:rsidR="00896FC4">
        <w:rPr>
          <w:lang w:eastAsia="ja-JP"/>
        </w:rPr>
        <w:t>.</w:t>
      </w:r>
    </w:p>
    <w:p w14:paraId="41BF9519" w14:textId="1DC3DF28" w:rsidR="001D7CD7" w:rsidRDefault="00FC1186" w:rsidP="00905F94">
      <w:pPr>
        <w:rPr>
          <w:lang w:eastAsia="ja-JP"/>
        </w:rPr>
      </w:pPr>
      <w:r>
        <w:rPr>
          <w:lang w:eastAsia="ja-JP"/>
        </w:rPr>
        <w:t xml:space="preserve">You first need to refer to </w:t>
      </w:r>
      <w:r w:rsidR="0090368E">
        <w:rPr>
          <w:lang w:eastAsia="ja-JP"/>
        </w:rPr>
        <w:t xml:space="preserve">the </w:t>
      </w:r>
      <w:r w:rsidR="00A512B2">
        <w:rPr>
          <w:lang w:eastAsia="ja-JP"/>
        </w:rPr>
        <w:t>New and used vehicles, aircraft and parts;</w:t>
      </w:r>
      <w:r w:rsidR="0090368E">
        <w:rPr>
          <w:lang w:eastAsia="ja-JP"/>
        </w:rPr>
        <w:t xml:space="preserve"> machinery, parts and equipment section.</w:t>
      </w:r>
    </w:p>
    <w:p w14:paraId="4D546A82" w14:textId="77777777" w:rsidR="006A5832" w:rsidRDefault="00114C5C" w:rsidP="00905F94">
      <w:pPr>
        <w:rPr>
          <w:lang w:eastAsia="ja-JP"/>
        </w:rPr>
      </w:pPr>
      <w:r>
        <w:rPr>
          <w:lang w:eastAsia="ja-JP"/>
        </w:rPr>
        <w:t>This section</w:t>
      </w:r>
      <w:r w:rsidR="00271E1B">
        <w:rPr>
          <w:lang w:eastAsia="ja-JP"/>
        </w:rPr>
        <w:t xml:space="preserve"> specifies </w:t>
      </w:r>
      <w:r w:rsidR="0090368E">
        <w:rPr>
          <w:lang w:eastAsia="ja-JP"/>
        </w:rPr>
        <w:t xml:space="preserve">that </w:t>
      </w:r>
      <w:r w:rsidR="00271E1B">
        <w:rPr>
          <w:lang w:eastAsia="ja-JP"/>
        </w:rPr>
        <w:t>the BICON case</w:t>
      </w:r>
      <w:r w:rsidR="006A5832">
        <w:rPr>
          <w:lang w:eastAsia="ja-JP"/>
        </w:rPr>
        <w:t>s</w:t>
      </w:r>
      <w:r w:rsidR="00271E1B">
        <w:rPr>
          <w:lang w:eastAsia="ja-JP"/>
        </w:rPr>
        <w:t xml:space="preserve"> containing in-scope</w:t>
      </w:r>
      <w:r w:rsidR="001D7CD7">
        <w:rPr>
          <w:lang w:eastAsia="ja-JP"/>
        </w:rPr>
        <w:t xml:space="preserve"> pathways for this commodity </w:t>
      </w:r>
      <w:r w:rsidR="00271E1B">
        <w:rPr>
          <w:lang w:eastAsia="ja-JP"/>
        </w:rPr>
        <w:t>group</w:t>
      </w:r>
      <w:r w:rsidR="006A5832">
        <w:rPr>
          <w:lang w:eastAsia="ja-JP"/>
        </w:rPr>
        <w:t xml:space="preserve">. </w:t>
      </w:r>
    </w:p>
    <w:p w14:paraId="329EA7A2" w14:textId="77777777" w:rsidR="006A5832" w:rsidRDefault="006A5832" w:rsidP="00905F94">
      <w:pPr>
        <w:rPr>
          <w:lang w:eastAsia="ja-JP"/>
        </w:rPr>
      </w:pPr>
      <w:r>
        <w:rPr>
          <w:lang w:eastAsia="ja-JP"/>
        </w:rPr>
        <w:t>In this case, the goods would fall into</w:t>
      </w:r>
      <w:r w:rsidR="0090368E">
        <w:rPr>
          <w:lang w:eastAsia="ja-JP"/>
        </w:rPr>
        <w:t xml:space="preserve"> the Machinery and equipment case</w:t>
      </w:r>
      <w:r>
        <w:rPr>
          <w:lang w:eastAsia="ja-JP"/>
        </w:rPr>
        <w:t>.</w:t>
      </w:r>
    </w:p>
    <w:p w14:paraId="6FDEDDE6" w14:textId="72D17F13" w:rsidR="006A5832" w:rsidRDefault="006A5832" w:rsidP="00905F94">
      <w:pPr>
        <w:rPr>
          <w:lang w:eastAsia="ja-JP"/>
        </w:rPr>
      </w:pPr>
    </w:p>
    <w:p w14:paraId="36060BCB" w14:textId="56D29722" w:rsidR="0090368E" w:rsidRDefault="006A5832" w:rsidP="00905F94">
      <w:pPr>
        <w:rPr>
          <w:lang w:eastAsia="ja-JP"/>
        </w:rPr>
      </w:pPr>
      <w:r>
        <w:rPr>
          <w:lang w:eastAsia="ja-JP"/>
        </w:rPr>
        <w:lastRenderedPageBreak/>
        <w:t>A</w:t>
      </w:r>
      <w:r w:rsidR="00B0166E">
        <w:rPr>
          <w:lang w:eastAsia="ja-JP"/>
        </w:rPr>
        <w:t xml:space="preserve">dditionally it also provides a link to the BMSB hitchhiker BICON case, indicating goods under this group may be subject to BMSB measures. </w:t>
      </w:r>
    </w:p>
    <w:p w14:paraId="5942EA1C" w14:textId="4CB24E13" w:rsidR="00B0166E" w:rsidRDefault="00B0166E" w:rsidP="00905F94">
      <w:pPr>
        <w:rPr>
          <w:lang w:eastAsia="ja-JP"/>
        </w:rPr>
      </w:pPr>
      <w:r>
        <w:rPr>
          <w:lang w:eastAsia="ja-JP"/>
        </w:rPr>
        <w:t>Goods in scope of this commodity group include FCL consignments subject to BMSB measures for treatment onshore.</w:t>
      </w:r>
    </w:p>
    <w:p w14:paraId="6F69FD46" w14:textId="7E14C828" w:rsidR="00B0166E" w:rsidRDefault="00B0166E" w:rsidP="00905F94">
      <w:pPr>
        <w:rPr>
          <w:lang w:eastAsia="ja-JP"/>
        </w:rPr>
      </w:pPr>
      <w:r>
        <w:rPr>
          <w:lang w:eastAsia="ja-JP"/>
        </w:rPr>
        <w:t>This consignment fits into this description.</w:t>
      </w:r>
    </w:p>
    <w:p w14:paraId="6C3666DB" w14:textId="50223946" w:rsidR="00B0166E" w:rsidRDefault="00B0166E" w:rsidP="00905F94">
      <w:pPr>
        <w:rPr>
          <w:lang w:eastAsia="ja-JP"/>
        </w:rPr>
      </w:pPr>
      <w:r>
        <w:rPr>
          <w:lang w:eastAsia="ja-JP"/>
        </w:rPr>
        <w:t>Now we check the tariff is in-scope of the approved arrangement.</w:t>
      </w:r>
    </w:p>
    <w:p w14:paraId="7E4F963F" w14:textId="31F108E7" w:rsidR="00B0166E" w:rsidRDefault="00B0166E" w:rsidP="00905F94">
      <w:pPr>
        <w:rPr>
          <w:lang w:eastAsia="ja-JP"/>
        </w:rPr>
      </w:pPr>
      <w:r>
        <w:rPr>
          <w:lang w:eastAsia="ja-JP"/>
        </w:rPr>
        <w:t>Yes, it is. It fits under chapter 84.</w:t>
      </w:r>
    </w:p>
    <w:p w14:paraId="06EF46CF" w14:textId="5E6F3B0D" w:rsidR="00B0166E" w:rsidRDefault="00B0166E" w:rsidP="00905F94">
      <w:pPr>
        <w:rPr>
          <w:lang w:eastAsia="ja-JP"/>
        </w:rPr>
      </w:pPr>
      <w:r>
        <w:rPr>
          <w:lang w:eastAsia="ja-JP"/>
        </w:rPr>
        <w:t>You may also want to draw your attention to condition 16 and 19 in relation to entering AEI and VIN information in the system.</w:t>
      </w:r>
    </w:p>
    <w:p w14:paraId="0ACA9D08" w14:textId="6DDC1496" w:rsidR="00A1626D" w:rsidRDefault="00560689" w:rsidP="00905F94">
      <w:pPr>
        <w:rPr>
          <w:lang w:eastAsia="ja-JP"/>
        </w:rPr>
      </w:pPr>
      <w:r>
        <w:rPr>
          <w:lang w:eastAsia="ja-JP"/>
        </w:rPr>
        <w:t>Now you would refer</w:t>
      </w:r>
      <w:r w:rsidR="00A512B2">
        <w:rPr>
          <w:lang w:eastAsia="ja-JP"/>
        </w:rPr>
        <w:t xml:space="preserve"> to the BMSB target high risk goods group and follow the same process.</w:t>
      </w:r>
    </w:p>
    <w:p w14:paraId="44EE3485" w14:textId="212750F4" w:rsidR="00987109" w:rsidRDefault="00987109" w:rsidP="00905F94">
      <w:pPr>
        <w:rPr>
          <w:rStyle w:val="IntenseEmphasis"/>
        </w:rPr>
      </w:pPr>
      <w:r>
        <w:rPr>
          <w:rStyle w:val="IntenseEmphasis"/>
        </w:rPr>
        <w:t>Slide 6</w:t>
      </w:r>
    </w:p>
    <w:p w14:paraId="25B5708D" w14:textId="17DFC624" w:rsidR="00987109" w:rsidRDefault="00987109" w:rsidP="00987109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Our consignment fits into this description.</w:t>
      </w:r>
    </w:p>
    <w:p w14:paraId="0DC6B677" w14:textId="6AEF5422" w:rsidR="00987109" w:rsidRDefault="00987109" w:rsidP="00905F94">
      <w:pPr>
        <w:rPr>
          <w:rStyle w:val="IntenseEmphasis"/>
        </w:rPr>
      </w:pPr>
      <w:r>
        <w:rPr>
          <w:rStyle w:val="IntenseEmphasis"/>
          <w:i w:val="0"/>
          <w:color w:val="auto"/>
        </w:rPr>
        <w:t>Chapter 84 is also included here.</w:t>
      </w:r>
    </w:p>
    <w:p w14:paraId="62215808" w14:textId="7A7B92BC" w:rsidR="008256FA" w:rsidRPr="008256FA" w:rsidRDefault="00987109" w:rsidP="00905F94">
      <w:pPr>
        <w:rPr>
          <w:rStyle w:val="IntenseEmphasis"/>
        </w:rPr>
      </w:pPr>
      <w:r>
        <w:rPr>
          <w:rStyle w:val="IntenseEmphasis"/>
        </w:rPr>
        <w:t>Slide 7</w:t>
      </w:r>
    </w:p>
    <w:p w14:paraId="1B76FAFD" w14:textId="10B2E0F7" w:rsidR="00CD419D" w:rsidRDefault="00CD419D" w:rsidP="00905F94">
      <w:pPr>
        <w:rPr>
          <w:lang w:eastAsia="ja-JP"/>
        </w:rPr>
      </w:pPr>
      <w:r>
        <w:rPr>
          <w:lang w:eastAsia="ja-JP"/>
        </w:rPr>
        <w:t>Now</w:t>
      </w:r>
      <w:r w:rsidR="00E50DF7">
        <w:rPr>
          <w:lang w:eastAsia="ja-JP"/>
        </w:rPr>
        <w:t xml:space="preserve">, </w:t>
      </w:r>
      <w:r>
        <w:rPr>
          <w:lang w:eastAsia="ja-JP"/>
        </w:rPr>
        <w:t xml:space="preserve">let’s go to </w:t>
      </w:r>
      <w:r w:rsidR="00E50DF7">
        <w:rPr>
          <w:lang w:eastAsia="ja-JP"/>
        </w:rPr>
        <w:t xml:space="preserve">the relevant </w:t>
      </w:r>
      <w:r>
        <w:rPr>
          <w:lang w:eastAsia="ja-JP"/>
        </w:rPr>
        <w:t>BICON</w:t>
      </w:r>
      <w:r w:rsidR="00E50DF7">
        <w:rPr>
          <w:lang w:eastAsia="ja-JP"/>
        </w:rPr>
        <w:t xml:space="preserve"> cases</w:t>
      </w:r>
      <w:r>
        <w:rPr>
          <w:lang w:eastAsia="ja-JP"/>
        </w:rPr>
        <w:t xml:space="preserve"> </w:t>
      </w:r>
      <w:r w:rsidR="00113EC4">
        <w:rPr>
          <w:lang w:eastAsia="ja-JP"/>
        </w:rPr>
        <w:t xml:space="preserve">to verify the import </w:t>
      </w:r>
      <w:r w:rsidR="008032E0">
        <w:rPr>
          <w:lang w:eastAsia="ja-JP"/>
        </w:rPr>
        <w:t>pathway is in scope of AEPCOMM and determine the AEPCOMM code</w:t>
      </w:r>
      <w:r w:rsidR="00DE6B3D">
        <w:rPr>
          <w:lang w:eastAsia="ja-JP"/>
        </w:rPr>
        <w:t xml:space="preserve"> to enter in the system.</w:t>
      </w:r>
      <w:r w:rsidR="008032E0">
        <w:rPr>
          <w:lang w:eastAsia="ja-JP"/>
        </w:rPr>
        <w:t xml:space="preserve"> </w:t>
      </w:r>
    </w:p>
    <w:p w14:paraId="25D88425" w14:textId="77777777" w:rsidR="0036314B" w:rsidRDefault="003F226D" w:rsidP="00905F94">
      <w:pPr>
        <w:rPr>
          <w:lang w:eastAsia="ja-JP"/>
        </w:rPr>
      </w:pPr>
      <w:r>
        <w:rPr>
          <w:lang w:eastAsia="ja-JP"/>
        </w:rPr>
        <w:t>In this instance</w:t>
      </w:r>
      <w:r w:rsidR="00C4501B">
        <w:rPr>
          <w:lang w:eastAsia="ja-JP"/>
        </w:rPr>
        <w:t xml:space="preserve"> </w:t>
      </w:r>
      <w:r w:rsidR="00E50DF7">
        <w:rPr>
          <w:lang w:eastAsia="ja-JP"/>
        </w:rPr>
        <w:t>we are required to refer to 2 BICON cases:</w:t>
      </w:r>
    </w:p>
    <w:p w14:paraId="343B1FDF" w14:textId="1DA23D54" w:rsidR="008032E0" w:rsidRDefault="00C54E0F" w:rsidP="00905F94">
      <w:pPr>
        <w:rPr>
          <w:lang w:eastAsia="ja-JP"/>
        </w:rPr>
      </w:pPr>
      <w:r>
        <w:rPr>
          <w:lang w:eastAsia="ja-JP"/>
        </w:rPr>
        <w:t>T</w:t>
      </w:r>
      <w:r w:rsidR="00E50DF7">
        <w:rPr>
          <w:lang w:eastAsia="ja-JP"/>
        </w:rPr>
        <w:t xml:space="preserve">he </w:t>
      </w:r>
      <w:r w:rsidR="003A3DD0">
        <w:rPr>
          <w:lang w:eastAsia="ja-JP"/>
        </w:rPr>
        <w:t>Machinery and equipment</w:t>
      </w:r>
      <w:r w:rsidR="00E50DF7">
        <w:rPr>
          <w:lang w:eastAsia="ja-JP"/>
        </w:rPr>
        <w:t xml:space="preserve"> case, and the BMSB hitchhiker </w:t>
      </w:r>
      <w:r w:rsidR="003A3DD0">
        <w:rPr>
          <w:lang w:eastAsia="ja-JP"/>
        </w:rPr>
        <w:t>pests</w:t>
      </w:r>
      <w:r w:rsidR="00E50DF7">
        <w:rPr>
          <w:lang w:eastAsia="ja-JP"/>
        </w:rPr>
        <w:t xml:space="preserve"> case</w:t>
      </w:r>
      <w:r w:rsidR="00C4501B">
        <w:rPr>
          <w:lang w:eastAsia="ja-JP"/>
        </w:rPr>
        <w:t>.</w:t>
      </w:r>
      <w:r w:rsidR="00B21813">
        <w:rPr>
          <w:lang w:eastAsia="ja-JP"/>
        </w:rPr>
        <w:t xml:space="preserve"> </w:t>
      </w:r>
      <w:r w:rsidR="00F60BB1">
        <w:rPr>
          <w:lang w:eastAsia="ja-JP"/>
        </w:rPr>
        <w:t>P</w:t>
      </w:r>
      <w:r w:rsidR="008032E0">
        <w:rPr>
          <w:lang w:eastAsia="ja-JP"/>
        </w:rPr>
        <w:t>lease remember AEPCOMM information is only visible th</w:t>
      </w:r>
      <w:r w:rsidR="00C4501B">
        <w:rPr>
          <w:lang w:eastAsia="ja-JP"/>
        </w:rPr>
        <w:t>rough your AEPCOMM user account</w:t>
      </w:r>
      <w:r w:rsidR="008032E0">
        <w:rPr>
          <w:lang w:eastAsia="ja-JP"/>
        </w:rPr>
        <w:t>.</w:t>
      </w:r>
    </w:p>
    <w:p w14:paraId="079DD603" w14:textId="5BE2B1E8" w:rsidR="003A3DD0" w:rsidRDefault="003A3DD0" w:rsidP="0093210B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You follow the import pathways by answering the import questions according to the scenario.</w:t>
      </w:r>
    </w:p>
    <w:p w14:paraId="507DC6F8" w14:textId="72D2DA13" w:rsidR="003A3DD0" w:rsidRDefault="003A3DD0" w:rsidP="0093210B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The Machinery and equipment onshore outcomes indicates an inspection is required, displaying the AEPCOMM code </w:t>
      </w:r>
      <w:r w:rsidRPr="008801E7">
        <w:rPr>
          <w:rStyle w:val="IntenseEmphasis"/>
          <w:i w:val="0"/>
          <w:color w:val="auto"/>
        </w:rPr>
        <w:t>INS.</w:t>
      </w:r>
      <w:r w:rsidR="001C5D67" w:rsidRPr="008801E7">
        <w:rPr>
          <w:rStyle w:val="IntenseEmphasis"/>
          <w:i w:val="0"/>
          <w:color w:val="auto"/>
        </w:rPr>
        <w:t xml:space="preserve"> </w:t>
      </w:r>
      <w:r w:rsidR="008801E7" w:rsidRPr="008801E7">
        <w:rPr>
          <w:rStyle w:val="IntenseEmphasis"/>
          <w:i w:val="0"/>
          <w:color w:val="auto"/>
        </w:rPr>
        <w:t>Y</w:t>
      </w:r>
      <w:r w:rsidR="001C5D67" w:rsidRPr="008801E7">
        <w:rPr>
          <w:rStyle w:val="IntenseEmphasis"/>
          <w:i w:val="0"/>
          <w:color w:val="auto"/>
        </w:rPr>
        <w:t>ou now need to refer to the BMSB hitchhiker pests case.</w:t>
      </w:r>
    </w:p>
    <w:p w14:paraId="3A28FB67" w14:textId="745A22C9" w:rsidR="003A3DD0" w:rsidRDefault="003A3DD0" w:rsidP="003A3DD0">
      <w:pPr>
        <w:rPr>
          <w:rStyle w:val="IntenseEmphasis"/>
          <w:i w:val="0"/>
          <w:color w:val="auto"/>
        </w:rPr>
      </w:pPr>
      <w:r w:rsidRPr="003A3DD0">
        <w:rPr>
          <w:rStyle w:val="IntenseEmphasis"/>
          <w:i w:val="0"/>
          <w:color w:val="auto"/>
        </w:rPr>
        <w:t>A Warning and information notice will remind you the go</w:t>
      </w:r>
      <w:r w:rsidR="001A31F0">
        <w:rPr>
          <w:rStyle w:val="IntenseEmphasis"/>
          <w:i w:val="0"/>
          <w:color w:val="auto"/>
        </w:rPr>
        <w:t>ods are also s</w:t>
      </w:r>
      <w:r w:rsidRPr="003A3DD0">
        <w:rPr>
          <w:rStyle w:val="IntenseEmphasis"/>
          <w:i w:val="0"/>
          <w:color w:val="auto"/>
        </w:rPr>
        <w:t>ubject to BMSB measures.</w:t>
      </w:r>
    </w:p>
    <w:p w14:paraId="22CFF17E" w14:textId="756AA841" w:rsidR="003A3DD0" w:rsidRDefault="00585644" w:rsidP="0093210B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Once you have answered the import questions</w:t>
      </w:r>
      <w:r w:rsidR="00B17F12"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>t</w:t>
      </w:r>
      <w:r w:rsidR="003A3DD0">
        <w:rPr>
          <w:rStyle w:val="IntenseEmphasis"/>
          <w:i w:val="0"/>
          <w:color w:val="auto"/>
        </w:rPr>
        <w:t xml:space="preserve">he BMSB hitchhiker pests onshore outcomes </w:t>
      </w:r>
      <w:r w:rsidR="00A40FFC">
        <w:rPr>
          <w:rStyle w:val="IntenseEmphasis"/>
          <w:i w:val="0"/>
          <w:color w:val="auto"/>
        </w:rPr>
        <w:t xml:space="preserve">also </w:t>
      </w:r>
      <w:r w:rsidR="003A3DD0">
        <w:rPr>
          <w:rStyle w:val="IntenseEmphasis"/>
          <w:i w:val="0"/>
          <w:color w:val="auto"/>
        </w:rPr>
        <w:t>indicates</w:t>
      </w:r>
      <w:r w:rsidR="004950C4">
        <w:rPr>
          <w:rStyle w:val="IntenseEmphasis"/>
          <w:i w:val="0"/>
          <w:color w:val="auto"/>
        </w:rPr>
        <w:t xml:space="preserve"> </w:t>
      </w:r>
      <w:r w:rsidR="00A40FFC">
        <w:rPr>
          <w:rStyle w:val="IntenseEmphasis"/>
          <w:i w:val="0"/>
          <w:color w:val="auto"/>
        </w:rPr>
        <w:t xml:space="preserve">that an inspection is required, but instead, </w:t>
      </w:r>
      <w:r w:rsidR="001C5D67">
        <w:rPr>
          <w:rStyle w:val="IntenseEmphasis"/>
          <w:i w:val="0"/>
          <w:color w:val="auto"/>
        </w:rPr>
        <w:t>it displays</w:t>
      </w:r>
      <w:r w:rsidR="00A40FFC">
        <w:rPr>
          <w:rStyle w:val="IntenseEmphasis"/>
          <w:i w:val="0"/>
          <w:color w:val="auto"/>
        </w:rPr>
        <w:t xml:space="preserve"> the code BMSBINS.</w:t>
      </w:r>
    </w:p>
    <w:p w14:paraId="228737A0" w14:textId="13B32219" w:rsidR="00C02718" w:rsidRDefault="00A40FFC" w:rsidP="0045557D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</w:t>
      </w:r>
      <w:r w:rsidR="00C02718">
        <w:rPr>
          <w:rStyle w:val="IntenseEmphasis"/>
          <w:i w:val="0"/>
          <w:color w:val="auto"/>
        </w:rPr>
        <w:t>s you can see</w:t>
      </w:r>
      <w:r w:rsidR="001C5D67">
        <w:rPr>
          <w:rStyle w:val="IntenseEmphasis"/>
          <w:i w:val="0"/>
          <w:color w:val="auto"/>
        </w:rPr>
        <w:t>,</w:t>
      </w:r>
      <w:r w:rsidR="00C02718">
        <w:rPr>
          <w:rStyle w:val="IntenseEmphasis"/>
          <w:i w:val="0"/>
          <w:color w:val="auto"/>
        </w:rPr>
        <w:t xml:space="preserve"> entering this code in the system will generate a fumigation direction for BMSB as well as a cargo inspection direction to address that the consignment </w:t>
      </w:r>
      <w:r w:rsidR="004C41FF">
        <w:rPr>
          <w:rStyle w:val="IntenseEmphasis"/>
          <w:i w:val="0"/>
          <w:color w:val="auto"/>
        </w:rPr>
        <w:t>is used machinery</w:t>
      </w:r>
      <w:r w:rsidR="00B17F12"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>–</w:t>
      </w:r>
      <w:r w:rsidR="003E38CE">
        <w:rPr>
          <w:rStyle w:val="IntenseEmphasis"/>
          <w:i w:val="0"/>
          <w:color w:val="auto"/>
        </w:rPr>
        <w:t xml:space="preserve"> </w:t>
      </w:r>
      <w:r>
        <w:rPr>
          <w:rStyle w:val="IntenseEmphasis"/>
          <w:i w:val="0"/>
          <w:color w:val="auto"/>
        </w:rPr>
        <w:t xml:space="preserve">hence </w:t>
      </w:r>
      <w:r w:rsidR="004C41FF">
        <w:rPr>
          <w:rStyle w:val="IntenseEmphasis"/>
          <w:i w:val="0"/>
          <w:color w:val="auto"/>
        </w:rPr>
        <w:t>covering standard biosecurity risk as well as BMSB</w:t>
      </w:r>
      <w:r w:rsidR="003E38CE">
        <w:rPr>
          <w:rStyle w:val="IntenseEmphasis"/>
          <w:i w:val="0"/>
          <w:color w:val="auto"/>
        </w:rPr>
        <w:t xml:space="preserve"> risk</w:t>
      </w:r>
      <w:r w:rsidR="004C41FF">
        <w:rPr>
          <w:rStyle w:val="IntenseEmphasis"/>
          <w:i w:val="0"/>
          <w:color w:val="auto"/>
        </w:rPr>
        <w:t>.</w:t>
      </w:r>
    </w:p>
    <w:p w14:paraId="6CE914A0" w14:textId="0E39BFC1" w:rsidR="00585644" w:rsidRPr="00585644" w:rsidRDefault="00585644" w:rsidP="0045557D">
      <w:pPr>
        <w:rPr>
          <w:rStyle w:val="IntenseEmphasis"/>
        </w:rPr>
      </w:pPr>
      <w:r w:rsidRPr="00585644">
        <w:rPr>
          <w:rStyle w:val="IntenseEmphasis"/>
        </w:rPr>
        <w:t>Slide 8</w:t>
      </w:r>
    </w:p>
    <w:p w14:paraId="1902D817" w14:textId="77777777" w:rsidR="00234619" w:rsidRDefault="00234619" w:rsidP="00234619">
      <w:pPr>
        <w:rPr>
          <w:rStyle w:val="IntenseEmphasis"/>
          <w:i w:val="0"/>
          <w:color w:val="auto"/>
        </w:rPr>
      </w:pPr>
      <w:r w:rsidRPr="00234619">
        <w:rPr>
          <w:rStyle w:val="IntenseEmphasis"/>
          <w:i w:val="0"/>
          <w:color w:val="auto"/>
        </w:rPr>
        <w:t>This code needs to be entered against the relevant line in the AEP processing type field of the Integrated cargo system (or ICS).</w:t>
      </w:r>
    </w:p>
    <w:p w14:paraId="78F900C8" w14:textId="22E95E42" w:rsidR="00C02718" w:rsidRDefault="004C57FE" w:rsidP="0045557D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Remember to also enter an appropriate AA site number and any other relevant information in the system for the lodgement to run successfully.</w:t>
      </w:r>
    </w:p>
    <w:p w14:paraId="0F90017E" w14:textId="6E39E92D" w:rsidR="00234619" w:rsidRPr="007B0EDA" w:rsidRDefault="00234619" w:rsidP="00234619">
      <w:pPr>
        <w:rPr>
          <w:iCs/>
        </w:rPr>
      </w:pPr>
      <w:r w:rsidRPr="007B0EDA">
        <w:rPr>
          <w:i/>
          <w:iCs/>
          <w:color w:val="4F81BD" w:themeColor="accent1"/>
        </w:rPr>
        <w:t>Slide</w:t>
      </w:r>
      <w:r>
        <w:rPr>
          <w:i/>
          <w:iCs/>
          <w:color w:val="4F81BD" w:themeColor="accent1"/>
        </w:rPr>
        <w:t xml:space="preserve"> </w:t>
      </w:r>
      <w:r w:rsidR="00585644">
        <w:rPr>
          <w:i/>
          <w:iCs/>
          <w:color w:val="4F81BD" w:themeColor="accent1"/>
        </w:rPr>
        <w:t>9</w:t>
      </w:r>
    </w:p>
    <w:p w14:paraId="388C5856" w14:textId="311FE6C7" w:rsidR="00234619" w:rsidRDefault="00234619" w:rsidP="00234619">
      <w:pPr>
        <w:rPr>
          <w:lang w:eastAsia="ja-JP"/>
        </w:rPr>
      </w:pPr>
      <w:r w:rsidRPr="007B0EDA">
        <w:rPr>
          <w:lang w:eastAsia="ja-JP"/>
        </w:rPr>
        <w:t>Once the lodgement is completed, and if the import declaration is not selected for a document assessment verification by the system, the Agriculture import management system (or AIMS)</w:t>
      </w:r>
      <w:r w:rsidR="00B17F12">
        <w:rPr>
          <w:lang w:eastAsia="ja-JP"/>
        </w:rPr>
        <w:t xml:space="preserve"> </w:t>
      </w:r>
      <w:r>
        <w:rPr>
          <w:lang w:eastAsia="ja-JP"/>
        </w:rPr>
        <w:t xml:space="preserve">will generate 2 directions: a fumigation and a cargo inspection direction and </w:t>
      </w:r>
      <w:r w:rsidR="0035400B">
        <w:rPr>
          <w:lang w:eastAsia="ja-JP"/>
        </w:rPr>
        <w:t xml:space="preserve">email them </w:t>
      </w:r>
      <w:r w:rsidRPr="007B0EDA">
        <w:rPr>
          <w:lang w:eastAsia="ja-JP"/>
        </w:rPr>
        <w:t>to your company’s nominated address.</w:t>
      </w:r>
    </w:p>
    <w:p w14:paraId="738F4D29" w14:textId="51616474" w:rsidR="00107454" w:rsidRDefault="00234619" w:rsidP="00905F94">
      <w:pPr>
        <w:rPr>
          <w:lang w:eastAsia="ja-JP"/>
        </w:rPr>
      </w:pPr>
      <w:r w:rsidRPr="007B0EDA">
        <w:rPr>
          <w:lang w:eastAsia="ja-JP"/>
        </w:rPr>
        <w:t>If you have any AEP related questions please contact AEPsupport@awe.gov.au</w:t>
      </w:r>
      <w:r w:rsidR="00B17F12">
        <w:rPr>
          <w:lang w:eastAsia="ja-JP"/>
        </w:rPr>
        <w:t>.</w:t>
      </w:r>
    </w:p>
    <w:sectPr w:rsidR="00107454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A8D04" w14:textId="77777777" w:rsidR="009D2416" w:rsidRDefault="009D2416">
      <w:r>
        <w:separator/>
      </w:r>
    </w:p>
  </w:endnote>
  <w:endnote w:type="continuationSeparator" w:id="0">
    <w:p w14:paraId="51FE7C43" w14:textId="77777777" w:rsidR="009D2416" w:rsidRDefault="009D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AB5A3" w14:textId="77777777" w:rsidR="00C6669A" w:rsidRDefault="00C6669A" w:rsidP="00C6669A">
        <w:pPr>
          <w:pStyle w:val="Footer"/>
          <w:jc w:val="right"/>
        </w:pPr>
        <w:r>
          <w:t>Department of Agriculture</w:t>
        </w:r>
        <w:r w:rsidR="00484EEC">
          <w:t>, Water and the Environment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E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4BAE19" w14:textId="77777777" w:rsidR="009D2416" w:rsidRDefault="009D2416">
      <w:r>
        <w:separator/>
      </w:r>
    </w:p>
  </w:footnote>
  <w:footnote w:type="continuationSeparator" w:id="0">
    <w:p w14:paraId="269B5418" w14:textId="77777777" w:rsidR="009D2416" w:rsidRDefault="009D24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2CE002" w14:textId="77777777" w:rsidR="00484EEC" w:rsidRDefault="00484EEC">
    <w:pPr>
      <w:pStyle w:val="Header"/>
    </w:pPr>
    <w:r>
      <w:rPr>
        <w:noProof/>
      </w:rPr>
      <w:drawing>
        <wp:inline distT="0" distB="0" distL="0" distR="0" wp14:anchorId="4CAEFF38" wp14:editId="7081DFFB">
          <wp:extent cx="2123264" cy="6372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37"/>
    <w:rsid w:val="00004718"/>
    <w:rsid w:val="000125D8"/>
    <w:rsid w:val="000263A9"/>
    <w:rsid w:val="00026C87"/>
    <w:rsid w:val="000775FB"/>
    <w:rsid w:val="000B792A"/>
    <w:rsid w:val="00107454"/>
    <w:rsid w:val="00113EC4"/>
    <w:rsid w:val="00114C5C"/>
    <w:rsid w:val="00123C37"/>
    <w:rsid w:val="001A31F0"/>
    <w:rsid w:val="001B1A69"/>
    <w:rsid w:val="001B330B"/>
    <w:rsid w:val="001C5D67"/>
    <w:rsid w:val="001D266D"/>
    <w:rsid w:val="001D7CD7"/>
    <w:rsid w:val="00212BBC"/>
    <w:rsid w:val="00222D36"/>
    <w:rsid w:val="00234619"/>
    <w:rsid w:val="00253DC6"/>
    <w:rsid w:val="00271E1B"/>
    <w:rsid w:val="002B2EFA"/>
    <w:rsid w:val="00301CA3"/>
    <w:rsid w:val="003125D8"/>
    <w:rsid w:val="0032781E"/>
    <w:rsid w:val="0035400B"/>
    <w:rsid w:val="0036314B"/>
    <w:rsid w:val="00387C1B"/>
    <w:rsid w:val="003A3DD0"/>
    <w:rsid w:val="003C6BEF"/>
    <w:rsid w:val="003E38CE"/>
    <w:rsid w:val="003F226D"/>
    <w:rsid w:val="0042079A"/>
    <w:rsid w:val="00420D1D"/>
    <w:rsid w:val="00422DCB"/>
    <w:rsid w:val="00442576"/>
    <w:rsid w:val="0045557D"/>
    <w:rsid w:val="00461807"/>
    <w:rsid w:val="00465819"/>
    <w:rsid w:val="00484EEC"/>
    <w:rsid w:val="004950C4"/>
    <w:rsid w:val="004A0D8C"/>
    <w:rsid w:val="004C2828"/>
    <w:rsid w:val="004C41FF"/>
    <w:rsid w:val="004C57FE"/>
    <w:rsid w:val="004E2BA2"/>
    <w:rsid w:val="004F68FA"/>
    <w:rsid w:val="00501743"/>
    <w:rsid w:val="0054747E"/>
    <w:rsid w:val="005525AE"/>
    <w:rsid w:val="0055703A"/>
    <w:rsid w:val="00560689"/>
    <w:rsid w:val="00585644"/>
    <w:rsid w:val="005F10A0"/>
    <w:rsid w:val="00610155"/>
    <w:rsid w:val="00626E31"/>
    <w:rsid w:val="0064305B"/>
    <w:rsid w:val="00681A7F"/>
    <w:rsid w:val="006A5832"/>
    <w:rsid w:val="006B302C"/>
    <w:rsid w:val="006F0D63"/>
    <w:rsid w:val="00700EE4"/>
    <w:rsid w:val="0075015F"/>
    <w:rsid w:val="00761F82"/>
    <w:rsid w:val="007724FB"/>
    <w:rsid w:val="007C1598"/>
    <w:rsid w:val="007E1BC9"/>
    <w:rsid w:val="007F60B5"/>
    <w:rsid w:val="008032E0"/>
    <w:rsid w:val="008157A0"/>
    <w:rsid w:val="008256FA"/>
    <w:rsid w:val="008570B5"/>
    <w:rsid w:val="008801E7"/>
    <w:rsid w:val="00882EE4"/>
    <w:rsid w:val="00896FC4"/>
    <w:rsid w:val="008E74FA"/>
    <w:rsid w:val="008F04EF"/>
    <w:rsid w:val="0090368E"/>
    <w:rsid w:val="00905F94"/>
    <w:rsid w:val="0093210B"/>
    <w:rsid w:val="00955A64"/>
    <w:rsid w:val="00972DDE"/>
    <w:rsid w:val="009805A1"/>
    <w:rsid w:val="00987109"/>
    <w:rsid w:val="009D2416"/>
    <w:rsid w:val="009E1070"/>
    <w:rsid w:val="00A1626D"/>
    <w:rsid w:val="00A17FC6"/>
    <w:rsid w:val="00A40FFC"/>
    <w:rsid w:val="00A436EC"/>
    <w:rsid w:val="00A512B2"/>
    <w:rsid w:val="00A62F80"/>
    <w:rsid w:val="00AA4B88"/>
    <w:rsid w:val="00AC3B35"/>
    <w:rsid w:val="00AD5C42"/>
    <w:rsid w:val="00B0021E"/>
    <w:rsid w:val="00B0166E"/>
    <w:rsid w:val="00B17F12"/>
    <w:rsid w:val="00B21813"/>
    <w:rsid w:val="00B273E3"/>
    <w:rsid w:val="00B57188"/>
    <w:rsid w:val="00BD7E10"/>
    <w:rsid w:val="00BE5E89"/>
    <w:rsid w:val="00BF719A"/>
    <w:rsid w:val="00C02718"/>
    <w:rsid w:val="00C4501B"/>
    <w:rsid w:val="00C47A47"/>
    <w:rsid w:val="00C53B56"/>
    <w:rsid w:val="00C54E0F"/>
    <w:rsid w:val="00C6669A"/>
    <w:rsid w:val="00CB014C"/>
    <w:rsid w:val="00CD419D"/>
    <w:rsid w:val="00D15F5A"/>
    <w:rsid w:val="00D41B98"/>
    <w:rsid w:val="00D74B3A"/>
    <w:rsid w:val="00D91C89"/>
    <w:rsid w:val="00DB4544"/>
    <w:rsid w:val="00DE5C2C"/>
    <w:rsid w:val="00DE5DD2"/>
    <w:rsid w:val="00DE6B3D"/>
    <w:rsid w:val="00DE7598"/>
    <w:rsid w:val="00E13860"/>
    <w:rsid w:val="00E2327D"/>
    <w:rsid w:val="00E3214D"/>
    <w:rsid w:val="00E458A0"/>
    <w:rsid w:val="00E50DF7"/>
    <w:rsid w:val="00E53B7E"/>
    <w:rsid w:val="00E96589"/>
    <w:rsid w:val="00EB2A60"/>
    <w:rsid w:val="00ED504A"/>
    <w:rsid w:val="00ED7F74"/>
    <w:rsid w:val="00EF1D09"/>
    <w:rsid w:val="00F025CE"/>
    <w:rsid w:val="00F10F43"/>
    <w:rsid w:val="00F60BB1"/>
    <w:rsid w:val="00F6582F"/>
    <w:rsid w:val="00FC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86FAE"/>
  <w15:chartTrackingRefBased/>
  <w15:docId w15:val="{6C7BB762-B7E7-4154-BC07-68DB56B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23C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1BC9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BC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IntenseEmphasis">
    <w:name w:val="Intense Emphasis"/>
    <w:basedOn w:val="DefaultParagraphFont"/>
    <w:uiPriority w:val="21"/>
    <w:qFormat/>
    <w:rsid w:val="007E1BC9"/>
    <w:rPr>
      <w:i/>
      <w:iCs/>
      <w:color w:val="4F81BD" w:themeColor="accent1"/>
    </w:rPr>
  </w:style>
  <w:style w:type="numbering" w:customStyle="1" w:styleId="ListBullets1">
    <w:name w:val="ListBullets1"/>
    <w:uiPriority w:val="99"/>
    <w:rsid w:val="00ED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culture.gov.au/import/arrival/arrangements/aep-aa-reform-projec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5F6EB-112A-459B-AD8F-CA01797A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AEPCOMM video tutorial BMSB</dc:title>
  <dc:subject/>
  <dc:creator>Department of Agriculture, Water and the Environment</dc:creator>
  <cp:keywords/>
  <dc:description/>
  <cp:lastModifiedBy>Dang, Van</cp:lastModifiedBy>
  <cp:revision>60</cp:revision>
  <cp:lastPrinted>2015-08-14T05:36:00Z</cp:lastPrinted>
  <dcterms:created xsi:type="dcterms:W3CDTF">2020-06-23T03:18:00Z</dcterms:created>
  <dcterms:modified xsi:type="dcterms:W3CDTF">2020-08-11T05:06:00Z</dcterms:modified>
</cp:coreProperties>
</file>