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B2A" w:rsidRPr="00C5027A" w:rsidRDefault="00B76243" w:rsidP="00C5027A">
      <w:pPr>
        <w:pStyle w:val="Heading1"/>
      </w:pPr>
      <w:bookmarkStart w:id="0" w:name="OLE_LINK1"/>
      <w:bookmarkStart w:id="1" w:name="OLE_LINK2"/>
      <w:r w:rsidRPr="00C5027A">
        <w:t>N</w:t>
      </w:r>
      <w:r w:rsidR="00FF4B2A" w:rsidRPr="00C5027A">
        <w:t xml:space="preserve">ationally protected </w:t>
      </w:r>
      <w:r w:rsidR="005271F9" w:rsidRPr="00C5027A">
        <w:t>Broad leaf tea-tree (</w:t>
      </w:r>
      <w:r w:rsidR="005271F9" w:rsidRPr="00C5027A">
        <w:rPr>
          <w:i/>
        </w:rPr>
        <w:t xml:space="preserve">Melaleuca </w:t>
      </w:r>
      <w:proofErr w:type="spellStart"/>
      <w:r w:rsidR="005271F9" w:rsidRPr="00C5027A">
        <w:rPr>
          <w:i/>
        </w:rPr>
        <w:t>viridiflora</w:t>
      </w:r>
      <w:proofErr w:type="spellEnd"/>
      <w:r w:rsidR="005271F9" w:rsidRPr="00C5027A">
        <w:t>) woodlands in high rainfall coastal north Queensland</w:t>
      </w:r>
      <w:r w:rsidRPr="00C5027A">
        <w:t xml:space="preserve"> – does it </w:t>
      </w:r>
      <w:r w:rsidR="008762B0" w:rsidRPr="00C5027A">
        <w:t>affect</w:t>
      </w:r>
      <w:r w:rsidRPr="00C5027A">
        <w:t xml:space="preserve"> you and your land?</w:t>
      </w:r>
    </w:p>
    <w:bookmarkEnd w:id="0"/>
    <w:bookmarkEnd w:id="1"/>
    <w:p w:rsidR="00FF4B2A" w:rsidRPr="00B30FF2" w:rsidRDefault="00FF4B2A" w:rsidP="00B30FF2">
      <w:r w:rsidRPr="00B30FF2">
        <w:t xml:space="preserve">Since European settlement, </w:t>
      </w:r>
      <w:r w:rsidR="005271F9" w:rsidRPr="00B30FF2">
        <w:t>a large amount</w:t>
      </w:r>
      <w:r w:rsidRPr="00B30FF2">
        <w:t xml:space="preserve"> of the </w:t>
      </w:r>
      <w:r w:rsidR="005271F9" w:rsidRPr="00B30FF2">
        <w:rPr>
          <w:b/>
        </w:rPr>
        <w:t>Broad leaf tea-tree (</w:t>
      </w:r>
      <w:r w:rsidR="005271F9" w:rsidRPr="00B30FF2">
        <w:rPr>
          <w:b/>
          <w:i/>
        </w:rPr>
        <w:t xml:space="preserve">Melaleuca </w:t>
      </w:r>
      <w:proofErr w:type="spellStart"/>
      <w:r w:rsidR="005271F9" w:rsidRPr="00B30FF2">
        <w:rPr>
          <w:b/>
          <w:i/>
        </w:rPr>
        <w:t>viridiflora</w:t>
      </w:r>
      <w:proofErr w:type="spellEnd"/>
      <w:r w:rsidR="005271F9" w:rsidRPr="00B30FF2">
        <w:rPr>
          <w:b/>
        </w:rPr>
        <w:t>) woodlands in high rainfall coastal north Queensland</w:t>
      </w:r>
      <w:r w:rsidR="005271F9" w:rsidRPr="00B30FF2">
        <w:t xml:space="preserve"> (broad leaf tea-tree woodlands)</w:t>
      </w:r>
      <w:r w:rsidR="007D4CD8" w:rsidRPr="00B30FF2">
        <w:t xml:space="preserve"> </w:t>
      </w:r>
      <w:r w:rsidRPr="00B30FF2">
        <w:t>ecological community has been cleared, or degraded</w:t>
      </w:r>
      <w:r w:rsidR="002665E7" w:rsidRPr="00B30FF2">
        <w:t xml:space="preserve"> by</w:t>
      </w:r>
      <w:r w:rsidRPr="00B30FF2">
        <w:t xml:space="preserve"> heavy grazing</w:t>
      </w:r>
      <w:r w:rsidR="005271F9" w:rsidRPr="00B30FF2">
        <w:t xml:space="preserve"> </w:t>
      </w:r>
      <w:r w:rsidR="0019181D" w:rsidRPr="00B30FF2">
        <w:t>and incursion of weeds</w:t>
      </w:r>
      <w:r w:rsidRPr="00B30FF2">
        <w:t xml:space="preserve">. The </w:t>
      </w:r>
      <w:r w:rsidR="005271F9" w:rsidRPr="00B30FF2">
        <w:t xml:space="preserve">relatively </w:t>
      </w:r>
      <w:r w:rsidRPr="00B30FF2">
        <w:t xml:space="preserve">small amount that remains in good condition is now protected under Australia’s national environment law, the Environment Protection and Biodiversity Conservation Act 1999 (EPBC Act), as </w:t>
      </w:r>
      <w:r w:rsidR="005271F9" w:rsidRPr="00B30FF2">
        <w:t>an</w:t>
      </w:r>
      <w:r w:rsidRPr="00B30FF2">
        <w:t xml:space="preserve"> endangered ecological community.</w:t>
      </w:r>
    </w:p>
    <w:p w:rsidR="00FF4B2A" w:rsidRPr="00C5027A" w:rsidRDefault="00FF4B2A" w:rsidP="00C5027A">
      <w:pPr>
        <w:pStyle w:val="Heading2"/>
      </w:pPr>
      <w:r w:rsidRPr="00C5027A">
        <w:t xml:space="preserve">What does national protection of </w:t>
      </w:r>
      <w:r w:rsidR="005271F9" w:rsidRPr="00C5027A">
        <w:t>broad leaf tea-tree woodlands</w:t>
      </w:r>
      <w:r w:rsidR="00D42EFF" w:rsidRPr="00C5027A">
        <w:t xml:space="preserve"> </w:t>
      </w:r>
      <w:r w:rsidRPr="00C5027A">
        <w:t xml:space="preserve">mean for you as </w:t>
      </w:r>
      <w:proofErr w:type="gramStart"/>
      <w:r w:rsidRPr="00C5027A">
        <w:t xml:space="preserve">a </w:t>
      </w:r>
      <w:r w:rsidR="00CA6328" w:rsidRPr="00C5027A">
        <w:t xml:space="preserve"> landholder</w:t>
      </w:r>
      <w:proofErr w:type="gramEnd"/>
      <w:r w:rsidRPr="00C5027A">
        <w:t>?</w:t>
      </w:r>
    </w:p>
    <w:p w:rsidR="00FF4B2A" w:rsidRDefault="00FF4B2A" w:rsidP="00257FC4">
      <w:pPr>
        <w:spacing w:beforeLines="60" w:afterLines="60"/>
      </w:pPr>
      <w:r>
        <w:t>The national environment law is not about stopping</w:t>
      </w:r>
      <w:r w:rsidR="005271F9">
        <w:t xml:space="preserve"> </w:t>
      </w:r>
      <w:r w:rsidR="0019181D">
        <w:t>landholder activities or related business, such as horticulture</w:t>
      </w:r>
      <w:r>
        <w:t xml:space="preserve">; </w:t>
      </w:r>
      <w:r w:rsidR="0019181D">
        <w:t>rather, it is about protecting</w:t>
      </w:r>
      <w:r w:rsidR="005271F9">
        <w:t xml:space="preserve"> </w:t>
      </w:r>
      <w:r>
        <w:t>Australia’s unique native plants and animals</w:t>
      </w:r>
      <w:r w:rsidR="0019181D">
        <w:t xml:space="preserve"> and the ecosystem services they provide</w:t>
      </w:r>
      <w:r>
        <w:t xml:space="preserve">. </w:t>
      </w:r>
    </w:p>
    <w:p w:rsidR="00FF4B2A" w:rsidRDefault="00FF4B2A" w:rsidP="00257FC4">
      <w:pPr>
        <w:spacing w:beforeLines="60" w:afterLines="60"/>
      </w:pPr>
      <w:r>
        <w:t xml:space="preserve">You </w:t>
      </w:r>
      <w:r>
        <w:rPr>
          <w:u w:val="single"/>
        </w:rPr>
        <w:t>may</w:t>
      </w:r>
      <w:r>
        <w:t xml:space="preserve"> need Australian Government approval if:</w:t>
      </w:r>
    </w:p>
    <w:p w:rsidR="00FF4B2A" w:rsidRDefault="00FF4B2A" w:rsidP="00257FC4">
      <w:pPr>
        <w:numPr>
          <w:ilvl w:val="0"/>
          <w:numId w:val="13"/>
        </w:numPr>
        <w:tabs>
          <w:tab w:val="clear" w:pos="720"/>
          <w:tab w:val="num" w:pos="360"/>
        </w:tabs>
        <w:spacing w:beforeLines="60" w:afterLines="60"/>
        <w:ind w:left="360"/>
      </w:pPr>
      <w:r>
        <w:t xml:space="preserve">the protected </w:t>
      </w:r>
      <w:r w:rsidR="005271F9">
        <w:t>woodland</w:t>
      </w:r>
      <w:r>
        <w:t xml:space="preserve"> (or other protected matters) occur on your property, </w:t>
      </w:r>
      <w:r>
        <w:rPr>
          <w:b/>
          <w:u w:val="single"/>
        </w:rPr>
        <w:t>and</w:t>
      </w:r>
    </w:p>
    <w:p w:rsidR="00FF4B2A" w:rsidRDefault="00FF4B2A" w:rsidP="00257FC4">
      <w:pPr>
        <w:numPr>
          <w:ilvl w:val="0"/>
          <w:numId w:val="13"/>
        </w:numPr>
        <w:tabs>
          <w:tab w:val="clear" w:pos="720"/>
          <w:tab w:val="num" w:pos="360"/>
        </w:tabs>
        <w:spacing w:beforeLines="60" w:afterLines="60"/>
        <w:ind w:left="360"/>
      </w:pPr>
      <w:proofErr w:type="gramStart"/>
      <w:r>
        <w:t>a</w:t>
      </w:r>
      <w:proofErr w:type="gramEnd"/>
      <w:r>
        <w:t xml:space="preserve"> new, intensified or changed activity could have a significant detrimental impact on the ecological community.</w:t>
      </w:r>
    </w:p>
    <w:p w:rsidR="001A0FE2" w:rsidRDefault="00FF4B2A" w:rsidP="00257FC4">
      <w:pPr>
        <w:tabs>
          <w:tab w:val="left" w:pos="3084"/>
        </w:tabs>
        <w:spacing w:beforeLines="60" w:afterLines="60"/>
      </w:pPr>
      <w:r>
        <w:t xml:space="preserve">If you are not sure whether your activity requires Australian Government approval, you can get free advice from the environment liaison officer at the National Farmers’ Federation on 1800 704 520 (or email: </w:t>
      </w:r>
      <w:hyperlink r:id="rId8" w:history="1">
        <w:r>
          <w:rPr>
            <w:rStyle w:val="Hyperlink"/>
            <w:u w:val="none"/>
          </w:rPr>
          <w:t>environment@nff.org.au</w:t>
        </w:r>
      </w:hyperlink>
      <w:r>
        <w:t>)</w:t>
      </w:r>
      <w:r w:rsidR="002570AF">
        <w:t xml:space="preserve"> or from the Department</w:t>
      </w:r>
      <w:r w:rsidR="002665E7">
        <w:t xml:space="preserve"> of Sustainability, Environment, Water, Population and Communities</w:t>
      </w:r>
      <w:r w:rsidR="001A0FE2">
        <w:t>:</w:t>
      </w:r>
    </w:p>
    <w:p w:rsidR="001A0FE2" w:rsidRDefault="001A0FE2" w:rsidP="001A0FE2">
      <w:pPr>
        <w:tabs>
          <w:tab w:val="left" w:pos="3084"/>
        </w:tabs>
      </w:pPr>
      <w:r>
        <w:t>Telephone: 1800 803 772</w:t>
      </w:r>
    </w:p>
    <w:p w:rsidR="002159FD" w:rsidRDefault="002665E7" w:rsidP="001A0FE2">
      <w:pPr>
        <w:tabs>
          <w:tab w:val="left" w:pos="1134"/>
        </w:tabs>
      </w:pPr>
      <w:proofErr w:type="gramStart"/>
      <w:r>
        <w:t>email</w:t>
      </w:r>
      <w:proofErr w:type="gramEnd"/>
      <w:r>
        <w:t xml:space="preserve">: </w:t>
      </w:r>
      <w:r w:rsidR="001A0FE2">
        <w:tab/>
      </w:r>
      <w:hyperlink r:id="rId9" w:history="1">
        <w:r w:rsidR="001A0FE2" w:rsidRPr="000F32E8">
          <w:rPr>
            <w:rStyle w:val="Hyperlink"/>
          </w:rPr>
          <w:t>ciu@environment.gov.au</w:t>
        </w:r>
      </w:hyperlink>
    </w:p>
    <w:p w:rsidR="001A0FE2" w:rsidRDefault="001A0FE2" w:rsidP="001A0FE2">
      <w:pPr>
        <w:tabs>
          <w:tab w:val="left" w:pos="1134"/>
        </w:tabs>
      </w:pPr>
      <w:r>
        <w:t xml:space="preserve">Mail: </w:t>
      </w:r>
      <w:r>
        <w:tab/>
        <w:t>Community Information Unit</w:t>
      </w:r>
    </w:p>
    <w:p w:rsidR="001A0FE2" w:rsidRDefault="001A0FE2" w:rsidP="001A0FE2">
      <w:pPr>
        <w:tabs>
          <w:tab w:val="left" w:pos="1134"/>
        </w:tabs>
      </w:pPr>
      <w:r>
        <w:tab/>
        <w:t>Department of Sustainability, Environment, Water, Population and Communities</w:t>
      </w:r>
    </w:p>
    <w:p w:rsidR="001A0FE2" w:rsidRDefault="001A0FE2" w:rsidP="001A0FE2">
      <w:pPr>
        <w:tabs>
          <w:tab w:val="left" w:pos="1134"/>
        </w:tabs>
      </w:pPr>
      <w:r>
        <w:tab/>
        <w:t>GPO Box 787</w:t>
      </w:r>
    </w:p>
    <w:p w:rsidR="001A0FE2" w:rsidRDefault="001A0FE2" w:rsidP="001A0FE2">
      <w:pPr>
        <w:tabs>
          <w:tab w:val="left" w:pos="1134"/>
        </w:tabs>
      </w:pPr>
      <w:r>
        <w:tab/>
        <w:t>Canberra 2601</w:t>
      </w:r>
    </w:p>
    <w:p w:rsidR="00FF4B2A" w:rsidRPr="000F3988" w:rsidRDefault="00AE4B12" w:rsidP="000F3988">
      <w:pPr>
        <w:pStyle w:val="Heading2"/>
      </w:pPr>
      <w:r w:rsidRPr="000F3988">
        <w:t xml:space="preserve">Where </w:t>
      </w:r>
      <w:r w:rsidR="00111E85" w:rsidRPr="000F3988">
        <w:t>are</w:t>
      </w:r>
      <w:r w:rsidR="00FF4B2A" w:rsidRPr="000F3988">
        <w:t xml:space="preserve"> </w:t>
      </w:r>
      <w:r w:rsidR="007E4F42" w:rsidRPr="000F3988">
        <w:t xml:space="preserve">the </w:t>
      </w:r>
      <w:r w:rsidR="00EE021E" w:rsidRPr="000F3988">
        <w:t>b</w:t>
      </w:r>
      <w:r w:rsidR="005271F9" w:rsidRPr="000F3988">
        <w:t>road leaf tea-tree woodlands</w:t>
      </w:r>
      <w:r w:rsidR="00FF4B2A" w:rsidRPr="000F3988">
        <w:t>?</w:t>
      </w:r>
    </w:p>
    <w:p w:rsidR="00B30FF2" w:rsidRDefault="00AE4B12" w:rsidP="00B30FF2">
      <w:pPr>
        <w:spacing w:before="144" w:after="144"/>
      </w:pPr>
      <w:r w:rsidRPr="00B30FF2">
        <w:t xml:space="preserve">The </w:t>
      </w:r>
      <w:r w:rsidR="00EE021E" w:rsidRPr="00B30FF2">
        <w:t>b</w:t>
      </w:r>
      <w:r w:rsidR="005271F9" w:rsidRPr="00B30FF2">
        <w:t>road leaf tea-tree woodlands</w:t>
      </w:r>
      <w:r w:rsidRPr="00B30FF2">
        <w:t xml:space="preserve"> ecological community </w:t>
      </w:r>
      <w:r w:rsidR="007E4F42" w:rsidRPr="00B30FF2">
        <w:t xml:space="preserve">is found in tropical north Queensland in the Wet Tropics and Central Mackay Coast bioregions. It </w:t>
      </w:r>
      <w:r w:rsidRPr="00B30FF2">
        <w:t>occurs</w:t>
      </w:r>
      <w:r w:rsidR="005271F9" w:rsidRPr="00B30FF2">
        <w:t xml:space="preserve"> mainly within 20km of the coast </w:t>
      </w:r>
      <w:r w:rsidR="00922649" w:rsidRPr="00B30FF2">
        <w:t xml:space="preserve">and on floodplains </w:t>
      </w:r>
      <w:r w:rsidR="005271F9" w:rsidRPr="00B30FF2">
        <w:t xml:space="preserve">in </w:t>
      </w:r>
      <w:r w:rsidR="007E4F42" w:rsidRPr="00B30FF2">
        <w:t>areas that receive high rainfall</w:t>
      </w:r>
      <w:r w:rsidR="005271F9" w:rsidRPr="00B30FF2">
        <w:t xml:space="preserve">. </w:t>
      </w:r>
      <w:r w:rsidR="004A65B4" w:rsidRPr="00B30FF2">
        <w:t xml:space="preserve">Known occurrences </w:t>
      </w:r>
      <w:r w:rsidR="00C13389" w:rsidRPr="00B30FF2">
        <w:t>are mostly found</w:t>
      </w:r>
      <w:r w:rsidR="00035CE6" w:rsidRPr="00B30FF2">
        <w:t xml:space="preserve"> between the localities of Mossman to the north and Yeppoon to the south</w:t>
      </w:r>
      <w:r w:rsidR="00C13389" w:rsidRPr="00B30FF2">
        <w:t xml:space="preserve"> with g</w:t>
      </w:r>
      <w:r w:rsidR="008722D7" w:rsidRPr="00B30FF2">
        <w:t>aps in the range</w:t>
      </w:r>
      <w:r w:rsidR="00C13389" w:rsidRPr="00B30FF2">
        <w:t xml:space="preserve"> where the Brigalow Belt North </w:t>
      </w:r>
      <w:r w:rsidR="001A0FE2" w:rsidRPr="00B30FF2">
        <w:t>bioregion</w:t>
      </w:r>
      <w:r w:rsidR="00C13389" w:rsidRPr="00B30FF2">
        <w:t xml:space="preserve"> meet</w:t>
      </w:r>
      <w:r w:rsidR="001A0FE2" w:rsidRPr="00B30FF2">
        <w:t>s</w:t>
      </w:r>
      <w:r w:rsidR="00C13389" w:rsidRPr="00B30FF2">
        <w:t xml:space="preserve"> the coast.</w:t>
      </w:r>
    </w:p>
    <w:p w:rsidR="00FF4B2A" w:rsidRDefault="00FF4B2A" w:rsidP="00C569E0">
      <w:r w:rsidRPr="009456D7">
        <w:t xml:space="preserve">A </w:t>
      </w:r>
      <w:r w:rsidR="007E4F42">
        <w:t>distribution</w:t>
      </w:r>
      <w:r w:rsidRPr="009456D7">
        <w:t xml:space="preserve"> map </w:t>
      </w:r>
      <w:r w:rsidR="007E4F42">
        <w:t xml:space="preserve">for the Broad leaf tea-tree woodlands </w:t>
      </w:r>
      <w:r w:rsidRPr="009456D7">
        <w:t>is available at</w:t>
      </w:r>
      <w:r w:rsidR="00C569E0">
        <w:t>:</w:t>
      </w:r>
      <w:r w:rsidRPr="009456D7">
        <w:t xml:space="preserve"> </w:t>
      </w:r>
      <w:hyperlink r:id="rId10" w:history="1">
        <w:r w:rsidR="001A0FE2" w:rsidRPr="000F32E8">
          <w:rPr>
            <w:rStyle w:val="Hyperlink"/>
          </w:rPr>
          <w:t>http://www.environment.gov.au/biodiversity/threatened/communities/pubs/122-distribution-map.pdf</w:t>
        </w:r>
      </w:hyperlink>
    </w:p>
    <w:p w:rsidR="00922649" w:rsidRPr="000F3988" w:rsidRDefault="002159FD" w:rsidP="000F3988">
      <w:pPr>
        <w:pStyle w:val="Heading2"/>
      </w:pPr>
      <w:r w:rsidRPr="00C5027A">
        <w:br w:type="page"/>
      </w:r>
      <w:r w:rsidR="00D42EFF" w:rsidRPr="000F3988">
        <w:t xml:space="preserve"> </w:t>
      </w:r>
      <w:r w:rsidR="00922649" w:rsidRPr="000F3988">
        <w:t>What are the key characteristics of the broad leaf tea-tree woodlands?</w:t>
      </w:r>
    </w:p>
    <w:p w:rsidR="007F0F25" w:rsidRPr="00C5027A" w:rsidRDefault="007E4F42" w:rsidP="00C5027A">
      <w:r w:rsidRPr="007E4F42">
        <w:t xml:space="preserve">The Broad leaf tea-tree woodlands represent occurrences of woodland where </w:t>
      </w:r>
      <w:r w:rsidRPr="007E4F42">
        <w:rPr>
          <w:i/>
        </w:rPr>
        <w:t>M</w:t>
      </w:r>
      <w:r>
        <w:rPr>
          <w:i/>
        </w:rPr>
        <w:t>elaleuca</w:t>
      </w:r>
      <w:r w:rsidRPr="007E4F42">
        <w:rPr>
          <w:i/>
        </w:rPr>
        <w:t xml:space="preserve"> </w:t>
      </w:r>
      <w:proofErr w:type="spellStart"/>
      <w:r w:rsidRPr="007E4F42">
        <w:rPr>
          <w:i/>
        </w:rPr>
        <w:t>viridiflora</w:t>
      </w:r>
      <w:proofErr w:type="spellEnd"/>
      <w:r w:rsidRPr="007E4F42">
        <w:t xml:space="preserve"> </w:t>
      </w:r>
      <w:r w:rsidRPr="000F3988">
        <w:t xml:space="preserve">(broad leaf tea-tree) is dominant in the canopy and a diversity of </w:t>
      </w:r>
      <w:r w:rsidR="00C13389" w:rsidRPr="000F3988">
        <w:t xml:space="preserve">native </w:t>
      </w:r>
      <w:r w:rsidRPr="000F3988">
        <w:t>grasses, sedges and forbs occupy the ground layer</w:t>
      </w:r>
      <w:r w:rsidR="007F0F25" w:rsidRPr="000F3988">
        <w:t>.</w:t>
      </w:r>
      <w:r w:rsidRPr="000F3988">
        <w:t xml:space="preserve"> </w:t>
      </w:r>
      <w:r w:rsidR="00D1525F" w:rsidRPr="000F3988">
        <w:t xml:space="preserve">The ecological community is typically </w:t>
      </w:r>
      <w:proofErr w:type="gramStart"/>
      <w:r w:rsidR="00D1525F" w:rsidRPr="000F3988">
        <w:t>a woodland</w:t>
      </w:r>
      <w:proofErr w:type="gramEnd"/>
      <w:r w:rsidR="00D1525F" w:rsidRPr="000F3988">
        <w:t xml:space="preserve"> but can have a </w:t>
      </w:r>
      <w:r w:rsidR="00AA0371" w:rsidRPr="000F3988">
        <w:t>more dense</w:t>
      </w:r>
      <w:r w:rsidR="00620555" w:rsidRPr="000F3988">
        <w:t xml:space="preserve"> </w:t>
      </w:r>
      <w:r w:rsidR="00D1525F" w:rsidRPr="000F3988">
        <w:t>for</w:t>
      </w:r>
      <w:r w:rsidR="007F0F25" w:rsidRPr="000F3988">
        <w:t xml:space="preserve">est structure in some areas. </w:t>
      </w:r>
      <w:r w:rsidR="00D1525F" w:rsidRPr="000F3988">
        <w:t xml:space="preserve">Epiphytes </w:t>
      </w:r>
      <w:r w:rsidR="00AA0371" w:rsidRPr="000F3988">
        <w:t xml:space="preserve">(a plant growing on another plant for support) </w:t>
      </w:r>
      <w:r w:rsidR="00D1525F" w:rsidRPr="000F3988">
        <w:t xml:space="preserve">are often </w:t>
      </w:r>
      <w:r w:rsidR="00EE021E" w:rsidRPr="000F3988">
        <w:t>clearly seen</w:t>
      </w:r>
      <w:r w:rsidR="00D1525F" w:rsidRPr="000F3988">
        <w:t xml:space="preserve"> in the canopy </w:t>
      </w:r>
      <w:r w:rsidR="00EE021E" w:rsidRPr="000F3988">
        <w:t>of broad leaf tea-trees</w:t>
      </w:r>
      <w:r w:rsidR="00D1525F" w:rsidRPr="000F3988">
        <w:t>. Shrubs may be present but are generally sparse although some sites have an obvious layer o</w:t>
      </w:r>
      <w:r w:rsidR="00D1525F" w:rsidRPr="00C5027A">
        <w:t xml:space="preserve">f </w:t>
      </w:r>
      <w:r w:rsidR="00D1525F" w:rsidRPr="00C5027A">
        <w:rPr>
          <w:i/>
        </w:rPr>
        <w:t>Xanthorrhoea spp</w:t>
      </w:r>
      <w:r w:rsidR="00D1525F" w:rsidRPr="00C5027A">
        <w:t xml:space="preserve">. (grass trees). </w:t>
      </w:r>
    </w:p>
    <w:p w:rsidR="007F0F25" w:rsidRPr="00C5027A" w:rsidRDefault="007F0F25" w:rsidP="00C5027A"/>
    <w:p w:rsidR="007E4F42" w:rsidRPr="00C5027A" w:rsidRDefault="00D1525F" w:rsidP="00C5027A">
      <w:r w:rsidRPr="00257FC4">
        <w:t>The ground layer of this ecological community supports the majority of plant species diversity, with species composition varying due to differences in soil type and duration, timing and degree of inundation during the wet season.</w:t>
      </w:r>
      <w:r w:rsidRPr="00D1525F">
        <w:t xml:space="preserve"> </w:t>
      </w:r>
      <w:proofErr w:type="spellStart"/>
      <w:r w:rsidRPr="00D1525F">
        <w:rPr>
          <w:i/>
        </w:rPr>
        <w:t>Themeda</w:t>
      </w:r>
      <w:proofErr w:type="spellEnd"/>
      <w:r w:rsidRPr="00D1525F">
        <w:rPr>
          <w:i/>
        </w:rPr>
        <w:t xml:space="preserve"> </w:t>
      </w:r>
      <w:proofErr w:type="spellStart"/>
      <w:r w:rsidRPr="00D1525F">
        <w:rPr>
          <w:i/>
        </w:rPr>
        <w:t>triandra</w:t>
      </w:r>
      <w:proofErr w:type="spellEnd"/>
      <w:r w:rsidRPr="00D1525F">
        <w:rPr>
          <w:i/>
        </w:rPr>
        <w:t xml:space="preserve"> </w:t>
      </w:r>
      <w:r w:rsidRPr="00D1525F">
        <w:t xml:space="preserve">(kangaroo grass) or </w:t>
      </w:r>
      <w:proofErr w:type="spellStart"/>
      <w:r w:rsidRPr="00D1525F">
        <w:rPr>
          <w:i/>
        </w:rPr>
        <w:t>Eremochloa</w:t>
      </w:r>
      <w:proofErr w:type="spellEnd"/>
      <w:r w:rsidRPr="00D1525F">
        <w:rPr>
          <w:i/>
        </w:rPr>
        <w:t xml:space="preserve"> </w:t>
      </w:r>
      <w:proofErr w:type="spellStart"/>
      <w:r w:rsidRPr="00D1525F">
        <w:rPr>
          <w:i/>
        </w:rPr>
        <w:t>bimaculata</w:t>
      </w:r>
      <w:proofErr w:type="spellEnd"/>
      <w:r w:rsidRPr="00D1525F">
        <w:rPr>
          <w:i/>
        </w:rPr>
        <w:t xml:space="preserve"> </w:t>
      </w:r>
      <w:r w:rsidRPr="00D1525F">
        <w:t xml:space="preserve">(poverty grass) are usually dominant on slightly elevated or drier sites. Wetter sites are often dominated by </w:t>
      </w:r>
      <w:r w:rsidR="00C13389" w:rsidRPr="00C13389">
        <w:t>the grasses</w:t>
      </w:r>
      <w:r w:rsidRPr="00D1525F">
        <w:t xml:space="preserve"> </w:t>
      </w:r>
      <w:proofErr w:type="spellStart"/>
      <w:r w:rsidRPr="00D1525F">
        <w:rPr>
          <w:i/>
        </w:rPr>
        <w:t>Ischaemum</w:t>
      </w:r>
      <w:proofErr w:type="spellEnd"/>
      <w:r w:rsidRPr="00D1525F">
        <w:rPr>
          <w:i/>
        </w:rPr>
        <w:t xml:space="preserve"> </w:t>
      </w:r>
      <w:proofErr w:type="spellStart"/>
      <w:r w:rsidRPr="00D1525F">
        <w:rPr>
          <w:i/>
        </w:rPr>
        <w:t>australe</w:t>
      </w:r>
      <w:proofErr w:type="spellEnd"/>
      <w:r w:rsidRPr="00D1525F">
        <w:rPr>
          <w:i/>
        </w:rPr>
        <w:t xml:space="preserve"> </w:t>
      </w:r>
      <w:r w:rsidRPr="00D1525F">
        <w:t>(large bluegrass)</w:t>
      </w:r>
      <w:r w:rsidR="00C13389">
        <w:t xml:space="preserve">, </w:t>
      </w:r>
      <w:r w:rsidRPr="00D1525F">
        <w:rPr>
          <w:i/>
        </w:rPr>
        <w:t>I. fragile</w:t>
      </w:r>
      <w:r w:rsidRPr="00D1525F">
        <w:t xml:space="preserve">, or by sedges and </w:t>
      </w:r>
      <w:r w:rsidRPr="000F3988">
        <w:t>rushes.</w:t>
      </w:r>
      <w:r w:rsidR="001F4E89" w:rsidRPr="000F3988">
        <w:t xml:space="preserve"> </w:t>
      </w:r>
      <w:r w:rsidR="007E4F42" w:rsidRPr="000F3988">
        <w:t>The ecological community is seasonally inundated for short periods during th</w:t>
      </w:r>
      <w:r w:rsidR="001F4E89" w:rsidRPr="000F3988">
        <w:t xml:space="preserve">e wet season, which </w:t>
      </w:r>
      <w:r w:rsidR="00C13389" w:rsidRPr="000F3988">
        <w:t>supports</w:t>
      </w:r>
      <w:r w:rsidR="001F4E89" w:rsidRPr="000F3988">
        <w:t xml:space="preserve"> an abundance </w:t>
      </w:r>
      <w:r w:rsidR="007E4F42" w:rsidRPr="000F3988">
        <w:t xml:space="preserve">of </w:t>
      </w:r>
      <w:r w:rsidR="001F4E89" w:rsidRPr="000F3988">
        <w:t>annual species in the ground layer</w:t>
      </w:r>
      <w:r w:rsidR="007E4F42" w:rsidRPr="00C5027A">
        <w:t xml:space="preserve">. </w:t>
      </w:r>
    </w:p>
    <w:p w:rsidR="001F4E89" w:rsidRPr="00C5027A" w:rsidRDefault="001F4E89" w:rsidP="00C5027A"/>
    <w:p w:rsidR="001F4E89" w:rsidRPr="00C5027A" w:rsidRDefault="001F4E89" w:rsidP="00C5027A">
      <w:r w:rsidRPr="00C5027A">
        <w:t xml:space="preserve">For more detail on the </w:t>
      </w:r>
      <w:r w:rsidR="00EE021E" w:rsidRPr="00C5027A">
        <w:t>b</w:t>
      </w:r>
      <w:r w:rsidRPr="00C5027A">
        <w:t xml:space="preserve">road leaf tea-tree woodlands </w:t>
      </w:r>
      <w:r w:rsidR="00C13389" w:rsidRPr="00C5027A">
        <w:t>refer to t</w:t>
      </w:r>
      <w:r w:rsidR="00C13389" w:rsidRPr="00566B96">
        <w:t>he listing advice at</w:t>
      </w:r>
      <w:r w:rsidRPr="00566B96">
        <w:t xml:space="preserve">: </w:t>
      </w:r>
      <w:hyperlink r:id="rId11" w:history="1">
        <w:r w:rsidRPr="00566B96">
          <w:rPr>
            <w:rStyle w:val="Hyperlink"/>
          </w:rPr>
          <w:t>http://www.environment.gov.au/cgi-bin/sprat/public/publicshowcommunity.pl?id=122&amp;status=Endangered</w:t>
        </w:r>
      </w:hyperlink>
    </w:p>
    <w:p w:rsidR="00976D48" w:rsidRPr="00B30FF2" w:rsidRDefault="00976D48" w:rsidP="00B30FF2">
      <w:r>
        <w:br w:type="page"/>
      </w:r>
    </w:p>
    <w:p w:rsidR="00FF4B2A" w:rsidRPr="000F3988" w:rsidRDefault="00FF4B2A" w:rsidP="000F3988">
      <w:pPr>
        <w:pStyle w:val="Heading2"/>
      </w:pPr>
      <w:r w:rsidRPr="000F3988">
        <w:lastRenderedPageBreak/>
        <w:t xml:space="preserve">How do I know whether the </w:t>
      </w:r>
      <w:r w:rsidR="00111E85" w:rsidRPr="000F3988">
        <w:t>Broad leaf tea-tree woodlands</w:t>
      </w:r>
      <w:r w:rsidR="007C42F7" w:rsidRPr="000F3988">
        <w:t xml:space="preserve"> </w:t>
      </w:r>
      <w:r w:rsidRPr="000F3988">
        <w:t xml:space="preserve">on my property </w:t>
      </w:r>
      <w:proofErr w:type="gramStart"/>
      <w:r w:rsidRPr="000F3988">
        <w:t>is</w:t>
      </w:r>
      <w:proofErr w:type="gramEnd"/>
      <w:r w:rsidRPr="000F3988">
        <w:t xml:space="preserve"> protected?</w:t>
      </w:r>
    </w:p>
    <w:p w:rsidR="00B92448" w:rsidRPr="00B30FF2" w:rsidRDefault="001D7D23" w:rsidP="00B30FF2">
      <w:r>
        <w:t xml:space="preserve">The </w:t>
      </w:r>
      <w:r w:rsidR="00EE021E">
        <w:t>b</w:t>
      </w:r>
      <w:r>
        <w:t>road leaf tea-tree woodlands</w:t>
      </w:r>
      <w:r w:rsidR="00FF4B2A">
        <w:t xml:space="preserve"> </w:t>
      </w:r>
      <w:r w:rsidR="001F4E89">
        <w:t xml:space="preserve">ecological community </w:t>
      </w:r>
      <w:r w:rsidR="00FF4B2A">
        <w:t>is only protected under nat</w:t>
      </w:r>
      <w:r w:rsidR="00C13389">
        <w:t>ional environment law where it remains</w:t>
      </w:r>
      <w:r w:rsidR="00FF4B2A">
        <w:t xml:space="preserve"> in relatively good condition.</w:t>
      </w:r>
      <w:r w:rsidR="00CA6328">
        <w:t xml:space="preserve"> </w:t>
      </w:r>
      <w:r w:rsidR="00FF4B2A" w:rsidRPr="00B30FF2">
        <w:t xml:space="preserve">The </w:t>
      </w:r>
      <w:r w:rsidR="00C13389" w:rsidRPr="00B30FF2">
        <w:t>flowchart</w:t>
      </w:r>
      <w:r w:rsidR="00FF4B2A" w:rsidRPr="00B30FF2">
        <w:t xml:space="preserve"> below </w:t>
      </w:r>
      <w:r w:rsidR="00A566B1" w:rsidRPr="00B30FF2">
        <w:t xml:space="preserve">helps to determine if the </w:t>
      </w:r>
      <w:r w:rsidR="001F4E89" w:rsidRPr="00B30FF2">
        <w:t>ecological community is present</w:t>
      </w:r>
      <w:r w:rsidR="00A566B1" w:rsidRPr="00B30FF2">
        <w:t xml:space="preserve"> and </w:t>
      </w:r>
      <w:r w:rsidR="00C13389" w:rsidRPr="00B30FF2">
        <w:t>meets the condition thresholds for the ecological community.</w:t>
      </w:r>
    </w:p>
    <w:p w:rsidR="001F4E89" w:rsidRPr="00B30FF2" w:rsidRDefault="001F4E89" w:rsidP="00B30FF2"/>
    <w:p w:rsidR="00661BB2" w:rsidRDefault="000E0BD3" w:rsidP="00B92448">
      <w:r>
        <w:rPr>
          <w:noProof/>
        </w:rPr>
        <w:pict>
          <v:roundrect id="_x0000_s1026" style="position:absolute;left:0;text-align:left;margin-left:22.5pt;margin-top:6.55pt;width:402.4pt;height:39.2pt;z-index:251658240" arcsize="10923f" fillcolor="#8db3e2 [1311]" strokecolor="#f2f2f2 [3041]" strokeweight="3pt">
            <v:shadow type="perspective" color="#243f60 [1604]" opacity=".5" offset="1pt" offset2="-1pt"/>
            <v:textbox>
              <w:txbxContent>
                <w:p w:rsidR="00BD39ED" w:rsidRPr="00787FDE" w:rsidRDefault="00BD39ED" w:rsidP="00787FDE">
                  <w:pPr>
                    <w:jc w:val="center"/>
                    <w:rPr>
                      <w:sz w:val="20"/>
                      <w:szCs w:val="20"/>
                    </w:rPr>
                  </w:pPr>
                  <w:r w:rsidRPr="00787FDE">
                    <w:rPr>
                      <w:sz w:val="20"/>
                      <w:szCs w:val="20"/>
                    </w:rPr>
                    <w:t xml:space="preserve">Does the patch occur in the Wet Tropics or Central Mackay Coast </w:t>
                  </w:r>
                  <w:r>
                    <w:rPr>
                      <w:sz w:val="20"/>
                      <w:szCs w:val="20"/>
                    </w:rPr>
                    <w:t>IBRA b</w:t>
                  </w:r>
                  <w:r w:rsidRPr="00787FDE">
                    <w:rPr>
                      <w:sz w:val="20"/>
                      <w:szCs w:val="20"/>
                    </w:rPr>
                    <w:t>ioregions</w:t>
                  </w:r>
                  <w:r>
                    <w:rPr>
                      <w:sz w:val="20"/>
                      <w:szCs w:val="20"/>
                    </w:rPr>
                    <w:t xml:space="preserve"> </w:t>
                  </w:r>
                  <w:r>
                    <w:rPr>
                      <w:sz w:val="20"/>
                      <w:szCs w:val="20"/>
                    </w:rPr>
                    <w:br/>
                    <w:t>on sites which are inundated after heavy rainfall during the wet season?</w:t>
                  </w:r>
                </w:p>
              </w:txbxContent>
            </v:textbox>
          </v:roundrect>
        </w:pict>
      </w:r>
    </w:p>
    <w:p w:rsidR="00661BB2" w:rsidRDefault="00661BB2" w:rsidP="00B92448"/>
    <w:p w:rsidR="00A566B1" w:rsidRDefault="00A566B1" w:rsidP="00B92448"/>
    <w:p w:rsidR="008762B0" w:rsidRDefault="000E0BD3" w:rsidP="00B92448">
      <w:r>
        <w:rPr>
          <w:noProof/>
        </w:rPr>
        <w:pict>
          <v:shapetype id="_x0000_t32" coordsize="21600,21600" o:spt="32" o:oned="t" path="m,l21600,21600e" filled="f">
            <v:path arrowok="t" fillok="f" o:connecttype="none"/>
            <o:lock v:ext="edit" shapetype="t"/>
          </v:shapetype>
          <v:shape id="_x0000_s1029" type="#_x0000_t32" style="position:absolute;left:0;text-align:left;margin-left:352.35pt;margin-top:2.8pt;width:0;height:53.6pt;z-index:251697152" o:connectortype="straight">
            <v:stroke endarrow="block"/>
          </v:shape>
        </w:pict>
      </w:r>
      <w:r>
        <w:rPr>
          <w:noProof/>
        </w:rPr>
        <w:pict>
          <v:shape id="_x0000_s1028" type="#_x0000_t32" style="position:absolute;left:0;text-align:left;margin-left:110pt;margin-top:4.35pt;width:0;height:11.85pt;z-index:251675648" o:connectortype="straight">
            <v:stroke endarrow="block"/>
          </v:shape>
        </w:pict>
      </w:r>
    </w:p>
    <w:p w:rsidR="00B92448" w:rsidRDefault="000E0BD3" w:rsidP="00257FC4">
      <w:pPr>
        <w:spacing w:beforeLines="60" w:afterLines="60"/>
        <w:rPr>
          <w:i/>
        </w:rPr>
      </w:pPr>
      <w:r>
        <w:rPr>
          <w:i/>
          <w:noProof/>
        </w:rPr>
        <w:pict>
          <v:roundrect id="_x0000_s1037" style="position:absolute;left:0;text-align:left;margin-left:392.1pt;margin-top:26.1pt;width:32.8pt;height:327.1pt;z-index:251668480" arcsize="10923f" fillcolor="#b2a1c7 [1943]" strokecolor="#f2f2f2 [3041]" strokeweight="3pt">
            <v:shadow type="perspective" color="#3f3151 [1607]" opacity=".5" offset="1pt" offset2="-1pt"/>
            <v:textbox style="layout-flow:vertical;mso-layout-flow-alt:bottom-to-top;mso-next-textbox:#_x0000_s1037">
              <w:txbxContent>
                <w:p w:rsidR="00BD39ED" w:rsidRPr="00111E85" w:rsidRDefault="00BD39ED" w:rsidP="00E560C8">
                  <w:pPr>
                    <w:jc w:val="center"/>
                    <w:rPr>
                      <w:sz w:val="20"/>
                      <w:szCs w:val="20"/>
                    </w:rPr>
                  </w:pPr>
                  <w:r w:rsidRPr="00111E85">
                    <w:rPr>
                      <w:sz w:val="20"/>
                      <w:szCs w:val="20"/>
                    </w:rPr>
                    <w:t>Not the listed ecological community</w:t>
                  </w:r>
                </w:p>
              </w:txbxContent>
            </v:textbox>
          </v:roundrect>
        </w:pict>
      </w:r>
      <w:r>
        <w:rPr>
          <w:i/>
          <w:noProof/>
        </w:rPr>
        <w:pict>
          <v:shape id="_x0000_s1048" type="#_x0000_t32" style="position:absolute;left:0;text-align:left;margin-left:110pt;margin-top:314.75pt;width:.05pt;height:17.55pt;z-index:251680768" o:connectortype="straight">
            <v:stroke endarrow="block"/>
          </v:shape>
        </w:pict>
      </w:r>
      <w:r>
        <w:rPr>
          <w:i/>
          <w:noProof/>
        </w:rPr>
        <w:pict>
          <v:roundrect id="_x0000_s1040" style="position:absolute;left:0;text-align:left;margin-left:85.85pt;margin-top:335.75pt;width:48.4pt;height:23.1pt;z-index:251671552" arcsize="10923f" fillcolor="#9bbb59 [3206]" strokecolor="#f2f2f2 [3041]" strokeweight="3pt">
            <v:shadow type="perspective" color="#4e6128 [1606]" opacity=".5" offset="1pt" offset2="-1pt"/>
            <v:textbox>
              <w:txbxContent>
                <w:p w:rsidR="00BD39ED" w:rsidRPr="00111E85" w:rsidRDefault="00BD39ED" w:rsidP="00111E85">
                  <w:pPr>
                    <w:jc w:val="center"/>
                    <w:rPr>
                      <w:sz w:val="20"/>
                      <w:szCs w:val="20"/>
                    </w:rPr>
                  </w:pPr>
                  <w:r w:rsidRPr="00111E85">
                    <w:rPr>
                      <w:sz w:val="20"/>
                      <w:szCs w:val="20"/>
                    </w:rPr>
                    <w:t>Yes</w:t>
                  </w:r>
                </w:p>
              </w:txbxContent>
            </v:textbox>
          </v:roundrect>
        </w:pict>
      </w:r>
      <w:r>
        <w:rPr>
          <w:i/>
          <w:noProof/>
        </w:rPr>
        <w:pict>
          <v:shape id="_x0000_s1049" type="#_x0000_t32" style="position:absolute;left:0;text-align:left;margin-left:110pt;margin-top:358.85pt;width:0;height:11.8pt;z-index:251681792" o:connectortype="straight">
            <v:stroke endarrow="block"/>
          </v:shape>
        </w:pict>
      </w:r>
      <w:r>
        <w:rPr>
          <w:i/>
          <w:noProof/>
        </w:rPr>
        <w:pict>
          <v:roundrect id="_x0000_s1038" style="position:absolute;left:0;text-align:left;margin-left:22.5pt;margin-top:370.65pt;width:402.4pt;height:42.5pt;z-index:251669504" arcsize="10923f" fillcolor="#92cddc [1944]" strokecolor="#f2f2f2 [3041]" strokeweight="3pt">
            <v:shadow type="perspective" color="#205867 [1608]" opacity=".5" offset="1pt" offset2="-1pt"/>
            <v:textbox style="mso-next-textbox:#_x0000_s1038">
              <w:txbxContent>
                <w:p w:rsidR="00BD39ED" w:rsidRDefault="00BD39ED" w:rsidP="00111E85">
                  <w:pPr>
                    <w:jc w:val="center"/>
                  </w:pPr>
                  <w:r>
                    <w:t>The patch is likely to be part of the listed broad leaf tea-tree woodlands ecological community</w:t>
                  </w:r>
                </w:p>
              </w:txbxContent>
            </v:textbox>
          </v:roundrect>
        </w:pict>
      </w:r>
      <w:r>
        <w:rPr>
          <w:i/>
          <w:noProof/>
        </w:rPr>
        <w:pict>
          <v:roundrect id="_x0000_s1036" style="position:absolute;left:0;text-align:left;margin-left:22.5pt;margin-top:279.7pt;width:283.65pt;height:35.05pt;z-index:251667456" arcsize="10923f" fillcolor="#8db3e2 [1311]" strokecolor="#f2f2f2 [3041]" strokeweight="3pt">
            <v:shadow type="perspective" color="#243f60 [1604]" opacity=".5" offset="1pt" offset2="-1pt"/>
            <v:textbox style="mso-next-textbox:#_x0000_s1036">
              <w:txbxContent>
                <w:p w:rsidR="00BD39ED" w:rsidRPr="00E47893" w:rsidRDefault="00BD39ED" w:rsidP="00111E85">
                  <w:pPr>
                    <w:jc w:val="center"/>
                    <w:rPr>
                      <w:sz w:val="20"/>
                      <w:szCs w:val="20"/>
                    </w:rPr>
                  </w:pPr>
                  <w:r w:rsidRPr="00E47893">
                    <w:rPr>
                      <w:sz w:val="20"/>
                      <w:szCs w:val="20"/>
                    </w:rPr>
                    <w:t>Is the ground layer predominantly</w:t>
                  </w:r>
                  <w:r>
                    <w:t xml:space="preserve"> </w:t>
                  </w:r>
                  <w:r w:rsidRPr="00E47893">
                    <w:rPr>
                      <w:sz w:val="20"/>
                      <w:szCs w:val="20"/>
                    </w:rPr>
                    <w:t>native species</w:t>
                  </w:r>
                  <w:r>
                    <w:rPr>
                      <w:sz w:val="20"/>
                      <w:szCs w:val="20"/>
                    </w:rPr>
                    <w:t xml:space="preserve"> </w:t>
                  </w:r>
                  <w:r w:rsidRPr="00E47893">
                    <w:rPr>
                      <w:sz w:val="20"/>
                      <w:szCs w:val="20"/>
                    </w:rPr>
                    <w:t>(</w:t>
                  </w:r>
                  <w:r w:rsidRPr="00E47893">
                    <w:rPr>
                      <w:rFonts w:cs="Arial"/>
                      <w:sz w:val="20"/>
                      <w:szCs w:val="20"/>
                    </w:rPr>
                    <w:t>≥</w:t>
                  </w:r>
                  <w:r>
                    <w:rPr>
                      <w:sz w:val="20"/>
                      <w:szCs w:val="20"/>
                    </w:rPr>
                    <w:t>60% of total ground layer vegetation cover)</w:t>
                  </w:r>
                  <w:r w:rsidRPr="00E47893">
                    <w:rPr>
                      <w:sz w:val="20"/>
                      <w:szCs w:val="20"/>
                    </w:rPr>
                    <w:t>?</w:t>
                  </w:r>
                </w:p>
              </w:txbxContent>
            </v:textbox>
          </v:roundrect>
        </w:pict>
      </w:r>
      <w:r w:rsidRPr="000E0BD3">
        <w:rPr>
          <w:noProof/>
        </w:rPr>
        <w:pict>
          <v:roundrect id="_x0000_s1056" style="position:absolute;left:0;text-align:left;margin-left:23.2pt;margin-top:120.7pt;width:282.95pt;height:24.6pt;z-index:251688960" arcsize="10923f" fillcolor="#8db3e2 [1311]" strokecolor="#f2f2f2 [3041]" strokeweight="3pt">
            <v:shadow type="perspective" color="#243f60 [1604]" opacity=".5" offset="1pt" offset2="-1pt"/>
            <v:textbox style="mso-next-textbox:#_x0000_s1056">
              <w:txbxContent>
                <w:p w:rsidR="00BD39ED" w:rsidRPr="00B64D35" w:rsidRDefault="00BD39ED" w:rsidP="001578D5">
                  <w:pPr>
                    <w:jc w:val="center"/>
                    <w:rPr>
                      <w:sz w:val="20"/>
                      <w:szCs w:val="20"/>
                    </w:rPr>
                  </w:pPr>
                  <w:r w:rsidRPr="00B64D35">
                    <w:rPr>
                      <w:sz w:val="20"/>
                      <w:szCs w:val="20"/>
                    </w:rPr>
                    <w:t xml:space="preserve">Is the patch </w:t>
                  </w:r>
                  <w:r>
                    <w:rPr>
                      <w:rFonts w:cs="Arial"/>
                      <w:sz w:val="20"/>
                      <w:szCs w:val="20"/>
                    </w:rPr>
                    <w:t xml:space="preserve">at least </w:t>
                  </w:r>
                  <w:r w:rsidRPr="00B64D35">
                    <w:rPr>
                      <w:sz w:val="20"/>
                      <w:szCs w:val="20"/>
                    </w:rPr>
                    <w:t>1ha in size?</w:t>
                  </w:r>
                </w:p>
              </w:txbxContent>
            </v:textbox>
          </v:roundrect>
        </w:pict>
      </w:r>
      <w:r w:rsidRPr="000E0BD3">
        <w:rPr>
          <w:noProof/>
        </w:rPr>
        <w:pict>
          <v:shape id="_x0000_s1051" type="#_x0000_t32" style="position:absolute;left:0;text-align:left;margin-left:306.15pt;margin-top:291pt;width:18.6pt;height:.05pt;z-index:251683840" o:connectortype="straight">
            <v:stroke endarrow="block"/>
          </v:shape>
        </w:pict>
      </w:r>
      <w:r>
        <w:rPr>
          <w:i/>
          <w:noProof/>
        </w:rPr>
        <w:pict>
          <v:shape id="_x0000_s1052" type="#_x0000_t32" style="position:absolute;left:0;text-align:left;margin-left:375.85pt;margin-top:291pt;width:16.25pt;height:.15pt;flip:y;z-index:251684864" o:connectortype="straight">
            <v:stroke endarrow="block"/>
          </v:shape>
        </w:pict>
      </w:r>
      <w:r w:rsidRPr="000E0BD3">
        <w:rPr>
          <w:noProof/>
        </w:rPr>
        <w:pict>
          <v:roundrect id="_x0000_s1035" style="position:absolute;left:0;text-align:left;margin-left:23.2pt;margin-top:193.65pt;width:282.95pt;height:36.35pt;z-index:251666432" arcsize="10923f" fillcolor="#8db3e2 [1311]" strokecolor="#f2f2f2 [3041]" strokeweight="3pt">
            <v:shadow type="perspective" color="#243f60 [1604]" opacity=".5" offset="1pt" offset2="-1pt"/>
            <v:textbox style="mso-next-textbox:#_x0000_s1035">
              <w:txbxContent>
                <w:p w:rsidR="00BD39ED" w:rsidRPr="00CE2E57" w:rsidRDefault="00BD39ED" w:rsidP="00111E85">
                  <w:pPr>
                    <w:jc w:val="center"/>
                    <w:rPr>
                      <w:sz w:val="20"/>
                      <w:szCs w:val="20"/>
                    </w:rPr>
                  </w:pPr>
                  <w:r w:rsidRPr="00CE2E57">
                    <w:rPr>
                      <w:sz w:val="20"/>
                      <w:szCs w:val="20"/>
                    </w:rPr>
                    <w:t xml:space="preserve">Are there </w:t>
                  </w:r>
                  <w:r w:rsidRPr="00CE2E57">
                    <w:rPr>
                      <w:rFonts w:cs="Arial"/>
                      <w:sz w:val="20"/>
                      <w:szCs w:val="20"/>
                    </w:rPr>
                    <w:t>≥</w:t>
                  </w:r>
                  <w:r w:rsidRPr="00CE2E57">
                    <w:rPr>
                      <w:sz w:val="20"/>
                      <w:szCs w:val="20"/>
                    </w:rPr>
                    <w:t>10 native perennial species present in the</w:t>
                  </w:r>
                  <w:r>
                    <w:rPr>
                      <w:sz w:val="20"/>
                      <w:szCs w:val="20"/>
                    </w:rPr>
                    <w:t xml:space="preserve"> shrub and</w:t>
                  </w:r>
                  <w:r w:rsidRPr="00CE2E57">
                    <w:rPr>
                      <w:sz w:val="20"/>
                      <w:szCs w:val="20"/>
                    </w:rPr>
                    <w:t xml:space="preserve"> ground layer</w:t>
                  </w:r>
                  <w:r>
                    <w:rPr>
                      <w:sz w:val="20"/>
                      <w:szCs w:val="20"/>
                    </w:rPr>
                    <w:t xml:space="preserve"> (excluding juvenile canopy trees)</w:t>
                  </w:r>
                  <w:r w:rsidRPr="00CE2E57">
                    <w:rPr>
                      <w:sz w:val="20"/>
                      <w:szCs w:val="20"/>
                    </w:rPr>
                    <w:t>?</w:t>
                  </w:r>
                </w:p>
              </w:txbxContent>
            </v:textbox>
          </v:roundrect>
        </w:pict>
      </w:r>
      <w:r w:rsidRPr="000E0BD3">
        <w:rPr>
          <w:noProof/>
        </w:rPr>
        <w:pict>
          <v:shape id="_x0000_s1033" type="#_x0000_t32" style="position:absolute;left:0;text-align:left;margin-left:306.15pt;margin-top:214.75pt;width:21.3pt;height:.1pt;z-index:251694080" o:connectortype="straight">
            <v:stroke endarrow="block"/>
          </v:shape>
        </w:pict>
      </w:r>
      <w:r>
        <w:rPr>
          <w:i/>
          <w:noProof/>
        </w:rPr>
        <w:pict>
          <v:shape id="_x0000_s1053" type="#_x0000_t32" style="position:absolute;left:0;text-align:left;margin-left:376.55pt;margin-top:214.75pt;width:15.55pt;height:.05pt;z-index:251685888" o:connectortype="straight">
            <v:stroke endarrow="block"/>
          </v:shape>
        </w:pict>
      </w:r>
      <w:r>
        <w:rPr>
          <w:i/>
          <w:noProof/>
        </w:rPr>
        <w:pict>
          <v:shape id="_x0000_s1060" type="#_x0000_t32" style="position:absolute;left:0;text-align:left;margin-left:306.15pt;margin-top:133.55pt;width:21.3pt;height:.1pt;z-index:251693056" o:connectortype="straight">
            <v:stroke endarrow="block"/>
          </v:shape>
        </w:pict>
      </w:r>
      <w:r>
        <w:rPr>
          <w:i/>
          <w:noProof/>
        </w:rPr>
        <w:pict>
          <v:shape id="_x0000_s1054" type="#_x0000_t32" style="position:absolute;left:0;text-align:left;margin-left:376.55pt;margin-top:133.55pt;width:15.55pt;height:.1pt;z-index:251686912" o:connectortype="straight">
            <v:stroke endarrow="block"/>
          </v:shape>
        </w:pict>
      </w:r>
      <w:r w:rsidRPr="000E0BD3">
        <w:rPr>
          <w:noProof/>
        </w:rPr>
        <w:pict>
          <v:shape id="_x0000_s1063" type="#_x0000_t32" style="position:absolute;left:0;text-align:left;margin-left:376.55pt;margin-top:52.4pt;width:15.55pt;height:0;z-index:251698176" o:connectortype="straight">
            <v:stroke endarrow="block"/>
          </v:shape>
        </w:pict>
      </w:r>
      <w:r w:rsidRPr="000E0BD3">
        <w:rPr>
          <w:noProof/>
        </w:rPr>
        <w:pict>
          <v:roundrect id="_x0000_s1031" style="position:absolute;left:0;text-align:left;margin-left:22.5pt;margin-top:37.9pt;width:283.65pt;height:35.55pt;z-index:251662336" arcsize="10923f" fillcolor="#8db3e2 [1311]" strokecolor="#f2f2f2 [3041]" strokeweight="3pt">
            <v:shadow type="perspective" color="#243f60 [1604]" opacity=".5" offset="1pt" offset2="-1pt"/>
            <v:textbox style="mso-next-textbox:#_x0000_s1031">
              <w:txbxContent>
                <w:p w:rsidR="00BD39ED" w:rsidRPr="00661BB2" w:rsidRDefault="00BD39ED" w:rsidP="001578D5">
                  <w:pPr>
                    <w:jc w:val="center"/>
                  </w:pPr>
                  <w:r w:rsidRPr="00CE2E57">
                    <w:rPr>
                      <w:sz w:val="20"/>
                      <w:szCs w:val="20"/>
                    </w:rPr>
                    <w:t xml:space="preserve">Is the canopy </w:t>
                  </w:r>
                  <w:r>
                    <w:rPr>
                      <w:sz w:val="20"/>
                      <w:szCs w:val="20"/>
                    </w:rPr>
                    <w:t xml:space="preserve">clearly </w:t>
                  </w:r>
                  <w:r w:rsidRPr="00CE2E57">
                    <w:rPr>
                      <w:sz w:val="20"/>
                      <w:szCs w:val="20"/>
                    </w:rPr>
                    <w:t xml:space="preserve">dominated </w:t>
                  </w:r>
                  <w:r>
                    <w:rPr>
                      <w:sz w:val="20"/>
                      <w:szCs w:val="20"/>
                    </w:rPr>
                    <w:t xml:space="preserve">(i.e. more than 50%) </w:t>
                  </w:r>
                  <w:r w:rsidRPr="00CE2E57">
                    <w:rPr>
                      <w:sz w:val="20"/>
                      <w:szCs w:val="20"/>
                    </w:rPr>
                    <w:t xml:space="preserve">by </w:t>
                  </w:r>
                  <w:r w:rsidRPr="00CE2E57">
                    <w:rPr>
                      <w:i/>
                      <w:sz w:val="20"/>
                      <w:szCs w:val="20"/>
                    </w:rPr>
                    <w:t>Melaleuca</w:t>
                  </w:r>
                  <w:r>
                    <w:rPr>
                      <w:i/>
                    </w:rPr>
                    <w:t xml:space="preserve"> </w:t>
                  </w:r>
                  <w:proofErr w:type="spellStart"/>
                  <w:r w:rsidRPr="00CE2E57">
                    <w:rPr>
                      <w:i/>
                      <w:sz w:val="20"/>
                      <w:szCs w:val="20"/>
                    </w:rPr>
                    <w:t>viridiflora</w:t>
                  </w:r>
                  <w:proofErr w:type="spellEnd"/>
                  <w:r w:rsidRPr="00CE2E57">
                    <w:rPr>
                      <w:i/>
                      <w:sz w:val="20"/>
                      <w:szCs w:val="20"/>
                    </w:rPr>
                    <w:t xml:space="preserve"> </w:t>
                  </w:r>
                  <w:r w:rsidRPr="00CE2E57">
                    <w:rPr>
                      <w:sz w:val="20"/>
                      <w:szCs w:val="20"/>
                    </w:rPr>
                    <w:t>(broad leaf tea-tree)?</w:t>
                  </w:r>
                </w:p>
                <w:p w:rsidR="00BD39ED" w:rsidRPr="001578D5" w:rsidRDefault="00BD39ED" w:rsidP="001578D5">
                  <w:pPr>
                    <w:rPr>
                      <w:szCs w:val="20"/>
                    </w:rPr>
                  </w:pPr>
                </w:p>
              </w:txbxContent>
            </v:textbox>
          </v:roundrect>
        </w:pict>
      </w:r>
      <w:r w:rsidRPr="000E0BD3">
        <w:rPr>
          <w:noProof/>
        </w:rPr>
        <w:pict>
          <v:shape id="_x0000_s1050" type="#_x0000_t32" style="position:absolute;left:0;text-align:left;margin-left:306.15pt;margin-top:52.4pt;width:22pt;height:.1pt;z-index:251699200" o:connectortype="straight">
            <v:stroke endarrow="block"/>
          </v:shape>
        </w:pict>
      </w:r>
      <w:r>
        <w:rPr>
          <w:i/>
          <w:noProof/>
        </w:rPr>
        <w:pict>
          <v:roundrect id="_x0000_s1041" style="position:absolute;left:0;text-align:left;margin-left:327.45pt;margin-top:279.4pt;width:48.4pt;height:23.1pt;z-index:251672576" arcsize="10923f" fillcolor="#c0504d [3205]" strokecolor="#f2f2f2 [3041]" strokeweight="3pt">
            <v:shadow type="perspective" color="#622423 [1605]" opacity=".5" offset="1pt" offset2="-1pt"/>
            <v:textbox>
              <w:txbxContent>
                <w:p w:rsidR="00BD39ED" w:rsidRDefault="00BD39ED" w:rsidP="00111E85">
                  <w:pPr>
                    <w:jc w:val="center"/>
                  </w:pPr>
                  <w:r>
                    <w:t>No</w:t>
                  </w:r>
                </w:p>
              </w:txbxContent>
            </v:textbox>
          </v:roundrect>
        </w:pict>
      </w:r>
      <w:r>
        <w:rPr>
          <w:i/>
          <w:noProof/>
        </w:rPr>
        <w:pict>
          <v:roundrect id="_x0000_s1043" style="position:absolute;left:0;text-align:left;margin-left:328.15pt;margin-top:202.9pt;width:48.4pt;height:23.1pt;z-index:251674624" arcsize="10923f" fillcolor="#c0504d [3205]" strokecolor="#f2f2f2 [3041]" strokeweight="3pt">
            <v:shadow type="perspective" color="#622423 [1605]" opacity=".5" offset="1pt" offset2="-1pt"/>
            <v:textbox>
              <w:txbxContent>
                <w:p w:rsidR="00BD39ED" w:rsidRDefault="00BD39ED" w:rsidP="00111E85">
                  <w:pPr>
                    <w:jc w:val="center"/>
                  </w:pPr>
                  <w:r>
                    <w:t>No</w:t>
                  </w:r>
                </w:p>
              </w:txbxContent>
            </v:textbox>
          </v:roundrect>
        </w:pict>
      </w:r>
      <w:r>
        <w:rPr>
          <w:i/>
          <w:noProof/>
        </w:rPr>
        <w:pict>
          <v:roundrect id="_x0000_s1042" style="position:absolute;left:0;text-align:left;margin-left:328.15pt;margin-top:122.2pt;width:48.4pt;height:23.1pt;z-index:251673600" arcsize="10923f" fillcolor="#c0504d [3205]" strokecolor="#f2f2f2 [3041]" strokeweight="3pt">
            <v:shadow type="perspective" color="#622423 [1605]" opacity=".5" offset="1pt" offset2="-1pt"/>
            <v:textbox>
              <w:txbxContent>
                <w:p w:rsidR="00BD39ED" w:rsidRDefault="00BD39ED" w:rsidP="00B64D35">
                  <w:pPr>
                    <w:jc w:val="center"/>
                  </w:pPr>
                  <w:r>
                    <w:t>No</w:t>
                  </w:r>
                </w:p>
              </w:txbxContent>
            </v:textbox>
          </v:roundrect>
        </w:pict>
      </w:r>
      <w:r w:rsidRPr="000E0BD3">
        <w:rPr>
          <w:noProof/>
        </w:rPr>
        <w:pict>
          <v:roundrect id="_x0000_s1061" style="position:absolute;left:0;text-align:left;margin-left:328.15pt;margin-top:42.65pt;width:48.4pt;height:23.1pt;z-index:251695104" arcsize="10923f" fillcolor="#c0504d [3205]" strokecolor="#f2f2f2 [3041]" strokeweight="3pt">
            <v:shadow type="perspective" color="#622423 [1605]" opacity=".5" offset="1pt" offset2="-1pt"/>
            <v:textbox>
              <w:txbxContent>
                <w:p w:rsidR="00BD39ED" w:rsidRDefault="00BD39ED" w:rsidP="00CE2E57">
                  <w:pPr>
                    <w:jc w:val="center"/>
                  </w:pPr>
                  <w:r>
                    <w:t>No</w:t>
                  </w:r>
                </w:p>
              </w:txbxContent>
            </v:textbox>
          </v:roundrect>
        </w:pict>
      </w:r>
      <w:r w:rsidRPr="000E0BD3">
        <w:rPr>
          <w:noProof/>
        </w:rPr>
        <w:pict>
          <v:shape id="_x0000_s1062" type="#_x0000_t32" style="position:absolute;left:0;text-align:left;margin-left:110pt;margin-top:73.45pt;width:0;height:11.85pt;z-index:251696128" o:connectortype="straight">
            <v:stroke endarrow="block"/>
          </v:shape>
        </w:pict>
      </w:r>
      <w:r>
        <w:rPr>
          <w:i/>
          <w:noProof/>
        </w:rPr>
        <w:pict>
          <v:roundrect id="_x0000_s1057" style="position:absolute;left:0;text-align:left;margin-left:85.85pt;margin-top:85.65pt;width:48.4pt;height:23.65pt;z-index:251689984" arcsize="10923f" fillcolor="#9bbb59 [3206]" strokecolor="#f2f2f2 [3041]" strokeweight="3pt">
            <v:shadow type="perspective" color="#4e6128 [1606]" opacity=".5" offset="1pt" offset2="-1pt"/>
            <v:textbox>
              <w:txbxContent>
                <w:p w:rsidR="00BD39ED" w:rsidRPr="00B64D35" w:rsidRDefault="00BD39ED" w:rsidP="00CE2E57">
                  <w:pPr>
                    <w:jc w:val="center"/>
                    <w:rPr>
                      <w:sz w:val="20"/>
                      <w:szCs w:val="20"/>
                    </w:rPr>
                  </w:pPr>
                  <w:r w:rsidRPr="00B64D35">
                    <w:rPr>
                      <w:sz w:val="20"/>
                      <w:szCs w:val="20"/>
                    </w:rPr>
                    <w:t>Yes</w:t>
                  </w:r>
                </w:p>
              </w:txbxContent>
            </v:textbox>
          </v:roundrect>
        </w:pict>
      </w:r>
      <w:r>
        <w:rPr>
          <w:i/>
          <w:noProof/>
        </w:rPr>
        <w:pict>
          <v:shape id="_x0000_s1058" type="#_x0000_t32" style="position:absolute;left:0;text-align:left;margin-left:110pt;margin-top:109.3pt;width:0;height:11.85pt;z-index:251691008" o:connectortype="straight">
            <v:stroke endarrow="block"/>
          </v:shape>
        </w:pict>
      </w:r>
      <w:r w:rsidRPr="000E0BD3">
        <w:rPr>
          <w:noProof/>
        </w:rPr>
        <w:pict>
          <v:shape id="_x0000_s1046" type="#_x0000_t32" style="position:absolute;left:0;text-align:left;margin-left:110pt;margin-top:145.3pt;width:0;height:11.8pt;z-index:251678720" o:connectortype="straight">
            <v:stroke endarrow="block"/>
          </v:shape>
        </w:pict>
      </w:r>
      <w:r w:rsidRPr="000E0BD3">
        <w:rPr>
          <w:noProof/>
        </w:rPr>
        <w:pict>
          <v:roundrect id="_x0000_s1034" style="position:absolute;left:0;text-align:left;margin-left:85.85pt;margin-top:157.1pt;width:48.4pt;height:23.35pt;z-index:251665408" arcsize="10923f" fillcolor="#9bbb59 [3206]" strokecolor="#f2f2f2 [3041]" strokeweight="3pt">
            <v:shadow type="perspective" color="#4e6128 [1606]" opacity=".5" offset="1pt" offset2="-1pt"/>
            <v:textbox>
              <w:txbxContent>
                <w:p w:rsidR="00BD39ED" w:rsidRPr="00111E85" w:rsidRDefault="00BD39ED" w:rsidP="00111E85">
                  <w:pPr>
                    <w:jc w:val="center"/>
                    <w:rPr>
                      <w:sz w:val="20"/>
                      <w:szCs w:val="20"/>
                    </w:rPr>
                  </w:pPr>
                  <w:r w:rsidRPr="00111E85">
                    <w:rPr>
                      <w:sz w:val="20"/>
                      <w:szCs w:val="20"/>
                    </w:rPr>
                    <w:t>Yes</w:t>
                  </w:r>
                </w:p>
              </w:txbxContent>
            </v:textbox>
          </v:roundrect>
        </w:pict>
      </w:r>
      <w:r w:rsidRPr="000E0BD3">
        <w:rPr>
          <w:noProof/>
        </w:rPr>
        <w:pict>
          <v:shape id="_x0000_s1045" type="#_x0000_t32" style="position:absolute;left:0;text-align:left;margin-left:110pt;margin-top:180.45pt;width:0;height:11.8pt;z-index:251677696" o:connectortype="straight">
            <v:stroke endarrow="block"/>
          </v:shape>
        </w:pict>
      </w:r>
      <w:r w:rsidRPr="000E0BD3">
        <w:rPr>
          <w:noProof/>
        </w:rPr>
        <w:pict>
          <v:shape id="_x0000_s1044" type="#_x0000_t32" style="position:absolute;left:0;text-align:left;margin-left:110pt;margin-top:230pt;width:0;height:11.8pt;z-index:251676672" o:connectortype="straight">
            <v:stroke endarrow="block"/>
          </v:shape>
        </w:pict>
      </w:r>
      <w:r>
        <w:rPr>
          <w:i/>
          <w:noProof/>
        </w:rPr>
        <w:pict>
          <v:roundrect id="_x0000_s1039" style="position:absolute;left:0;text-align:left;margin-left:85.85pt;margin-top:243.4pt;width:48.4pt;height:23.1pt;z-index:251670528" arcsize="10923f" fillcolor="#9bbb59 [3206]" strokecolor="#f2f2f2 [3041]" strokeweight="3pt">
            <v:shadow type="perspective" color="#4e6128 [1606]" opacity=".5" offset="1pt" offset2="-1pt"/>
            <v:textbox>
              <w:txbxContent>
                <w:p w:rsidR="00BD39ED" w:rsidRPr="00111E85" w:rsidRDefault="00BD39ED" w:rsidP="00111E85">
                  <w:pPr>
                    <w:jc w:val="center"/>
                    <w:rPr>
                      <w:sz w:val="20"/>
                      <w:szCs w:val="20"/>
                    </w:rPr>
                  </w:pPr>
                  <w:r w:rsidRPr="00111E85">
                    <w:rPr>
                      <w:sz w:val="20"/>
                      <w:szCs w:val="20"/>
                    </w:rPr>
                    <w:t>Yes</w:t>
                  </w:r>
                </w:p>
              </w:txbxContent>
            </v:textbox>
          </v:roundrect>
        </w:pict>
      </w:r>
      <w:r>
        <w:rPr>
          <w:i/>
          <w:noProof/>
        </w:rPr>
        <w:pict>
          <v:shape id="_x0000_s1047" type="#_x0000_t32" style="position:absolute;left:0;text-align:left;margin-left:110pt;margin-top:266.5pt;width:0;height:11.8pt;z-index:251679744" o:connectortype="straight">
            <v:stroke endarrow="block"/>
          </v:shape>
        </w:pict>
      </w:r>
      <w:r w:rsidRPr="000E0BD3">
        <w:rPr>
          <w:noProof/>
        </w:rPr>
        <w:pict>
          <v:shape id="_x0000_s1032" type="#_x0000_t32" style="position:absolute;left:0;text-align:left;margin-left:110pt;margin-top:26.1pt;width:0;height:11.8pt;z-index:251663360" o:connectortype="straight">
            <v:stroke endarrow="block"/>
          </v:shape>
        </w:pict>
      </w:r>
      <w:r w:rsidRPr="000E0BD3">
        <w:rPr>
          <w:noProof/>
        </w:rPr>
        <w:pict>
          <v:roundrect id="_x0000_s1030" style="position:absolute;left:0;text-align:left;margin-left:85.85pt;margin-top:2.45pt;width:48.4pt;height:23.65pt;z-index:251661312" arcsize="10923f" fillcolor="#9bbb59 [3206]" strokecolor="#f2f2f2 [3041]" strokeweight="3pt">
            <v:shadow type="perspective" color="#4e6128 [1606]" opacity=".5" offset="1pt" offset2="-1pt"/>
            <v:textbox>
              <w:txbxContent>
                <w:p w:rsidR="00BD39ED" w:rsidRPr="00B64D35" w:rsidRDefault="00BD39ED" w:rsidP="00661BB2">
                  <w:pPr>
                    <w:jc w:val="center"/>
                    <w:rPr>
                      <w:sz w:val="20"/>
                      <w:szCs w:val="20"/>
                    </w:rPr>
                  </w:pPr>
                  <w:r w:rsidRPr="00B64D35">
                    <w:rPr>
                      <w:sz w:val="20"/>
                      <w:szCs w:val="20"/>
                    </w:rPr>
                    <w:t>Yes</w:t>
                  </w:r>
                </w:p>
              </w:txbxContent>
            </v:textbox>
          </v:roundrect>
        </w:pict>
      </w:r>
      <w:r w:rsidR="008762B0">
        <w:rPr>
          <w:i/>
        </w:rPr>
        <w:br w:type="page"/>
      </w:r>
    </w:p>
    <w:p w:rsidR="005A15B8" w:rsidRPr="00566B96" w:rsidRDefault="005A15B8" w:rsidP="00566B96">
      <w:pPr>
        <w:pStyle w:val="Heading2"/>
      </w:pPr>
      <w:r w:rsidRPr="00566B96">
        <w:lastRenderedPageBreak/>
        <w:t>What routine landholder activities do not need approval?</w:t>
      </w:r>
    </w:p>
    <w:p w:rsidR="00FF4B2A" w:rsidRDefault="00FF4B2A" w:rsidP="00257FC4">
      <w:pPr>
        <w:spacing w:beforeLines="60" w:afterLines="60"/>
      </w:pPr>
      <w:r>
        <w:t xml:space="preserve">This ecological community was officially protected under national environment law on </w:t>
      </w:r>
      <w:r w:rsidR="00E5661F" w:rsidRPr="00E5661F">
        <w:t>19 May</w:t>
      </w:r>
      <w:r w:rsidRPr="00E5661F">
        <w:t xml:space="preserve"> 201</w:t>
      </w:r>
      <w:r w:rsidR="001D7D23" w:rsidRPr="00E5661F">
        <w:t>2</w:t>
      </w:r>
      <w:r w:rsidRPr="00E5661F">
        <w:t>.</w:t>
      </w:r>
      <w:r>
        <w:t xml:space="preserve"> Lawful activities that began before the EPBC Act came into effect on 16 July 2000 can continue without further Australian Government approval.</w:t>
      </w:r>
    </w:p>
    <w:p w:rsidR="005A15B8" w:rsidRDefault="005A15B8" w:rsidP="00257FC4">
      <w:pPr>
        <w:spacing w:beforeLines="60" w:afterLines="60"/>
      </w:pPr>
      <w:r>
        <w:t xml:space="preserve">The following activities </w:t>
      </w:r>
      <w:r w:rsidR="00121577">
        <w:t>will not need</w:t>
      </w:r>
      <w:r>
        <w:t xml:space="preserve"> approval:</w:t>
      </w:r>
    </w:p>
    <w:p w:rsidR="00FF4B2A" w:rsidRDefault="00FF4B2A" w:rsidP="00257FC4">
      <w:pPr>
        <w:numPr>
          <w:ilvl w:val="0"/>
          <w:numId w:val="17"/>
        </w:numPr>
        <w:tabs>
          <w:tab w:val="clear" w:pos="720"/>
          <w:tab w:val="num" w:pos="360"/>
        </w:tabs>
        <w:spacing w:beforeLines="60" w:afterLines="60"/>
        <w:ind w:left="360"/>
      </w:pPr>
      <w:r>
        <w:t>maintaining existing fence lines, tracks, roads or fire breaks</w:t>
      </w:r>
    </w:p>
    <w:p w:rsidR="00FF4B2A" w:rsidRDefault="00FF4B2A" w:rsidP="00257FC4">
      <w:pPr>
        <w:numPr>
          <w:ilvl w:val="0"/>
          <w:numId w:val="17"/>
        </w:numPr>
        <w:tabs>
          <w:tab w:val="clear" w:pos="720"/>
          <w:tab w:val="num" w:pos="360"/>
        </w:tabs>
        <w:spacing w:beforeLines="60" w:afterLines="60"/>
        <w:ind w:left="360"/>
      </w:pPr>
      <w:r>
        <w:t xml:space="preserve">replacing or maintaining existing sheds, other </w:t>
      </w:r>
      <w:r w:rsidR="007E70F7">
        <w:t xml:space="preserve">property </w:t>
      </w:r>
      <w:r>
        <w:t xml:space="preserve"> buildings and yards</w:t>
      </w:r>
    </w:p>
    <w:p w:rsidR="00FF4B2A" w:rsidRDefault="00FF4B2A" w:rsidP="00257FC4">
      <w:pPr>
        <w:numPr>
          <w:ilvl w:val="0"/>
          <w:numId w:val="17"/>
        </w:numPr>
        <w:tabs>
          <w:tab w:val="clear" w:pos="720"/>
          <w:tab w:val="num" w:pos="360"/>
        </w:tabs>
        <w:spacing w:beforeLines="60" w:afterLines="60"/>
        <w:ind w:left="360"/>
      </w:pPr>
      <w:proofErr w:type="gramStart"/>
      <w:r>
        <w:t>maintaining</w:t>
      </w:r>
      <w:proofErr w:type="gramEnd"/>
      <w:r>
        <w:t xml:space="preserve"> existing grazing regimes</w:t>
      </w:r>
      <w:r w:rsidR="007E70F7">
        <w:t xml:space="preserve">, if relevant </w:t>
      </w:r>
      <w:r>
        <w:t xml:space="preserve"> (</w:t>
      </w:r>
      <w:r w:rsidR="007E70F7">
        <w:t xml:space="preserve">i.e. </w:t>
      </w:r>
      <w:r>
        <w:t>type of livestock, stocking rates</w:t>
      </w:r>
      <w:r w:rsidR="007E70F7">
        <w:t>,</w:t>
      </w:r>
      <w:r>
        <w:t xml:space="preserve"> timing of grazing</w:t>
      </w:r>
      <w:r w:rsidR="007E70F7">
        <w:t>, etc.</w:t>
      </w:r>
      <w:r>
        <w:t>)</w:t>
      </w:r>
    </w:p>
    <w:p w:rsidR="007E70F7" w:rsidRDefault="007E70F7" w:rsidP="00257FC4">
      <w:pPr>
        <w:numPr>
          <w:ilvl w:val="0"/>
          <w:numId w:val="17"/>
        </w:numPr>
        <w:tabs>
          <w:tab w:val="clear" w:pos="720"/>
          <w:tab w:val="num" w:pos="360"/>
        </w:tabs>
        <w:spacing w:beforeLines="60" w:afterLines="60"/>
        <w:ind w:left="360"/>
      </w:pPr>
      <w:r>
        <w:t xml:space="preserve">ongoing horticultural </w:t>
      </w:r>
      <w:r w:rsidR="00AA0371">
        <w:t xml:space="preserve">or cropping </w:t>
      </w:r>
      <w:r>
        <w:t xml:space="preserve">activities </w:t>
      </w:r>
    </w:p>
    <w:p w:rsidR="00FF4B2A" w:rsidRDefault="00FF4B2A" w:rsidP="00257FC4">
      <w:pPr>
        <w:numPr>
          <w:ilvl w:val="0"/>
          <w:numId w:val="17"/>
        </w:numPr>
        <w:tabs>
          <w:tab w:val="clear" w:pos="720"/>
          <w:tab w:val="num" w:pos="360"/>
        </w:tabs>
        <w:spacing w:beforeLines="60" w:afterLines="60"/>
        <w:ind w:left="360"/>
      </w:pPr>
      <w:r>
        <w:t>controlling weeds (</w:t>
      </w:r>
      <w:r w:rsidR="00121577">
        <w:t xml:space="preserve">if applied </w:t>
      </w:r>
      <w:r>
        <w:t>with minimal disturbance, or by selective spot spraying)</w:t>
      </w:r>
    </w:p>
    <w:p w:rsidR="00E17E7C" w:rsidRDefault="00E17E7C" w:rsidP="00257FC4">
      <w:pPr>
        <w:numPr>
          <w:ilvl w:val="0"/>
          <w:numId w:val="17"/>
        </w:numPr>
        <w:tabs>
          <w:tab w:val="clear" w:pos="720"/>
          <w:tab w:val="num" w:pos="360"/>
        </w:tabs>
        <w:spacing w:beforeLines="60" w:afterLines="60"/>
        <w:ind w:left="360"/>
      </w:pPr>
      <w:r>
        <w:t>small-scale and existing tourism activities</w:t>
      </w:r>
    </w:p>
    <w:p w:rsidR="00FF4B2A" w:rsidRPr="00566B96" w:rsidRDefault="00FF4B2A" w:rsidP="00566B96">
      <w:pPr>
        <w:pStyle w:val="Heading2"/>
      </w:pPr>
      <w:r w:rsidRPr="00566B96">
        <w:t>What activities</w:t>
      </w:r>
      <w:r w:rsidR="00B76243" w:rsidRPr="00566B96">
        <w:t xml:space="preserve"> on my land</w:t>
      </w:r>
      <w:r w:rsidRPr="00566B96">
        <w:t xml:space="preserve"> might need approval?</w:t>
      </w:r>
    </w:p>
    <w:p w:rsidR="00FF4B2A" w:rsidRDefault="00FF4B2A" w:rsidP="00257FC4">
      <w:pPr>
        <w:spacing w:beforeLines="60" w:afterLines="60"/>
      </w:pPr>
      <w:r>
        <w:t xml:space="preserve">Any activities that are </w:t>
      </w:r>
      <w:r w:rsidR="00121577">
        <w:t xml:space="preserve">new or intensified and are </w:t>
      </w:r>
      <w:r>
        <w:t>likely to have a significant, irreversible or long-term detrimental impact on the ecological community may need Australian Government approval. These include:</w:t>
      </w:r>
    </w:p>
    <w:p w:rsidR="00FF4B2A" w:rsidRDefault="00FF4B2A" w:rsidP="00257FC4">
      <w:pPr>
        <w:numPr>
          <w:ilvl w:val="0"/>
          <w:numId w:val="11"/>
        </w:numPr>
        <w:tabs>
          <w:tab w:val="clear" w:pos="360"/>
        </w:tabs>
        <w:spacing w:beforeLines="60" w:afterLines="60"/>
      </w:pPr>
      <w:r>
        <w:t>land clearing or substantial lopping of trees</w:t>
      </w:r>
      <w:r w:rsidR="00121577">
        <w:t>,</w:t>
      </w:r>
      <w:r w:rsidR="007E70F7">
        <w:t xml:space="preserve"> </w:t>
      </w:r>
      <w:r w:rsidR="00121577">
        <w:t xml:space="preserve">and/or </w:t>
      </w:r>
      <w:r w:rsidR="007E70F7">
        <w:t>clearing of understorey vegetation</w:t>
      </w:r>
    </w:p>
    <w:p w:rsidR="001D7D23" w:rsidRDefault="001D7D23" w:rsidP="00257FC4">
      <w:pPr>
        <w:numPr>
          <w:ilvl w:val="0"/>
          <w:numId w:val="11"/>
        </w:numPr>
        <w:spacing w:beforeLines="60" w:afterLines="60"/>
      </w:pPr>
      <w:r>
        <w:t xml:space="preserve">drainage of </w:t>
      </w:r>
      <w:r w:rsidR="001C3B5C">
        <w:t xml:space="preserve">land </w:t>
      </w:r>
      <w:r w:rsidR="00E22986">
        <w:t xml:space="preserve">or alterations to land which affect </w:t>
      </w:r>
      <w:r w:rsidR="00121577">
        <w:t xml:space="preserve">natural </w:t>
      </w:r>
      <w:r w:rsidR="00E22986">
        <w:t>hydrological regimes</w:t>
      </w:r>
      <w:r w:rsidR="001C3B5C">
        <w:t xml:space="preserve"> </w:t>
      </w:r>
    </w:p>
    <w:p w:rsidR="00E35338" w:rsidRDefault="00FF4B2A" w:rsidP="00257FC4">
      <w:pPr>
        <w:numPr>
          <w:ilvl w:val="0"/>
          <w:numId w:val="11"/>
        </w:numPr>
        <w:spacing w:beforeLines="60" w:afterLines="60"/>
      </w:pPr>
      <w:r w:rsidRPr="007E70F7">
        <w:t xml:space="preserve">changing </w:t>
      </w:r>
      <w:r w:rsidR="007E70F7" w:rsidRPr="007E70F7">
        <w:t xml:space="preserve">or intensifying ongoing </w:t>
      </w:r>
      <w:r w:rsidRPr="007E70F7">
        <w:t xml:space="preserve"> grazing </w:t>
      </w:r>
      <w:r w:rsidR="00AA0371">
        <w:t xml:space="preserve"> or horticulture/ cropping </w:t>
      </w:r>
      <w:r w:rsidR="007E70F7" w:rsidRPr="007E70F7">
        <w:t xml:space="preserve">activities </w:t>
      </w:r>
    </w:p>
    <w:p w:rsidR="00FF4B2A" w:rsidRDefault="00FF4B2A" w:rsidP="00257FC4">
      <w:pPr>
        <w:numPr>
          <w:ilvl w:val="0"/>
          <w:numId w:val="11"/>
        </w:numPr>
        <w:spacing w:beforeLines="60" w:afterLines="60"/>
      </w:pPr>
      <w:r w:rsidRPr="007E70F7">
        <w:t>substantially changing</w:t>
      </w:r>
      <w:r w:rsidR="004F28ED" w:rsidRPr="007E70F7">
        <w:t xml:space="preserve"> or intensifying</w:t>
      </w:r>
      <w:r w:rsidR="001D7D23">
        <w:t xml:space="preserve"> </w:t>
      </w:r>
      <w:r w:rsidR="004F28ED" w:rsidRPr="007E70F7">
        <w:t xml:space="preserve">methods of </w:t>
      </w:r>
      <w:r w:rsidRPr="007E70F7">
        <w:t>weed control or fertiliser use</w:t>
      </w:r>
      <w:r w:rsidR="00121577">
        <w:t xml:space="preserve"> that may have an adverse affect on native vegetation</w:t>
      </w:r>
    </w:p>
    <w:p w:rsidR="001D7D23" w:rsidRDefault="001D7D23" w:rsidP="00257FC4">
      <w:pPr>
        <w:numPr>
          <w:ilvl w:val="0"/>
          <w:numId w:val="11"/>
        </w:numPr>
        <w:spacing w:beforeLines="60" w:afterLines="60"/>
      </w:pPr>
      <w:r>
        <w:t>introducing grazing to an area that has not been previously grazed or has not been grazed for some time</w:t>
      </w:r>
    </w:p>
    <w:p w:rsidR="002570AF" w:rsidRPr="007E70F7" w:rsidRDefault="002570AF" w:rsidP="00257FC4">
      <w:pPr>
        <w:numPr>
          <w:ilvl w:val="0"/>
          <w:numId w:val="11"/>
        </w:numPr>
        <w:spacing w:beforeLines="60" w:afterLines="60"/>
      </w:pPr>
      <w:r>
        <w:t xml:space="preserve">introducing pine plantations </w:t>
      </w:r>
      <w:r w:rsidR="009456D7">
        <w:t>into patches of the ecological community or</w:t>
      </w:r>
      <w:r>
        <w:t xml:space="preserve"> adjacent areas</w:t>
      </w:r>
    </w:p>
    <w:p w:rsidR="00FF4B2A" w:rsidRDefault="00FF4B2A" w:rsidP="00257FC4">
      <w:pPr>
        <w:numPr>
          <w:ilvl w:val="0"/>
          <w:numId w:val="11"/>
        </w:numPr>
        <w:spacing w:beforeLines="60" w:afterLines="60"/>
      </w:pPr>
      <w:r>
        <w:t>new or altered burning regimes</w:t>
      </w:r>
    </w:p>
    <w:p w:rsidR="00FF4B2A" w:rsidRDefault="00FF4B2A" w:rsidP="00257FC4">
      <w:pPr>
        <w:numPr>
          <w:ilvl w:val="0"/>
          <w:numId w:val="11"/>
        </w:numPr>
        <w:spacing w:beforeLines="60" w:afterLines="60"/>
      </w:pPr>
      <w:proofErr w:type="gramStart"/>
      <w:r>
        <w:t>improving</w:t>
      </w:r>
      <w:proofErr w:type="gramEnd"/>
      <w:r>
        <w:t xml:space="preserve"> pasture by introducing exotic plant species, fertilisers, herbicides, mechanical disturbance or cultivation, addition of irrigation</w:t>
      </w:r>
      <w:r w:rsidR="007E70F7">
        <w:t>, etc.</w:t>
      </w:r>
    </w:p>
    <w:p w:rsidR="007E70F7" w:rsidRPr="00566B96" w:rsidRDefault="00FF4B2A" w:rsidP="00257FC4">
      <w:pPr>
        <w:spacing w:beforeLines="60" w:afterLines="60"/>
      </w:pPr>
      <w:r>
        <w:t xml:space="preserve">If you are uncertain of your legal responsibility, you can contact the environment liaison officer at the National Farmers’ Federation for help or go to the EPBC Act website: </w:t>
      </w:r>
      <w:hyperlink r:id="rId12" w:history="1">
        <w:r>
          <w:rPr>
            <w:rStyle w:val="Hyperlink"/>
          </w:rPr>
          <w:t>www.environment.gov.au/epbc</w:t>
        </w:r>
      </w:hyperlink>
    </w:p>
    <w:p w:rsidR="008964E0" w:rsidRPr="00C5027A" w:rsidRDefault="00F87076" w:rsidP="00C5027A">
      <w:pPr>
        <w:pStyle w:val="Heading2"/>
      </w:pPr>
      <w:r w:rsidRPr="00C5027A">
        <w:t>What is a b</w:t>
      </w:r>
      <w:r w:rsidR="008964E0" w:rsidRPr="00C5027A">
        <w:t>uffer zone</w:t>
      </w:r>
      <w:r w:rsidRPr="00C5027A">
        <w:t>?</w:t>
      </w:r>
    </w:p>
    <w:p w:rsidR="00F87076" w:rsidRDefault="00F87076" w:rsidP="00257FC4">
      <w:pPr>
        <w:tabs>
          <w:tab w:val="left" w:pos="3084"/>
        </w:tabs>
        <w:spacing w:beforeLines="60" w:afterLines="60"/>
      </w:pPr>
      <w:r w:rsidRPr="00F87076">
        <w:t xml:space="preserve">The inclusion of a </w:t>
      </w:r>
      <w:r w:rsidR="001D7D23">
        <w:t>4</w:t>
      </w:r>
      <w:r w:rsidRPr="00F87076">
        <w:t xml:space="preserve">0 metre </w:t>
      </w:r>
      <w:r w:rsidR="00AA0371">
        <w:t xml:space="preserve">minimum </w:t>
      </w:r>
      <w:r w:rsidRPr="00F87076">
        <w:t>buffer zone is</w:t>
      </w:r>
      <w:r w:rsidR="00121577">
        <w:t xml:space="preserve"> included to help protect a patch from activities surrounding it. It also</w:t>
      </w:r>
      <w:r w:rsidRPr="00F87076">
        <w:t xml:space="preserve"> provide</w:t>
      </w:r>
      <w:r w:rsidR="00121577">
        <w:t>s</w:t>
      </w:r>
      <w:r w:rsidRPr="00F87076">
        <w:t xml:space="preserve"> guidance for determining significant impacts.</w:t>
      </w:r>
      <w:r>
        <w:t xml:space="preserve"> </w:t>
      </w:r>
      <w:r w:rsidR="00D043AF">
        <w:t>Activities within this zone do not necessarily trigger the EPBC Act.  However, a</w:t>
      </w:r>
      <w:r>
        <w:t xml:space="preserve"> change to a </w:t>
      </w:r>
      <w:proofErr w:type="gramStart"/>
      <w:r w:rsidR="00D043AF">
        <w:t xml:space="preserve">landholder </w:t>
      </w:r>
      <w:r>
        <w:t xml:space="preserve"> practice</w:t>
      </w:r>
      <w:proofErr w:type="gramEnd"/>
      <w:r>
        <w:t xml:space="preserve"> </w:t>
      </w:r>
      <w:r w:rsidR="00D043AF">
        <w:t xml:space="preserve">or activity </w:t>
      </w:r>
      <w:r>
        <w:t xml:space="preserve">within the </w:t>
      </w:r>
      <w:r w:rsidR="001C3B5C">
        <w:t>4</w:t>
      </w:r>
      <w:r w:rsidR="00121577">
        <w:t>0 metre buffer zone</w:t>
      </w:r>
      <w:r>
        <w:t xml:space="preserve"> may require referral if it is likely to have a significant impact </w:t>
      </w:r>
      <w:r w:rsidR="00121577">
        <w:t xml:space="preserve">directly </w:t>
      </w:r>
      <w:r>
        <w:t xml:space="preserve">on the </w:t>
      </w:r>
      <w:r w:rsidR="00875ECB">
        <w:t xml:space="preserve">patch of the </w:t>
      </w:r>
      <w:r>
        <w:t xml:space="preserve">ecological community. Examples of activities </w:t>
      </w:r>
      <w:r w:rsidR="00D043AF">
        <w:t>undertaken wi</w:t>
      </w:r>
      <w:r w:rsidR="001C3B5C">
        <w:t>t</w:t>
      </w:r>
      <w:r w:rsidR="00D043AF">
        <w:t xml:space="preserve">hin the buffer zone </w:t>
      </w:r>
      <w:r>
        <w:t xml:space="preserve">that may affect the ecological community </w:t>
      </w:r>
      <w:r w:rsidR="00121577">
        <w:t>include</w:t>
      </w:r>
      <w:r w:rsidR="00D043AF">
        <w:t>:</w:t>
      </w:r>
      <w:r>
        <w:t xml:space="preserve"> chemical sprays (</w:t>
      </w:r>
      <w:r w:rsidR="00BA4AE5">
        <w:t>that drift into the patch</w:t>
      </w:r>
      <w:r>
        <w:t>)</w:t>
      </w:r>
      <w:r w:rsidR="00BA4AE5">
        <w:t xml:space="preserve"> and</w:t>
      </w:r>
      <w:r w:rsidR="00875ECB">
        <w:t xml:space="preserve"> infrastructure </w:t>
      </w:r>
      <w:r w:rsidR="00D043AF">
        <w:t xml:space="preserve">or clearing </w:t>
      </w:r>
      <w:r w:rsidR="00875ECB">
        <w:t>that may change drainage</w:t>
      </w:r>
      <w:r w:rsidR="004F28ED">
        <w:t xml:space="preserve"> patterns</w:t>
      </w:r>
      <w:r w:rsidR="00875ECB">
        <w:t xml:space="preserve"> </w:t>
      </w:r>
      <w:r w:rsidR="00BA4AE5">
        <w:t xml:space="preserve">or other functional processes </w:t>
      </w:r>
      <w:r w:rsidR="00875ECB">
        <w:t xml:space="preserve">in </w:t>
      </w:r>
      <w:r w:rsidR="004F28ED">
        <w:t xml:space="preserve">or near to a patch of </w:t>
      </w:r>
      <w:r w:rsidR="00875ECB">
        <w:t>the ecological community.</w:t>
      </w:r>
    </w:p>
    <w:p w:rsidR="00705A85" w:rsidRPr="00566B96" w:rsidRDefault="00705A85" w:rsidP="00566B96">
      <w:pPr>
        <w:pStyle w:val="Heading2"/>
      </w:pPr>
      <w:r w:rsidRPr="00566B96">
        <w:lastRenderedPageBreak/>
        <w:t xml:space="preserve">How does the listing of </w:t>
      </w:r>
      <w:r w:rsidR="00E35338" w:rsidRPr="00566B96">
        <w:t>b</w:t>
      </w:r>
      <w:r w:rsidRPr="00566B96">
        <w:t>road leaf tea-tree woodlands affect Indigenous land management and traditional practices?</w:t>
      </w:r>
    </w:p>
    <w:p w:rsidR="00F87076" w:rsidRPr="00396656" w:rsidRDefault="00396656" w:rsidP="00257FC4">
      <w:pPr>
        <w:tabs>
          <w:tab w:val="left" w:pos="3084"/>
        </w:tabs>
        <w:spacing w:beforeLines="60" w:afterLines="60"/>
      </w:pPr>
      <w:r>
        <w:t xml:space="preserve">Listing of the ecological community is unlikely to impact on traditional use of land on which the </w:t>
      </w:r>
      <w:proofErr w:type="gramStart"/>
      <w:r>
        <w:t>ecological</w:t>
      </w:r>
      <w:proofErr w:type="gramEnd"/>
      <w:r>
        <w:t xml:space="preserve"> community occurs. Land management practices such as maintaining traditional fire regimes are likely to benefit the ecological community.</w:t>
      </w:r>
      <w:r w:rsidR="00E17E7C">
        <w:t xml:space="preserve"> The routine landholder activities mentioned on the previous page as well as traditional activities,</w:t>
      </w:r>
      <w:r w:rsidR="00E17E7C" w:rsidRPr="00566B96">
        <w:t xml:space="preserve"> such as harvesting of </w:t>
      </w:r>
      <w:proofErr w:type="spellStart"/>
      <w:r w:rsidR="00E17E7C" w:rsidRPr="00566B96">
        <w:t>bushfood</w:t>
      </w:r>
      <w:proofErr w:type="spellEnd"/>
      <w:r w:rsidR="00E17E7C" w:rsidRPr="00566B96">
        <w:t xml:space="preserve"> and use of country, </w:t>
      </w:r>
      <w:r w:rsidR="00AA0371" w:rsidRPr="00566B96">
        <w:t>will</w:t>
      </w:r>
      <w:r w:rsidR="00E17E7C" w:rsidRPr="00566B96">
        <w:t xml:space="preserve"> not require approval.</w:t>
      </w:r>
      <w:r w:rsidR="00E17E7C">
        <w:t xml:space="preserve"> </w:t>
      </w:r>
      <w:r>
        <w:t>Activities which may need approval include those likely to have a significant impact on the ecological community. Some of these are noted under the section on landholder activities.</w:t>
      </w:r>
    </w:p>
    <w:p w:rsidR="00FF4B2A" w:rsidRPr="000F3988" w:rsidRDefault="00FF4B2A" w:rsidP="000F3988">
      <w:pPr>
        <w:pStyle w:val="Heading2"/>
      </w:pPr>
      <w:r w:rsidRPr="000F3988">
        <w:t xml:space="preserve">Can I get help to improve or restore </w:t>
      </w:r>
      <w:r w:rsidR="00E35338" w:rsidRPr="000F3988">
        <w:t>b</w:t>
      </w:r>
      <w:r w:rsidR="005E76EB" w:rsidRPr="000F3988">
        <w:t>road leaf tea-tree woodlands</w:t>
      </w:r>
      <w:r w:rsidRPr="000F3988">
        <w:t>?</w:t>
      </w:r>
    </w:p>
    <w:p w:rsidR="00FF4B2A" w:rsidRDefault="00FF4B2A" w:rsidP="00257FC4">
      <w:pPr>
        <w:spacing w:beforeLines="60" w:afterLines="60"/>
      </w:pPr>
      <w:r>
        <w:t xml:space="preserve">There may be natural resource management projects funded by the Australian Government’s Caring for </w:t>
      </w:r>
      <w:proofErr w:type="gramStart"/>
      <w:r>
        <w:t>our</w:t>
      </w:r>
      <w:proofErr w:type="gramEnd"/>
      <w:r>
        <w:t xml:space="preserve"> Country initiative which can help you manage protected</w:t>
      </w:r>
      <w:r w:rsidR="005E76EB">
        <w:t xml:space="preserve"> woodland</w:t>
      </w:r>
      <w:r w:rsidR="002570AF">
        <w:t>.</w:t>
      </w:r>
    </w:p>
    <w:p w:rsidR="00FF4B2A" w:rsidRDefault="00FF4B2A" w:rsidP="00257FC4">
      <w:pPr>
        <w:spacing w:beforeLines="60" w:afterLines="60"/>
      </w:pPr>
      <w:r>
        <w:t xml:space="preserve">For more information on local projects go to </w:t>
      </w:r>
      <w:hyperlink r:id="rId13" w:history="1">
        <w:r>
          <w:rPr>
            <w:rStyle w:val="Hyperlink"/>
            <w:u w:val="none"/>
          </w:rPr>
          <w:t>www.nrm.gov.au</w:t>
        </w:r>
      </w:hyperlink>
      <w:r>
        <w:t xml:space="preserve">  or contact </w:t>
      </w:r>
      <w:proofErr w:type="gramStart"/>
      <w:r>
        <w:t>your</w:t>
      </w:r>
      <w:proofErr w:type="gramEnd"/>
      <w:r>
        <w:t>:</w:t>
      </w:r>
    </w:p>
    <w:p w:rsidR="00FF4B2A" w:rsidRPr="00566B96" w:rsidRDefault="00FF4B2A" w:rsidP="00257FC4">
      <w:pPr>
        <w:numPr>
          <w:ilvl w:val="0"/>
          <w:numId w:val="18"/>
        </w:numPr>
        <w:tabs>
          <w:tab w:val="clear" w:pos="720"/>
          <w:tab w:val="num" w:pos="540"/>
        </w:tabs>
        <w:spacing w:beforeLines="60" w:afterLines="60"/>
        <w:ind w:left="540" w:hanging="540"/>
      </w:pPr>
      <w:r>
        <w:t xml:space="preserve">local NRM regional body — </w:t>
      </w:r>
      <w:hyperlink r:id="rId14" w:history="1">
        <w:r>
          <w:rPr>
            <w:rStyle w:val="Hyperlink"/>
            <w:u w:val="none"/>
          </w:rPr>
          <w:t>www.nrm.gov.au/nrm/region.html</w:t>
        </w:r>
      </w:hyperlink>
      <w:r>
        <w:t xml:space="preserve"> or</w:t>
      </w:r>
    </w:p>
    <w:p w:rsidR="00FF4B2A" w:rsidRPr="00566B96" w:rsidRDefault="004F28ED" w:rsidP="00257FC4">
      <w:pPr>
        <w:numPr>
          <w:ilvl w:val="0"/>
          <w:numId w:val="18"/>
        </w:numPr>
        <w:tabs>
          <w:tab w:val="clear" w:pos="720"/>
          <w:tab w:val="num" w:pos="540"/>
        </w:tabs>
        <w:spacing w:beforeLines="60" w:afterLines="60"/>
        <w:ind w:left="540" w:hanging="540"/>
      </w:pPr>
      <w:r>
        <w:t>Caring for our Country Regional Officers</w:t>
      </w:r>
      <w:r w:rsidR="00FF4B2A">
        <w:t xml:space="preserve"> — </w:t>
      </w:r>
      <w:hyperlink r:id="rId15" w:history="1">
        <w:r w:rsidRPr="00863BB1">
          <w:rPr>
            <w:rStyle w:val="Hyperlink"/>
          </w:rPr>
          <w:t>www.nrm.gov.au/contacts/index.html</w:t>
        </w:r>
      </w:hyperlink>
    </w:p>
    <w:p w:rsidR="00FF4B2A" w:rsidRPr="00C5027A" w:rsidRDefault="00FF4B2A" w:rsidP="00C5027A">
      <w:pPr>
        <w:pStyle w:val="Heading2"/>
      </w:pPr>
      <w:r w:rsidRPr="00C5027A">
        <w:t>Where can I get more information?</w:t>
      </w:r>
    </w:p>
    <w:p w:rsidR="00FF4B2A" w:rsidRPr="00B30FF2" w:rsidRDefault="00FF4B2A" w:rsidP="00B30FF2">
      <w:r w:rsidRPr="00B30FF2">
        <w:t>More information on this ecological community, its condition thresholds, threats and priority conservation actions is contained in the comprehensive listing advice and the shorter conservation advice for this ecological community, at</w:t>
      </w:r>
      <w:r w:rsidR="00E5661F" w:rsidRPr="00B30FF2">
        <w:t>:</w:t>
      </w:r>
      <w:r w:rsidRPr="00B30FF2">
        <w:t xml:space="preserve"> </w:t>
      </w:r>
      <w:hyperlink r:id="rId16" w:history="1">
        <w:r w:rsidR="001A0FE2" w:rsidRPr="00B30FF2">
          <w:rPr>
            <w:rStyle w:val="Hyperlink"/>
          </w:rPr>
          <w:t>http://www.environment.gov.au/cgi-bin/sprat/public/publicshowcommunity.pl?id=122&amp;status=Endangered</w:t>
        </w:r>
      </w:hyperlink>
      <w:r w:rsidRPr="00B30FF2">
        <w:t>.</w:t>
      </w:r>
    </w:p>
    <w:p w:rsidR="00FF4B2A" w:rsidRDefault="00FF4B2A" w:rsidP="00257FC4">
      <w:pPr>
        <w:spacing w:beforeLines="60" w:afterLines="60"/>
      </w:pPr>
      <w:r>
        <w:t xml:space="preserve">For free advice on whether or not an activity may need Australian Government approval contact the </w:t>
      </w:r>
      <w:proofErr w:type="gramStart"/>
      <w:r>
        <w:t>Australian Government's Environment Liaison Officer at the National Farmers’ Federation (NFF).</w:t>
      </w:r>
      <w:proofErr w:type="gramEnd"/>
    </w:p>
    <w:p w:rsidR="00FF4B2A" w:rsidRPr="00566B96" w:rsidRDefault="00FF4B2A" w:rsidP="00257FC4">
      <w:pPr>
        <w:tabs>
          <w:tab w:val="left" w:pos="3084"/>
        </w:tabs>
        <w:spacing w:beforeLines="60" w:afterLines="60"/>
      </w:pPr>
      <w:r>
        <w:t xml:space="preserve">Phone: 1800 704 520      Email: </w:t>
      </w:r>
      <w:hyperlink r:id="rId17" w:history="1">
        <w:r>
          <w:rPr>
            <w:rStyle w:val="Hyperlink"/>
            <w:u w:val="none"/>
          </w:rPr>
          <w:t>environment@nff.org.au</w:t>
        </w:r>
      </w:hyperlink>
      <w:r>
        <w:t xml:space="preserve">     Web:  </w:t>
      </w:r>
      <w:hyperlink r:id="rId18" w:history="1">
        <w:r>
          <w:rPr>
            <w:rStyle w:val="Hyperlink"/>
            <w:u w:val="none"/>
          </w:rPr>
          <w:t>www.environment.gov.au/farming</w:t>
        </w:r>
      </w:hyperlink>
    </w:p>
    <w:p w:rsidR="004F28ED" w:rsidRDefault="004F28ED" w:rsidP="00257FC4">
      <w:pPr>
        <w:tabs>
          <w:tab w:val="left" w:pos="3084"/>
        </w:tabs>
        <w:spacing w:beforeLines="60" w:afterLines="60"/>
      </w:pPr>
      <w:r>
        <w:t>Or</w:t>
      </w:r>
    </w:p>
    <w:p w:rsidR="0006042B" w:rsidRDefault="004F28ED" w:rsidP="00257FC4">
      <w:pPr>
        <w:tabs>
          <w:tab w:val="left" w:pos="3084"/>
        </w:tabs>
        <w:spacing w:beforeLines="60" w:afterLines="60"/>
      </w:pPr>
      <w:r>
        <w:t xml:space="preserve">The Department of Sustainability, Environment, Water, Population and Communities </w:t>
      </w:r>
    </w:p>
    <w:p w:rsidR="001A0FE2" w:rsidRDefault="001A0FE2" w:rsidP="001A0FE2">
      <w:pPr>
        <w:tabs>
          <w:tab w:val="left" w:pos="3084"/>
        </w:tabs>
      </w:pPr>
      <w:r>
        <w:t>Telephone: 1800 803 772</w:t>
      </w:r>
    </w:p>
    <w:p w:rsidR="001A0FE2" w:rsidRDefault="001A0FE2" w:rsidP="001A0FE2">
      <w:pPr>
        <w:tabs>
          <w:tab w:val="left" w:pos="1134"/>
        </w:tabs>
      </w:pPr>
      <w:proofErr w:type="gramStart"/>
      <w:r>
        <w:t>email</w:t>
      </w:r>
      <w:proofErr w:type="gramEnd"/>
      <w:r>
        <w:t xml:space="preserve">: </w:t>
      </w:r>
      <w:r>
        <w:tab/>
      </w:r>
      <w:hyperlink r:id="rId19" w:history="1">
        <w:r w:rsidRPr="000F32E8">
          <w:rPr>
            <w:rStyle w:val="Hyperlink"/>
          </w:rPr>
          <w:t>ciu@environment.gov.au</w:t>
        </w:r>
      </w:hyperlink>
    </w:p>
    <w:p w:rsidR="001A0FE2" w:rsidRDefault="001A0FE2" w:rsidP="001A0FE2">
      <w:pPr>
        <w:tabs>
          <w:tab w:val="left" w:pos="1134"/>
        </w:tabs>
      </w:pPr>
      <w:r>
        <w:t xml:space="preserve">Mail: </w:t>
      </w:r>
      <w:r>
        <w:tab/>
        <w:t>Community Information Unit</w:t>
      </w:r>
    </w:p>
    <w:p w:rsidR="001A0FE2" w:rsidRDefault="001A0FE2" w:rsidP="001A0FE2">
      <w:pPr>
        <w:tabs>
          <w:tab w:val="left" w:pos="1134"/>
        </w:tabs>
      </w:pPr>
      <w:r>
        <w:tab/>
        <w:t>Department of Sustainability, Environment, Water, Population and Communities</w:t>
      </w:r>
    </w:p>
    <w:p w:rsidR="001A0FE2" w:rsidRDefault="001A0FE2" w:rsidP="001A0FE2">
      <w:pPr>
        <w:tabs>
          <w:tab w:val="left" w:pos="1134"/>
        </w:tabs>
      </w:pPr>
      <w:r>
        <w:tab/>
        <w:t>GPO Box 787</w:t>
      </w:r>
    </w:p>
    <w:p w:rsidR="001A0FE2" w:rsidRDefault="001A0FE2" w:rsidP="001A0FE2">
      <w:pPr>
        <w:tabs>
          <w:tab w:val="left" w:pos="1134"/>
        </w:tabs>
      </w:pPr>
      <w:r>
        <w:tab/>
        <w:t>Canberra 2601</w:t>
      </w:r>
    </w:p>
    <w:sectPr w:rsidR="001A0FE2" w:rsidSect="0017667E">
      <w:headerReference w:type="even" r:id="rId20"/>
      <w:headerReference w:type="default" r:id="rId21"/>
      <w:footerReference w:type="even" r:id="rId22"/>
      <w:footerReference w:type="default" r:id="rId23"/>
      <w:headerReference w:type="first" r:id="rId24"/>
      <w:footerReference w:type="first" r:id="rId25"/>
      <w:pgSz w:w="11906" w:h="16838"/>
      <w:pgMar w:top="1079" w:right="566" w:bottom="1438" w:left="1260" w:header="36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9ED" w:rsidRDefault="00BD39ED">
      <w:r>
        <w:separator/>
      </w:r>
    </w:p>
  </w:endnote>
  <w:endnote w:type="continuationSeparator" w:id="0">
    <w:p w:rsidR="00BD39ED" w:rsidRDefault="00BD39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ED" w:rsidRDefault="00BD39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ED" w:rsidRDefault="00BD39E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ED" w:rsidRDefault="00BD39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9ED" w:rsidRDefault="00BD39ED">
      <w:r>
        <w:separator/>
      </w:r>
    </w:p>
  </w:footnote>
  <w:footnote w:type="continuationSeparator" w:id="0">
    <w:p w:rsidR="00BD39ED" w:rsidRDefault="00BD39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ED" w:rsidRDefault="00BD39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ED" w:rsidRDefault="00BD39ED">
    <w:pPr>
      <w:pStyle w:val="Header"/>
      <w:tabs>
        <w:tab w:val="center" w:pos="5040"/>
        <w:tab w:val="left" w:pos="8202"/>
      </w:tabs>
      <w:rPr>
        <w:b/>
        <w:color w:val="FF0000"/>
        <w:sz w:val="36"/>
        <w:szCs w:val="3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ED" w:rsidRDefault="00BD39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4F11"/>
    <w:multiLevelType w:val="hybridMultilevel"/>
    <w:tmpl w:val="A686CFF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15C6108"/>
    <w:multiLevelType w:val="hybridMultilevel"/>
    <w:tmpl w:val="6332CC7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038F2D5E"/>
    <w:multiLevelType w:val="hybridMultilevel"/>
    <w:tmpl w:val="632E36F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031735"/>
    <w:multiLevelType w:val="hybridMultilevel"/>
    <w:tmpl w:val="2E501EB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8F429EF"/>
    <w:multiLevelType w:val="hybridMultilevel"/>
    <w:tmpl w:val="EEF4A124"/>
    <w:lvl w:ilvl="0" w:tplc="A0AED37C">
      <w:start w:val="1"/>
      <w:numFmt w:val="bullet"/>
      <w:lvlText w:val=""/>
      <w:lvlJc w:val="left"/>
      <w:pPr>
        <w:tabs>
          <w:tab w:val="num" w:pos="436"/>
        </w:tabs>
        <w:ind w:left="436"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0C4C7250"/>
    <w:multiLevelType w:val="multilevel"/>
    <w:tmpl w:val="87B0DF2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0CB6387"/>
    <w:multiLevelType w:val="hybridMultilevel"/>
    <w:tmpl w:val="20DC02EC"/>
    <w:lvl w:ilvl="0" w:tplc="75EA21D2">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4152004"/>
    <w:multiLevelType w:val="hybridMultilevel"/>
    <w:tmpl w:val="FC806AE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6E338D3"/>
    <w:multiLevelType w:val="hybridMultilevel"/>
    <w:tmpl w:val="3AF67958"/>
    <w:lvl w:ilvl="0" w:tplc="2AC8BF1C">
      <w:start w:val="1800"/>
      <w:numFmt w:val="decimal"/>
      <w:lvlText w:val="%1"/>
      <w:lvlJc w:val="left"/>
      <w:pPr>
        <w:tabs>
          <w:tab w:val="num" w:pos="960"/>
        </w:tabs>
        <w:ind w:left="960" w:hanging="60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2CBD05B5"/>
    <w:multiLevelType w:val="hybridMultilevel"/>
    <w:tmpl w:val="AC40C79C"/>
    <w:lvl w:ilvl="0" w:tplc="EC3E9F3E">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2D1402C8"/>
    <w:multiLevelType w:val="hybridMultilevel"/>
    <w:tmpl w:val="BD8AD0B8"/>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2ECC1627"/>
    <w:multiLevelType w:val="hybridMultilevel"/>
    <w:tmpl w:val="1026ECF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26F19D9"/>
    <w:multiLevelType w:val="hybridMultilevel"/>
    <w:tmpl w:val="F8962096"/>
    <w:lvl w:ilvl="0" w:tplc="75EA21D2">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1F476FE"/>
    <w:multiLevelType w:val="multilevel"/>
    <w:tmpl w:val="CF069E66"/>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BF4152A"/>
    <w:multiLevelType w:val="hybridMultilevel"/>
    <w:tmpl w:val="38126EE6"/>
    <w:lvl w:ilvl="0" w:tplc="75EA21D2">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74E21EC"/>
    <w:multiLevelType w:val="multilevel"/>
    <w:tmpl w:val="20DC02EC"/>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C5D219F"/>
    <w:multiLevelType w:val="hybridMultilevel"/>
    <w:tmpl w:val="28AC985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5DE42C08"/>
    <w:multiLevelType w:val="hybridMultilevel"/>
    <w:tmpl w:val="B3041E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1374E08"/>
    <w:multiLevelType w:val="multilevel"/>
    <w:tmpl w:val="9090484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5FF2717"/>
    <w:multiLevelType w:val="hybridMultilevel"/>
    <w:tmpl w:val="87B0DF20"/>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673E14FD"/>
    <w:multiLevelType w:val="hybridMultilevel"/>
    <w:tmpl w:val="CF069E66"/>
    <w:lvl w:ilvl="0" w:tplc="75EA21D2">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7B95593F"/>
    <w:multiLevelType w:val="hybridMultilevel"/>
    <w:tmpl w:val="625855C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20"/>
  </w:num>
  <w:num w:numId="3">
    <w:abstractNumId w:val="6"/>
  </w:num>
  <w:num w:numId="4">
    <w:abstractNumId w:val="14"/>
  </w:num>
  <w:num w:numId="5">
    <w:abstractNumId w:val="8"/>
  </w:num>
  <w:num w:numId="6">
    <w:abstractNumId w:val="16"/>
  </w:num>
  <w:num w:numId="7">
    <w:abstractNumId w:val="9"/>
  </w:num>
  <w:num w:numId="8">
    <w:abstractNumId w:val="19"/>
  </w:num>
  <w:num w:numId="9">
    <w:abstractNumId w:val="18"/>
  </w:num>
  <w:num w:numId="10">
    <w:abstractNumId w:val="1"/>
  </w:num>
  <w:num w:numId="11">
    <w:abstractNumId w:val="21"/>
  </w:num>
  <w:num w:numId="12">
    <w:abstractNumId w:val="5"/>
  </w:num>
  <w:num w:numId="13">
    <w:abstractNumId w:val="10"/>
  </w:num>
  <w:num w:numId="14">
    <w:abstractNumId w:val="13"/>
  </w:num>
  <w:num w:numId="15">
    <w:abstractNumId w:val="11"/>
  </w:num>
  <w:num w:numId="16">
    <w:abstractNumId w:val="15"/>
  </w:num>
  <w:num w:numId="17">
    <w:abstractNumId w:val="2"/>
  </w:num>
  <w:num w:numId="18">
    <w:abstractNumId w:val="3"/>
  </w:num>
  <w:num w:numId="19">
    <w:abstractNumId w:val="17"/>
  </w:num>
  <w:num w:numId="20">
    <w:abstractNumId w:val="7"/>
  </w:num>
  <w:num w:numId="21">
    <w:abstractNumId w:val="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stylePaneFormatFilter w:val="3F01"/>
  <w:defaultTabStop w:val="720"/>
  <w:characterSpacingControl w:val="doNotCompress"/>
  <w:hdrShapeDefaults>
    <o:shapedefaults v:ext="edit" spidmax="10241">
      <o:colormenu v:ext="edit" shadowcolor="none"/>
    </o:shapedefaults>
  </w:hdrShapeDefaults>
  <w:footnotePr>
    <w:footnote w:id="-1"/>
    <w:footnote w:id="0"/>
  </w:footnotePr>
  <w:endnotePr>
    <w:endnote w:id="-1"/>
    <w:endnote w:id="0"/>
  </w:endnotePr>
  <w:compat/>
  <w:docVars>
    <w:docVar w:name="dgnword-docGUID" w:val="{7C4FE71F-40D0-4992-82DC-47F97FA630D9}"/>
    <w:docVar w:name="dgnword-eventsink" w:val="165932768"/>
  </w:docVars>
  <w:rsids>
    <w:rsidRoot w:val="009171BA"/>
    <w:rsid w:val="00035CE6"/>
    <w:rsid w:val="0005297B"/>
    <w:rsid w:val="000602A0"/>
    <w:rsid w:val="0006042B"/>
    <w:rsid w:val="0008177E"/>
    <w:rsid w:val="000A5D72"/>
    <w:rsid w:val="000B2A40"/>
    <w:rsid w:val="000E0BD3"/>
    <w:rsid w:val="000F2A8A"/>
    <w:rsid w:val="000F3988"/>
    <w:rsid w:val="00100E04"/>
    <w:rsid w:val="0010256B"/>
    <w:rsid w:val="00111E85"/>
    <w:rsid w:val="00121577"/>
    <w:rsid w:val="001578D5"/>
    <w:rsid w:val="00163F6B"/>
    <w:rsid w:val="0017667E"/>
    <w:rsid w:val="0018167C"/>
    <w:rsid w:val="0019181D"/>
    <w:rsid w:val="001A0FE2"/>
    <w:rsid w:val="001C3B5C"/>
    <w:rsid w:val="001D7D23"/>
    <w:rsid w:val="001F4E89"/>
    <w:rsid w:val="002159FD"/>
    <w:rsid w:val="0022501E"/>
    <w:rsid w:val="0023279B"/>
    <w:rsid w:val="002570AF"/>
    <w:rsid w:val="00257FC4"/>
    <w:rsid w:val="002665E7"/>
    <w:rsid w:val="002B5B25"/>
    <w:rsid w:val="002C21B4"/>
    <w:rsid w:val="002C50EA"/>
    <w:rsid w:val="002C660C"/>
    <w:rsid w:val="002F69E2"/>
    <w:rsid w:val="00303D44"/>
    <w:rsid w:val="00396656"/>
    <w:rsid w:val="003A2A16"/>
    <w:rsid w:val="003F4123"/>
    <w:rsid w:val="00455DC6"/>
    <w:rsid w:val="004718F0"/>
    <w:rsid w:val="0047245C"/>
    <w:rsid w:val="004A65B4"/>
    <w:rsid w:val="004F28ED"/>
    <w:rsid w:val="005271F9"/>
    <w:rsid w:val="0053133F"/>
    <w:rsid w:val="00566B96"/>
    <w:rsid w:val="0057649F"/>
    <w:rsid w:val="005A15B8"/>
    <w:rsid w:val="005C3E12"/>
    <w:rsid w:val="005C6D64"/>
    <w:rsid w:val="005E76EB"/>
    <w:rsid w:val="0061289F"/>
    <w:rsid w:val="00620555"/>
    <w:rsid w:val="00640BF3"/>
    <w:rsid w:val="00644A3C"/>
    <w:rsid w:val="00661BB2"/>
    <w:rsid w:val="00705A85"/>
    <w:rsid w:val="00741113"/>
    <w:rsid w:val="007416D4"/>
    <w:rsid w:val="00755E90"/>
    <w:rsid w:val="0078111F"/>
    <w:rsid w:val="00787FDE"/>
    <w:rsid w:val="007C42F7"/>
    <w:rsid w:val="007D4CD8"/>
    <w:rsid w:val="007D744F"/>
    <w:rsid w:val="007E4F42"/>
    <w:rsid w:val="007E70F7"/>
    <w:rsid w:val="007F0F25"/>
    <w:rsid w:val="008329D4"/>
    <w:rsid w:val="00841C0B"/>
    <w:rsid w:val="008722D7"/>
    <w:rsid w:val="00875ECB"/>
    <w:rsid w:val="008762B0"/>
    <w:rsid w:val="008964E0"/>
    <w:rsid w:val="008F4990"/>
    <w:rsid w:val="0090159B"/>
    <w:rsid w:val="009171BA"/>
    <w:rsid w:val="00922649"/>
    <w:rsid w:val="009456D7"/>
    <w:rsid w:val="00976D48"/>
    <w:rsid w:val="00977C70"/>
    <w:rsid w:val="009B79CB"/>
    <w:rsid w:val="009C09F5"/>
    <w:rsid w:val="00A25294"/>
    <w:rsid w:val="00A566B1"/>
    <w:rsid w:val="00A9479C"/>
    <w:rsid w:val="00AA0371"/>
    <w:rsid w:val="00AC031F"/>
    <w:rsid w:val="00AD7C6F"/>
    <w:rsid w:val="00AE4B12"/>
    <w:rsid w:val="00B15176"/>
    <w:rsid w:val="00B30FF2"/>
    <w:rsid w:val="00B64D35"/>
    <w:rsid w:val="00B76243"/>
    <w:rsid w:val="00B92448"/>
    <w:rsid w:val="00BA243E"/>
    <w:rsid w:val="00BA4AE5"/>
    <w:rsid w:val="00BD39ED"/>
    <w:rsid w:val="00BD7507"/>
    <w:rsid w:val="00C13389"/>
    <w:rsid w:val="00C200F4"/>
    <w:rsid w:val="00C24735"/>
    <w:rsid w:val="00C3528F"/>
    <w:rsid w:val="00C5027A"/>
    <w:rsid w:val="00C569E0"/>
    <w:rsid w:val="00C74E78"/>
    <w:rsid w:val="00CA6328"/>
    <w:rsid w:val="00CB07DF"/>
    <w:rsid w:val="00CE2E57"/>
    <w:rsid w:val="00CF40B8"/>
    <w:rsid w:val="00D043AF"/>
    <w:rsid w:val="00D10577"/>
    <w:rsid w:val="00D1525F"/>
    <w:rsid w:val="00D42EFF"/>
    <w:rsid w:val="00D62445"/>
    <w:rsid w:val="00DD2CE0"/>
    <w:rsid w:val="00E05268"/>
    <w:rsid w:val="00E153A6"/>
    <w:rsid w:val="00E17E7C"/>
    <w:rsid w:val="00E22986"/>
    <w:rsid w:val="00E35338"/>
    <w:rsid w:val="00E466F9"/>
    <w:rsid w:val="00E47893"/>
    <w:rsid w:val="00E560C8"/>
    <w:rsid w:val="00E5661F"/>
    <w:rsid w:val="00E66DCD"/>
    <w:rsid w:val="00ED010B"/>
    <w:rsid w:val="00EE021E"/>
    <w:rsid w:val="00F10F68"/>
    <w:rsid w:val="00F743A4"/>
    <w:rsid w:val="00F87076"/>
    <w:rsid w:val="00FF4B2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enu v:ext="edit" shadowcolor="none"/>
    </o:shapedefaults>
    <o:shapelayout v:ext="edit">
      <o:idmap v:ext="edit" data="1"/>
      <o:rules v:ext="edit">
        <o:r id="V:Rule20" type="connector" idref="#_x0000_s1046"/>
        <o:r id="V:Rule21" type="connector" idref="#_x0000_s1058"/>
        <o:r id="V:Rule22" type="connector" idref="#_x0000_s1049"/>
        <o:r id="V:Rule23" type="connector" idref="#_x0000_s1060"/>
        <o:r id="V:Rule24" type="connector" idref="#_x0000_s1053"/>
        <o:r id="V:Rule25" type="connector" idref="#_x0000_s1028"/>
        <o:r id="V:Rule26" type="connector" idref="#_x0000_s1050"/>
        <o:r id="V:Rule27" type="connector" idref="#_x0000_s1051"/>
        <o:r id="V:Rule28" type="connector" idref="#_x0000_s1044"/>
        <o:r id="V:Rule29" type="connector" idref="#_x0000_s1048"/>
        <o:r id="V:Rule30" type="connector" idref="#_x0000_s1032"/>
        <o:r id="V:Rule31" type="connector" idref="#_x0000_s1052"/>
        <o:r id="V:Rule32" type="connector" idref="#_x0000_s1054"/>
        <o:r id="V:Rule33" type="connector" idref="#_x0000_s1047"/>
        <o:r id="V:Rule34" type="connector" idref="#_x0000_s1045"/>
        <o:r id="V:Rule35" type="connector" idref="#_x0000_s1063"/>
        <o:r id="V:Rule36" type="connector" idref="#_x0000_s1062"/>
        <o:r id="V:Rule37" type="connector" idref="#_x0000_s1029"/>
        <o:r id="V:Rule38"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3988"/>
    <w:pPr>
      <w:jc w:val="both"/>
    </w:pPr>
    <w:rPr>
      <w:sz w:val="24"/>
      <w:szCs w:val="24"/>
    </w:rPr>
  </w:style>
  <w:style w:type="paragraph" w:styleId="Heading1">
    <w:name w:val="heading 1"/>
    <w:basedOn w:val="Normal"/>
    <w:next w:val="Normal"/>
    <w:qFormat/>
    <w:rsid w:val="00257FC4"/>
    <w:pPr>
      <w:keepNext/>
      <w:spacing w:before="240" w:after="60"/>
      <w:outlineLvl w:val="0"/>
    </w:pPr>
    <w:rPr>
      <w:rFonts w:cs="Arial"/>
      <w:b/>
      <w:bCs/>
      <w:kern w:val="32"/>
      <w:sz w:val="32"/>
      <w:szCs w:val="32"/>
    </w:rPr>
  </w:style>
  <w:style w:type="paragraph" w:styleId="Heading2">
    <w:name w:val="heading 2"/>
    <w:basedOn w:val="Normal"/>
    <w:next w:val="Normal"/>
    <w:qFormat/>
    <w:rsid w:val="000F3988"/>
    <w:pPr>
      <w:keepNext/>
      <w:spacing w:before="120" w:after="60"/>
      <w:outlineLvl w:val="1"/>
    </w:pPr>
    <w:rPr>
      <w:rFonts w:cs="Arial"/>
      <w:b/>
      <w:bCs/>
      <w:iCs/>
      <w:sz w:val="28"/>
      <w:szCs w:val="28"/>
    </w:rPr>
  </w:style>
  <w:style w:type="paragraph" w:styleId="Heading3">
    <w:name w:val="heading 3"/>
    <w:basedOn w:val="Normal"/>
    <w:next w:val="Normal"/>
    <w:qFormat/>
    <w:rsid w:val="0017667E"/>
    <w:pPr>
      <w:keepNext/>
      <w:spacing w:before="240" w:after="60"/>
      <w:outlineLvl w:val="2"/>
    </w:pPr>
    <w:rPr>
      <w:rFonts w:cs="Arial"/>
      <w:b/>
      <w:bCs/>
      <w:sz w:val="26"/>
      <w:szCs w:val="26"/>
    </w:rPr>
  </w:style>
  <w:style w:type="paragraph" w:styleId="Heading5">
    <w:name w:val="heading 5"/>
    <w:basedOn w:val="Normal"/>
    <w:next w:val="Normal"/>
    <w:qFormat/>
    <w:rsid w:val="0017667E"/>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7667E"/>
    <w:rPr>
      <w:color w:val="0000FF"/>
      <w:u w:val="single"/>
    </w:rPr>
  </w:style>
  <w:style w:type="paragraph" w:styleId="BalloonText">
    <w:name w:val="Balloon Text"/>
    <w:basedOn w:val="Normal"/>
    <w:semiHidden/>
    <w:rsid w:val="0017667E"/>
    <w:rPr>
      <w:rFonts w:ascii="Tahoma" w:hAnsi="Tahoma" w:cs="Tahoma"/>
      <w:sz w:val="16"/>
      <w:szCs w:val="16"/>
    </w:rPr>
  </w:style>
  <w:style w:type="paragraph" w:styleId="DocumentMap">
    <w:name w:val="Document Map"/>
    <w:basedOn w:val="Normal"/>
    <w:semiHidden/>
    <w:rsid w:val="0017667E"/>
    <w:pPr>
      <w:shd w:val="clear" w:color="auto" w:fill="000080"/>
    </w:pPr>
    <w:rPr>
      <w:rFonts w:ascii="Tahoma" w:hAnsi="Tahoma" w:cs="Tahoma"/>
      <w:sz w:val="20"/>
      <w:szCs w:val="20"/>
    </w:rPr>
  </w:style>
  <w:style w:type="paragraph" w:styleId="Header">
    <w:name w:val="header"/>
    <w:basedOn w:val="Normal"/>
    <w:link w:val="HeaderChar"/>
    <w:uiPriority w:val="99"/>
    <w:rsid w:val="0017667E"/>
    <w:pPr>
      <w:tabs>
        <w:tab w:val="center" w:pos="4153"/>
        <w:tab w:val="right" w:pos="8306"/>
      </w:tabs>
    </w:pPr>
  </w:style>
  <w:style w:type="paragraph" w:styleId="Footer">
    <w:name w:val="footer"/>
    <w:basedOn w:val="Normal"/>
    <w:rsid w:val="0017667E"/>
    <w:pPr>
      <w:tabs>
        <w:tab w:val="center" w:pos="4153"/>
        <w:tab w:val="right" w:pos="8306"/>
      </w:tabs>
    </w:pPr>
  </w:style>
  <w:style w:type="character" w:styleId="PageNumber">
    <w:name w:val="page number"/>
    <w:basedOn w:val="DefaultParagraphFont"/>
    <w:rsid w:val="0017667E"/>
  </w:style>
  <w:style w:type="paragraph" w:customStyle="1" w:styleId="TableFootnote">
    <w:name w:val="Table Footnote"/>
    <w:basedOn w:val="Normal"/>
    <w:rsid w:val="0017667E"/>
    <w:pPr>
      <w:spacing w:line="300" w:lineRule="atLeast"/>
    </w:pPr>
    <w:rPr>
      <w:spacing w:val="5"/>
      <w:sz w:val="18"/>
      <w:szCs w:val="20"/>
      <w:lang w:eastAsia="en-US"/>
    </w:rPr>
  </w:style>
  <w:style w:type="character" w:styleId="CommentReference">
    <w:name w:val="annotation reference"/>
    <w:semiHidden/>
    <w:rsid w:val="0017667E"/>
    <w:rPr>
      <w:sz w:val="16"/>
      <w:szCs w:val="16"/>
    </w:rPr>
  </w:style>
  <w:style w:type="paragraph" w:styleId="CommentText">
    <w:name w:val="annotation text"/>
    <w:basedOn w:val="Normal"/>
    <w:semiHidden/>
    <w:rsid w:val="0017667E"/>
    <w:rPr>
      <w:sz w:val="20"/>
      <w:szCs w:val="20"/>
    </w:rPr>
  </w:style>
  <w:style w:type="paragraph" w:styleId="CommentSubject">
    <w:name w:val="annotation subject"/>
    <w:basedOn w:val="CommentText"/>
    <w:next w:val="CommentText"/>
    <w:semiHidden/>
    <w:rsid w:val="0017667E"/>
    <w:rPr>
      <w:b/>
      <w:bCs/>
    </w:rPr>
  </w:style>
  <w:style w:type="character" w:styleId="FollowedHyperlink">
    <w:name w:val="FollowedHyperlink"/>
    <w:rsid w:val="0017667E"/>
    <w:rPr>
      <w:color w:val="800080"/>
      <w:u w:val="single"/>
    </w:rPr>
  </w:style>
  <w:style w:type="character" w:styleId="Emphasis">
    <w:name w:val="Emphasis"/>
    <w:qFormat/>
    <w:rsid w:val="0017667E"/>
    <w:rPr>
      <w:i/>
      <w:iCs/>
    </w:rPr>
  </w:style>
  <w:style w:type="character" w:customStyle="1" w:styleId="textblack801">
    <w:name w:val="textblack801"/>
    <w:rsid w:val="0017667E"/>
    <w:rPr>
      <w:color w:val="000000"/>
      <w:sz w:val="19"/>
      <w:szCs w:val="19"/>
    </w:rPr>
  </w:style>
  <w:style w:type="character" w:customStyle="1" w:styleId="Typewriter">
    <w:name w:val="Typewriter"/>
    <w:rsid w:val="00D1525F"/>
    <w:rPr>
      <w:rFonts w:ascii="Courier New" w:hAnsi="Courier New"/>
      <w:sz w:val="20"/>
    </w:rPr>
  </w:style>
  <w:style w:type="paragraph" w:styleId="ListParagraph">
    <w:name w:val="List Paragraph"/>
    <w:basedOn w:val="Normal"/>
    <w:uiPriority w:val="34"/>
    <w:qFormat/>
    <w:rsid w:val="00396656"/>
    <w:pPr>
      <w:ind w:left="720"/>
      <w:contextualSpacing/>
    </w:pPr>
  </w:style>
  <w:style w:type="character" w:customStyle="1" w:styleId="HeaderChar">
    <w:name w:val="Header Char"/>
    <w:basedOn w:val="DefaultParagraphFont"/>
    <w:link w:val="Header"/>
    <w:uiPriority w:val="99"/>
    <w:rsid w:val="005C6D64"/>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vironment@nff.org.au" TargetMode="External"/><Relationship Id="rId13" Type="http://schemas.openxmlformats.org/officeDocument/2006/relationships/hyperlink" Target="http://www.nrm.gov.au" TargetMode="External"/><Relationship Id="rId18" Type="http://schemas.openxmlformats.org/officeDocument/2006/relationships/hyperlink" Target="http://www.environment.gov.au/farmin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environment.gov.au/epbc%20" TargetMode="External"/><Relationship Id="rId17" Type="http://schemas.openxmlformats.org/officeDocument/2006/relationships/hyperlink" Target="mailto:environment@nff.org.a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environment.gov.au/cgi-bin/sprat/public/publicshowcommunity.pl?id=122&amp;status=Endangere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vironment.gov.au/cgi-bin/sprat/public/publicshowcommunity.pl?id=122&amp;status=Endangered"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nrm.gov.au/contacts/index.html" TargetMode="External"/><Relationship Id="rId23" Type="http://schemas.openxmlformats.org/officeDocument/2006/relationships/footer" Target="footer2.xml"/><Relationship Id="rId10" Type="http://schemas.openxmlformats.org/officeDocument/2006/relationships/hyperlink" Target="http://www.environment.gov.au/biodiversity/threatened/communities/pubs/122-distribution-map.pdf" TargetMode="External"/><Relationship Id="rId19" Type="http://schemas.openxmlformats.org/officeDocument/2006/relationships/hyperlink" Target="mailto:ciu@environment.gov.au" TargetMode="External"/><Relationship Id="rId4" Type="http://schemas.openxmlformats.org/officeDocument/2006/relationships/settings" Target="settings.xml"/><Relationship Id="rId9" Type="http://schemas.openxmlformats.org/officeDocument/2006/relationships/hyperlink" Target="mailto:ciu@environment.gov.au" TargetMode="External"/><Relationship Id="rId14" Type="http://schemas.openxmlformats.org/officeDocument/2006/relationships/hyperlink" Target="http://www.nrm.gov.au/nrm/region.html"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BD828-160A-4244-9E0D-1F96FB02B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1304</Words>
  <Characters>8632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9917</CharactersWithSpaces>
  <SharedDoc>false</SharedDoc>
  <HLinks>
    <vt:vector size="54" baseType="variant">
      <vt:variant>
        <vt:i4>7340150</vt:i4>
      </vt:variant>
      <vt:variant>
        <vt:i4>30</vt:i4>
      </vt:variant>
      <vt:variant>
        <vt:i4>0</vt:i4>
      </vt:variant>
      <vt:variant>
        <vt:i4>5</vt:i4>
      </vt:variant>
      <vt:variant>
        <vt:lpwstr>http://www.environment.gov.au/biodiversity/threatened/communities.html</vt:lpwstr>
      </vt:variant>
      <vt:variant>
        <vt:lpwstr/>
      </vt:variant>
      <vt:variant>
        <vt:i4>1704039</vt:i4>
      </vt:variant>
      <vt:variant>
        <vt:i4>27</vt:i4>
      </vt:variant>
      <vt:variant>
        <vt:i4>0</vt:i4>
      </vt:variant>
      <vt:variant>
        <vt:i4>5</vt:i4>
      </vt:variant>
      <vt:variant>
        <vt:lpwstr>mailto:ciu@environment.gov.au</vt:lpwstr>
      </vt:variant>
      <vt:variant>
        <vt:lpwstr/>
      </vt:variant>
      <vt:variant>
        <vt:i4>524380</vt:i4>
      </vt:variant>
      <vt:variant>
        <vt:i4>24</vt:i4>
      </vt:variant>
      <vt:variant>
        <vt:i4>0</vt:i4>
      </vt:variant>
      <vt:variant>
        <vt:i4>5</vt:i4>
      </vt:variant>
      <vt:variant>
        <vt:lpwstr>http://www.environment.gov.au/farming</vt:lpwstr>
      </vt:variant>
      <vt:variant>
        <vt:lpwstr/>
      </vt:variant>
      <vt:variant>
        <vt:i4>1900661</vt:i4>
      </vt:variant>
      <vt:variant>
        <vt:i4>21</vt:i4>
      </vt:variant>
      <vt:variant>
        <vt:i4>0</vt:i4>
      </vt:variant>
      <vt:variant>
        <vt:i4>5</vt:i4>
      </vt:variant>
      <vt:variant>
        <vt:lpwstr>mailto:environment@nff.org.au</vt:lpwstr>
      </vt:variant>
      <vt:variant>
        <vt:lpwstr/>
      </vt:variant>
      <vt:variant>
        <vt:i4>786526</vt:i4>
      </vt:variant>
      <vt:variant>
        <vt:i4>18</vt:i4>
      </vt:variant>
      <vt:variant>
        <vt:i4>0</vt:i4>
      </vt:variant>
      <vt:variant>
        <vt:i4>5</vt:i4>
      </vt:variant>
      <vt:variant>
        <vt:lpwstr>http://www.nrm.gov.au/contacts/index.html</vt:lpwstr>
      </vt:variant>
      <vt:variant>
        <vt:lpwstr/>
      </vt:variant>
      <vt:variant>
        <vt:i4>5046299</vt:i4>
      </vt:variant>
      <vt:variant>
        <vt:i4>15</vt:i4>
      </vt:variant>
      <vt:variant>
        <vt:i4>0</vt:i4>
      </vt:variant>
      <vt:variant>
        <vt:i4>5</vt:i4>
      </vt:variant>
      <vt:variant>
        <vt:lpwstr>http://www.nrm.gov.au/nrm/region.html</vt:lpwstr>
      </vt:variant>
      <vt:variant>
        <vt:lpwstr/>
      </vt:variant>
      <vt:variant>
        <vt:i4>7798840</vt:i4>
      </vt:variant>
      <vt:variant>
        <vt:i4>12</vt:i4>
      </vt:variant>
      <vt:variant>
        <vt:i4>0</vt:i4>
      </vt:variant>
      <vt:variant>
        <vt:i4>5</vt:i4>
      </vt:variant>
      <vt:variant>
        <vt:lpwstr>http://www.nrm.gov.au/</vt:lpwstr>
      </vt:variant>
      <vt:variant>
        <vt:lpwstr/>
      </vt:variant>
      <vt:variant>
        <vt:i4>7929894</vt:i4>
      </vt:variant>
      <vt:variant>
        <vt:i4>9</vt:i4>
      </vt:variant>
      <vt:variant>
        <vt:i4>0</vt:i4>
      </vt:variant>
      <vt:variant>
        <vt:i4>5</vt:i4>
      </vt:variant>
      <vt:variant>
        <vt:lpwstr>http://www.environment.gov.au/epbc</vt:lpwstr>
      </vt:variant>
      <vt:variant>
        <vt:lpwstr/>
      </vt:variant>
      <vt:variant>
        <vt:i4>1900661</vt:i4>
      </vt:variant>
      <vt:variant>
        <vt:i4>0</vt:i4>
      </vt:variant>
      <vt:variant>
        <vt:i4>0</vt:i4>
      </vt:variant>
      <vt:variant>
        <vt:i4>5</vt:i4>
      </vt:variant>
      <vt:variant>
        <vt:lpwstr>mailto:environment@nff.org.au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Nationally protected Broad leaf tea-tree (Melaleuca viridiflora) woodlands in high rainfall coastal north Queensland – does it affect you and your land?</dc:title>
  <dc:creator/>
  <cp:lastModifiedBy/>
  <cp:revision>1</cp:revision>
  <dcterms:created xsi:type="dcterms:W3CDTF">2012-06-27T06:24:00Z</dcterms:created>
  <dcterms:modified xsi:type="dcterms:W3CDTF">2012-06-27T06:24:00Z</dcterms:modified>
</cp:coreProperties>
</file>