
<file path=[Content_Types].xml><?xml version="1.0" encoding="utf-8"?>
<Types xmlns="http://schemas.openxmlformats.org/package/2006/content-types">
  <Default Extension="gif" ContentType="image/gif"/>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EFE46C" w14:textId="4E114740" w:rsidR="00905B4B" w:rsidRDefault="00905B4B" w:rsidP="0089181A">
      <w:pPr>
        <w:tabs>
          <w:tab w:val="left" w:pos="5940"/>
        </w:tabs>
        <w:ind w:left="142"/>
        <w:rPr>
          <w:noProof/>
          <w:lang w:eastAsia="en-AU"/>
        </w:rPr>
      </w:pPr>
      <w:r>
        <w:rPr>
          <w:noProof/>
          <w:lang w:eastAsia="en-AU"/>
        </w:rPr>
        <w:drawing>
          <wp:anchor distT="0" distB="0" distL="114300" distR="114300" simplePos="0" relativeHeight="251661312" behindDoc="1" locked="0" layoutInCell="1" allowOverlap="1" wp14:anchorId="3C54887C" wp14:editId="112667FF">
            <wp:simplePos x="0" y="0"/>
            <wp:positionH relativeFrom="page">
              <wp:posOffset>-19050</wp:posOffset>
            </wp:positionH>
            <wp:positionV relativeFrom="paragraph">
              <wp:posOffset>6350</wp:posOffset>
            </wp:positionV>
            <wp:extent cx="7626350" cy="21209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rotWithShape="1">
                    <a:blip r:embed="rId8">
                      <a:extLst>
                        <a:ext uri="{28A0092B-C50C-407E-A947-70E740481C1C}">
                          <a14:useLocalDpi xmlns:a14="http://schemas.microsoft.com/office/drawing/2010/main" val="0"/>
                        </a:ext>
                      </a:extLst>
                    </a:blip>
                    <a:srcRect l="-1" r="-332" b="21375"/>
                    <a:stretch/>
                  </pic:blipFill>
                  <pic:spPr bwMode="auto">
                    <a:xfrm>
                      <a:off x="0" y="0"/>
                      <a:ext cx="7626350" cy="21209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A7B0A2A" w14:textId="5C959C7B" w:rsidR="000631DC" w:rsidRPr="00A55EE8" w:rsidRDefault="000631DC" w:rsidP="0089181A">
      <w:pPr>
        <w:tabs>
          <w:tab w:val="left" w:pos="5940"/>
        </w:tabs>
        <w:ind w:left="142"/>
        <w:rPr>
          <w:noProof/>
          <w:lang w:eastAsia="en-AU"/>
        </w:rPr>
      </w:pPr>
    </w:p>
    <w:p w14:paraId="6405C982" w14:textId="52783A89" w:rsidR="0089181A" w:rsidRPr="00A55EE8" w:rsidRDefault="0089181A" w:rsidP="0089181A">
      <w:pPr>
        <w:tabs>
          <w:tab w:val="left" w:pos="5940"/>
        </w:tabs>
        <w:ind w:left="142"/>
        <w:rPr>
          <w:noProof/>
          <w:lang w:eastAsia="en-AU"/>
        </w:rPr>
      </w:pPr>
    </w:p>
    <w:p w14:paraId="5CB40F9F" w14:textId="373C73E2" w:rsidR="00757170" w:rsidRPr="00A55EE8" w:rsidRDefault="0089181A" w:rsidP="0089181A">
      <w:pPr>
        <w:tabs>
          <w:tab w:val="left" w:pos="5940"/>
        </w:tabs>
        <w:ind w:left="142"/>
      </w:pPr>
      <w:r w:rsidRPr="00A55EE8">
        <w:tab/>
      </w:r>
    </w:p>
    <w:p w14:paraId="4B0BB50C" w14:textId="44E2D17B" w:rsidR="00565036" w:rsidRPr="00A55EE8" w:rsidRDefault="000631DC" w:rsidP="000631DC">
      <w:pPr>
        <w:pStyle w:val="FactsheetSubtitle"/>
        <w:tabs>
          <w:tab w:val="left" w:pos="4211"/>
          <w:tab w:val="left" w:pos="7893"/>
        </w:tabs>
        <w:spacing w:after="0"/>
        <w:ind w:left="0"/>
      </w:pPr>
      <w:r w:rsidRPr="00A55EE8">
        <w:rPr>
          <w:noProof/>
          <w:lang w:eastAsia="en-AU"/>
        </w:rPr>
        <mc:AlternateContent>
          <mc:Choice Requires="wps">
            <w:drawing>
              <wp:anchor distT="45720" distB="45720" distL="114300" distR="114300" simplePos="0" relativeHeight="251659264" behindDoc="0" locked="0" layoutInCell="1" allowOverlap="1" wp14:anchorId="478F680D" wp14:editId="14FB570F">
                <wp:simplePos x="0" y="0"/>
                <wp:positionH relativeFrom="margin">
                  <wp:posOffset>-462280</wp:posOffset>
                </wp:positionH>
                <wp:positionV relativeFrom="paragraph">
                  <wp:posOffset>302895</wp:posOffset>
                </wp:positionV>
                <wp:extent cx="6000750" cy="621030"/>
                <wp:effectExtent l="0" t="0" r="0" b="762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750" cy="621030"/>
                        </a:xfrm>
                        <a:prstGeom prst="rect">
                          <a:avLst/>
                        </a:prstGeom>
                        <a:solidFill>
                          <a:srgbClr val="00558B">
                            <a:alpha val="89804"/>
                          </a:srgbClr>
                        </a:solidFill>
                        <a:ln w="9525">
                          <a:noFill/>
                          <a:miter lim="800000"/>
                          <a:headEnd/>
                          <a:tailEnd/>
                        </a:ln>
                      </wps:spPr>
                      <wps:txbx>
                        <w:txbxContent>
                          <w:p w14:paraId="1DF3BA1C" w14:textId="529AA36C" w:rsidR="00A17153" w:rsidRPr="004F3B30" w:rsidRDefault="004F3B30" w:rsidP="00A17153">
                            <w:pPr>
                              <w:pStyle w:val="FactsheetSubtitle"/>
                              <w:spacing w:after="0"/>
                              <w:ind w:left="0"/>
                              <w:rPr>
                                <w:lang w:val="en-US"/>
                              </w:rPr>
                            </w:pPr>
                            <w:r w:rsidRPr="004F3B30">
                              <w:t>Agriculture 2030 2021</w:t>
                            </w:r>
                            <w:r w:rsidR="003D6DF5">
                              <w:rPr>
                                <w:rFonts w:cstheme="minorHAnsi"/>
                              </w:rPr>
                              <w:t>–</w:t>
                            </w:r>
                            <w:r w:rsidRPr="004F3B30">
                              <w:t xml:space="preserve">22 Budget </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478F680D" id="_x0000_t202" coordsize="21600,21600" o:spt="202" path="m,l,21600r21600,l21600,xe">
                <v:stroke joinstyle="miter"/>
                <v:path gradientshapeok="t" o:connecttype="rect"/>
              </v:shapetype>
              <v:shape id="Text Box 2" o:spid="_x0000_s1026" type="#_x0000_t202" style="position:absolute;margin-left:-36.4pt;margin-top:23.85pt;width:472.5pt;height:48.9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" fillcolor="#00558b" stroked="f">
                <v:fill opacity="58853f"/>
                <v:textbox>
                  <w:txbxContent>
                    <w:p w14:paraId="1DF3BA1C" w14:textId="529AA36C" w:rsidR="00A17153" w:rsidRPr="004F3B30" w:rsidRDefault="004F3B30" w:rsidP="00A17153">
                      <w:pPr>
                        <w:pStyle w:val="FactsheetSubtitle"/>
                        <w:spacing w:after="0"/>
                        <w:ind w:left="0"/>
                        <w:rPr>
                          <w:lang w:val="en-US"/>
                        </w:rPr>
                      </w:pPr>
                      <w:r w:rsidRPr="004F3B30">
                        <w:t>Agriculture 2030 2021</w:t>
                      </w:r>
                      <w:r w:rsidR="003D6DF5">
                        <w:rPr>
                          <w:rFonts w:cstheme="minorHAnsi"/>
                        </w:rPr>
                        <w:t>–</w:t>
                      </w:r>
                      <w:r w:rsidRPr="004F3B30">
                        <w:t xml:space="preserve">22 Budget </w:t>
                      </w:r>
                    </w:p>
                  </w:txbxContent>
                </v:textbox>
                <w10:wrap type="square" anchorx="margin"/>
              </v:shape>
            </w:pict>
          </mc:Fallback>
        </mc:AlternateContent>
      </w:r>
      <w:r w:rsidRPr="00A55EE8">
        <w:tab/>
      </w:r>
      <w:r w:rsidRPr="00A55EE8">
        <w:tab/>
      </w:r>
    </w:p>
    <w:p w14:paraId="3AD6DD8D" w14:textId="6D09371C" w:rsidR="000631DC" w:rsidRPr="00A55EE8" w:rsidRDefault="000631DC" w:rsidP="00FA77D6"/>
    <w:p w14:paraId="43DA4E9E" w14:textId="31BD5B8F" w:rsidR="004F3B30" w:rsidRDefault="00707737" w:rsidP="004F3B30">
      <w:r>
        <w:rPr>
          <w:noProof/>
          <w:lang w:eastAsia="en-AU"/>
        </w:rPr>
        <w:drawing>
          <wp:anchor distT="0" distB="0" distL="114300" distR="114300" simplePos="0" relativeHeight="251663360" behindDoc="0" locked="0" layoutInCell="1" allowOverlap="1" wp14:anchorId="6F3CF7DF" wp14:editId="664847BD">
            <wp:simplePos x="0" y="0"/>
            <wp:positionH relativeFrom="margin">
              <wp:align>right</wp:align>
            </wp:positionH>
            <wp:positionV relativeFrom="paragraph">
              <wp:posOffset>5080</wp:posOffset>
            </wp:positionV>
            <wp:extent cx="1018800" cy="1018800"/>
            <wp:effectExtent l="0" t="0" r="0" b="0"/>
            <wp:wrapSquare wrapText="bothSides"/>
            <wp:docPr id="9" name="Picture 9"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Qr code&#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1018800" cy="1018800"/>
                    </a:xfrm>
                    <a:prstGeom prst="rect">
                      <a:avLst/>
                    </a:prstGeom>
                  </pic:spPr>
                </pic:pic>
              </a:graphicData>
            </a:graphic>
            <wp14:sizeRelH relativeFrom="margin">
              <wp14:pctWidth>0</wp14:pctWidth>
            </wp14:sizeRelH>
            <wp14:sizeRelV relativeFrom="margin">
              <wp14:pctHeight>0</wp14:pctHeight>
            </wp14:sizeRelV>
          </wp:anchor>
        </w:drawing>
      </w:r>
      <w:r w:rsidR="00C15DB3">
        <w:t xml:space="preserve">The </w:t>
      </w:r>
      <w:r w:rsidR="00224FE5">
        <w:t xml:space="preserve">Australian </w:t>
      </w:r>
      <w:r w:rsidR="00224FE5">
        <w:rPr>
          <w:spacing w:val="-3"/>
        </w:rPr>
        <w:t xml:space="preserve">Government </w:t>
      </w:r>
      <w:r w:rsidR="00317E4C">
        <w:t xml:space="preserve">will provide over $850 million to continue </w:t>
      </w:r>
      <w:r w:rsidR="007D3A70">
        <w:t>backing</w:t>
      </w:r>
      <w:r w:rsidR="00224FE5">
        <w:t xml:space="preserve"> </w:t>
      </w:r>
      <w:r w:rsidR="00224FE5">
        <w:rPr>
          <w:spacing w:val="-3"/>
        </w:rPr>
        <w:t xml:space="preserve">the Australian </w:t>
      </w:r>
      <w:r w:rsidR="00224FE5">
        <w:t>agricultur</w:t>
      </w:r>
      <w:r w:rsidR="00DF53AC">
        <w:t>e</w:t>
      </w:r>
      <w:r w:rsidR="00224FE5" w:rsidRPr="00CB4F1B">
        <w:t xml:space="preserve"> </w:t>
      </w:r>
      <w:r w:rsidR="00224FE5">
        <w:t>industry</w:t>
      </w:r>
      <w:r w:rsidR="00224FE5" w:rsidRPr="00CB4F1B">
        <w:t xml:space="preserve"> </w:t>
      </w:r>
      <w:r w:rsidR="00224FE5">
        <w:t xml:space="preserve">to reach its goal </w:t>
      </w:r>
      <w:r w:rsidR="00224FE5" w:rsidRPr="00CB4F1B">
        <w:t xml:space="preserve">of $100 billion </w:t>
      </w:r>
      <w:r w:rsidR="00224FE5">
        <w:t xml:space="preserve">by </w:t>
      </w:r>
      <w:r w:rsidR="00224FE5" w:rsidRPr="00CB4F1B">
        <w:t>2030. Our Agriculture 2030 2021</w:t>
      </w:r>
      <w:r w:rsidR="003D6DF5">
        <w:rPr>
          <w:rFonts w:cstheme="minorHAnsi"/>
        </w:rPr>
        <w:t>–</w:t>
      </w:r>
      <w:r w:rsidR="00224FE5" w:rsidRPr="00CB4F1B">
        <w:t xml:space="preserve">22 Budget package reaffirms </w:t>
      </w:r>
      <w:r w:rsidR="00224FE5">
        <w:t xml:space="preserve">our </w:t>
      </w:r>
      <w:r w:rsidR="00224FE5" w:rsidRPr="00CB4F1B">
        <w:t xml:space="preserve">commitment </w:t>
      </w:r>
      <w:r w:rsidR="00224FE5">
        <w:t xml:space="preserve">with significant additional investment to deliver the tools and </w:t>
      </w:r>
      <w:r w:rsidR="00224FE5" w:rsidRPr="00CB4F1B">
        <w:t>foundations</w:t>
      </w:r>
      <w:r w:rsidR="00224FE5">
        <w:t xml:space="preserve"> required for producers to </w:t>
      </w:r>
      <w:r w:rsidR="00224FE5" w:rsidRPr="00CB4F1B">
        <w:t xml:space="preserve">achieve </w:t>
      </w:r>
      <w:r w:rsidR="00224FE5">
        <w:t>their goals.</w:t>
      </w:r>
    </w:p>
    <w:p w14:paraId="11612852" w14:textId="43D378E4" w:rsidR="00FA77D6" w:rsidRPr="00A55EE8" w:rsidRDefault="00F36EFD" w:rsidP="0089181A">
      <w:pPr>
        <w:pStyle w:val="Heading3Body"/>
        <w:spacing w:after="80"/>
        <w:rPr>
          <w:rStyle w:val="Strong"/>
          <w:b w:val="0"/>
          <w:bCs w:val="0"/>
        </w:rPr>
      </w:pPr>
      <w:r w:rsidRPr="00A55EE8">
        <w:rPr>
          <w:rStyle w:val="Strong"/>
          <w:b w:val="0"/>
          <w:bCs w:val="0"/>
        </w:rPr>
        <w:t>What’s in this year’s B</w:t>
      </w:r>
      <w:r w:rsidR="00FA77D6" w:rsidRPr="00A55EE8">
        <w:rPr>
          <w:rStyle w:val="Strong"/>
          <w:b w:val="0"/>
          <w:bCs w:val="0"/>
        </w:rPr>
        <w:t>udget</w:t>
      </w:r>
    </w:p>
    <w:p w14:paraId="4D5672F1" w14:textId="3D77A337" w:rsidR="00224FE5" w:rsidRDefault="00224FE5" w:rsidP="00224FE5">
      <w:pPr>
        <w:pStyle w:val="BodyText"/>
        <w:spacing w:before="117" w:line="244" w:lineRule="auto"/>
        <w:ind w:right="429"/>
      </w:pPr>
      <w:r>
        <w:t>The 2021</w:t>
      </w:r>
      <w:r>
        <w:rPr>
          <w:rFonts w:cstheme="minorHAnsi"/>
        </w:rPr>
        <w:t>–</w:t>
      </w:r>
      <w:r>
        <w:t>22 Budget delivers substantial new investment to drive the competitiveness, growth and resilience of the Australian agricultur</w:t>
      </w:r>
      <w:r w:rsidR="00E71815">
        <w:t>e</w:t>
      </w:r>
      <w:r>
        <w:t xml:space="preserve"> industry. Australian agriculture has been a shining light in the Australian economy throughout the COVID-19 pandemic, and the investments announced in this Budget continue to set the foundations for the industry to take advantage of opportunities and tackle challenges going forward. The Australian Government’s focus remains on delivering targeted measures </w:t>
      </w:r>
      <w:r w:rsidR="00F92F10">
        <w:t xml:space="preserve">for Australia’s farmers, fishers and foresters </w:t>
      </w:r>
      <w:r>
        <w:t xml:space="preserve">under the 7 Ag2030 themes to </w:t>
      </w:r>
      <w:r>
        <w:rPr>
          <w:spacing w:val="-3"/>
        </w:rPr>
        <w:t xml:space="preserve">support </w:t>
      </w:r>
      <w:r>
        <w:t xml:space="preserve">industry </w:t>
      </w:r>
      <w:r>
        <w:rPr>
          <w:spacing w:val="-3"/>
        </w:rPr>
        <w:t xml:space="preserve">reach </w:t>
      </w:r>
      <w:r>
        <w:t xml:space="preserve">its goal. </w:t>
      </w:r>
    </w:p>
    <w:p w14:paraId="0D165050" w14:textId="202F1348" w:rsidR="003609F2" w:rsidRPr="00A55EE8" w:rsidRDefault="00851D64" w:rsidP="00921309">
      <w:pPr>
        <w:pStyle w:val="HeadingforPackage"/>
        <w:spacing w:after="120"/>
        <w:rPr>
          <w:rStyle w:val="Strong"/>
        </w:rPr>
      </w:pPr>
      <w:r>
        <w:rPr>
          <w:rStyle w:val="Strong"/>
        </w:rPr>
        <w:t>Supporting Trade</w:t>
      </w:r>
    </w:p>
    <w:p w14:paraId="7C1FEDFB" w14:textId="3E2FED83" w:rsidR="00224FE5" w:rsidRDefault="00224FE5" w:rsidP="00B63330">
      <w:pPr>
        <w:pStyle w:val="CommentText"/>
        <w:spacing w:after="120"/>
        <w:rPr>
          <w:szCs w:val="22"/>
        </w:rPr>
      </w:pPr>
      <w:r>
        <w:rPr>
          <w:szCs w:val="22"/>
        </w:rPr>
        <w:t xml:space="preserve">We will continue our commitment to grow agricultural exports by </w:t>
      </w:r>
      <w:r w:rsidRPr="00F544FA">
        <w:rPr>
          <w:szCs w:val="22"/>
        </w:rPr>
        <w:t xml:space="preserve">delivering </w:t>
      </w:r>
      <w:r w:rsidRPr="00F544FA">
        <w:rPr>
          <w:b/>
        </w:rPr>
        <w:t>$</w:t>
      </w:r>
      <w:r w:rsidR="00707737" w:rsidRPr="00F544FA">
        <w:rPr>
          <w:b/>
        </w:rPr>
        <w:t>96.7</w:t>
      </w:r>
      <w:r w:rsidRPr="00F544FA">
        <w:rPr>
          <w:b/>
        </w:rPr>
        <w:t> million</w:t>
      </w:r>
      <w:r w:rsidRPr="00F544FA">
        <w:rPr>
          <w:szCs w:val="22"/>
        </w:rPr>
        <w:t xml:space="preserve"> to</w:t>
      </w:r>
      <w:r>
        <w:rPr>
          <w:szCs w:val="22"/>
        </w:rPr>
        <w:t xml:space="preserve">: </w:t>
      </w:r>
    </w:p>
    <w:p w14:paraId="6FF9A4B3" w14:textId="77777777" w:rsidR="00224FE5" w:rsidRPr="00973526" w:rsidRDefault="00224FE5" w:rsidP="00224FE5">
      <w:pPr>
        <w:pStyle w:val="BulletPointsBody"/>
        <w:spacing w:after="0"/>
        <w:rPr>
          <w:szCs w:val="20"/>
        </w:rPr>
      </w:pPr>
      <w:r>
        <w:rPr>
          <w:rStyle w:val="Strong"/>
          <w:b w:val="0"/>
          <w:szCs w:val="20"/>
        </w:rPr>
        <w:t>step</w:t>
      </w:r>
      <w:r w:rsidRPr="00973526">
        <w:t xml:space="preserve"> up Australia’s leadership in international agriculture and food policy discussions shaping the global agricultural trade environment. This include</w:t>
      </w:r>
      <w:r>
        <w:t>s</w:t>
      </w:r>
      <w:r w:rsidRPr="00973526">
        <w:t xml:space="preserve"> a new international </w:t>
      </w:r>
      <w:r>
        <w:t>agriculture</w:t>
      </w:r>
      <w:r w:rsidRPr="00973526">
        <w:t xml:space="preserve"> </w:t>
      </w:r>
      <w:r>
        <w:t>e</w:t>
      </w:r>
      <w:r w:rsidRPr="00973526">
        <w:t>nvoy, dedicated to protecting and promoting Australia’s international</w:t>
      </w:r>
      <w:r>
        <w:rPr>
          <w:spacing w:val="-3"/>
        </w:rPr>
        <w:t xml:space="preserve"> interests</w:t>
      </w:r>
    </w:p>
    <w:p w14:paraId="5AD93679" w14:textId="060E6ABB" w:rsidR="00707737" w:rsidRDefault="00E71815" w:rsidP="00707737">
      <w:pPr>
        <w:pStyle w:val="BulletPointsBody"/>
        <w:spacing w:after="0"/>
        <w:rPr>
          <w:rStyle w:val="Strong"/>
          <w:b w:val="0"/>
          <w:bCs w:val="0"/>
        </w:rPr>
      </w:pPr>
      <w:r>
        <w:rPr>
          <w:spacing w:val="-3"/>
        </w:rPr>
        <w:t>support</w:t>
      </w:r>
      <w:r w:rsidR="00224FE5">
        <w:rPr>
          <w:spacing w:val="-3"/>
        </w:rPr>
        <w:t xml:space="preserve"> expanded</w:t>
      </w:r>
      <w:r w:rsidR="00224FE5" w:rsidRPr="00973526">
        <w:rPr>
          <w:rStyle w:val="Strong"/>
          <w:b w:val="0"/>
        </w:rPr>
        <w:t xml:space="preserve"> access to agricultural and veterinary chemicals</w:t>
      </w:r>
      <w:r w:rsidR="00224FE5">
        <w:rPr>
          <w:rStyle w:val="Strong"/>
          <w:b w:val="0"/>
        </w:rPr>
        <w:t xml:space="preserve"> – i</w:t>
      </w:r>
      <w:r w:rsidR="00224FE5" w:rsidRPr="00973526">
        <w:rPr>
          <w:rStyle w:val="Strong"/>
          <w:b w:val="0"/>
        </w:rPr>
        <w:t>ncreased access to these tools will boost farm productivity, strengthen farmers’ response to pests and diseases, and e</w:t>
      </w:r>
      <w:r w:rsidR="00707737">
        <w:rPr>
          <w:rStyle w:val="Strong"/>
          <w:b w:val="0"/>
        </w:rPr>
        <w:t>nsure competitive supply chains</w:t>
      </w:r>
    </w:p>
    <w:p w14:paraId="02DFEA94" w14:textId="387E41AA" w:rsidR="00707737" w:rsidRPr="00F544FA" w:rsidRDefault="00707737" w:rsidP="00707737">
      <w:pPr>
        <w:pStyle w:val="BulletPointsBody"/>
        <w:spacing w:after="0"/>
        <w:rPr>
          <w:rStyle w:val="Strong"/>
          <w:b w:val="0"/>
          <w:bCs w:val="0"/>
        </w:rPr>
      </w:pPr>
      <w:r w:rsidRPr="00F544FA">
        <w:rPr>
          <w:spacing w:val="-4"/>
        </w:rPr>
        <w:t xml:space="preserve">help </w:t>
      </w:r>
      <w:r w:rsidRPr="00F544FA">
        <w:t xml:space="preserve">Australian agribusinesses expand their export markets as part </w:t>
      </w:r>
      <w:r w:rsidRPr="00F544FA">
        <w:rPr>
          <w:spacing w:val="-3"/>
        </w:rPr>
        <w:t xml:space="preserve">of </w:t>
      </w:r>
      <w:r w:rsidRPr="00F544FA">
        <w:t xml:space="preserve">the Agri-Business Expansion Initiative </w:t>
      </w:r>
      <w:r w:rsidRPr="00F544FA">
        <w:rPr>
          <w:spacing w:val="-3"/>
        </w:rPr>
        <w:t xml:space="preserve">(ABEI), with </w:t>
      </w:r>
      <w:r w:rsidRPr="00F544FA">
        <w:rPr>
          <w:spacing w:val="-4"/>
        </w:rPr>
        <w:t xml:space="preserve">one-on-one </w:t>
      </w:r>
      <w:r w:rsidRPr="00F544FA">
        <w:t xml:space="preserve">exporter </w:t>
      </w:r>
      <w:r w:rsidRPr="00F544FA">
        <w:rPr>
          <w:spacing w:val="-3"/>
        </w:rPr>
        <w:t xml:space="preserve">support </w:t>
      </w:r>
      <w:r w:rsidRPr="00F544FA">
        <w:t xml:space="preserve">services and greater </w:t>
      </w:r>
      <w:r w:rsidRPr="00F544FA">
        <w:rPr>
          <w:spacing w:val="-3"/>
        </w:rPr>
        <w:t xml:space="preserve">access </w:t>
      </w:r>
      <w:r w:rsidRPr="00F544FA">
        <w:t xml:space="preserve">to market </w:t>
      </w:r>
      <w:r w:rsidRPr="00F544FA">
        <w:rPr>
          <w:spacing w:val="-3"/>
        </w:rPr>
        <w:t>intelligence</w:t>
      </w:r>
      <w:r w:rsidR="00E34239" w:rsidRPr="00F544FA">
        <w:rPr>
          <w:spacing w:val="-3"/>
        </w:rPr>
        <w:t>, as announced December 2020</w:t>
      </w:r>
      <w:r w:rsidRPr="00F544FA">
        <w:rPr>
          <w:spacing w:val="-3"/>
        </w:rPr>
        <w:t>.</w:t>
      </w:r>
    </w:p>
    <w:p w14:paraId="43DB85D9" w14:textId="4CA94574" w:rsidR="009B1383" w:rsidRPr="00F544FA" w:rsidRDefault="009B1383" w:rsidP="0025108F">
      <w:pPr>
        <w:pStyle w:val="HeadingforPackage"/>
        <w:spacing w:before="120" w:after="120"/>
        <w:rPr>
          <w:rStyle w:val="Strong"/>
        </w:rPr>
      </w:pPr>
      <w:r w:rsidRPr="00F544FA">
        <w:rPr>
          <w:rStyle w:val="Strong"/>
        </w:rPr>
        <w:t xml:space="preserve">Biosecurity </w:t>
      </w:r>
    </w:p>
    <w:p w14:paraId="14138CB7" w14:textId="27771F4F" w:rsidR="00224FE5" w:rsidRDefault="00224FE5" w:rsidP="00B63330">
      <w:pPr>
        <w:pStyle w:val="HeadingforPackage"/>
        <w:spacing w:after="120"/>
        <w:rPr>
          <w:rFonts w:asciiTheme="minorHAnsi" w:hAnsiTheme="minorHAnsi"/>
          <w:sz w:val="20"/>
          <w:szCs w:val="22"/>
        </w:rPr>
      </w:pPr>
      <w:r w:rsidRPr="00F544FA">
        <w:rPr>
          <w:rFonts w:asciiTheme="minorHAnsi" w:hAnsiTheme="minorHAnsi"/>
          <w:sz w:val="20"/>
          <w:szCs w:val="22"/>
        </w:rPr>
        <w:t>A robust, effective biosecurity system is essential to keeping</w:t>
      </w:r>
      <w:r w:rsidRPr="002D5E17">
        <w:rPr>
          <w:rFonts w:asciiTheme="minorHAnsi" w:hAnsiTheme="minorHAnsi"/>
          <w:sz w:val="20"/>
          <w:szCs w:val="22"/>
        </w:rPr>
        <w:t xml:space="preserve"> Australia safe from exotic pests and diseases, while allowing the rapid flow of people and goods across our border. </w:t>
      </w:r>
      <w:r>
        <w:rPr>
          <w:rFonts w:asciiTheme="minorHAnsi" w:hAnsiTheme="minorHAnsi"/>
          <w:sz w:val="20"/>
          <w:szCs w:val="22"/>
        </w:rPr>
        <w:t xml:space="preserve">We will </w:t>
      </w:r>
      <w:r w:rsidRPr="002D5E17">
        <w:rPr>
          <w:rFonts w:asciiTheme="minorHAnsi" w:hAnsiTheme="minorHAnsi"/>
          <w:sz w:val="20"/>
          <w:szCs w:val="22"/>
        </w:rPr>
        <w:t>provide</w:t>
      </w:r>
      <w:r>
        <w:rPr>
          <w:rFonts w:asciiTheme="minorHAnsi" w:hAnsiTheme="minorHAnsi"/>
          <w:sz w:val="20"/>
          <w:szCs w:val="22"/>
        </w:rPr>
        <w:t xml:space="preserve"> over</w:t>
      </w:r>
      <w:r w:rsidRPr="002D5E17">
        <w:rPr>
          <w:rFonts w:asciiTheme="minorHAnsi" w:hAnsiTheme="minorHAnsi"/>
          <w:sz w:val="20"/>
          <w:szCs w:val="22"/>
        </w:rPr>
        <w:t xml:space="preserve"> </w:t>
      </w:r>
      <w:r w:rsidRPr="001275D3">
        <w:rPr>
          <w:rFonts w:asciiTheme="minorHAnsi" w:hAnsiTheme="minorHAnsi"/>
          <w:b/>
          <w:sz w:val="20"/>
          <w:szCs w:val="22"/>
        </w:rPr>
        <w:t>$400 million</w:t>
      </w:r>
      <w:r w:rsidRPr="00C44971">
        <w:rPr>
          <w:rFonts w:asciiTheme="minorHAnsi" w:hAnsiTheme="minorHAnsi"/>
          <w:b/>
          <w:sz w:val="20"/>
          <w:szCs w:val="22"/>
        </w:rPr>
        <w:t xml:space="preserve"> </w:t>
      </w:r>
      <w:r w:rsidRPr="002D5E17">
        <w:rPr>
          <w:rFonts w:asciiTheme="minorHAnsi" w:hAnsiTheme="minorHAnsi"/>
          <w:sz w:val="20"/>
          <w:szCs w:val="22"/>
        </w:rPr>
        <w:t xml:space="preserve">in new funding to expand our investment in safeguarding Australia from exotic pests and diseases. </w:t>
      </w:r>
      <w:r>
        <w:rPr>
          <w:rFonts w:asciiTheme="minorHAnsi" w:hAnsiTheme="minorHAnsi"/>
          <w:sz w:val="20"/>
          <w:szCs w:val="22"/>
        </w:rPr>
        <w:t>Funding in the 2021</w:t>
      </w:r>
      <w:r w:rsidR="003D6DF5">
        <w:rPr>
          <w:rFonts w:asciiTheme="minorHAnsi" w:hAnsiTheme="minorHAnsi" w:cstheme="minorHAnsi"/>
          <w:sz w:val="20"/>
          <w:szCs w:val="22"/>
        </w:rPr>
        <w:t>–</w:t>
      </w:r>
      <w:r>
        <w:rPr>
          <w:rFonts w:asciiTheme="minorHAnsi" w:hAnsiTheme="minorHAnsi"/>
          <w:sz w:val="20"/>
          <w:szCs w:val="22"/>
        </w:rPr>
        <w:t xml:space="preserve">22 Budget delivers a range of measures to: </w:t>
      </w:r>
    </w:p>
    <w:p w14:paraId="4D0A083E" w14:textId="3FCD86B5" w:rsidR="00224FE5" w:rsidRPr="002D5E17" w:rsidRDefault="00224FE5" w:rsidP="00224FE5">
      <w:pPr>
        <w:pStyle w:val="BulletPointsBody"/>
        <w:spacing w:after="0"/>
        <w:rPr>
          <w:rStyle w:val="Strong"/>
          <w:b w:val="0"/>
          <w:bCs w:val="0"/>
          <w:szCs w:val="20"/>
        </w:rPr>
      </w:pPr>
      <w:r>
        <w:rPr>
          <w:rStyle w:val="Strong"/>
          <w:b w:val="0"/>
          <w:szCs w:val="20"/>
        </w:rPr>
        <w:t>i</w:t>
      </w:r>
      <w:r w:rsidRPr="002D5E17">
        <w:rPr>
          <w:rStyle w:val="Strong"/>
          <w:b w:val="0"/>
          <w:szCs w:val="20"/>
        </w:rPr>
        <w:t>nvest</w:t>
      </w:r>
      <w:r>
        <w:rPr>
          <w:rStyle w:val="Strong"/>
          <w:b w:val="0"/>
          <w:szCs w:val="20"/>
        </w:rPr>
        <w:t xml:space="preserve"> in</w:t>
      </w:r>
      <w:r w:rsidRPr="002D5E17">
        <w:rPr>
          <w:rStyle w:val="Strong"/>
          <w:b w:val="0"/>
          <w:szCs w:val="20"/>
        </w:rPr>
        <w:t xml:space="preserve"> frontline measures to better manage the risk of pests and diseases entering Australia</w:t>
      </w:r>
      <w:r>
        <w:rPr>
          <w:rStyle w:val="Strong"/>
          <w:b w:val="0"/>
          <w:szCs w:val="20"/>
        </w:rPr>
        <w:t xml:space="preserve"> – including</w:t>
      </w:r>
      <w:r w:rsidRPr="002D5E17">
        <w:rPr>
          <w:rStyle w:val="Strong"/>
          <w:b w:val="0"/>
          <w:szCs w:val="20"/>
        </w:rPr>
        <w:t xml:space="preserve"> more on-the-ground resources to target known and emerging threats, like African swine fever</w:t>
      </w:r>
      <w:r>
        <w:rPr>
          <w:rStyle w:val="Strong"/>
          <w:b w:val="0"/>
          <w:szCs w:val="20"/>
        </w:rPr>
        <w:t>,</w:t>
      </w:r>
      <w:r w:rsidRPr="002D5E17">
        <w:rPr>
          <w:rStyle w:val="Strong"/>
          <w:b w:val="0"/>
          <w:szCs w:val="20"/>
        </w:rPr>
        <w:t xml:space="preserve"> and applying modern technology to better detec</w:t>
      </w:r>
      <w:r>
        <w:rPr>
          <w:rStyle w:val="Strong"/>
          <w:b w:val="0"/>
          <w:szCs w:val="20"/>
        </w:rPr>
        <w:t>t and respond to these threats</w:t>
      </w:r>
    </w:p>
    <w:p w14:paraId="14EB2278" w14:textId="77777777" w:rsidR="00224FE5" w:rsidRPr="002D5E17" w:rsidRDefault="00224FE5" w:rsidP="00224FE5">
      <w:pPr>
        <w:pStyle w:val="BulletPointsBody"/>
        <w:spacing w:after="0"/>
        <w:rPr>
          <w:rStyle w:val="Strong"/>
          <w:b w:val="0"/>
          <w:bCs w:val="0"/>
          <w:szCs w:val="20"/>
        </w:rPr>
      </w:pPr>
      <w:r>
        <w:rPr>
          <w:rStyle w:val="Strong"/>
          <w:b w:val="0"/>
          <w:szCs w:val="20"/>
        </w:rPr>
        <w:t>build</w:t>
      </w:r>
      <w:r w:rsidRPr="002D5E17">
        <w:rPr>
          <w:rStyle w:val="Strong"/>
          <w:b w:val="0"/>
          <w:szCs w:val="20"/>
        </w:rPr>
        <w:t xml:space="preserve"> a modern, effective biosecurity system underpinned by the right technology, information systems and analytical capabilities</w:t>
      </w:r>
    </w:p>
    <w:p w14:paraId="1B96174F" w14:textId="574D1521" w:rsidR="00224FE5" w:rsidRPr="00442F81" w:rsidRDefault="00224FE5" w:rsidP="00224FE5">
      <w:pPr>
        <w:pStyle w:val="BulletPointsBody"/>
        <w:spacing w:after="0"/>
        <w:rPr>
          <w:rStyle w:val="Strong"/>
          <w:bCs w:val="0"/>
          <w:szCs w:val="20"/>
        </w:rPr>
      </w:pPr>
      <w:r>
        <w:rPr>
          <w:rStyle w:val="Strong"/>
          <w:b w:val="0"/>
          <w:szCs w:val="20"/>
        </w:rPr>
        <w:t>strengthen partnerships to improve</w:t>
      </w:r>
      <w:r w:rsidRPr="002D5E17">
        <w:rPr>
          <w:rStyle w:val="Strong"/>
          <w:b w:val="0"/>
          <w:szCs w:val="20"/>
        </w:rPr>
        <w:t xml:space="preserve"> our ability to detect and manage threats offshore, while increasing our capacity to respond to incursions</w:t>
      </w:r>
      <w:r w:rsidR="00793263">
        <w:rPr>
          <w:rStyle w:val="Strong"/>
          <w:b w:val="0"/>
          <w:szCs w:val="20"/>
        </w:rPr>
        <w:t>.</w:t>
      </w:r>
    </w:p>
    <w:p w14:paraId="166B4EF8" w14:textId="77777777" w:rsidR="00B63330" w:rsidRDefault="00B63330" w:rsidP="002F4207">
      <w:pPr>
        <w:pStyle w:val="HeadingforPackage"/>
        <w:spacing w:before="120" w:after="120"/>
        <w:rPr>
          <w:rStyle w:val="Strong"/>
        </w:rPr>
      </w:pPr>
    </w:p>
    <w:p w14:paraId="6BB58DBD" w14:textId="77777777" w:rsidR="00B63330" w:rsidRDefault="00B63330" w:rsidP="002F4207">
      <w:pPr>
        <w:pStyle w:val="HeadingforPackage"/>
        <w:spacing w:before="120" w:after="120"/>
        <w:rPr>
          <w:rStyle w:val="Strong"/>
        </w:rPr>
      </w:pPr>
    </w:p>
    <w:p w14:paraId="65EDD277" w14:textId="77777777" w:rsidR="00B63330" w:rsidRDefault="00B63330" w:rsidP="002F4207">
      <w:pPr>
        <w:pStyle w:val="HeadingforPackage"/>
        <w:spacing w:before="120" w:after="120"/>
        <w:rPr>
          <w:rStyle w:val="Strong"/>
        </w:rPr>
      </w:pPr>
    </w:p>
    <w:p w14:paraId="5D8D8F71" w14:textId="2F0B7755" w:rsidR="002F4207" w:rsidRPr="00A55EE8" w:rsidRDefault="00707737" w:rsidP="002F4207">
      <w:pPr>
        <w:pStyle w:val="HeadingforPackage"/>
        <w:spacing w:before="120" w:after="120"/>
        <w:rPr>
          <w:rStyle w:val="Strong"/>
        </w:rPr>
      </w:pPr>
      <w:r>
        <w:rPr>
          <w:rStyle w:val="Strong"/>
        </w:rPr>
        <w:lastRenderedPageBreak/>
        <w:t xml:space="preserve">Soils and </w:t>
      </w:r>
      <w:r w:rsidR="002F4207">
        <w:rPr>
          <w:rStyle w:val="Strong"/>
        </w:rPr>
        <w:t>Stewardship</w:t>
      </w:r>
    </w:p>
    <w:p w14:paraId="3A9EC3B1" w14:textId="4DB43161" w:rsidR="00224FE5" w:rsidRDefault="00224FE5" w:rsidP="00224FE5">
      <w:pPr>
        <w:rPr>
          <w:rStyle w:val="Strong"/>
          <w:b w:val="0"/>
        </w:rPr>
      </w:pPr>
      <w:r>
        <w:t>Australia’s agricultur</w:t>
      </w:r>
      <w:r w:rsidR="00E71815">
        <w:t>e</w:t>
      </w:r>
      <w:r>
        <w:t xml:space="preserve"> industry depends on a biodiverse and well-managed resource base. We are recognising the</w:t>
      </w:r>
      <w:r>
        <w:rPr>
          <w:rStyle w:val="Strong"/>
          <w:b w:val="0"/>
        </w:rPr>
        <w:t xml:space="preserve"> critical role farmers play in looking after our resource base, ensuring the health and prosperity of our environment, regional communities and the broader economy. The 2021</w:t>
      </w:r>
      <w:r w:rsidR="003D6DF5">
        <w:rPr>
          <w:rStyle w:val="Strong"/>
          <w:rFonts w:cstheme="minorHAnsi"/>
          <w:b w:val="0"/>
        </w:rPr>
        <w:t>–</w:t>
      </w:r>
      <w:r>
        <w:rPr>
          <w:rStyle w:val="Strong"/>
          <w:b w:val="0"/>
        </w:rPr>
        <w:t xml:space="preserve">22 Budget </w:t>
      </w:r>
      <w:r w:rsidRPr="00F544FA">
        <w:rPr>
          <w:rStyle w:val="Strong"/>
          <w:b w:val="0"/>
        </w:rPr>
        <w:t xml:space="preserve">includes </w:t>
      </w:r>
      <w:r w:rsidRPr="00F544FA">
        <w:rPr>
          <w:rStyle w:val="Strong"/>
        </w:rPr>
        <w:t>$</w:t>
      </w:r>
      <w:r w:rsidR="00C434B7">
        <w:rPr>
          <w:rStyle w:val="Strong"/>
        </w:rPr>
        <w:t>228</w:t>
      </w:r>
      <w:r w:rsidRPr="00F544FA">
        <w:rPr>
          <w:rStyle w:val="Strong"/>
        </w:rPr>
        <w:t>.9 million</w:t>
      </w:r>
      <w:r w:rsidRPr="00F544FA">
        <w:rPr>
          <w:rStyle w:val="Strong"/>
          <w:b w:val="0"/>
        </w:rPr>
        <w:t xml:space="preserve"> </w:t>
      </w:r>
      <w:r w:rsidR="00C434B7">
        <w:rPr>
          <w:rStyle w:val="Strong"/>
          <w:b w:val="0"/>
        </w:rPr>
        <w:t>in new funding</w:t>
      </w:r>
      <w:r w:rsidRPr="00F544FA">
        <w:rPr>
          <w:rStyle w:val="Strong"/>
          <w:b w:val="0"/>
        </w:rPr>
        <w:t xml:space="preserve"> to:</w:t>
      </w:r>
      <w:r>
        <w:rPr>
          <w:rStyle w:val="Strong"/>
          <w:b w:val="0"/>
        </w:rPr>
        <w:t xml:space="preserve"> </w:t>
      </w:r>
    </w:p>
    <w:p w14:paraId="630C491C" w14:textId="4F266E3E" w:rsidR="00FF03D8" w:rsidRDefault="00FF03D8" w:rsidP="00FF03D8">
      <w:pPr>
        <w:pStyle w:val="BulletPointsBody"/>
        <w:rPr>
          <w:rStyle w:val="Strong"/>
          <w:b w:val="0"/>
          <w:szCs w:val="20"/>
        </w:rPr>
      </w:pPr>
      <w:r>
        <w:rPr>
          <w:rStyle w:val="Strong"/>
          <w:b w:val="0"/>
          <w:szCs w:val="20"/>
        </w:rPr>
        <w:t>c</w:t>
      </w:r>
      <w:r w:rsidRPr="003D6C15">
        <w:rPr>
          <w:rStyle w:val="Strong"/>
          <w:b w:val="0"/>
          <w:szCs w:val="20"/>
        </w:rPr>
        <w:t xml:space="preserve">onduct scientifically robust on-ground trials on </w:t>
      </w:r>
      <w:r>
        <w:rPr>
          <w:rStyle w:val="Strong"/>
          <w:b w:val="0"/>
          <w:szCs w:val="20"/>
        </w:rPr>
        <w:t xml:space="preserve">around </w:t>
      </w:r>
      <w:r w:rsidRPr="003D6C15">
        <w:rPr>
          <w:rStyle w:val="Strong"/>
          <w:b w:val="0"/>
          <w:szCs w:val="20"/>
        </w:rPr>
        <w:t xml:space="preserve">140 farms through the Enhancing Remnant Vegetation Pilot, with the aim of testing methods to reward farmers for improving their native vegetation </w:t>
      </w:r>
    </w:p>
    <w:p w14:paraId="695DA41E" w14:textId="77777777" w:rsidR="00FF03D8" w:rsidRPr="005C68B2" w:rsidRDefault="00FF03D8" w:rsidP="00FF03D8">
      <w:pPr>
        <w:pStyle w:val="BulletPointsBody"/>
        <w:widowControl w:val="0"/>
        <w:tabs>
          <w:tab w:val="left" w:pos="396"/>
          <w:tab w:val="left" w:pos="397"/>
        </w:tabs>
        <w:autoSpaceDE w:val="0"/>
        <w:autoSpaceDN w:val="0"/>
        <w:spacing w:before="2" w:after="0" w:line="240" w:lineRule="auto"/>
        <w:rPr>
          <w:lang w:val="en-GB"/>
        </w:rPr>
      </w:pPr>
      <w:r>
        <w:rPr>
          <w:rStyle w:val="Strong"/>
          <w:b w:val="0"/>
          <w:szCs w:val="20"/>
        </w:rPr>
        <w:t>implement</w:t>
      </w:r>
      <w:r w:rsidRPr="005C68B2">
        <w:rPr>
          <w:rStyle w:val="Strong"/>
          <w:b w:val="0"/>
          <w:szCs w:val="20"/>
        </w:rPr>
        <w:t xml:space="preserve"> the Australian Farm Biodiversity Certification Scheme</w:t>
      </w:r>
      <w:r>
        <w:rPr>
          <w:rStyle w:val="Strong"/>
          <w:b w:val="0"/>
          <w:szCs w:val="20"/>
        </w:rPr>
        <w:t xml:space="preserve"> to </w:t>
      </w:r>
      <w:r w:rsidRPr="005C68B2">
        <w:rPr>
          <w:lang w:val="en-GB"/>
        </w:rPr>
        <w:t xml:space="preserve">provide a credible, independent assessment of </w:t>
      </w:r>
      <w:r>
        <w:rPr>
          <w:lang w:val="en-GB"/>
        </w:rPr>
        <w:t xml:space="preserve">how farmers are protecting </w:t>
      </w:r>
      <w:r w:rsidRPr="005C68B2">
        <w:rPr>
          <w:lang w:val="en-GB"/>
        </w:rPr>
        <w:t>biodiversity,</w:t>
      </w:r>
      <w:r>
        <w:rPr>
          <w:lang w:val="en-GB"/>
        </w:rPr>
        <w:t xml:space="preserve"> helping to meet </w:t>
      </w:r>
      <w:r w:rsidRPr="005C68B2">
        <w:rPr>
          <w:lang w:val="en-GB"/>
        </w:rPr>
        <w:t xml:space="preserve">demand for improved environmental credentials for Australian </w:t>
      </w:r>
      <w:r>
        <w:rPr>
          <w:lang w:val="en-GB"/>
        </w:rPr>
        <w:t>products</w:t>
      </w:r>
      <w:r w:rsidRPr="005C68B2">
        <w:rPr>
          <w:lang w:val="en-GB"/>
        </w:rPr>
        <w:t xml:space="preserve"> </w:t>
      </w:r>
      <w:r>
        <w:rPr>
          <w:lang w:val="en-GB"/>
        </w:rPr>
        <w:t xml:space="preserve">and </w:t>
      </w:r>
      <w:r w:rsidRPr="005C68B2">
        <w:rPr>
          <w:lang w:val="en-GB"/>
        </w:rPr>
        <w:t>deliver a premium price</w:t>
      </w:r>
    </w:p>
    <w:p w14:paraId="1D12573B" w14:textId="782598F4" w:rsidR="00224FE5" w:rsidRPr="00F544FA" w:rsidRDefault="00224FE5" w:rsidP="00224FE5">
      <w:pPr>
        <w:pStyle w:val="BulletPointsBody"/>
        <w:rPr>
          <w:lang w:val="en-GB"/>
        </w:rPr>
      </w:pPr>
      <w:r w:rsidRPr="00F544FA">
        <w:rPr>
          <w:lang w:val="en-GB"/>
        </w:rPr>
        <w:t>provide funding to develop a Biodiversity Trading Platform, which will enable farmers to connect with buyers of biodiversity outcomes and kick-start private sector biodiversity markets</w:t>
      </w:r>
    </w:p>
    <w:p w14:paraId="0E680755" w14:textId="77777777" w:rsidR="00707737" w:rsidRPr="00F544FA" w:rsidRDefault="00224FE5" w:rsidP="00707737">
      <w:pPr>
        <w:pStyle w:val="BulletPointsBody"/>
        <w:rPr>
          <w:lang w:val="en-GB"/>
        </w:rPr>
      </w:pPr>
      <w:r w:rsidRPr="00F544FA">
        <w:rPr>
          <w:lang w:val="en-GB"/>
        </w:rPr>
        <w:t>implement the National Soil Strategy and associated Commonwealth Interim Action Plan, setting out how we can value, manage and improve our soil resource base over the next 20 years</w:t>
      </w:r>
    </w:p>
    <w:p w14:paraId="6D22B62A" w14:textId="413372EE" w:rsidR="00224FE5" w:rsidRPr="00F544FA" w:rsidRDefault="00224FE5" w:rsidP="00224FE5">
      <w:pPr>
        <w:pStyle w:val="BulletPointsBody"/>
        <w:rPr>
          <w:lang w:val="en-GB"/>
        </w:rPr>
      </w:pPr>
      <w:r w:rsidRPr="00F544FA">
        <w:rPr>
          <w:lang w:val="en-GB"/>
        </w:rPr>
        <w:t xml:space="preserve">pilot </w:t>
      </w:r>
      <w:r w:rsidR="00707737" w:rsidRPr="00F544FA">
        <w:rPr>
          <w:lang w:val="en-GB"/>
        </w:rPr>
        <w:t>the National Soil Monitoring and Incentives Pilot program</w:t>
      </w:r>
      <w:r w:rsidR="00C53BB1">
        <w:rPr>
          <w:lang w:val="en-GB"/>
        </w:rPr>
        <w:t xml:space="preserve"> over 2 years</w:t>
      </w:r>
      <w:r w:rsidR="00707737" w:rsidRPr="00F544FA">
        <w:rPr>
          <w:lang w:val="en-GB"/>
        </w:rPr>
        <w:t>, to</w:t>
      </w:r>
      <w:r w:rsidR="00C53BB1">
        <w:rPr>
          <w:lang w:val="en-GB"/>
        </w:rPr>
        <w:t xml:space="preserve"> help</w:t>
      </w:r>
      <w:r w:rsidR="00707737" w:rsidRPr="00F544FA">
        <w:rPr>
          <w:lang w:val="en-GB"/>
        </w:rPr>
        <w:t xml:space="preserve"> improve our understanding of Australia’s soil condition and how to better manage it, assess the impact of land management practices on soil, assist farmers to improve their productivity and profitability, and better support farmers to participate in the Emissions Reduction Fund</w:t>
      </w:r>
    </w:p>
    <w:p w14:paraId="67B3603E" w14:textId="77777777" w:rsidR="00224FE5" w:rsidRPr="00423CDE" w:rsidRDefault="00224FE5" w:rsidP="00224FE5">
      <w:pPr>
        <w:pStyle w:val="BulletPointsBody"/>
        <w:rPr>
          <w:lang w:val="en-GB"/>
        </w:rPr>
      </w:pPr>
      <w:r w:rsidRPr="00F544FA">
        <w:rPr>
          <w:lang w:val="en-GB"/>
        </w:rPr>
        <w:t xml:space="preserve">establish a </w:t>
      </w:r>
      <w:r w:rsidRPr="00F544FA">
        <w:rPr>
          <w:rStyle w:val="Strong"/>
          <w:b w:val="0"/>
        </w:rPr>
        <w:t>National Soil Science Challenge grants program</w:t>
      </w:r>
      <w:r w:rsidRPr="00F544FA">
        <w:rPr>
          <w:lang w:val="en-GB"/>
        </w:rPr>
        <w:t xml:space="preserve"> to</w:t>
      </w:r>
      <w:r>
        <w:rPr>
          <w:lang w:val="en-GB"/>
        </w:rPr>
        <w:t xml:space="preserve"> </w:t>
      </w:r>
      <w:r w:rsidRPr="00423CDE">
        <w:rPr>
          <w:rFonts w:eastAsia="Times New Roman"/>
        </w:rPr>
        <w:t xml:space="preserve">help address </w:t>
      </w:r>
      <w:r>
        <w:rPr>
          <w:rFonts w:eastAsia="Times New Roman"/>
        </w:rPr>
        <w:t>fundamental gaps in soil knowledge</w:t>
      </w:r>
    </w:p>
    <w:p w14:paraId="67801572" w14:textId="3B0A52EE" w:rsidR="00224FE5" w:rsidRDefault="0075392D" w:rsidP="00224FE5">
      <w:pPr>
        <w:pStyle w:val="BulletPointsBody"/>
        <w:rPr>
          <w:lang w:val="en-GB"/>
        </w:rPr>
      </w:pPr>
      <w:r>
        <w:rPr>
          <w:lang w:val="en-GB"/>
        </w:rPr>
        <w:t>work</w:t>
      </w:r>
      <w:r w:rsidR="00224FE5">
        <w:rPr>
          <w:lang w:val="en-GB"/>
        </w:rPr>
        <w:t xml:space="preserve"> with </w:t>
      </w:r>
      <w:r w:rsidR="00224FE5" w:rsidRPr="00642F20">
        <w:rPr>
          <w:lang w:val="en-GB"/>
        </w:rPr>
        <w:t xml:space="preserve">Soil Science Australia </w:t>
      </w:r>
      <w:r w:rsidR="00224FE5">
        <w:rPr>
          <w:lang w:val="en-GB"/>
        </w:rPr>
        <w:t xml:space="preserve">and the Cooperative Research Centre for </w:t>
      </w:r>
      <w:r w:rsidR="00FF4FC3">
        <w:rPr>
          <w:lang w:val="en-GB"/>
        </w:rPr>
        <w:t>H</w:t>
      </w:r>
      <w:r w:rsidR="0070229D">
        <w:rPr>
          <w:lang w:val="en-GB"/>
        </w:rPr>
        <w:t xml:space="preserve">igh </w:t>
      </w:r>
      <w:r w:rsidR="00FF4FC3">
        <w:rPr>
          <w:lang w:val="en-GB"/>
        </w:rPr>
        <w:t>P</w:t>
      </w:r>
      <w:r w:rsidR="0070229D">
        <w:rPr>
          <w:lang w:val="en-GB"/>
        </w:rPr>
        <w:t xml:space="preserve">erformance </w:t>
      </w:r>
      <w:r w:rsidR="00FF4FC3">
        <w:rPr>
          <w:lang w:val="en-GB"/>
        </w:rPr>
        <w:t>S</w:t>
      </w:r>
      <w:r w:rsidR="0070229D">
        <w:rPr>
          <w:lang w:val="en-GB"/>
        </w:rPr>
        <w:t>oils</w:t>
      </w:r>
      <w:r w:rsidR="00224FE5">
        <w:rPr>
          <w:lang w:val="en-GB"/>
        </w:rPr>
        <w:t xml:space="preserve"> </w:t>
      </w:r>
      <w:r w:rsidR="00224FE5" w:rsidRPr="00642F20">
        <w:rPr>
          <w:lang w:val="en-GB"/>
        </w:rPr>
        <w:t>to develop a</w:t>
      </w:r>
      <w:r w:rsidR="00224FE5">
        <w:rPr>
          <w:lang w:val="en-GB"/>
        </w:rPr>
        <w:t>nd trial a</w:t>
      </w:r>
      <w:r w:rsidR="00224FE5" w:rsidRPr="00642F20">
        <w:rPr>
          <w:lang w:val="en-GB"/>
        </w:rPr>
        <w:t xml:space="preserve"> new education accreditation in soil science</w:t>
      </w:r>
      <w:r w:rsidR="00224FE5">
        <w:rPr>
          <w:lang w:val="en-GB"/>
        </w:rPr>
        <w:t xml:space="preserve"> to </w:t>
      </w:r>
      <w:r w:rsidR="00224FE5" w:rsidRPr="00EF34E9">
        <w:rPr>
          <w:lang w:val="en-GB"/>
        </w:rPr>
        <w:t>provide further education and training for agronomists, extension officers and other trusted advisors to enhance soil science expertise and their ability to prov</w:t>
      </w:r>
      <w:r w:rsidR="00224FE5">
        <w:rPr>
          <w:lang w:val="en-GB"/>
        </w:rPr>
        <w:t>ide practical advice to farmers</w:t>
      </w:r>
    </w:p>
    <w:p w14:paraId="37C397F9" w14:textId="77777777" w:rsidR="00224FE5" w:rsidRDefault="00224FE5" w:rsidP="00224FE5">
      <w:pPr>
        <w:pStyle w:val="BulletPointsBody"/>
        <w:rPr>
          <w:lang w:val="en-GB"/>
        </w:rPr>
      </w:pPr>
      <w:r w:rsidRPr="00642F20">
        <w:rPr>
          <w:lang w:val="en-GB"/>
        </w:rPr>
        <w:t>establish the Food Waste for Healthy Soils Fund, to divert organic waste from landfill to agricultural use</w:t>
      </w:r>
      <w:r>
        <w:rPr>
          <w:lang w:val="en-GB"/>
        </w:rPr>
        <w:t>.</w:t>
      </w:r>
    </w:p>
    <w:p w14:paraId="3A440FA1" w14:textId="28000C62" w:rsidR="00636CA5" w:rsidRPr="00A55EE8" w:rsidRDefault="00636CA5" w:rsidP="00636CA5">
      <w:pPr>
        <w:pStyle w:val="HeadingforPackage"/>
        <w:spacing w:before="120" w:after="120"/>
        <w:rPr>
          <w:rStyle w:val="Strong"/>
        </w:rPr>
      </w:pPr>
      <w:r>
        <w:rPr>
          <w:rStyle w:val="Strong"/>
        </w:rPr>
        <w:t>Supply Chains</w:t>
      </w:r>
    </w:p>
    <w:p w14:paraId="3C6FA139" w14:textId="76FEC2BB" w:rsidR="00224FE5" w:rsidRPr="00A17BA4" w:rsidRDefault="00224FE5" w:rsidP="00224FE5">
      <w:r w:rsidRPr="000E39D7">
        <w:rPr>
          <w:rStyle w:val="Strong"/>
          <w:b w:val="0"/>
        </w:rPr>
        <w:t xml:space="preserve">We are backing fair, strong and resilient supply chains, putting in place the frameworks so that everyone in the supply chain is treated fairly and pays their </w:t>
      </w:r>
      <w:r>
        <w:rPr>
          <w:rStyle w:val="Strong"/>
          <w:b w:val="0"/>
        </w:rPr>
        <w:t xml:space="preserve">fair </w:t>
      </w:r>
      <w:r w:rsidRPr="000E39D7">
        <w:rPr>
          <w:rStyle w:val="Strong"/>
          <w:b w:val="0"/>
        </w:rPr>
        <w:t xml:space="preserve">share. </w:t>
      </w:r>
      <w:r>
        <w:rPr>
          <w:rStyle w:val="Strong"/>
          <w:b w:val="0"/>
        </w:rPr>
        <w:t>Through the 2021</w:t>
      </w:r>
      <w:r w:rsidR="003D6DF5">
        <w:rPr>
          <w:rStyle w:val="Strong"/>
          <w:rFonts w:cstheme="minorHAnsi"/>
          <w:b w:val="0"/>
        </w:rPr>
        <w:t>–</w:t>
      </w:r>
      <w:r>
        <w:rPr>
          <w:rStyle w:val="Strong"/>
          <w:b w:val="0"/>
        </w:rPr>
        <w:t xml:space="preserve">22 Budget we have committed </w:t>
      </w:r>
      <w:r w:rsidRPr="0023588F">
        <w:rPr>
          <w:rStyle w:val="Strong"/>
        </w:rPr>
        <w:t>$5.4 million</w:t>
      </w:r>
      <w:r>
        <w:rPr>
          <w:rStyle w:val="Strong"/>
          <w:b w:val="0"/>
        </w:rPr>
        <w:t xml:space="preserve"> to </w:t>
      </w:r>
      <w:r>
        <w:t xml:space="preserve">work with perishable agricultural goods supply chains </w:t>
      </w:r>
      <w:r>
        <w:rPr>
          <w:lang w:val="en-US"/>
        </w:rPr>
        <w:t xml:space="preserve">to identify market transparency </w:t>
      </w:r>
      <w:r>
        <w:rPr>
          <w:szCs w:val="20"/>
          <w:lang w:val="en-US"/>
        </w:rPr>
        <w:t>issues and co</w:t>
      </w:r>
      <w:r>
        <w:rPr>
          <w:szCs w:val="20"/>
          <w:lang w:val="en-US"/>
        </w:rPr>
        <w:noBreakHyphen/>
      </w:r>
      <w:r w:rsidRPr="009E7AFC">
        <w:rPr>
          <w:szCs w:val="20"/>
          <w:lang w:val="en-US"/>
        </w:rPr>
        <w:t xml:space="preserve">design </w:t>
      </w:r>
      <w:r>
        <w:rPr>
          <w:lang w:val="en-US"/>
        </w:rPr>
        <w:t>and co-fund the development of tools</w:t>
      </w:r>
      <w:r w:rsidRPr="009E7AFC">
        <w:rPr>
          <w:szCs w:val="20"/>
          <w:lang w:val="en-US"/>
        </w:rPr>
        <w:t xml:space="preserve"> to improve </w:t>
      </w:r>
      <w:r>
        <w:rPr>
          <w:lang w:val="en-US"/>
        </w:rPr>
        <w:t xml:space="preserve">price and market </w:t>
      </w:r>
      <w:r w:rsidRPr="009E7AFC">
        <w:rPr>
          <w:szCs w:val="20"/>
          <w:lang w:val="en-US"/>
        </w:rPr>
        <w:t>transparency</w:t>
      </w:r>
      <w:r>
        <w:rPr>
          <w:szCs w:val="20"/>
          <w:lang w:val="en-US"/>
        </w:rPr>
        <w:t>.</w:t>
      </w:r>
    </w:p>
    <w:p w14:paraId="784F2DED" w14:textId="28DD3D44" w:rsidR="00636CA5" w:rsidRPr="00A55EE8" w:rsidRDefault="00636CA5" w:rsidP="00636CA5">
      <w:pPr>
        <w:pStyle w:val="HeadingforPackage"/>
        <w:spacing w:before="120" w:after="120"/>
        <w:rPr>
          <w:rStyle w:val="Strong"/>
        </w:rPr>
      </w:pPr>
      <w:r>
        <w:rPr>
          <w:rStyle w:val="Strong"/>
        </w:rPr>
        <w:t xml:space="preserve">Water and Infrastructure </w:t>
      </w:r>
    </w:p>
    <w:p w14:paraId="3E338891" w14:textId="47F6A923" w:rsidR="003B3EA9" w:rsidRDefault="002B0016" w:rsidP="002B0016">
      <w:r>
        <w:rPr>
          <w:spacing w:val="-6"/>
        </w:rPr>
        <w:t>We</w:t>
      </w:r>
      <w:r>
        <w:rPr>
          <w:spacing w:val="-14"/>
        </w:rPr>
        <w:t xml:space="preserve"> </w:t>
      </w:r>
      <w:r>
        <w:t>are</w:t>
      </w:r>
      <w:r>
        <w:rPr>
          <w:spacing w:val="-14"/>
        </w:rPr>
        <w:t xml:space="preserve"> </w:t>
      </w:r>
      <w:r>
        <w:t xml:space="preserve">supporting Australian farmers and rural and regional </w:t>
      </w:r>
      <w:r>
        <w:rPr>
          <w:spacing w:val="-3"/>
        </w:rPr>
        <w:t xml:space="preserve">communities </w:t>
      </w:r>
      <w:r>
        <w:t>with infrastructure, programs and reforms needed to secure a prosperous future</w:t>
      </w:r>
      <w:r w:rsidR="0070229D">
        <w:rPr>
          <w:spacing w:val="-3"/>
        </w:rPr>
        <w:t>. This includes</w:t>
      </w:r>
      <w:r w:rsidR="003B3EA9">
        <w:rPr>
          <w:spacing w:val="-3"/>
        </w:rPr>
        <w:t xml:space="preserve"> </w:t>
      </w:r>
      <w:r w:rsidR="0070229D">
        <w:rPr>
          <w:spacing w:val="-3"/>
        </w:rPr>
        <w:t>extending the $100.0 million On-farm Emergency Water Infrastructure Rebate Scheme to 30 June 2022 and putting in place measures to respond to the ACCC Inquiry into the Murray</w:t>
      </w:r>
      <w:r w:rsidR="003D6DF5">
        <w:rPr>
          <w:rFonts w:cstheme="minorHAnsi"/>
          <w:spacing w:val="-3"/>
        </w:rPr>
        <w:t>–</w:t>
      </w:r>
      <w:r w:rsidR="0070229D">
        <w:rPr>
          <w:spacing w:val="-3"/>
        </w:rPr>
        <w:t xml:space="preserve">Darling Basin Water Market. </w:t>
      </w:r>
    </w:p>
    <w:p w14:paraId="11A1D2B6" w14:textId="5CB2ACDF" w:rsidR="00636CA5" w:rsidRPr="00A55EE8" w:rsidRDefault="00636CA5" w:rsidP="00636CA5">
      <w:pPr>
        <w:pStyle w:val="HeadingforPackage"/>
        <w:spacing w:before="120" w:after="120"/>
        <w:rPr>
          <w:rStyle w:val="Strong"/>
        </w:rPr>
      </w:pPr>
      <w:r>
        <w:rPr>
          <w:rStyle w:val="Strong"/>
        </w:rPr>
        <w:t xml:space="preserve">Innovation </w:t>
      </w:r>
    </w:p>
    <w:p w14:paraId="3976BB67" w14:textId="712A0E0F" w:rsidR="00224FE5" w:rsidRDefault="00224FE5" w:rsidP="00224FE5">
      <w:pPr>
        <w:rPr>
          <w:spacing w:val="-3"/>
        </w:rPr>
      </w:pPr>
      <w:r w:rsidRPr="00A9369F">
        <w:rPr>
          <w:spacing w:val="-6"/>
        </w:rPr>
        <w:t xml:space="preserve">We </w:t>
      </w:r>
      <w:r>
        <w:t xml:space="preserve">are delivering targeted investments to drive </w:t>
      </w:r>
      <w:r>
        <w:rPr>
          <w:spacing w:val="-4"/>
        </w:rPr>
        <w:t xml:space="preserve">improvements </w:t>
      </w:r>
      <w:r>
        <w:t xml:space="preserve">in </w:t>
      </w:r>
      <w:r>
        <w:rPr>
          <w:spacing w:val="-3"/>
        </w:rPr>
        <w:t xml:space="preserve">collaboration, commercialisation </w:t>
      </w:r>
      <w:r>
        <w:t xml:space="preserve">and uptake to grow agricultural productivity and competitiveness. </w:t>
      </w:r>
      <w:r>
        <w:rPr>
          <w:spacing w:val="-3"/>
        </w:rPr>
        <w:t xml:space="preserve">This Budget includes </w:t>
      </w:r>
      <w:r w:rsidRPr="001275D3">
        <w:rPr>
          <w:b/>
          <w:spacing w:val="-3"/>
        </w:rPr>
        <w:t>$</w:t>
      </w:r>
      <w:r w:rsidR="00520A02">
        <w:rPr>
          <w:b/>
          <w:spacing w:val="-3"/>
        </w:rPr>
        <w:t>34.8</w:t>
      </w:r>
      <w:r w:rsidRPr="001275D3">
        <w:rPr>
          <w:b/>
          <w:spacing w:val="-3"/>
        </w:rPr>
        <w:t xml:space="preserve"> million</w:t>
      </w:r>
      <w:r>
        <w:rPr>
          <w:spacing w:val="-3"/>
        </w:rPr>
        <w:t xml:space="preserve"> in additional investment for:</w:t>
      </w:r>
    </w:p>
    <w:p w14:paraId="6E8CC73F" w14:textId="77777777" w:rsidR="008E33C0" w:rsidRDefault="008E33C0" w:rsidP="008E33C0">
      <w:pPr>
        <w:pStyle w:val="BulletPointsBody"/>
      </w:pPr>
      <w:r>
        <w:t>Agricultural Innovation Australia to develop investment strategies for four new National Agricultural Innovation Priorities on exports, climate resilience, biosecurity and digital agriculture</w:t>
      </w:r>
    </w:p>
    <w:p w14:paraId="5F10E478" w14:textId="77777777" w:rsidR="00E85577" w:rsidRPr="00636CA5" w:rsidRDefault="00E85577" w:rsidP="00E85577">
      <w:pPr>
        <w:pStyle w:val="BulletPointsBody"/>
      </w:pPr>
      <w:r>
        <w:t>supporting innovation in the forestry sector, including extending the existing nine Regional Forestry Hubs and creating two new Hubs, and undertaking a feasibility study into creating a super National Institute for Forest Products Innovation</w:t>
      </w:r>
    </w:p>
    <w:p w14:paraId="197A6244" w14:textId="08EE4AC0" w:rsidR="001314B4" w:rsidRPr="00585C1F" w:rsidRDefault="001314B4" w:rsidP="00224FE5">
      <w:pPr>
        <w:pStyle w:val="BulletPointsBody"/>
        <w:widowControl w:val="0"/>
        <w:tabs>
          <w:tab w:val="left" w:pos="396"/>
          <w:tab w:val="left" w:pos="397"/>
        </w:tabs>
        <w:autoSpaceDE w:val="0"/>
        <w:autoSpaceDN w:val="0"/>
        <w:spacing w:before="2" w:after="0" w:line="240" w:lineRule="auto"/>
        <w:ind w:right="588"/>
        <w:rPr>
          <w:spacing w:val="-3"/>
        </w:rPr>
      </w:pPr>
      <w:r>
        <w:t xml:space="preserve">extending the Tuna Champions program, </w:t>
      </w:r>
      <w:r w:rsidR="00585C1F">
        <w:t xml:space="preserve">an education and stewardship program that aims </w:t>
      </w:r>
      <w:r>
        <w:t>to promote responsible recreational fishing for important tuna species</w:t>
      </w:r>
    </w:p>
    <w:p w14:paraId="7B89A088" w14:textId="35D6B437" w:rsidR="0028432A" w:rsidRPr="00F90EF3" w:rsidRDefault="00224FE5" w:rsidP="00696D54">
      <w:pPr>
        <w:pStyle w:val="BulletPointsBody"/>
        <w:widowControl w:val="0"/>
        <w:tabs>
          <w:tab w:val="left" w:pos="396"/>
          <w:tab w:val="left" w:pos="397"/>
        </w:tabs>
        <w:autoSpaceDE w:val="0"/>
        <w:autoSpaceDN w:val="0"/>
        <w:spacing w:before="120" w:after="120" w:line="240" w:lineRule="auto"/>
        <w:ind w:right="588"/>
        <w:rPr>
          <w:b/>
          <w:bCs/>
        </w:rPr>
      </w:pPr>
      <w:r w:rsidRPr="00F90EF3">
        <w:rPr>
          <w:spacing w:val="-3"/>
        </w:rPr>
        <w:t>fisheries deregulation through technological innovation to boost p</w:t>
      </w:r>
      <w:r w:rsidR="00F90EF3">
        <w:rPr>
          <w:spacing w:val="-3"/>
        </w:rPr>
        <w:t>roductivity and competitiveness.</w:t>
      </w:r>
    </w:p>
    <w:p w14:paraId="506B3140" w14:textId="77777777" w:rsidR="00B63330" w:rsidRDefault="00B63330" w:rsidP="00A9369F">
      <w:pPr>
        <w:pStyle w:val="HeadingforPackage"/>
        <w:spacing w:before="120" w:after="120"/>
        <w:rPr>
          <w:rStyle w:val="Strong"/>
        </w:rPr>
      </w:pPr>
    </w:p>
    <w:p w14:paraId="1C28D77B" w14:textId="77777777" w:rsidR="00B63330" w:rsidRDefault="00B63330" w:rsidP="00B63330">
      <w:pPr>
        <w:pStyle w:val="HeadingforPackage"/>
        <w:spacing w:after="0" w:line="240" w:lineRule="auto"/>
        <w:rPr>
          <w:rStyle w:val="Strong"/>
        </w:rPr>
      </w:pPr>
    </w:p>
    <w:p w14:paraId="4125D4F6" w14:textId="22ABCAD7" w:rsidR="00B63330" w:rsidRDefault="00B63330" w:rsidP="00B63330">
      <w:pPr>
        <w:pStyle w:val="HeadingforPackage"/>
        <w:spacing w:after="0" w:line="240" w:lineRule="auto"/>
        <w:rPr>
          <w:rStyle w:val="Strong"/>
        </w:rPr>
      </w:pPr>
    </w:p>
    <w:p w14:paraId="3391681B" w14:textId="77777777" w:rsidR="00B63330" w:rsidRDefault="00B63330" w:rsidP="00B63330">
      <w:pPr>
        <w:pStyle w:val="HeadingforPackage"/>
        <w:spacing w:after="0" w:line="240" w:lineRule="auto"/>
        <w:rPr>
          <w:rStyle w:val="Strong"/>
        </w:rPr>
      </w:pPr>
    </w:p>
    <w:p w14:paraId="01439F6B" w14:textId="65DF434D" w:rsidR="00A9369F" w:rsidRPr="00A55EE8" w:rsidRDefault="00A9369F" w:rsidP="00B63330">
      <w:pPr>
        <w:pStyle w:val="HeadingforPackage"/>
        <w:spacing w:after="0" w:line="240" w:lineRule="auto"/>
        <w:rPr>
          <w:rStyle w:val="Strong"/>
        </w:rPr>
      </w:pPr>
      <w:r>
        <w:rPr>
          <w:rStyle w:val="Strong"/>
        </w:rPr>
        <w:lastRenderedPageBreak/>
        <w:t>Human Capital</w:t>
      </w:r>
    </w:p>
    <w:p w14:paraId="3AC9401A" w14:textId="4F268705" w:rsidR="00745835" w:rsidRPr="008E05E5" w:rsidRDefault="00745835" w:rsidP="002114FE">
      <w:pPr>
        <w:pStyle w:val="BulletPointsBody"/>
        <w:widowControl w:val="0"/>
        <w:numPr>
          <w:ilvl w:val="0"/>
          <w:numId w:val="0"/>
        </w:numPr>
        <w:tabs>
          <w:tab w:val="left" w:pos="396"/>
          <w:tab w:val="left" w:pos="397"/>
        </w:tabs>
        <w:autoSpaceDE w:val="0"/>
        <w:autoSpaceDN w:val="0"/>
        <w:spacing w:before="2" w:line="240" w:lineRule="auto"/>
        <w:ind w:right="590"/>
        <w:contextualSpacing w:val="0"/>
      </w:pPr>
      <w:r w:rsidRPr="00831243">
        <w:t xml:space="preserve">We are supporting industry to position agriculture as a modern industry with diverse career opportunities, </w:t>
      </w:r>
      <w:r>
        <w:t>to reflect the dynamic, innovative and resilient industry it is today.</w:t>
      </w:r>
      <w:r w:rsidRPr="00831243">
        <w:t xml:space="preserve"> </w:t>
      </w:r>
      <w:r>
        <w:t>The 2021</w:t>
      </w:r>
      <w:r w:rsidR="003D6DF5">
        <w:rPr>
          <w:rFonts w:cstheme="minorHAnsi"/>
        </w:rPr>
        <w:t>–</w:t>
      </w:r>
      <w:r>
        <w:t xml:space="preserve">22 Budget includes </w:t>
      </w:r>
      <w:r w:rsidRPr="001275D3">
        <w:rPr>
          <w:b/>
        </w:rPr>
        <w:t>$29.8 million</w:t>
      </w:r>
      <w:r>
        <w:t xml:space="preserve"> of new funding to</w:t>
      </w:r>
      <w:r w:rsidRPr="00831243">
        <w:t>:</w:t>
      </w:r>
    </w:p>
    <w:p w14:paraId="55ACEEA6" w14:textId="77777777" w:rsidR="00745835" w:rsidRDefault="00745835" w:rsidP="00745835">
      <w:pPr>
        <w:pStyle w:val="BulletPointsBody"/>
        <w:widowControl w:val="0"/>
        <w:tabs>
          <w:tab w:val="left" w:pos="396"/>
          <w:tab w:val="left" w:pos="397"/>
        </w:tabs>
        <w:autoSpaceDE w:val="0"/>
        <w:autoSpaceDN w:val="0"/>
        <w:spacing w:before="2" w:after="0" w:line="240" w:lineRule="auto"/>
        <w:ind w:right="588"/>
      </w:pPr>
      <w:r>
        <w:t xml:space="preserve">establish </w:t>
      </w:r>
      <w:proofErr w:type="spellStart"/>
      <w:r w:rsidRPr="00A9369F">
        <w:t>AgATTRACT</w:t>
      </w:r>
      <w:proofErr w:type="spellEnd"/>
      <w:r w:rsidRPr="00A9369F">
        <w:t>, to shift perceptions of modern agriculture and recognise its diverse career opportunities, including</w:t>
      </w:r>
      <w:r>
        <w:t xml:space="preserve"> piloting ways to give </w:t>
      </w:r>
      <w:r w:rsidRPr="00A9369F">
        <w:t>young Australians a way to do a gap year in agriculture</w:t>
      </w:r>
      <w:r>
        <w:t xml:space="preserve"> and </w:t>
      </w:r>
      <w:r w:rsidRPr="00A9369F">
        <w:t xml:space="preserve">providing more opportunities for upskilling and career progression with </w:t>
      </w:r>
      <w:proofErr w:type="spellStart"/>
      <w:r w:rsidRPr="00A9369F">
        <w:t>AgUP</w:t>
      </w:r>
      <w:proofErr w:type="spellEnd"/>
      <w:r w:rsidRPr="00A9369F">
        <w:t xml:space="preserve"> grants</w:t>
      </w:r>
    </w:p>
    <w:p w14:paraId="664C41E6" w14:textId="40F4FCA4" w:rsidR="00745835" w:rsidRDefault="00745835" w:rsidP="00745835">
      <w:pPr>
        <w:pStyle w:val="BulletPointsBody"/>
        <w:widowControl w:val="0"/>
        <w:tabs>
          <w:tab w:val="left" w:pos="396"/>
          <w:tab w:val="left" w:pos="397"/>
        </w:tabs>
        <w:autoSpaceDE w:val="0"/>
        <w:autoSpaceDN w:val="0"/>
        <w:spacing w:before="2" w:after="0" w:line="240" w:lineRule="auto"/>
        <w:ind w:right="588"/>
      </w:pPr>
      <w:r>
        <w:t xml:space="preserve">improve </w:t>
      </w:r>
      <w:r w:rsidRPr="00A9369F">
        <w:t>workforce management and planning</w:t>
      </w:r>
      <w:r>
        <w:t xml:space="preserve"> through </w:t>
      </w:r>
      <w:proofErr w:type="spellStart"/>
      <w:r>
        <w:t>AgFAIR</w:t>
      </w:r>
      <w:proofErr w:type="spellEnd"/>
      <w:r>
        <w:t xml:space="preserve">, to </w:t>
      </w:r>
      <w:r w:rsidRPr="00A9369F">
        <w:t>build the industry’s attractiveness as a career path</w:t>
      </w:r>
    </w:p>
    <w:p w14:paraId="22400347" w14:textId="37A65E5E" w:rsidR="00BE049F" w:rsidRPr="00840E78" w:rsidRDefault="00600A49" w:rsidP="00840E78">
      <w:pPr>
        <w:pStyle w:val="BulletPointsBody"/>
        <w:ind w:left="357" w:hanging="357"/>
        <w:contextualSpacing w:val="0"/>
      </w:pPr>
      <w:r w:rsidRPr="00600A49">
        <w:rPr>
          <w:rStyle w:val="Strong"/>
          <w:b w:val="0"/>
        </w:rPr>
        <w:t>ensuring career advice and agriculture data reflects modern agriculture occupations.</w:t>
      </w:r>
    </w:p>
    <w:p w14:paraId="6998CE01" w14:textId="120F80B0" w:rsidR="00AA7E61" w:rsidRDefault="00BE049F" w:rsidP="00840E78">
      <w:pPr>
        <w:pStyle w:val="BulletPointsBody"/>
        <w:widowControl w:val="0"/>
        <w:numPr>
          <w:ilvl w:val="0"/>
          <w:numId w:val="0"/>
        </w:numPr>
        <w:tabs>
          <w:tab w:val="left" w:pos="396"/>
          <w:tab w:val="left" w:pos="397"/>
        </w:tabs>
        <w:autoSpaceDE w:val="0"/>
        <w:autoSpaceDN w:val="0"/>
        <w:spacing w:line="240" w:lineRule="auto"/>
        <w:ind w:right="590"/>
        <w:contextualSpacing w:val="0"/>
      </w:pPr>
      <w:r w:rsidRPr="00840E78">
        <w:t xml:space="preserve">We are also delivering </w:t>
      </w:r>
      <w:r w:rsidR="00224FE5" w:rsidRPr="00F544FA">
        <w:t xml:space="preserve">Plantation Development Concessional Loans through existing Regional Investment Corporation </w:t>
      </w:r>
      <w:r w:rsidR="00AA7E61" w:rsidRPr="00F544FA">
        <w:t xml:space="preserve">loan </w:t>
      </w:r>
      <w:r w:rsidR="00224FE5" w:rsidRPr="00F544FA">
        <w:t>funds to encourage new plantation developments and replanting bushfire-damaged plantations.</w:t>
      </w:r>
    </w:p>
    <w:p w14:paraId="14A2D439" w14:textId="47A331C3" w:rsidR="00224FE5" w:rsidRDefault="00224FE5" w:rsidP="00840E78">
      <w:pPr>
        <w:pStyle w:val="BulletPointsBody"/>
        <w:widowControl w:val="0"/>
        <w:numPr>
          <w:ilvl w:val="0"/>
          <w:numId w:val="0"/>
        </w:numPr>
        <w:tabs>
          <w:tab w:val="left" w:pos="396"/>
          <w:tab w:val="left" w:pos="397"/>
        </w:tabs>
        <w:autoSpaceDE w:val="0"/>
        <w:autoSpaceDN w:val="0"/>
        <w:spacing w:line="240" w:lineRule="auto"/>
        <w:ind w:right="590"/>
        <w:contextualSpacing w:val="0"/>
      </w:pPr>
      <w:r>
        <w:t>Across government, we are delivering measures to support rural communities recover from the challenges of 2020, including increasing funding for the Rural Financial Counselling Service,</w:t>
      </w:r>
      <w:r w:rsidR="00564475">
        <w:t xml:space="preserve"> </w:t>
      </w:r>
      <w:r>
        <w:t>extending the Drought Communiti</w:t>
      </w:r>
      <w:r w:rsidR="00564475">
        <w:t>es Small Business Pilot Program</w:t>
      </w:r>
      <w:r w:rsidR="00F704C3">
        <w:t xml:space="preserve"> and waiving Business Income Reconciliation Debts accrued under the Farm Household Allowance. </w:t>
      </w:r>
    </w:p>
    <w:p w14:paraId="26B70C30" w14:textId="34E72BEF" w:rsidR="00837230" w:rsidRPr="00A55EE8" w:rsidRDefault="00837230" w:rsidP="0089181A">
      <w:pPr>
        <w:spacing w:before="160" w:after="80"/>
      </w:pPr>
      <w:r w:rsidRPr="00A55EE8">
        <w:rPr>
          <w:rStyle w:val="Heading3BodyChar"/>
        </w:rPr>
        <w:t>Why is this important</w:t>
      </w:r>
      <w:r w:rsidR="00EB650E" w:rsidRPr="00A55EE8">
        <w:rPr>
          <w:rStyle w:val="Heading3BodyChar"/>
        </w:rPr>
        <w:tab/>
      </w:r>
    </w:p>
    <w:p w14:paraId="4E7BDD77" w14:textId="77777777" w:rsidR="00AF4FCE" w:rsidRDefault="00AF4FCE" w:rsidP="00AF4FCE">
      <w:pPr>
        <w:pStyle w:val="BulletPointsBody"/>
        <w:widowControl w:val="0"/>
        <w:numPr>
          <w:ilvl w:val="0"/>
          <w:numId w:val="0"/>
        </w:numPr>
        <w:tabs>
          <w:tab w:val="left" w:pos="396"/>
          <w:tab w:val="left" w:pos="397"/>
        </w:tabs>
        <w:autoSpaceDE w:val="0"/>
        <w:autoSpaceDN w:val="0"/>
        <w:spacing w:line="240" w:lineRule="auto"/>
        <w:ind w:right="590"/>
        <w:contextualSpacing w:val="0"/>
      </w:pPr>
      <w:r w:rsidRPr="001275D3">
        <w:t xml:space="preserve">We have </w:t>
      </w:r>
      <w:r>
        <w:t xml:space="preserve">already taken significant action to </w:t>
      </w:r>
      <w:r w:rsidRPr="001275D3">
        <w:t xml:space="preserve">help </w:t>
      </w:r>
      <w:r>
        <w:t xml:space="preserve">industry reach their ambitious target at the </w:t>
      </w:r>
      <w:r w:rsidRPr="001275D3">
        <w:t xml:space="preserve">community, </w:t>
      </w:r>
      <w:r>
        <w:t xml:space="preserve">industry and national </w:t>
      </w:r>
      <w:r w:rsidRPr="001275D3">
        <w:t xml:space="preserve">level. We have reformed </w:t>
      </w:r>
      <w:r>
        <w:t xml:space="preserve">policy settings and frameworks, directed substantial funding to </w:t>
      </w:r>
      <w:r w:rsidRPr="001275D3">
        <w:t xml:space="preserve">new </w:t>
      </w:r>
      <w:r>
        <w:t xml:space="preserve">initiatives to better </w:t>
      </w:r>
      <w:r w:rsidRPr="001275D3">
        <w:t xml:space="preserve">support </w:t>
      </w:r>
      <w:r>
        <w:t>industry, and listened to what industry has told us it needs.</w:t>
      </w:r>
    </w:p>
    <w:p w14:paraId="00EBFE11" w14:textId="60F08B3C" w:rsidR="00AF4FCE" w:rsidRDefault="00AF4FCE" w:rsidP="00AF4FCE">
      <w:pPr>
        <w:pStyle w:val="BulletPointsBody"/>
        <w:widowControl w:val="0"/>
        <w:numPr>
          <w:ilvl w:val="0"/>
          <w:numId w:val="0"/>
        </w:numPr>
        <w:tabs>
          <w:tab w:val="left" w:pos="396"/>
          <w:tab w:val="left" w:pos="397"/>
        </w:tabs>
        <w:autoSpaceDE w:val="0"/>
        <w:autoSpaceDN w:val="0"/>
        <w:spacing w:line="240" w:lineRule="auto"/>
        <w:ind w:right="590"/>
        <w:contextualSpacing w:val="0"/>
      </w:pPr>
      <w:r>
        <w:t>The agricultur</w:t>
      </w:r>
      <w:r w:rsidR="00F90EF3">
        <w:t>e</w:t>
      </w:r>
      <w:r>
        <w:t xml:space="preserve"> industry is a strong </w:t>
      </w:r>
      <w:r w:rsidRPr="001275D3">
        <w:t xml:space="preserve">contributor </w:t>
      </w:r>
      <w:r>
        <w:t xml:space="preserve">to the Australian </w:t>
      </w:r>
      <w:r w:rsidRPr="001275D3">
        <w:t xml:space="preserve">economy. </w:t>
      </w:r>
      <w:r>
        <w:t>Our combined farming, fishing and forestry sectors are expected to be</w:t>
      </w:r>
      <w:r w:rsidRPr="001275D3">
        <w:t xml:space="preserve"> </w:t>
      </w:r>
      <w:r>
        <w:t>valued</w:t>
      </w:r>
      <w:r w:rsidRPr="001275D3">
        <w:t xml:space="preserve"> </w:t>
      </w:r>
      <w:r>
        <w:t>at</w:t>
      </w:r>
      <w:r w:rsidRPr="001275D3">
        <w:t xml:space="preserve"> $71.2 billion </w:t>
      </w:r>
      <w:r>
        <w:t>in</w:t>
      </w:r>
      <w:r w:rsidRPr="001275D3">
        <w:t xml:space="preserve"> 2020–21, made up of $65.9 billion </w:t>
      </w:r>
      <w:r>
        <w:t xml:space="preserve">in farm gate value and $5.3 </w:t>
      </w:r>
      <w:r w:rsidRPr="001275D3">
        <w:t xml:space="preserve">billion </w:t>
      </w:r>
      <w:r>
        <w:t xml:space="preserve">from the fishery and forestry sectors. </w:t>
      </w:r>
      <w:r w:rsidRPr="001275D3">
        <w:t xml:space="preserve">It </w:t>
      </w:r>
      <w:r>
        <w:t xml:space="preserve">is </w:t>
      </w:r>
      <w:r w:rsidRPr="001275D3">
        <w:t xml:space="preserve">one of </w:t>
      </w:r>
      <w:r>
        <w:t xml:space="preserve">the only industries to grow in value </w:t>
      </w:r>
      <w:r w:rsidRPr="001275D3">
        <w:t xml:space="preserve">despite </w:t>
      </w:r>
      <w:r>
        <w:t xml:space="preserve">the </w:t>
      </w:r>
      <w:r w:rsidRPr="001275D3">
        <w:t xml:space="preserve">challenges of the past 18 months, including </w:t>
      </w:r>
      <w:r>
        <w:t xml:space="preserve">bushfires, drought, floods, </w:t>
      </w:r>
      <w:r w:rsidRPr="001275D3">
        <w:t xml:space="preserve">COVID-19 </w:t>
      </w:r>
      <w:r>
        <w:t>and global trade disruptions.</w:t>
      </w:r>
    </w:p>
    <w:p w14:paraId="4A69BDF8" w14:textId="7F6FE6FF" w:rsidR="00E95935" w:rsidRDefault="00AF4FCE" w:rsidP="00AF4FCE">
      <w:r>
        <w:t xml:space="preserve">The industry </w:t>
      </w:r>
      <w:r w:rsidRPr="001275D3">
        <w:t xml:space="preserve">provides </w:t>
      </w:r>
      <w:r>
        <w:t xml:space="preserve">significant </w:t>
      </w:r>
      <w:r w:rsidRPr="001275D3">
        <w:t xml:space="preserve">employment </w:t>
      </w:r>
      <w:r>
        <w:t xml:space="preserve">opportunities across regional and rural Australia, both directly and indirectly. </w:t>
      </w:r>
      <w:r w:rsidRPr="001275D3">
        <w:t>Over 33</w:t>
      </w:r>
      <w:r w:rsidR="00CB49A6">
        <w:t>4</w:t>
      </w:r>
      <w:r w:rsidRPr="001275D3">
        <w:t xml:space="preserve">,000 people </w:t>
      </w:r>
      <w:r>
        <w:t xml:space="preserve">are </w:t>
      </w:r>
      <w:r w:rsidRPr="001275D3">
        <w:t xml:space="preserve">employed </w:t>
      </w:r>
      <w:r>
        <w:t xml:space="preserve">across Australian agriculture and a further </w:t>
      </w:r>
      <w:r w:rsidRPr="001275D3">
        <w:t xml:space="preserve">243,000 employed </w:t>
      </w:r>
      <w:r>
        <w:t xml:space="preserve">in the </w:t>
      </w:r>
      <w:r w:rsidRPr="001275D3">
        <w:t xml:space="preserve">food </w:t>
      </w:r>
      <w:r>
        <w:t xml:space="preserve">and </w:t>
      </w:r>
      <w:r w:rsidRPr="001275D3">
        <w:t xml:space="preserve">beverage </w:t>
      </w:r>
      <w:r>
        <w:t xml:space="preserve">manufacturing </w:t>
      </w:r>
      <w:r w:rsidRPr="001275D3">
        <w:t xml:space="preserve">sector. </w:t>
      </w:r>
      <w:r>
        <w:t xml:space="preserve">The </w:t>
      </w:r>
      <w:r w:rsidRPr="001275D3">
        <w:t xml:space="preserve">whole </w:t>
      </w:r>
      <w:r>
        <w:t>Australian agriculture</w:t>
      </w:r>
      <w:r w:rsidRPr="001275D3">
        <w:t xml:space="preserve"> supply </w:t>
      </w:r>
      <w:r>
        <w:t>chain</w:t>
      </w:r>
      <w:r w:rsidRPr="001275D3">
        <w:t xml:space="preserve"> employs 1.6 </w:t>
      </w:r>
      <w:r>
        <w:t>million</w:t>
      </w:r>
      <w:r w:rsidRPr="001275D3">
        <w:t xml:space="preserve"> people. All of these people will benefit directly from growth in the agriculture industry, as well as the broader Australian community and economy.</w:t>
      </w:r>
    </w:p>
    <w:p w14:paraId="23561634" w14:textId="7DDBE814" w:rsidR="00837230" w:rsidRPr="00A55EE8" w:rsidRDefault="00837230" w:rsidP="0089181A">
      <w:pPr>
        <w:pStyle w:val="Heading3Body"/>
        <w:spacing w:before="160" w:after="80"/>
      </w:pPr>
      <w:r w:rsidRPr="00A55EE8">
        <w:t>How much will this cost</w:t>
      </w:r>
    </w:p>
    <w:p w14:paraId="421B7D09" w14:textId="7317B96E" w:rsidR="00F86A1E" w:rsidRDefault="00BE2A1A" w:rsidP="00D81912">
      <w:pPr>
        <w:spacing w:after="120"/>
      </w:pPr>
      <w:r w:rsidRPr="00A55EE8">
        <w:t xml:space="preserve">We will implement the full package over 4 years. </w:t>
      </w:r>
      <w:r w:rsidRPr="00A55EE8">
        <w:rPr>
          <w:color w:val="000000"/>
        </w:rPr>
        <w:t xml:space="preserve">The </w:t>
      </w:r>
      <w:r w:rsidR="00815342">
        <w:rPr>
          <w:color w:val="000000"/>
        </w:rPr>
        <w:t>Australian G</w:t>
      </w:r>
      <w:r>
        <w:rPr>
          <w:color w:val="000000"/>
        </w:rPr>
        <w:t xml:space="preserve">overnment will work with all stakeholders </w:t>
      </w:r>
      <w:r w:rsidRPr="00A55EE8">
        <w:rPr>
          <w:color w:val="000000"/>
        </w:rPr>
        <w:t>to implement the reforms</w:t>
      </w:r>
    </w:p>
    <w:tbl>
      <w:tblPr>
        <w:tblStyle w:val="TableGrid"/>
        <w:tblW w:w="9699" w:type="dxa"/>
        <w:tblInd w:w="-142" w:type="dxa"/>
        <w:tblBorders>
          <w:top w:val="none" w:sz="0" w:space="0" w:color="auto"/>
          <w:left w:val="none" w:sz="0" w:space="0" w:color="auto"/>
          <w:bottom w:val="single" w:sz="2" w:space="0" w:color="auto"/>
          <w:right w:val="none" w:sz="0" w:space="0" w:color="auto"/>
          <w:insideH w:val="single" w:sz="2" w:space="0" w:color="auto"/>
          <w:insideV w:val="none" w:sz="0" w:space="0" w:color="auto"/>
        </w:tblBorders>
        <w:tblCellMar>
          <w:left w:w="74" w:type="dxa"/>
          <w:right w:w="74" w:type="dxa"/>
        </w:tblCellMar>
        <w:tblLook w:val="04A0" w:firstRow="1" w:lastRow="0" w:firstColumn="1" w:lastColumn="0" w:noHBand="0" w:noVBand="1"/>
      </w:tblPr>
      <w:tblGrid>
        <w:gridCol w:w="8647"/>
        <w:gridCol w:w="1052"/>
      </w:tblGrid>
      <w:tr w:rsidR="00BA6575" w:rsidRPr="007C440D" w14:paraId="4A6E217B" w14:textId="77777777" w:rsidTr="00685233">
        <w:tc>
          <w:tcPr>
            <w:tcW w:w="8647" w:type="dxa"/>
            <w:tcBorders>
              <w:top w:val="nil"/>
              <w:left w:val="nil"/>
              <w:bottom w:val="single" w:sz="2" w:space="0" w:color="auto"/>
              <w:right w:val="nil"/>
            </w:tcBorders>
            <w:shd w:val="clear" w:color="auto" w:fill="0070C0"/>
            <w:vAlign w:val="center"/>
          </w:tcPr>
          <w:p w14:paraId="7DCCD9E9" w14:textId="427E40CD" w:rsidR="00BA6575" w:rsidRPr="00685233" w:rsidRDefault="00BA6575" w:rsidP="00685233">
            <w:pPr>
              <w:rPr>
                <w:rFonts w:asciiTheme="majorHAnsi" w:hAnsiTheme="majorHAnsi" w:cstheme="majorHAnsi"/>
                <w:b/>
                <w:bCs/>
                <w:color w:val="FFFFFF" w:themeColor="background1"/>
                <w:sz w:val="28"/>
                <w:szCs w:val="28"/>
              </w:rPr>
            </w:pPr>
            <w:r w:rsidRPr="00685233">
              <w:rPr>
                <w:rFonts w:asciiTheme="majorHAnsi" w:hAnsiTheme="majorHAnsi" w:cstheme="majorHAnsi"/>
                <w:b/>
                <w:bCs/>
                <w:color w:val="FFFFFF" w:themeColor="background1"/>
                <w:sz w:val="28"/>
                <w:szCs w:val="28"/>
              </w:rPr>
              <w:t xml:space="preserve">Agriculture 2030 </w:t>
            </w:r>
            <w:r w:rsidR="00793263" w:rsidRPr="00685233">
              <w:rPr>
                <w:rFonts w:asciiTheme="majorHAnsi" w:hAnsiTheme="majorHAnsi" w:cstheme="majorHAnsi"/>
                <w:b/>
                <w:bCs/>
                <w:color w:val="FFFFFF" w:themeColor="background1"/>
                <w:sz w:val="28"/>
                <w:szCs w:val="28"/>
              </w:rPr>
              <w:t>Budget 2021</w:t>
            </w:r>
            <w:r w:rsidR="003D6DF5" w:rsidRPr="00685233">
              <w:rPr>
                <w:rFonts w:asciiTheme="majorHAnsi" w:hAnsiTheme="majorHAnsi" w:cstheme="majorHAnsi"/>
                <w:b/>
                <w:bCs/>
                <w:color w:val="FFFFFF" w:themeColor="background1"/>
                <w:sz w:val="28"/>
                <w:szCs w:val="28"/>
              </w:rPr>
              <w:t>–</w:t>
            </w:r>
            <w:r w:rsidR="00793263" w:rsidRPr="00685233">
              <w:rPr>
                <w:rFonts w:asciiTheme="majorHAnsi" w:hAnsiTheme="majorHAnsi" w:cstheme="majorHAnsi"/>
                <w:b/>
                <w:bCs/>
                <w:color w:val="FFFFFF" w:themeColor="background1"/>
                <w:sz w:val="28"/>
                <w:szCs w:val="28"/>
              </w:rPr>
              <w:t>22 p</w:t>
            </w:r>
            <w:r w:rsidRPr="00685233">
              <w:rPr>
                <w:rFonts w:asciiTheme="majorHAnsi" w:hAnsiTheme="majorHAnsi" w:cstheme="majorHAnsi"/>
                <w:b/>
                <w:bCs/>
                <w:color w:val="FFFFFF" w:themeColor="background1"/>
                <w:sz w:val="28"/>
                <w:szCs w:val="28"/>
              </w:rPr>
              <w:t>ackage</w:t>
            </w:r>
          </w:p>
        </w:tc>
        <w:tc>
          <w:tcPr>
            <w:tcW w:w="1052" w:type="dxa"/>
            <w:tcBorders>
              <w:top w:val="nil"/>
              <w:left w:val="nil"/>
              <w:bottom w:val="single" w:sz="2" w:space="0" w:color="auto"/>
              <w:right w:val="nil"/>
            </w:tcBorders>
            <w:shd w:val="clear" w:color="auto" w:fill="0070C0"/>
            <w:vAlign w:val="center"/>
            <w:hideMark/>
          </w:tcPr>
          <w:p w14:paraId="248CD904" w14:textId="77777777" w:rsidR="00BA6575" w:rsidRPr="00685233" w:rsidRDefault="00BA6575" w:rsidP="00685233">
            <w:pPr>
              <w:jc w:val="right"/>
              <w:rPr>
                <w:rFonts w:asciiTheme="majorHAnsi" w:hAnsiTheme="majorHAnsi" w:cstheme="majorHAnsi"/>
                <w:b/>
                <w:bCs/>
                <w:color w:val="FFFFFF" w:themeColor="background1"/>
                <w:sz w:val="19"/>
                <w:szCs w:val="19"/>
              </w:rPr>
            </w:pPr>
            <w:r w:rsidRPr="00685233">
              <w:rPr>
                <w:rFonts w:asciiTheme="majorHAnsi" w:hAnsiTheme="majorHAnsi" w:cstheme="majorHAnsi"/>
                <w:b/>
                <w:bCs/>
                <w:color w:val="FFFFFF" w:themeColor="background1"/>
                <w:sz w:val="19"/>
                <w:szCs w:val="19"/>
              </w:rPr>
              <w:t>TOTAL</w:t>
            </w:r>
            <w:r w:rsidRPr="00685233">
              <w:rPr>
                <w:rFonts w:asciiTheme="majorHAnsi" w:hAnsiTheme="majorHAnsi" w:cstheme="majorHAnsi"/>
                <w:b/>
                <w:bCs/>
                <w:color w:val="FFFFFF" w:themeColor="background1"/>
                <w:sz w:val="19"/>
                <w:szCs w:val="19"/>
              </w:rPr>
              <w:br/>
              <w:t>$million</w:t>
            </w:r>
          </w:p>
        </w:tc>
      </w:tr>
      <w:tr w:rsidR="00BA6575" w:rsidRPr="007C440D" w14:paraId="4E0081F6" w14:textId="77777777" w:rsidTr="00BA6575">
        <w:tc>
          <w:tcPr>
            <w:tcW w:w="8647" w:type="dxa"/>
            <w:tcBorders>
              <w:top w:val="single" w:sz="2" w:space="0" w:color="auto"/>
              <w:left w:val="nil"/>
              <w:bottom w:val="single" w:sz="2" w:space="0" w:color="auto"/>
              <w:right w:val="nil"/>
            </w:tcBorders>
            <w:vAlign w:val="center"/>
          </w:tcPr>
          <w:p w14:paraId="7E0739E8" w14:textId="77777777" w:rsidR="00BA6575" w:rsidRPr="00BA6575" w:rsidRDefault="00BA6575" w:rsidP="00EA7F22">
            <w:pPr>
              <w:rPr>
                <w:rFonts w:asciiTheme="majorHAnsi" w:hAnsiTheme="majorHAnsi" w:cstheme="majorHAnsi"/>
                <w:b/>
                <w:bCs/>
                <w:color w:val="00558B"/>
                <w:sz w:val="19"/>
                <w:szCs w:val="19"/>
              </w:rPr>
            </w:pPr>
            <w:r w:rsidRPr="00BA6575">
              <w:rPr>
                <w:rFonts w:asciiTheme="majorHAnsi" w:hAnsiTheme="majorHAnsi" w:cstheme="majorHAnsi"/>
                <w:b/>
                <w:bCs/>
                <w:color w:val="00558B"/>
                <w:sz w:val="19"/>
                <w:szCs w:val="19"/>
              </w:rPr>
              <w:t>Supporting Trade</w:t>
            </w:r>
          </w:p>
        </w:tc>
        <w:tc>
          <w:tcPr>
            <w:tcW w:w="1052" w:type="dxa"/>
            <w:tcBorders>
              <w:top w:val="single" w:sz="2" w:space="0" w:color="auto"/>
              <w:left w:val="nil"/>
              <w:bottom w:val="single" w:sz="2" w:space="0" w:color="auto"/>
              <w:right w:val="nil"/>
            </w:tcBorders>
            <w:vAlign w:val="center"/>
          </w:tcPr>
          <w:p w14:paraId="43E1F1A8" w14:textId="77777777" w:rsidR="00BA6575" w:rsidRPr="00BA6575" w:rsidRDefault="00BA6575" w:rsidP="00EA7F22">
            <w:pPr>
              <w:jc w:val="right"/>
              <w:rPr>
                <w:rFonts w:asciiTheme="majorHAnsi" w:hAnsiTheme="majorHAnsi" w:cstheme="majorHAnsi"/>
                <w:sz w:val="19"/>
                <w:szCs w:val="19"/>
              </w:rPr>
            </w:pPr>
          </w:p>
        </w:tc>
      </w:tr>
      <w:tr w:rsidR="00BA6575" w:rsidRPr="007C440D" w14:paraId="007BAF15" w14:textId="77777777" w:rsidTr="00BA6575">
        <w:tc>
          <w:tcPr>
            <w:tcW w:w="8647" w:type="dxa"/>
            <w:tcBorders>
              <w:top w:val="single" w:sz="2" w:space="0" w:color="auto"/>
              <w:left w:val="nil"/>
              <w:bottom w:val="single" w:sz="2" w:space="0" w:color="auto"/>
              <w:right w:val="nil"/>
            </w:tcBorders>
            <w:vAlign w:val="center"/>
          </w:tcPr>
          <w:p w14:paraId="0486A299" w14:textId="5841173D" w:rsidR="00BA6575" w:rsidRPr="00BA6575" w:rsidRDefault="00BA6575" w:rsidP="00BA6575">
            <w:pPr>
              <w:rPr>
                <w:rFonts w:asciiTheme="majorHAnsi" w:hAnsiTheme="majorHAnsi" w:cstheme="majorHAnsi"/>
                <w:sz w:val="19"/>
                <w:szCs w:val="19"/>
              </w:rPr>
            </w:pPr>
            <w:r w:rsidRPr="00BA6575">
              <w:rPr>
                <w:rFonts w:asciiTheme="majorHAnsi" w:hAnsiTheme="majorHAnsi" w:cstheme="majorHAnsi"/>
                <w:bCs/>
                <w:sz w:val="19"/>
                <w:szCs w:val="19"/>
              </w:rPr>
              <w:t>Supporting Trade – representation and promotion of Australia's interests in international fora and standard setting bodies</w:t>
            </w:r>
          </w:p>
        </w:tc>
        <w:tc>
          <w:tcPr>
            <w:tcW w:w="1052" w:type="dxa"/>
            <w:tcBorders>
              <w:top w:val="single" w:sz="2" w:space="0" w:color="auto"/>
              <w:left w:val="nil"/>
              <w:bottom w:val="single" w:sz="2" w:space="0" w:color="auto"/>
              <w:right w:val="nil"/>
            </w:tcBorders>
            <w:vAlign w:val="center"/>
          </w:tcPr>
          <w:p w14:paraId="6082441B" w14:textId="00EB5961" w:rsidR="00BA6575" w:rsidRPr="00BA6575" w:rsidRDefault="00BA6575" w:rsidP="00BA6575">
            <w:pPr>
              <w:jc w:val="right"/>
              <w:rPr>
                <w:rFonts w:asciiTheme="majorHAnsi" w:hAnsiTheme="majorHAnsi" w:cstheme="majorHAnsi"/>
                <w:sz w:val="19"/>
                <w:szCs w:val="19"/>
              </w:rPr>
            </w:pPr>
            <w:r w:rsidRPr="00BA6575">
              <w:rPr>
                <w:rFonts w:asciiTheme="majorHAnsi" w:hAnsiTheme="majorHAnsi" w:cstheme="majorHAnsi"/>
                <w:bCs/>
                <w:sz w:val="19"/>
                <w:szCs w:val="19"/>
              </w:rPr>
              <w:t>15.0</w:t>
            </w:r>
          </w:p>
        </w:tc>
      </w:tr>
      <w:tr w:rsidR="00BA6575" w:rsidRPr="007C440D" w14:paraId="4670E53C" w14:textId="77777777" w:rsidTr="00BA6575">
        <w:tc>
          <w:tcPr>
            <w:tcW w:w="8647" w:type="dxa"/>
            <w:tcBorders>
              <w:top w:val="single" w:sz="2" w:space="0" w:color="auto"/>
              <w:left w:val="nil"/>
              <w:bottom w:val="single" w:sz="2" w:space="0" w:color="auto"/>
              <w:right w:val="nil"/>
            </w:tcBorders>
            <w:vAlign w:val="center"/>
          </w:tcPr>
          <w:p w14:paraId="23F861FE" w14:textId="1494B25B" w:rsidR="00BA6575" w:rsidRPr="00BA6575" w:rsidRDefault="00BA6575" w:rsidP="00BA6575">
            <w:pPr>
              <w:rPr>
                <w:rFonts w:asciiTheme="majorHAnsi" w:hAnsiTheme="majorHAnsi" w:cstheme="majorHAnsi"/>
                <w:sz w:val="19"/>
                <w:szCs w:val="19"/>
              </w:rPr>
            </w:pPr>
            <w:r w:rsidRPr="00BA6575">
              <w:rPr>
                <w:rFonts w:asciiTheme="majorHAnsi" w:hAnsiTheme="majorHAnsi" w:cstheme="majorHAnsi"/>
                <w:sz w:val="19"/>
                <w:szCs w:val="19"/>
              </w:rPr>
              <w:t>Supporting Trade – extend the Improved Access to Agricultural and Veterinary Chemicals program</w:t>
            </w:r>
          </w:p>
        </w:tc>
        <w:tc>
          <w:tcPr>
            <w:tcW w:w="1052" w:type="dxa"/>
            <w:tcBorders>
              <w:top w:val="single" w:sz="2" w:space="0" w:color="auto"/>
              <w:left w:val="nil"/>
              <w:bottom w:val="single" w:sz="2" w:space="0" w:color="auto"/>
              <w:right w:val="nil"/>
            </w:tcBorders>
            <w:vAlign w:val="center"/>
          </w:tcPr>
          <w:p w14:paraId="7B6AACB7" w14:textId="7C1279FC" w:rsidR="00BA6575" w:rsidRPr="00BA6575" w:rsidRDefault="00BA6575" w:rsidP="00BA6575">
            <w:pPr>
              <w:jc w:val="right"/>
              <w:rPr>
                <w:rFonts w:asciiTheme="majorHAnsi" w:hAnsiTheme="majorHAnsi" w:cstheme="majorHAnsi"/>
                <w:sz w:val="19"/>
                <w:szCs w:val="19"/>
              </w:rPr>
            </w:pPr>
            <w:r w:rsidRPr="00BA6575">
              <w:rPr>
                <w:rFonts w:asciiTheme="majorHAnsi" w:hAnsiTheme="majorHAnsi" w:cstheme="majorHAnsi"/>
                <w:sz w:val="19"/>
                <w:szCs w:val="19"/>
              </w:rPr>
              <w:t>9.0</w:t>
            </w:r>
          </w:p>
        </w:tc>
      </w:tr>
      <w:tr w:rsidR="00BA6575" w:rsidRPr="007C440D" w14:paraId="55C4F274" w14:textId="77777777" w:rsidTr="00BA6575">
        <w:tc>
          <w:tcPr>
            <w:tcW w:w="8647" w:type="dxa"/>
            <w:tcBorders>
              <w:top w:val="single" w:sz="2" w:space="0" w:color="auto"/>
              <w:left w:val="nil"/>
              <w:bottom w:val="single" w:sz="2" w:space="0" w:color="auto"/>
              <w:right w:val="nil"/>
            </w:tcBorders>
            <w:vAlign w:val="center"/>
          </w:tcPr>
          <w:p w14:paraId="74171944" w14:textId="424B5B50" w:rsidR="00BA6575" w:rsidRPr="00BA6575" w:rsidRDefault="00BA6575" w:rsidP="00BA6575">
            <w:pPr>
              <w:rPr>
                <w:rFonts w:asciiTheme="majorHAnsi" w:hAnsiTheme="majorHAnsi" w:cstheme="majorHAnsi"/>
                <w:sz w:val="19"/>
                <w:szCs w:val="19"/>
              </w:rPr>
            </w:pPr>
            <w:r w:rsidRPr="00BA6575">
              <w:rPr>
                <w:rFonts w:asciiTheme="majorHAnsi" w:hAnsiTheme="majorHAnsi" w:cstheme="majorHAnsi"/>
                <w:sz w:val="19"/>
                <w:szCs w:val="19"/>
              </w:rPr>
              <w:t xml:space="preserve">*Agri-Business Expansion Initiative (ABEI) </w:t>
            </w:r>
          </w:p>
        </w:tc>
        <w:tc>
          <w:tcPr>
            <w:tcW w:w="1052" w:type="dxa"/>
            <w:tcBorders>
              <w:top w:val="single" w:sz="2" w:space="0" w:color="auto"/>
              <w:left w:val="nil"/>
              <w:bottom w:val="single" w:sz="2" w:space="0" w:color="auto"/>
              <w:right w:val="nil"/>
            </w:tcBorders>
            <w:vAlign w:val="center"/>
          </w:tcPr>
          <w:p w14:paraId="4B7EAD23" w14:textId="0F368F16" w:rsidR="00BA6575" w:rsidRPr="00BA6575" w:rsidRDefault="00BA6575" w:rsidP="00BA6575">
            <w:pPr>
              <w:jc w:val="right"/>
              <w:rPr>
                <w:rFonts w:asciiTheme="majorHAnsi" w:hAnsiTheme="majorHAnsi" w:cstheme="majorHAnsi"/>
                <w:sz w:val="19"/>
                <w:szCs w:val="19"/>
              </w:rPr>
            </w:pPr>
            <w:r w:rsidRPr="00BA6575">
              <w:rPr>
                <w:rFonts w:asciiTheme="majorHAnsi" w:hAnsiTheme="majorHAnsi" w:cstheme="majorHAnsi"/>
                <w:sz w:val="19"/>
                <w:szCs w:val="19"/>
              </w:rPr>
              <w:t>72.7</w:t>
            </w:r>
          </w:p>
        </w:tc>
      </w:tr>
      <w:tr w:rsidR="00BA6575" w:rsidRPr="007C440D" w14:paraId="3A02A272" w14:textId="77777777" w:rsidTr="00BA6575">
        <w:trPr>
          <w:trHeight w:val="55"/>
        </w:trPr>
        <w:tc>
          <w:tcPr>
            <w:tcW w:w="8647" w:type="dxa"/>
            <w:tcBorders>
              <w:top w:val="single" w:sz="2" w:space="0" w:color="auto"/>
              <w:left w:val="nil"/>
              <w:bottom w:val="single" w:sz="2" w:space="0" w:color="auto"/>
              <w:right w:val="nil"/>
            </w:tcBorders>
            <w:shd w:val="clear" w:color="auto" w:fill="D9D9D9" w:themeFill="background1" w:themeFillShade="D9"/>
            <w:vAlign w:val="center"/>
          </w:tcPr>
          <w:p w14:paraId="7F9624B4" w14:textId="04B47DEA" w:rsidR="00BA6575" w:rsidRPr="00BA6575" w:rsidRDefault="00BA6575" w:rsidP="00BA6575">
            <w:pPr>
              <w:rPr>
                <w:rFonts w:asciiTheme="majorHAnsi" w:hAnsiTheme="majorHAnsi" w:cstheme="majorHAnsi"/>
                <w:sz w:val="19"/>
                <w:szCs w:val="19"/>
              </w:rPr>
            </w:pPr>
            <w:r w:rsidRPr="00BA6575">
              <w:rPr>
                <w:rFonts w:asciiTheme="majorHAnsi" w:hAnsiTheme="majorHAnsi" w:cstheme="majorHAnsi"/>
                <w:b/>
                <w:bCs/>
                <w:sz w:val="19"/>
                <w:szCs w:val="19"/>
              </w:rPr>
              <w:t>Total: Supporting Trade</w:t>
            </w:r>
          </w:p>
        </w:tc>
        <w:tc>
          <w:tcPr>
            <w:tcW w:w="1052" w:type="dxa"/>
            <w:tcBorders>
              <w:top w:val="single" w:sz="2" w:space="0" w:color="auto"/>
              <w:left w:val="nil"/>
              <w:bottom w:val="single" w:sz="2" w:space="0" w:color="auto"/>
              <w:right w:val="nil"/>
            </w:tcBorders>
            <w:shd w:val="clear" w:color="auto" w:fill="D9D9D9" w:themeFill="background1" w:themeFillShade="D9"/>
            <w:vAlign w:val="center"/>
          </w:tcPr>
          <w:p w14:paraId="7F5D513E" w14:textId="41F65005" w:rsidR="00BA6575" w:rsidRPr="00BA6575" w:rsidRDefault="00BA6575" w:rsidP="00BA6575">
            <w:pPr>
              <w:jc w:val="right"/>
              <w:rPr>
                <w:rFonts w:asciiTheme="majorHAnsi" w:hAnsiTheme="majorHAnsi" w:cstheme="majorHAnsi"/>
                <w:b/>
                <w:sz w:val="19"/>
                <w:szCs w:val="19"/>
              </w:rPr>
            </w:pPr>
            <w:r w:rsidRPr="00BA6575">
              <w:rPr>
                <w:rFonts w:asciiTheme="majorHAnsi" w:hAnsiTheme="majorHAnsi" w:cstheme="majorHAnsi"/>
                <w:b/>
                <w:sz w:val="19"/>
                <w:szCs w:val="19"/>
              </w:rPr>
              <w:t>96.7</w:t>
            </w:r>
          </w:p>
        </w:tc>
      </w:tr>
      <w:tr w:rsidR="00BA6575" w:rsidRPr="007C440D" w14:paraId="4F8C9B1F" w14:textId="77777777" w:rsidTr="00BA6575">
        <w:trPr>
          <w:trHeight w:val="55"/>
        </w:trPr>
        <w:tc>
          <w:tcPr>
            <w:tcW w:w="8647" w:type="dxa"/>
            <w:tcBorders>
              <w:top w:val="single" w:sz="2" w:space="0" w:color="auto"/>
              <w:left w:val="nil"/>
              <w:bottom w:val="single" w:sz="2" w:space="0" w:color="auto"/>
              <w:right w:val="nil"/>
            </w:tcBorders>
            <w:vAlign w:val="center"/>
          </w:tcPr>
          <w:p w14:paraId="121ED10C" w14:textId="77777777" w:rsidR="00BA6575" w:rsidRPr="00BA6575" w:rsidRDefault="00BA6575" w:rsidP="00EA7F22">
            <w:pPr>
              <w:rPr>
                <w:rFonts w:asciiTheme="majorHAnsi" w:hAnsiTheme="majorHAnsi" w:cstheme="majorHAnsi"/>
                <w:b/>
                <w:sz w:val="19"/>
                <w:szCs w:val="19"/>
              </w:rPr>
            </w:pPr>
            <w:r w:rsidRPr="00BA6575">
              <w:rPr>
                <w:rFonts w:asciiTheme="majorHAnsi" w:hAnsiTheme="majorHAnsi" w:cstheme="majorHAnsi"/>
                <w:b/>
                <w:bCs/>
                <w:color w:val="00558B"/>
                <w:sz w:val="19"/>
                <w:szCs w:val="19"/>
              </w:rPr>
              <w:t>Biosecurity</w:t>
            </w:r>
          </w:p>
        </w:tc>
        <w:tc>
          <w:tcPr>
            <w:tcW w:w="1052" w:type="dxa"/>
            <w:tcBorders>
              <w:top w:val="single" w:sz="2" w:space="0" w:color="auto"/>
              <w:left w:val="nil"/>
              <w:bottom w:val="single" w:sz="2" w:space="0" w:color="auto"/>
              <w:right w:val="nil"/>
            </w:tcBorders>
            <w:vAlign w:val="center"/>
          </w:tcPr>
          <w:p w14:paraId="74613073" w14:textId="77777777" w:rsidR="00BA6575" w:rsidRPr="00BA6575" w:rsidRDefault="00BA6575" w:rsidP="00EA7F22">
            <w:pPr>
              <w:jc w:val="right"/>
              <w:rPr>
                <w:rFonts w:asciiTheme="majorHAnsi" w:hAnsiTheme="majorHAnsi" w:cstheme="majorHAnsi"/>
                <w:sz w:val="19"/>
                <w:szCs w:val="19"/>
              </w:rPr>
            </w:pPr>
          </w:p>
        </w:tc>
      </w:tr>
      <w:tr w:rsidR="00141315" w:rsidRPr="007C440D" w14:paraId="7ABB92CE" w14:textId="77777777" w:rsidTr="00BA6575">
        <w:tc>
          <w:tcPr>
            <w:tcW w:w="8647" w:type="dxa"/>
            <w:tcBorders>
              <w:top w:val="single" w:sz="2" w:space="0" w:color="auto"/>
              <w:left w:val="nil"/>
              <w:bottom w:val="single" w:sz="2" w:space="0" w:color="auto"/>
              <w:right w:val="nil"/>
            </w:tcBorders>
            <w:vAlign w:val="center"/>
            <w:hideMark/>
          </w:tcPr>
          <w:p w14:paraId="6027CB1A" w14:textId="00646121" w:rsidR="00141315" w:rsidRPr="00BA6575" w:rsidRDefault="00141315" w:rsidP="00141315">
            <w:pPr>
              <w:rPr>
                <w:rFonts w:asciiTheme="majorHAnsi" w:hAnsiTheme="majorHAnsi" w:cstheme="majorHAnsi"/>
                <w:b/>
                <w:bCs/>
                <w:sz w:val="19"/>
                <w:szCs w:val="19"/>
              </w:rPr>
            </w:pPr>
            <w:r w:rsidRPr="00BA6575">
              <w:rPr>
                <w:rFonts w:asciiTheme="majorHAnsi" w:hAnsiTheme="majorHAnsi" w:cstheme="majorHAnsi"/>
                <w:color w:val="000000"/>
                <w:sz w:val="19"/>
                <w:szCs w:val="19"/>
              </w:rPr>
              <w:t>Biosecurity – continue to protect Australia from the biosecurity risk posed by African swine fever</w:t>
            </w:r>
          </w:p>
        </w:tc>
        <w:tc>
          <w:tcPr>
            <w:tcW w:w="1052" w:type="dxa"/>
            <w:tcBorders>
              <w:top w:val="single" w:sz="2" w:space="0" w:color="auto"/>
              <w:left w:val="nil"/>
              <w:bottom w:val="single" w:sz="2" w:space="0" w:color="auto"/>
              <w:right w:val="nil"/>
            </w:tcBorders>
            <w:vAlign w:val="center"/>
            <w:hideMark/>
          </w:tcPr>
          <w:p w14:paraId="6B88D0B5" w14:textId="59C031E7" w:rsidR="00141315" w:rsidRPr="00BA6575" w:rsidRDefault="00141315" w:rsidP="00141315">
            <w:pPr>
              <w:jc w:val="right"/>
              <w:rPr>
                <w:rFonts w:asciiTheme="majorHAnsi" w:hAnsiTheme="majorHAnsi" w:cstheme="majorHAnsi"/>
                <w:sz w:val="19"/>
                <w:szCs w:val="19"/>
              </w:rPr>
            </w:pPr>
            <w:r w:rsidRPr="00BA6575">
              <w:rPr>
                <w:rFonts w:asciiTheme="majorHAnsi" w:hAnsiTheme="majorHAnsi" w:cstheme="majorHAnsi"/>
                <w:sz w:val="19"/>
                <w:szCs w:val="19"/>
              </w:rPr>
              <w:t>58.6</w:t>
            </w:r>
          </w:p>
        </w:tc>
      </w:tr>
      <w:tr w:rsidR="00141315" w:rsidRPr="007C440D" w14:paraId="3DE037A2" w14:textId="77777777" w:rsidTr="00BA6575">
        <w:tc>
          <w:tcPr>
            <w:tcW w:w="8647" w:type="dxa"/>
            <w:tcBorders>
              <w:top w:val="single" w:sz="2" w:space="0" w:color="auto"/>
              <w:left w:val="nil"/>
              <w:bottom w:val="single" w:sz="2" w:space="0" w:color="auto"/>
              <w:right w:val="nil"/>
            </w:tcBorders>
            <w:vAlign w:val="center"/>
            <w:hideMark/>
          </w:tcPr>
          <w:p w14:paraId="08FBEE23" w14:textId="7195DE9D" w:rsidR="00141315" w:rsidRPr="00BA6575" w:rsidRDefault="00141315" w:rsidP="00141315">
            <w:pPr>
              <w:pStyle w:val="HeadingforPackage"/>
              <w:rPr>
                <w:rFonts w:asciiTheme="majorHAnsi" w:hAnsiTheme="majorHAnsi" w:cstheme="majorHAnsi"/>
                <w:bCs/>
                <w:sz w:val="19"/>
                <w:szCs w:val="19"/>
              </w:rPr>
            </w:pPr>
            <w:r w:rsidRPr="00BA6575">
              <w:rPr>
                <w:rFonts w:asciiTheme="majorHAnsi" w:hAnsiTheme="majorHAnsi" w:cstheme="majorHAnsi"/>
                <w:color w:val="000000"/>
                <w:sz w:val="19"/>
                <w:szCs w:val="19"/>
              </w:rPr>
              <w:t>Biosecurity – for modern technologies and diagnostic tools to improve the speed and accuracy of pest and disease identification at the border</w:t>
            </w:r>
          </w:p>
        </w:tc>
        <w:tc>
          <w:tcPr>
            <w:tcW w:w="1052" w:type="dxa"/>
            <w:tcBorders>
              <w:top w:val="single" w:sz="2" w:space="0" w:color="auto"/>
              <w:left w:val="nil"/>
              <w:bottom w:val="single" w:sz="2" w:space="0" w:color="auto"/>
              <w:right w:val="nil"/>
            </w:tcBorders>
            <w:vAlign w:val="center"/>
            <w:hideMark/>
          </w:tcPr>
          <w:p w14:paraId="5E4CA845" w14:textId="55477953" w:rsidR="00141315" w:rsidRPr="00BA6575" w:rsidRDefault="00141315" w:rsidP="00141315">
            <w:pPr>
              <w:jc w:val="right"/>
              <w:rPr>
                <w:rFonts w:asciiTheme="majorHAnsi" w:hAnsiTheme="majorHAnsi" w:cstheme="majorHAnsi"/>
                <w:sz w:val="19"/>
                <w:szCs w:val="19"/>
              </w:rPr>
            </w:pPr>
            <w:r w:rsidRPr="00BA6575">
              <w:rPr>
                <w:rFonts w:asciiTheme="majorHAnsi" w:hAnsiTheme="majorHAnsi" w:cstheme="majorHAnsi"/>
                <w:sz w:val="19"/>
                <w:szCs w:val="19"/>
              </w:rPr>
              <w:t>25.5</w:t>
            </w:r>
          </w:p>
        </w:tc>
      </w:tr>
      <w:tr w:rsidR="00141315" w:rsidRPr="007C440D" w14:paraId="3ED9F4BF" w14:textId="77777777" w:rsidTr="00BA6575">
        <w:tc>
          <w:tcPr>
            <w:tcW w:w="8647" w:type="dxa"/>
            <w:tcBorders>
              <w:top w:val="single" w:sz="2" w:space="0" w:color="auto"/>
              <w:left w:val="nil"/>
              <w:bottom w:val="single" w:sz="2" w:space="0" w:color="auto"/>
              <w:right w:val="nil"/>
            </w:tcBorders>
            <w:vAlign w:val="center"/>
            <w:hideMark/>
          </w:tcPr>
          <w:p w14:paraId="5DC31026" w14:textId="36FE6D2D" w:rsidR="00141315" w:rsidRPr="00BA6575" w:rsidRDefault="00141315" w:rsidP="00141315">
            <w:pPr>
              <w:pStyle w:val="HeadingforPackage"/>
              <w:rPr>
                <w:rFonts w:asciiTheme="majorHAnsi" w:hAnsiTheme="majorHAnsi" w:cstheme="majorHAnsi"/>
                <w:sz w:val="19"/>
                <w:szCs w:val="19"/>
              </w:rPr>
            </w:pPr>
            <w:r w:rsidRPr="00BA6575">
              <w:rPr>
                <w:rFonts w:asciiTheme="majorHAnsi" w:hAnsiTheme="majorHAnsi" w:cstheme="majorHAnsi"/>
                <w:color w:val="000000"/>
                <w:sz w:val="19"/>
                <w:szCs w:val="19"/>
              </w:rPr>
              <w:t>Biosecurity – trial pre border biosecurity screening technology on travellers and air cargo</w:t>
            </w:r>
          </w:p>
        </w:tc>
        <w:tc>
          <w:tcPr>
            <w:tcW w:w="1052" w:type="dxa"/>
            <w:tcBorders>
              <w:top w:val="single" w:sz="2" w:space="0" w:color="auto"/>
              <w:left w:val="nil"/>
              <w:bottom w:val="single" w:sz="2" w:space="0" w:color="auto"/>
              <w:right w:val="nil"/>
            </w:tcBorders>
            <w:vAlign w:val="center"/>
            <w:hideMark/>
          </w:tcPr>
          <w:p w14:paraId="291C5447" w14:textId="2F91C089" w:rsidR="00141315" w:rsidRPr="00BA6575" w:rsidRDefault="00141315" w:rsidP="00141315">
            <w:pPr>
              <w:jc w:val="right"/>
              <w:rPr>
                <w:rFonts w:asciiTheme="majorHAnsi" w:hAnsiTheme="majorHAnsi" w:cstheme="majorHAnsi"/>
                <w:sz w:val="19"/>
                <w:szCs w:val="19"/>
              </w:rPr>
            </w:pPr>
            <w:r w:rsidRPr="00BA6575">
              <w:rPr>
                <w:rFonts w:asciiTheme="majorHAnsi" w:hAnsiTheme="majorHAnsi" w:cstheme="majorHAnsi"/>
                <w:sz w:val="19"/>
                <w:szCs w:val="19"/>
              </w:rPr>
              <w:t>19.5</w:t>
            </w:r>
          </w:p>
        </w:tc>
      </w:tr>
      <w:tr w:rsidR="00141315" w:rsidRPr="007C440D" w14:paraId="1CCB1EEC" w14:textId="77777777" w:rsidTr="00BA6575">
        <w:tc>
          <w:tcPr>
            <w:tcW w:w="8647" w:type="dxa"/>
            <w:tcBorders>
              <w:top w:val="single" w:sz="2" w:space="0" w:color="auto"/>
              <w:left w:val="nil"/>
              <w:bottom w:val="nil"/>
              <w:right w:val="nil"/>
            </w:tcBorders>
            <w:vAlign w:val="center"/>
            <w:hideMark/>
          </w:tcPr>
          <w:p w14:paraId="4A8F0BC4" w14:textId="1CBAE7CA" w:rsidR="00141315" w:rsidRPr="00BA6575" w:rsidRDefault="00141315" w:rsidP="00141315">
            <w:pPr>
              <w:pStyle w:val="HeadingforPackage"/>
              <w:rPr>
                <w:rFonts w:asciiTheme="majorHAnsi" w:hAnsiTheme="majorHAnsi" w:cstheme="majorHAnsi"/>
                <w:sz w:val="19"/>
                <w:szCs w:val="19"/>
              </w:rPr>
            </w:pPr>
            <w:r w:rsidRPr="00BA6575">
              <w:rPr>
                <w:rFonts w:asciiTheme="majorHAnsi" w:hAnsiTheme="majorHAnsi" w:cstheme="majorHAnsi"/>
                <w:color w:val="000000"/>
                <w:sz w:val="19"/>
                <w:szCs w:val="19"/>
              </w:rPr>
              <w:t>Biosecurity – deliver digital capability for biosecurity screening of incoming international mail through new technology</w:t>
            </w:r>
          </w:p>
        </w:tc>
        <w:tc>
          <w:tcPr>
            <w:tcW w:w="1052" w:type="dxa"/>
            <w:tcBorders>
              <w:top w:val="single" w:sz="2" w:space="0" w:color="auto"/>
              <w:left w:val="nil"/>
              <w:bottom w:val="nil"/>
              <w:right w:val="nil"/>
            </w:tcBorders>
            <w:vAlign w:val="center"/>
            <w:hideMark/>
          </w:tcPr>
          <w:p w14:paraId="2FA9B680" w14:textId="40908D53" w:rsidR="00141315" w:rsidRPr="00BA6575" w:rsidRDefault="00141315" w:rsidP="00141315">
            <w:pPr>
              <w:jc w:val="right"/>
              <w:rPr>
                <w:rFonts w:asciiTheme="majorHAnsi" w:hAnsiTheme="majorHAnsi" w:cstheme="majorHAnsi"/>
                <w:sz w:val="19"/>
                <w:szCs w:val="19"/>
              </w:rPr>
            </w:pPr>
            <w:r w:rsidRPr="00BA6575">
              <w:rPr>
                <w:rFonts w:asciiTheme="majorHAnsi" w:hAnsiTheme="majorHAnsi" w:cstheme="majorHAnsi"/>
                <w:sz w:val="19"/>
                <w:szCs w:val="19"/>
              </w:rPr>
              <w:t>31.2</w:t>
            </w:r>
          </w:p>
        </w:tc>
      </w:tr>
      <w:tr w:rsidR="00141315" w:rsidRPr="007C440D" w14:paraId="7E51C473" w14:textId="77777777" w:rsidTr="00BA6575">
        <w:tc>
          <w:tcPr>
            <w:tcW w:w="8647" w:type="dxa"/>
            <w:tcBorders>
              <w:top w:val="single" w:sz="2" w:space="0" w:color="auto"/>
              <w:left w:val="nil"/>
              <w:bottom w:val="nil"/>
              <w:right w:val="nil"/>
            </w:tcBorders>
            <w:vAlign w:val="center"/>
            <w:hideMark/>
          </w:tcPr>
          <w:p w14:paraId="376E1615" w14:textId="50B63D1C" w:rsidR="00141315" w:rsidRPr="00BA6575" w:rsidRDefault="00141315" w:rsidP="00141315">
            <w:pPr>
              <w:pStyle w:val="HeadingforPackage"/>
              <w:rPr>
                <w:rFonts w:asciiTheme="majorHAnsi" w:hAnsiTheme="majorHAnsi" w:cstheme="majorHAnsi"/>
                <w:sz w:val="19"/>
                <w:szCs w:val="19"/>
              </w:rPr>
            </w:pPr>
            <w:r w:rsidRPr="00BA6575">
              <w:rPr>
                <w:rFonts w:asciiTheme="majorHAnsi" w:hAnsiTheme="majorHAnsi" w:cstheme="majorHAnsi"/>
                <w:color w:val="000000"/>
                <w:sz w:val="19"/>
                <w:szCs w:val="19"/>
              </w:rPr>
              <w:t>Biosecurity – upgrade the Maritime Arrivals and Reporting System</w:t>
            </w:r>
          </w:p>
        </w:tc>
        <w:tc>
          <w:tcPr>
            <w:tcW w:w="1052" w:type="dxa"/>
            <w:tcBorders>
              <w:top w:val="single" w:sz="2" w:space="0" w:color="auto"/>
              <w:left w:val="nil"/>
              <w:bottom w:val="nil"/>
              <w:right w:val="nil"/>
            </w:tcBorders>
            <w:vAlign w:val="center"/>
            <w:hideMark/>
          </w:tcPr>
          <w:p w14:paraId="30FD3E74" w14:textId="64E368BC" w:rsidR="00141315" w:rsidRPr="00BA6575" w:rsidRDefault="00141315" w:rsidP="00141315">
            <w:pPr>
              <w:jc w:val="right"/>
              <w:rPr>
                <w:rFonts w:asciiTheme="majorHAnsi" w:hAnsiTheme="majorHAnsi" w:cstheme="majorHAnsi"/>
                <w:sz w:val="19"/>
                <w:szCs w:val="19"/>
              </w:rPr>
            </w:pPr>
            <w:r w:rsidRPr="00BA6575">
              <w:rPr>
                <w:rFonts w:asciiTheme="majorHAnsi" w:hAnsiTheme="majorHAnsi" w:cstheme="majorHAnsi"/>
                <w:sz w:val="19"/>
                <w:szCs w:val="19"/>
              </w:rPr>
              <w:t>28.7</w:t>
            </w:r>
          </w:p>
        </w:tc>
      </w:tr>
      <w:tr w:rsidR="00141315" w:rsidRPr="007C440D" w14:paraId="176D195E" w14:textId="77777777" w:rsidTr="00BA6575">
        <w:tc>
          <w:tcPr>
            <w:tcW w:w="8647" w:type="dxa"/>
            <w:tcBorders>
              <w:top w:val="single" w:sz="2" w:space="0" w:color="auto"/>
              <w:left w:val="nil"/>
              <w:bottom w:val="nil"/>
              <w:right w:val="nil"/>
            </w:tcBorders>
            <w:vAlign w:val="center"/>
            <w:hideMark/>
          </w:tcPr>
          <w:p w14:paraId="1DBEABB3" w14:textId="77777777" w:rsidR="00F90EF3" w:rsidRDefault="00F90EF3" w:rsidP="00141315">
            <w:pPr>
              <w:pStyle w:val="HeadingforPackage"/>
              <w:rPr>
                <w:rFonts w:asciiTheme="majorHAnsi" w:hAnsiTheme="majorHAnsi" w:cstheme="majorHAnsi"/>
                <w:color w:val="000000"/>
                <w:sz w:val="19"/>
                <w:szCs w:val="19"/>
              </w:rPr>
            </w:pPr>
          </w:p>
          <w:p w14:paraId="21EA6797" w14:textId="071A79C8" w:rsidR="00141315" w:rsidRPr="00BA6575" w:rsidRDefault="00141315" w:rsidP="00141315">
            <w:pPr>
              <w:pStyle w:val="HeadingforPackage"/>
              <w:rPr>
                <w:rFonts w:asciiTheme="majorHAnsi" w:hAnsiTheme="majorHAnsi" w:cstheme="majorHAnsi"/>
                <w:sz w:val="19"/>
                <w:szCs w:val="19"/>
              </w:rPr>
            </w:pPr>
            <w:r w:rsidRPr="00BA6575">
              <w:rPr>
                <w:rFonts w:asciiTheme="majorHAnsi" w:hAnsiTheme="majorHAnsi" w:cstheme="majorHAnsi"/>
                <w:color w:val="000000"/>
                <w:sz w:val="19"/>
                <w:szCs w:val="19"/>
              </w:rPr>
              <w:lastRenderedPageBreak/>
              <w:t>Biosecurity – business case to improve systems that support the management of container cargo risk</w:t>
            </w:r>
          </w:p>
        </w:tc>
        <w:tc>
          <w:tcPr>
            <w:tcW w:w="1052" w:type="dxa"/>
            <w:tcBorders>
              <w:top w:val="single" w:sz="2" w:space="0" w:color="auto"/>
              <w:left w:val="nil"/>
              <w:bottom w:val="nil"/>
              <w:right w:val="nil"/>
            </w:tcBorders>
            <w:vAlign w:val="center"/>
            <w:hideMark/>
          </w:tcPr>
          <w:p w14:paraId="0C9D7D28" w14:textId="77777777" w:rsidR="00F90EF3" w:rsidRDefault="00F90EF3" w:rsidP="00141315">
            <w:pPr>
              <w:jc w:val="right"/>
              <w:rPr>
                <w:rFonts w:asciiTheme="majorHAnsi" w:hAnsiTheme="majorHAnsi" w:cstheme="majorHAnsi"/>
                <w:sz w:val="19"/>
                <w:szCs w:val="19"/>
              </w:rPr>
            </w:pPr>
          </w:p>
          <w:p w14:paraId="1F1F863A" w14:textId="36CDB4CA" w:rsidR="00141315" w:rsidRPr="00BA6575" w:rsidRDefault="00141315" w:rsidP="00141315">
            <w:pPr>
              <w:jc w:val="right"/>
              <w:rPr>
                <w:rFonts w:asciiTheme="majorHAnsi" w:hAnsiTheme="majorHAnsi" w:cstheme="majorHAnsi"/>
                <w:sz w:val="19"/>
                <w:szCs w:val="19"/>
              </w:rPr>
            </w:pPr>
            <w:r w:rsidRPr="00BA6575">
              <w:rPr>
                <w:rFonts w:asciiTheme="majorHAnsi" w:hAnsiTheme="majorHAnsi" w:cstheme="majorHAnsi"/>
                <w:sz w:val="19"/>
                <w:szCs w:val="19"/>
              </w:rPr>
              <w:lastRenderedPageBreak/>
              <w:t>1.5</w:t>
            </w:r>
          </w:p>
        </w:tc>
      </w:tr>
      <w:tr w:rsidR="00141315" w:rsidRPr="007C440D" w14:paraId="4F2E5EE4" w14:textId="77777777" w:rsidTr="00BA6575">
        <w:tc>
          <w:tcPr>
            <w:tcW w:w="8647" w:type="dxa"/>
            <w:tcBorders>
              <w:top w:val="single" w:sz="2" w:space="0" w:color="auto"/>
              <w:left w:val="nil"/>
              <w:bottom w:val="single" w:sz="2" w:space="0" w:color="auto"/>
              <w:right w:val="nil"/>
            </w:tcBorders>
            <w:vAlign w:val="center"/>
            <w:hideMark/>
          </w:tcPr>
          <w:p w14:paraId="4F72EAC3" w14:textId="550E29C2" w:rsidR="00141315" w:rsidRPr="00BA6575" w:rsidRDefault="00141315" w:rsidP="00141315">
            <w:pPr>
              <w:pStyle w:val="HeadingforPackage"/>
              <w:rPr>
                <w:rFonts w:asciiTheme="majorHAnsi" w:hAnsiTheme="majorHAnsi" w:cstheme="majorHAnsi"/>
                <w:sz w:val="19"/>
                <w:szCs w:val="19"/>
              </w:rPr>
            </w:pPr>
            <w:r w:rsidRPr="00BA6575">
              <w:rPr>
                <w:rFonts w:asciiTheme="majorHAnsi" w:hAnsiTheme="majorHAnsi" w:cstheme="majorHAnsi"/>
                <w:sz w:val="19"/>
                <w:szCs w:val="19"/>
              </w:rPr>
              <w:lastRenderedPageBreak/>
              <w:t xml:space="preserve">Biosecurity </w:t>
            </w:r>
            <w:r w:rsidRPr="00BA6575">
              <w:rPr>
                <w:rFonts w:asciiTheme="majorHAnsi" w:hAnsiTheme="majorHAnsi" w:cstheme="majorHAnsi"/>
                <w:color w:val="000000"/>
                <w:sz w:val="19"/>
                <w:szCs w:val="19"/>
              </w:rPr>
              <w:t xml:space="preserve">– </w:t>
            </w:r>
            <w:r>
              <w:rPr>
                <w:rFonts w:asciiTheme="majorHAnsi" w:hAnsiTheme="majorHAnsi" w:cstheme="majorHAnsi"/>
                <w:sz w:val="19"/>
                <w:szCs w:val="19"/>
              </w:rPr>
              <w:t>b</w:t>
            </w:r>
            <w:r w:rsidRPr="00BA6575">
              <w:rPr>
                <w:rFonts w:asciiTheme="majorHAnsi" w:hAnsiTheme="majorHAnsi" w:cstheme="majorHAnsi"/>
                <w:sz w:val="19"/>
                <w:szCs w:val="19"/>
              </w:rPr>
              <w:t>etter understand how pests and diseases could enter Australia, to improve field tools and diagnostic capabilities</w:t>
            </w:r>
          </w:p>
        </w:tc>
        <w:tc>
          <w:tcPr>
            <w:tcW w:w="1052" w:type="dxa"/>
            <w:tcBorders>
              <w:top w:val="single" w:sz="2" w:space="0" w:color="auto"/>
              <w:left w:val="nil"/>
              <w:bottom w:val="single" w:sz="2" w:space="0" w:color="auto"/>
              <w:right w:val="nil"/>
            </w:tcBorders>
            <w:vAlign w:val="center"/>
            <w:hideMark/>
          </w:tcPr>
          <w:p w14:paraId="07A7E5FA" w14:textId="09CC936A" w:rsidR="00141315" w:rsidRPr="00BA6575" w:rsidRDefault="00141315" w:rsidP="00141315">
            <w:pPr>
              <w:jc w:val="right"/>
              <w:rPr>
                <w:rFonts w:asciiTheme="majorHAnsi" w:hAnsiTheme="majorHAnsi" w:cstheme="majorHAnsi"/>
                <w:sz w:val="19"/>
                <w:szCs w:val="19"/>
              </w:rPr>
            </w:pPr>
            <w:r w:rsidRPr="00BA6575">
              <w:rPr>
                <w:rFonts w:asciiTheme="majorHAnsi" w:hAnsiTheme="majorHAnsi" w:cstheme="majorHAnsi"/>
                <w:sz w:val="19"/>
                <w:szCs w:val="19"/>
              </w:rPr>
              <w:t>34.6</w:t>
            </w:r>
          </w:p>
        </w:tc>
      </w:tr>
      <w:tr w:rsidR="00141315" w:rsidRPr="007C440D" w14:paraId="2B11993B" w14:textId="77777777" w:rsidTr="00BA6575">
        <w:tc>
          <w:tcPr>
            <w:tcW w:w="8647" w:type="dxa"/>
            <w:tcBorders>
              <w:top w:val="single" w:sz="2" w:space="0" w:color="auto"/>
              <w:left w:val="nil"/>
              <w:bottom w:val="single" w:sz="2" w:space="0" w:color="auto"/>
              <w:right w:val="nil"/>
            </w:tcBorders>
            <w:vAlign w:val="center"/>
            <w:hideMark/>
          </w:tcPr>
          <w:p w14:paraId="40FB3E13" w14:textId="1B0CB362" w:rsidR="00141315" w:rsidRPr="00BA6575" w:rsidRDefault="00141315" w:rsidP="00141315">
            <w:pPr>
              <w:pStyle w:val="HeadingforPackage"/>
              <w:rPr>
                <w:rFonts w:asciiTheme="majorHAnsi" w:hAnsiTheme="majorHAnsi" w:cstheme="majorHAnsi"/>
                <w:sz w:val="19"/>
                <w:szCs w:val="19"/>
              </w:rPr>
            </w:pPr>
            <w:r w:rsidRPr="00BA6575">
              <w:rPr>
                <w:rFonts w:asciiTheme="majorHAnsi" w:hAnsiTheme="majorHAnsi" w:cstheme="majorHAnsi"/>
                <w:color w:val="000000"/>
                <w:sz w:val="19"/>
                <w:szCs w:val="19"/>
              </w:rPr>
              <w:t>Biosecurity – to manage the biosecurity risk posed by hitchhiker pests arriving in imported cargo</w:t>
            </w:r>
          </w:p>
        </w:tc>
        <w:tc>
          <w:tcPr>
            <w:tcW w:w="1052" w:type="dxa"/>
            <w:tcBorders>
              <w:top w:val="single" w:sz="2" w:space="0" w:color="auto"/>
              <w:left w:val="nil"/>
              <w:bottom w:val="single" w:sz="2" w:space="0" w:color="auto"/>
              <w:right w:val="nil"/>
            </w:tcBorders>
            <w:vAlign w:val="center"/>
            <w:hideMark/>
          </w:tcPr>
          <w:p w14:paraId="25A0F632" w14:textId="31AB9238" w:rsidR="00141315" w:rsidRPr="00BA6575" w:rsidRDefault="00141315" w:rsidP="00141315">
            <w:pPr>
              <w:jc w:val="right"/>
              <w:rPr>
                <w:rFonts w:asciiTheme="majorHAnsi" w:hAnsiTheme="majorHAnsi" w:cstheme="majorHAnsi"/>
                <w:sz w:val="19"/>
                <w:szCs w:val="19"/>
              </w:rPr>
            </w:pPr>
            <w:r w:rsidRPr="00BA6575">
              <w:rPr>
                <w:rFonts w:asciiTheme="majorHAnsi" w:hAnsiTheme="majorHAnsi" w:cstheme="majorHAnsi"/>
                <w:sz w:val="19"/>
                <w:szCs w:val="19"/>
              </w:rPr>
              <w:t>96.8</w:t>
            </w:r>
          </w:p>
        </w:tc>
      </w:tr>
      <w:tr w:rsidR="00141315" w:rsidRPr="007C440D" w14:paraId="6B8B0804" w14:textId="77777777" w:rsidTr="00BA6575">
        <w:tc>
          <w:tcPr>
            <w:tcW w:w="8647" w:type="dxa"/>
            <w:tcBorders>
              <w:top w:val="single" w:sz="2" w:space="0" w:color="auto"/>
              <w:left w:val="nil"/>
              <w:bottom w:val="single" w:sz="2" w:space="0" w:color="auto"/>
              <w:right w:val="nil"/>
            </w:tcBorders>
            <w:vAlign w:val="center"/>
            <w:hideMark/>
          </w:tcPr>
          <w:p w14:paraId="5D3047B2" w14:textId="3068314B" w:rsidR="00141315" w:rsidRPr="00BA6575" w:rsidRDefault="00141315" w:rsidP="00141315">
            <w:pPr>
              <w:pStyle w:val="HeadingforPackage"/>
              <w:rPr>
                <w:rFonts w:asciiTheme="majorHAnsi" w:hAnsiTheme="majorHAnsi" w:cstheme="majorHAnsi"/>
                <w:sz w:val="19"/>
                <w:szCs w:val="19"/>
              </w:rPr>
            </w:pPr>
            <w:r w:rsidRPr="00BA6575">
              <w:rPr>
                <w:rFonts w:asciiTheme="majorHAnsi" w:hAnsiTheme="majorHAnsi" w:cstheme="majorHAnsi"/>
                <w:color w:val="000000"/>
                <w:sz w:val="19"/>
                <w:szCs w:val="19"/>
              </w:rPr>
              <w:t>Biosecurity – to ensure Australia continues to have a robust biosecurity preparedness and response capability in the event of a pest and disease outbreak</w:t>
            </w:r>
          </w:p>
        </w:tc>
        <w:tc>
          <w:tcPr>
            <w:tcW w:w="1052" w:type="dxa"/>
            <w:tcBorders>
              <w:top w:val="single" w:sz="2" w:space="0" w:color="auto"/>
              <w:left w:val="nil"/>
              <w:bottom w:val="single" w:sz="2" w:space="0" w:color="auto"/>
              <w:right w:val="nil"/>
            </w:tcBorders>
            <w:vAlign w:val="center"/>
            <w:hideMark/>
          </w:tcPr>
          <w:p w14:paraId="7FD36307" w14:textId="7FCEF8D9" w:rsidR="00141315" w:rsidRPr="00BA6575" w:rsidRDefault="00141315" w:rsidP="00141315">
            <w:pPr>
              <w:jc w:val="right"/>
              <w:rPr>
                <w:rFonts w:asciiTheme="majorHAnsi" w:hAnsiTheme="majorHAnsi" w:cstheme="majorHAnsi"/>
                <w:sz w:val="19"/>
                <w:szCs w:val="19"/>
              </w:rPr>
            </w:pPr>
            <w:r w:rsidRPr="00BA6575">
              <w:rPr>
                <w:rFonts w:asciiTheme="majorHAnsi" w:hAnsiTheme="majorHAnsi" w:cstheme="majorHAnsi"/>
                <w:sz w:val="19"/>
                <w:szCs w:val="19"/>
              </w:rPr>
              <w:t>67.4</w:t>
            </w:r>
          </w:p>
        </w:tc>
      </w:tr>
      <w:tr w:rsidR="00141315" w:rsidRPr="007C440D" w14:paraId="0E7BE802" w14:textId="77777777" w:rsidTr="00BA6575">
        <w:tc>
          <w:tcPr>
            <w:tcW w:w="8647" w:type="dxa"/>
            <w:tcBorders>
              <w:top w:val="single" w:sz="2" w:space="0" w:color="auto"/>
              <w:left w:val="nil"/>
              <w:bottom w:val="single" w:sz="2" w:space="0" w:color="auto"/>
              <w:right w:val="nil"/>
            </w:tcBorders>
            <w:vAlign w:val="center"/>
            <w:hideMark/>
          </w:tcPr>
          <w:p w14:paraId="4FBF60B0" w14:textId="6844F2BD" w:rsidR="00141315" w:rsidRPr="00BA6575" w:rsidRDefault="00141315" w:rsidP="00141315">
            <w:pPr>
              <w:pStyle w:val="HeadingforPackage"/>
              <w:rPr>
                <w:rFonts w:asciiTheme="majorHAnsi" w:hAnsiTheme="majorHAnsi" w:cstheme="majorHAnsi"/>
                <w:sz w:val="19"/>
                <w:szCs w:val="19"/>
              </w:rPr>
            </w:pPr>
            <w:r w:rsidRPr="00BA6575">
              <w:rPr>
                <w:rFonts w:asciiTheme="majorHAnsi" w:hAnsiTheme="majorHAnsi" w:cstheme="majorHAnsi"/>
                <w:color w:val="000000"/>
                <w:sz w:val="19"/>
                <w:szCs w:val="19"/>
              </w:rPr>
              <w:t>Biosecurity – to increase community and business biosecurity awareness</w:t>
            </w:r>
          </w:p>
        </w:tc>
        <w:tc>
          <w:tcPr>
            <w:tcW w:w="1052" w:type="dxa"/>
            <w:tcBorders>
              <w:top w:val="single" w:sz="2" w:space="0" w:color="auto"/>
              <w:left w:val="nil"/>
              <w:bottom w:val="single" w:sz="2" w:space="0" w:color="auto"/>
              <w:right w:val="nil"/>
            </w:tcBorders>
            <w:vAlign w:val="center"/>
            <w:hideMark/>
          </w:tcPr>
          <w:p w14:paraId="107909DC" w14:textId="6D11E880" w:rsidR="00141315" w:rsidRPr="00BA6575" w:rsidRDefault="00141315" w:rsidP="00141315">
            <w:pPr>
              <w:jc w:val="right"/>
              <w:rPr>
                <w:rFonts w:asciiTheme="majorHAnsi" w:hAnsiTheme="majorHAnsi" w:cstheme="majorHAnsi"/>
                <w:sz w:val="19"/>
                <w:szCs w:val="19"/>
              </w:rPr>
            </w:pPr>
            <w:r w:rsidRPr="00BA6575">
              <w:rPr>
                <w:rFonts w:asciiTheme="majorHAnsi" w:hAnsiTheme="majorHAnsi" w:cstheme="majorHAnsi"/>
                <w:sz w:val="19"/>
                <w:szCs w:val="19"/>
              </w:rPr>
              <w:t>3.9</w:t>
            </w:r>
          </w:p>
        </w:tc>
      </w:tr>
      <w:tr w:rsidR="00141315" w:rsidRPr="007C440D" w14:paraId="69B52246" w14:textId="77777777" w:rsidTr="00BA6575">
        <w:tc>
          <w:tcPr>
            <w:tcW w:w="8647" w:type="dxa"/>
            <w:tcBorders>
              <w:top w:val="single" w:sz="2" w:space="0" w:color="auto"/>
              <w:left w:val="nil"/>
              <w:bottom w:val="single" w:sz="2" w:space="0" w:color="auto"/>
              <w:right w:val="nil"/>
            </w:tcBorders>
            <w:vAlign w:val="center"/>
            <w:hideMark/>
          </w:tcPr>
          <w:p w14:paraId="42805936" w14:textId="2C9CB040" w:rsidR="00141315" w:rsidRPr="00BA6575" w:rsidRDefault="00141315" w:rsidP="00141315">
            <w:pPr>
              <w:pStyle w:val="HeadingforPackage"/>
              <w:rPr>
                <w:rFonts w:asciiTheme="majorHAnsi" w:hAnsiTheme="majorHAnsi" w:cstheme="majorHAnsi"/>
                <w:sz w:val="19"/>
                <w:szCs w:val="19"/>
              </w:rPr>
            </w:pPr>
            <w:r w:rsidRPr="00BA6575">
              <w:rPr>
                <w:rFonts w:asciiTheme="majorHAnsi" w:hAnsiTheme="majorHAnsi" w:cstheme="majorHAnsi"/>
                <w:color w:val="000000"/>
                <w:sz w:val="19"/>
                <w:szCs w:val="19"/>
              </w:rPr>
              <w:t xml:space="preserve">Biosecurity – for reduction &amp; prevention activities to reduce the economic and environmental burden of established feral animals, pests &amp; weeds </w:t>
            </w:r>
          </w:p>
        </w:tc>
        <w:tc>
          <w:tcPr>
            <w:tcW w:w="1052" w:type="dxa"/>
            <w:tcBorders>
              <w:top w:val="single" w:sz="2" w:space="0" w:color="auto"/>
              <w:left w:val="nil"/>
              <w:bottom w:val="single" w:sz="2" w:space="0" w:color="auto"/>
              <w:right w:val="nil"/>
            </w:tcBorders>
            <w:vAlign w:val="center"/>
            <w:hideMark/>
          </w:tcPr>
          <w:p w14:paraId="1D2D30C8" w14:textId="494A3FAD" w:rsidR="00141315" w:rsidRPr="00BA6575" w:rsidRDefault="00141315" w:rsidP="00141315">
            <w:pPr>
              <w:jc w:val="right"/>
              <w:rPr>
                <w:rFonts w:asciiTheme="majorHAnsi" w:hAnsiTheme="majorHAnsi" w:cstheme="majorHAnsi"/>
                <w:sz w:val="19"/>
                <w:szCs w:val="19"/>
              </w:rPr>
            </w:pPr>
            <w:r w:rsidRPr="00BA6575">
              <w:rPr>
                <w:rFonts w:asciiTheme="majorHAnsi" w:hAnsiTheme="majorHAnsi" w:cstheme="majorHAnsi"/>
                <w:sz w:val="19"/>
                <w:szCs w:val="19"/>
              </w:rPr>
              <w:t>29.1</w:t>
            </w:r>
          </w:p>
        </w:tc>
      </w:tr>
      <w:tr w:rsidR="00141315" w:rsidRPr="007C440D" w14:paraId="777F5DE3" w14:textId="77777777" w:rsidTr="00BA6575">
        <w:tc>
          <w:tcPr>
            <w:tcW w:w="8647" w:type="dxa"/>
            <w:tcBorders>
              <w:top w:val="single" w:sz="2" w:space="0" w:color="auto"/>
              <w:left w:val="nil"/>
              <w:bottom w:val="nil"/>
              <w:right w:val="nil"/>
            </w:tcBorders>
            <w:vAlign w:val="center"/>
            <w:hideMark/>
          </w:tcPr>
          <w:p w14:paraId="64F0CB6B" w14:textId="1901D8FF" w:rsidR="00141315" w:rsidRPr="00BA6575" w:rsidRDefault="00141315" w:rsidP="00141315">
            <w:pPr>
              <w:pStyle w:val="HeadingforPackage"/>
              <w:rPr>
                <w:rFonts w:asciiTheme="majorHAnsi" w:hAnsiTheme="majorHAnsi" w:cstheme="majorHAnsi"/>
                <w:color w:val="FF0000"/>
                <w:sz w:val="19"/>
                <w:szCs w:val="19"/>
              </w:rPr>
            </w:pPr>
            <w:r w:rsidRPr="00BA6575">
              <w:rPr>
                <w:rFonts w:asciiTheme="majorHAnsi" w:hAnsiTheme="majorHAnsi" w:cstheme="majorHAnsi"/>
                <w:color w:val="000000"/>
                <w:sz w:val="19"/>
                <w:szCs w:val="19"/>
              </w:rPr>
              <w:t xml:space="preserve">Commonwealth's Deregulation Agenda – </w:t>
            </w:r>
            <w:r>
              <w:rPr>
                <w:rFonts w:asciiTheme="majorHAnsi" w:hAnsiTheme="majorHAnsi" w:cstheme="majorHAnsi"/>
                <w:color w:val="000000"/>
                <w:sz w:val="19"/>
                <w:szCs w:val="19"/>
              </w:rPr>
              <w:t>p</w:t>
            </w:r>
            <w:r w:rsidRPr="00BA6575">
              <w:rPr>
                <w:rFonts w:asciiTheme="majorHAnsi" w:hAnsiTheme="majorHAnsi" w:cstheme="majorHAnsi"/>
                <w:color w:val="000000"/>
                <w:sz w:val="19"/>
                <w:szCs w:val="19"/>
              </w:rPr>
              <w:t>roof of concept trials for new third party arrangements for imported cargo</w:t>
            </w:r>
          </w:p>
        </w:tc>
        <w:tc>
          <w:tcPr>
            <w:tcW w:w="1052" w:type="dxa"/>
            <w:tcBorders>
              <w:top w:val="single" w:sz="2" w:space="0" w:color="auto"/>
              <w:left w:val="nil"/>
              <w:bottom w:val="nil"/>
              <w:right w:val="nil"/>
            </w:tcBorders>
            <w:vAlign w:val="center"/>
            <w:hideMark/>
          </w:tcPr>
          <w:p w14:paraId="47ADF43B" w14:textId="3472CA79" w:rsidR="00141315" w:rsidRPr="00BA6575" w:rsidRDefault="00141315" w:rsidP="00141315">
            <w:pPr>
              <w:jc w:val="right"/>
              <w:rPr>
                <w:rFonts w:asciiTheme="majorHAnsi" w:hAnsiTheme="majorHAnsi" w:cstheme="majorHAnsi"/>
                <w:sz w:val="19"/>
                <w:szCs w:val="19"/>
              </w:rPr>
            </w:pPr>
            <w:r w:rsidRPr="00BA6575">
              <w:rPr>
                <w:rFonts w:asciiTheme="majorHAnsi" w:hAnsiTheme="majorHAnsi" w:cstheme="majorHAnsi"/>
                <w:sz w:val="19"/>
                <w:szCs w:val="19"/>
              </w:rPr>
              <w:t>3.2</w:t>
            </w:r>
          </w:p>
        </w:tc>
      </w:tr>
      <w:tr w:rsidR="00141315" w:rsidRPr="007C440D" w14:paraId="52C48E94" w14:textId="77777777" w:rsidTr="00BA6575">
        <w:tc>
          <w:tcPr>
            <w:tcW w:w="8647" w:type="dxa"/>
            <w:tcBorders>
              <w:top w:val="single" w:sz="2" w:space="0" w:color="auto"/>
              <w:left w:val="nil"/>
              <w:bottom w:val="nil"/>
              <w:right w:val="nil"/>
            </w:tcBorders>
            <w:vAlign w:val="center"/>
          </w:tcPr>
          <w:p w14:paraId="6C41C13A" w14:textId="2FB80664" w:rsidR="00141315" w:rsidRPr="00BA6575" w:rsidRDefault="00141315" w:rsidP="00141315">
            <w:pPr>
              <w:pStyle w:val="HeadingforPackage"/>
              <w:rPr>
                <w:rFonts w:asciiTheme="majorHAnsi" w:hAnsiTheme="majorHAnsi" w:cstheme="majorHAnsi"/>
                <w:color w:val="000000"/>
                <w:sz w:val="19"/>
                <w:szCs w:val="19"/>
              </w:rPr>
            </w:pPr>
            <w:r w:rsidRPr="00BA6575">
              <w:rPr>
                <w:rFonts w:asciiTheme="majorHAnsi" w:hAnsiTheme="majorHAnsi" w:cstheme="majorHAnsi"/>
                <w:color w:val="000000"/>
                <w:sz w:val="19"/>
                <w:szCs w:val="19"/>
              </w:rPr>
              <w:t>*Strengthen biosecurity measures at the border – Khapra beetle threat</w:t>
            </w:r>
          </w:p>
        </w:tc>
        <w:tc>
          <w:tcPr>
            <w:tcW w:w="1052" w:type="dxa"/>
            <w:tcBorders>
              <w:top w:val="single" w:sz="2" w:space="0" w:color="auto"/>
              <w:left w:val="nil"/>
              <w:bottom w:val="nil"/>
              <w:right w:val="nil"/>
            </w:tcBorders>
            <w:vAlign w:val="center"/>
          </w:tcPr>
          <w:p w14:paraId="3628B56B" w14:textId="5F9A686F" w:rsidR="00141315" w:rsidRPr="00BA6575" w:rsidRDefault="00141315" w:rsidP="00141315">
            <w:pPr>
              <w:jc w:val="right"/>
              <w:rPr>
                <w:rFonts w:asciiTheme="majorHAnsi" w:hAnsiTheme="majorHAnsi" w:cstheme="majorHAnsi"/>
                <w:sz w:val="19"/>
                <w:szCs w:val="19"/>
              </w:rPr>
            </w:pPr>
            <w:r w:rsidRPr="00BA6575">
              <w:rPr>
                <w:rFonts w:asciiTheme="majorHAnsi" w:hAnsiTheme="majorHAnsi" w:cstheme="majorHAnsi"/>
                <w:sz w:val="19"/>
                <w:szCs w:val="19"/>
              </w:rPr>
              <w:t>14.5</w:t>
            </w:r>
          </w:p>
        </w:tc>
      </w:tr>
      <w:tr w:rsidR="00BA6575" w:rsidRPr="007C440D" w14:paraId="24524906" w14:textId="77777777" w:rsidTr="00BA6575">
        <w:tc>
          <w:tcPr>
            <w:tcW w:w="8647" w:type="dxa"/>
            <w:tcBorders>
              <w:top w:val="nil"/>
              <w:left w:val="nil"/>
              <w:bottom w:val="single" w:sz="4" w:space="0" w:color="auto"/>
              <w:right w:val="nil"/>
            </w:tcBorders>
            <w:shd w:val="clear" w:color="auto" w:fill="D9D9D9" w:themeFill="background1" w:themeFillShade="D9"/>
            <w:vAlign w:val="center"/>
            <w:hideMark/>
          </w:tcPr>
          <w:p w14:paraId="599EB342" w14:textId="77777777" w:rsidR="00BA6575" w:rsidRPr="00BA6575" w:rsidRDefault="00BA6575" w:rsidP="00BA6575">
            <w:pPr>
              <w:rPr>
                <w:rFonts w:asciiTheme="majorHAnsi" w:hAnsiTheme="majorHAnsi" w:cstheme="majorHAnsi"/>
                <w:b/>
                <w:bCs/>
                <w:sz w:val="19"/>
                <w:szCs w:val="19"/>
              </w:rPr>
            </w:pPr>
            <w:r w:rsidRPr="00BA6575">
              <w:rPr>
                <w:rFonts w:asciiTheme="majorHAnsi" w:hAnsiTheme="majorHAnsi" w:cstheme="majorHAnsi"/>
                <w:b/>
                <w:bCs/>
                <w:sz w:val="19"/>
                <w:szCs w:val="19"/>
              </w:rPr>
              <w:t>Total: Biosecurity Package</w:t>
            </w:r>
          </w:p>
        </w:tc>
        <w:tc>
          <w:tcPr>
            <w:tcW w:w="1052" w:type="dxa"/>
            <w:tcBorders>
              <w:top w:val="nil"/>
              <w:left w:val="nil"/>
              <w:bottom w:val="single" w:sz="4" w:space="0" w:color="auto"/>
              <w:right w:val="nil"/>
            </w:tcBorders>
            <w:shd w:val="clear" w:color="auto" w:fill="D9D9D9" w:themeFill="background1" w:themeFillShade="D9"/>
            <w:vAlign w:val="center"/>
            <w:hideMark/>
          </w:tcPr>
          <w:p w14:paraId="06BD3977" w14:textId="64DC5881" w:rsidR="00BA6575" w:rsidRPr="00BA6575" w:rsidRDefault="00BA6575" w:rsidP="00BA6575">
            <w:pPr>
              <w:jc w:val="right"/>
              <w:rPr>
                <w:rFonts w:asciiTheme="majorHAnsi" w:hAnsiTheme="majorHAnsi" w:cstheme="majorHAnsi"/>
                <w:b/>
                <w:bCs/>
                <w:sz w:val="19"/>
                <w:szCs w:val="19"/>
              </w:rPr>
            </w:pPr>
            <w:r w:rsidRPr="00BA6575">
              <w:rPr>
                <w:rFonts w:asciiTheme="majorHAnsi" w:hAnsiTheme="majorHAnsi" w:cstheme="majorHAnsi"/>
                <w:b/>
                <w:bCs/>
                <w:sz w:val="19"/>
                <w:szCs w:val="19"/>
              </w:rPr>
              <w:t>414.5</w:t>
            </w:r>
          </w:p>
        </w:tc>
      </w:tr>
      <w:tr w:rsidR="00BA6575" w:rsidRPr="007C440D" w14:paraId="537917A4" w14:textId="77777777" w:rsidTr="00BA65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8647" w:type="dxa"/>
            <w:tcBorders>
              <w:left w:val="nil"/>
              <w:right w:val="nil"/>
            </w:tcBorders>
          </w:tcPr>
          <w:p w14:paraId="03C826E7" w14:textId="77777777" w:rsidR="00BA6575" w:rsidRPr="00BA6575" w:rsidRDefault="00BA6575" w:rsidP="00EA7F22">
            <w:pPr>
              <w:rPr>
                <w:rFonts w:asciiTheme="majorHAnsi" w:hAnsiTheme="majorHAnsi" w:cstheme="majorHAnsi"/>
                <w:b/>
                <w:bCs/>
                <w:color w:val="00558B"/>
                <w:sz w:val="19"/>
                <w:szCs w:val="19"/>
              </w:rPr>
            </w:pPr>
            <w:r w:rsidRPr="00BA6575">
              <w:rPr>
                <w:rFonts w:asciiTheme="majorHAnsi" w:hAnsiTheme="majorHAnsi" w:cstheme="majorHAnsi"/>
                <w:b/>
                <w:bCs/>
                <w:color w:val="00558B"/>
                <w:sz w:val="19"/>
                <w:szCs w:val="19"/>
              </w:rPr>
              <w:t>Soil and Stewardship</w:t>
            </w:r>
          </w:p>
        </w:tc>
        <w:tc>
          <w:tcPr>
            <w:tcW w:w="1052" w:type="dxa"/>
            <w:tcBorders>
              <w:left w:val="nil"/>
              <w:right w:val="nil"/>
            </w:tcBorders>
          </w:tcPr>
          <w:p w14:paraId="6E44763E" w14:textId="77777777" w:rsidR="00BA6575" w:rsidRPr="00BA6575" w:rsidRDefault="00BA6575" w:rsidP="00EA7F22">
            <w:pPr>
              <w:jc w:val="right"/>
              <w:rPr>
                <w:rFonts w:asciiTheme="majorHAnsi" w:hAnsiTheme="majorHAnsi" w:cstheme="majorHAnsi"/>
                <w:sz w:val="19"/>
                <w:szCs w:val="19"/>
              </w:rPr>
            </w:pPr>
          </w:p>
        </w:tc>
      </w:tr>
      <w:tr w:rsidR="00141315" w:rsidRPr="007C440D" w14:paraId="5E90A859" w14:textId="77777777" w:rsidTr="00BA65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8647" w:type="dxa"/>
            <w:tcBorders>
              <w:left w:val="nil"/>
              <w:right w:val="nil"/>
            </w:tcBorders>
            <w:vAlign w:val="center"/>
          </w:tcPr>
          <w:p w14:paraId="678CD6CD" w14:textId="7866E05F" w:rsidR="00141315" w:rsidRPr="00BA6575" w:rsidRDefault="00141315" w:rsidP="00141315">
            <w:pPr>
              <w:rPr>
                <w:rFonts w:asciiTheme="majorHAnsi" w:hAnsiTheme="majorHAnsi" w:cstheme="majorHAnsi"/>
                <w:color w:val="000000"/>
                <w:sz w:val="19"/>
                <w:szCs w:val="19"/>
              </w:rPr>
            </w:pPr>
            <w:r w:rsidRPr="00BA6575">
              <w:rPr>
                <w:rFonts w:asciiTheme="majorHAnsi" w:hAnsiTheme="majorHAnsi" w:cstheme="majorHAnsi"/>
                <w:color w:val="000000"/>
                <w:sz w:val="19"/>
                <w:szCs w:val="19"/>
              </w:rPr>
              <w:t xml:space="preserve">Soil and Stewardship – pilot stewardship program </w:t>
            </w:r>
          </w:p>
        </w:tc>
        <w:tc>
          <w:tcPr>
            <w:tcW w:w="1052" w:type="dxa"/>
            <w:tcBorders>
              <w:left w:val="nil"/>
              <w:right w:val="nil"/>
            </w:tcBorders>
            <w:vAlign w:val="center"/>
          </w:tcPr>
          <w:p w14:paraId="4E4C4219" w14:textId="19FE56F5" w:rsidR="00141315" w:rsidRPr="00BA6575" w:rsidRDefault="00141315" w:rsidP="00141315">
            <w:pPr>
              <w:jc w:val="right"/>
              <w:rPr>
                <w:rFonts w:asciiTheme="majorHAnsi" w:hAnsiTheme="majorHAnsi" w:cstheme="majorHAnsi"/>
                <w:sz w:val="19"/>
                <w:szCs w:val="19"/>
              </w:rPr>
            </w:pPr>
            <w:r w:rsidRPr="00BA6575">
              <w:rPr>
                <w:rFonts w:asciiTheme="majorHAnsi" w:hAnsiTheme="majorHAnsi" w:cstheme="majorHAnsi"/>
                <w:sz w:val="19"/>
                <w:szCs w:val="19"/>
              </w:rPr>
              <w:t>22.3</w:t>
            </w:r>
          </w:p>
        </w:tc>
      </w:tr>
      <w:tr w:rsidR="00141315" w:rsidRPr="007C440D" w14:paraId="39D3E9EC" w14:textId="77777777" w:rsidTr="00BA65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8647" w:type="dxa"/>
            <w:tcBorders>
              <w:left w:val="nil"/>
              <w:right w:val="nil"/>
            </w:tcBorders>
            <w:vAlign w:val="center"/>
          </w:tcPr>
          <w:p w14:paraId="6E97546B" w14:textId="2D933F1A" w:rsidR="00141315" w:rsidRPr="00BA6575" w:rsidRDefault="00141315" w:rsidP="00141315">
            <w:pPr>
              <w:rPr>
                <w:rFonts w:asciiTheme="majorHAnsi" w:hAnsiTheme="majorHAnsi" w:cstheme="majorHAnsi"/>
                <w:color w:val="000000"/>
                <w:sz w:val="19"/>
                <w:szCs w:val="19"/>
              </w:rPr>
            </w:pPr>
            <w:r w:rsidRPr="00BA6575">
              <w:rPr>
                <w:rFonts w:asciiTheme="majorHAnsi" w:hAnsiTheme="majorHAnsi" w:cstheme="majorHAnsi"/>
                <w:color w:val="000000"/>
                <w:sz w:val="19"/>
                <w:szCs w:val="19"/>
              </w:rPr>
              <w:t>Soil and Stewardship – implement an Australian farm biodiversity certification scheme</w:t>
            </w:r>
          </w:p>
        </w:tc>
        <w:tc>
          <w:tcPr>
            <w:tcW w:w="1052" w:type="dxa"/>
            <w:tcBorders>
              <w:left w:val="nil"/>
              <w:right w:val="nil"/>
            </w:tcBorders>
            <w:vAlign w:val="center"/>
          </w:tcPr>
          <w:p w14:paraId="486DDD69" w14:textId="6A0B8EAF" w:rsidR="00141315" w:rsidRPr="00BA6575" w:rsidRDefault="00141315" w:rsidP="00141315">
            <w:pPr>
              <w:jc w:val="right"/>
              <w:rPr>
                <w:rFonts w:asciiTheme="majorHAnsi" w:hAnsiTheme="majorHAnsi" w:cstheme="majorHAnsi"/>
                <w:sz w:val="19"/>
                <w:szCs w:val="19"/>
              </w:rPr>
            </w:pPr>
            <w:r w:rsidRPr="00BA6575">
              <w:rPr>
                <w:rFonts w:asciiTheme="majorHAnsi" w:hAnsiTheme="majorHAnsi" w:cstheme="majorHAnsi"/>
                <w:sz w:val="19"/>
                <w:szCs w:val="19"/>
              </w:rPr>
              <w:t>5.4</w:t>
            </w:r>
          </w:p>
        </w:tc>
      </w:tr>
      <w:tr w:rsidR="00141315" w:rsidRPr="007C440D" w14:paraId="115844BF" w14:textId="77777777" w:rsidTr="00BA65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8647" w:type="dxa"/>
            <w:tcBorders>
              <w:left w:val="nil"/>
              <w:right w:val="nil"/>
            </w:tcBorders>
            <w:vAlign w:val="center"/>
          </w:tcPr>
          <w:p w14:paraId="11C1E857" w14:textId="040BA209" w:rsidR="00141315" w:rsidRPr="00BA6575" w:rsidRDefault="00141315" w:rsidP="00141315">
            <w:pPr>
              <w:rPr>
                <w:rFonts w:asciiTheme="majorHAnsi" w:hAnsiTheme="majorHAnsi" w:cstheme="majorHAnsi"/>
                <w:color w:val="000000"/>
                <w:sz w:val="19"/>
                <w:szCs w:val="19"/>
              </w:rPr>
            </w:pPr>
            <w:r w:rsidRPr="00BA6575">
              <w:rPr>
                <w:rFonts w:asciiTheme="majorHAnsi" w:hAnsiTheme="majorHAnsi" w:cstheme="majorHAnsi"/>
                <w:color w:val="000000"/>
                <w:sz w:val="19"/>
                <w:szCs w:val="19"/>
              </w:rPr>
              <w:t xml:space="preserve">Soil and Stewardship – develop a biodiversity trading platform </w:t>
            </w:r>
          </w:p>
        </w:tc>
        <w:tc>
          <w:tcPr>
            <w:tcW w:w="1052" w:type="dxa"/>
            <w:tcBorders>
              <w:left w:val="nil"/>
              <w:right w:val="nil"/>
            </w:tcBorders>
            <w:vAlign w:val="center"/>
          </w:tcPr>
          <w:p w14:paraId="51750547" w14:textId="25666EF8" w:rsidR="00141315" w:rsidRPr="00BA6575" w:rsidRDefault="00141315" w:rsidP="00141315">
            <w:pPr>
              <w:jc w:val="right"/>
              <w:rPr>
                <w:rFonts w:asciiTheme="majorHAnsi" w:hAnsiTheme="majorHAnsi" w:cstheme="majorHAnsi"/>
                <w:sz w:val="19"/>
                <w:szCs w:val="19"/>
              </w:rPr>
            </w:pPr>
            <w:r w:rsidRPr="00BA6575">
              <w:rPr>
                <w:rFonts w:asciiTheme="majorHAnsi" w:hAnsiTheme="majorHAnsi" w:cstheme="majorHAnsi"/>
                <w:sz w:val="19"/>
                <w:szCs w:val="19"/>
              </w:rPr>
              <w:t>4.4</w:t>
            </w:r>
          </w:p>
        </w:tc>
      </w:tr>
      <w:tr w:rsidR="00141315" w:rsidRPr="007C440D" w14:paraId="09E1A319" w14:textId="77777777" w:rsidTr="00BA65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8647" w:type="dxa"/>
            <w:tcBorders>
              <w:left w:val="nil"/>
              <w:right w:val="nil"/>
            </w:tcBorders>
            <w:vAlign w:val="center"/>
          </w:tcPr>
          <w:p w14:paraId="0251FF99" w14:textId="72D86C63" w:rsidR="00141315" w:rsidRPr="00BA6575" w:rsidRDefault="00141315" w:rsidP="00141315">
            <w:pPr>
              <w:rPr>
                <w:rFonts w:asciiTheme="majorHAnsi" w:hAnsiTheme="majorHAnsi" w:cstheme="majorHAnsi"/>
                <w:color w:val="000000"/>
                <w:sz w:val="19"/>
                <w:szCs w:val="19"/>
              </w:rPr>
            </w:pPr>
            <w:r w:rsidRPr="00BA6575">
              <w:rPr>
                <w:rFonts w:asciiTheme="majorHAnsi" w:hAnsiTheme="majorHAnsi" w:cstheme="majorHAnsi"/>
                <w:color w:val="000000"/>
                <w:sz w:val="19"/>
                <w:szCs w:val="19"/>
              </w:rPr>
              <w:t>Soil and Stewardship – implement and coordinate programs in support of the National Soils Strategy</w:t>
            </w:r>
          </w:p>
        </w:tc>
        <w:tc>
          <w:tcPr>
            <w:tcW w:w="1052" w:type="dxa"/>
            <w:tcBorders>
              <w:left w:val="nil"/>
              <w:right w:val="nil"/>
            </w:tcBorders>
            <w:vAlign w:val="center"/>
          </w:tcPr>
          <w:p w14:paraId="573E3E1C" w14:textId="1D2CB257" w:rsidR="00141315" w:rsidRPr="00BA6575" w:rsidRDefault="00141315" w:rsidP="00141315">
            <w:pPr>
              <w:jc w:val="right"/>
              <w:rPr>
                <w:rFonts w:asciiTheme="majorHAnsi" w:hAnsiTheme="majorHAnsi" w:cstheme="majorHAnsi"/>
                <w:sz w:val="19"/>
                <w:szCs w:val="19"/>
              </w:rPr>
            </w:pPr>
            <w:r w:rsidRPr="00BA6575">
              <w:rPr>
                <w:rFonts w:asciiTheme="majorHAnsi" w:hAnsiTheme="majorHAnsi" w:cstheme="majorHAnsi"/>
                <w:sz w:val="19"/>
                <w:szCs w:val="19"/>
              </w:rPr>
              <w:t>5.9</w:t>
            </w:r>
          </w:p>
        </w:tc>
      </w:tr>
      <w:tr w:rsidR="00FF4FC3" w:rsidRPr="007C440D" w14:paraId="57B49C04" w14:textId="77777777" w:rsidTr="00BA65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8647" w:type="dxa"/>
            <w:tcBorders>
              <w:left w:val="nil"/>
              <w:right w:val="nil"/>
            </w:tcBorders>
            <w:vAlign w:val="center"/>
          </w:tcPr>
          <w:p w14:paraId="5EF5D00C" w14:textId="3ED39649" w:rsidR="00FF4FC3" w:rsidRPr="00BA6575" w:rsidRDefault="00FF4FC3" w:rsidP="00FF4FC3">
            <w:pPr>
              <w:rPr>
                <w:rFonts w:asciiTheme="majorHAnsi" w:hAnsiTheme="majorHAnsi" w:cstheme="majorHAnsi"/>
                <w:color w:val="000000"/>
                <w:sz w:val="19"/>
                <w:szCs w:val="19"/>
              </w:rPr>
            </w:pPr>
            <w:r w:rsidRPr="00BA6575">
              <w:rPr>
                <w:rFonts w:asciiTheme="majorHAnsi" w:hAnsiTheme="majorHAnsi" w:cstheme="majorHAnsi"/>
                <w:color w:val="000000"/>
                <w:sz w:val="19"/>
                <w:szCs w:val="19"/>
              </w:rPr>
              <w:t>*Soil and Stewardship –</w:t>
            </w:r>
            <w:r>
              <w:rPr>
                <w:rFonts w:asciiTheme="majorHAnsi" w:hAnsiTheme="majorHAnsi" w:cstheme="majorHAnsi"/>
                <w:color w:val="000000"/>
                <w:sz w:val="19"/>
                <w:szCs w:val="19"/>
              </w:rPr>
              <w:t xml:space="preserve"> </w:t>
            </w:r>
            <w:r w:rsidRPr="00BA6575">
              <w:rPr>
                <w:rFonts w:asciiTheme="majorHAnsi" w:hAnsiTheme="majorHAnsi" w:cstheme="majorHAnsi"/>
                <w:color w:val="000000"/>
                <w:sz w:val="19"/>
                <w:szCs w:val="19"/>
              </w:rPr>
              <w:t>National Soil Monitoring and Incentives Pilot Program</w:t>
            </w:r>
          </w:p>
        </w:tc>
        <w:tc>
          <w:tcPr>
            <w:tcW w:w="1052" w:type="dxa"/>
            <w:tcBorders>
              <w:left w:val="nil"/>
              <w:right w:val="nil"/>
            </w:tcBorders>
            <w:vAlign w:val="center"/>
          </w:tcPr>
          <w:p w14:paraId="173B4436" w14:textId="56394702" w:rsidR="00FF4FC3" w:rsidRPr="00BA6575" w:rsidRDefault="00FF4FC3" w:rsidP="00FF4FC3">
            <w:pPr>
              <w:jc w:val="right"/>
              <w:rPr>
                <w:rFonts w:asciiTheme="majorHAnsi" w:hAnsiTheme="majorHAnsi" w:cstheme="majorHAnsi"/>
                <w:sz w:val="19"/>
                <w:szCs w:val="19"/>
              </w:rPr>
            </w:pPr>
            <w:r w:rsidRPr="00BA6575">
              <w:rPr>
                <w:rFonts w:asciiTheme="majorHAnsi" w:hAnsiTheme="majorHAnsi" w:cstheme="majorHAnsi"/>
                <w:sz w:val="19"/>
                <w:szCs w:val="19"/>
              </w:rPr>
              <w:t>120.0</w:t>
            </w:r>
          </w:p>
        </w:tc>
      </w:tr>
      <w:tr w:rsidR="00FF4FC3" w:rsidRPr="007C440D" w14:paraId="176C33EA" w14:textId="77777777" w:rsidTr="00BA65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8647" w:type="dxa"/>
            <w:tcBorders>
              <w:left w:val="nil"/>
              <w:right w:val="nil"/>
            </w:tcBorders>
            <w:vAlign w:val="center"/>
          </w:tcPr>
          <w:p w14:paraId="4AE1CA37" w14:textId="4B582499" w:rsidR="00FF4FC3" w:rsidRPr="00BA6575" w:rsidRDefault="00FF4FC3" w:rsidP="00FF4FC3">
            <w:pPr>
              <w:rPr>
                <w:rFonts w:asciiTheme="majorHAnsi" w:hAnsiTheme="majorHAnsi" w:cstheme="majorHAnsi"/>
                <w:color w:val="000000"/>
                <w:sz w:val="19"/>
                <w:szCs w:val="19"/>
              </w:rPr>
            </w:pPr>
            <w:r w:rsidRPr="00BA6575">
              <w:rPr>
                <w:rFonts w:asciiTheme="majorHAnsi" w:hAnsiTheme="majorHAnsi" w:cstheme="majorHAnsi"/>
                <w:color w:val="000000"/>
                <w:sz w:val="19"/>
                <w:szCs w:val="19"/>
              </w:rPr>
              <w:t xml:space="preserve">Soil and Stewardship – </w:t>
            </w:r>
            <w:r>
              <w:rPr>
                <w:rFonts w:asciiTheme="majorHAnsi" w:hAnsiTheme="majorHAnsi" w:cstheme="majorHAnsi"/>
                <w:color w:val="000000"/>
                <w:sz w:val="19"/>
                <w:szCs w:val="19"/>
              </w:rPr>
              <w:t>i</w:t>
            </w:r>
            <w:r w:rsidRPr="00BA6575">
              <w:rPr>
                <w:rFonts w:asciiTheme="majorHAnsi" w:hAnsiTheme="majorHAnsi" w:cstheme="majorHAnsi"/>
                <w:color w:val="000000"/>
                <w:sz w:val="19"/>
                <w:szCs w:val="19"/>
              </w:rPr>
              <w:t>mplement a National Soils Science Challenge</w:t>
            </w:r>
          </w:p>
        </w:tc>
        <w:tc>
          <w:tcPr>
            <w:tcW w:w="1052" w:type="dxa"/>
            <w:tcBorders>
              <w:left w:val="nil"/>
              <w:right w:val="nil"/>
            </w:tcBorders>
            <w:vAlign w:val="center"/>
          </w:tcPr>
          <w:p w14:paraId="6F9A8EFB" w14:textId="60C169A0" w:rsidR="00FF4FC3" w:rsidRPr="00BA6575" w:rsidRDefault="00FF4FC3" w:rsidP="00FF4FC3">
            <w:pPr>
              <w:jc w:val="right"/>
              <w:rPr>
                <w:rFonts w:asciiTheme="majorHAnsi" w:hAnsiTheme="majorHAnsi" w:cstheme="majorHAnsi"/>
                <w:sz w:val="19"/>
                <w:szCs w:val="19"/>
              </w:rPr>
            </w:pPr>
            <w:r w:rsidRPr="00BA6575">
              <w:rPr>
                <w:rFonts w:asciiTheme="majorHAnsi" w:hAnsiTheme="majorHAnsi" w:cstheme="majorHAnsi"/>
                <w:sz w:val="19"/>
                <w:szCs w:val="19"/>
              </w:rPr>
              <w:t>20.9</w:t>
            </w:r>
          </w:p>
        </w:tc>
      </w:tr>
      <w:tr w:rsidR="00FF4FC3" w:rsidRPr="007C440D" w14:paraId="39C32C4C" w14:textId="77777777" w:rsidTr="00BA65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8647" w:type="dxa"/>
            <w:tcBorders>
              <w:left w:val="nil"/>
              <w:right w:val="nil"/>
            </w:tcBorders>
          </w:tcPr>
          <w:p w14:paraId="2D104DE2" w14:textId="095EA0BB" w:rsidR="00FF4FC3" w:rsidRPr="00BA6575" w:rsidRDefault="00FF4FC3" w:rsidP="00FF4FC3">
            <w:pPr>
              <w:rPr>
                <w:rFonts w:asciiTheme="majorHAnsi" w:hAnsiTheme="majorHAnsi" w:cstheme="majorHAnsi"/>
                <w:color w:val="000000"/>
                <w:sz w:val="19"/>
                <w:szCs w:val="19"/>
              </w:rPr>
            </w:pPr>
            <w:r w:rsidRPr="00BA6575">
              <w:rPr>
                <w:rFonts w:asciiTheme="majorHAnsi" w:hAnsiTheme="majorHAnsi" w:cstheme="majorHAnsi"/>
                <w:color w:val="000000"/>
                <w:sz w:val="19"/>
                <w:szCs w:val="19"/>
              </w:rPr>
              <w:t xml:space="preserve">Soil and Stewardship – develop and roll out an accreditation standard to enhance soil education and expertise </w:t>
            </w:r>
          </w:p>
        </w:tc>
        <w:tc>
          <w:tcPr>
            <w:tcW w:w="1052" w:type="dxa"/>
            <w:tcBorders>
              <w:left w:val="nil"/>
              <w:right w:val="nil"/>
            </w:tcBorders>
            <w:vAlign w:val="center"/>
          </w:tcPr>
          <w:p w14:paraId="63F143CE" w14:textId="1E6FC44C" w:rsidR="00FF4FC3" w:rsidRPr="00BA6575" w:rsidRDefault="00FF4FC3" w:rsidP="00FF4FC3">
            <w:pPr>
              <w:jc w:val="right"/>
              <w:rPr>
                <w:rFonts w:asciiTheme="majorHAnsi" w:hAnsiTheme="majorHAnsi" w:cstheme="majorHAnsi"/>
                <w:sz w:val="19"/>
                <w:szCs w:val="19"/>
              </w:rPr>
            </w:pPr>
            <w:r w:rsidRPr="00BA6575">
              <w:rPr>
                <w:rFonts w:asciiTheme="majorHAnsi" w:hAnsiTheme="majorHAnsi" w:cstheme="majorHAnsi"/>
                <w:sz w:val="19"/>
                <w:szCs w:val="19"/>
              </w:rPr>
              <w:t>1.1</w:t>
            </w:r>
          </w:p>
        </w:tc>
      </w:tr>
      <w:tr w:rsidR="00FF4FC3" w:rsidRPr="007C440D" w14:paraId="368A2295" w14:textId="77777777" w:rsidTr="00BA65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8647" w:type="dxa"/>
            <w:tcBorders>
              <w:left w:val="nil"/>
              <w:right w:val="nil"/>
            </w:tcBorders>
            <w:vAlign w:val="center"/>
          </w:tcPr>
          <w:p w14:paraId="6F00AD32" w14:textId="2911B0C2" w:rsidR="00FF4FC3" w:rsidRPr="00BA6575" w:rsidRDefault="00FF4FC3" w:rsidP="00FF4FC3">
            <w:pPr>
              <w:rPr>
                <w:rFonts w:asciiTheme="majorHAnsi" w:hAnsiTheme="majorHAnsi" w:cstheme="majorHAnsi"/>
                <w:color w:val="000000"/>
                <w:sz w:val="19"/>
                <w:szCs w:val="19"/>
              </w:rPr>
            </w:pPr>
            <w:r w:rsidRPr="00BA6575">
              <w:rPr>
                <w:rFonts w:asciiTheme="majorHAnsi" w:hAnsiTheme="majorHAnsi" w:cstheme="majorHAnsi"/>
                <w:color w:val="000000"/>
                <w:sz w:val="19"/>
                <w:szCs w:val="19"/>
              </w:rPr>
              <w:t xml:space="preserve">Soil and Stewardship – deliver grants in partnership with states and territories through a Food Waste for Healthy Soils Fund </w:t>
            </w:r>
          </w:p>
        </w:tc>
        <w:tc>
          <w:tcPr>
            <w:tcW w:w="1052" w:type="dxa"/>
            <w:tcBorders>
              <w:left w:val="nil"/>
              <w:right w:val="nil"/>
            </w:tcBorders>
            <w:vAlign w:val="center"/>
          </w:tcPr>
          <w:p w14:paraId="08015798" w14:textId="5031C0F8" w:rsidR="00FF4FC3" w:rsidRPr="00BA6575" w:rsidRDefault="00FF4FC3" w:rsidP="00FF4FC3">
            <w:pPr>
              <w:jc w:val="right"/>
              <w:rPr>
                <w:rFonts w:asciiTheme="majorHAnsi" w:hAnsiTheme="majorHAnsi" w:cstheme="majorHAnsi"/>
                <w:sz w:val="19"/>
                <w:szCs w:val="19"/>
              </w:rPr>
            </w:pPr>
            <w:r w:rsidRPr="00BA6575">
              <w:rPr>
                <w:rFonts w:asciiTheme="majorHAnsi" w:hAnsiTheme="majorHAnsi" w:cstheme="majorHAnsi"/>
                <w:sz w:val="19"/>
                <w:szCs w:val="19"/>
              </w:rPr>
              <w:t>67.0</w:t>
            </w:r>
          </w:p>
        </w:tc>
      </w:tr>
      <w:tr w:rsidR="00FF4FC3" w:rsidRPr="007C440D" w14:paraId="4590FC6D" w14:textId="77777777" w:rsidTr="00BA65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55"/>
        </w:trPr>
        <w:tc>
          <w:tcPr>
            <w:tcW w:w="8647" w:type="dxa"/>
            <w:tcBorders>
              <w:left w:val="nil"/>
              <w:right w:val="nil"/>
            </w:tcBorders>
            <w:shd w:val="clear" w:color="auto" w:fill="D9D9D9" w:themeFill="background1" w:themeFillShade="D9"/>
            <w:vAlign w:val="center"/>
          </w:tcPr>
          <w:p w14:paraId="5863EA17" w14:textId="77777777" w:rsidR="00FF4FC3" w:rsidRPr="00BA6575" w:rsidRDefault="00FF4FC3" w:rsidP="00FF4FC3">
            <w:pPr>
              <w:rPr>
                <w:rFonts w:asciiTheme="majorHAnsi" w:hAnsiTheme="majorHAnsi" w:cstheme="majorHAnsi"/>
                <w:sz w:val="19"/>
                <w:szCs w:val="19"/>
              </w:rPr>
            </w:pPr>
            <w:r w:rsidRPr="00BA6575">
              <w:rPr>
                <w:rFonts w:asciiTheme="majorHAnsi" w:hAnsiTheme="majorHAnsi" w:cstheme="majorHAnsi"/>
                <w:b/>
                <w:bCs/>
                <w:sz w:val="19"/>
                <w:szCs w:val="19"/>
              </w:rPr>
              <w:t>Total: Soil and Stewardship</w:t>
            </w:r>
          </w:p>
        </w:tc>
        <w:tc>
          <w:tcPr>
            <w:tcW w:w="1052" w:type="dxa"/>
            <w:tcBorders>
              <w:left w:val="nil"/>
              <w:right w:val="nil"/>
            </w:tcBorders>
            <w:shd w:val="clear" w:color="auto" w:fill="D9D9D9" w:themeFill="background1" w:themeFillShade="D9"/>
            <w:vAlign w:val="center"/>
          </w:tcPr>
          <w:p w14:paraId="48E2F2FF" w14:textId="671D4D31" w:rsidR="00FF4FC3" w:rsidRPr="00BA6575" w:rsidRDefault="00FF4FC3" w:rsidP="00FF4FC3">
            <w:pPr>
              <w:jc w:val="right"/>
              <w:rPr>
                <w:rFonts w:asciiTheme="majorHAnsi" w:hAnsiTheme="majorHAnsi" w:cstheme="majorHAnsi"/>
                <w:b/>
                <w:sz w:val="19"/>
                <w:szCs w:val="19"/>
              </w:rPr>
            </w:pPr>
            <w:r w:rsidRPr="00BA6575">
              <w:rPr>
                <w:rFonts w:asciiTheme="majorHAnsi" w:hAnsiTheme="majorHAnsi" w:cstheme="majorHAnsi"/>
                <w:b/>
                <w:sz w:val="19"/>
                <w:szCs w:val="19"/>
              </w:rPr>
              <w:t>246.9</w:t>
            </w:r>
          </w:p>
        </w:tc>
      </w:tr>
      <w:tr w:rsidR="00FF4FC3" w:rsidRPr="007C440D" w14:paraId="2796F9B6" w14:textId="77777777" w:rsidTr="00BA65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8647" w:type="dxa"/>
            <w:tcBorders>
              <w:left w:val="nil"/>
              <w:right w:val="nil"/>
            </w:tcBorders>
          </w:tcPr>
          <w:p w14:paraId="6630A8A1" w14:textId="77777777" w:rsidR="00FF4FC3" w:rsidRPr="00BA6575" w:rsidRDefault="00FF4FC3" w:rsidP="00FF4FC3">
            <w:pPr>
              <w:rPr>
                <w:rFonts w:asciiTheme="majorHAnsi" w:hAnsiTheme="majorHAnsi" w:cstheme="majorHAnsi"/>
                <w:b/>
                <w:bCs/>
                <w:color w:val="00558B"/>
                <w:sz w:val="19"/>
                <w:szCs w:val="19"/>
              </w:rPr>
            </w:pPr>
            <w:r w:rsidRPr="00BA6575">
              <w:rPr>
                <w:rFonts w:asciiTheme="majorHAnsi" w:hAnsiTheme="majorHAnsi" w:cstheme="majorHAnsi"/>
                <w:b/>
                <w:bCs/>
                <w:color w:val="00558B"/>
                <w:sz w:val="19"/>
                <w:szCs w:val="19"/>
              </w:rPr>
              <w:t>Supply Chains</w:t>
            </w:r>
          </w:p>
        </w:tc>
        <w:tc>
          <w:tcPr>
            <w:tcW w:w="1052" w:type="dxa"/>
            <w:tcBorders>
              <w:left w:val="nil"/>
              <w:right w:val="nil"/>
            </w:tcBorders>
          </w:tcPr>
          <w:p w14:paraId="788BD5D3" w14:textId="77777777" w:rsidR="00FF4FC3" w:rsidRPr="00BA6575" w:rsidRDefault="00FF4FC3" w:rsidP="00FF4FC3">
            <w:pPr>
              <w:jc w:val="right"/>
              <w:rPr>
                <w:rFonts w:asciiTheme="majorHAnsi" w:hAnsiTheme="majorHAnsi" w:cstheme="majorHAnsi"/>
                <w:sz w:val="19"/>
                <w:szCs w:val="19"/>
              </w:rPr>
            </w:pPr>
          </w:p>
        </w:tc>
      </w:tr>
      <w:tr w:rsidR="00FF4FC3" w:rsidRPr="007C440D" w14:paraId="22D71BD5" w14:textId="77777777" w:rsidTr="00BA65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8647" w:type="dxa"/>
            <w:tcBorders>
              <w:left w:val="nil"/>
              <w:right w:val="nil"/>
            </w:tcBorders>
            <w:vAlign w:val="center"/>
          </w:tcPr>
          <w:p w14:paraId="65F690E8" w14:textId="77777777" w:rsidR="00FF4FC3" w:rsidRPr="00BA6575" w:rsidRDefault="00FF4FC3" w:rsidP="00FF4FC3">
            <w:pPr>
              <w:rPr>
                <w:rFonts w:asciiTheme="majorHAnsi" w:hAnsiTheme="majorHAnsi" w:cstheme="majorHAnsi"/>
                <w:b/>
                <w:bCs/>
                <w:color w:val="00558B"/>
                <w:sz w:val="19"/>
                <w:szCs w:val="19"/>
              </w:rPr>
            </w:pPr>
            <w:r w:rsidRPr="00BA6575">
              <w:rPr>
                <w:rFonts w:asciiTheme="majorHAnsi" w:hAnsiTheme="majorHAnsi" w:cstheme="majorHAnsi"/>
                <w:sz w:val="19"/>
                <w:szCs w:val="19"/>
              </w:rPr>
              <w:t>Supporting Trade – fund projects in collaboration with the perishable agriculture goods industry that improve market transparency in the sector</w:t>
            </w:r>
          </w:p>
        </w:tc>
        <w:tc>
          <w:tcPr>
            <w:tcW w:w="1052" w:type="dxa"/>
            <w:tcBorders>
              <w:left w:val="nil"/>
              <w:right w:val="nil"/>
            </w:tcBorders>
            <w:vAlign w:val="center"/>
          </w:tcPr>
          <w:p w14:paraId="05FBAAE1" w14:textId="77777777" w:rsidR="00FF4FC3" w:rsidRPr="00BA6575" w:rsidRDefault="00FF4FC3" w:rsidP="00FF4FC3">
            <w:pPr>
              <w:jc w:val="right"/>
              <w:rPr>
                <w:rFonts w:asciiTheme="majorHAnsi" w:hAnsiTheme="majorHAnsi" w:cstheme="majorHAnsi"/>
                <w:sz w:val="19"/>
                <w:szCs w:val="19"/>
              </w:rPr>
            </w:pPr>
            <w:r w:rsidRPr="00BA6575">
              <w:rPr>
                <w:rFonts w:asciiTheme="majorHAnsi" w:hAnsiTheme="majorHAnsi" w:cstheme="majorHAnsi"/>
                <w:sz w:val="19"/>
                <w:szCs w:val="19"/>
              </w:rPr>
              <w:t>5.4</w:t>
            </w:r>
          </w:p>
        </w:tc>
      </w:tr>
      <w:tr w:rsidR="00FF4FC3" w:rsidRPr="007C440D" w14:paraId="6F1C8FA5" w14:textId="77777777" w:rsidTr="00BA65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8647" w:type="dxa"/>
            <w:tcBorders>
              <w:left w:val="nil"/>
              <w:right w:val="nil"/>
            </w:tcBorders>
            <w:shd w:val="clear" w:color="auto" w:fill="D9D9D9" w:themeFill="background1" w:themeFillShade="D9"/>
            <w:vAlign w:val="center"/>
          </w:tcPr>
          <w:p w14:paraId="315386A8" w14:textId="77777777" w:rsidR="00FF4FC3" w:rsidRPr="00BA6575" w:rsidRDefault="00FF4FC3" w:rsidP="00FF4FC3">
            <w:pPr>
              <w:rPr>
                <w:rFonts w:asciiTheme="majorHAnsi" w:hAnsiTheme="majorHAnsi" w:cstheme="majorHAnsi"/>
                <w:b/>
                <w:bCs/>
                <w:color w:val="00558B"/>
                <w:sz w:val="19"/>
                <w:szCs w:val="19"/>
              </w:rPr>
            </w:pPr>
            <w:r w:rsidRPr="00BA6575">
              <w:rPr>
                <w:rFonts w:asciiTheme="majorHAnsi" w:hAnsiTheme="majorHAnsi" w:cstheme="majorHAnsi"/>
                <w:b/>
                <w:bCs/>
                <w:sz w:val="19"/>
                <w:szCs w:val="19"/>
              </w:rPr>
              <w:t>Total: Supply Chains</w:t>
            </w:r>
          </w:p>
        </w:tc>
        <w:tc>
          <w:tcPr>
            <w:tcW w:w="1052" w:type="dxa"/>
            <w:tcBorders>
              <w:left w:val="nil"/>
              <w:right w:val="nil"/>
            </w:tcBorders>
            <w:shd w:val="clear" w:color="auto" w:fill="D9D9D9" w:themeFill="background1" w:themeFillShade="D9"/>
          </w:tcPr>
          <w:p w14:paraId="2E5ADEA8" w14:textId="77777777" w:rsidR="00FF4FC3" w:rsidRPr="00BA6575" w:rsidRDefault="00FF4FC3" w:rsidP="00FF4FC3">
            <w:pPr>
              <w:jc w:val="right"/>
              <w:rPr>
                <w:rFonts w:asciiTheme="majorHAnsi" w:hAnsiTheme="majorHAnsi" w:cstheme="majorHAnsi"/>
                <w:sz w:val="19"/>
                <w:szCs w:val="19"/>
              </w:rPr>
            </w:pPr>
            <w:r w:rsidRPr="00BA6575">
              <w:rPr>
                <w:rFonts w:asciiTheme="majorHAnsi" w:hAnsiTheme="majorHAnsi" w:cstheme="majorHAnsi"/>
                <w:b/>
                <w:sz w:val="19"/>
                <w:szCs w:val="19"/>
              </w:rPr>
              <w:t>5.4</w:t>
            </w:r>
          </w:p>
        </w:tc>
      </w:tr>
      <w:tr w:rsidR="00FF4FC3" w:rsidRPr="007C440D" w14:paraId="1D41BCB1" w14:textId="77777777" w:rsidTr="00BA65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8647" w:type="dxa"/>
            <w:tcBorders>
              <w:left w:val="nil"/>
              <w:right w:val="nil"/>
            </w:tcBorders>
          </w:tcPr>
          <w:p w14:paraId="35BFAB1F" w14:textId="77777777" w:rsidR="00FF4FC3" w:rsidRPr="00BA6575" w:rsidRDefault="00FF4FC3" w:rsidP="00FF4FC3">
            <w:pPr>
              <w:rPr>
                <w:rFonts w:asciiTheme="majorHAnsi" w:hAnsiTheme="majorHAnsi" w:cstheme="majorHAnsi"/>
                <w:b/>
                <w:bCs/>
                <w:color w:val="00558B"/>
                <w:sz w:val="19"/>
                <w:szCs w:val="19"/>
              </w:rPr>
            </w:pPr>
            <w:r w:rsidRPr="00BA6575">
              <w:rPr>
                <w:rFonts w:asciiTheme="majorHAnsi" w:hAnsiTheme="majorHAnsi" w:cstheme="majorHAnsi"/>
                <w:b/>
                <w:bCs/>
                <w:color w:val="00558B"/>
                <w:sz w:val="19"/>
                <w:szCs w:val="19"/>
              </w:rPr>
              <w:t>Innovation</w:t>
            </w:r>
          </w:p>
        </w:tc>
        <w:tc>
          <w:tcPr>
            <w:tcW w:w="1052" w:type="dxa"/>
            <w:tcBorders>
              <w:left w:val="nil"/>
              <w:right w:val="nil"/>
            </w:tcBorders>
          </w:tcPr>
          <w:p w14:paraId="54535DC9" w14:textId="77777777" w:rsidR="00FF4FC3" w:rsidRPr="00BA6575" w:rsidRDefault="00FF4FC3" w:rsidP="00FF4FC3">
            <w:pPr>
              <w:jc w:val="right"/>
              <w:rPr>
                <w:rFonts w:asciiTheme="majorHAnsi" w:hAnsiTheme="majorHAnsi" w:cstheme="majorHAnsi"/>
                <w:sz w:val="19"/>
                <w:szCs w:val="19"/>
              </w:rPr>
            </w:pPr>
          </w:p>
        </w:tc>
      </w:tr>
      <w:tr w:rsidR="00FF4FC3" w14:paraId="567E1069" w14:textId="77777777" w:rsidTr="00BA65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8647" w:type="dxa"/>
            <w:tcBorders>
              <w:top w:val="single" w:sz="4" w:space="0" w:color="auto"/>
              <w:left w:val="nil"/>
              <w:bottom w:val="single" w:sz="4" w:space="0" w:color="auto"/>
              <w:right w:val="nil"/>
            </w:tcBorders>
            <w:hideMark/>
          </w:tcPr>
          <w:p w14:paraId="7DF08F84" w14:textId="118A60B9" w:rsidR="00FF4FC3" w:rsidRPr="00520A02" w:rsidRDefault="00FF4FC3" w:rsidP="00674522">
            <w:pPr>
              <w:rPr>
                <w:rFonts w:asciiTheme="majorHAnsi" w:hAnsiTheme="majorHAnsi" w:cstheme="majorHAnsi"/>
                <w:bCs/>
                <w:sz w:val="19"/>
                <w:szCs w:val="19"/>
              </w:rPr>
            </w:pPr>
            <w:r w:rsidRPr="00520A02">
              <w:rPr>
                <w:rFonts w:asciiTheme="majorHAnsi" w:hAnsiTheme="majorHAnsi" w:cstheme="majorHAnsi"/>
                <w:bCs/>
                <w:sz w:val="19"/>
                <w:szCs w:val="19"/>
              </w:rPr>
              <w:t>Innovation –</w:t>
            </w:r>
            <w:r w:rsidR="00674522">
              <w:rPr>
                <w:rFonts w:asciiTheme="majorHAnsi" w:hAnsiTheme="majorHAnsi" w:cstheme="majorHAnsi"/>
                <w:bCs/>
                <w:sz w:val="19"/>
                <w:szCs w:val="19"/>
              </w:rPr>
              <w:t xml:space="preserve"> </w:t>
            </w:r>
            <w:r w:rsidR="00674522" w:rsidRPr="00674522">
              <w:rPr>
                <w:rFonts w:asciiTheme="majorHAnsi" w:hAnsiTheme="majorHAnsi" w:cstheme="majorHAnsi"/>
                <w:bCs/>
                <w:sz w:val="19"/>
                <w:szCs w:val="19"/>
              </w:rPr>
              <w:t>the development of strategies for forward investment into four National Agr</w:t>
            </w:r>
            <w:r w:rsidR="00674522">
              <w:rPr>
                <w:rFonts w:asciiTheme="majorHAnsi" w:hAnsiTheme="majorHAnsi" w:cstheme="majorHAnsi"/>
                <w:bCs/>
                <w:sz w:val="19"/>
                <w:szCs w:val="19"/>
              </w:rPr>
              <w:t>icultural Innovation Priorities</w:t>
            </w:r>
          </w:p>
        </w:tc>
        <w:tc>
          <w:tcPr>
            <w:tcW w:w="1052" w:type="dxa"/>
            <w:tcBorders>
              <w:top w:val="single" w:sz="4" w:space="0" w:color="auto"/>
              <w:left w:val="nil"/>
              <w:bottom w:val="single" w:sz="4" w:space="0" w:color="auto"/>
              <w:right w:val="nil"/>
            </w:tcBorders>
            <w:hideMark/>
          </w:tcPr>
          <w:p w14:paraId="4F7BABE3" w14:textId="6A515FD9" w:rsidR="00FF4FC3" w:rsidRPr="00520A02" w:rsidRDefault="00FF4FC3" w:rsidP="00FF4FC3">
            <w:pPr>
              <w:jc w:val="right"/>
              <w:rPr>
                <w:rFonts w:asciiTheme="majorHAnsi" w:hAnsiTheme="majorHAnsi" w:cstheme="majorHAnsi"/>
                <w:bCs/>
                <w:sz w:val="19"/>
                <w:szCs w:val="19"/>
              </w:rPr>
            </w:pPr>
            <w:r w:rsidRPr="00520A02">
              <w:rPr>
                <w:rFonts w:asciiTheme="majorHAnsi" w:hAnsiTheme="majorHAnsi" w:cstheme="majorHAnsi"/>
                <w:bCs/>
                <w:sz w:val="19"/>
                <w:szCs w:val="19"/>
              </w:rPr>
              <w:t>1.5</w:t>
            </w:r>
          </w:p>
        </w:tc>
      </w:tr>
      <w:tr w:rsidR="00FF4FC3" w:rsidRPr="007C440D" w14:paraId="3D0E4632" w14:textId="77777777" w:rsidTr="00BA65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8647" w:type="dxa"/>
            <w:tcBorders>
              <w:left w:val="nil"/>
              <w:right w:val="nil"/>
            </w:tcBorders>
          </w:tcPr>
          <w:p w14:paraId="3D486A08" w14:textId="26907EA8" w:rsidR="00FF4FC3" w:rsidRPr="00520A02" w:rsidRDefault="00FF4FC3" w:rsidP="00FF4FC3">
            <w:pPr>
              <w:rPr>
                <w:rFonts w:asciiTheme="majorHAnsi" w:hAnsiTheme="majorHAnsi" w:cstheme="majorHAnsi"/>
                <w:bCs/>
                <w:sz w:val="19"/>
                <w:szCs w:val="19"/>
              </w:rPr>
            </w:pPr>
            <w:r w:rsidRPr="00520A02">
              <w:rPr>
                <w:rFonts w:asciiTheme="majorHAnsi" w:hAnsiTheme="majorHAnsi" w:cstheme="majorHAnsi"/>
                <w:bCs/>
                <w:sz w:val="19"/>
                <w:szCs w:val="19"/>
              </w:rPr>
              <w:t>Forestry and Fisheries – establish new, Regional Forestry Hubs</w:t>
            </w:r>
          </w:p>
        </w:tc>
        <w:tc>
          <w:tcPr>
            <w:tcW w:w="1052" w:type="dxa"/>
            <w:tcBorders>
              <w:left w:val="nil"/>
              <w:right w:val="nil"/>
            </w:tcBorders>
            <w:vAlign w:val="center"/>
          </w:tcPr>
          <w:p w14:paraId="57218C40" w14:textId="0F50873F" w:rsidR="00FF4FC3" w:rsidRPr="00520A02" w:rsidRDefault="00FF4FC3" w:rsidP="00FF4FC3">
            <w:pPr>
              <w:jc w:val="right"/>
              <w:rPr>
                <w:rFonts w:asciiTheme="majorHAnsi" w:hAnsiTheme="majorHAnsi" w:cstheme="majorHAnsi"/>
                <w:sz w:val="19"/>
                <w:szCs w:val="19"/>
              </w:rPr>
            </w:pPr>
            <w:r w:rsidRPr="00520A02">
              <w:rPr>
                <w:rFonts w:asciiTheme="majorHAnsi" w:hAnsiTheme="majorHAnsi" w:cstheme="majorHAnsi"/>
                <w:sz w:val="19"/>
                <w:szCs w:val="19"/>
              </w:rPr>
              <w:t>10.6</w:t>
            </w:r>
          </w:p>
        </w:tc>
      </w:tr>
      <w:tr w:rsidR="00FF4FC3" w:rsidRPr="007C440D" w14:paraId="0F2D88DE" w14:textId="77777777" w:rsidTr="00BA65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8647" w:type="dxa"/>
            <w:tcBorders>
              <w:left w:val="nil"/>
              <w:right w:val="nil"/>
            </w:tcBorders>
          </w:tcPr>
          <w:p w14:paraId="39B1127D" w14:textId="501AEA24" w:rsidR="00FF4FC3" w:rsidRPr="00520A02" w:rsidRDefault="00FF4FC3" w:rsidP="00FF4FC3">
            <w:pPr>
              <w:rPr>
                <w:rFonts w:asciiTheme="majorHAnsi" w:hAnsiTheme="majorHAnsi" w:cstheme="majorHAnsi"/>
                <w:bCs/>
                <w:color w:val="FF0000"/>
                <w:sz w:val="19"/>
                <w:szCs w:val="19"/>
              </w:rPr>
            </w:pPr>
            <w:r w:rsidRPr="00520A02">
              <w:rPr>
                <w:rFonts w:asciiTheme="majorHAnsi" w:hAnsiTheme="majorHAnsi" w:cstheme="majorHAnsi"/>
                <w:bCs/>
                <w:sz w:val="19"/>
                <w:szCs w:val="19"/>
              </w:rPr>
              <w:t>Forestry and Fisheries – feasibility study to expand the National Institute for Forest Products Innovation</w:t>
            </w:r>
          </w:p>
        </w:tc>
        <w:tc>
          <w:tcPr>
            <w:tcW w:w="1052" w:type="dxa"/>
            <w:tcBorders>
              <w:left w:val="nil"/>
              <w:right w:val="nil"/>
            </w:tcBorders>
            <w:vAlign w:val="center"/>
          </w:tcPr>
          <w:p w14:paraId="7BF20818" w14:textId="034C61FE" w:rsidR="00FF4FC3" w:rsidRPr="00520A02" w:rsidRDefault="00FF4FC3" w:rsidP="00FF4FC3">
            <w:pPr>
              <w:jc w:val="right"/>
              <w:rPr>
                <w:rFonts w:asciiTheme="majorHAnsi" w:hAnsiTheme="majorHAnsi" w:cstheme="majorHAnsi"/>
                <w:b/>
                <w:sz w:val="19"/>
                <w:szCs w:val="19"/>
              </w:rPr>
            </w:pPr>
            <w:r w:rsidRPr="00520A02">
              <w:rPr>
                <w:rFonts w:asciiTheme="majorHAnsi" w:hAnsiTheme="majorHAnsi" w:cstheme="majorHAnsi"/>
                <w:sz w:val="19"/>
                <w:szCs w:val="19"/>
              </w:rPr>
              <w:t>1.3</w:t>
            </w:r>
          </w:p>
        </w:tc>
      </w:tr>
      <w:tr w:rsidR="0093543F" w:rsidRPr="007C440D" w14:paraId="55E617DE" w14:textId="77777777" w:rsidTr="00F918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8647" w:type="dxa"/>
            <w:tcBorders>
              <w:left w:val="nil"/>
              <w:right w:val="nil"/>
            </w:tcBorders>
            <w:vAlign w:val="center"/>
          </w:tcPr>
          <w:p w14:paraId="7DB91D2B" w14:textId="613347D1" w:rsidR="0093543F" w:rsidRPr="00520A02" w:rsidRDefault="0093543F" w:rsidP="0093543F">
            <w:pPr>
              <w:rPr>
                <w:rFonts w:asciiTheme="majorHAnsi" w:hAnsiTheme="majorHAnsi" w:cstheme="majorHAnsi"/>
                <w:bCs/>
                <w:sz w:val="19"/>
                <w:szCs w:val="19"/>
              </w:rPr>
            </w:pPr>
            <w:r w:rsidRPr="00520A02">
              <w:rPr>
                <w:rFonts w:asciiTheme="majorHAnsi" w:hAnsiTheme="majorHAnsi" w:cstheme="majorHAnsi"/>
                <w:sz w:val="19"/>
                <w:szCs w:val="19"/>
              </w:rPr>
              <w:t>Forestry and Fisheries – extend and broaden the Tuna Champions program</w:t>
            </w:r>
          </w:p>
        </w:tc>
        <w:tc>
          <w:tcPr>
            <w:tcW w:w="1052" w:type="dxa"/>
            <w:tcBorders>
              <w:left w:val="nil"/>
              <w:right w:val="nil"/>
            </w:tcBorders>
            <w:vAlign w:val="center"/>
          </w:tcPr>
          <w:p w14:paraId="41A0EE63" w14:textId="0756F75E" w:rsidR="0093543F" w:rsidRPr="00520A02" w:rsidRDefault="0093543F" w:rsidP="0093543F">
            <w:pPr>
              <w:jc w:val="right"/>
              <w:rPr>
                <w:rFonts w:asciiTheme="majorHAnsi" w:hAnsiTheme="majorHAnsi" w:cstheme="majorHAnsi"/>
                <w:sz w:val="19"/>
                <w:szCs w:val="19"/>
              </w:rPr>
            </w:pPr>
            <w:r w:rsidRPr="00520A02">
              <w:rPr>
                <w:rFonts w:asciiTheme="majorHAnsi" w:hAnsiTheme="majorHAnsi" w:cstheme="majorHAnsi"/>
                <w:sz w:val="19"/>
                <w:szCs w:val="19"/>
              </w:rPr>
              <w:t>0.9</w:t>
            </w:r>
          </w:p>
        </w:tc>
      </w:tr>
      <w:tr w:rsidR="0093543F" w:rsidRPr="007C440D" w14:paraId="7506EEC4" w14:textId="77777777" w:rsidTr="00BA65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8647" w:type="dxa"/>
            <w:tcBorders>
              <w:left w:val="nil"/>
              <w:right w:val="nil"/>
            </w:tcBorders>
          </w:tcPr>
          <w:p w14:paraId="60E861C5" w14:textId="73AF0294" w:rsidR="0093543F" w:rsidRPr="00520A02" w:rsidRDefault="0093543F" w:rsidP="009145F5">
            <w:pPr>
              <w:rPr>
                <w:rFonts w:asciiTheme="majorHAnsi" w:hAnsiTheme="majorHAnsi" w:cstheme="majorHAnsi"/>
                <w:bCs/>
                <w:color w:val="FF0000"/>
                <w:sz w:val="19"/>
                <w:szCs w:val="19"/>
                <w:vertAlign w:val="superscript"/>
              </w:rPr>
            </w:pPr>
            <w:r w:rsidRPr="00520A02">
              <w:rPr>
                <w:rFonts w:asciiTheme="majorHAnsi" w:hAnsiTheme="majorHAnsi" w:cstheme="majorHAnsi"/>
                <w:bCs/>
                <w:sz w:val="19"/>
                <w:szCs w:val="19"/>
              </w:rPr>
              <w:t xml:space="preserve">Commonwealth's Deregulation Agenda </w:t>
            </w:r>
            <w:r w:rsidR="009145F5">
              <w:rPr>
                <w:rFonts w:asciiTheme="majorHAnsi" w:hAnsiTheme="majorHAnsi" w:cstheme="majorHAnsi"/>
                <w:bCs/>
                <w:sz w:val="19"/>
                <w:szCs w:val="19"/>
              </w:rPr>
              <w:t>–</w:t>
            </w:r>
            <w:r w:rsidRPr="00520A02">
              <w:rPr>
                <w:rFonts w:asciiTheme="majorHAnsi" w:hAnsiTheme="majorHAnsi" w:cstheme="majorHAnsi"/>
                <w:bCs/>
                <w:sz w:val="19"/>
                <w:szCs w:val="19"/>
              </w:rPr>
              <w:t xml:space="preserve"> </w:t>
            </w:r>
            <w:r>
              <w:rPr>
                <w:rFonts w:asciiTheme="majorHAnsi" w:hAnsiTheme="majorHAnsi" w:cstheme="majorHAnsi"/>
                <w:bCs/>
                <w:sz w:val="19"/>
                <w:szCs w:val="19"/>
              </w:rPr>
              <w:t>t</w:t>
            </w:r>
            <w:r w:rsidRPr="00520A02">
              <w:rPr>
                <w:rFonts w:asciiTheme="majorHAnsi" w:hAnsiTheme="majorHAnsi" w:cstheme="majorHAnsi"/>
                <w:bCs/>
                <w:sz w:val="19"/>
                <w:szCs w:val="19"/>
              </w:rPr>
              <w:t xml:space="preserve">echnological innovation to deliver fisheries deregulation – E-fish and </w:t>
            </w:r>
            <w:r>
              <w:rPr>
                <w:rFonts w:asciiTheme="majorHAnsi" w:hAnsiTheme="majorHAnsi" w:cstheme="majorHAnsi"/>
                <w:bCs/>
                <w:sz w:val="19"/>
                <w:szCs w:val="19"/>
              </w:rPr>
              <w:t>e</w:t>
            </w:r>
            <w:r w:rsidRPr="00520A02">
              <w:rPr>
                <w:rFonts w:asciiTheme="majorHAnsi" w:hAnsiTheme="majorHAnsi" w:cstheme="majorHAnsi"/>
                <w:bCs/>
                <w:sz w:val="19"/>
                <w:szCs w:val="19"/>
              </w:rPr>
              <w:t>xpand Commonwealth electronic fishing vessel monitoring</w:t>
            </w:r>
          </w:p>
        </w:tc>
        <w:tc>
          <w:tcPr>
            <w:tcW w:w="1052" w:type="dxa"/>
            <w:tcBorders>
              <w:left w:val="nil"/>
              <w:right w:val="nil"/>
            </w:tcBorders>
            <w:vAlign w:val="center"/>
          </w:tcPr>
          <w:p w14:paraId="699E3292" w14:textId="7105089A" w:rsidR="0093543F" w:rsidRPr="00520A02" w:rsidRDefault="0093543F" w:rsidP="0093543F">
            <w:pPr>
              <w:jc w:val="right"/>
              <w:rPr>
                <w:rFonts w:asciiTheme="majorHAnsi" w:hAnsiTheme="majorHAnsi" w:cstheme="majorHAnsi"/>
                <w:sz w:val="19"/>
                <w:szCs w:val="19"/>
              </w:rPr>
            </w:pPr>
            <w:r w:rsidRPr="00520A02">
              <w:rPr>
                <w:rFonts w:asciiTheme="majorHAnsi" w:hAnsiTheme="majorHAnsi" w:cstheme="majorHAnsi"/>
                <w:sz w:val="19"/>
                <w:szCs w:val="19"/>
              </w:rPr>
              <w:t>20.1</w:t>
            </w:r>
          </w:p>
        </w:tc>
      </w:tr>
      <w:tr w:rsidR="0093543F" w:rsidRPr="007C440D" w14:paraId="52841286" w14:textId="77777777" w:rsidTr="00BA65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55"/>
        </w:trPr>
        <w:tc>
          <w:tcPr>
            <w:tcW w:w="8647" w:type="dxa"/>
            <w:tcBorders>
              <w:left w:val="nil"/>
              <w:bottom w:val="nil"/>
              <w:right w:val="nil"/>
            </w:tcBorders>
            <w:shd w:val="clear" w:color="auto" w:fill="D9D9D9" w:themeFill="background1" w:themeFillShade="D9"/>
          </w:tcPr>
          <w:p w14:paraId="2602CC57" w14:textId="77777777" w:rsidR="0093543F" w:rsidRPr="00520A02" w:rsidRDefault="0093543F" w:rsidP="0093543F">
            <w:pPr>
              <w:rPr>
                <w:rFonts w:asciiTheme="majorHAnsi" w:hAnsiTheme="majorHAnsi" w:cstheme="majorHAnsi"/>
                <w:sz w:val="19"/>
                <w:szCs w:val="19"/>
              </w:rPr>
            </w:pPr>
            <w:r w:rsidRPr="00520A02">
              <w:rPr>
                <w:rFonts w:asciiTheme="majorHAnsi" w:hAnsiTheme="majorHAnsi" w:cstheme="majorHAnsi"/>
                <w:b/>
                <w:bCs/>
                <w:sz w:val="19"/>
                <w:szCs w:val="19"/>
              </w:rPr>
              <w:t>Total: Innovation</w:t>
            </w:r>
          </w:p>
        </w:tc>
        <w:tc>
          <w:tcPr>
            <w:tcW w:w="1052" w:type="dxa"/>
            <w:tcBorders>
              <w:left w:val="nil"/>
              <w:bottom w:val="nil"/>
              <w:right w:val="nil"/>
            </w:tcBorders>
            <w:shd w:val="clear" w:color="auto" w:fill="D9D9D9" w:themeFill="background1" w:themeFillShade="D9"/>
          </w:tcPr>
          <w:p w14:paraId="6C4FF558" w14:textId="242F6B34" w:rsidR="0093543F" w:rsidRPr="00520A02" w:rsidRDefault="0093543F" w:rsidP="0093543F">
            <w:pPr>
              <w:jc w:val="right"/>
              <w:rPr>
                <w:rFonts w:asciiTheme="majorHAnsi" w:hAnsiTheme="majorHAnsi" w:cstheme="majorHAnsi"/>
                <w:b/>
                <w:bCs/>
                <w:sz w:val="19"/>
                <w:szCs w:val="19"/>
              </w:rPr>
            </w:pPr>
            <w:r w:rsidRPr="00520A02">
              <w:rPr>
                <w:rFonts w:asciiTheme="majorHAnsi" w:hAnsiTheme="majorHAnsi" w:cstheme="majorHAnsi"/>
                <w:b/>
                <w:bCs/>
                <w:sz w:val="19"/>
                <w:szCs w:val="19"/>
              </w:rPr>
              <w:t>34.8</w:t>
            </w:r>
          </w:p>
        </w:tc>
      </w:tr>
      <w:tr w:rsidR="0093543F" w:rsidRPr="007C440D" w14:paraId="1615E4A6" w14:textId="77777777" w:rsidTr="00BA65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8647" w:type="dxa"/>
            <w:tcBorders>
              <w:top w:val="nil"/>
              <w:left w:val="nil"/>
              <w:right w:val="nil"/>
            </w:tcBorders>
          </w:tcPr>
          <w:p w14:paraId="2FC78BB4" w14:textId="3476320D" w:rsidR="0093543F" w:rsidRPr="00BA6575" w:rsidRDefault="0093543F" w:rsidP="0093543F">
            <w:pPr>
              <w:rPr>
                <w:rFonts w:asciiTheme="majorHAnsi" w:hAnsiTheme="majorHAnsi" w:cstheme="majorHAnsi"/>
                <w:b/>
                <w:bCs/>
                <w:color w:val="00558B"/>
                <w:sz w:val="19"/>
                <w:szCs w:val="19"/>
              </w:rPr>
            </w:pPr>
            <w:r>
              <w:rPr>
                <w:rFonts w:asciiTheme="majorHAnsi" w:hAnsiTheme="majorHAnsi" w:cstheme="majorHAnsi"/>
                <w:b/>
                <w:bCs/>
                <w:color w:val="00558B"/>
                <w:sz w:val="19"/>
                <w:szCs w:val="19"/>
              </w:rPr>
              <w:t>Human Capital</w:t>
            </w:r>
          </w:p>
        </w:tc>
        <w:tc>
          <w:tcPr>
            <w:tcW w:w="1052" w:type="dxa"/>
            <w:tcBorders>
              <w:top w:val="nil"/>
              <w:left w:val="nil"/>
              <w:right w:val="nil"/>
            </w:tcBorders>
          </w:tcPr>
          <w:p w14:paraId="2B311C42" w14:textId="77777777" w:rsidR="0093543F" w:rsidRPr="00BA6575" w:rsidRDefault="0093543F" w:rsidP="0093543F">
            <w:pPr>
              <w:jc w:val="right"/>
              <w:rPr>
                <w:rFonts w:asciiTheme="majorHAnsi" w:hAnsiTheme="majorHAnsi" w:cstheme="majorHAnsi"/>
                <w:sz w:val="19"/>
                <w:szCs w:val="19"/>
              </w:rPr>
            </w:pPr>
          </w:p>
        </w:tc>
      </w:tr>
      <w:tr w:rsidR="0093543F" w:rsidRPr="007C440D" w14:paraId="169CB728" w14:textId="77777777" w:rsidTr="00BA65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8647" w:type="dxa"/>
            <w:tcBorders>
              <w:left w:val="nil"/>
              <w:right w:val="nil"/>
            </w:tcBorders>
          </w:tcPr>
          <w:p w14:paraId="60F17185" w14:textId="5F23964A" w:rsidR="0093543F" w:rsidRPr="00266D4D" w:rsidRDefault="0093543F" w:rsidP="0093543F">
            <w:pPr>
              <w:rPr>
                <w:rFonts w:asciiTheme="majorHAnsi" w:hAnsiTheme="majorHAnsi" w:cstheme="majorHAnsi"/>
                <w:bCs/>
                <w:sz w:val="19"/>
                <w:szCs w:val="19"/>
              </w:rPr>
            </w:pPr>
            <w:r w:rsidRPr="00266D4D">
              <w:rPr>
                <w:rFonts w:asciiTheme="majorHAnsi" w:hAnsiTheme="majorHAnsi" w:cstheme="majorHAnsi"/>
                <w:color w:val="000000"/>
                <w:sz w:val="19"/>
                <w:szCs w:val="19"/>
              </w:rPr>
              <w:t xml:space="preserve">Improving employment opportunities – pilot </w:t>
            </w:r>
            <w:proofErr w:type="spellStart"/>
            <w:r w:rsidRPr="00266D4D">
              <w:rPr>
                <w:rFonts w:asciiTheme="majorHAnsi" w:hAnsiTheme="majorHAnsi" w:cstheme="majorHAnsi"/>
                <w:color w:val="000000"/>
                <w:sz w:val="19"/>
                <w:szCs w:val="19"/>
              </w:rPr>
              <w:t>AgCAREERSTART</w:t>
            </w:r>
            <w:proofErr w:type="spellEnd"/>
            <w:r w:rsidRPr="00266D4D">
              <w:rPr>
                <w:rFonts w:asciiTheme="majorHAnsi" w:hAnsiTheme="majorHAnsi" w:cstheme="majorHAnsi"/>
                <w:color w:val="000000"/>
                <w:sz w:val="19"/>
                <w:szCs w:val="19"/>
              </w:rPr>
              <w:t xml:space="preserve"> program </w:t>
            </w:r>
          </w:p>
        </w:tc>
        <w:tc>
          <w:tcPr>
            <w:tcW w:w="1052" w:type="dxa"/>
            <w:tcBorders>
              <w:left w:val="nil"/>
              <w:right w:val="nil"/>
            </w:tcBorders>
            <w:vAlign w:val="center"/>
          </w:tcPr>
          <w:p w14:paraId="7AEDF9FF" w14:textId="77777777" w:rsidR="0093543F" w:rsidRPr="00266D4D" w:rsidRDefault="0093543F" w:rsidP="0093543F">
            <w:pPr>
              <w:jc w:val="right"/>
              <w:rPr>
                <w:rFonts w:asciiTheme="majorHAnsi" w:hAnsiTheme="majorHAnsi" w:cstheme="majorHAnsi"/>
                <w:sz w:val="19"/>
                <w:szCs w:val="19"/>
              </w:rPr>
            </w:pPr>
            <w:r w:rsidRPr="00266D4D">
              <w:rPr>
                <w:rFonts w:asciiTheme="majorHAnsi" w:hAnsiTheme="majorHAnsi" w:cstheme="majorHAnsi"/>
                <w:sz w:val="19"/>
                <w:szCs w:val="19"/>
              </w:rPr>
              <w:t>5.3</w:t>
            </w:r>
          </w:p>
        </w:tc>
      </w:tr>
      <w:tr w:rsidR="0093543F" w:rsidRPr="007C440D" w14:paraId="24BA1EE4" w14:textId="77777777" w:rsidTr="00BA65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8647" w:type="dxa"/>
            <w:tcBorders>
              <w:left w:val="nil"/>
              <w:right w:val="nil"/>
            </w:tcBorders>
          </w:tcPr>
          <w:p w14:paraId="152B3567" w14:textId="679EAD89" w:rsidR="0093543F" w:rsidRPr="00266D4D" w:rsidRDefault="0093543F" w:rsidP="0093543F">
            <w:pPr>
              <w:rPr>
                <w:rFonts w:asciiTheme="majorHAnsi" w:hAnsiTheme="majorHAnsi" w:cstheme="majorHAnsi"/>
                <w:bCs/>
                <w:sz w:val="19"/>
                <w:szCs w:val="19"/>
              </w:rPr>
            </w:pPr>
            <w:r w:rsidRPr="00266D4D">
              <w:rPr>
                <w:rFonts w:asciiTheme="majorHAnsi" w:hAnsiTheme="majorHAnsi" w:cstheme="majorHAnsi"/>
                <w:color w:val="000000"/>
                <w:sz w:val="19"/>
                <w:szCs w:val="19"/>
              </w:rPr>
              <w:t xml:space="preserve">Improving employment opportunities – pilot </w:t>
            </w:r>
            <w:proofErr w:type="spellStart"/>
            <w:r w:rsidRPr="00266D4D">
              <w:rPr>
                <w:rFonts w:asciiTheme="majorHAnsi" w:hAnsiTheme="majorHAnsi" w:cstheme="majorHAnsi"/>
                <w:color w:val="000000"/>
                <w:sz w:val="19"/>
                <w:szCs w:val="19"/>
              </w:rPr>
              <w:t>AgUP</w:t>
            </w:r>
            <w:proofErr w:type="spellEnd"/>
            <w:r w:rsidRPr="00266D4D">
              <w:rPr>
                <w:rFonts w:asciiTheme="majorHAnsi" w:hAnsiTheme="majorHAnsi" w:cstheme="majorHAnsi"/>
                <w:color w:val="000000"/>
                <w:sz w:val="19"/>
                <w:szCs w:val="19"/>
              </w:rPr>
              <w:t xml:space="preserve"> program</w:t>
            </w:r>
          </w:p>
        </w:tc>
        <w:tc>
          <w:tcPr>
            <w:tcW w:w="1052" w:type="dxa"/>
            <w:tcBorders>
              <w:left w:val="nil"/>
              <w:right w:val="nil"/>
            </w:tcBorders>
            <w:vAlign w:val="center"/>
          </w:tcPr>
          <w:p w14:paraId="717B5D60" w14:textId="77777777" w:rsidR="0093543F" w:rsidRPr="00266D4D" w:rsidRDefault="0093543F" w:rsidP="0093543F">
            <w:pPr>
              <w:jc w:val="right"/>
              <w:rPr>
                <w:rFonts w:asciiTheme="majorHAnsi" w:hAnsiTheme="majorHAnsi" w:cstheme="majorHAnsi"/>
                <w:sz w:val="19"/>
                <w:szCs w:val="19"/>
              </w:rPr>
            </w:pPr>
            <w:r w:rsidRPr="00266D4D">
              <w:rPr>
                <w:rFonts w:asciiTheme="majorHAnsi" w:hAnsiTheme="majorHAnsi" w:cstheme="majorHAnsi"/>
                <w:sz w:val="19"/>
                <w:szCs w:val="19"/>
              </w:rPr>
              <w:t>10.1</w:t>
            </w:r>
          </w:p>
        </w:tc>
      </w:tr>
      <w:tr w:rsidR="0093543F" w:rsidRPr="007C440D" w14:paraId="6F1DD4BB" w14:textId="77777777" w:rsidTr="00BA65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8647" w:type="dxa"/>
            <w:tcBorders>
              <w:left w:val="nil"/>
              <w:right w:val="nil"/>
            </w:tcBorders>
          </w:tcPr>
          <w:p w14:paraId="133FE3C7" w14:textId="00F32D96" w:rsidR="0093543F" w:rsidRPr="00266D4D" w:rsidRDefault="0093543F" w:rsidP="0093543F">
            <w:pPr>
              <w:rPr>
                <w:rFonts w:asciiTheme="majorHAnsi" w:hAnsiTheme="majorHAnsi" w:cstheme="majorHAnsi"/>
                <w:sz w:val="19"/>
                <w:szCs w:val="19"/>
              </w:rPr>
            </w:pPr>
            <w:r w:rsidRPr="00266D4D">
              <w:rPr>
                <w:rFonts w:asciiTheme="majorHAnsi" w:hAnsiTheme="majorHAnsi" w:cstheme="majorHAnsi"/>
                <w:color w:val="000000"/>
                <w:sz w:val="19"/>
                <w:szCs w:val="19"/>
              </w:rPr>
              <w:t xml:space="preserve">Improving employment opportunities – research and development corporation to undertake research on the attraction and retention of agriculture sector workers </w:t>
            </w:r>
          </w:p>
        </w:tc>
        <w:tc>
          <w:tcPr>
            <w:tcW w:w="1052" w:type="dxa"/>
            <w:tcBorders>
              <w:left w:val="nil"/>
              <w:right w:val="nil"/>
            </w:tcBorders>
            <w:vAlign w:val="center"/>
          </w:tcPr>
          <w:p w14:paraId="0657BDED" w14:textId="77777777" w:rsidR="0093543F" w:rsidRPr="00266D4D" w:rsidRDefault="0093543F" w:rsidP="0093543F">
            <w:pPr>
              <w:jc w:val="right"/>
              <w:rPr>
                <w:rFonts w:asciiTheme="majorHAnsi" w:hAnsiTheme="majorHAnsi" w:cstheme="majorHAnsi"/>
                <w:sz w:val="19"/>
                <w:szCs w:val="19"/>
              </w:rPr>
            </w:pPr>
            <w:r w:rsidRPr="00266D4D">
              <w:rPr>
                <w:rFonts w:asciiTheme="majorHAnsi" w:hAnsiTheme="majorHAnsi" w:cstheme="majorHAnsi"/>
                <w:sz w:val="19"/>
                <w:szCs w:val="19"/>
              </w:rPr>
              <w:t>1.3</w:t>
            </w:r>
          </w:p>
        </w:tc>
      </w:tr>
      <w:tr w:rsidR="0093543F" w:rsidRPr="007C440D" w14:paraId="6553A7B2" w14:textId="77777777" w:rsidTr="00BA65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8647" w:type="dxa"/>
            <w:tcBorders>
              <w:left w:val="nil"/>
              <w:right w:val="nil"/>
            </w:tcBorders>
          </w:tcPr>
          <w:p w14:paraId="66770D81" w14:textId="0A476457" w:rsidR="0093543F" w:rsidRPr="00266D4D" w:rsidRDefault="0093543F" w:rsidP="0093543F">
            <w:pPr>
              <w:rPr>
                <w:rFonts w:asciiTheme="majorHAnsi" w:hAnsiTheme="majorHAnsi" w:cstheme="majorHAnsi"/>
                <w:sz w:val="19"/>
                <w:szCs w:val="19"/>
              </w:rPr>
            </w:pPr>
            <w:r w:rsidRPr="00266D4D">
              <w:rPr>
                <w:rFonts w:asciiTheme="majorHAnsi" w:hAnsiTheme="majorHAnsi" w:cstheme="majorHAnsi"/>
                <w:color w:val="000000"/>
                <w:sz w:val="19"/>
                <w:szCs w:val="19"/>
              </w:rPr>
              <w:t>Improving employment opportunities – improve the collection, analysis and forecasting of agricultural labour force data</w:t>
            </w:r>
          </w:p>
        </w:tc>
        <w:tc>
          <w:tcPr>
            <w:tcW w:w="1052" w:type="dxa"/>
            <w:tcBorders>
              <w:left w:val="nil"/>
              <w:right w:val="nil"/>
            </w:tcBorders>
            <w:vAlign w:val="center"/>
          </w:tcPr>
          <w:p w14:paraId="27EDB55E" w14:textId="3A94114B" w:rsidR="0093543F" w:rsidRPr="00266D4D" w:rsidRDefault="0093543F" w:rsidP="0093543F">
            <w:pPr>
              <w:jc w:val="right"/>
              <w:rPr>
                <w:rFonts w:asciiTheme="majorHAnsi" w:hAnsiTheme="majorHAnsi" w:cstheme="majorHAnsi"/>
                <w:sz w:val="19"/>
                <w:szCs w:val="19"/>
              </w:rPr>
            </w:pPr>
            <w:r w:rsidRPr="00266D4D">
              <w:rPr>
                <w:rFonts w:asciiTheme="majorHAnsi" w:hAnsiTheme="majorHAnsi" w:cstheme="majorHAnsi"/>
                <w:sz w:val="19"/>
                <w:szCs w:val="19"/>
              </w:rPr>
              <w:t>8.</w:t>
            </w:r>
            <w:r w:rsidR="0064014C">
              <w:rPr>
                <w:rFonts w:asciiTheme="majorHAnsi" w:hAnsiTheme="majorHAnsi" w:cstheme="majorHAnsi"/>
                <w:sz w:val="19"/>
                <w:szCs w:val="19"/>
              </w:rPr>
              <w:t>5</w:t>
            </w:r>
          </w:p>
        </w:tc>
      </w:tr>
      <w:tr w:rsidR="0093543F" w:rsidRPr="007C440D" w14:paraId="29969D17" w14:textId="77777777" w:rsidTr="00BA65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8647" w:type="dxa"/>
            <w:tcBorders>
              <w:left w:val="nil"/>
              <w:right w:val="nil"/>
            </w:tcBorders>
          </w:tcPr>
          <w:p w14:paraId="18689668" w14:textId="2710031C" w:rsidR="0093543F" w:rsidRPr="00266D4D" w:rsidRDefault="0093543F" w:rsidP="0093543F">
            <w:pPr>
              <w:rPr>
                <w:rFonts w:asciiTheme="majorHAnsi" w:hAnsiTheme="majorHAnsi" w:cstheme="majorHAnsi"/>
                <w:color w:val="000000"/>
                <w:sz w:val="19"/>
                <w:szCs w:val="19"/>
              </w:rPr>
            </w:pPr>
            <w:r w:rsidRPr="00266D4D">
              <w:rPr>
                <w:rFonts w:asciiTheme="majorHAnsi" w:hAnsiTheme="majorHAnsi" w:cstheme="majorHAnsi"/>
                <w:color w:val="000000"/>
                <w:sz w:val="19"/>
                <w:szCs w:val="19"/>
              </w:rPr>
              <w:t>Improving employment opportunities – develop resources for agricultural employers to implement modern workforce management and planning practices</w:t>
            </w:r>
          </w:p>
        </w:tc>
        <w:tc>
          <w:tcPr>
            <w:tcW w:w="1052" w:type="dxa"/>
            <w:tcBorders>
              <w:left w:val="nil"/>
              <w:right w:val="nil"/>
            </w:tcBorders>
            <w:vAlign w:val="center"/>
          </w:tcPr>
          <w:p w14:paraId="3840D0CA" w14:textId="77777777" w:rsidR="0093543F" w:rsidRPr="00266D4D" w:rsidRDefault="0093543F" w:rsidP="0093543F">
            <w:pPr>
              <w:jc w:val="right"/>
              <w:rPr>
                <w:rFonts w:asciiTheme="majorHAnsi" w:hAnsiTheme="majorHAnsi" w:cstheme="majorHAnsi"/>
                <w:sz w:val="19"/>
                <w:szCs w:val="19"/>
              </w:rPr>
            </w:pPr>
            <w:r w:rsidRPr="00266D4D">
              <w:rPr>
                <w:rFonts w:asciiTheme="majorHAnsi" w:hAnsiTheme="majorHAnsi" w:cstheme="majorHAnsi"/>
                <w:sz w:val="19"/>
                <w:szCs w:val="19"/>
              </w:rPr>
              <w:t>1.0</w:t>
            </w:r>
          </w:p>
        </w:tc>
      </w:tr>
      <w:tr w:rsidR="0093543F" w:rsidRPr="007C440D" w14:paraId="0C0DACB2" w14:textId="77777777" w:rsidTr="00BA65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8647" w:type="dxa"/>
            <w:tcBorders>
              <w:left w:val="nil"/>
              <w:right w:val="nil"/>
            </w:tcBorders>
          </w:tcPr>
          <w:p w14:paraId="12154EAE" w14:textId="319989BB" w:rsidR="0093543F" w:rsidRPr="00266D4D" w:rsidRDefault="0093543F" w:rsidP="0093543F">
            <w:pPr>
              <w:rPr>
                <w:rFonts w:asciiTheme="majorHAnsi" w:hAnsiTheme="majorHAnsi" w:cstheme="majorHAnsi"/>
                <w:color w:val="000000"/>
                <w:sz w:val="19"/>
                <w:szCs w:val="19"/>
              </w:rPr>
            </w:pPr>
            <w:r w:rsidRPr="00266D4D">
              <w:rPr>
                <w:rFonts w:asciiTheme="majorHAnsi" w:hAnsiTheme="majorHAnsi" w:cstheme="majorHAnsi"/>
                <w:color w:val="000000"/>
                <w:sz w:val="19"/>
                <w:szCs w:val="19"/>
              </w:rPr>
              <w:t xml:space="preserve">Improving employment opportunities – extend the Fair Farms program </w:t>
            </w:r>
          </w:p>
        </w:tc>
        <w:tc>
          <w:tcPr>
            <w:tcW w:w="1052" w:type="dxa"/>
            <w:tcBorders>
              <w:left w:val="nil"/>
              <w:right w:val="nil"/>
            </w:tcBorders>
            <w:vAlign w:val="center"/>
          </w:tcPr>
          <w:p w14:paraId="44E7CF6F" w14:textId="77777777" w:rsidR="0093543F" w:rsidRPr="00266D4D" w:rsidRDefault="0093543F" w:rsidP="0093543F">
            <w:pPr>
              <w:jc w:val="right"/>
              <w:rPr>
                <w:rFonts w:asciiTheme="majorHAnsi" w:hAnsiTheme="majorHAnsi" w:cstheme="majorHAnsi"/>
                <w:sz w:val="19"/>
                <w:szCs w:val="19"/>
              </w:rPr>
            </w:pPr>
            <w:r w:rsidRPr="00266D4D">
              <w:rPr>
                <w:rFonts w:asciiTheme="majorHAnsi" w:hAnsiTheme="majorHAnsi" w:cstheme="majorHAnsi"/>
                <w:sz w:val="19"/>
                <w:szCs w:val="19"/>
              </w:rPr>
              <w:t>3.6</w:t>
            </w:r>
          </w:p>
        </w:tc>
      </w:tr>
      <w:tr w:rsidR="0093543F" w:rsidRPr="007C440D" w14:paraId="32183764" w14:textId="77777777" w:rsidTr="00BA65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8647" w:type="dxa"/>
            <w:tcBorders>
              <w:left w:val="nil"/>
              <w:right w:val="nil"/>
            </w:tcBorders>
          </w:tcPr>
          <w:p w14:paraId="03A6D434" w14:textId="0A736CC3" w:rsidR="0093543F" w:rsidRPr="00266D4D" w:rsidRDefault="0093543F" w:rsidP="0093543F">
            <w:pPr>
              <w:rPr>
                <w:rFonts w:asciiTheme="majorHAnsi" w:hAnsiTheme="majorHAnsi" w:cstheme="majorHAnsi"/>
                <w:color w:val="000000"/>
                <w:sz w:val="19"/>
                <w:szCs w:val="19"/>
              </w:rPr>
            </w:pPr>
            <w:r w:rsidRPr="00266D4D">
              <w:rPr>
                <w:rFonts w:asciiTheme="majorHAnsi" w:hAnsiTheme="majorHAnsi" w:cstheme="majorHAnsi"/>
                <w:color w:val="000000"/>
                <w:sz w:val="19"/>
                <w:szCs w:val="19"/>
              </w:rPr>
              <w:t>Regional Investment Corporation  –</w:t>
            </w:r>
            <w:r>
              <w:rPr>
                <w:rFonts w:asciiTheme="majorHAnsi" w:hAnsiTheme="majorHAnsi" w:cstheme="majorHAnsi"/>
                <w:color w:val="000000"/>
                <w:sz w:val="19"/>
                <w:szCs w:val="19"/>
              </w:rPr>
              <w:t xml:space="preserve"> p</w:t>
            </w:r>
            <w:r w:rsidRPr="00266D4D">
              <w:rPr>
                <w:rFonts w:asciiTheme="majorHAnsi" w:hAnsiTheme="majorHAnsi" w:cstheme="majorHAnsi"/>
                <w:color w:val="000000"/>
                <w:sz w:val="19"/>
                <w:szCs w:val="19"/>
              </w:rPr>
              <w:t xml:space="preserve">lantation development concessional loans </w:t>
            </w:r>
          </w:p>
        </w:tc>
        <w:tc>
          <w:tcPr>
            <w:tcW w:w="1052" w:type="dxa"/>
            <w:tcBorders>
              <w:left w:val="nil"/>
              <w:right w:val="nil"/>
            </w:tcBorders>
            <w:vAlign w:val="center"/>
          </w:tcPr>
          <w:p w14:paraId="12A07E41" w14:textId="7118DF14" w:rsidR="0093543F" w:rsidRPr="00266D4D" w:rsidRDefault="0093543F" w:rsidP="0093543F">
            <w:pPr>
              <w:jc w:val="right"/>
              <w:rPr>
                <w:rFonts w:asciiTheme="majorHAnsi" w:hAnsiTheme="majorHAnsi" w:cstheme="majorHAnsi"/>
                <w:sz w:val="19"/>
                <w:szCs w:val="19"/>
              </w:rPr>
            </w:pPr>
            <w:r w:rsidRPr="00266D4D">
              <w:rPr>
                <w:rFonts w:asciiTheme="majorHAnsi" w:hAnsiTheme="majorHAnsi" w:cstheme="majorHAnsi"/>
                <w:sz w:val="19"/>
                <w:szCs w:val="19"/>
              </w:rPr>
              <w:t>0.8</w:t>
            </w:r>
          </w:p>
        </w:tc>
      </w:tr>
      <w:tr w:rsidR="0093543F" w:rsidRPr="007C440D" w14:paraId="55B13ECD" w14:textId="77777777" w:rsidTr="00BA65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8647" w:type="dxa"/>
            <w:tcBorders>
              <w:left w:val="nil"/>
              <w:right w:val="nil"/>
            </w:tcBorders>
          </w:tcPr>
          <w:p w14:paraId="6611BE82" w14:textId="6ED298F8" w:rsidR="0093543F" w:rsidRPr="00266D4D" w:rsidRDefault="0093543F" w:rsidP="0093543F">
            <w:pPr>
              <w:rPr>
                <w:rFonts w:asciiTheme="majorHAnsi" w:hAnsiTheme="majorHAnsi" w:cstheme="majorHAnsi"/>
                <w:color w:val="000000"/>
                <w:sz w:val="19"/>
                <w:szCs w:val="19"/>
              </w:rPr>
            </w:pPr>
            <w:r w:rsidRPr="00266D4D">
              <w:rPr>
                <w:rFonts w:asciiTheme="majorHAnsi" w:hAnsiTheme="majorHAnsi" w:cstheme="majorHAnsi"/>
                <w:color w:val="000000"/>
                <w:sz w:val="19"/>
                <w:szCs w:val="19"/>
              </w:rPr>
              <w:t xml:space="preserve">*Regional Investment Corporation – existing loan funding for </w:t>
            </w:r>
            <w:r>
              <w:rPr>
                <w:rFonts w:asciiTheme="majorHAnsi" w:hAnsiTheme="majorHAnsi" w:cstheme="majorHAnsi"/>
                <w:color w:val="000000"/>
                <w:sz w:val="19"/>
                <w:szCs w:val="19"/>
              </w:rPr>
              <w:t>p</w:t>
            </w:r>
            <w:r w:rsidRPr="00266D4D">
              <w:rPr>
                <w:rFonts w:asciiTheme="majorHAnsi" w:hAnsiTheme="majorHAnsi" w:cstheme="majorHAnsi"/>
                <w:color w:val="000000"/>
                <w:sz w:val="19"/>
                <w:szCs w:val="19"/>
              </w:rPr>
              <w:t xml:space="preserve">lantation </w:t>
            </w:r>
            <w:r>
              <w:rPr>
                <w:rFonts w:asciiTheme="majorHAnsi" w:hAnsiTheme="majorHAnsi" w:cstheme="majorHAnsi"/>
                <w:color w:val="000000"/>
                <w:sz w:val="19"/>
                <w:szCs w:val="19"/>
              </w:rPr>
              <w:t>d</w:t>
            </w:r>
            <w:r w:rsidRPr="00266D4D">
              <w:rPr>
                <w:rFonts w:asciiTheme="majorHAnsi" w:hAnsiTheme="majorHAnsi" w:cstheme="majorHAnsi"/>
                <w:color w:val="000000"/>
                <w:sz w:val="19"/>
                <w:szCs w:val="19"/>
              </w:rPr>
              <w:t>evelopment</w:t>
            </w:r>
            <w:r>
              <w:rPr>
                <w:rFonts w:asciiTheme="majorHAnsi" w:hAnsiTheme="majorHAnsi" w:cstheme="majorHAnsi"/>
                <w:color w:val="000000"/>
                <w:sz w:val="19"/>
                <w:szCs w:val="19"/>
              </w:rPr>
              <w:t xml:space="preserve"> c</w:t>
            </w:r>
            <w:r w:rsidRPr="00266D4D">
              <w:rPr>
                <w:rFonts w:asciiTheme="majorHAnsi" w:hAnsiTheme="majorHAnsi" w:cstheme="majorHAnsi"/>
                <w:color w:val="000000"/>
                <w:sz w:val="19"/>
                <w:szCs w:val="19"/>
              </w:rPr>
              <w:t xml:space="preserve">oncessional </w:t>
            </w:r>
            <w:r>
              <w:rPr>
                <w:rFonts w:asciiTheme="majorHAnsi" w:hAnsiTheme="majorHAnsi" w:cstheme="majorHAnsi"/>
                <w:color w:val="000000"/>
                <w:sz w:val="19"/>
                <w:szCs w:val="19"/>
              </w:rPr>
              <w:t>l</w:t>
            </w:r>
            <w:r w:rsidRPr="00266D4D">
              <w:rPr>
                <w:rFonts w:asciiTheme="majorHAnsi" w:hAnsiTheme="majorHAnsi" w:cstheme="majorHAnsi"/>
                <w:color w:val="000000"/>
                <w:sz w:val="19"/>
                <w:szCs w:val="19"/>
              </w:rPr>
              <w:t>oans</w:t>
            </w:r>
          </w:p>
        </w:tc>
        <w:tc>
          <w:tcPr>
            <w:tcW w:w="1052" w:type="dxa"/>
            <w:tcBorders>
              <w:left w:val="nil"/>
              <w:right w:val="nil"/>
            </w:tcBorders>
            <w:vAlign w:val="center"/>
          </w:tcPr>
          <w:p w14:paraId="1C391A43" w14:textId="55D676AC" w:rsidR="0093543F" w:rsidRPr="00266D4D" w:rsidRDefault="0093543F" w:rsidP="0093543F">
            <w:pPr>
              <w:jc w:val="right"/>
              <w:rPr>
                <w:rFonts w:asciiTheme="majorHAnsi" w:hAnsiTheme="majorHAnsi" w:cstheme="majorHAnsi"/>
                <w:sz w:val="19"/>
                <w:szCs w:val="19"/>
              </w:rPr>
            </w:pPr>
            <w:r w:rsidRPr="00266D4D">
              <w:rPr>
                <w:rFonts w:asciiTheme="majorHAnsi" w:hAnsiTheme="majorHAnsi" w:cstheme="majorHAnsi"/>
                <w:sz w:val="19"/>
                <w:szCs w:val="19"/>
              </w:rPr>
              <w:t>37.5</w:t>
            </w:r>
          </w:p>
        </w:tc>
      </w:tr>
      <w:tr w:rsidR="0093543F" w:rsidRPr="007C440D" w14:paraId="14F9B140" w14:textId="77777777" w:rsidTr="00D819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54"/>
        </w:trPr>
        <w:tc>
          <w:tcPr>
            <w:tcW w:w="8647" w:type="dxa"/>
            <w:tcBorders>
              <w:left w:val="nil"/>
              <w:right w:val="nil"/>
            </w:tcBorders>
            <w:shd w:val="clear" w:color="auto" w:fill="D9D9D9" w:themeFill="background1" w:themeFillShade="D9"/>
            <w:vAlign w:val="center"/>
          </w:tcPr>
          <w:p w14:paraId="0BC31CBC" w14:textId="458805F5" w:rsidR="0093543F" w:rsidRPr="00266D4D" w:rsidRDefault="0093543F" w:rsidP="0093543F">
            <w:pPr>
              <w:rPr>
                <w:rFonts w:asciiTheme="majorHAnsi" w:hAnsiTheme="majorHAnsi" w:cstheme="majorHAnsi"/>
                <w:sz w:val="19"/>
                <w:szCs w:val="19"/>
              </w:rPr>
            </w:pPr>
            <w:r w:rsidRPr="00266D4D">
              <w:rPr>
                <w:rFonts w:asciiTheme="majorHAnsi" w:hAnsiTheme="majorHAnsi" w:cstheme="majorHAnsi"/>
                <w:b/>
                <w:bCs/>
                <w:sz w:val="19"/>
                <w:szCs w:val="19"/>
              </w:rPr>
              <w:t xml:space="preserve">Total: </w:t>
            </w:r>
            <w:r>
              <w:rPr>
                <w:rFonts w:asciiTheme="majorHAnsi" w:hAnsiTheme="majorHAnsi" w:cstheme="majorHAnsi"/>
                <w:b/>
                <w:bCs/>
                <w:sz w:val="19"/>
                <w:szCs w:val="19"/>
              </w:rPr>
              <w:t>Human Capital</w:t>
            </w:r>
          </w:p>
        </w:tc>
        <w:tc>
          <w:tcPr>
            <w:tcW w:w="1052" w:type="dxa"/>
            <w:tcBorders>
              <w:left w:val="nil"/>
              <w:right w:val="nil"/>
            </w:tcBorders>
            <w:shd w:val="clear" w:color="auto" w:fill="D9D9D9" w:themeFill="background1" w:themeFillShade="D9"/>
            <w:vAlign w:val="center"/>
          </w:tcPr>
          <w:p w14:paraId="0CC5A28D" w14:textId="2C897DE3" w:rsidR="0093543F" w:rsidRPr="00D81912" w:rsidRDefault="0093543F" w:rsidP="0093543F">
            <w:pPr>
              <w:jc w:val="right"/>
              <w:rPr>
                <w:b/>
                <w:sz w:val="19"/>
                <w:szCs w:val="19"/>
              </w:rPr>
            </w:pPr>
            <w:r w:rsidRPr="00266D4D">
              <w:rPr>
                <w:b/>
                <w:sz w:val="19"/>
                <w:szCs w:val="19"/>
              </w:rPr>
              <w:t>68.1</w:t>
            </w:r>
          </w:p>
        </w:tc>
      </w:tr>
      <w:tr w:rsidR="0093543F" w:rsidRPr="007C440D" w14:paraId="1BE9B68D" w14:textId="77777777" w:rsidTr="00BA65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55"/>
        </w:trPr>
        <w:tc>
          <w:tcPr>
            <w:tcW w:w="8647" w:type="dxa"/>
            <w:tcBorders>
              <w:left w:val="nil"/>
              <w:bottom w:val="nil"/>
              <w:right w:val="nil"/>
            </w:tcBorders>
            <w:shd w:val="clear" w:color="auto" w:fill="BFBFBF" w:themeFill="background1" w:themeFillShade="BF"/>
            <w:vAlign w:val="center"/>
          </w:tcPr>
          <w:p w14:paraId="4A11964D" w14:textId="1A3B8CC8" w:rsidR="0093543F" w:rsidRPr="00F90EF3" w:rsidRDefault="0093543F" w:rsidP="0093543F">
            <w:pPr>
              <w:rPr>
                <w:rFonts w:asciiTheme="majorHAnsi" w:hAnsiTheme="majorHAnsi" w:cstheme="majorHAnsi"/>
                <w:b/>
                <w:bCs/>
                <w:szCs w:val="20"/>
              </w:rPr>
            </w:pPr>
            <w:r w:rsidRPr="00F90EF3">
              <w:rPr>
                <w:b/>
                <w:bCs/>
                <w:szCs w:val="20"/>
              </w:rPr>
              <w:t>Total: Agriculture 2030 Budget 2021</w:t>
            </w:r>
            <w:r>
              <w:rPr>
                <w:rFonts w:cstheme="minorHAnsi"/>
                <w:b/>
                <w:bCs/>
                <w:szCs w:val="20"/>
              </w:rPr>
              <w:t>–</w:t>
            </w:r>
            <w:r w:rsidRPr="00F90EF3">
              <w:rPr>
                <w:b/>
                <w:bCs/>
                <w:szCs w:val="20"/>
              </w:rPr>
              <w:t>22</w:t>
            </w:r>
          </w:p>
        </w:tc>
        <w:tc>
          <w:tcPr>
            <w:tcW w:w="1052" w:type="dxa"/>
            <w:tcBorders>
              <w:left w:val="nil"/>
              <w:bottom w:val="nil"/>
              <w:right w:val="nil"/>
            </w:tcBorders>
            <w:shd w:val="clear" w:color="auto" w:fill="BFBFBF" w:themeFill="background1" w:themeFillShade="BF"/>
            <w:vAlign w:val="center"/>
          </w:tcPr>
          <w:p w14:paraId="55E70CFA" w14:textId="2B38798E" w:rsidR="0093543F" w:rsidRPr="00F90EF3" w:rsidRDefault="0093543F" w:rsidP="0093543F">
            <w:pPr>
              <w:jc w:val="right"/>
              <w:rPr>
                <w:b/>
                <w:szCs w:val="20"/>
              </w:rPr>
            </w:pPr>
            <w:r w:rsidRPr="00F90EF3">
              <w:rPr>
                <w:b/>
                <w:szCs w:val="20"/>
              </w:rPr>
              <w:t>866.8</w:t>
            </w:r>
          </w:p>
        </w:tc>
      </w:tr>
    </w:tbl>
    <w:p w14:paraId="07D3F8FA" w14:textId="7A6DEB3B" w:rsidR="004540E2" w:rsidRPr="00452BF8" w:rsidRDefault="004540E2" w:rsidP="00F90EF3">
      <w:pPr>
        <w:spacing w:after="60"/>
        <w:rPr>
          <w:sz w:val="24"/>
          <w:szCs w:val="24"/>
        </w:rPr>
      </w:pPr>
      <w:r>
        <w:rPr>
          <w:rStyle w:val="Strong"/>
          <w:i/>
          <w:sz w:val="18"/>
        </w:rPr>
        <w:t>* Costs for these measures have previously been provided by government (including in 2020</w:t>
      </w:r>
      <w:r w:rsidR="003D6DF5">
        <w:rPr>
          <w:rStyle w:val="Strong"/>
          <w:rFonts w:cstheme="minorHAnsi"/>
          <w:i/>
          <w:sz w:val="18"/>
        </w:rPr>
        <w:t>–</w:t>
      </w:r>
      <w:r>
        <w:rPr>
          <w:rStyle w:val="Strong"/>
          <w:i/>
          <w:sz w:val="18"/>
        </w:rPr>
        <w:t>21) or will be partially met from existing funding.</w:t>
      </w:r>
    </w:p>
    <w:p w14:paraId="75FFB427" w14:textId="700D0FFE" w:rsidR="00F86A1E" w:rsidRPr="00A70B1A" w:rsidRDefault="00F86A1E" w:rsidP="00F90EF3">
      <w:pPr>
        <w:pStyle w:val="Heading3Body"/>
        <w:spacing w:before="60" w:after="0"/>
        <w:rPr>
          <w:rFonts w:asciiTheme="minorHAnsi" w:hAnsiTheme="minorHAnsi"/>
          <w:color w:val="auto"/>
          <w:sz w:val="20"/>
          <w:szCs w:val="22"/>
        </w:rPr>
      </w:pPr>
      <w:r w:rsidRPr="00A55EE8">
        <w:t>More information</w:t>
      </w:r>
    </w:p>
    <w:p w14:paraId="1E7B29CF" w14:textId="493ADCC8" w:rsidR="00F86A1E" w:rsidRPr="00A55EE8" w:rsidRDefault="00F86A1E" w:rsidP="00DB189A">
      <w:r w:rsidRPr="00A55EE8">
        <w:t xml:space="preserve">For more information about </w:t>
      </w:r>
      <w:r>
        <w:t>the Agriculture 2030 2021</w:t>
      </w:r>
      <w:r w:rsidRPr="00A70B1A">
        <w:t>–</w:t>
      </w:r>
      <w:r>
        <w:t>22 Budget package, visit awe.gov.au/budget</w:t>
      </w:r>
      <w:r w:rsidR="0023748E">
        <w:t>.</w:t>
      </w:r>
      <w:r w:rsidR="00E35BEF">
        <w:t xml:space="preserve"> </w:t>
      </w:r>
      <w:r>
        <w:t>For more information about the 2021</w:t>
      </w:r>
      <w:r w:rsidRPr="00A70B1A">
        <w:t>–</w:t>
      </w:r>
      <w:r>
        <w:t>22 Budget visit budget.gov.au.</w:t>
      </w:r>
      <w:r w:rsidRPr="00CE3453">
        <w:t xml:space="preserve"> </w:t>
      </w:r>
      <w:r w:rsidR="00E869D5">
        <w:t>More detailed information on</w:t>
      </w:r>
      <w:r w:rsidR="00E869D5" w:rsidRPr="0023748E">
        <w:t xml:space="preserve"> </w:t>
      </w:r>
      <w:r w:rsidR="00244018" w:rsidRPr="0023748E">
        <w:t xml:space="preserve">the government’s plan to support industry reach its Ag2030 goal </w:t>
      </w:r>
      <w:r>
        <w:t>will</w:t>
      </w:r>
      <w:r w:rsidRPr="0023748E">
        <w:t xml:space="preserve"> </w:t>
      </w:r>
      <w:r>
        <w:t>be</w:t>
      </w:r>
      <w:r w:rsidR="00E869D5">
        <w:t xml:space="preserve"> made</w:t>
      </w:r>
      <w:r w:rsidRPr="0023748E">
        <w:t xml:space="preserve"> </w:t>
      </w:r>
      <w:r w:rsidR="00E869D5" w:rsidRPr="0023748E">
        <w:t>available at www.awe.gov.au/Ag2030</w:t>
      </w:r>
      <w:r>
        <w:t>.</w:t>
      </w:r>
    </w:p>
    <w:sectPr w:rsidR="00F86A1E" w:rsidRPr="00A55EE8" w:rsidSect="00B63330">
      <w:headerReference w:type="default" r:id="rId10"/>
      <w:footerReference w:type="default" r:id="rId11"/>
      <w:headerReference w:type="first" r:id="rId12"/>
      <w:footerReference w:type="first" r:id="rId13"/>
      <w:pgSz w:w="11906" w:h="16838"/>
      <w:pgMar w:top="1440" w:right="1133" w:bottom="709"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DF1400" w14:textId="77777777" w:rsidR="00837230" w:rsidRDefault="00837230" w:rsidP="00757170">
      <w:pPr>
        <w:spacing w:after="0" w:line="240" w:lineRule="auto"/>
      </w:pPr>
      <w:r>
        <w:separator/>
      </w:r>
    </w:p>
  </w:endnote>
  <w:endnote w:type="continuationSeparator" w:id="0">
    <w:p w14:paraId="2FEB0CFA" w14:textId="77777777" w:rsidR="00837230" w:rsidRDefault="00837230" w:rsidP="007571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A4DD26" w14:textId="185E0BB9" w:rsidR="00DB189A" w:rsidRDefault="00D36725" w:rsidP="00DB189A">
    <w:pPr>
      <w:pStyle w:val="Footer"/>
      <w:tabs>
        <w:tab w:val="clear" w:pos="4513"/>
        <w:tab w:val="clear" w:pos="9026"/>
        <w:tab w:val="left" w:pos="6780"/>
      </w:tabs>
    </w:pPr>
    <w:r>
      <w:rPr>
        <w:noProof/>
        <w:lang w:eastAsia="en-AU"/>
      </w:rPr>
      <w:drawing>
        <wp:anchor distT="0" distB="0" distL="114300" distR="114300" simplePos="0" relativeHeight="251676672" behindDoc="0" locked="0" layoutInCell="1" allowOverlap="1" wp14:anchorId="1EDFF27B" wp14:editId="52409E41">
          <wp:simplePos x="0" y="0"/>
          <wp:positionH relativeFrom="column">
            <wp:posOffset>5890260</wp:posOffset>
          </wp:positionH>
          <wp:positionV relativeFrom="page">
            <wp:posOffset>9810750</wp:posOffset>
          </wp:positionV>
          <wp:extent cx="790575" cy="790575"/>
          <wp:effectExtent l="0" t="0" r="9525" b="952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qr.gif"/>
                  <pic:cNvPicPr/>
                </pic:nvPicPr>
                <pic:blipFill>
                  <a:blip r:embed="rId1">
                    <a:extLst>
                      <a:ext uri="{28A0092B-C50C-407E-A947-70E740481C1C}">
                        <a14:useLocalDpi xmlns:a14="http://schemas.microsoft.com/office/drawing/2010/main" val="0"/>
                      </a:ext>
                    </a:extLst>
                  </a:blip>
                  <a:stretch>
                    <a:fillRect/>
                  </a:stretch>
                </pic:blipFill>
                <pic:spPr>
                  <a:xfrm>
                    <a:off x="0" y="0"/>
                    <a:ext cx="790575" cy="790575"/>
                  </a:xfrm>
                  <a:prstGeom prst="rect">
                    <a:avLst/>
                  </a:prstGeom>
                </pic:spPr>
              </pic:pic>
            </a:graphicData>
          </a:graphic>
          <wp14:sizeRelH relativeFrom="margin">
            <wp14:pctWidth>0</wp14:pctWidth>
          </wp14:sizeRelH>
          <wp14:sizeRelV relativeFrom="margin">
            <wp14:pctHeight>0</wp14:pctHeight>
          </wp14:sizeRelV>
        </wp:anchor>
      </w:drawing>
    </w:r>
    <w:r w:rsidR="00912140">
      <w:rPr>
        <w:noProof/>
        <w:lang w:eastAsia="en-AU"/>
      </w:rPr>
      <mc:AlternateContent>
        <mc:Choice Requires="wps">
          <w:drawing>
            <wp:anchor distT="0" distB="0" distL="114300" distR="114300" simplePos="0" relativeHeight="251670528" behindDoc="1" locked="0" layoutInCell="1" allowOverlap="1" wp14:anchorId="572F5E1C" wp14:editId="0CC9F316">
              <wp:simplePos x="0" y="0"/>
              <wp:positionH relativeFrom="page">
                <wp:align>left</wp:align>
              </wp:positionH>
              <wp:positionV relativeFrom="paragraph">
                <wp:posOffset>-353060</wp:posOffset>
              </wp:positionV>
              <wp:extent cx="7572375" cy="955675"/>
              <wp:effectExtent l="0" t="0" r="9525" b="0"/>
              <wp:wrapNone/>
              <wp:docPr id="15" name="Rectangle 15"/>
              <wp:cNvGraphicFramePr/>
              <a:graphic xmlns:a="http://schemas.openxmlformats.org/drawingml/2006/main">
                <a:graphicData uri="http://schemas.microsoft.com/office/word/2010/wordprocessingShape">
                  <wps:wsp>
                    <wps:cNvSpPr/>
                    <wps:spPr>
                      <a:xfrm>
                        <a:off x="0" y="0"/>
                        <a:ext cx="7572375" cy="955675"/>
                      </a:xfrm>
                      <a:prstGeom prst="rect">
                        <a:avLst/>
                      </a:prstGeom>
                      <a:solidFill>
                        <a:srgbClr val="00558B"/>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DFD5BD" id="Rectangle 15" o:spid="_x0000_s1026" style="position:absolute;margin-left:0;margin-top:-27.8pt;width:596.25pt;height:75.25pt;z-index:-251645952;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" fillcolor="#00558b" stroked="f" strokeweight="1pt">
              <w10:wrap anchorx="page"/>
            </v:rect>
          </w:pict>
        </mc:Fallback>
      </mc:AlternateContent>
    </w:r>
    <w:r w:rsidR="003C3E57">
      <w:rPr>
        <w:noProof/>
        <w:lang w:eastAsia="en-AU"/>
      </w:rPr>
      <mc:AlternateContent>
        <mc:Choice Requires="wps">
          <w:drawing>
            <wp:anchor distT="45720" distB="45720" distL="114300" distR="114300" simplePos="0" relativeHeight="251673600" behindDoc="0" locked="0" layoutInCell="1" allowOverlap="1" wp14:anchorId="1416BC16" wp14:editId="00F4439A">
              <wp:simplePos x="0" y="0"/>
              <wp:positionH relativeFrom="margin">
                <wp:posOffset>-76200</wp:posOffset>
              </wp:positionH>
              <wp:positionV relativeFrom="paragraph">
                <wp:posOffset>-70485</wp:posOffset>
              </wp:positionV>
              <wp:extent cx="3629025" cy="647700"/>
              <wp:effectExtent l="0" t="0" r="9525" b="0"/>
              <wp:wrapSquare wrapText="bothSides"/>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29025" cy="647700"/>
                      </a:xfrm>
                      <a:prstGeom prst="rect">
                        <a:avLst/>
                      </a:prstGeom>
                      <a:noFill/>
                      <a:ln w="9525">
                        <a:noFill/>
                        <a:miter lim="800000"/>
                        <a:headEnd/>
                        <a:tailEnd/>
                      </a:ln>
                    </wps:spPr>
                    <wps:txbx>
                      <w:txbxContent>
                        <w:p w14:paraId="79B27CDA" w14:textId="77777777" w:rsidR="003C3E57" w:rsidRPr="003C3E57" w:rsidRDefault="003C3E57" w:rsidP="003C3E57">
                          <w:pPr>
                            <w:pStyle w:val="Dateinheading"/>
                            <w:rPr>
                              <w:b/>
                              <w:bCs/>
                              <w:sz w:val="22"/>
                              <w:szCs w:val="22"/>
                            </w:rPr>
                          </w:pPr>
                          <w:r w:rsidRPr="003C3E57">
                            <w:rPr>
                              <w:b/>
                              <w:bCs/>
                              <w:sz w:val="22"/>
                              <w:szCs w:val="22"/>
                            </w:rPr>
                            <w:t>awe.gov.au</w:t>
                          </w:r>
                        </w:p>
                      </w:txbxContent>
                    </wps:txbx>
                    <wps:bodyPr rot="0" vert="horz" wrap="square" lIns="0" tIns="45720" rIns="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416BC16" id="_x0000_t202" coordsize="21600,21600" o:spt="202" path="m,l,21600r21600,l21600,xe">
              <v:stroke joinstyle="miter"/>
              <v:path gradientshapeok="t" o:connecttype="rect"/>
            </v:shapetype>
            <v:shape id="_x0000_s1029" type="#_x0000_t202" style="position:absolute;margin-left:-6pt;margin-top:-5.55pt;width:285.75pt;height:51pt;z-index:2516736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" filled="f" stroked="f">
              <v:textbox inset="0,,0">
                <w:txbxContent>
                  <w:p w14:paraId="79B27CDA" w14:textId="77777777" w:rsidR="003C3E57" w:rsidRPr="003C3E57" w:rsidRDefault="003C3E57" w:rsidP="003C3E57">
                    <w:pPr>
                      <w:pStyle w:val="Dateinheading"/>
                      <w:rPr>
                        <w:b/>
                        <w:bCs/>
                        <w:sz w:val="22"/>
                        <w:szCs w:val="22"/>
                      </w:rPr>
                    </w:pPr>
                    <w:r w:rsidRPr="003C3E57">
                      <w:rPr>
                        <w:b/>
                        <w:bCs/>
                        <w:sz w:val="22"/>
                        <w:szCs w:val="22"/>
                      </w:rPr>
                      <w:t>awe.gov.au</w:t>
                    </w:r>
                  </w:p>
                </w:txbxContent>
              </v:textbox>
              <w10:wrap type="square" anchorx="margin"/>
            </v:shape>
          </w:pict>
        </mc:Fallback>
      </mc:AlternateContent>
    </w:r>
    <w:r w:rsidR="003C3E57">
      <w:rPr>
        <w:noProof/>
        <w:lang w:eastAsia="en-AU"/>
      </w:rPr>
      <mc:AlternateContent>
        <mc:Choice Requires="wps">
          <w:drawing>
            <wp:anchor distT="0" distB="0" distL="114300" distR="114300" simplePos="0" relativeHeight="251674624" behindDoc="0" locked="0" layoutInCell="1" allowOverlap="1" wp14:anchorId="25118DE0" wp14:editId="1D3C18F6">
              <wp:simplePos x="0" y="0"/>
              <wp:positionH relativeFrom="column">
                <wp:posOffset>19050</wp:posOffset>
              </wp:positionH>
              <wp:positionV relativeFrom="paragraph">
                <wp:posOffset>-80010</wp:posOffset>
              </wp:positionV>
              <wp:extent cx="2209800" cy="0"/>
              <wp:effectExtent l="0" t="0" r="0" b="0"/>
              <wp:wrapNone/>
              <wp:docPr id="18" name="Straight Connector 18"/>
              <wp:cNvGraphicFramePr/>
              <a:graphic xmlns:a="http://schemas.openxmlformats.org/drawingml/2006/main">
                <a:graphicData uri="http://schemas.microsoft.com/office/word/2010/wordprocessingShape">
                  <wps:wsp>
                    <wps:cNvCnPr/>
                    <wps:spPr>
                      <a:xfrm>
                        <a:off x="0" y="0"/>
                        <a:ext cx="2209800" cy="0"/>
                      </a:xfrm>
                      <a:prstGeom prst="line">
                        <a:avLst/>
                      </a:prstGeom>
                      <a:ln>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5B2F0D0" id="Straight Connector 18" o:spid="_x0000_s1026" style="position:absolute;z-index:251674624;visibility:visible;mso-wrap-style:square;mso-wrap-distance-left:9pt;mso-wrap-distance-top:0;mso-wrap-distance-right:9pt;mso-wrap-distance-bottom:0;mso-position-horizontal:absolute;mso-position-horizontal-relative:text;mso-position-vertical:absolute;mso-position-vertical-relative:text" from="1.5pt,-6.3pt" to="175.5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" strokecolor="white [3212]" strokeweight=".5pt">
              <v:stroke joinstyle="miter"/>
            </v:line>
          </w:pict>
        </mc:Fallback>
      </mc:AlternateContent>
    </w:r>
    <w:r w:rsidR="003C3E57">
      <w:rPr>
        <w:noProof/>
        <w:lang w:eastAsia="en-AU"/>
      </w:rPr>
      <w:drawing>
        <wp:anchor distT="0" distB="0" distL="114300" distR="114300" simplePos="0" relativeHeight="251671552" behindDoc="0" locked="0" layoutInCell="1" allowOverlap="1" wp14:anchorId="203C1499" wp14:editId="13574BF2">
          <wp:simplePos x="0" y="0"/>
          <wp:positionH relativeFrom="margin">
            <wp:align>left</wp:align>
          </wp:positionH>
          <wp:positionV relativeFrom="paragraph">
            <wp:posOffset>-308610</wp:posOffset>
          </wp:positionV>
          <wp:extent cx="209550" cy="209550"/>
          <wp:effectExtent l="0" t="0" r="0" b="0"/>
          <wp:wrapNone/>
          <wp:docPr id="20" name="Graphic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phic 16"/>
                  <pic:cNvPicPr/>
                </pic:nvPicPr>
                <pic:blipFill>
                  <a:blip r:embed="rId2">
                    <a:extLst>
                      <a:ext uri="{28A0092B-C50C-407E-A947-70E740481C1C}">
                        <a14:useLocalDpi xmlns:a14="http://schemas.microsoft.com/office/drawing/2010/main" val="0"/>
                      </a:ext>
                      <a:ext uri="{96DAC541-7B7A-43D3-8B79-37D633B846F1}">
                        <asvg:svgBlip xmlns:asvg="http://schemas.microsoft.com/office/drawing/2016/SVG/main" r:embed="rId3"/>
                      </a:ext>
                    </a:extLst>
                  </a:blip>
                  <a:stretch>
                    <a:fillRect/>
                  </a:stretch>
                </pic:blipFill>
                <pic:spPr>
                  <a:xfrm>
                    <a:off x="0" y="0"/>
                    <a:ext cx="209550" cy="209550"/>
                  </a:xfrm>
                  <a:prstGeom prst="rect">
                    <a:avLst/>
                  </a:prstGeom>
                </pic:spPr>
              </pic:pic>
            </a:graphicData>
          </a:graphic>
          <wp14:sizeRelH relativeFrom="page">
            <wp14:pctWidth>0</wp14:pctWidth>
          </wp14:sizeRelH>
          <wp14:sizeRelV relativeFrom="page">
            <wp14:pctHeight>0</wp14:pctHeight>
          </wp14:sizeRelV>
        </wp:anchor>
      </w:drawing>
    </w:r>
    <w:r w:rsidR="00DB189A">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720B9" w14:textId="77777777" w:rsidR="0098587C" w:rsidRDefault="0098587C" w:rsidP="0098587C">
    <w:pPr>
      <w:pStyle w:val="Footer"/>
      <w:tabs>
        <w:tab w:val="clear" w:pos="4513"/>
        <w:tab w:val="clear" w:pos="9026"/>
        <w:tab w:val="left" w:pos="1845"/>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5D678D" w14:textId="77777777" w:rsidR="00837230" w:rsidRDefault="00837230" w:rsidP="00757170">
      <w:pPr>
        <w:spacing w:after="0" w:line="240" w:lineRule="auto"/>
      </w:pPr>
      <w:r>
        <w:separator/>
      </w:r>
    </w:p>
  </w:footnote>
  <w:footnote w:type="continuationSeparator" w:id="0">
    <w:p w14:paraId="33AFCD6A" w14:textId="77777777" w:rsidR="00837230" w:rsidRDefault="00837230" w:rsidP="007571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D8CD8F" w14:textId="77777777" w:rsidR="00DB189A" w:rsidRDefault="00DB189A">
    <w:pPr>
      <w:pStyle w:val="Header"/>
    </w:pPr>
    <w:r>
      <w:rPr>
        <w:noProof/>
        <w:lang w:eastAsia="en-AU"/>
      </w:rPr>
      <mc:AlternateContent>
        <mc:Choice Requires="wps">
          <w:drawing>
            <wp:anchor distT="0" distB="0" distL="114300" distR="114300" simplePos="0" relativeHeight="251664384" behindDoc="1" locked="0" layoutInCell="1" allowOverlap="1" wp14:anchorId="534BED0A" wp14:editId="22D17DA3">
              <wp:simplePos x="0" y="0"/>
              <wp:positionH relativeFrom="page">
                <wp:posOffset>9525</wp:posOffset>
              </wp:positionH>
              <wp:positionV relativeFrom="paragraph">
                <wp:posOffset>-478154</wp:posOffset>
              </wp:positionV>
              <wp:extent cx="7572375" cy="590550"/>
              <wp:effectExtent l="0" t="0" r="9525" b="0"/>
              <wp:wrapNone/>
              <wp:docPr id="7" name="Rectangle 7"/>
              <wp:cNvGraphicFramePr/>
              <a:graphic xmlns:a="http://schemas.openxmlformats.org/drawingml/2006/main">
                <a:graphicData uri="http://schemas.microsoft.com/office/word/2010/wordprocessingShape">
                  <wps:wsp>
                    <wps:cNvSpPr/>
                    <wps:spPr>
                      <a:xfrm>
                        <a:off x="0" y="0"/>
                        <a:ext cx="7572375" cy="590550"/>
                      </a:xfrm>
                      <a:prstGeom prst="rect">
                        <a:avLst/>
                      </a:prstGeom>
                      <a:solidFill>
                        <a:srgbClr val="00558B"/>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03A4CC" id="Rectangle 7" o:spid="_x0000_s1026" style="position:absolute;margin-left:.75pt;margin-top:-37.65pt;width:596.25pt;height:46.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" fillcolor="#00558b" stroked="f" strokeweight="1pt">
              <w10:wrap anchorx="page"/>
            </v:rect>
          </w:pict>
        </mc:Fallback>
      </mc:AlternateContent>
    </w:r>
    <w:r>
      <w:rPr>
        <w:noProof/>
        <w:lang w:eastAsia="en-AU"/>
      </w:rPr>
      <mc:AlternateContent>
        <mc:Choice Requires="wps">
          <w:drawing>
            <wp:anchor distT="45720" distB="45720" distL="114300" distR="114300" simplePos="0" relativeHeight="251666432" behindDoc="0" locked="0" layoutInCell="1" allowOverlap="1" wp14:anchorId="59CDAA5C" wp14:editId="420D6496">
              <wp:simplePos x="0" y="0"/>
              <wp:positionH relativeFrom="margin">
                <wp:posOffset>-466725</wp:posOffset>
              </wp:positionH>
              <wp:positionV relativeFrom="paragraph">
                <wp:posOffset>-240030</wp:posOffset>
              </wp:positionV>
              <wp:extent cx="3419475" cy="28575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9475" cy="285750"/>
                      </a:xfrm>
                      <a:prstGeom prst="rect">
                        <a:avLst/>
                      </a:prstGeom>
                      <a:noFill/>
                      <a:ln w="9525">
                        <a:noFill/>
                        <a:miter lim="800000"/>
                        <a:headEnd/>
                        <a:tailEnd/>
                      </a:ln>
                    </wps:spPr>
                    <wps:txbx>
                      <w:txbxContent>
                        <w:p w14:paraId="029E8942" w14:textId="77777777" w:rsidR="00DB189A" w:rsidRPr="00DB189A" w:rsidRDefault="00DB189A">
                          <w:pPr>
                            <w:rPr>
                              <w:color w:val="FFFFFF" w:themeColor="background1"/>
                              <w:sz w:val="18"/>
                              <w:szCs w:val="18"/>
                            </w:rPr>
                          </w:pPr>
                          <w:r w:rsidRPr="00DB189A">
                            <w:rPr>
                              <w:color w:val="FFFFFF" w:themeColor="background1"/>
                              <w:sz w:val="18"/>
                              <w:szCs w:val="18"/>
                            </w:rPr>
                            <w:t>Department of Agriculture, Water and the Environment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9CDAA5C" id="_x0000_t202" coordsize="21600,21600" o:spt="202" path="m,l,21600r21600,l21600,xe">
              <v:stroke joinstyle="miter"/>
              <v:path gradientshapeok="t" o:connecttype="rect"/>
            </v:shapetype>
            <v:shape id="_x0000_s1027" type="#_x0000_t202" style="position:absolute;margin-left:-36.75pt;margin-top:-18.9pt;width:269.25pt;height:22.5pt;z-index:2516664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" filled="f" stroked="f">
              <v:textbox>
                <w:txbxContent>
                  <w:p w14:paraId="029E8942" w14:textId="77777777" w:rsidR="00DB189A" w:rsidRPr="00DB189A" w:rsidRDefault="00DB189A">
                    <w:pPr>
                      <w:rPr>
                        <w:color w:val="FFFFFF" w:themeColor="background1"/>
                        <w:sz w:val="18"/>
                        <w:szCs w:val="18"/>
                      </w:rPr>
                    </w:pPr>
                    <w:r w:rsidRPr="00DB189A">
                      <w:rPr>
                        <w:color w:val="FFFFFF" w:themeColor="background1"/>
                        <w:sz w:val="18"/>
                        <w:szCs w:val="18"/>
                      </w:rPr>
                      <w:t>Department of Agriculture, Water and the Environment</w:t>
                    </w:r>
                  </w:p>
                </w:txbxContent>
              </v:textbox>
              <w10:wrap type="square" anchorx="margin"/>
            </v:shape>
          </w:pict>
        </mc:Fallback>
      </mc:AlternateContent>
    </w:r>
    <w:r>
      <w:rPr>
        <w:noProof/>
        <w:lang w:eastAsia="en-AU"/>
      </w:rPr>
      <mc:AlternateContent>
        <mc:Choice Requires="wps">
          <w:drawing>
            <wp:anchor distT="45720" distB="45720" distL="114300" distR="114300" simplePos="0" relativeHeight="251668480" behindDoc="0" locked="0" layoutInCell="1" allowOverlap="1" wp14:anchorId="16D8AE2E" wp14:editId="119ECC77">
              <wp:simplePos x="0" y="0"/>
              <wp:positionH relativeFrom="margin">
                <wp:posOffset>2790825</wp:posOffset>
              </wp:positionH>
              <wp:positionV relativeFrom="paragraph">
                <wp:posOffset>-249555</wp:posOffset>
              </wp:positionV>
              <wp:extent cx="3419475" cy="285750"/>
              <wp:effectExtent l="0" t="0" r="0" b="0"/>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9475" cy="285750"/>
                      </a:xfrm>
                      <a:prstGeom prst="rect">
                        <a:avLst/>
                      </a:prstGeom>
                      <a:noFill/>
                      <a:ln w="9525">
                        <a:noFill/>
                        <a:miter lim="800000"/>
                        <a:headEnd/>
                        <a:tailEnd/>
                      </a:ln>
                    </wps:spPr>
                    <wps:txbx>
                      <w:txbxContent>
                        <w:p w14:paraId="1B4AB79D" w14:textId="61F60655" w:rsidR="00DB189A" w:rsidRPr="00DB189A" w:rsidRDefault="00837230" w:rsidP="00DB189A">
                          <w:pPr>
                            <w:jc w:val="right"/>
                            <w:rPr>
                              <w:b/>
                              <w:bCs/>
                              <w:color w:val="FFFFFF" w:themeColor="background1"/>
                              <w:sz w:val="18"/>
                              <w:szCs w:val="18"/>
                              <w:lang w:val="en-US"/>
                            </w:rPr>
                          </w:pPr>
                          <w:r>
                            <w:rPr>
                              <w:b/>
                              <w:bCs/>
                              <w:color w:val="FFFFFF" w:themeColor="background1"/>
                              <w:sz w:val="18"/>
                              <w:szCs w:val="18"/>
                              <w:lang w:val="en-US"/>
                            </w:rPr>
                            <w:t>Budget 2021</w:t>
                          </w:r>
                          <w:r w:rsidR="003D6DF5">
                            <w:rPr>
                              <w:rFonts w:cstheme="minorHAnsi"/>
                              <w:b/>
                              <w:bCs/>
                              <w:color w:val="FFFFFF" w:themeColor="background1"/>
                              <w:sz w:val="18"/>
                              <w:szCs w:val="18"/>
                              <w:lang w:val="en-US"/>
                            </w:rPr>
                            <w:t>–</w:t>
                          </w:r>
                          <w:r>
                            <w:rPr>
                              <w:b/>
                              <w:bCs/>
                              <w:color w:val="FFFFFF" w:themeColor="background1"/>
                              <w:sz w:val="18"/>
                              <w:szCs w:val="18"/>
                              <w:lang w:val="en-US"/>
                            </w:rPr>
                            <w:t>22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D8AE2E" id="_x0000_s1028" type="#_x0000_t202" style="position:absolute;margin-left:219.75pt;margin-top:-19.65pt;width:269.25pt;height:22.5pt;z-index:2516684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" filled="f" stroked="f">
              <v:textbox>
                <w:txbxContent>
                  <w:p w14:paraId="1B4AB79D" w14:textId="61F60655" w:rsidR="00DB189A" w:rsidRPr="00DB189A" w:rsidRDefault="00837230" w:rsidP="00DB189A">
                    <w:pPr>
                      <w:jc w:val="right"/>
                      <w:rPr>
                        <w:b/>
                        <w:bCs/>
                        <w:color w:val="FFFFFF" w:themeColor="background1"/>
                        <w:sz w:val="18"/>
                        <w:szCs w:val="18"/>
                        <w:lang w:val="en-US"/>
                      </w:rPr>
                    </w:pPr>
                    <w:r>
                      <w:rPr>
                        <w:b/>
                        <w:bCs/>
                        <w:color w:val="FFFFFF" w:themeColor="background1"/>
                        <w:sz w:val="18"/>
                        <w:szCs w:val="18"/>
                        <w:lang w:val="en-US"/>
                      </w:rPr>
                      <w:t>Budget 2021</w:t>
                    </w:r>
                    <w:r w:rsidR="003D6DF5">
                      <w:rPr>
                        <w:rFonts w:cstheme="minorHAnsi"/>
                        <w:b/>
                        <w:bCs/>
                        <w:color w:val="FFFFFF" w:themeColor="background1"/>
                        <w:sz w:val="18"/>
                        <w:szCs w:val="18"/>
                        <w:lang w:val="en-US"/>
                      </w:rPr>
                      <w:t>–</w:t>
                    </w:r>
                    <w:r>
                      <w:rPr>
                        <w:b/>
                        <w:bCs/>
                        <w:color w:val="FFFFFF" w:themeColor="background1"/>
                        <w:sz w:val="18"/>
                        <w:szCs w:val="18"/>
                        <w:lang w:val="en-US"/>
                      </w:rPr>
                      <w:t>22</w:t>
                    </w:r>
                  </w:p>
                </w:txbxContent>
              </v:textbox>
              <w10:wrap type="square" anchorx="margin"/>
            </v:shape>
          </w:pict>
        </mc:Fallback>
      </mc:AlternateContent>
    </w: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5501A5" w14:textId="14FB99C8" w:rsidR="00757170" w:rsidRDefault="0059446D">
    <w:pPr>
      <w:pStyle w:val="Header"/>
    </w:pPr>
    <w:r>
      <w:rPr>
        <w:noProof/>
        <w:lang w:eastAsia="en-AU"/>
      </w:rPr>
      <w:drawing>
        <wp:anchor distT="0" distB="0" distL="114300" distR="114300" simplePos="0" relativeHeight="251675648" behindDoc="0" locked="0" layoutInCell="1" allowOverlap="1" wp14:anchorId="13473CB7" wp14:editId="2E634A4E">
          <wp:simplePos x="0" y="0"/>
          <wp:positionH relativeFrom="margin">
            <wp:posOffset>3670300</wp:posOffset>
          </wp:positionH>
          <wp:positionV relativeFrom="paragraph">
            <wp:posOffset>-182879</wp:posOffset>
          </wp:positionV>
          <wp:extent cx="2062480" cy="450850"/>
          <wp:effectExtent l="0" t="0" r="0" b="6350"/>
          <wp:wrapNone/>
          <wp:docPr id="21" name="Picture 21"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hape&#10;&#10;Description automatically generated with medium confidence"/>
                  <pic:cNvPicPr/>
                </pic:nvPicPr>
                <pic:blipFill rotWithShape="1">
                  <a:blip r:embed="rId1">
                    <a:extLst>
                      <a:ext uri="{28A0092B-C50C-407E-A947-70E740481C1C}">
                        <a14:useLocalDpi xmlns:a14="http://schemas.microsoft.com/office/drawing/2010/main" val="0"/>
                      </a:ext>
                    </a:extLst>
                  </a:blip>
                  <a:srcRect l="21697" t="1" b="2464"/>
                  <a:stretch/>
                </pic:blipFill>
                <pic:spPr bwMode="auto">
                  <a:xfrm>
                    <a:off x="0" y="0"/>
                    <a:ext cx="2062804" cy="450921"/>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57170">
      <w:rPr>
        <w:noProof/>
        <w:lang w:eastAsia="en-AU"/>
      </w:rPr>
      <mc:AlternateContent>
        <mc:Choice Requires="wps">
          <w:drawing>
            <wp:anchor distT="0" distB="0" distL="114300" distR="114300" simplePos="0" relativeHeight="251659264" behindDoc="0" locked="0" layoutInCell="1" allowOverlap="1" wp14:anchorId="0A66232F" wp14:editId="5F251985">
              <wp:simplePos x="0" y="0"/>
              <wp:positionH relativeFrom="page">
                <wp:align>left</wp:align>
              </wp:positionH>
              <wp:positionV relativeFrom="paragraph">
                <wp:posOffset>-449580</wp:posOffset>
              </wp:positionV>
              <wp:extent cx="7572375" cy="920187"/>
              <wp:effectExtent l="0" t="0" r="9525" b="0"/>
              <wp:wrapNone/>
              <wp:docPr id="1" name="Rectangle 1"/>
              <wp:cNvGraphicFramePr/>
              <a:graphic xmlns:a="http://schemas.openxmlformats.org/drawingml/2006/main">
                <a:graphicData uri="http://schemas.microsoft.com/office/word/2010/wordprocessingShape">
                  <wps:wsp>
                    <wps:cNvSpPr/>
                    <wps:spPr>
                      <a:xfrm>
                        <a:off x="0" y="0"/>
                        <a:ext cx="7572375" cy="920187"/>
                      </a:xfrm>
                      <a:prstGeom prst="rect">
                        <a:avLst/>
                      </a:prstGeom>
                      <a:solidFill>
                        <a:srgbClr val="D5D0C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485F2F" id="Rectangle 1" o:spid="_x0000_s1026" style="position:absolute;margin-left:0;margin-top:-35.4pt;width:596.25pt;height:72.45pt;z-index:25165926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" fillcolor="#d5d0ca" stroked="f" strokeweight="1pt">
              <w10:wrap anchorx="page"/>
            </v:rect>
          </w:pict>
        </mc:Fallback>
      </mc:AlternateContent>
    </w:r>
    <w:r w:rsidR="00757170">
      <w:rPr>
        <w:noProof/>
        <w:lang w:eastAsia="en-AU"/>
      </w:rPr>
      <w:drawing>
        <wp:anchor distT="0" distB="0" distL="114300" distR="114300" simplePos="0" relativeHeight="251660288" behindDoc="0" locked="0" layoutInCell="1" allowOverlap="1" wp14:anchorId="0D5121FF" wp14:editId="7C91DB7F">
          <wp:simplePos x="0" y="0"/>
          <wp:positionH relativeFrom="margin">
            <wp:posOffset>-714375</wp:posOffset>
          </wp:positionH>
          <wp:positionV relativeFrom="paragraph">
            <wp:posOffset>-382905</wp:posOffset>
          </wp:positionV>
          <wp:extent cx="2217764" cy="828675"/>
          <wp:effectExtent l="0" t="0" r="0" b="0"/>
          <wp:wrapNone/>
          <wp:docPr id="22" name="Picture 22"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hape&#10;&#10;Description automatically generated with medium confidence"/>
                  <pic:cNvPicPr/>
                </pic:nvPicPr>
                <pic:blipFill>
                  <a:blip r:embed="rId2">
                    <a:extLst>
                      <a:ext uri="{28A0092B-C50C-407E-A947-70E740481C1C}">
                        <a14:useLocalDpi xmlns:a14="http://schemas.microsoft.com/office/drawing/2010/main" val="0"/>
                      </a:ext>
                    </a:extLst>
                  </a:blip>
                  <a:stretch>
                    <a:fillRect/>
                  </a:stretch>
                </pic:blipFill>
                <pic:spPr>
                  <a:xfrm>
                    <a:off x="0" y="0"/>
                    <a:ext cx="2217764" cy="82867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309FD"/>
    <w:multiLevelType w:val="hybridMultilevel"/>
    <w:tmpl w:val="C41621B2"/>
    <w:lvl w:ilvl="0" w:tplc="F48C53B8">
      <w:numFmt w:val="bullet"/>
      <w:lvlText w:val="◗"/>
      <w:lvlJc w:val="left"/>
      <w:pPr>
        <w:ind w:left="396" w:hanging="284"/>
      </w:pPr>
      <w:rPr>
        <w:rFonts w:ascii="Century Gothic" w:eastAsia="Century Gothic" w:hAnsi="Century Gothic" w:cs="Century Gothic" w:hint="default"/>
        <w:color w:val="005695"/>
        <w:w w:val="47"/>
        <w:position w:val="1"/>
        <w:sz w:val="20"/>
        <w:szCs w:val="20"/>
        <w:lang w:val="en-US" w:eastAsia="en-US" w:bidi="ar-SA"/>
      </w:rPr>
    </w:lvl>
    <w:lvl w:ilvl="1" w:tplc="28A0D050">
      <w:numFmt w:val="bullet"/>
      <w:lvlText w:val="•"/>
      <w:lvlJc w:val="left"/>
      <w:pPr>
        <w:ind w:left="1346" w:hanging="284"/>
      </w:pPr>
      <w:rPr>
        <w:rFonts w:hint="default"/>
        <w:lang w:val="en-US" w:eastAsia="en-US" w:bidi="ar-SA"/>
      </w:rPr>
    </w:lvl>
    <w:lvl w:ilvl="2" w:tplc="477E1DC0">
      <w:numFmt w:val="bullet"/>
      <w:lvlText w:val="•"/>
      <w:lvlJc w:val="left"/>
      <w:pPr>
        <w:ind w:left="2292" w:hanging="284"/>
      </w:pPr>
      <w:rPr>
        <w:rFonts w:hint="default"/>
        <w:lang w:val="en-US" w:eastAsia="en-US" w:bidi="ar-SA"/>
      </w:rPr>
    </w:lvl>
    <w:lvl w:ilvl="3" w:tplc="C8561730">
      <w:numFmt w:val="bullet"/>
      <w:lvlText w:val="•"/>
      <w:lvlJc w:val="left"/>
      <w:pPr>
        <w:ind w:left="3239" w:hanging="284"/>
      </w:pPr>
      <w:rPr>
        <w:rFonts w:hint="default"/>
        <w:lang w:val="en-US" w:eastAsia="en-US" w:bidi="ar-SA"/>
      </w:rPr>
    </w:lvl>
    <w:lvl w:ilvl="4" w:tplc="FEB06DA8">
      <w:numFmt w:val="bullet"/>
      <w:lvlText w:val="•"/>
      <w:lvlJc w:val="left"/>
      <w:pPr>
        <w:ind w:left="4185" w:hanging="284"/>
      </w:pPr>
      <w:rPr>
        <w:rFonts w:hint="default"/>
        <w:lang w:val="en-US" w:eastAsia="en-US" w:bidi="ar-SA"/>
      </w:rPr>
    </w:lvl>
    <w:lvl w:ilvl="5" w:tplc="411C4740">
      <w:numFmt w:val="bullet"/>
      <w:lvlText w:val="•"/>
      <w:lvlJc w:val="left"/>
      <w:pPr>
        <w:ind w:left="5132" w:hanging="284"/>
      </w:pPr>
      <w:rPr>
        <w:rFonts w:hint="default"/>
        <w:lang w:val="en-US" w:eastAsia="en-US" w:bidi="ar-SA"/>
      </w:rPr>
    </w:lvl>
    <w:lvl w:ilvl="6" w:tplc="D6F29BB0">
      <w:numFmt w:val="bullet"/>
      <w:lvlText w:val="•"/>
      <w:lvlJc w:val="left"/>
      <w:pPr>
        <w:ind w:left="6078" w:hanging="284"/>
      </w:pPr>
      <w:rPr>
        <w:rFonts w:hint="default"/>
        <w:lang w:val="en-US" w:eastAsia="en-US" w:bidi="ar-SA"/>
      </w:rPr>
    </w:lvl>
    <w:lvl w:ilvl="7" w:tplc="2DA0B7C4">
      <w:numFmt w:val="bullet"/>
      <w:lvlText w:val="•"/>
      <w:lvlJc w:val="left"/>
      <w:pPr>
        <w:ind w:left="7025" w:hanging="284"/>
      </w:pPr>
      <w:rPr>
        <w:rFonts w:hint="default"/>
        <w:lang w:val="en-US" w:eastAsia="en-US" w:bidi="ar-SA"/>
      </w:rPr>
    </w:lvl>
    <w:lvl w:ilvl="8" w:tplc="775C93EE">
      <w:numFmt w:val="bullet"/>
      <w:lvlText w:val="•"/>
      <w:lvlJc w:val="left"/>
      <w:pPr>
        <w:ind w:left="7971" w:hanging="284"/>
      </w:pPr>
      <w:rPr>
        <w:rFonts w:hint="default"/>
        <w:lang w:val="en-US" w:eastAsia="en-US" w:bidi="ar-SA"/>
      </w:rPr>
    </w:lvl>
  </w:abstractNum>
  <w:abstractNum w:abstractNumId="1" w15:restartNumberingAfterBreak="0">
    <w:nsid w:val="0EC42909"/>
    <w:multiLevelType w:val="multilevel"/>
    <w:tmpl w:val="6E703220"/>
    <w:lvl w:ilvl="0">
      <w:start w:val="1"/>
      <w:numFmt w:val="bullet"/>
      <w:lvlText w:val="•"/>
      <w:lvlJc w:val="left"/>
      <w:pPr>
        <w:tabs>
          <w:tab w:val="num" w:pos="283"/>
        </w:tabs>
        <w:ind w:left="283" w:hanging="283"/>
      </w:pPr>
      <w:rPr>
        <w:rFonts w:ascii="Times New Roman" w:hAnsi="Times New Roman" w:cs="Times New Roman"/>
        <w:b w:val="0"/>
        <w:i w:val="0"/>
        <w:color w:val="auto"/>
      </w:rPr>
    </w:lvl>
    <w:lvl w:ilvl="1">
      <w:start w:val="1"/>
      <w:numFmt w:val="bullet"/>
      <w:lvlText w:val="–"/>
      <w:lvlJc w:val="left"/>
      <w:pPr>
        <w:tabs>
          <w:tab w:val="num" w:pos="567"/>
        </w:tabs>
        <w:ind w:left="567" w:hanging="284"/>
      </w:pPr>
      <w:rPr>
        <w:rFonts w:ascii="Times New Roman" w:hAnsi="Times New Roman" w:cs="Times New Roman"/>
        <w:b w:val="0"/>
        <w:i w:val="0"/>
      </w:rPr>
    </w:lvl>
    <w:lvl w:ilvl="2">
      <w:start w:val="1"/>
      <w:numFmt w:val="bullet"/>
      <w:lvlText w:val=":"/>
      <w:lvlJc w:val="left"/>
      <w:pPr>
        <w:tabs>
          <w:tab w:val="num" w:pos="850"/>
        </w:tabs>
        <w:ind w:left="850" w:hanging="283"/>
      </w:pPr>
      <w:rPr>
        <w:rFonts w:ascii="Times New Roman" w:hAnsi="Times New Roman" w:cs="Times New Roman"/>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2" w15:restartNumberingAfterBreak="0">
    <w:nsid w:val="184A79C3"/>
    <w:multiLevelType w:val="multilevel"/>
    <w:tmpl w:val="6090D940"/>
    <w:name w:val="StandardBulletedList"/>
    <w:lvl w:ilvl="0">
      <w:start w:val="1"/>
      <w:numFmt w:val="bullet"/>
      <w:pStyle w:val="Bullet"/>
      <w:lvlText w:val="•"/>
      <w:lvlJc w:val="left"/>
      <w:pPr>
        <w:tabs>
          <w:tab w:val="num" w:pos="543"/>
        </w:tabs>
        <w:ind w:left="543" w:hanging="543"/>
      </w:pPr>
      <w:rPr>
        <w:rFonts w:ascii="Times New Roman" w:hAnsi="Times New Roman" w:cs="Times New Roman"/>
      </w:rPr>
    </w:lvl>
    <w:lvl w:ilvl="1">
      <w:start w:val="1"/>
      <w:numFmt w:val="bullet"/>
      <w:pStyle w:val="Dash"/>
      <w:lvlText w:val="–"/>
      <w:lvlJc w:val="left"/>
      <w:pPr>
        <w:tabs>
          <w:tab w:val="num" w:pos="1086"/>
        </w:tabs>
        <w:ind w:left="1086" w:hanging="543"/>
      </w:pPr>
      <w:rPr>
        <w:rFonts w:ascii="Times New Roman" w:hAnsi="Times New Roman" w:cs="Times New Roman"/>
      </w:rPr>
    </w:lvl>
    <w:lvl w:ilvl="2">
      <w:start w:val="1"/>
      <w:numFmt w:val="bullet"/>
      <w:pStyle w:val="DoubleDot"/>
      <w:lvlText w:val=":"/>
      <w:lvlJc w:val="left"/>
      <w:pPr>
        <w:tabs>
          <w:tab w:val="num" w:pos="1629"/>
        </w:tabs>
        <w:ind w:left="1629" w:hanging="543"/>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FF061B5"/>
    <w:multiLevelType w:val="hybridMultilevel"/>
    <w:tmpl w:val="41DA9BE2"/>
    <w:lvl w:ilvl="0" w:tplc="B16AC634">
      <w:numFmt w:val="bullet"/>
      <w:lvlText w:val="◗"/>
      <w:lvlJc w:val="left"/>
      <w:pPr>
        <w:ind w:left="1417" w:hanging="284"/>
      </w:pPr>
      <w:rPr>
        <w:rFonts w:ascii="Century Gothic" w:eastAsia="Century Gothic" w:hAnsi="Century Gothic" w:cs="Century Gothic" w:hint="default"/>
        <w:color w:val="005695"/>
        <w:w w:val="47"/>
        <w:position w:val="1"/>
        <w:sz w:val="20"/>
        <w:szCs w:val="20"/>
        <w:lang w:val="en-US" w:eastAsia="en-US" w:bidi="ar-SA"/>
      </w:rPr>
    </w:lvl>
    <w:lvl w:ilvl="1" w:tplc="322E6324">
      <w:numFmt w:val="bullet"/>
      <w:lvlText w:val="•"/>
      <w:lvlJc w:val="left"/>
      <w:pPr>
        <w:ind w:left="1845" w:hanging="284"/>
      </w:pPr>
      <w:rPr>
        <w:rFonts w:hint="default"/>
        <w:lang w:val="en-US" w:eastAsia="en-US" w:bidi="ar-SA"/>
      </w:rPr>
    </w:lvl>
    <w:lvl w:ilvl="2" w:tplc="B836A7A0">
      <w:numFmt w:val="bullet"/>
      <w:lvlText w:val="•"/>
      <w:lvlJc w:val="left"/>
      <w:pPr>
        <w:ind w:left="2271" w:hanging="284"/>
      </w:pPr>
      <w:rPr>
        <w:rFonts w:hint="default"/>
        <w:lang w:val="en-US" w:eastAsia="en-US" w:bidi="ar-SA"/>
      </w:rPr>
    </w:lvl>
    <w:lvl w:ilvl="3" w:tplc="4830A770">
      <w:numFmt w:val="bullet"/>
      <w:lvlText w:val="•"/>
      <w:lvlJc w:val="left"/>
      <w:pPr>
        <w:ind w:left="2696" w:hanging="284"/>
      </w:pPr>
      <w:rPr>
        <w:rFonts w:hint="default"/>
        <w:lang w:val="en-US" w:eastAsia="en-US" w:bidi="ar-SA"/>
      </w:rPr>
    </w:lvl>
    <w:lvl w:ilvl="4" w:tplc="0930CB00">
      <w:numFmt w:val="bullet"/>
      <w:lvlText w:val="•"/>
      <w:lvlJc w:val="left"/>
      <w:pPr>
        <w:ind w:left="3122" w:hanging="284"/>
      </w:pPr>
      <w:rPr>
        <w:rFonts w:hint="default"/>
        <w:lang w:val="en-US" w:eastAsia="en-US" w:bidi="ar-SA"/>
      </w:rPr>
    </w:lvl>
    <w:lvl w:ilvl="5" w:tplc="4F26BC00">
      <w:numFmt w:val="bullet"/>
      <w:lvlText w:val="•"/>
      <w:lvlJc w:val="left"/>
      <w:pPr>
        <w:ind w:left="3547" w:hanging="284"/>
      </w:pPr>
      <w:rPr>
        <w:rFonts w:hint="default"/>
        <w:lang w:val="en-US" w:eastAsia="en-US" w:bidi="ar-SA"/>
      </w:rPr>
    </w:lvl>
    <w:lvl w:ilvl="6" w:tplc="DBF4CAC2">
      <w:numFmt w:val="bullet"/>
      <w:lvlText w:val="•"/>
      <w:lvlJc w:val="left"/>
      <w:pPr>
        <w:ind w:left="3973" w:hanging="284"/>
      </w:pPr>
      <w:rPr>
        <w:rFonts w:hint="default"/>
        <w:lang w:val="en-US" w:eastAsia="en-US" w:bidi="ar-SA"/>
      </w:rPr>
    </w:lvl>
    <w:lvl w:ilvl="7" w:tplc="055CFF8C">
      <w:numFmt w:val="bullet"/>
      <w:lvlText w:val="•"/>
      <w:lvlJc w:val="left"/>
      <w:pPr>
        <w:ind w:left="4398" w:hanging="284"/>
      </w:pPr>
      <w:rPr>
        <w:rFonts w:hint="default"/>
        <w:lang w:val="en-US" w:eastAsia="en-US" w:bidi="ar-SA"/>
      </w:rPr>
    </w:lvl>
    <w:lvl w:ilvl="8" w:tplc="6C94C932">
      <w:numFmt w:val="bullet"/>
      <w:lvlText w:val="•"/>
      <w:lvlJc w:val="left"/>
      <w:pPr>
        <w:ind w:left="4824" w:hanging="284"/>
      </w:pPr>
      <w:rPr>
        <w:rFonts w:hint="default"/>
        <w:lang w:val="en-US" w:eastAsia="en-US" w:bidi="ar-SA"/>
      </w:rPr>
    </w:lvl>
  </w:abstractNum>
  <w:abstractNum w:abstractNumId="4" w15:restartNumberingAfterBreak="0">
    <w:nsid w:val="35CE6923"/>
    <w:multiLevelType w:val="hybridMultilevel"/>
    <w:tmpl w:val="66BE1AC2"/>
    <w:lvl w:ilvl="0" w:tplc="F29CE462">
      <w:start w:val="1"/>
      <w:numFmt w:val="bullet"/>
      <w:pStyle w:val="BulletPointsBody"/>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3C000457"/>
    <w:multiLevelType w:val="hybridMultilevel"/>
    <w:tmpl w:val="4EC0ACF6"/>
    <w:lvl w:ilvl="0" w:tplc="F9F0FB4C">
      <w:numFmt w:val="bullet"/>
      <w:lvlText w:val="◗"/>
      <w:lvlJc w:val="left"/>
      <w:pPr>
        <w:ind w:left="396" w:hanging="284"/>
      </w:pPr>
      <w:rPr>
        <w:rFonts w:ascii="Century Gothic" w:eastAsia="Century Gothic" w:hAnsi="Century Gothic" w:cs="Century Gothic" w:hint="default"/>
        <w:color w:val="005695"/>
        <w:w w:val="47"/>
        <w:position w:val="1"/>
        <w:sz w:val="20"/>
        <w:szCs w:val="20"/>
        <w:lang w:val="en-US" w:eastAsia="en-US" w:bidi="ar-SA"/>
      </w:rPr>
    </w:lvl>
    <w:lvl w:ilvl="1" w:tplc="5846C7D6">
      <w:numFmt w:val="bullet"/>
      <w:lvlText w:val="•"/>
      <w:lvlJc w:val="left"/>
      <w:pPr>
        <w:ind w:left="1346" w:hanging="284"/>
      </w:pPr>
      <w:rPr>
        <w:rFonts w:hint="default"/>
        <w:lang w:val="en-US" w:eastAsia="en-US" w:bidi="ar-SA"/>
      </w:rPr>
    </w:lvl>
    <w:lvl w:ilvl="2" w:tplc="D3028128">
      <w:numFmt w:val="bullet"/>
      <w:lvlText w:val="•"/>
      <w:lvlJc w:val="left"/>
      <w:pPr>
        <w:ind w:left="2292" w:hanging="284"/>
      </w:pPr>
      <w:rPr>
        <w:rFonts w:hint="default"/>
        <w:lang w:val="en-US" w:eastAsia="en-US" w:bidi="ar-SA"/>
      </w:rPr>
    </w:lvl>
    <w:lvl w:ilvl="3" w:tplc="58809D44">
      <w:numFmt w:val="bullet"/>
      <w:lvlText w:val="•"/>
      <w:lvlJc w:val="left"/>
      <w:pPr>
        <w:ind w:left="3239" w:hanging="284"/>
      </w:pPr>
      <w:rPr>
        <w:rFonts w:hint="default"/>
        <w:lang w:val="en-US" w:eastAsia="en-US" w:bidi="ar-SA"/>
      </w:rPr>
    </w:lvl>
    <w:lvl w:ilvl="4" w:tplc="D1F8A0EA">
      <w:numFmt w:val="bullet"/>
      <w:lvlText w:val="•"/>
      <w:lvlJc w:val="left"/>
      <w:pPr>
        <w:ind w:left="4185" w:hanging="284"/>
      </w:pPr>
      <w:rPr>
        <w:rFonts w:hint="default"/>
        <w:lang w:val="en-US" w:eastAsia="en-US" w:bidi="ar-SA"/>
      </w:rPr>
    </w:lvl>
    <w:lvl w:ilvl="5" w:tplc="B1C6AEF0">
      <w:numFmt w:val="bullet"/>
      <w:lvlText w:val="•"/>
      <w:lvlJc w:val="left"/>
      <w:pPr>
        <w:ind w:left="5132" w:hanging="284"/>
      </w:pPr>
      <w:rPr>
        <w:rFonts w:hint="default"/>
        <w:lang w:val="en-US" w:eastAsia="en-US" w:bidi="ar-SA"/>
      </w:rPr>
    </w:lvl>
    <w:lvl w:ilvl="6" w:tplc="D8247238">
      <w:numFmt w:val="bullet"/>
      <w:lvlText w:val="•"/>
      <w:lvlJc w:val="left"/>
      <w:pPr>
        <w:ind w:left="6078" w:hanging="284"/>
      </w:pPr>
      <w:rPr>
        <w:rFonts w:hint="default"/>
        <w:lang w:val="en-US" w:eastAsia="en-US" w:bidi="ar-SA"/>
      </w:rPr>
    </w:lvl>
    <w:lvl w:ilvl="7" w:tplc="3562627A">
      <w:numFmt w:val="bullet"/>
      <w:lvlText w:val="•"/>
      <w:lvlJc w:val="left"/>
      <w:pPr>
        <w:ind w:left="7025" w:hanging="284"/>
      </w:pPr>
      <w:rPr>
        <w:rFonts w:hint="default"/>
        <w:lang w:val="en-US" w:eastAsia="en-US" w:bidi="ar-SA"/>
      </w:rPr>
    </w:lvl>
    <w:lvl w:ilvl="8" w:tplc="6F604764">
      <w:numFmt w:val="bullet"/>
      <w:lvlText w:val="•"/>
      <w:lvlJc w:val="left"/>
      <w:pPr>
        <w:ind w:left="7971" w:hanging="284"/>
      </w:pPr>
      <w:rPr>
        <w:rFonts w:hint="default"/>
        <w:lang w:val="en-US" w:eastAsia="en-US" w:bidi="ar-SA"/>
      </w:rPr>
    </w:lvl>
  </w:abstractNum>
  <w:abstractNum w:abstractNumId="6" w15:restartNumberingAfterBreak="0">
    <w:nsid w:val="40722677"/>
    <w:multiLevelType w:val="hybridMultilevel"/>
    <w:tmpl w:val="95DA4FC0"/>
    <w:lvl w:ilvl="0" w:tplc="01380074">
      <w:numFmt w:val="bullet"/>
      <w:lvlText w:val="◗"/>
      <w:lvlJc w:val="left"/>
      <w:pPr>
        <w:ind w:left="396" w:hanging="284"/>
      </w:pPr>
      <w:rPr>
        <w:rFonts w:ascii="Century Gothic" w:eastAsia="Century Gothic" w:hAnsi="Century Gothic" w:cs="Century Gothic" w:hint="default"/>
        <w:color w:val="005695"/>
        <w:w w:val="47"/>
        <w:position w:val="1"/>
        <w:sz w:val="20"/>
        <w:szCs w:val="20"/>
        <w:lang w:val="en-US" w:eastAsia="en-US" w:bidi="ar-SA"/>
      </w:rPr>
    </w:lvl>
    <w:lvl w:ilvl="1" w:tplc="AAC6DD70">
      <w:numFmt w:val="bullet"/>
      <w:lvlText w:val="•"/>
      <w:lvlJc w:val="left"/>
      <w:pPr>
        <w:ind w:left="1346" w:hanging="284"/>
      </w:pPr>
      <w:rPr>
        <w:rFonts w:hint="default"/>
        <w:lang w:val="en-US" w:eastAsia="en-US" w:bidi="ar-SA"/>
      </w:rPr>
    </w:lvl>
    <w:lvl w:ilvl="2" w:tplc="98C2BCEC">
      <w:numFmt w:val="bullet"/>
      <w:lvlText w:val="•"/>
      <w:lvlJc w:val="left"/>
      <w:pPr>
        <w:ind w:left="2292" w:hanging="284"/>
      </w:pPr>
      <w:rPr>
        <w:rFonts w:hint="default"/>
        <w:lang w:val="en-US" w:eastAsia="en-US" w:bidi="ar-SA"/>
      </w:rPr>
    </w:lvl>
    <w:lvl w:ilvl="3" w:tplc="5F9AFEF8">
      <w:numFmt w:val="bullet"/>
      <w:lvlText w:val="•"/>
      <w:lvlJc w:val="left"/>
      <w:pPr>
        <w:ind w:left="3239" w:hanging="284"/>
      </w:pPr>
      <w:rPr>
        <w:rFonts w:hint="default"/>
        <w:lang w:val="en-US" w:eastAsia="en-US" w:bidi="ar-SA"/>
      </w:rPr>
    </w:lvl>
    <w:lvl w:ilvl="4" w:tplc="27A4352E">
      <w:numFmt w:val="bullet"/>
      <w:lvlText w:val="•"/>
      <w:lvlJc w:val="left"/>
      <w:pPr>
        <w:ind w:left="4185" w:hanging="284"/>
      </w:pPr>
      <w:rPr>
        <w:rFonts w:hint="default"/>
        <w:lang w:val="en-US" w:eastAsia="en-US" w:bidi="ar-SA"/>
      </w:rPr>
    </w:lvl>
    <w:lvl w:ilvl="5" w:tplc="AA18E02E">
      <w:numFmt w:val="bullet"/>
      <w:lvlText w:val="•"/>
      <w:lvlJc w:val="left"/>
      <w:pPr>
        <w:ind w:left="5132" w:hanging="284"/>
      </w:pPr>
      <w:rPr>
        <w:rFonts w:hint="default"/>
        <w:lang w:val="en-US" w:eastAsia="en-US" w:bidi="ar-SA"/>
      </w:rPr>
    </w:lvl>
    <w:lvl w:ilvl="6" w:tplc="C5F4A560">
      <w:numFmt w:val="bullet"/>
      <w:lvlText w:val="•"/>
      <w:lvlJc w:val="left"/>
      <w:pPr>
        <w:ind w:left="6078" w:hanging="284"/>
      </w:pPr>
      <w:rPr>
        <w:rFonts w:hint="default"/>
        <w:lang w:val="en-US" w:eastAsia="en-US" w:bidi="ar-SA"/>
      </w:rPr>
    </w:lvl>
    <w:lvl w:ilvl="7" w:tplc="0624D12C">
      <w:numFmt w:val="bullet"/>
      <w:lvlText w:val="•"/>
      <w:lvlJc w:val="left"/>
      <w:pPr>
        <w:ind w:left="7025" w:hanging="284"/>
      </w:pPr>
      <w:rPr>
        <w:rFonts w:hint="default"/>
        <w:lang w:val="en-US" w:eastAsia="en-US" w:bidi="ar-SA"/>
      </w:rPr>
    </w:lvl>
    <w:lvl w:ilvl="8" w:tplc="1FEC1BFA">
      <w:numFmt w:val="bullet"/>
      <w:lvlText w:val="•"/>
      <w:lvlJc w:val="left"/>
      <w:pPr>
        <w:ind w:left="7971" w:hanging="284"/>
      </w:pPr>
      <w:rPr>
        <w:rFonts w:hint="default"/>
        <w:lang w:val="en-US" w:eastAsia="en-US" w:bidi="ar-SA"/>
      </w:rPr>
    </w:lvl>
  </w:abstractNum>
  <w:abstractNum w:abstractNumId="7" w15:restartNumberingAfterBreak="0">
    <w:nsid w:val="478D1D1C"/>
    <w:multiLevelType w:val="hybridMultilevel"/>
    <w:tmpl w:val="D018A1B8"/>
    <w:lvl w:ilvl="0" w:tplc="8A50C862">
      <w:numFmt w:val="bullet"/>
      <w:lvlText w:val="◗"/>
      <w:lvlJc w:val="left"/>
      <w:pPr>
        <w:ind w:left="396" w:hanging="284"/>
      </w:pPr>
      <w:rPr>
        <w:rFonts w:ascii="Century Gothic" w:eastAsia="Century Gothic" w:hAnsi="Century Gothic" w:cs="Century Gothic" w:hint="default"/>
        <w:color w:val="005695"/>
        <w:w w:val="47"/>
        <w:position w:val="1"/>
        <w:sz w:val="20"/>
        <w:szCs w:val="20"/>
        <w:lang w:val="en-US" w:eastAsia="en-US" w:bidi="ar-SA"/>
      </w:rPr>
    </w:lvl>
    <w:lvl w:ilvl="1" w:tplc="E1007088">
      <w:numFmt w:val="bullet"/>
      <w:lvlText w:val="•"/>
      <w:lvlJc w:val="left"/>
      <w:pPr>
        <w:ind w:left="1346" w:hanging="284"/>
      </w:pPr>
      <w:rPr>
        <w:rFonts w:hint="default"/>
        <w:lang w:val="en-US" w:eastAsia="en-US" w:bidi="ar-SA"/>
      </w:rPr>
    </w:lvl>
    <w:lvl w:ilvl="2" w:tplc="A5CC1A10">
      <w:numFmt w:val="bullet"/>
      <w:lvlText w:val="•"/>
      <w:lvlJc w:val="left"/>
      <w:pPr>
        <w:ind w:left="2292" w:hanging="284"/>
      </w:pPr>
      <w:rPr>
        <w:rFonts w:hint="default"/>
        <w:lang w:val="en-US" w:eastAsia="en-US" w:bidi="ar-SA"/>
      </w:rPr>
    </w:lvl>
    <w:lvl w:ilvl="3" w:tplc="52B2FB84">
      <w:numFmt w:val="bullet"/>
      <w:lvlText w:val="•"/>
      <w:lvlJc w:val="left"/>
      <w:pPr>
        <w:ind w:left="3239" w:hanging="284"/>
      </w:pPr>
      <w:rPr>
        <w:rFonts w:hint="default"/>
        <w:lang w:val="en-US" w:eastAsia="en-US" w:bidi="ar-SA"/>
      </w:rPr>
    </w:lvl>
    <w:lvl w:ilvl="4" w:tplc="9AA4079E">
      <w:numFmt w:val="bullet"/>
      <w:lvlText w:val="•"/>
      <w:lvlJc w:val="left"/>
      <w:pPr>
        <w:ind w:left="4185" w:hanging="284"/>
      </w:pPr>
      <w:rPr>
        <w:rFonts w:hint="default"/>
        <w:lang w:val="en-US" w:eastAsia="en-US" w:bidi="ar-SA"/>
      </w:rPr>
    </w:lvl>
    <w:lvl w:ilvl="5" w:tplc="8AC64194">
      <w:numFmt w:val="bullet"/>
      <w:lvlText w:val="•"/>
      <w:lvlJc w:val="left"/>
      <w:pPr>
        <w:ind w:left="5132" w:hanging="284"/>
      </w:pPr>
      <w:rPr>
        <w:rFonts w:hint="default"/>
        <w:lang w:val="en-US" w:eastAsia="en-US" w:bidi="ar-SA"/>
      </w:rPr>
    </w:lvl>
    <w:lvl w:ilvl="6" w:tplc="4BC2C3F2">
      <w:numFmt w:val="bullet"/>
      <w:lvlText w:val="•"/>
      <w:lvlJc w:val="left"/>
      <w:pPr>
        <w:ind w:left="6078" w:hanging="284"/>
      </w:pPr>
      <w:rPr>
        <w:rFonts w:hint="default"/>
        <w:lang w:val="en-US" w:eastAsia="en-US" w:bidi="ar-SA"/>
      </w:rPr>
    </w:lvl>
    <w:lvl w:ilvl="7" w:tplc="D6667E18">
      <w:numFmt w:val="bullet"/>
      <w:lvlText w:val="•"/>
      <w:lvlJc w:val="left"/>
      <w:pPr>
        <w:ind w:left="7025" w:hanging="284"/>
      </w:pPr>
      <w:rPr>
        <w:rFonts w:hint="default"/>
        <w:lang w:val="en-US" w:eastAsia="en-US" w:bidi="ar-SA"/>
      </w:rPr>
    </w:lvl>
    <w:lvl w:ilvl="8" w:tplc="D6B6A636">
      <w:numFmt w:val="bullet"/>
      <w:lvlText w:val="•"/>
      <w:lvlJc w:val="left"/>
      <w:pPr>
        <w:ind w:left="7971" w:hanging="284"/>
      </w:pPr>
      <w:rPr>
        <w:rFonts w:hint="default"/>
        <w:lang w:val="en-US" w:eastAsia="en-US" w:bidi="ar-SA"/>
      </w:rPr>
    </w:lvl>
  </w:abstractNum>
  <w:abstractNum w:abstractNumId="8" w15:restartNumberingAfterBreak="0">
    <w:nsid w:val="4CDE1CC0"/>
    <w:multiLevelType w:val="hybridMultilevel"/>
    <w:tmpl w:val="5D3C622A"/>
    <w:lvl w:ilvl="0" w:tplc="3988A928">
      <w:numFmt w:val="bullet"/>
      <w:lvlText w:val="◗"/>
      <w:lvlJc w:val="left"/>
      <w:pPr>
        <w:ind w:left="747" w:hanging="284"/>
      </w:pPr>
      <w:rPr>
        <w:rFonts w:ascii="Century Gothic" w:eastAsia="Century Gothic" w:hAnsi="Century Gothic" w:cs="Century Gothic" w:hint="default"/>
        <w:color w:val="005695"/>
        <w:w w:val="47"/>
        <w:position w:val="1"/>
        <w:sz w:val="20"/>
        <w:szCs w:val="20"/>
        <w:lang w:val="en-US" w:eastAsia="en-US" w:bidi="ar-SA"/>
      </w:rPr>
    </w:lvl>
    <w:lvl w:ilvl="1" w:tplc="0B88D77E">
      <w:numFmt w:val="bullet"/>
      <w:lvlText w:val="•"/>
      <w:lvlJc w:val="left"/>
      <w:pPr>
        <w:ind w:left="1285" w:hanging="284"/>
      </w:pPr>
      <w:rPr>
        <w:rFonts w:hint="default"/>
        <w:lang w:val="en-US" w:eastAsia="en-US" w:bidi="ar-SA"/>
      </w:rPr>
    </w:lvl>
    <w:lvl w:ilvl="2" w:tplc="9B9A102E">
      <w:numFmt w:val="bullet"/>
      <w:lvlText w:val="•"/>
      <w:lvlJc w:val="left"/>
      <w:pPr>
        <w:ind w:left="1830" w:hanging="284"/>
      </w:pPr>
      <w:rPr>
        <w:rFonts w:hint="default"/>
        <w:lang w:val="en-US" w:eastAsia="en-US" w:bidi="ar-SA"/>
      </w:rPr>
    </w:lvl>
    <w:lvl w:ilvl="3" w:tplc="FB602AC2">
      <w:numFmt w:val="bullet"/>
      <w:lvlText w:val="•"/>
      <w:lvlJc w:val="left"/>
      <w:pPr>
        <w:ind w:left="2375" w:hanging="284"/>
      </w:pPr>
      <w:rPr>
        <w:rFonts w:hint="default"/>
        <w:lang w:val="en-US" w:eastAsia="en-US" w:bidi="ar-SA"/>
      </w:rPr>
    </w:lvl>
    <w:lvl w:ilvl="4" w:tplc="BCDE3998">
      <w:numFmt w:val="bullet"/>
      <w:lvlText w:val="•"/>
      <w:lvlJc w:val="left"/>
      <w:pPr>
        <w:ind w:left="2920" w:hanging="284"/>
      </w:pPr>
      <w:rPr>
        <w:rFonts w:hint="default"/>
        <w:lang w:val="en-US" w:eastAsia="en-US" w:bidi="ar-SA"/>
      </w:rPr>
    </w:lvl>
    <w:lvl w:ilvl="5" w:tplc="EF7E6FA2">
      <w:numFmt w:val="bullet"/>
      <w:lvlText w:val="•"/>
      <w:lvlJc w:val="left"/>
      <w:pPr>
        <w:ind w:left="3465" w:hanging="284"/>
      </w:pPr>
      <w:rPr>
        <w:rFonts w:hint="default"/>
        <w:lang w:val="en-US" w:eastAsia="en-US" w:bidi="ar-SA"/>
      </w:rPr>
    </w:lvl>
    <w:lvl w:ilvl="6" w:tplc="0FDCD7A0">
      <w:numFmt w:val="bullet"/>
      <w:lvlText w:val="•"/>
      <w:lvlJc w:val="left"/>
      <w:pPr>
        <w:ind w:left="4010" w:hanging="284"/>
      </w:pPr>
      <w:rPr>
        <w:rFonts w:hint="default"/>
        <w:lang w:val="en-US" w:eastAsia="en-US" w:bidi="ar-SA"/>
      </w:rPr>
    </w:lvl>
    <w:lvl w:ilvl="7" w:tplc="AA900812">
      <w:numFmt w:val="bullet"/>
      <w:lvlText w:val="•"/>
      <w:lvlJc w:val="left"/>
      <w:pPr>
        <w:ind w:left="4555" w:hanging="284"/>
      </w:pPr>
      <w:rPr>
        <w:rFonts w:hint="default"/>
        <w:lang w:val="en-US" w:eastAsia="en-US" w:bidi="ar-SA"/>
      </w:rPr>
    </w:lvl>
    <w:lvl w:ilvl="8" w:tplc="0AFCE816">
      <w:numFmt w:val="bullet"/>
      <w:lvlText w:val="•"/>
      <w:lvlJc w:val="left"/>
      <w:pPr>
        <w:ind w:left="5100" w:hanging="284"/>
      </w:pPr>
      <w:rPr>
        <w:rFonts w:hint="default"/>
        <w:lang w:val="en-US" w:eastAsia="en-US" w:bidi="ar-SA"/>
      </w:rPr>
    </w:lvl>
  </w:abstractNum>
  <w:abstractNum w:abstractNumId="9" w15:restartNumberingAfterBreak="0">
    <w:nsid w:val="55014E3D"/>
    <w:multiLevelType w:val="hybridMultilevel"/>
    <w:tmpl w:val="638EAF12"/>
    <w:lvl w:ilvl="0" w:tplc="F60CDCD4">
      <w:numFmt w:val="bullet"/>
      <w:lvlText w:val="◗"/>
      <w:lvlJc w:val="left"/>
      <w:pPr>
        <w:ind w:left="396" w:hanging="284"/>
      </w:pPr>
      <w:rPr>
        <w:rFonts w:ascii="Century Gothic" w:eastAsia="Century Gothic" w:hAnsi="Century Gothic" w:cs="Century Gothic" w:hint="default"/>
        <w:color w:val="005695"/>
        <w:w w:val="47"/>
        <w:position w:val="1"/>
        <w:sz w:val="20"/>
        <w:szCs w:val="20"/>
        <w:lang w:val="en-US" w:eastAsia="en-US" w:bidi="ar-SA"/>
      </w:rPr>
    </w:lvl>
    <w:lvl w:ilvl="1" w:tplc="40EAA1D4">
      <w:numFmt w:val="bullet"/>
      <w:lvlText w:val="•"/>
      <w:lvlJc w:val="left"/>
      <w:pPr>
        <w:ind w:left="1346" w:hanging="284"/>
      </w:pPr>
      <w:rPr>
        <w:rFonts w:hint="default"/>
        <w:lang w:val="en-US" w:eastAsia="en-US" w:bidi="ar-SA"/>
      </w:rPr>
    </w:lvl>
    <w:lvl w:ilvl="2" w:tplc="E5301F30">
      <w:numFmt w:val="bullet"/>
      <w:lvlText w:val="•"/>
      <w:lvlJc w:val="left"/>
      <w:pPr>
        <w:ind w:left="2292" w:hanging="284"/>
      </w:pPr>
      <w:rPr>
        <w:rFonts w:hint="default"/>
        <w:lang w:val="en-US" w:eastAsia="en-US" w:bidi="ar-SA"/>
      </w:rPr>
    </w:lvl>
    <w:lvl w:ilvl="3" w:tplc="FE048540">
      <w:numFmt w:val="bullet"/>
      <w:lvlText w:val="•"/>
      <w:lvlJc w:val="left"/>
      <w:pPr>
        <w:ind w:left="3239" w:hanging="284"/>
      </w:pPr>
      <w:rPr>
        <w:rFonts w:hint="default"/>
        <w:lang w:val="en-US" w:eastAsia="en-US" w:bidi="ar-SA"/>
      </w:rPr>
    </w:lvl>
    <w:lvl w:ilvl="4" w:tplc="4BA2DBB8">
      <w:numFmt w:val="bullet"/>
      <w:lvlText w:val="•"/>
      <w:lvlJc w:val="left"/>
      <w:pPr>
        <w:ind w:left="4185" w:hanging="284"/>
      </w:pPr>
      <w:rPr>
        <w:rFonts w:hint="default"/>
        <w:lang w:val="en-US" w:eastAsia="en-US" w:bidi="ar-SA"/>
      </w:rPr>
    </w:lvl>
    <w:lvl w:ilvl="5" w:tplc="CD443BFE">
      <w:numFmt w:val="bullet"/>
      <w:lvlText w:val="•"/>
      <w:lvlJc w:val="left"/>
      <w:pPr>
        <w:ind w:left="5132" w:hanging="284"/>
      </w:pPr>
      <w:rPr>
        <w:rFonts w:hint="default"/>
        <w:lang w:val="en-US" w:eastAsia="en-US" w:bidi="ar-SA"/>
      </w:rPr>
    </w:lvl>
    <w:lvl w:ilvl="6" w:tplc="DD1402B2">
      <w:numFmt w:val="bullet"/>
      <w:lvlText w:val="•"/>
      <w:lvlJc w:val="left"/>
      <w:pPr>
        <w:ind w:left="6078" w:hanging="284"/>
      </w:pPr>
      <w:rPr>
        <w:rFonts w:hint="default"/>
        <w:lang w:val="en-US" w:eastAsia="en-US" w:bidi="ar-SA"/>
      </w:rPr>
    </w:lvl>
    <w:lvl w:ilvl="7" w:tplc="C35656E4">
      <w:numFmt w:val="bullet"/>
      <w:lvlText w:val="•"/>
      <w:lvlJc w:val="left"/>
      <w:pPr>
        <w:ind w:left="7025" w:hanging="284"/>
      </w:pPr>
      <w:rPr>
        <w:rFonts w:hint="default"/>
        <w:lang w:val="en-US" w:eastAsia="en-US" w:bidi="ar-SA"/>
      </w:rPr>
    </w:lvl>
    <w:lvl w:ilvl="8" w:tplc="F0CAFA3C">
      <w:numFmt w:val="bullet"/>
      <w:lvlText w:val="•"/>
      <w:lvlJc w:val="left"/>
      <w:pPr>
        <w:ind w:left="7971" w:hanging="284"/>
      </w:pPr>
      <w:rPr>
        <w:rFonts w:hint="default"/>
        <w:lang w:val="en-US" w:eastAsia="en-US" w:bidi="ar-SA"/>
      </w:rPr>
    </w:lvl>
  </w:abstractNum>
  <w:abstractNum w:abstractNumId="10" w15:restartNumberingAfterBreak="0">
    <w:nsid w:val="632B3547"/>
    <w:multiLevelType w:val="hybridMultilevel"/>
    <w:tmpl w:val="18CEF438"/>
    <w:lvl w:ilvl="0" w:tplc="BD946964">
      <w:start w:val="1"/>
      <w:numFmt w:val="lowerLetter"/>
      <w:pStyle w:val="CABList"/>
      <w:lvlText w:val="%1)"/>
      <w:lvlJc w:val="left"/>
      <w:pPr>
        <w:ind w:left="360" w:hanging="360"/>
      </w:pPr>
    </w:lvl>
    <w:lvl w:ilvl="1" w:tplc="91167A24">
      <w:start w:val="1"/>
      <w:numFmt w:val="lowerLetter"/>
      <w:lvlText w:val="%2."/>
      <w:lvlJc w:val="left"/>
      <w:pPr>
        <w:ind w:left="1080" w:hanging="360"/>
      </w:pPr>
    </w:lvl>
    <w:lvl w:ilvl="2" w:tplc="2CCAA908">
      <w:start w:val="1"/>
      <w:numFmt w:val="lowerRoman"/>
      <w:lvlText w:val="%3."/>
      <w:lvlJc w:val="right"/>
      <w:pPr>
        <w:ind w:left="1800" w:hanging="180"/>
      </w:pPr>
    </w:lvl>
    <w:lvl w:ilvl="3" w:tplc="1674D720">
      <w:start w:val="1"/>
      <w:numFmt w:val="decimal"/>
      <w:lvlText w:val="%4."/>
      <w:lvlJc w:val="left"/>
      <w:pPr>
        <w:ind w:left="2520" w:hanging="360"/>
      </w:pPr>
    </w:lvl>
    <w:lvl w:ilvl="4" w:tplc="7C845250">
      <w:start w:val="1"/>
      <w:numFmt w:val="lowerLetter"/>
      <w:lvlText w:val="%5."/>
      <w:lvlJc w:val="left"/>
      <w:pPr>
        <w:ind w:left="3240" w:hanging="360"/>
      </w:pPr>
    </w:lvl>
    <w:lvl w:ilvl="5" w:tplc="280EF732">
      <w:start w:val="1"/>
      <w:numFmt w:val="lowerRoman"/>
      <w:lvlText w:val="%6."/>
      <w:lvlJc w:val="right"/>
      <w:pPr>
        <w:ind w:left="3960" w:hanging="180"/>
      </w:pPr>
    </w:lvl>
    <w:lvl w:ilvl="6" w:tplc="D3421DF4">
      <w:start w:val="1"/>
      <w:numFmt w:val="decimal"/>
      <w:lvlText w:val="%7."/>
      <w:lvlJc w:val="left"/>
      <w:pPr>
        <w:ind w:left="4680" w:hanging="360"/>
      </w:pPr>
    </w:lvl>
    <w:lvl w:ilvl="7" w:tplc="6D3C31F0">
      <w:start w:val="1"/>
      <w:numFmt w:val="lowerLetter"/>
      <w:lvlText w:val="%8."/>
      <w:lvlJc w:val="left"/>
      <w:pPr>
        <w:ind w:left="5400" w:hanging="360"/>
      </w:pPr>
    </w:lvl>
    <w:lvl w:ilvl="8" w:tplc="13CE21A2">
      <w:start w:val="1"/>
      <w:numFmt w:val="lowerRoman"/>
      <w:lvlText w:val="%9."/>
      <w:lvlJc w:val="right"/>
      <w:pPr>
        <w:ind w:left="6120" w:hanging="180"/>
      </w:pPr>
    </w:lvl>
  </w:abstractNum>
  <w:abstractNum w:abstractNumId="11" w15:restartNumberingAfterBreak="0">
    <w:nsid w:val="66CA185B"/>
    <w:multiLevelType w:val="hybridMultilevel"/>
    <w:tmpl w:val="36909CD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6DBA43F4"/>
    <w:multiLevelType w:val="hybridMultilevel"/>
    <w:tmpl w:val="72EEB6A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4"/>
  </w:num>
  <w:num w:numId="2">
    <w:abstractNumId w:val="4"/>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5"/>
  </w:num>
  <w:num w:numId="6">
    <w:abstractNumId w:val="9"/>
  </w:num>
  <w:num w:numId="7">
    <w:abstractNumId w:val="6"/>
  </w:num>
  <w:num w:numId="8">
    <w:abstractNumId w:val="0"/>
  </w:num>
  <w:num w:numId="9">
    <w:abstractNumId w:val="7"/>
  </w:num>
  <w:num w:numId="10">
    <w:abstractNumId w:val="3"/>
  </w:num>
  <w:num w:numId="11">
    <w:abstractNumId w:val="8"/>
  </w:num>
  <w:num w:numId="12">
    <w:abstractNumId w:val="2"/>
  </w:num>
  <w:num w:numId="13">
    <w:abstractNumId w:val="4"/>
  </w:num>
  <w:num w:numId="14">
    <w:abstractNumId w:val="4"/>
  </w:num>
  <w:num w:numId="15">
    <w:abstractNumId w:val="1"/>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num>
  <w:num w:numId="17">
    <w:abstractNumId w:val="12"/>
  </w:num>
  <w:num w:numId="18">
    <w:abstractNumId w:val="11"/>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1597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7230"/>
    <w:rsid w:val="00013343"/>
    <w:rsid w:val="00022598"/>
    <w:rsid w:val="0002631F"/>
    <w:rsid w:val="00041C3D"/>
    <w:rsid w:val="00042654"/>
    <w:rsid w:val="000631DC"/>
    <w:rsid w:val="00075F4F"/>
    <w:rsid w:val="000857FB"/>
    <w:rsid w:val="000B4C24"/>
    <w:rsid w:val="000D316B"/>
    <w:rsid w:val="000E39D7"/>
    <w:rsid w:val="000E66B1"/>
    <w:rsid w:val="000E68B5"/>
    <w:rsid w:val="000E69E3"/>
    <w:rsid w:val="000E6D36"/>
    <w:rsid w:val="000E7A72"/>
    <w:rsid w:val="000F729D"/>
    <w:rsid w:val="0011224C"/>
    <w:rsid w:val="00114621"/>
    <w:rsid w:val="00122608"/>
    <w:rsid w:val="0013010D"/>
    <w:rsid w:val="001314B4"/>
    <w:rsid w:val="001357FE"/>
    <w:rsid w:val="00141315"/>
    <w:rsid w:val="00173856"/>
    <w:rsid w:val="001752E3"/>
    <w:rsid w:val="0019256A"/>
    <w:rsid w:val="00192D61"/>
    <w:rsid w:val="001A22E2"/>
    <w:rsid w:val="001D4CC8"/>
    <w:rsid w:val="001E5C71"/>
    <w:rsid w:val="001F28C9"/>
    <w:rsid w:val="00203D2E"/>
    <w:rsid w:val="002114FE"/>
    <w:rsid w:val="00224FE5"/>
    <w:rsid w:val="0022738A"/>
    <w:rsid w:val="002330A9"/>
    <w:rsid w:val="0023745C"/>
    <w:rsid w:val="0023748E"/>
    <w:rsid w:val="00244018"/>
    <w:rsid w:val="00245D90"/>
    <w:rsid w:val="0025108F"/>
    <w:rsid w:val="00257841"/>
    <w:rsid w:val="00266D4D"/>
    <w:rsid w:val="00281BF5"/>
    <w:rsid w:val="0028432A"/>
    <w:rsid w:val="00287DD8"/>
    <w:rsid w:val="002912B3"/>
    <w:rsid w:val="002A0D5D"/>
    <w:rsid w:val="002B0016"/>
    <w:rsid w:val="002B5835"/>
    <w:rsid w:val="002B5D39"/>
    <w:rsid w:val="002D1A2E"/>
    <w:rsid w:val="002D5E17"/>
    <w:rsid w:val="002E2048"/>
    <w:rsid w:val="002E2475"/>
    <w:rsid w:val="002E3812"/>
    <w:rsid w:val="002E5A30"/>
    <w:rsid w:val="002E7E74"/>
    <w:rsid w:val="002F4207"/>
    <w:rsid w:val="00301229"/>
    <w:rsid w:val="00310E2D"/>
    <w:rsid w:val="00311E52"/>
    <w:rsid w:val="00317E4C"/>
    <w:rsid w:val="00344913"/>
    <w:rsid w:val="003609F2"/>
    <w:rsid w:val="0036746A"/>
    <w:rsid w:val="003765BA"/>
    <w:rsid w:val="00377CF0"/>
    <w:rsid w:val="003A1660"/>
    <w:rsid w:val="003B3EA9"/>
    <w:rsid w:val="003C3E57"/>
    <w:rsid w:val="003C42C7"/>
    <w:rsid w:val="003D6DF5"/>
    <w:rsid w:val="003F22D2"/>
    <w:rsid w:val="003F4625"/>
    <w:rsid w:val="003F6649"/>
    <w:rsid w:val="00400193"/>
    <w:rsid w:val="0041028A"/>
    <w:rsid w:val="00423CDE"/>
    <w:rsid w:val="00427FF0"/>
    <w:rsid w:val="00437768"/>
    <w:rsid w:val="00441DD9"/>
    <w:rsid w:val="00442F81"/>
    <w:rsid w:val="0044414A"/>
    <w:rsid w:val="0045370C"/>
    <w:rsid w:val="004540E2"/>
    <w:rsid w:val="004646D2"/>
    <w:rsid w:val="004763AB"/>
    <w:rsid w:val="00481533"/>
    <w:rsid w:val="0049271C"/>
    <w:rsid w:val="004B4963"/>
    <w:rsid w:val="004B5078"/>
    <w:rsid w:val="004C183A"/>
    <w:rsid w:val="004D302B"/>
    <w:rsid w:val="004E3114"/>
    <w:rsid w:val="004E6DE9"/>
    <w:rsid w:val="004F3B30"/>
    <w:rsid w:val="00520A02"/>
    <w:rsid w:val="005228C4"/>
    <w:rsid w:val="00522AF8"/>
    <w:rsid w:val="00530212"/>
    <w:rsid w:val="00562EED"/>
    <w:rsid w:val="00563EB6"/>
    <w:rsid w:val="00564475"/>
    <w:rsid w:val="00565036"/>
    <w:rsid w:val="00574CEB"/>
    <w:rsid w:val="00585C1F"/>
    <w:rsid w:val="0059446D"/>
    <w:rsid w:val="00594557"/>
    <w:rsid w:val="005B513F"/>
    <w:rsid w:val="005B762A"/>
    <w:rsid w:val="005C68B2"/>
    <w:rsid w:val="005E63F7"/>
    <w:rsid w:val="005F44E4"/>
    <w:rsid w:val="00600A49"/>
    <w:rsid w:val="00610E39"/>
    <w:rsid w:val="0061561C"/>
    <w:rsid w:val="00622027"/>
    <w:rsid w:val="00622F30"/>
    <w:rsid w:val="0063042A"/>
    <w:rsid w:val="00633FFB"/>
    <w:rsid w:val="00636CA5"/>
    <w:rsid w:val="00637D3E"/>
    <w:rsid w:val="0064014C"/>
    <w:rsid w:val="00642F20"/>
    <w:rsid w:val="00646F85"/>
    <w:rsid w:val="00653122"/>
    <w:rsid w:val="006562A5"/>
    <w:rsid w:val="00660163"/>
    <w:rsid w:val="00671A45"/>
    <w:rsid w:val="00674522"/>
    <w:rsid w:val="00674583"/>
    <w:rsid w:val="00680D38"/>
    <w:rsid w:val="00685091"/>
    <w:rsid w:val="00685233"/>
    <w:rsid w:val="006A0589"/>
    <w:rsid w:val="006B013C"/>
    <w:rsid w:val="006B4A9B"/>
    <w:rsid w:val="006C50FB"/>
    <w:rsid w:val="006D1BF2"/>
    <w:rsid w:val="006D673E"/>
    <w:rsid w:val="006E4764"/>
    <w:rsid w:val="006F223A"/>
    <w:rsid w:val="0070229D"/>
    <w:rsid w:val="00707737"/>
    <w:rsid w:val="00713B66"/>
    <w:rsid w:val="007167F0"/>
    <w:rsid w:val="0072071E"/>
    <w:rsid w:val="0073703F"/>
    <w:rsid w:val="00745835"/>
    <w:rsid w:val="007506B0"/>
    <w:rsid w:val="0075392D"/>
    <w:rsid w:val="00756AA9"/>
    <w:rsid w:val="00757170"/>
    <w:rsid w:val="00766572"/>
    <w:rsid w:val="00771BBE"/>
    <w:rsid w:val="007800B7"/>
    <w:rsid w:val="00780275"/>
    <w:rsid w:val="007858C9"/>
    <w:rsid w:val="0079107C"/>
    <w:rsid w:val="00793263"/>
    <w:rsid w:val="007C067B"/>
    <w:rsid w:val="007C440D"/>
    <w:rsid w:val="007C67A3"/>
    <w:rsid w:val="007D3A70"/>
    <w:rsid w:val="007D780E"/>
    <w:rsid w:val="007F34A9"/>
    <w:rsid w:val="007F509A"/>
    <w:rsid w:val="007F7361"/>
    <w:rsid w:val="00815342"/>
    <w:rsid w:val="00823D87"/>
    <w:rsid w:val="00831243"/>
    <w:rsid w:val="008347BE"/>
    <w:rsid w:val="00837226"/>
    <w:rsid w:val="00837230"/>
    <w:rsid w:val="00837A24"/>
    <w:rsid w:val="00840E78"/>
    <w:rsid w:val="00846DAB"/>
    <w:rsid w:val="00851D64"/>
    <w:rsid w:val="00857FCF"/>
    <w:rsid w:val="00862628"/>
    <w:rsid w:val="00864904"/>
    <w:rsid w:val="00865674"/>
    <w:rsid w:val="008667F4"/>
    <w:rsid w:val="0088770B"/>
    <w:rsid w:val="0089181A"/>
    <w:rsid w:val="008921A8"/>
    <w:rsid w:val="00895F13"/>
    <w:rsid w:val="008A02E7"/>
    <w:rsid w:val="008B3D47"/>
    <w:rsid w:val="008B62F3"/>
    <w:rsid w:val="008E05E5"/>
    <w:rsid w:val="008E2993"/>
    <w:rsid w:val="008E33C0"/>
    <w:rsid w:val="008F6599"/>
    <w:rsid w:val="00905B4B"/>
    <w:rsid w:val="00912140"/>
    <w:rsid w:val="00912BFC"/>
    <w:rsid w:val="0091453D"/>
    <w:rsid w:val="009145F5"/>
    <w:rsid w:val="00921309"/>
    <w:rsid w:val="00922DFE"/>
    <w:rsid w:val="009262BE"/>
    <w:rsid w:val="009262D4"/>
    <w:rsid w:val="00930C62"/>
    <w:rsid w:val="0093543F"/>
    <w:rsid w:val="00942B1B"/>
    <w:rsid w:val="00973526"/>
    <w:rsid w:val="0098587C"/>
    <w:rsid w:val="0099188D"/>
    <w:rsid w:val="009B1383"/>
    <w:rsid w:val="009C1734"/>
    <w:rsid w:val="009C6ACB"/>
    <w:rsid w:val="009D07FD"/>
    <w:rsid w:val="009F45D5"/>
    <w:rsid w:val="00A01DC9"/>
    <w:rsid w:val="00A11E56"/>
    <w:rsid w:val="00A12D12"/>
    <w:rsid w:val="00A17153"/>
    <w:rsid w:val="00A249EC"/>
    <w:rsid w:val="00A4464F"/>
    <w:rsid w:val="00A51CFA"/>
    <w:rsid w:val="00A55EE8"/>
    <w:rsid w:val="00A70B1A"/>
    <w:rsid w:val="00A82B15"/>
    <w:rsid w:val="00A86A23"/>
    <w:rsid w:val="00A9369F"/>
    <w:rsid w:val="00AA25E6"/>
    <w:rsid w:val="00AA263D"/>
    <w:rsid w:val="00AA5946"/>
    <w:rsid w:val="00AA7E61"/>
    <w:rsid w:val="00AB18E5"/>
    <w:rsid w:val="00AB64D2"/>
    <w:rsid w:val="00AD1479"/>
    <w:rsid w:val="00AD3100"/>
    <w:rsid w:val="00AF107E"/>
    <w:rsid w:val="00AF4FCE"/>
    <w:rsid w:val="00AF727C"/>
    <w:rsid w:val="00B017B3"/>
    <w:rsid w:val="00B21916"/>
    <w:rsid w:val="00B4286C"/>
    <w:rsid w:val="00B45087"/>
    <w:rsid w:val="00B62BD2"/>
    <w:rsid w:val="00B63330"/>
    <w:rsid w:val="00B82A14"/>
    <w:rsid w:val="00B858CA"/>
    <w:rsid w:val="00BA6575"/>
    <w:rsid w:val="00BC2D52"/>
    <w:rsid w:val="00BD37FC"/>
    <w:rsid w:val="00BE049F"/>
    <w:rsid w:val="00BE2A1A"/>
    <w:rsid w:val="00C15DB3"/>
    <w:rsid w:val="00C17815"/>
    <w:rsid w:val="00C22906"/>
    <w:rsid w:val="00C314C7"/>
    <w:rsid w:val="00C379F7"/>
    <w:rsid w:val="00C4194C"/>
    <w:rsid w:val="00C434B7"/>
    <w:rsid w:val="00C44971"/>
    <w:rsid w:val="00C53BB1"/>
    <w:rsid w:val="00CA0C19"/>
    <w:rsid w:val="00CB3945"/>
    <w:rsid w:val="00CB49A6"/>
    <w:rsid w:val="00CB4F1B"/>
    <w:rsid w:val="00CC1BCB"/>
    <w:rsid w:val="00CD09D4"/>
    <w:rsid w:val="00CD1343"/>
    <w:rsid w:val="00CE3453"/>
    <w:rsid w:val="00CE4672"/>
    <w:rsid w:val="00CF1F01"/>
    <w:rsid w:val="00CF4CBC"/>
    <w:rsid w:val="00CF59D2"/>
    <w:rsid w:val="00D03101"/>
    <w:rsid w:val="00D16142"/>
    <w:rsid w:val="00D26D55"/>
    <w:rsid w:val="00D26F27"/>
    <w:rsid w:val="00D33979"/>
    <w:rsid w:val="00D359E7"/>
    <w:rsid w:val="00D36725"/>
    <w:rsid w:val="00D37118"/>
    <w:rsid w:val="00D50587"/>
    <w:rsid w:val="00D5308E"/>
    <w:rsid w:val="00D81912"/>
    <w:rsid w:val="00D821EE"/>
    <w:rsid w:val="00D91460"/>
    <w:rsid w:val="00DA39C7"/>
    <w:rsid w:val="00DB189A"/>
    <w:rsid w:val="00DC558B"/>
    <w:rsid w:val="00DE0DFC"/>
    <w:rsid w:val="00DF3B00"/>
    <w:rsid w:val="00DF53AC"/>
    <w:rsid w:val="00E00823"/>
    <w:rsid w:val="00E00E10"/>
    <w:rsid w:val="00E3059D"/>
    <w:rsid w:val="00E34165"/>
    <w:rsid w:val="00E34239"/>
    <w:rsid w:val="00E35761"/>
    <w:rsid w:val="00E35BEF"/>
    <w:rsid w:val="00E618B1"/>
    <w:rsid w:val="00E71815"/>
    <w:rsid w:val="00E80C67"/>
    <w:rsid w:val="00E824CB"/>
    <w:rsid w:val="00E836A1"/>
    <w:rsid w:val="00E85577"/>
    <w:rsid w:val="00E869D5"/>
    <w:rsid w:val="00E957A8"/>
    <w:rsid w:val="00E95935"/>
    <w:rsid w:val="00E959BA"/>
    <w:rsid w:val="00EA2B2D"/>
    <w:rsid w:val="00EA6C3B"/>
    <w:rsid w:val="00EA6CAA"/>
    <w:rsid w:val="00EB476E"/>
    <w:rsid w:val="00EB650E"/>
    <w:rsid w:val="00EC5A8E"/>
    <w:rsid w:val="00EF1475"/>
    <w:rsid w:val="00EF179A"/>
    <w:rsid w:val="00EF34E9"/>
    <w:rsid w:val="00EF3C21"/>
    <w:rsid w:val="00EF5229"/>
    <w:rsid w:val="00F03342"/>
    <w:rsid w:val="00F100C4"/>
    <w:rsid w:val="00F12E59"/>
    <w:rsid w:val="00F21DD1"/>
    <w:rsid w:val="00F23470"/>
    <w:rsid w:val="00F34E0F"/>
    <w:rsid w:val="00F36EFD"/>
    <w:rsid w:val="00F47D4F"/>
    <w:rsid w:val="00F544FA"/>
    <w:rsid w:val="00F64176"/>
    <w:rsid w:val="00F704C3"/>
    <w:rsid w:val="00F716BF"/>
    <w:rsid w:val="00F764CA"/>
    <w:rsid w:val="00F77FCC"/>
    <w:rsid w:val="00F86A1E"/>
    <w:rsid w:val="00F90EF3"/>
    <w:rsid w:val="00F92F10"/>
    <w:rsid w:val="00FA3F95"/>
    <w:rsid w:val="00FA77D6"/>
    <w:rsid w:val="00FB0679"/>
    <w:rsid w:val="00FC353B"/>
    <w:rsid w:val="00FD1448"/>
    <w:rsid w:val="00FF03D8"/>
    <w:rsid w:val="00FF4FC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59745"/>
    <o:shapelayout v:ext="edit">
      <o:idmap v:ext="edit" data="1"/>
    </o:shapelayout>
  </w:shapeDefaults>
  <w:decimalSymbol w:val="."/>
  <w:listSeparator w:val=","/>
  <w14:docId w14:val="1FBE5522"/>
  <w15:chartTrackingRefBased/>
  <w15:docId w15:val="{07CE3FFA-BA23-47B9-AB7C-60E04A0EA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1916"/>
    <w:rPr>
      <w:sz w:val="20"/>
    </w:rPr>
  </w:style>
  <w:style w:type="paragraph" w:styleId="Heading6">
    <w:name w:val="heading 6"/>
    <w:aliases w:val="Text 2"/>
    <w:basedOn w:val="Normal"/>
    <w:link w:val="Heading6Char"/>
    <w:uiPriority w:val="9"/>
    <w:semiHidden/>
    <w:unhideWhenUsed/>
    <w:qFormat/>
    <w:rsid w:val="00EF34E9"/>
    <w:pPr>
      <w:keepNext/>
      <w:spacing w:after="100" w:line="240" w:lineRule="auto"/>
      <w:outlineLvl w:val="5"/>
    </w:pPr>
    <w:rPr>
      <w:rFonts w:ascii="Arial" w:hAnsi="Arial" w:cs="Arial"/>
      <w:sz w:val="18"/>
      <w:szCs w:val="18"/>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57170"/>
    <w:pPr>
      <w:tabs>
        <w:tab w:val="center" w:pos="4513"/>
        <w:tab w:val="right" w:pos="9026"/>
      </w:tabs>
      <w:spacing w:after="0" w:line="240" w:lineRule="auto"/>
    </w:pPr>
  </w:style>
  <w:style w:type="character" w:customStyle="1" w:styleId="HeaderChar">
    <w:name w:val="Header Char"/>
    <w:basedOn w:val="DefaultParagraphFont"/>
    <w:link w:val="Header"/>
    <w:uiPriority w:val="99"/>
    <w:rsid w:val="00757170"/>
  </w:style>
  <w:style w:type="paragraph" w:styleId="Footer">
    <w:name w:val="footer"/>
    <w:basedOn w:val="Normal"/>
    <w:link w:val="FooterChar"/>
    <w:uiPriority w:val="99"/>
    <w:unhideWhenUsed/>
    <w:rsid w:val="00757170"/>
    <w:pPr>
      <w:tabs>
        <w:tab w:val="center" w:pos="4513"/>
        <w:tab w:val="right" w:pos="9026"/>
      </w:tabs>
      <w:spacing w:after="0" w:line="240" w:lineRule="auto"/>
    </w:pPr>
  </w:style>
  <w:style w:type="character" w:customStyle="1" w:styleId="FooterChar">
    <w:name w:val="Footer Char"/>
    <w:basedOn w:val="DefaultParagraphFont"/>
    <w:link w:val="Footer"/>
    <w:uiPriority w:val="99"/>
    <w:rsid w:val="00757170"/>
  </w:style>
  <w:style w:type="paragraph" w:customStyle="1" w:styleId="Heading1Title">
    <w:name w:val="Heading 1 Title"/>
    <w:basedOn w:val="Normal"/>
    <w:link w:val="Heading1TitleChar"/>
    <w:qFormat/>
    <w:rsid w:val="00757170"/>
    <w:pPr>
      <w:spacing w:after="0"/>
      <w:ind w:left="142"/>
    </w:pPr>
    <w:rPr>
      <w:b/>
      <w:bCs/>
      <w:color w:val="FFFFFF" w:themeColor="background1"/>
      <w:sz w:val="48"/>
      <w:szCs w:val="48"/>
    </w:rPr>
  </w:style>
  <w:style w:type="paragraph" w:customStyle="1" w:styleId="FactsheetSubtitle">
    <w:name w:val="Factsheet Subtitle"/>
    <w:basedOn w:val="Normal"/>
    <w:link w:val="FactsheetSubtitleChar"/>
    <w:qFormat/>
    <w:rsid w:val="00757170"/>
    <w:pPr>
      <w:ind w:left="142"/>
    </w:pPr>
    <w:rPr>
      <w:color w:val="FFFFFF" w:themeColor="background1"/>
      <w:sz w:val="48"/>
      <w:szCs w:val="48"/>
    </w:rPr>
  </w:style>
  <w:style w:type="character" w:customStyle="1" w:styleId="Heading1TitleChar">
    <w:name w:val="Heading 1 Title Char"/>
    <w:basedOn w:val="DefaultParagraphFont"/>
    <w:link w:val="Heading1Title"/>
    <w:rsid w:val="00757170"/>
    <w:rPr>
      <w:b/>
      <w:bCs/>
      <w:color w:val="FFFFFF" w:themeColor="background1"/>
      <w:sz w:val="48"/>
      <w:szCs w:val="48"/>
    </w:rPr>
  </w:style>
  <w:style w:type="paragraph" w:customStyle="1" w:styleId="Dateinheading">
    <w:name w:val="Date in heading"/>
    <w:basedOn w:val="FactsheetSubtitle"/>
    <w:link w:val="DateinheadingChar"/>
    <w:qFormat/>
    <w:rsid w:val="0098587C"/>
    <w:rPr>
      <w:sz w:val="20"/>
      <w:szCs w:val="20"/>
    </w:rPr>
  </w:style>
  <w:style w:type="character" w:customStyle="1" w:styleId="FactsheetSubtitleChar">
    <w:name w:val="Factsheet Subtitle Char"/>
    <w:basedOn w:val="DefaultParagraphFont"/>
    <w:link w:val="FactsheetSubtitle"/>
    <w:rsid w:val="00757170"/>
    <w:rPr>
      <w:color w:val="FFFFFF" w:themeColor="background1"/>
      <w:sz w:val="48"/>
      <w:szCs w:val="48"/>
    </w:rPr>
  </w:style>
  <w:style w:type="paragraph" w:customStyle="1" w:styleId="Text">
    <w:name w:val="Text"/>
    <w:basedOn w:val="Normal"/>
    <w:uiPriority w:val="99"/>
    <w:rsid w:val="0098587C"/>
    <w:pPr>
      <w:suppressAutoHyphens/>
      <w:autoSpaceDE w:val="0"/>
      <w:autoSpaceDN w:val="0"/>
      <w:adjustRightInd w:val="0"/>
      <w:spacing w:before="85" w:after="28" w:line="220" w:lineRule="atLeast"/>
      <w:textAlignment w:val="center"/>
    </w:pPr>
    <w:rPr>
      <w:rFonts w:ascii="Cambria" w:hAnsi="Cambria" w:cs="Cambria"/>
      <w:color w:val="000000"/>
      <w:spacing w:val="-4"/>
      <w:sz w:val="18"/>
      <w:szCs w:val="18"/>
      <w:lang w:val="en-GB"/>
    </w:rPr>
  </w:style>
  <w:style w:type="character" w:customStyle="1" w:styleId="DateinheadingChar">
    <w:name w:val="Date in heading Char"/>
    <w:basedOn w:val="FactsheetSubtitleChar"/>
    <w:link w:val="Dateinheading"/>
    <w:rsid w:val="0098587C"/>
    <w:rPr>
      <w:color w:val="FFFFFF" w:themeColor="background1"/>
      <w:sz w:val="20"/>
      <w:szCs w:val="20"/>
    </w:rPr>
  </w:style>
  <w:style w:type="character" w:customStyle="1" w:styleId="nobreak">
    <w:name w:val="nobreak"/>
    <w:uiPriority w:val="99"/>
    <w:rsid w:val="0098587C"/>
  </w:style>
  <w:style w:type="paragraph" w:styleId="NoSpacing">
    <w:name w:val="No Spacing"/>
    <w:uiPriority w:val="1"/>
    <w:rsid w:val="0098587C"/>
    <w:pPr>
      <w:spacing w:after="0" w:line="240" w:lineRule="auto"/>
    </w:pPr>
  </w:style>
  <w:style w:type="character" w:styleId="Strong">
    <w:name w:val="Strong"/>
    <w:basedOn w:val="DefaultParagraphFont"/>
    <w:uiPriority w:val="22"/>
    <w:qFormat/>
    <w:rsid w:val="0098587C"/>
    <w:rPr>
      <w:b/>
      <w:bCs/>
    </w:rPr>
  </w:style>
  <w:style w:type="paragraph" w:customStyle="1" w:styleId="Heading2Body">
    <w:name w:val="Heading 2 Body"/>
    <w:basedOn w:val="Normal"/>
    <w:link w:val="Heading2BodyChar"/>
    <w:qFormat/>
    <w:rsid w:val="0098587C"/>
    <w:rPr>
      <w:rFonts w:ascii="Cambria" w:hAnsi="Cambria"/>
      <w:b/>
      <w:bCs/>
      <w:color w:val="00558B"/>
      <w:sz w:val="28"/>
      <w:szCs w:val="28"/>
    </w:rPr>
  </w:style>
  <w:style w:type="paragraph" w:customStyle="1" w:styleId="Heading3Body">
    <w:name w:val="Heading 3 Body"/>
    <w:basedOn w:val="Normal"/>
    <w:link w:val="Heading3BodyChar"/>
    <w:qFormat/>
    <w:rsid w:val="00837230"/>
    <w:rPr>
      <w:rFonts w:ascii="Cambria" w:hAnsi="Cambria"/>
      <w:color w:val="00558B"/>
      <w:sz w:val="28"/>
      <w:szCs w:val="24"/>
    </w:rPr>
  </w:style>
  <w:style w:type="character" w:customStyle="1" w:styleId="Heading2BodyChar">
    <w:name w:val="Heading 2 Body Char"/>
    <w:basedOn w:val="DefaultParagraphFont"/>
    <w:link w:val="Heading2Body"/>
    <w:rsid w:val="0098587C"/>
    <w:rPr>
      <w:rFonts w:ascii="Cambria" w:hAnsi="Cambria"/>
      <w:b/>
      <w:bCs/>
      <w:color w:val="00558B"/>
      <w:sz w:val="28"/>
      <w:szCs w:val="28"/>
    </w:rPr>
  </w:style>
  <w:style w:type="paragraph" w:styleId="ListParagraph">
    <w:name w:val="List Paragraph"/>
    <w:basedOn w:val="Normal"/>
    <w:link w:val="ListParagraphChar"/>
    <w:uiPriority w:val="34"/>
    <w:qFormat/>
    <w:rsid w:val="0098587C"/>
    <w:pPr>
      <w:ind w:left="720"/>
      <w:contextualSpacing/>
    </w:pPr>
  </w:style>
  <w:style w:type="character" w:customStyle="1" w:styleId="Heading3BodyChar">
    <w:name w:val="Heading 3 Body Char"/>
    <w:basedOn w:val="DefaultParagraphFont"/>
    <w:link w:val="Heading3Body"/>
    <w:rsid w:val="00837230"/>
    <w:rPr>
      <w:rFonts w:ascii="Cambria" w:hAnsi="Cambria"/>
      <w:color w:val="00558B"/>
      <w:sz w:val="28"/>
      <w:szCs w:val="24"/>
    </w:rPr>
  </w:style>
  <w:style w:type="paragraph" w:customStyle="1" w:styleId="BulletPointsBody">
    <w:name w:val="Bullet Points Body"/>
    <w:basedOn w:val="ListParagraph"/>
    <w:link w:val="BulletPointsBodyChar"/>
    <w:qFormat/>
    <w:rsid w:val="00B21916"/>
    <w:pPr>
      <w:numPr>
        <w:numId w:val="1"/>
      </w:numPr>
    </w:pPr>
  </w:style>
  <w:style w:type="character" w:customStyle="1" w:styleId="ListParagraphChar">
    <w:name w:val="List Paragraph Char"/>
    <w:basedOn w:val="DefaultParagraphFont"/>
    <w:link w:val="ListParagraph"/>
    <w:uiPriority w:val="34"/>
    <w:rsid w:val="00B21916"/>
    <w:rPr>
      <w:sz w:val="20"/>
    </w:rPr>
  </w:style>
  <w:style w:type="character" w:customStyle="1" w:styleId="BulletPointsBodyChar">
    <w:name w:val="Bullet Points Body Char"/>
    <w:basedOn w:val="ListParagraphChar"/>
    <w:link w:val="BulletPointsBody"/>
    <w:rsid w:val="00B21916"/>
    <w:rPr>
      <w:sz w:val="20"/>
    </w:rPr>
  </w:style>
  <w:style w:type="paragraph" w:customStyle="1" w:styleId="HeadingforPackage">
    <w:name w:val="Heading for Package"/>
    <w:basedOn w:val="Normal"/>
    <w:link w:val="HeadingforPackageChar"/>
    <w:qFormat/>
    <w:rsid w:val="00837230"/>
    <w:rPr>
      <w:rFonts w:ascii="Cambria" w:hAnsi="Cambria"/>
      <w:sz w:val="22"/>
      <w:szCs w:val="24"/>
    </w:rPr>
  </w:style>
  <w:style w:type="table" w:styleId="TableGrid">
    <w:name w:val="Table Grid"/>
    <w:basedOn w:val="TableNormal"/>
    <w:uiPriority w:val="39"/>
    <w:rsid w:val="008372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forPackageChar">
    <w:name w:val="Heading for Package Char"/>
    <w:basedOn w:val="DefaultParagraphFont"/>
    <w:link w:val="HeadingforPackage"/>
    <w:rsid w:val="00837230"/>
    <w:rPr>
      <w:rFonts w:ascii="Cambria" w:hAnsi="Cambria"/>
      <w:szCs w:val="24"/>
    </w:rPr>
  </w:style>
  <w:style w:type="character" w:styleId="CommentReference">
    <w:name w:val="annotation reference"/>
    <w:basedOn w:val="DefaultParagraphFont"/>
    <w:semiHidden/>
    <w:unhideWhenUsed/>
    <w:rsid w:val="00565036"/>
    <w:rPr>
      <w:sz w:val="16"/>
      <w:szCs w:val="16"/>
    </w:rPr>
  </w:style>
  <w:style w:type="paragraph" w:styleId="CommentText">
    <w:name w:val="annotation text"/>
    <w:basedOn w:val="Normal"/>
    <w:link w:val="CommentTextChar"/>
    <w:unhideWhenUsed/>
    <w:rsid w:val="00565036"/>
    <w:pPr>
      <w:spacing w:line="240" w:lineRule="auto"/>
    </w:pPr>
    <w:rPr>
      <w:szCs w:val="20"/>
    </w:rPr>
  </w:style>
  <w:style w:type="character" w:customStyle="1" w:styleId="CommentTextChar">
    <w:name w:val="Comment Text Char"/>
    <w:basedOn w:val="DefaultParagraphFont"/>
    <w:link w:val="CommentText"/>
    <w:rsid w:val="00565036"/>
    <w:rPr>
      <w:sz w:val="20"/>
      <w:szCs w:val="20"/>
    </w:rPr>
  </w:style>
  <w:style w:type="paragraph" w:styleId="CommentSubject">
    <w:name w:val="annotation subject"/>
    <w:basedOn w:val="CommentText"/>
    <w:next w:val="CommentText"/>
    <w:link w:val="CommentSubjectChar"/>
    <w:uiPriority w:val="99"/>
    <w:semiHidden/>
    <w:unhideWhenUsed/>
    <w:rsid w:val="00565036"/>
    <w:rPr>
      <w:b/>
      <w:bCs/>
    </w:rPr>
  </w:style>
  <w:style w:type="character" w:customStyle="1" w:styleId="CommentSubjectChar">
    <w:name w:val="Comment Subject Char"/>
    <w:basedOn w:val="CommentTextChar"/>
    <w:link w:val="CommentSubject"/>
    <w:uiPriority w:val="99"/>
    <w:semiHidden/>
    <w:rsid w:val="00565036"/>
    <w:rPr>
      <w:b/>
      <w:bCs/>
      <w:sz w:val="20"/>
      <w:szCs w:val="20"/>
    </w:rPr>
  </w:style>
  <w:style w:type="paragraph" w:customStyle="1" w:styleId="CABList">
    <w:name w:val="CAB List"/>
    <w:basedOn w:val="BodyText"/>
    <w:uiPriority w:val="98"/>
    <w:qFormat/>
    <w:rsid w:val="00622F30"/>
    <w:pPr>
      <w:numPr>
        <w:numId w:val="3"/>
      </w:numPr>
      <w:tabs>
        <w:tab w:val="num" w:pos="360"/>
        <w:tab w:val="left" w:pos="4253"/>
      </w:tabs>
      <w:spacing w:before="120" w:after="0" w:line="240" w:lineRule="auto"/>
      <w:ind w:left="0" w:firstLine="0"/>
    </w:pPr>
    <w:rPr>
      <w:rFonts w:ascii="Arial" w:hAnsi="Arial"/>
      <w:sz w:val="22"/>
    </w:rPr>
  </w:style>
  <w:style w:type="paragraph" w:styleId="BodyText">
    <w:name w:val="Body Text"/>
    <w:basedOn w:val="Normal"/>
    <w:link w:val="BodyTextChar"/>
    <w:uiPriority w:val="99"/>
    <w:unhideWhenUsed/>
    <w:rsid w:val="00622F30"/>
    <w:pPr>
      <w:spacing w:after="120"/>
    </w:pPr>
  </w:style>
  <w:style w:type="character" w:customStyle="1" w:styleId="BodyTextChar">
    <w:name w:val="Body Text Char"/>
    <w:basedOn w:val="DefaultParagraphFont"/>
    <w:link w:val="BodyText"/>
    <w:uiPriority w:val="99"/>
    <w:rsid w:val="00622F30"/>
    <w:rPr>
      <w:sz w:val="20"/>
    </w:rPr>
  </w:style>
  <w:style w:type="paragraph" w:styleId="BalloonText">
    <w:name w:val="Balloon Text"/>
    <w:basedOn w:val="Normal"/>
    <w:link w:val="BalloonTextChar"/>
    <w:uiPriority w:val="99"/>
    <w:semiHidden/>
    <w:unhideWhenUsed/>
    <w:rsid w:val="00622F3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2F30"/>
    <w:rPr>
      <w:rFonts w:ascii="Segoe UI" w:hAnsi="Segoe UI" w:cs="Segoe UI"/>
      <w:sz w:val="18"/>
      <w:szCs w:val="18"/>
    </w:rPr>
  </w:style>
  <w:style w:type="paragraph" w:customStyle="1" w:styleId="Bullet">
    <w:name w:val="Bullet"/>
    <w:basedOn w:val="Normal"/>
    <w:rsid w:val="009262BE"/>
    <w:pPr>
      <w:numPr>
        <w:numId w:val="12"/>
      </w:numPr>
      <w:spacing w:after="0" w:line="240" w:lineRule="auto"/>
    </w:pPr>
    <w:rPr>
      <w:rFonts w:ascii="Arial" w:eastAsia="Times New Roman" w:hAnsi="Arial" w:cs="Arial"/>
      <w:sz w:val="23"/>
      <w:szCs w:val="23"/>
    </w:rPr>
  </w:style>
  <w:style w:type="paragraph" w:customStyle="1" w:styleId="Dash">
    <w:name w:val="Dash"/>
    <w:basedOn w:val="Normal"/>
    <w:rsid w:val="009262BE"/>
    <w:pPr>
      <w:numPr>
        <w:ilvl w:val="1"/>
        <w:numId w:val="12"/>
      </w:numPr>
      <w:spacing w:after="0" w:line="240" w:lineRule="auto"/>
    </w:pPr>
    <w:rPr>
      <w:rFonts w:ascii="Arial" w:eastAsia="Times New Roman" w:hAnsi="Arial" w:cs="Arial"/>
      <w:sz w:val="23"/>
      <w:szCs w:val="23"/>
    </w:rPr>
  </w:style>
  <w:style w:type="paragraph" w:customStyle="1" w:styleId="DoubleDot">
    <w:name w:val="Double Dot"/>
    <w:basedOn w:val="Normal"/>
    <w:link w:val="DoubleDotChar"/>
    <w:rsid w:val="009262BE"/>
    <w:pPr>
      <w:numPr>
        <w:ilvl w:val="2"/>
        <w:numId w:val="12"/>
      </w:numPr>
      <w:spacing w:after="0" w:line="240" w:lineRule="auto"/>
    </w:pPr>
    <w:rPr>
      <w:rFonts w:ascii="Arial" w:eastAsia="Times New Roman" w:hAnsi="Arial" w:cs="Arial"/>
      <w:sz w:val="23"/>
      <w:szCs w:val="23"/>
    </w:rPr>
  </w:style>
  <w:style w:type="character" w:customStyle="1" w:styleId="DoubleDotChar">
    <w:name w:val="Double Dot Char"/>
    <w:basedOn w:val="DefaultParagraphFont"/>
    <w:link w:val="DoubleDot"/>
    <w:rsid w:val="009262BE"/>
    <w:rPr>
      <w:rFonts w:ascii="Arial" w:eastAsia="Times New Roman" w:hAnsi="Arial" w:cs="Arial"/>
      <w:sz w:val="23"/>
      <w:szCs w:val="23"/>
    </w:rPr>
  </w:style>
  <w:style w:type="paragraph" w:styleId="Revision">
    <w:name w:val="Revision"/>
    <w:hidden/>
    <w:uiPriority w:val="99"/>
    <w:semiHidden/>
    <w:rsid w:val="009262BE"/>
    <w:pPr>
      <w:spacing w:after="0" w:line="240" w:lineRule="auto"/>
    </w:pPr>
    <w:rPr>
      <w:rFonts w:eastAsia="Times New Roman" w:cs="Times New Roman"/>
      <w:sz w:val="24"/>
      <w:szCs w:val="20"/>
    </w:rPr>
  </w:style>
  <w:style w:type="character" w:customStyle="1" w:styleId="Heading6Char">
    <w:name w:val="Heading 6 Char"/>
    <w:aliases w:val="Text 2 Char"/>
    <w:basedOn w:val="DefaultParagraphFont"/>
    <w:link w:val="Heading6"/>
    <w:uiPriority w:val="9"/>
    <w:semiHidden/>
    <w:rsid w:val="00EF34E9"/>
    <w:rPr>
      <w:rFonts w:ascii="Arial" w:hAnsi="Arial" w:cs="Arial"/>
      <w:sz w:val="18"/>
      <w:szCs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52924">
      <w:bodyDiv w:val="1"/>
      <w:marLeft w:val="0"/>
      <w:marRight w:val="0"/>
      <w:marTop w:val="0"/>
      <w:marBottom w:val="0"/>
      <w:divBdr>
        <w:top w:val="none" w:sz="0" w:space="0" w:color="auto"/>
        <w:left w:val="none" w:sz="0" w:space="0" w:color="auto"/>
        <w:bottom w:val="none" w:sz="0" w:space="0" w:color="auto"/>
        <w:right w:val="none" w:sz="0" w:space="0" w:color="auto"/>
      </w:divBdr>
    </w:div>
    <w:div w:id="33123819">
      <w:bodyDiv w:val="1"/>
      <w:marLeft w:val="0"/>
      <w:marRight w:val="0"/>
      <w:marTop w:val="0"/>
      <w:marBottom w:val="0"/>
      <w:divBdr>
        <w:top w:val="none" w:sz="0" w:space="0" w:color="auto"/>
        <w:left w:val="none" w:sz="0" w:space="0" w:color="auto"/>
        <w:bottom w:val="none" w:sz="0" w:space="0" w:color="auto"/>
        <w:right w:val="none" w:sz="0" w:space="0" w:color="auto"/>
      </w:divBdr>
    </w:div>
    <w:div w:id="266736923">
      <w:bodyDiv w:val="1"/>
      <w:marLeft w:val="0"/>
      <w:marRight w:val="0"/>
      <w:marTop w:val="0"/>
      <w:marBottom w:val="0"/>
      <w:divBdr>
        <w:top w:val="none" w:sz="0" w:space="0" w:color="auto"/>
        <w:left w:val="none" w:sz="0" w:space="0" w:color="auto"/>
        <w:bottom w:val="none" w:sz="0" w:space="0" w:color="auto"/>
        <w:right w:val="none" w:sz="0" w:space="0" w:color="auto"/>
      </w:divBdr>
    </w:div>
    <w:div w:id="314531076">
      <w:bodyDiv w:val="1"/>
      <w:marLeft w:val="0"/>
      <w:marRight w:val="0"/>
      <w:marTop w:val="0"/>
      <w:marBottom w:val="0"/>
      <w:divBdr>
        <w:top w:val="none" w:sz="0" w:space="0" w:color="auto"/>
        <w:left w:val="none" w:sz="0" w:space="0" w:color="auto"/>
        <w:bottom w:val="none" w:sz="0" w:space="0" w:color="auto"/>
        <w:right w:val="none" w:sz="0" w:space="0" w:color="auto"/>
      </w:divBdr>
    </w:div>
    <w:div w:id="443426431">
      <w:bodyDiv w:val="1"/>
      <w:marLeft w:val="0"/>
      <w:marRight w:val="0"/>
      <w:marTop w:val="0"/>
      <w:marBottom w:val="0"/>
      <w:divBdr>
        <w:top w:val="none" w:sz="0" w:space="0" w:color="auto"/>
        <w:left w:val="none" w:sz="0" w:space="0" w:color="auto"/>
        <w:bottom w:val="none" w:sz="0" w:space="0" w:color="auto"/>
        <w:right w:val="none" w:sz="0" w:space="0" w:color="auto"/>
      </w:divBdr>
    </w:div>
    <w:div w:id="498161556">
      <w:bodyDiv w:val="1"/>
      <w:marLeft w:val="0"/>
      <w:marRight w:val="0"/>
      <w:marTop w:val="0"/>
      <w:marBottom w:val="0"/>
      <w:divBdr>
        <w:top w:val="none" w:sz="0" w:space="0" w:color="auto"/>
        <w:left w:val="none" w:sz="0" w:space="0" w:color="auto"/>
        <w:bottom w:val="none" w:sz="0" w:space="0" w:color="auto"/>
        <w:right w:val="none" w:sz="0" w:space="0" w:color="auto"/>
      </w:divBdr>
    </w:div>
    <w:div w:id="537820030">
      <w:bodyDiv w:val="1"/>
      <w:marLeft w:val="0"/>
      <w:marRight w:val="0"/>
      <w:marTop w:val="0"/>
      <w:marBottom w:val="0"/>
      <w:divBdr>
        <w:top w:val="none" w:sz="0" w:space="0" w:color="auto"/>
        <w:left w:val="none" w:sz="0" w:space="0" w:color="auto"/>
        <w:bottom w:val="none" w:sz="0" w:space="0" w:color="auto"/>
        <w:right w:val="none" w:sz="0" w:space="0" w:color="auto"/>
      </w:divBdr>
    </w:div>
    <w:div w:id="558395463">
      <w:bodyDiv w:val="1"/>
      <w:marLeft w:val="0"/>
      <w:marRight w:val="0"/>
      <w:marTop w:val="0"/>
      <w:marBottom w:val="0"/>
      <w:divBdr>
        <w:top w:val="none" w:sz="0" w:space="0" w:color="auto"/>
        <w:left w:val="none" w:sz="0" w:space="0" w:color="auto"/>
        <w:bottom w:val="none" w:sz="0" w:space="0" w:color="auto"/>
        <w:right w:val="none" w:sz="0" w:space="0" w:color="auto"/>
      </w:divBdr>
    </w:div>
    <w:div w:id="629752404">
      <w:bodyDiv w:val="1"/>
      <w:marLeft w:val="0"/>
      <w:marRight w:val="0"/>
      <w:marTop w:val="0"/>
      <w:marBottom w:val="0"/>
      <w:divBdr>
        <w:top w:val="none" w:sz="0" w:space="0" w:color="auto"/>
        <w:left w:val="none" w:sz="0" w:space="0" w:color="auto"/>
        <w:bottom w:val="none" w:sz="0" w:space="0" w:color="auto"/>
        <w:right w:val="none" w:sz="0" w:space="0" w:color="auto"/>
      </w:divBdr>
    </w:div>
    <w:div w:id="642471296">
      <w:bodyDiv w:val="1"/>
      <w:marLeft w:val="0"/>
      <w:marRight w:val="0"/>
      <w:marTop w:val="0"/>
      <w:marBottom w:val="0"/>
      <w:divBdr>
        <w:top w:val="none" w:sz="0" w:space="0" w:color="auto"/>
        <w:left w:val="none" w:sz="0" w:space="0" w:color="auto"/>
        <w:bottom w:val="none" w:sz="0" w:space="0" w:color="auto"/>
        <w:right w:val="none" w:sz="0" w:space="0" w:color="auto"/>
      </w:divBdr>
    </w:div>
    <w:div w:id="775297335">
      <w:bodyDiv w:val="1"/>
      <w:marLeft w:val="0"/>
      <w:marRight w:val="0"/>
      <w:marTop w:val="0"/>
      <w:marBottom w:val="0"/>
      <w:divBdr>
        <w:top w:val="none" w:sz="0" w:space="0" w:color="auto"/>
        <w:left w:val="none" w:sz="0" w:space="0" w:color="auto"/>
        <w:bottom w:val="none" w:sz="0" w:space="0" w:color="auto"/>
        <w:right w:val="none" w:sz="0" w:space="0" w:color="auto"/>
      </w:divBdr>
    </w:div>
    <w:div w:id="890069117">
      <w:bodyDiv w:val="1"/>
      <w:marLeft w:val="0"/>
      <w:marRight w:val="0"/>
      <w:marTop w:val="0"/>
      <w:marBottom w:val="0"/>
      <w:divBdr>
        <w:top w:val="none" w:sz="0" w:space="0" w:color="auto"/>
        <w:left w:val="none" w:sz="0" w:space="0" w:color="auto"/>
        <w:bottom w:val="none" w:sz="0" w:space="0" w:color="auto"/>
        <w:right w:val="none" w:sz="0" w:space="0" w:color="auto"/>
      </w:divBdr>
    </w:div>
    <w:div w:id="937103922">
      <w:bodyDiv w:val="1"/>
      <w:marLeft w:val="0"/>
      <w:marRight w:val="0"/>
      <w:marTop w:val="0"/>
      <w:marBottom w:val="0"/>
      <w:divBdr>
        <w:top w:val="none" w:sz="0" w:space="0" w:color="auto"/>
        <w:left w:val="none" w:sz="0" w:space="0" w:color="auto"/>
        <w:bottom w:val="none" w:sz="0" w:space="0" w:color="auto"/>
        <w:right w:val="none" w:sz="0" w:space="0" w:color="auto"/>
      </w:divBdr>
    </w:div>
    <w:div w:id="997273026">
      <w:bodyDiv w:val="1"/>
      <w:marLeft w:val="0"/>
      <w:marRight w:val="0"/>
      <w:marTop w:val="0"/>
      <w:marBottom w:val="0"/>
      <w:divBdr>
        <w:top w:val="none" w:sz="0" w:space="0" w:color="auto"/>
        <w:left w:val="none" w:sz="0" w:space="0" w:color="auto"/>
        <w:bottom w:val="none" w:sz="0" w:space="0" w:color="auto"/>
        <w:right w:val="none" w:sz="0" w:space="0" w:color="auto"/>
      </w:divBdr>
    </w:div>
    <w:div w:id="1015578053">
      <w:bodyDiv w:val="1"/>
      <w:marLeft w:val="0"/>
      <w:marRight w:val="0"/>
      <w:marTop w:val="0"/>
      <w:marBottom w:val="0"/>
      <w:divBdr>
        <w:top w:val="none" w:sz="0" w:space="0" w:color="auto"/>
        <w:left w:val="none" w:sz="0" w:space="0" w:color="auto"/>
        <w:bottom w:val="none" w:sz="0" w:space="0" w:color="auto"/>
        <w:right w:val="none" w:sz="0" w:space="0" w:color="auto"/>
      </w:divBdr>
    </w:div>
    <w:div w:id="1188522769">
      <w:bodyDiv w:val="1"/>
      <w:marLeft w:val="0"/>
      <w:marRight w:val="0"/>
      <w:marTop w:val="0"/>
      <w:marBottom w:val="0"/>
      <w:divBdr>
        <w:top w:val="none" w:sz="0" w:space="0" w:color="auto"/>
        <w:left w:val="none" w:sz="0" w:space="0" w:color="auto"/>
        <w:bottom w:val="none" w:sz="0" w:space="0" w:color="auto"/>
        <w:right w:val="none" w:sz="0" w:space="0" w:color="auto"/>
      </w:divBdr>
    </w:div>
    <w:div w:id="1242594862">
      <w:bodyDiv w:val="1"/>
      <w:marLeft w:val="0"/>
      <w:marRight w:val="0"/>
      <w:marTop w:val="0"/>
      <w:marBottom w:val="0"/>
      <w:divBdr>
        <w:top w:val="none" w:sz="0" w:space="0" w:color="auto"/>
        <w:left w:val="none" w:sz="0" w:space="0" w:color="auto"/>
        <w:bottom w:val="none" w:sz="0" w:space="0" w:color="auto"/>
        <w:right w:val="none" w:sz="0" w:space="0" w:color="auto"/>
      </w:divBdr>
    </w:div>
    <w:div w:id="1362051936">
      <w:bodyDiv w:val="1"/>
      <w:marLeft w:val="0"/>
      <w:marRight w:val="0"/>
      <w:marTop w:val="0"/>
      <w:marBottom w:val="0"/>
      <w:divBdr>
        <w:top w:val="none" w:sz="0" w:space="0" w:color="auto"/>
        <w:left w:val="none" w:sz="0" w:space="0" w:color="auto"/>
        <w:bottom w:val="none" w:sz="0" w:space="0" w:color="auto"/>
        <w:right w:val="none" w:sz="0" w:space="0" w:color="auto"/>
      </w:divBdr>
    </w:div>
    <w:div w:id="1374579547">
      <w:bodyDiv w:val="1"/>
      <w:marLeft w:val="0"/>
      <w:marRight w:val="0"/>
      <w:marTop w:val="0"/>
      <w:marBottom w:val="0"/>
      <w:divBdr>
        <w:top w:val="none" w:sz="0" w:space="0" w:color="auto"/>
        <w:left w:val="none" w:sz="0" w:space="0" w:color="auto"/>
        <w:bottom w:val="none" w:sz="0" w:space="0" w:color="auto"/>
        <w:right w:val="none" w:sz="0" w:space="0" w:color="auto"/>
      </w:divBdr>
    </w:div>
    <w:div w:id="1428959939">
      <w:bodyDiv w:val="1"/>
      <w:marLeft w:val="0"/>
      <w:marRight w:val="0"/>
      <w:marTop w:val="0"/>
      <w:marBottom w:val="0"/>
      <w:divBdr>
        <w:top w:val="none" w:sz="0" w:space="0" w:color="auto"/>
        <w:left w:val="none" w:sz="0" w:space="0" w:color="auto"/>
        <w:bottom w:val="none" w:sz="0" w:space="0" w:color="auto"/>
        <w:right w:val="none" w:sz="0" w:space="0" w:color="auto"/>
      </w:divBdr>
    </w:div>
    <w:div w:id="1509753739">
      <w:bodyDiv w:val="1"/>
      <w:marLeft w:val="0"/>
      <w:marRight w:val="0"/>
      <w:marTop w:val="0"/>
      <w:marBottom w:val="0"/>
      <w:divBdr>
        <w:top w:val="none" w:sz="0" w:space="0" w:color="auto"/>
        <w:left w:val="none" w:sz="0" w:space="0" w:color="auto"/>
        <w:bottom w:val="none" w:sz="0" w:space="0" w:color="auto"/>
        <w:right w:val="none" w:sz="0" w:space="0" w:color="auto"/>
      </w:divBdr>
    </w:div>
    <w:div w:id="1516454167">
      <w:bodyDiv w:val="1"/>
      <w:marLeft w:val="0"/>
      <w:marRight w:val="0"/>
      <w:marTop w:val="0"/>
      <w:marBottom w:val="0"/>
      <w:divBdr>
        <w:top w:val="none" w:sz="0" w:space="0" w:color="auto"/>
        <w:left w:val="none" w:sz="0" w:space="0" w:color="auto"/>
        <w:bottom w:val="none" w:sz="0" w:space="0" w:color="auto"/>
        <w:right w:val="none" w:sz="0" w:space="0" w:color="auto"/>
      </w:divBdr>
    </w:div>
    <w:div w:id="1631470660">
      <w:bodyDiv w:val="1"/>
      <w:marLeft w:val="0"/>
      <w:marRight w:val="0"/>
      <w:marTop w:val="0"/>
      <w:marBottom w:val="0"/>
      <w:divBdr>
        <w:top w:val="none" w:sz="0" w:space="0" w:color="auto"/>
        <w:left w:val="none" w:sz="0" w:space="0" w:color="auto"/>
        <w:bottom w:val="none" w:sz="0" w:space="0" w:color="auto"/>
        <w:right w:val="none" w:sz="0" w:space="0" w:color="auto"/>
      </w:divBdr>
    </w:div>
    <w:div w:id="1657952256">
      <w:bodyDiv w:val="1"/>
      <w:marLeft w:val="0"/>
      <w:marRight w:val="0"/>
      <w:marTop w:val="0"/>
      <w:marBottom w:val="0"/>
      <w:divBdr>
        <w:top w:val="none" w:sz="0" w:space="0" w:color="auto"/>
        <w:left w:val="none" w:sz="0" w:space="0" w:color="auto"/>
        <w:bottom w:val="none" w:sz="0" w:space="0" w:color="auto"/>
        <w:right w:val="none" w:sz="0" w:space="0" w:color="auto"/>
      </w:divBdr>
    </w:div>
    <w:div w:id="1672761038">
      <w:bodyDiv w:val="1"/>
      <w:marLeft w:val="0"/>
      <w:marRight w:val="0"/>
      <w:marTop w:val="0"/>
      <w:marBottom w:val="0"/>
      <w:divBdr>
        <w:top w:val="none" w:sz="0" w:space="0" w:color="auto"/>
        <w:left w:val="none" w:sz="0" w:space="0" w:color="auto"/>
        <w:bottom w:val="none" w:sz="0" w:space="0" w:color="auto"/>
        <w:right w:val="none" w:sz="0" w:space="0" w:color="auto"/>
      </w:divBdr>
    </w:div>
    <w:div w:id="1674604562">
      <w:bodyDiv w:val="1"/>
      <w:marLeft w:val="0"/>
      <w:marRight w:val="0"/>
      <w:marTop w:val="0"/>
      <w:marBottom w:val="0"/>
      <w:divBdr>
        <w:top w:val="none" w:sz="0" w:space="0" w:color="auto"/>
        <w:left w:val="none" w:sz="0" w:space="0" w:color="auto"/>
        <w:bottom w:val="none" w:sz="0" w:space="0" w:color="auto"/>
        <w:right w:val="none" w:sz="0" w:space="0" w:color="auto"/>
      </w:divBdr>
    </w:div>
    <w:div w:id="1761639777">
      <w:bodyDiv w:val="1"/>
      <w:marLeft w:val="0"/>
      <w:marRight w:val="0"/>
      <w:marTop w:val="0"/>
      <w:marBottom w:val="0"/>
      <w:divBdr>
        <w:top w:val="none" w:sz="0" w:space="0" w:color="auto"/>
        <w:left w:val="none" w:sz="0" w:space="0" w:color="auto"/>
        <w:bottom w:val="none" w:sz="0" w:space="0" w:color="auto"/>
        <w:right w:val="none" w:sz="0" w:space="0" w:color="auto"/>
      </w:divBdr>
    </w:div>
    <w:div w:id="1768651574">
      <w:bodyDiv w:val="1"/>
      <w:marLeft w:val="0"/>
      <w:marRight w:val="0"/>
      <w:marTop w:val="0"/>
      <w:marBottom w:val="0"/>
      <w:divBdr>
        <w:top w:val="none" w:sz="0" w:space="0" w:color="auto"/>
        <w:left w:val="none" w:sz="0" w:space="0" w:color="auto"/>
        <w:bottom w:val="none" w:sz="0" w:space="0" w:color="auto"/>
        <w:right w:val="none" w:sz="0" w:space="0" w:color="auto"/>
      </w:divBdr>
    </w:div>
    <w:div w:id="1799570034">
      <w:bodyDiv w:val="1"/>
      <w:marLeft w:val="0"/>
      <w:marRight w:val="0"/>
      <w:marTop w:val="0"/>
      <w:marBottom w:val="0"/>
      <w:divBdr>
        <w:top w:val="none" w:sz="0" w:space="0" w:color="auto"/>
        <w:left w:val="none" w:sz="0" w:space="0" w:color="auto"/>
        <w:bottom w:val="none" w:sz="0" w:space="0" w:color="auto"/>
        <w:right w:val="none" w:sz="0" w:space="0" w:color="auto"/>
      </w:divBdr>
    </w:div>
    <w:div w:id="1835148375">
      <w:bodyDiv w:val="1"/>
      <w:marLeft w:val="0"/>
      <w:marRight w:val="0"/>
      <w:marTop w:val="0"/>
      <w:marBottom w:val="0"/>
      <w:divBdr>
        <w:top w:val="none" w:sz="0" w:space="0" w:color="auto"/>
        <w:left w:val="none" w:sz="0" w:space="0" w:color="auto"/>
        <w:bottom w:val="none" w:sz="0" w:space="0" w:color="auto"/>
        <w:right w:val="none" w:sz="0" w:space="0" w:color="auto"/>
      </w:divBdr>
    </w:div>
    <w:div w:id="1900020958">
      <w:bodyDiv w:val="1"/>
      <w:marLeft w:val="0"/>
      <w:marRight w:val="0"/>
      <w:marTop w:val="0"/>
      <w:marBottom w:val="0"/>
      <w:divBdr>
        <w:top w:val="none" w:sz="0" w:space="0" w:color="auto"/>
        <w:left w:val="none" w:sz="0" w:space="0" w:color="auto"/>
        <w:bottom w:val="none" w:sz="0" w:space="0" w:color="auto"/>
        <w:right w:val="none" w:sz="0" w:space="0" w:color="auto"/>
      </w:divBdr>
    </w:div>
    <w:div w:id="1973974752">
      <w:bodyDiv w:val="1"/>
      <w:marLeft w:val="0"/>
      <w:marRight w:val="0"/>
      <w:marTop w:val="0"/>
      <w:marBottom w:val="0"/>
      <w:divBdr>
        <w:top w:val="none" w:sz="0" w:space="0" w:color="auto"/>
        <w:left w:val="none" w:sz="0" w:space="0" w:color="auto"/>
        <w:bottom w:val="none" w:sz="0" w:space="0" w:color="auto"/>
        <w:right w:val="none" w:sz="0" w:space="0" w:color="auto"/>
      </w:divBdr>
    </w:div>
    <w:div w:id="2031492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5.svg"/><Relationship Id="rId2" Type="http://schemas.openxmlformats.org/officeDocument/2006/relationships/image" Target="media/image4.png"/><Relationship Id="rId1" Type="http://schemas.openxmlformats.org/officeDocument/2006/relationships/image" Target="media/image3.gif"/></Relationships>
</file>

<file path=word/_rels/header2.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48EF2F-1642-41E8-A0BB-A178E04B41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2126</Words>
  <Characters>12122</Characters>
  <Application>Microsoft Office Word</Application>
  <DocSecurity>4</DocSecurity>
  <Lines>101</Lines>
  <Paragraphs>28</Paragraphs>
  <ScaleCrop>false</ScaleCrop>
  <HeadingPairs>
    <vt:vector size="2" baseType="variant">
      <vt:variant>
        <vt:lpstr>Title</vt:lpstr>
      </vt:variant>
      <vt:variant>
        <vt:i4>1</vt:i4>
      </vt:variant>
    </vt:vector>
  </HeadingPairs>
  <TitlesOfParts>
    <vt:vector size="1" baseType="lpstr">
      <vt:lpstr>Agriculture 2030 2021–22 Budget</vt:lpstr>
    </vt:vector>
  </TitlesOfParts>
  <Company/>
  <LinksUpToDate>false</LinksUpToDate>
  <CharactersWithSpaces>14220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Agriculture 2030 2021–22 Budget</dc:title>
  <dc:subject/>
  <dc:creator>Department of Agriculture, Water and the Environment</dc:creator>
  <cp:keywords/>
  <dc:description/>
  <cp:lastModifiedBy>West, Merryn</cp:lastModifiedBy>
  <cp:revision>2</cp:revision>
  <cp:lastPrinted>2021-05-11T00:23:00Z</cp:lastPrinted>
  <dcterms:created xsi:type="dcterms:W3CDTF">2021-05-21T00:48:00Z</dcterms:created>
  <dcterms:modified xsi:type="dcterms:W3CDTF">2021-05-21T00:48:00Z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Value_Footer">
    <vt:lpwstr>OFFICIAL</vt:lpwstr>
  </property>
  <property fmtid="{D5CDD505-2E9C-101B-9397-08002B2CF9AE}" pid="3" name="PM_Caveats_Count">
    <vt:lpwstr>0</vt:lpwstr>
  </property>
  <property fmtid="{D5CDD505-2E9C-101B-9397-08002B2CF9AE}" pid="4" name="PM_Originator_Hash_SHA1">
    <vt:lpwstr>FC38C01A5E3039FA9D6831BBD75AE1E946FB5854</vt:lpwstr>
  </property>
  <property fmtid="{D5CDD505-2E9C-101B-9397-08002B2CF9AE}" pid="5" name="PM_SecurityClassification">
    <vt:lpwstr>OFFICIAL</vt:lpwstr>
  </property>
  <property fmtid="{D5CDD505-2E9C-101B-9397-08002B2CF9AE}" pid="6" name="PM_DisplayValueSecClassificationWithQualifier">
    <vt:lpwstr>OFFICIAL:</vt:lpwstr>
  </property>
  <property fmtid="{D5CDD505-2E9C-101B-9397-08002B2CF9AE}" pid="7" name="PM_Qualifier">
    <vt:lpwstr/>
  </property>
  <property fmtid="{D5CDD505-2E9C-101B-9397-08002B2CF9AE}" pid="8" name="PM_Hash_SHA1">
    <vt:lpwstr>360391B7924B0C7110400C0AF1E74B033DB4B3C8</vt:lpwstr>
  </property>
  <property fmtid="{D5CDD505-2E9C-101B-9397-08002B2CF9AE}" pid="9" name="PM_ProtectiveMarkingImage_Header">
    <vt:lpwstr>C:\Program Files (x86)\Common Files\janusNET Shared\janusSEAL\Images\DocumentSlashBlue.png</vt:lpwstr>
  </property>
  <property fmtid="{D5CDD505-2E9C-101B-9397-08002B2CF9AE}" pid="10" name="PM_InsertionValue">
    <vt:lpwstr>OFFICIAL</vt:lpwstr>
  </property>
  <property fmtid="{D5CDD505-2E9C-101B-9397-08002B2CF9AE}" pid="11" name="PM_ProtectiveMarkingValue_Header">
    <vt:lpwstr>OFFICIAL</vt:lpwstr>
  </property>
  <property fmtid="{D5CDD505-2E9C-101B-9397-08002B2CF9AE}" pid="12" name="PM_ProtectiveMarkingImage_Footer">
    <vt:lpwstr>C:\Program Files (x86)\Common Files\janusNET Shared\janusSEAL\Images\DocumentSlashBlue.png</vt:lpwstr>
  </property>
  <property fmtid="{D5CDD505-2E9C-101B-9397-08002B2CF9AE}" pid="13" name="PM_Namespace">
    <vt:lpwstr>gov.au</vt:lpwstr>
  </property>
  <property fmtid="{D5CDD505-2E9C-101B-9397-08002B2CF9AE}" pid="14" name="PM_Version">
    <vt:lpwstr>2018.1</vt:lpwstr>
  </property>
  <property fmtid="{D5CDD505-2E9C-101B-9397-08002B2CF9AE}" pid="15" name="PM_Originating_FileId">
    <vt:lpwstr>EE65FEE2AA7C4AB9AB87C18E6EA96B29</vt:lpwstr>
  </property>
  <property fmtid="{D5CDD505-2E9C-101B-9397-08002B2CF9AE}" pid="16" name="PM_Note">
    <vt:lpwstr/>
  </property>
  <property fmtid="{D5CDD505-2E9C-101B-9397-08002B2CF9AE}" pid="17" name="PM_Markers">
    <vt:lpwstr/>
  </property>
  <property fmtid="{D5CDD505-2E9C-101B-9397-08002B2CF9AE}" pid="18" name="PM_OriginationTimeStamp">
    <vt:lpwstr>2021-05-11T00:36:54Z</vt:lpwstr>
  </property>
  <property fmtid="{D5CDD505-2E9C-101B-9397-08002B2CF9AE}" pid="19" name="PM_Hash_Version">
    <vt:lpwstr>2018.0</vt:lpwstr>
  </property>
  <property fmtid="{D5CDD505-2E9C-101B-9397-08002B2CF9AE}" pid="20" name="PM_Hash_Salt_Prev">
    <vt:lpwstr>1EBEAD7D708AC69F1CDBC32DA4ECCDAE</vt:lpwstr>
  </property>
  <property fmtid="{D5CDD505-2E9C-101B-9397-08002B2CF9AE}" pid="21" name="PM_Hash_Salt">
    <vt:lpwstr>AAA4147B2998664CF25F818F5BAA3ECD</vt:lpwstr>
  </property>
  <property fmtid="{D5CDD505-2E9C-101B-9397-08002B2CF9AE}" pid="22" name="PM_SecurityClassification_Prev">
    <vt:lpwstr>UNCLASSIFIED</vt:lpwstr>
  </property>
  <property fmtid="{D5CDD505-2E9C-101B-9397-08002B2CF9AE}" pid="23" name="PM_Qualifier_Prev">
    <vt:lpwstr/>
  </property>
</Properties>
</file>