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0AA7" w14:textId="77777777" w:rsidR="00757170" w:rsidRPr="00464380" w:rsidRDefault="00192D61" w:rsidP="00757170">
      <w:pPr>
        <w:ind w:left="142"/>
      </w:pPr>
      <w:r w:rsidRPr="00464380">
        <w:rPr>
          <w:noProof/>
          <w:lang w:eastAsia="en-AU"/>
        </w:rPr>
        <w:drawing>
          <wp:anchor distT="0" distB="0" distL="114300" distR="114300" simplePos="0" relativeHeight="251656189" behindDoc="1" locked="0" layoutInCell="1" allowOverlap="1" wp14:anchorId="25781C65" wp14:editId="0BE61ECB">
            <wp:simplePos x="0" y="0"/>
            <wp:positionH relativeFrom="page">
              <wp:align>right</wp:align>
            </wp:positionH>
            <wp:positionV relativeFrom="paragraph">
              <wp:posOffset>12700</wp:posOffset>
            </wp:positionV>
            <wp:extent cx="7551891" cy="2697974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891" cy="2697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F9248" w14:textId="77777777" w:rsidR="00565036" w:rsidRPr="00464380" w:rsidRDefault="00565036" w:rsidP="0098587C">
      <w:pPr>
        <w:pStyle w:val="FactsheetSubtitle"/>
        <w:spacing w:after="0"/>
        <w:ind w:left="0"/>
      </w:pPr>
    </w:p>
    <w:p w14:paraId="0D6B9BA4" w14:textId="77777777" w:rsidR="00565036" w:rsidRPr="00464380" w:rsidRDefault="00565036" w:rsidP="0098587C">
      <w:pPr>
        <w:pStyle w:val="FactsheetSubtitle"/>
        <w:spacing w:after="0"/>
        <w:ind w:left="0"/>
      </w:pPr>
    </w:p>
    <w:p w14:paraId="743EA0FE" w14:textId="77777777" w:rsidR="00565036" w:rsidRPr="00464380" w:rsidRDefault="00815A1E" w:rsidP="0098587C">
      <w:pPr>
        <w:pStyle w:val="FactsheetSubtitle"/>
        <w:spacing w:after="0"/>
        <w:ind w:left="0"/>
      </w:pPr>
      <w:r w:rsidRPr="0046438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80BE5" wp14:editId="7F2D01DE">
                <wp:simplePos x="0" y="0"/>
                <wp:positionH relativeFrom="margin">
                  <wp:posOffset>-114300</wp:posOffset>
                </wp:positionH>
                <wp:positionV relativeFrom="paragraph">
                  <wp:posOffset>718820</wp:posOffset>
                </wp:positionV>
                <wp:extent cx="6000750" cy="8826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82650"/>
                        </a:xfrm>
                        <a:prstGeom prst="rect">
                          <a:avLst/>
                        </a:prstGeom>
                        <a:solidFill>
                          <a:srgbClr val="00558B">
                            <a:alpha val="8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8A2DF" w14:textId="77777777" w:rsidR="00A17153" w:rsidRPr="00563EB6" w:rsidRDefault="00815A1E" w:rsidP="00A17153">
                            <w:pPr>
                              <w:pStyle w:val="FactsheetSubtitle"/>
                              <w:spacing w:after="0"/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Improving agricultural employment opportunities</w:t>
                            </w:r>
                            <w:r w:rsidR="00A17049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F6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56.6pt;width:472.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" fillcolor="#00558b" stroked="f">
                <v:fill opacity="58853f"/>
                <v:textbox>
                  <w:txbxContent>
                    <w:p w:rsidR="00A17153" w:rsidRPr="00563EB6" w:rsidRDefault="00815A1E" w:rsidP="00A17153">
                      <w:pPr>
                        <w:pStyle w:val="FactsheetSubtitle"/>
                        <w:spacing w:after="0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Improving agricultural employment opportunities</w:t>
                      </w:r>
                      <w:r w:rsidR="00A17049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B315E1" w14:textId="77777777" w:rsidR="00A17153" w:rsidRPr="00464380" w:rsidRDefault="00A17153" w:rsidP="0098587C"/>
    <w:p w14:paraId="6E5B17E6" w14:textId="77777777" w:rsidR="004764A4" w:rsidRPr="00464380" w:rsidRDefault="0020079E" w:rsidP="004764A4">
      <w:r w:rsidRPr="00464380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7CAD8BE5" wp14:editId="28DCBFE9">
            <wp:simplePos x="0" y="0"/>
            <wp:positionH relativeFrom="margin">
              <wp:posOffset>5130800</wp:posOffset>
            </wp:positionH>
            <wp:positionV relativeFrom="paragraph">
              <wp:posOffset>1203960</wp:posOffset>
            </wp:positionV>
            <wp:extent cx="1018800" cy="1018800"/>
            <wp:effectExtent l="0" t="0" r="0" b="0"/>
            <wp:wrapSquare wrapText="bothSides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0D77A" w14:textId="77777777" w:rsidR="00651EAD" w:rsidRPr="00464380" w:rsidRDefault="004764A4" w:rsidP="004764A4">
      <w:pPr>
        <w:rPr>
          <w:rStyle w:val="Strong"/>
          <w:b w:val="0"/>
          <w:bCs w:val="0"/>
        </w:rPr>
      </w:pPr>
      <w:r w:rsidRPr="00464380">
        <w:rPr>
          <w:rStyle w:val="Strong"/>
          <w:b w:val="0"/>
        </w:rPr>
        <w:t>The Australian</w:t>
      </w:r>
      <w:r w:rsidRPr="00464380">
        <w:rPr>
          <w:rStyle w:val="Strong"/>
        </w:rPr>
        <w:t xml:space="preserve"> </w:t>
      </w:r>
      <w:r w:rsidRPr="00464380">
        <w:rPr>
          <w:rStyle w:val="Strong"/>
          <w:b w:val="0"/>
          <w:bCs w:val="0"/>
        </w:rPr>
        <w:t xml:space="preserve">Government’s </w:t>
      </w:r>
      <w:r w:rsidR="00815A1E" w:rsidRPr="00464380">
        <w:rPr>
          <w:rStyle w:val="Strong"/>
          <w:b w:val="0"/>
          <w:bCs w:val="0"/>
        </w:rPr>
        <w:t>initiatives to improve agricultural employment opportunities</w:t>
      </w:r>
      <w:r w:rsidR="000A18A3" w:rsidRPr="00464380">
        <w:rPr>
          <w:rStyle w:val="Strong"/>
          <w:b w:val="0"/>
          <w:bCs w:val="0"/>
        </w:rPr>
        <w:t xml:space="preserve"> are </w:t>
      </w:r>
      <w:r w:rsidR="00001F18" w:rsidRPr="00464380">
        <w:rPr>
          <w:rStyle w:val="Strong"/>
          <w:b w:val="0"/>
          <w:bCs w:val="0"/>
        </w:rPr>
        <w:t xml:space="preserve">a </w:t>
      </w:r>
      <w:r w:rsidRPr="00464380">
        <w:rPr>
          <w:rStyle w:val="Strong"/>
          <w:b w:val="0"/>
          <w:bCs w:val="0"/>
        </w:rPr>
        <w:t xml:space="preserve">key part of the Agriculture 2030 </w:t>
      </w:r>
      <w:r w:rsidR="003C7BFA" w:rsidRPr="00464380">
        <w:rPr>
          <w:rStyle w:val="Strong"/>
          <w:b w:val="0"/>
          <w:bCs w:val="0"/>
        </w:rPr>
        <w:t xml:space="preserve">2021–22 Budget </w:t>
      </w:r>
      <w:r w:rsidRPr="00464380">
        <w:rPr>
          <w:rStyle w:val="Strong"/>
          <w:b w:val="0"/>
          <w:bCs w:val="0"/>
        </w:rPr>
        <w:t>Package.</w:t>
      </w:r>
      <w:r w:rsidR="00651EAD" w:rsidRPr="00464380">
        <w:rPr>
          <w:rStyle w:val="Strong"/>
          <w:b w:val="0"/>
          <w:bCs w:val="0"/>
        </w:rPr>
        <w:t xml:space="preserve"> </w:t>
      </w:r>
      <w:r w:rsidR="000A18A3" w:rsidRPr="00464380">
        <w:rPr>
          <w:rStyle w:val="Strong"/>
          <w:b w:val="0"/>
          <w:bCs w:val="0"/>
        </w:rPr>
        <w:t>They set</w:t>
      </w:r>
      <w:r w:rsidR="004C7E2F" w:rsidRPr="00464380">
        <w:rPr>
          <w:rStyle w:val="Strong"/>
          <w:b w:val="0"/>
          <w:bCs w:val="0"/>
        </w:rPr>
        <w:t xml:space="preserve"> the foundations </w:t>
      </w:r>
      <w:r w:rsidR="00071F7C" w:rsidRPr="00464380">
        <w:rPr>
          <w:rStyle w:val="Strong"/>
          <w:b w:val="0"/>
          <w:bCs w:val="0"/>
        </w:rPr>
        <w:t>for growing and securing Australia’s</w:t>
      </w:r>
      <w:r w:rsidR="00651EAD" w:rsidRPr="00464380">
        <w:rPr>
          <w:rStyle w:val="Strong"/>
          <w:b w:val="0"/>
          <w:bCs w:val="0"/>
        </w:rPr>
        <w:t xml:space="preserve"> future agriculture workforce</w:t>
      </w:r>
      <w:r w:rsidR="00071F7C" w:rsidRPr="00464380">
        <w:rPr>
          <w:rStyle w:val="Strong"/>
          <w:b w:val="0"/>
          <w:bCs w:val="0"/>
        </w:rPr>
        <w:t xml:space="preserve">. </w:t>
      </w:r>
      <w:r w:rsidR="003D22A6" w:rsidRPr="00464380">
        <w:rPr>
          <w:rStyle w:val="Strong"/>
          <w:b w:val="0"/>
          <w:bCs w:val="0"/>
        </w:rPr>
        <w:t>T</w:t>
      </w:r>
      <w:r w:rsidR="00A43491" w:rsidRPr="00464380">
        <w:rPr>
          <w:rStyle w:val="Strong"/>
          <w:b w:val="0"/>
          <w:bCs w:val="0"/>
        </w:rPr>
        <w:t>his</w:t>
      </w:r>
      <w:r w:rsidR="00071F7C" w:rsidRPr="00464380">
        <w:rPr>
          <w:rStyle w:val="Strong"/>
          <w:b w:val="0"/>
          <w:bCs w:val="0"/>
        </w:rPr>
        <w:t xml:space="preserve"> support</w:t>
      </w:r>
      <w:r w:rsidR="0096778E" w:rsidRPr="00464380">
        <w:rPr>
          <w:rStyle w:val="Strong"/>
          <w:b w:val="0"/>
          <w:bCs w:val="0"/>
        </w:rPr>
        <w:t>s</w:t>
      </w:r>
      <w:r w:rsidR="00071F7C" w:rsidRPr="00464380">
        <w:rPr>
          <w:rStyle w:val="Strong"/>
          <w:b w:val="0"/>
          <w:bCs w:val="0"/>
        </w:rPr>
        <w:t xml:space="preserve"> </w:t>
      </w:r>
      <w:r w:rsidR="00651EAD" w:rsidRPr="00464380">
        <w:rPr>
          <w:rStyle w:val="Strong"/>
          <w:b w:val="0"/>
          <w:bCs w:val="0"/>
        </w:rPr>
        <w:t>the agriculture sector to meet its goal of $100 billion in value by 2030.</w:t>
      </w:r>
      <w:r w:rsidR="00E255F4" w:rsidRPr="00464380">
        <w:rPr>
          <w:rStyle w:val="Strong"/>
          <w:b w:val="0"/>
          <w:bCs w:val="0"/>
        </w:rPr>
        <w:t xml:space="preserve"> The initiatives </w:t>
      </w:r>
      <w:r w:rsidR="00C2544B" w:rsidRPr="00464380">
        <w:rPr>
          <w:rStyle w:val="Strong"/>
          <w:b w:val="0"/>
          <w:bCs w:val="0"/>
        </w:rPr>
        <w:t xml:space="preserve">address </w:t>
      </w:r>
      <w:r w:rsidR="00903AA9">
        <w:rPr>
          <w:rStyle w:val="Strong"/>
          <w:b w:val="0"/>
          <w:bCs w:val="0"/>
        </w:rPr>
        <w:t xml:space="preserve">many of the </w:t>
      </w:r>
      <w:r w:rsidR="00C2544B" w:rsidRPr="00464380">
        <w:rPr>
          <w:rStyle w:val="Strong"/>
          <w:b w:val="0"/>
          <w:bCs w:val="0"/>
        </w:rPr>
        <w:t xml:space="preserve">recommendations of the National Agriculture Workforce Strategy report released </w:t>
      </w:r>
      <w:r w:rsidR="003406D0" w:rsidRPr="00464380">
        <w:rPr>
          <w:rStyle w:val="Strong"/>
          <w:b w:val="0"/>
          <w:bCs w:val="0"/>
        </w:rPr>
        <w:t>in March</w:t>
      </w:r>
      <w:r w:rsidR="00590C42">
        <w:rPr>
          <w:rStyle w:val="Strong"/>
          <w:b w:val="0"/>
          <w:bCs w:val="0"/>
        </w:rPr>
        <w:t xml:space="preserve"> 2021</w:t>
      </w:r>
      <w:r w:rsidR="00C2544B" w:rsidRPr="00464380">
        <w:rPr>
          <w:rStyle w:val="Strong"/>
          <w:b w:val="0"/>
          <w:bCs w:val="0"/>
        </w:rPr>
        <w:t>.</w:t>
      </w:r>
    </w:p>
    <w:p w14:paraId="16474627" w14:textId="77777777" w:rsidR="0098587C" w:rsidRPr="00464380" w:rsidRDefault="00837230" w:rsidP="00837230">
      <w:pPr>
        <w:pStyle w:val="Heading3Body"/>
        <w:rPr>
          <w:rStyle w:val="Strong"/>
          <w:b w:val="0"/>
          <w:bCs w:val="0"/>
        </w:rPr>
      </w:pPr>
      <w:r w:rsidRPr="00464380">
        <w:rPr>
          <w:rStyle w:val="Strong"/>
          <w:b w:val="0"/>
          <w:bCs w:val="0"/>
        </w:rPr>
        <w:t xml:space="preserve">What’s in this year’s </w:t>
      </w:r>
      <w:r w:rsidR="00401B0A" w:rsidRPr="00464380">
        <w:rPr>
          <w:rStyle w:val="Strong"/>
          <w:b w:val="0"/>
          <w:bCs w:val="0"/>
        </w:rPr>
        <w:t>B</w:t>
      </w:r>
      <w:r w:rsidRPr="00464380">
        <w:rPr>
          <w:rStyle w:val="Strong"/>
          <w:b w:val="0"/>
          <w:bCs w:val="0"/>
        </w:rPr>
        <w:t>udget</w:t>
      </w:r>
    </w:p>
    <w:p w14:paraId="475B100C" w14:textId="77777777" w:rsidR="00795AB8" w:rsidRPr="00464380" w:rsidRDefault="003C7BFA" w:rsidP="0098587C">
      <w:pPr>
        <w:rPr>
          <w:rStyle w:val="Strong"/>
          <w:b w:val="0"/>
          <w:bCs w:val="0"/>
        </w:rPr>
      </w:pPr>
      <w:r w:rsidRPr="00464380">
        <w:rPr>
          <w:rStyle w:val="Strong"/>
          <w:b w:val="0"/>
          <w:bCs w:val="0"/>
        </w:rPr>
        <w:t>The 2021–22 Budget delivers on our commitment to work</w:t>
      </w:r>
      <w:r w:rsidR="0096778E" w:rsidRPr="00464380">
        <w:rPr>
          <w:rStyle w:val="Strong"/>
          <w:b w:val="0"/>
          <w:bCs w:val="0"/>
        </w:rPr>
        <w:t xml:space="preserve"> with the agriculture industry to </w:t>
      </w:r>
      <w:r w:rsidR="00415C12" w:rsidRPr="00464380">
        <w:rPr>
          <w:rStyle w:val="Strong"/>
          <w:b w:val="0"/>
          <w:bCs w:val="0"/>
        </w:rPr>
        <w:t>attract, retain and upskill workers and build a sustainable workforce.</w:t>
      </w:r>
      <w:r w:rsidR="00071F7C" w:rsidRPr="00464380">
        <w:rPr>
          <w:rStyle w:val="Strong"/>
          <w:b w:val="0"/>
          <w:bCs w:val="0"/>
        </w:rPr>
        <w:t xml:space="preserve"> </w:t>
      </w:r>
      <w:r w:rsidR="00795AB8" w:rsidRPr="00464380">
        <w:rPr>
          <w:rStyle w:val="Strong"/>
          <w:b w:val="0"/>
          <w:bCs w:val="0"/>
        </w:rPr>
        <w:t xml:space="preserve">A key element to growing this workforce is to ensure careers in agriculture are </w:t>
      </w:r>
      <w:r w:rsidR="00001F18" w:rsidRPr="00464380">
        <w:rPr>
          <w:rStyle w:val="Strong"/>
          <w:b w:val="0"/>
          <w:bCs w:val="0"/>
        </w:rPr>
        <w:t xml:space="preserve">attractive and viewed </w:t>
      </w:r>
      <w:r w:rsidR="00E255F4" w:rsidRPr="00464380">
        <w:rPr>
          <w:rStyle w:val="Strong"/>
          <w:b w:val="0"/>
          <w:bCs w:val="0"/>
        </w:rPr>
        <w:t xml:space="preserve">as </w:t>
      </w:r>
      <w:r w:rsidR="00001F18" w:rsidRPr="00464380">
        <w:rPr>
          <w:rStyle w:val="Strong"/>
          <w:b w:val="0"/>
          <w:bCs w:val="0"/>
        </w:rPr>
        <w:t>modern and sustainable with fair and safe working conditions.</w:t>
      </w:r>
    </w:p>
    <w:p w14:paraId="0B8379F3" w14:textId="77777777" w:rsidR="00795AB8" w:rsidRPr="00464380" w:rsidRDefault="00451576" w:rsidP="0098587C">
      <w:pPr>
        <w:rPr>
          <w:rStyle w:val="Strong"/>
          <w:b w:val="0"/>
          <w:bCs w:val="0"/>
        </w:rPr>
      </w:pPr>
      <w:r w:rsidRPr="00464380">
        <w:rPr>
          <w:rStyle w:val="Strong"/>
          <w:b w:val="0"/>
          <w:bCs w:val="0"/>
        </w:rPr>
        <w:t>We are</w:t>
      </w:r>
      <w:r w:rsidR="009C722A" w:rsidRPr="00464380">
        <w:rPr>
          <w:rStyle w:val="Strong"/>
          <w:b w:val="0"/>
          <w:bCs w:val="0"/>
        </w:rPr>
        <w:t xml:space="preserve"> committing </w:t>
      </w:r>
      <w:r w:rsidR="009C722A" w:rsidRPr="00464380">
        <w:rPr>
          <w:rStyle w:val="Strong"/>
          <w:bCs w:val="0"/>
        </w:rPr>
        <w:t>$</w:t>
      </w:r>
      <w:r w:rsidR="00196885" w:rsidRPr="00464380">
        <w:rPr>
          <w:rStyle w:val="Strong"/>
          <w:bCs w:val="0"/>
        </w:rPr>
        <w:t>29.</w:t>
      </w:r>
      <w:r w:rsidR="009C29C8">
        <w:rPr>
          <w:rStyle w:val="Strong"/>
          <w:bCs w:val="0"/>
        </w:rPr>
        <w:t>8</w:t>
      </w:r>
      <w:r w:rsidR="003C7BFA" w:rsidRPr="00464380">
        <w:rPr>
          <w:rStyle w:val="Strong"/>
          <w:bCs w:val="0"/>
        </w:rPr>
        <w:t xml:space="preserve"> </w:t>
      </w:r>
      <w:r w:rsidR="00196885" w:rsidRPr="00464380">
        <w:rPr>
          <w:rStyle w:val="Strong"/>
          <w:bCs w:val="0"/>
        </w:rPr>
        <w:t>million</w:t>
      </w:r>
      <w:r w:rsidRPr="00464380">
        <w:rPr>
          <w:rStyle w:val="Strong"/>
          <w:b w:val="0"/>
          <w:bCs w:val="0"/>
        </w:rPr>
        <w:t xml:space="preserve"> to</w:t>
      </w:r>
      <w:r w:rsidR="00196885" w:rsidRPr="00464380">
        <w:rPr>
          <w:rStyle w:val="Strong"/>
          <w:b w:val="0"/>
          <w:bCs w:val="0"/>
        </w:rPr>
        <w:t xml:space="preserve"> </w:t>
      </w:r>
      <w:r w:rsidR="009C722A" w:rsidRPr="00464380">
        <w:rPr>
          <w:rStyle w:val="Strong"/>
          <w:b w:val="0"/>
          <w:bCs w:val="0"/>
        </w:rPr>
        <w:t>help the agriculture sector modernise its</w:t>
      </w:r>
      <w:r w:rsidR="004C7E2F" w:rsidRPr="00464380">
        <w:rPr>
          <w:rStyle w:val="Strong"/>
          <w:b w:val="0"/>
          <w:bCs w:val="0"/>
        </w:rPr>
        <w:t xml:space="preserve"> practices and</w:t>
      </w:r>
      <w:r w:rsidR="009C722A" w:rsidRPr="00464380">
        <w:rPr>
          <w:rStyle w:val="Strong"/>
          <w:b w:val="0"/>
          <w:bCs w:val="0"/>
        </w:rPr>
        <w:t xml:space="preserve"> image to reflect the dynamic, </w:t>
      </w:r>
      <w:proofErr w:type="gramStart"/>
      <w:r w:rsidR="009C722A" w:rsidRPr="00464380">
        <w:rPr>
          <w:rStyle w:val="Strong"/>
          <w:b w:val="0"/>
          <w:bCs w:val="0"/>
        </w:rPr>
        <w:t>innovative</w:t>
      </w:r>
      <w:proofErr w:type="gramEnd"/>
      <w:r w:rsidR="009C722A" w:rsidRPr="00464380">
        <w:rPr>
          <w:rStyle w:val="Strong"/>
          <w:b w:val="0"/>
          <w:bCs w:val="0"/>
        </w:rPr>
        <w:t xml:space="preserve"> and resilient industry it is today. The package </w:t>
      </w:r>
      <w:r w:rsidR="00795AB8" w:rsidRPr="00464380">
        <w:rPr>
          <w:rStyle w:val="Strong"/>
          <w:b w:val="0"/>
          <w:bCs w:val="0"/>
        </w:rPr>
        <w:t xml:space="preserve">focuses on </w:t>
      </w:r>
      <w:r w:rsidR="000919B0" w:rsidRPr="00464380">
        <w:rPr>
          <w:rStyle w:val="Strong"/>
          <w:b w:val="0"/>
          <w:bCs w:val="0"/>
        </w:rPr>
        <w:t xml:space="preserve">2 key programs – </w:t>
      </w:r>
      <w:proofErr w:type="spellStart"/>
      <w:r w:rsidR="000919B0" w:rsidRPr="00464380">
        <w:rPr>
          <w:rStyle w:val="Strong"/>
          <w:b w:val="0"/>
          <w:bCs w:val="0"/>
        </w:rPr>
        <w:t>AgAttract</w:t>
      </w:r>
      <w:proofErr w:type="spellEnd"/>
      <w:r w:rsidR="000919B0" w:rsidRPr="00464380">
        <w:rPr>
          <w:rStyle w:val="Strong"/>
          <w:b w:val="0"/>
          <w:bCs w:val="0"/>
        </w:rPr>
        <w:t xml:space="preserve"> and </w:t>
      </w:r>
      <w:proofErr w:type="spellStart"/>
      <w:r w:rsidR="000919B0" w:rsidRPr="00464380">
        <w:rPr>
          <w:rStyle w:val="Strong"/>
          <w:b w:val="0"/>
          <w:bCs w:val="0"/>
        </w:rPr>
        <w:t>AgFair</w:t>
      </w:r>
      <w:proofErr w:type="spellEnd"/>
      <w:r w:rsidR="00CC58B6">
        <w:rPr>
          <w:rStyle w:val="Strong"/>
          <w:b w:val="0"/>
          <w:bCs w:val="0"/>
        </w:rPr>
        <w:t>.</w:t>
      </w:r>
    </w:p>
    <w:p w14:paraId="4DEA0DBB" w14:textId="77777777" w:rsidR="00590C42" w:rsidRDefault="00590C42" w:rsidP="00590C42">
      <w:pPr>
        <w:pStyle w:val="HeadingforPackage"/>
        <w:rPr>
          <w:rStyle w:val="Strong"/>
        </w:rPr>
      </w:pPr>
      <w:proofErr w:type="spellStart"/>
      <w:r>
        <w:rPr>
          <w:rStyle w:val="Strong"/>
        </w:rPr>
        <w:t>AgAttract</w:t>
      </w:r>
      <w:proofErr w:type="spellEnd"/>
    </w:p>
    <w:p w14:paraId="271DB074" w14:textId="77777777" w:rsidR="00590C42" w:rsidRPr="002469E3" w:rsidRDefault="00590C42" w:rsidP="00590C42">
      <w:pPr>
        <w:rPr>
          <w:rStyle w:val="Strong"/>
          <w:b w:val="0"/>
          <w:bCs w:val="0"/>
        </w:rPr>
      </w:pPr>
      <w:proofErr w:type="spellStart"/>
      <w:r w:rsidRPr="002469E3">
        <w:rPr>
          <w:rStyle w:val="Strong"/>
          <w:b w:val="0"/>
          <w:bCs w:val="0"/>
        </w:rPr>
        <w:t>AgAttract</w:t>
      </w:r>
      <w:proofErr w:type="spellEnd"/>
      <w:r w:rsidRPr="002469E3">
        <w:rPr>
          <w:rStyle w:val="Strong"/>
          <w:b w:val="0"/>
          <w:bCs w:val="0"/>
        </w:rPr>
        <w:t xml:space="preserve"> lays the foundation for Australia to build a secure and skilled domestic workforce</w:t>
      </w:r>
      <w:r>
        <w:rPr>
          <w:rStyle w:val="Strong"/>
          <w:b w:val="0"/>
          <w:bCs w:val="0"/>
        </w:rPr>
        <w:t>,</w:t>
      </w:r>
      <w:r w:rsidRPr="002469E3">
        <w:rPr>
          <w:rStyle w:val="Strong"/>
          <w:b w:val="0"/>
          <w:bCs w:val="0"/>
        </w:rPr>
        <w:t xml:space="preserve"> and position it as providing interesting and reward</w:t>
      </w:r>
      <w:r>
        <w:rPr>
          <w:rStyle w:val="Strong"/>
          <w:b w:val="0"/>
          <w:bCs w:val="0"/>
        </w:rPr>
        <w:t>ing</w:t>
      </w:r>
      <w:r w:rsidRPr="002469E3">
        <w:rPr>
          <w:rStyle w:val="Strong"/>
          <w:b w:val="0"/>
          <w:bCs w:val="0"/>
        </w:rPr>
        <w:t xml:space="preserve"> career opportunities through 4 key elements:</w:t>
      </w:r>
    </w:p>
    <w:p w14:paraId="39070CBC" w14:textId="77777777" w:rsidR="00590C42" w:rsidRPr="002A543C" w:rsidRDefault="00590C42" w:rsidP="00590C42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B</w:t>
      </w:r>
      <w:r w:rsidRPr="002A543C">
        <w:rPr>
          <w:rStyle w:val="Strong"/>
          <w:b w:val="0"/>
          <w:bCs w:val="0"/>
        </w:rPr>
        <w:t>uilding exposure to</w:t>
      </w:r>
      <w:r>
        <w:rPr>
          <w:rStyle w:val="Strong"/>
          <w:b w:val="0"/>
          <w:bCs w:val="0"/>
        </w:rPr>
        <w:t>,</w:t>
      </w:r>
      <w:r w:rsidRPr="002A543C">
        <w:rPr>
          <w:rStyle w:val="Strong"/>
          <w:b w:val="0"/>
          <w:bCs w:val="0"/>
        </w:rPr>
        <w:t xml:space="preserve"> and interest in</w:t>
      </w:r>
      <w:r>
        <w:rPr>
          <w:rStyle w:val="Strong"/>
          <w:b w:val="0"/>
          <w:bCs w:val="0"/>
        </w:rPr>
        <w:t>,</w:t>
      </w:r>
      <w:r w:rsidRPr="002A543C">
        <w:rPr>
          <w:rStyle w:val="Strong"/>
          <w:b w:val="0"/>
          <w:bCs w:val="0"/>
        </w:rPr>
        <w:t xml:space="preserve"> opportunities in modern agriculture by investing in a </w:t>
      </w:r>
      <w:r>
        <w:rPr>
          <w:rStyle w:val="Strong"/>
          <w:b w:val="0"/>
          <w:bCs w:val="0"/>
        </w:rPr>
        <w:t xml:space="preserve">pilot </w:t>
      </w:r>
      <w:r w:rsidRPr="002A543C">
        <w:rPr>
          <w:rStyle w:val="Strong"/>
          <w:b w:val="0"/>
          <w:bCs w:val="0"/>
        </w:rPr>
        <w:t xml:space="preserve">structured employment program – </w:t>
      </w:r>
      <w:proofErr w:type="spellStart"/>
      <w:r w:rsidRPr="002A543C">
        <w:rPr>
          <w:rStyle w:val="Strong"/>
          <w:b w:val="0"/>
          <w:bCs w:val="0"/>
        </w:rPr>
        <w:t>AgCAREERSTART</w:t>
      </w:r>
      <w:proofErr w:type="spellEnd"/>
      <w:r w:rsidRPr="002A543C">
        <w:rPr>
          <w:rStyle w:val="Strong"/>
          <w:b w:val="0"/>
          <w:bCs w:val="0"/>
        </w:rPr>
        <w:t xml:space="preserve"> – to help school leavers </w:t>
      </w:r>
      <w:r>
        <w:rPr>
          <w:rStyle w:val="Strong"/>
          <w:b w:val="0"/>
          <w:bCs w:val="0"/>
        </w:rPr>
        <w:t>experience work</w:t>
      </w:r>
      <w:r w:rsidRPr="002A543C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in agriculture.</w:t>
      </w:r>
    </w:p>
    <w:p w14:paraId="5E8063C8" w14:textId="77777777" w:rsidR="00590C42" w:rsidRPr="002A543C" w:rsidRDefault="00590C42" w:rsidP="00590C42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</w:t>
      </w:r>
      <w:r w:rsidRPr="002A543C">
        <w:rPr>
          <w:rStyle w:val="Strong"/>
          <w:b w:val="0"/>
          <w:bCs w:val="0"/>
        </w:rPr>
        <w:t xml:space="preserve">upporting </w:t>
      </w:r>
      <w:r>
        <w:rPr>
          <w:rStyle w:val="Strong"/>
          <w:b w:val="0"/>
          <w:bCs w:val="0"/>
        </w:rPr>
        <w:t xml:space="preserve">career and skill development </w:t>
      </w:r>
      <w:r w:rsidRPr="002A543C">
        <w:rPr>
          <w:rStyle w:val="Strong"/>
          <w:b w:val="0"/>
          <w:bCs w:val="0"/>
        </w:rPr>
        <w:t xml:space="preserve">in modern agriculture through the </w:t>
      </w:r>
      <w:proofErr w:type="spellStart"/>
      <w:r w:rsidRPr="002A543C">
        <w:rPr>
          <w:rStyle w:val="Strong"/>
          <w:b w:val="0"/>
          <w:bCs w:val="0"/>
        </w:rPr>
        <w:t>AgUP</w:t>
      </w:r>
      <w:proofErr w:type="spellEnd"/>
      <w:r w:rsidRPr="002A543C">
        <w:rPr>
          <w:rStyle w:val="Strong"/>
          <w:b w:val="0"/>
          <w:bCs w:val="0"/>
        </w:rPr>
        <w:t xml:space="preserve"> grants program. The program co-funds industry </w:t>
      </w:r>
      <w:r>
        <w:rPr>
          <w:rStyle w:val="Strong"/>
          <w:b w:val="0"/>
          <w:bCs w:val="0"/>
        </w:rPr>
        <w:t xml:space="preserve">initiatives </w:t>
      </w:r>
      <w:r w:rsidRPr="002A543C">
        <w:rPr>
          <w:rStyle w:val="Strong"/>
          <w:b w:val="0"/>
          <w:bCs w:val="0"/>
        </w:rPr>
        <w:t>to develop career p</w:t>
      </w:r>
      <w:r>
        <w:rPr>
          <w:rStyle w:val="Strong"/>
          <w:b w:val="0"/>
          <w:bCs w:val="0"/>
        </w:rPr>
        <w:t>rogression pathways, and upskill</w:t>
      </w:r>
      <w:r w:rsidRPr="002A543C">
        <w:rPr>
          <w:rStyle w:val="Strong"/>
          <w:b w:val="0"/>
          <w:bCs w:val="0"/>
        </w:rPr>
        <w:t>, train and mentor workers</w:t>
      </w:r>
      <w:r>
        <w:rPr>
          <w:rStyle w:val="Strong"/>
          <w:b w:val="0"/>
          <w:bCs w:val="0"/>
        </w:rPr>
        <w:t>.</w:t>
      </w:r>
    </w:p>
    <w:p w14:paraId="7E80E78A" w14:textId="77777777" w:rsidR="00590C42" w:rsidRPr="002A543C" w:rsidRDefault="00590C42" w:rsidP="00590C42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B</w:t>
      </w:r>
      <w:r w:rsidRPr="002A543C">
        <w:rPr>
          <w:rStyle w:val="Strong"/>
          <w:b w:val="0"/>
          <w:bCs w:val="0"/>
        </w:rPr>
        <w:t>uilding a strong understanding of modern agriculture by research</w:t>
      </w:r>
      <w:r>
        <w:rPr>
          <w:rStyle w:val="Strong"/>
          <w:b w:val="0"/>
          <w:bCs w:val="0"/>
        </w:rPr>
        <w:t>ing</w:t>
      </w:r>
      <w:r w:rsidRPr="002A543C">
        <w:rPr>
          <w:rStyle w:val="Strong"/>
          <w:b w:val="0"/>
          <w:bCs w:val="0"/>
        </w:rPr>
        <w:t xml:space="preserve"> experiences and perceptions of agriculture work</w:t>
      </w:r>
      <w:r>
        <w:rPr>
          <w:rStyle w:val="Strong"/>
          <w:b w:val="0"/>
          <w:bCs w:val="0"/>
        </w:rPr>
        <w:t>.</w:t>
      </w:r>
    </w:p>
    <w:p w14:paraId="323F8AF3" w14:textId="77777777" w:rsidR="00590C42" w:rsidRDefault="00590C42" w:rsidP="00590C42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</w:t>
      </w:r>
      <w:r w:rsidRPr="002A543C">
        <w:rPr>
          <w:rStyle w:val="Strong"/>
          <w:b w:val="0"/>
          <w:bCs w:val="0"/>
        </w:rPr>
        <w:t>nsuring career advice and agriculture data reflects modern agriculture occupations</w:t>
      </w:r>
      <w:r>
        <w:rPr>
          <w:rStyle w:val="Strong"/>
          <w:b w:val="0"/>
          <w:bCs w:val="0"/>
        </w:rPr>
        <w:t>.</w:t>
      </w:r>
    </w:p>
    <w:p w14:paraId="4AC262D2" w14:textId="77777777" w:rsidR="00BD2DD0" w:rsidRPr="00464380" w:rsidRDefault="00BD2DD0" w:rsidP="00BD2DD0">
      <w:pPr>
        <w:rPr>
          <w:rStyle w:val="Strong"/>
          <w:rFonts w:ascii="Cambria" w:hAnsi="Cambria"/>
          <w:sz w:val="22"/>
          <w:szCs w:val="24"/>
        </w:rPr>
      </w:pPr>
      <w:proofErr w:type="spellStart"/>
      <w:r w:rsidRPr="00464380">
        <w:rPr>
          <w:rStyle w:val="Strong"/>
          <w:rFonts w:ascii="Cambria" w:hAnsi="Cambria"/>
          <w:sz w:val="22"/>
          <w:szCs w:val="24"/>
        </w:rPr>
        <w:t>AgFair</w:t>
      </w:r>
      <w:proofErr w:type="spellEnd"/>
    </w:p>
    <w:p w14:paraId="1E55E443" w14:textId="77777777" w:rsidR="00BD2DD0" w:rsidRPr="00464380" w:rsidRDefault="00712674" w:rsidP="00BD2DD0">
      <w:pPr>
        <w:rPr>
          <w:rStyle w:val="Strong"/>
          <w:b w:val="0"/>
          <w:bCs w:val="0"/>
        </w:rPr>
      </w:pPr>
      <w:r w:rsidRPr="00464380">
        <w:rPr>
          <w:rStyle w:val="Strong"/>
          <w:b w:val="0"/>
          <w:bCs w:val="0"/>
        </w:rPr>
        <w:t xml:space="preserve">The </w:t>
      </w:r>
      <w:r w:rsidR="00451576" w:rsidRPr="00464380">
        <w:rPr>
          <w:rStyle w:val="Strong"/>
          <w:b w:val="0"/>
          <w:bCs w:val="0"/>
        </w:rPr>
        <w:t>g</w:t>
      </w:r>
      <w:r w:rsidRPr="00464380">
        <w:rPr>
          <w:rStyle w:val="Strong"/>
          <w:b w:val="0"/>
          <w:bCs w:val="0"/>
        </w:rPr>
        <w:t xml:space="preserve">overnment has a </w:t>
      </w:r>
      <w:proofErr w:type="gramStart"/>
      <w:r w:rsidRPr="00464380">
        <w:rPr>
          <w:rStyle w:val="Strong"/>
          <w:b w:val="0"/>
          <w:bCs w:val="0"/>
        </w:rPr>
        <w:t>zero tolerance</w:t>
      </w:r>
      <w:proofErr w:type="gramEnd"/>
      <w:r w:rsidRPr="00464380">
        <w:rPr>
          <w:rStyle w:val="Strong"/>
          <w:b w:val="0"/>
          <w:bCs w:val="0"/>
        </w:rPr>
        <w:t xml:space="preserve"> policy for any exploitation of workers</w:t>
      </w:r>
      <w:r w:rsidR="00451576" w:rsidRPr="00464380">
        <w:rPr>
          <w:rStyle w:val="Strong"/>
          <w:b w:val="0"/>
          <w:bCs w:val="0"/>
        </w:rPr>
        <w:t>. We are</w:t>
      </w:r>
      <w:r w:rsidRPr="00464380">
        <w:rPr>
          <w:rStyle w:val="Strong"/>
          <w:b w:val="0"/>
          <w:bCs w:val="0"/>
        </w:rPr>
        <w:t xml:space="preserve"> committed to ensuring </w:t>
      </w:r>
      <w:r w:rsidR="00BD2DD0" w:rsidRPr="00464380">
        <w:rPr>
          <w:rStyle w:val="Strong"/>
          <w:b w:val="0"/>
          <w:bCs w:val="0"/>
        </w:rPr>
        <w:t xml:space="preserve">employers and businesses </w:t>
      </w:r>
      <w:r w:rsidRPr="00464380">
        <w:rPr>
          <w:rStyle w:val="Strong"/>
          <w:b w:val="0"/>
          <w:bCs w:val="0"/>
        </w:rPr>
        <w:t xml:space="preserve">have the necessary skills to </w:t>
      </w:r>
      <w:r w:rsidR="00956CF4" w:rsidRPr="00464380">
        <w:rPr>
          <w:rStyle w:val="Strong"/>
          <w:b w:val="0"/>
          <w:bCs w:val="0"/>
        </w:rPr>
        <w:t>create attractive</w:t>
      </w:r>
      <w:r w:rsidR="004C7E2F" w:rsidRPr="00464380">
        <w:rPr>
          <w:rStyle w:val="Strong"/>
          <w:b w:val="0"/>
          <w:bCs w:val="0"/>
        </w:rPr>
        <w:t xml:space="preserve">, </w:t>
      </w:r>
      <w:proofErr w:type="gramStart"/>
      <w:r w:rsidR="004C7E2F" w:rsidRPr="00464380">
        <w:rPr>
          <w:rStyle w:val="Strong"/>
          <w:b w:val="0"/>
          <w:bCs w:val="0"/>
        </w:rPr>
        <w:t>fair</w:t>
      </w:r>
      <w:proofErr w:type="gramEnd"/>
      <w:r w:rsidR="004C7E2F" w:rsidRPr="00464380">
        <w:rPr>
          <w:rStyle w:val="Strong"/>
          <w:b w:val="0"/>
          <w:bCs w:val="0"/>
        </w:rPr>
        <w:t xml:space="preserve"> and safe working conditions</w:t>
      </w:r>
      <w:r w:rsidR="00C16957" w:rsidRPr="00464380">
        <w:rPr>
          <w:rStyle w:val="Strong"/>
          <w:b w:val="0"/>
          <w:bCs w:val="0"/>
        </w:rPr>
        <w:t xml:space="preserve">. </w:t>
      </w:r>
      <w:r w:rsidR="00BD2DD0" w:rsidRPr="00464380">
        <w:rPr>
          <w:rStyle w:val="Strong"/>
          <w:b w:val="0"/>
          <w:bCs w:val="0"/>
        </w:rPr>
        <w:t xml:space="preserve"> </w:t>
      </w:r>
      <w:proofErr w:type="spellStart"/>
      <w:r w:rsidR="004E35E1" w:rsidRPr="00464380">
        <w:rPr>
          <w:rStyle w:val="Strong"/>
          <w:b w:val="0"/>
          <w:bCs w:val="0"/>
        </w:rPr>
        <w:lastRenderedPageBreak/>
        <w:t>AgFair</w:t>
      </w:r>
      <w:proofErr w:type="spellEnd"/>
      <w:r w:rsidR="004E35E1" w:rsidRPr="00464380">
        <w:rPr>
          <w:rStyle w:val="Strong"/>
          <w:b w:val="0"/>
          <w:bCs w:val="0"/>
        </w:rPr>
        <w:t xml:space="preserve"> is a key component of the work being undertaken to build a modern and sustainable agriculture workforce</w:t>
      </w:r>
      <w:r w:rsidR="00451576" w:rsidRPr="00464380">
        <w:rPr>
          <w:rStyle w:val="Strong"/>
          <w:b w:val="0"/>
          <w:bCs w:val="0"/>
        </w:rPr>
        <w:t>,</w:t>
      </w:r>
      <w:r w:rsidR="004E35E1" w:rsidRPr="00464380">
        <w:rPr>
          <w:rStyle w:val="Strong"/>
          <w:b w:val="0"/>
          <w:bCs w:val="0"/>
        </w:rPr>
        <w:t xml:space="preserve"> and </w:t>
      </w:r>
      <w:r w:rsidR="00BD2DD0" w:rsidRPr="00464380">
        <w:rPr>
          <w:rStyle w:val="Strong"/>
          <w:b w:val="0"/>
          <w:bCs w:val="0"/>
        </w:rPr>
        <w:t>will be delivered through 2 key projects:</w:t>
      </w:r>
    </w:p>
    <w:p w14:paraId="6022AD3D" w14:textId="77777777" w:rsidR="00BD2DD0" w:rsidRPr="00464380" w:rsidRDefault="00451576" w:rsidP="00BD2DD0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464380">
        <w:rPr>
          <w:rStyle w:val="Strong"/>
          <w:b w:val="0"/>
          <w:bCs w:val="0"/>
        </w:rPr>
        <w:t>A</w:t>
      </w:r>
      <w:r w:rsidR="004C7E2F" w:rsidRPr="00464380">
        <w:rPr>
          <w:rStyle w:val="Strong"/>
          <w:b w:val="0"/>
          <w:bCs w:val="0"/>
        </w:rPr>
        <w:t xml:space="preserve"> program of work that provides p</w:t>
      </w:r>
      <w:r w:rsidR="00BD2DD0" w:rsidRPr="00464380">
        <w:rPr>
          <w:rStyle w:val="Strong"/>
          <w:b w:val="0"/>
          <w:bCs w:val="0"/>
        </w:rPr>
        <w:t>ractical support to help agricultural employers implement modern workforce planning and management practices</w:t>
      </w:r>
      <w:r w:rsidR="005D4278" w:rsidRPr="00464380">
        <w:rPr>
          <w:rStyle w:val="Strong"/>
          <w:b w:val="0"/>
          <w:bCs w:val="0"/>
        </w:rPr>
        <w:t>,</w:t>
      </w:r>
      <w:r w:rsidR="00BD2DD0" w:rsidRPr="00464380">
        <w:rPr>
          <w:rStyle w:val="Strong"/>
          <w:b w:val="0"/>
          <w:bCs w:val="0"/>
        </w:rPr>
        <w:t xml:space="preserve"> </w:t>
      </w:r>
      <w:r w:rsidR="005D4278" w:rsidRPr="00464380">
        <w:rPr>
          <w:rStyle w:val="Strong"/>
          <w:b w:val="0"/>
          <w:bCs w:val="0"/>
        </w:rPr>
        <w:t>which</w:t>
      </w:r>
      <w:r w:rsidR="00BD2DD0" w:rsidRPr="00464380">
        <w:rPr>
          <w:rStyle w:val="Strong"/>
          <w:b w:val="0"/>
          <w:bCs w:val="0"/>
        </w:rPr>
        <w:t xml:space="preserve"> will help businesses adjust to disruptions and challenges in the labour market</w:t>
      </w:r>
      <w:r w:rsidR="001933CA" w:rsidRPr="00464380">
        <w:rPr>
          <w:rStyle w:val="Strong"/>
          <w:b w:val="0"/>
          <w:bCs w:val="0"/>
        </w:rPr>
        <w:t xml:space="preserve">, such as </w:t>
      </w:r>
      <w:proofErr w:type="gramStart"/>
      <w:r w:rsidR="00A17049" w:rsidRPr="00464380">
        <w:rPr>
          <w:rStyle w:val="Strong"/>
          <w:b w:val="0"/>
          <w:bCs w:val="0"/>
        </w:rPr>
        <w:t>planning ahead</w:t>
      </w:r>
      <w:proofErr w:type="gramEnd"/>
      <w:r w:rsidR="00A17049" w:rsidRPr="00464380">
        <w:rPr>
          <w:rStyle w:val="Strong"/>
          <w:b w:val="0"/>
          <w:bCs w:val="0"/>
        </w:rPr>
        <w:t xml:space="preserve"> for labour needs</w:t>
      </w:r>
      <w:r w:rsidR="00590C42">
        <w:rPr>
          <w:rStyle w:val="Strong"/>
          <w:b w:val="0"/>
          <w:bCs w:val="0"/>
        </w:rPr>
        <w:t>.</w:t>
      </w:r>
    </w:p>
    <w:p w14:paraId="2D5CE144" w14:textId="77777777" w:rsidR="00BD2DD0" w:rsidRPr="00464380" w:rsidRDefault="00451576" w:rsidP="00BD2DD0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464380">
        <w:rPr>
          <w:rStyle w:val="Strong"/>
          <w:b w:val="0"/>
          <w:bCs w:val="0"/>
        </w:rPr>
        <w:t>S</w:t>
      </w:r>
      <w:r w:rsidR="004C7E2F" w:rsidRPr="00464380">
        <w:rPr>
          <w:rStyle w:val="Strong"/>
          <w:b w:val="0"/>
          <w:bCs w:val="0"/>
        </w:rPr>
        <w:t xml:space="preserve">upport to </w:t>
      </w:r>
      <w:proofErr w:type="gramStart"/>
      <w:r w:rsidR="004C7E2F" w:rsidRPr="00464380">
        <w:rPr>
          <w:rStyle w:val="Strong"/>
          <w:b w:val="0"/>
          <w:bCs w:val="0"/>
        </w:rPr>
        <w:t>f</w:t>
      </w:r>
      <w:r w:rsidR="00BD2DD0" w:rsidRPr="00464380">
        <w:rPr>
          <w:rStyle w:val="Strong"/>
          <w:b w:val="0"/>
          <w:bCs w:val="0"/>
        </w:rPr>
        <w:t>ast track</w:t>
      </w:r>
      <w:proofErr w:type="gramEnd"/>
      <w:r w:rsidR="00BD2DD0" w:rsidRPr="00464380">
        <w:rPr>
          <w:rStyle w:val="Strong"/>
          <w:b w:val="0"/>
          <w:bCs w:val="0"/>
        </w:rPr>
        <w:t xml:space="preserve"> </w:t>
      </w:r>
      <w:r w:rsidR="004E35E1" w:rsidRPr="00464380">
        <w:rPr>
          <w:rStyle w:val="Strong"/>
          <w:b w:val="0"/>
          <w:bCs w:val="0"/>
        </w:rPr>
        <w:t>uptake of the</w:t>
      </w:r>
      <w:r w:rsidR="00BD2DD0" w:rsidRPr="00464380">
        <w:rPr>
          <w:rStyle w:val="Strong"/>
          <w:b w:val="0"/>
          <w:bCs w:val="0"/>
        </w:rPr>
        <w:t xml:space="preserve"> Fair Farms program</w:t>
      </w:r>
      <w:r w:rsidR="005D4278" w:rsidRPr="00464380">
        <w:rPr>
          <w:rStyle w:val="Strong"/>
          <w:b w:val="0"/>
          <w:bCs w:val="0"/>
        </w:rPr>
        <w:t xml:space="preserve"> by growers and horticultural businesses</w:t>
      </w:r>
      <w:r w:rsidR="00590C42">
        <w:rPr>
          <w:rStyle w:val="Strong"/>
          <w:b w:val="0"/>
          <w:bCs w:val="0"/>
        </w:rPr>
        <w:t>.</w:t>
      </w:r>
    </w:p>
    <w:p w14:paraId="5F3ABAF4" w14:textId="77777777" w:rsidR="00837230" w:rsidRPr="00464380" w:rsidRDefault="00837230" w:rsidP="00BD2DD0">
      <w:r w:rsidRPr="00464380">
        <w:rPr>
          <w:rStyle w:val="Heading3BodyChar"/>
        </w:rPr>
        <w:t>Why is this</w:t>
      </w:r>
      <w:r w:rsidRPr="00464380">
        <w:t xml:space="preserve"> </w:t>
      </w:r>
      <w:r w:rsidR="00BF68B0" w:rsidRPr="00464380">
        <w:rPr>
          <w:rStyle w:val="Heading3BodyChar"/>
        </w:rPr>
        <w:t>important</w:t>
      </w:r>
    </w:p>
    <w:p w14:paraId="6B2306E4" w14:textId="77777777" w:rsidR="00833EAF" w:rsidRPr="00464380" w:rsidRDefault="00465B5D" w:rsidP="00DB189A">
      <w:r w:rsidRPr="00464380">
        <w:t xml:space="preserve">A </w:t>
      </w:r>
      <w:r w:rsidR="00BF68B0" w:rsidRPr="00464380">
        <w:t xml:space="preserve">sufficient, </w:t>
      </w:r>
      <w:proofErr w:type="gramStart"/>
      <w:r w:rsidRPr="00464380">
        <w:t>reliable</w:t>
      </w:r>
      <w:proofErr w:type="gramEnd"/>
      <w:r w:rsidR="00BF68B0" w:rsidRPr="00464380">
        <w:t xml:space="preserve"> and suitable workforce is essential to achieving industry’</w:t>
      </w:r>
      <w:r w:rsidRPr="00464380">
        <w:t>s goal of a $100 billion agriculture industry by 2030.</w:t>
      </w:r>
      <w:r w:rsidR="00DF4148" w:rsidRPr="00464380">
        <w:t xml:space="preserve"> </w:t>
      </w:r>
      <w:r w:rsidR="00BD62F9" w:rsidRPr="00464380">
        <w:t xml:space="preserve">Jobs and careers in the agriculture sector need to be attractive and relevant and </w:t>
      </w:r>
      <w:r w:rsidR="00F91091" w:rsidRPr="00464380">
        <w:t>provide quality</w:t>
      </w:r>
      <w:r w:rsidR="00BD62F9" w:rsidRPr="00464380">
        <w:t xml:space="preserve"> </w:t>
      </w:r>
      <w:r w:rsidR="001933CA" w:rsidRPr="00464380">
        <w:t>cond</w:t>
      </w:r>
      <w:r w:rsidR="00BD62F9" w:rsidRPr="00464380">
        <w:t xml:space="preserve">itions, </w:t>
      </w:r>
      <w:r w:rsidRPr="00464380">
        <w:t>career pros</w:t>
      </w:r>
      <w:r w:rsidR="00833EAF" w:rsidRPr="00464380">
        <w:t>pects, and safe workplaces.</w:t>
      </w:r>
      <w:r w:rsidR="00DF4148" w:rsidRPr="00464380">
        <w:t xml:space="preserve"> </w:t>
      </w:r>
      <w:r w:rsidR="00BD62F9" w:rsidRPr="00464380">
        <w:t>Modern agriculture can offer a thriving career for young Australians in a diverse range of occupations</w:t>
      </w:r>
      <w:r w:rsidR="00F91091" w:rsidRPr="00464380">
        <w:t xml:space="preserve"> and contribute to achieving long-term growth in </w:t>
      </w:r>
      <w:r w:rsidR="004C7E2F" w:rsidRPr="00464380">
        <w:t>Australia’s</w:t>
      </w:r>
      <w:r w:rsidR="00F91091" w:rsidRPr="00464380">
        <w:t xml:space="preserve"> </w:t>
      </w:r>
      <w:r w:rsidR="005D4278" w:rsidRPr="00464380">
        <w:t>agriculture industry</w:t>
      </w:r>
      <w:r w:rsidR="00BD62F9" w:rsidRPr="00464380">
        <w:t xml:space="preserve">. </w:t>
      </w:r>
    </w:p>
    <w:p w14:paraId="39CC5A61" w14:textId="77777777" w:rsidR="00837230" w:rsidRPr="00464380" w:rsidRDefault="00837230" w:rsidP="00837230">
      <w:pPr>
        <w:pStyle w:val="Heading3Body"/>
      </w:pPr>
      <w:r w:rsidRPr="00464380">
        <w:t>How much will this cost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902"/>
        <w:gridCol w:w="902"/>
        <w:gridCol w:w="902"/>
        <w:gridCol w:w="902"/>
        <w:gridCol w:w="892"/>
      </w:tblGrid>
      <w:tr w:rsidR="0079649F" w:rsidRPr="00A27CE1" w14:paraId="38A82C09" w14:textId="77777777" w:rsidTr="00AE219E">
        <w:tc>
          <w:tcPr>
            <w:tcW w:w="4506" w:type="dxa"/>
            <w:shd w:val="clear" w:color="auto" w:fill="0070C0"/>
          </w:tcPr>
          <w:p w14:paraId="6FB41753" w14:textId="77777777" w:rsidR="0079649F" w:rsidRPr="00A27CE1" w:rsidRDefault="0079649F" w:rsidP="00DF4148">
            <w:pP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02" w:type="dxa"/>
            <w:shd w:val="clear" w:color="auto" w:fill="0070C0"/>
          </w:tcPr>
          <w:p w14:paraId="6AEFAE0E" w14:textId="77777777" w:rsidR="0079649F" w:rsidRPr="00AE219E" w:rsidRDefault="0079649F" w:rsidP="00DF4148">
            <w:pPr>
              <w:jc w:val="right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2021-22</w:t>
            </w: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br/>
              <w:t>$million</w:t>
            </w:r>
          </w:p>
        </w:tc>
        <w:tc>
          <w:tcPr>
            <w:tcW w:w="902" w:type="dxa"/>
            <w:shd w:val="clear" w:color="auto" w:fill="0070C0"/>
          </w:tcPr>
          <w:p w14:paraId="07F5464D" w14:textId="77777777" w:rsidR="0079649F" w:rsidRPr="00AE219E" w:rsidRDefault="0079649F" w:rsidP="00DF4148">
            <w:pPr>
              <w:jc w:val="right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2022-23</w:t>
            </w: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br/>
              <w:t>$million</w:t>
            </w:r>
          </w:p>
        </w:tc>
        <w:tc>
          <w:tcPr>
            <w:tcW w:w="902" w:type="dxa"/>
            <w:shd w:val="clear" w:color="auto" w:fill="0070C0"/>
          </w:tcPr>
          <w:p w14:paraId="6796AB26" w14:textId="77777777" w:rsidR="0079649F" w:rsidRPr="00AE219E" w:rsidRDefault="0079649F" w:rsidP="00DF4148">
            <w:pPr>
              <w:jc w:val="right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2023-24</w:t>
            </w: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br/>
              <w:t>$million</w:t>
            </w:r>
          </w:p>
        </w:tc>
        <w:tc>
          <w:tcPr>
            <w:tcW w:w="902" w:type="dxa"/>
            <w:shd w:val="clear" w:color="auto" w:fill="0070C0"/>
          </w:tcPr>
          <w:p w14:paraId="1A30ACF8" w14:textId="77777777" w:rsidR="0079649F" w:rsidRPr="00AE219E" w:rsidRDefault="0079649F" w:rsidP="00DF4148">
            <w:pPr>
              <w:jc w:val="right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2024-25</w:t>
            </w: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br/>
              <w:t>$million</w:t>
            </w:r>
          </w:p>
        </w:tc>
        <w:tc>
          <w:tcPr>
            <w:tcW w:w="892" w:type="dxa"/>
            <w:shd w:val="clear" w:color="auto" w:fill="0070C0"/>
          </w:tcPr>
          <w:p w14:paraId="5868699A" w14:textId="77777777" w:rsidR="0079649F" w:rsidRPr="00AE219E" w:rsidRDefault="0079649F" w:rsidP="00DF4148">
            <w:pPr>
              <w:jc w:val="right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TOTAL</w:t>
            </w:r>
            <w:r w:rsidRPr="00AE219E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br/>
              <w:t>$million</w:t>
            </w:r>
          </w:p>
        </w:tc>
      </w:tr>
      <w:tr w:rsidR="003C2D00" w:rsidRPr="00A27CE1" w14:paraId="6F5FC84D" w14:textId="77777777" w:rsidTr="003C2D00">
        <w:tc>
          <w:tcPr>
            <w:tcW w:w="4506" w:type="dxa"/>
          </w:tcPr>
          <w:p w14:paraId="26AE2F1C" w14:textId="77777777" w:rsidR="003C2D00" w:rsidRPr="00A27CE1" w:rsidRDefault="003C2D00" w:rsidP="003C2D00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A27CE1">
              <w:rPr>
                <w:rFonts w:cstheme="minorHAnsi"/>
                <w:color w:val="000000"/>
                <w:sz w:val="19"/>
                <w:szCs w:val="19"/>
              </w:rPr>
              <w:t xml:space="preserve">Improving employment opportunities – pilot </w:t>
            </w:r>
            <w:proofErr w:type="spellStart"/>
            <w:r w:rsidRPr="00A27CE1">
              <w:rPr>
                <w:rFonts w:cstheme="minorHAnsi"/>
                <w:color w:val="000000"/>
                <w:sz w:val="19"/>
                <w:szCs w:val="19"/>
              </w:rPr>
              <w:t>AgCAREERSTART</w:t>
            </w:r>
            <w:proofErr w:type="spellEnd"/>
            <w:r w:rsidRPr="00A27CE1">
              <w:rPr>
                <w:rFonts w:cstheme="minorHAnsi"/>
                <w:color w:val="000000"/>
                <w:sz w:val="19"/>
                <w:szCs w:val="19"/>
              </w:rPr>
              <w:t xml:space="preserve"> program </w:t>
            </w:r>
          </w:p>
        </w:tc>
        <w:tc>
          <w:tcPr>
            <w:tcW w:w="902" w:type="dxa"/>
            <w:vAlign w:val="center"/>
          </w:tcPr>
          <w:p w14:paraId="035216D9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2.2</w:t>
            </w:r>
          </w:p>
        </w:tc>
        <w:tc>
          <w:tcPr>
            <w:tcW w:w="902" w:type="dxa"/>
            <w:vAlign w:val="center"/>
          </w:tcPr>
          <w:p w14:paraId="7F4335DB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3.1</w:t>
            </w:r>
          </w:p>
        </w:tc>
        <w:tc>
          <w:tcPr>
            <w:tcW w:w="902" w:type="dxa"/>
            <w:vAlign w:val="center"/>
          </w:tcPr>
          <w:p w14:paraId="50760726" w14:textId="1A0E6152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0.00</w:t>
            </w:r>
            <w:r w:rsidR="004C25B9" w:rsidRPr="0021620E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902" w:type="dxa"/>
            <w:vAlign w:val="center"/>
          </w:tcPr>
          <w:p w14:paraId="5AFD1FA2" w14:textId="34B849C7" w:rsidR="003C2D00" w:rsidRPr="0021620E" w:rsidRDefault="004C25B9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0.0</w:t>
            </w:r>
          </w:p>
        </w:tc>
        <w:tc>
          <w:tcPr>
            <w:tcW w:w="892" w:type="dxa"/>
            <w:vAlign w:val="center"/>
          </w:tcPr>
          <w:p w14:paraId="3BB37A18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5.3</w:t>
            </w:r>
          </w:p>
        </w:tc>
      </w:tr>
      <w:tr w:rsidR="003C2D00" w:rsidRPr="00A27CE1" w14:paraId="689BD4B2" w14:textId="77777777" w:rsidTr="003C2D00">
        <w:tc>
          <w:tcPr>
            <w:tcW w:w="4506" w:type="dxa"/>
          </w:tcPr>
          <w:p w14:paraId="48942D28" w14:textId="77777777" w:rsidR="003C2D00" w:rsidRPr="00A27CE1" w:rsidRDefault="003C2D00" w:rsidP="003C2D00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A27CE1">
              <w:rPr>
                <w:rFonts w:cstheme="minorHAnsi"/>
                <w:color w:val="000000"/>
                <w:sz w:val="19"/>
                <w:szCs w:val="19"/>
              </w:rPr>
              <w:t xml:space="preserve">Improving employment opportunities – pilot </w:t>
            </w:r>
            <w:proofErr w:type="spellStart"/>
            <w:r w:rsidRPr="00A27CE1">
              <w:rPr>
                <w:rFonts w:cstheme="minorHAnsi"/>
                <w:color w:val="000000"/>
                <w:sz w:val="19"/>
                <w:szCs w:val="19"/>
              </w:rPr>
              <w:t>AgUP</w:t>
            </w:r>
            <w:proofErr w:type="spellEnd"/>
            <w:r w:rsidRPr="00A27CE1">
              <w:rPr>
                <w:rFonts w:cstheme="minorHAnsi"/>
                <w:color w:val="000000"/>
                <w:sz w:val="19"/>
                <w:szCs w:val="19"/>
              </w:rPr>
              <w:t xml:space="preserve"> program</w:t>
            </w:r>
          </w:p>
        </w:tc>
        <w:tc>
          <w:tcPr>
            <w:tcW w:w="902" w:type="dxa"/>
            <w:vAlign w:val="center"/>
          </w:tcPr>
          <w:p w14:paraId="779522AE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2.6</w:t>
            </w:r>
          </w:p>
        </w:tc>
        <w:tc>
          <w:tcPr>
            <w:tcW w:w="902" w:type="dxa"/>
            <w:vAlign w:val="center"/>
          </w:tcPr>
          <w:p w14:paraId="2F607488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2.3</w:t>
            </w:r>
          </w:p>
        </w:tc>
        <w:tc>
          <w:tcPr>
            <w:tcW w:w="902" w:type="dxa"/>
            <w:vAlign w:val="center"/>
          </w:tcPr>
          <w:p w14:paraId="2263610C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2.6</w:t>
            </w:r>
          </w:p>
        </w:tc>
        <w:tc>
          <w:tcPr>
            <w:tcW w:w="902" w:type="dxa"/>
            <w:vAlign w:val="center"/>
          </w:tcPr>
          <w:p w14:paraId="598EC274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2.7</w:t>
            </w:r>
          </w:p>
        </w:tc>
        <w:tc>
          <w:tcPr>
            <w:tcW w:w="892" w:type="dxa"/>
            <w:vAlign w:val="center"/>
          </w:tcPr>
          <w:p w14:paraId="54C6C5B7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10.1</w:t>
            </w:r>
          </w:p>
        </w:tc>
      </w:tr>
      <w:tr w:rsidR="003C2D00" w:rsidRPr="00A27CE1" w14:paraId="0E0680FA" w14:textId="77777777" w:rsidTr="003C2D00">
        <w:tc>
          <w:tcPr>
            <w:tcW w:w="4506" w:type="dxa"/>
          </w:tcPr>
          <w:p w14:paraId="3D3B9AFD" w14:textId="77777777" w:rsidR="003C2D00" w:rsidRPr="00A27CE1" w:rsidRDefault="003C2D00" w:rsidP="003C2D00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A27CE1">
              <w:rPr>
                <w:rFonts w:cstheme="minorHAnsi"/>
                <w:color w:val="000000"/>
                <w:sz w:val="19"/>
                <w:szCs w:val="19"/>
              </w:rPr>
              <w:t xml:space="preserve">Improving employment opportunities – research and development corporation to undertake research on the attraction and retention of agriculture sector workers </w:t>
            </w:r>
          </w:p>
        </w:tc>
        <w:tc>
          <w:tcPr>
            <w:tcW w:w="902" w:type="dxa"/>
            <w:vAlign w:val="center"/>
          </w:tcPr>
          <w:p w14:paraId="32B5AC16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1.3</w:t>
            </w:r>
          </w:p>
        </w:tc>
        <w:tc>
          <w:tcPr>
            <w:tcW w:w="902" w:type="dxa"/>
            <w:vAlign w:val="center"/>
          </w:tcPr>
          <w:p w14:paraId="7E97891A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0.002</w:t>
            </w:r>
          </w:p>
        </w:tc>
        <w:tc>
          <w:tcPr>
            <w:tcW w:w="902" w:type="dxa"/>
            <w:vAlign w:val="center"/>
          </w:tcPr>
          <w:p w14:paraId="1673A4BB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0.0</w:t>
            </w:r>
          </w:p>
        </w:tc>
        <w:tc>
          <w:tcPr>
            <w:tcW w:w="902" w:type="dxa"/>
            <w:vAlign w:val="center"/>
          </w:tcPr>
          <w:p w14:paraId="6D835E31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0.0</w:t>
            </w:r>
          </w:p>
        </w:tc>
        <w:tc>
          <w:tcPr>
            <w:tcW w:w="892" w:type="dxa"/>
            <w:vAlign w:val="center"/>
          </w:tcPr>
          <w:p w14:paraId="63C169D8" w14:textId="77777777" w:rsidR="003C2D00" w:rsidRPr="0021620E" w:rsidRDefault="003C2D00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1.3</w:t>
            </w:r>
          </w:p>
        </w:tc>
      </w:tr>
      <w:tr w:rsidR="003C2D00" w:rsidRPr="00A27CE1" w14:paraId="56E6BD48" w14:textId="77777777" w:rsidTr="003C2D00">
        <w:tc>
          <w:tcPr>
            <w:tcW w:w="4506" w:type="dxa"/>
          </w:tcPr>
          <w:p w14:paraId="2A8EB3D0" w14:textId="77777777" w:rsidR="003C2D00" w:rsidRPr="00494611" w:rsidRDefault="003C2D00" w:rsidP="003C2D00">
            <w:pPr>
              <w:rPr>
                <w:rFonts w:cstheme="minorHAnsi"/>
                <w:sz w:val="19"/>
                <w:szCs w:val="19"/>
              </w:rPr>
            </w:pPr>
            <w:r w:rsidRPr="00494611">
              <w:rPr>
                <w:rFonts w:cstheme="minorHAnsi"/>
                <w:sz w:val="19"/>
                <w:szCs w:val="19"/>
              </w:rPr>
              <w:t>Improving employment opportunities – improve the collection, analysis and forecasting of agricultural labour force data</w:t>
            </w:r>
            <w:r w:rsidR="009C29C8" w:rsidRPr="00494611">
              <w:rPr>
                <w:rFonts w:cstheme="minorHAnsi"/>
                <w:sz w:val="19"/>
                <w:szCs w:val="19"/>
              </w:rPr>
              <w:t xml:space="preserve"> (including </w:t>
            </w:r>
            <w:proofErr w:type="gramStart"/>
            <w:r w:rsidR="009C29C8" w:rsidRPr="00494611">
              <w:rPr>
                <w:rFonts w:cstheme="minorHAnsi"/>
                <w:sz w:val="19"/>
                <w:szCs w:val="19"/>
              </w:rPr>
              <w:t>other</w:t>
            </w:r>
            <w:proofErr w:type="gramEnd"/>
            <w:r w:rsidR="009C29C8" w:rsidRPr="00494611">
              <w:rPr>
                <w:rFonts w:cstheme="minorHAnsi"/>
                <w:sz w:val="19"/>
                <w:szCs w:val="19"/>
              </w:rPr>
              <w:t xml:space="preserve"> department spend)</w:t>
            </w:r>
          </w:p>
        </w:tc>
        <w:tc>
          <w:tcPr>
            <w:tcW w:w="902" w:type="dxa"/>
            <w:vAlign w:val="center"/>
          </w:tcPr>
          <w:p w14:paraId="3F9506DB" w14:textId="1CF3199B" w:rsidR="003C2D00" w:rsidRPr="0021620E" w:rsidRDefault="009C29C8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4.</w:t>
            </w:r>
            <w:r w:rsidR="004C25B9" w:rsidRPr="0021620E"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902" w:type="dxa"/>
            <w:vAlign w:val="center"/>
          </w:tcPr>
          <w:p w14:paraId="5334E6A9" w14:textId="352A1FA2" w:rsidR="003C2D00" w:rsidRPr="0021620E" w:rsidRDefault="004C25B9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3.6</w:t>
            </w:r>
          </w:p>
        </w:tc>
        <w:tc>
          <w:tcPr>
            <w:tcW w:w="902" w:type="dxa"/>
            <w:vAlign w:val="center"/>
          </w:tcPr>
          <w:p w14:paraId="2F81B8D6" w14:textId="70BB6198" w:rsidR="003C2D00" w:rsidRPr="0021620E" w:rsidRDefault="004C25B9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0.2</w:t>
            </w:r>
          </w:p>
        </w:tc>
        <w:tc>
          <w:tcPr>
            <w:tcW w:w="902" w:type="dxa"/>
            <w:vAlign w:val="center"/>
          </w:tcPr>
          <w:p w14:paraId="1E9CC29C" w14:textId="5F9BEF97" w:rsidR="003C2D00" w:rsidRPr="0021620E" w:rsidRDefault="009C29C8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</w:t>
            </w:r>
            <w:r w:rsidR="004C25B9" w:rsidRPr="0021620E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892" w:type="dxa"/>
            <w:vAlign w:val="center"/>
          </w:tcPr>
          <w:p w14:paraId="7EE29E7A" w14:textId="7C4358EE" w:rsidR="003C2D00" w:rsidRPr="0021620E" w:rsidRDefault="00494611" w:rsidP="003C2D00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8</w:t>
            </w:r>
            <w:r w:rsidR="009C29C8" w:rsidRPr="0021620E">
              <w:rPr>
                <w:rFonts w:cstheme="minorHAnsi"/>
                <w:sz w:val="19"/>
                <w:szCs w:val="19"/>
              </w:rPr>
              <w:t>.</w:t>
            </w:r>
            <w:r w:rsidR="004C25B9" w:rsidRPr="0021620E"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9C29C8" w:rsidRPr="00A27CE1" w14:paraId="10966CEC" w14:textId="77777777" w:rsidTr="003C2D00">
        <w:tc>
          <w:tcPr>
            <w:tcW w:w="4506" w:type="dxa"/>
            <w:tcBorders>
              <w:bottom w:val="nil"/>
            </w:tcBorders>
          </w:tcPr>
          <w:p w14:paraId="6CF862DF" w14:textId="77777777" w:rsidR="009C29C8" w:rsidRPr="00A27CE1" w:rsidRDefault="009C29C8" w:rsidP="009C29C8">
            <w:pPr>
              <w:rPr>
                <w:rFonts w:cstheme="minorHAnsi"/>
                <w:sz w:val="19"/>
                <w:szCs w:val="19"/>
              </w:rPr>
            </w:pPr>
            <w:r w:rsidRPr="00A27CE1">
              <w:rPr>
                <w:rFonts w:cstheme="minorHAnsi"/>
                <w:color w:val="000000"/>
                <w:sz w:val="19"/>
                <w:szCs w:val="19"/>
              </w:rPr>
              <w:t>Improving employment opportunities – develop resources for agricultural employers to implement modern workforce management and planning practices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0FF5FE8C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0.8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6B330C4F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0.2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206C2F88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0.0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71683F8E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14:paraId="475B31E8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1.0</w:t>
            </w:r>
          </w:p>
        </w:tc>
      </w:tr>
      <w:tr w:rsidR="009C29C8" w:rsidRPr="00A27CE1" w14:paraId="37EE9579" w14:textId="77777777" w:rsidTr="003C2D00">
        <w:tc>
          <w:tcPr>
            <w:tcW w:w="4506" w:type="dxa"/>
            <w:tcBorders>
              <w:bottom w:val="nil"/>
            </w:tcBorders>
          </w:tcPr>
          <w:p w14:paraId="75DD52D4" w14:textId="77777777" w:rsidR="009C29C8" w:rsidRPr="00A27CE1" w:rsidRDefault="009C29C8" w:rsidP="009C29C8">
            <w:pPr>
              <w:rPr>
                <w:rFonts w:cstheme="minorHAnsi"/>
                <w:sz w:val="19"/>
                <w:szCs w:val="19"/>
              </w:rPr>
            </w:pPr>
            <w:r w:rsidRPr="00A27CE1">
              <w:rPr>
                <w:rFonts w:cstheme="minorHAnsi"/>
                <w:color w:val="000000"/>
                <w:sz w:val="19"/>
                <w:szCs w:val="19"/>
              </w:rPr>
              <w:t xml:space="preserve">Improving employment opportunities – extend the Fair Farms program 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46BF7897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0.9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3A821026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1.1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2AB24CBC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0.9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1536945A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0.8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14:paraId="69E6022E" w14:textId="77777777" w:rsidR="009C29C8" w:rsidRPr="0021620E" w:rsidRDefault="009C29C8" w:rsidP="009C29C8">
            <w:pPr>
              <w:jc w:val="right"/>
              <w:rPr>
                <w:rFonts w:cstheme="minorHAnsi"/>
                <w:sz w:val="19"/>
                <w:szCs w:val="19"/>
              </w:rPr>
            </w:pPr>
            <w:r w:rsidRPr="0021620E">
              <w:rPr>
                <w:rFonts w:cstheme="minorHAnsi"/>
                <w:sz w:val="19"/>
                <w:szCs w:val="19"/>
              </w:rPr>
              <w:t>3.6</w:t>
            </w:r>
          </w:p>
        </w:tc>
      </w:tr>
      <w:tr w:rsidR="009C29C8" w:rsidRPr="00A27CE1" w14:paraId="10D6504B" w14:textId="77777777" w:rsidTr="003C2D00">
        <w:tc>
          <w:tcPr>
            <w:tcW w:w="450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E918F9" w14:textId="77777777" w:rsidR="009C29C8" w:rsidRPr="00A27CE1" w:rsidRDefault="009C29C8" w:rsidP="009C29C8">
            <w:pPr>
              <w:ind w:left="510" w:hanging="510"/>
              <w:rPr>
                <w:rFonts w:cstheme="minorHAnsi"/>
                <w:b/>
                <w:bCs/>
                <w:sz w:val="19"/>
                <w:szCs w:val="19"/>
              </w:rPr>
            </w:pPr>
            <w:r w:rsidRPr="00A27CE1">
              <w:rPr>
                <w:rFonts w:cstheme="minorHAnsi"/>
                <w:b/>
                <w:bCs/>
                <w:sz w:val="19"/>
                <w:szCs w:val="19"/>
              </w:rPr>
              <w:t>Total: Improving agricultural employment opportunities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76FF660" w14:textId="77777777" w:rsidR="009C29C8" w:rsidRPr="0021620E" w:rsidRDefault="009C29C8" w:rsidP="009C29C8">
            <w:pPr>
              <w:jc w:val="right"/>
              <w:rPr>
                <w:rFonts w:cstheme="minorHAnsi"/>
                <w:b/>
                <w:bCs/>
                <w:sz w:val="19"/>
                <w:szCs w:val="19"/>
              </w:rPr>
            </w:pPr>
            <w:r w:rsidRPr="0021620E">
              <w:rPr>
                <w:rFonts w:cstheme="minorHAnsi"/>
                <w:b/>
                <w:bCs/>
                <w:sz w:val="19"/>
                <w:szCs w:val="19"/>
              </w:rPr>
              <w:t>12.4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D4BACA0" w14:textId="77777777" w:rsidR="009C29C8" w:rsidRPr="0021620E" w:rsidRDefault="009C29C8" w:rsidP="009C29C8">
            <w:pPr>
              <w:jc w:val="right"/>
              <w:rPr>
                <w:rFonts w:cstheme="minorHAnsi"/>
                <w:b/>
                <w:bCs/>
                <w:sz w:val="19"/>
                <w:szCs w:val="19"/>
              </w:rPr>
            </w:pPr>
            <w:r w:rsidRPr="0021620E">
              <w:rPr>
                <w:rFonts w:cstheme="minorHAnsi"/>
                <w:b/>
                <w:bCs/>
                <w:sz w:val="19"/>
                <w:szCs w:val="19"/>
              </w:rPr>
              <w:t>10.2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B2A313E" w14:textId="77777777" w:rsidR="009C29C8" w:rsidRPr="0021620E" w:rsidRDefault="009C29C8" w:rsidP="009C29C8">
            <w:pPr>
              <w:jc w:val="right"/>
              <w:rPr>
                <w:rFonts w:cstheme="minorHAnsi"/>
                <w:b/>
                <w:bCs/>
                <w:sz w:val="19"/>
                <w:szCs w:val="19"/>
              </w:rPr>
            </w:pPr>
            <w:r w:rsidRPr="0021620E">
              <w:rPr>
                <w:rFonts w:cstheme="minorHAnsi"/>
                <w:b/>
                <w:bCs/>
                <w:sz w:val="19"/>
                <w:szCs w:val="19"/>
              </w:rPr>
              <w:t>3.6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AFFD6D" w14:textId="77777777" w:rsidR="009C29C8" w:rsidRPr="0021620E" w:rsidRDefault="009C29C8" w:rsidP="009C29C8">
            <w:pPr>
              <w:jc w:val="right"/>
              <w:rPr>
                <w:rFonts w:cstheme="minorHAnsi"/>
                <w:b/>
                <w:bCs/>
                <w:sz w:val="19"/>
                <w:szCs w:val="19"/>
              </w:rPr>
            </w:pPr>
            <w:r w:rsidRPr="0021620E">
              <w:rPr>
                <w:rFonts w:cstheme="minorHAnsi"/>
                <w:b/>
                <w:bCs/>
                <w:sz w:val="19"/>
                <w:szCs w:val="19"/>
              </w:rPr>
              <w:t>3.6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9A19A2" w14:textId="77777777" w:rsidR="009C29C8" w:rsidRPr="0021620E" w:rsidRDefault="009C29C8" w:rsidP="009C29C8">
            <w:pPr>
              <w:jc w:val="right"/>
              <w:rPr>
                <w:rFonts w:cstheme="minorHAnsi"/>
                <w:b/>
                <w:bCs/>
                <w:sz w:val="19"/>
                <w:szCs w:val="19"/>
              </w:rPr>
            </w:pPr>
            <w:r w:rsidRPr="0021620E">
              <w:rPr>
                <w:rFonts w:cstheme="minorHAnsi"/>
                <w:b/>
                <w:bCs/>
                <w:sz w:val="19"/>
                <w:szCs w:val="19"/>
              </w:rPr>
              <w:t>29.8</w:t>
            </w:r>
          </w:p>
        </w:tc>
      </w:tr>
    </w:tbl>
    <w:p w14:paraId="08D30B37" w14:textId="77777777" w:rsidR="000A612A" w:rsidRPr="000A612A" w:rsidRDefault="000A612A" w:rsidP="000A612A">
      <w:pPr>
        <w:pStyle w:val="Heading3Body"/>
        <w:spacing w:after="0"/>
        <w:rPr>
          <w:sz w:val="22"/>
        </w:rPr>
      </w:pPr>
    </w:p>
    <w:p w14:paraId="2361F8C6" w14:textId="77777777" w:rsidR="003C42C7" w:rsidRPr="00464380" w:rsidRDefault="003C42C7" w:rsidP="003C42C7">
      <w:pPr>
        <w:pStyle w:val="Heading3Body"/>
      </w:pPr>
      <w:r w:rsidRPr="00464380">
        <w:t>More information</w:t>
      </w:r>
    </w:p>
    <w:p w14:paraId="00919BD3" w14:textId="77777777" w:rsidR="00757170" w:rsidRDefault="005D4278" w:rsidP="00DB189A">
      <w:r w:rsidRPr="00464380">
        <w:t>For more information about our work to support the agriculture workforce and the Agriculture 2030</w:t>
      </w:r>
      <w:r w:rsidR="003C7BFA" w:rsidRPr="00464380">
        <w:t xml:space="preserve"> 2021–22 Budget</w:t>
      </w:r>
      <w:r w:rsidRPr="00464380">
        <w:t xml:space="preserve"> package, visit awe.gov.au/budget</w:t>
      </w:r>
      <w:r w:rsidR="00DF4148" w:rsidRPr="00464380">
        <w:t xml:space="preserve">. </w:t>
      </w:r>
      <w:r w:rsidR="00EB650E" w:rsidRPr="00464380">
        <w:t>For more information about the 2021</w:t>
      </w:r>
      <w:r w:rsidR="005C22EF" w:rsidRPr="00464380">
        <w:rPr>
          <w:rFonts w:cstheme="minorHAnsi"/>
        </w:rPr>
        <w:t>–</w:t>
      </w:r>
      <w:r w:rsidR="005C22EF" w:rsidRPr="00464380">
        <w:t xml:space="preserve">22 </w:t>
      </w:r>
      <w:r w:rsidR="00EB650E" w:rsidRPr="00464380">
        <w:t>Budget visit budget.gov.au</w:t>
      </w:r>
    </w:p>
    <w:p w14:paraId="6D13A399" w14:textId="77777777" w:rsidR="00757170" w:rsidRPr="00757170" w:rsidRDefault="00757170" w:rsidP="00757170">
      <w:pPr>
        <w:tabs>
          <w:tab w:val="left" w:pos="1815"/>
        </w:tabs>
      </w:pPr>
      <w:r>
        <w:tab/>
      </w:r>
    </w:p>
    <w:sectPr w:rsidR="00757170" w:rsidRPr="00757170" w:rsidSect="007571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6675" w14:textId="77777777" w:rsidR="00A32121" w:rsidRDefault="00A32121" w:rsidP="00757170">
      <w:pPr>
        <w:spacing w:after="0" w:line="240" w:lineRule="auto"/>
      </w:pPr>
      <w:r>
        <w:separator/>
      </w:r>
    </w:p>
  </w:endnote>
  <w:endnote w:type="continuationSeparator" w:id="0">
    <w:p w14:paraId="317895EA" w14:textId="77777777" w:rsidR="00A32121" w:rsidRDefault="00A32121" w:rsidP="007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26C5" w14:textId="77777777" w:rsidR="00DB189A" w:rsidRDefault="002F1888" w:rsidP="00DB189A">
    <w:pPr>
      <w:pStyle w:val="Footer"/>
      <w:tabs>
        <w:tab w:val="clear" w:pos="4513"/>
        <w:tab w:val="clear" w:pos="9026"/>
        <w:tab w:val="left" w:pos="6780"/>
      </w:tabs>
    </w:pPr>
    <w:r>
      <w:rPr>
        <w:noProof/>
        <w:lang w:eastAsia="en-AU"/>
      </w:rPr>
      <w:drawing>
        <wp:anchor distT="0" distB="0" distL="114300" distR="114300" simplePos="0" relativeHeight="251676672" behindDoc="0" locked="0" layoutInCell="1" allowOverlap="1" wp14:anchorId="342260B7" wp14:editId="25E5141D">
          <wp:simplePos x="0" y="0"/>
          <wp:positionH relativeFrom="column">
            <wp:posOffset>5553075</wp:posOffset>
          </wp:positionH>
          <wp:positionV relativeFrom="page">
            <wp:posOffset>9667875</wp:posOffset>
          </wp:positionV>
          <wp:extent cx="857250" cy="8572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E57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04168E3" wp14:editId="4861A9D3">
              <wp:simplePos x="0" y="0"/>
              <wp:positionH relativeFrom="margin">
                <wp:posOffset>-76200</wp:posOffset>
              </wp:positionH>
              <wp:positionV relativeFrom="paragraph">
                <wp:posOffset>-70485</wp:posOffset>
              </wp:positionV>
              <wp:extent cx="3629025" cy="647700"/>
              <wp:effectExtent l="0" t="0" r="9525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7068D" w14:textId="77777777" w:rsidR="003C3E57" w:rsidRPr="003C3E57" w:rsidRDefault="003C3E57" w:rsidP="003C3E57">
                          <w:pPr>
                            <w:pStyle w:val="Dateinheading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3C3E5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awe.gov.au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6BC1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pt;margin-top:-5.55pt;width:285.75pt;height:5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" filled="f" stroked="f">
              <v:textbox inset="0,,0">
                <w:txbxContent>
                  <w:p w:rsidR="003C3E57" w:rsidRPr="003C3E57" w:rsidRDefault="003C3E57" w:rsidP="003C3E57">
                    <w:pPr>
                      <w:pStyle w:val="Dateinheading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3C3E57">
                      <w:rPr>
                        <w:b/>
                        <w:bCs/>
                        <w:sz w:val="22"/>
                        <w:szCs w:val="22"/>
                      </w:rPr>
                      <w:t>awe.gov.au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3E5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BCE9ED" wp14:editId="1B6726FB">
              <wp:simplePos x="0" y="0"/>
              <wp:positionH relativeFrom="column">
                <wp:posOffset>19050</wp:posOffset>
              </wp:positionH>
              <wp:positionV relativeFrom="paragraph">
                <wp:posOffset>-80010</wp:posOffset>
              </wp:positionV>
              <wp:extent cx="220980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0980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6E64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6.3pt" to="175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="003C3E57"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5F4F24A7" wp14:editId="7A3E00B8">
          <wp:simplePos x="0" y="0"/>
          <wp:positionH relativeFrom="margin">
            <wp:align>left</wp:align>
          </wp:positionH>
          <wp:positionV relativeFrom="paragraph">
            <wp:posOffset>-308610</wp:posOffset>
          </wp:positionV>
          <wp:extent cx="209550" cy="20955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E5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7AE7BD2" wp14:editId="3BD0ED33">
              <wp:simplePos x="0" y="0"/>
              <wp:positionH relativeFrom="page">
                <wp:align>left</wp:align>
              </wp:positionH>
              <wp:positionV relativeFrom="paragraph">
                <wp:posOffset>-584835</wp:posOffset>
              </wp:positionV>
              <wp:extent cx="7572375" cy="1190625"/>
              <wp:effectExtent l="0" t="0" r="952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190625"/>
                      </a:xfrm>
                      <a:prstGeom prst="rect">
                        <a:avLst/>
                      </a:prstGeom>
                      <a:solidFill>
                        <a:srgbClr val="0055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CB20F2" id="Rectangle 15" o:spid="_x0000_s1026" style="position:absolute;margin-left:0;margin-top:-46.05pt;width:596.25pt;height:93.75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" fillcolor="#00558b" stroked="f" strokeweight="1pt">
              <w10:wrap anchorx="page"/>
            </v:rect>
          </w:pict>
        </mc:Fallback>
      </mc:AlternateContent>
    </w:r>
    <w:r w:rsidR="00DB189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E56" w14:textId="77777777" w:rsidR="0098587C" w:rsidRDefault="0098587C" w:rsidP="0098587C">
    <w:pPr>
      <w:pStyle w:val="Footer"/>
      <w:tabs>
        <w:tab w:val="clear" w:pos="4513"/>
        <w:tab w:val="clear" w:pos="9026"/>
        <w:tab w:val="left" w:pos="18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20E4" w14:textId="77777777" w:rsidR="00A32121" w:rsidRDefault="00A32121" w:rsidP="00757170">
      <w:pPr>
        <w:spacing w:after="0" w:line="240" w:lineRule="auto"/>
      </w:pPr>
      <w:r>
        <w:separator/>
      </w:r>
    </w:p>
  </w:footnote>
  <w:footnote w:type="continuationSeparator" w:id="0">
    <w:p w14:paraId="3D3CB2DB" w14:textId="77777777" w:rsidR="00A32121" w:rsidRDefault="00A32121" w:rsidP="0075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0EFC" w14:textId="77777777" w:rsidR="00DB189A" w:rsidRDefault="00DB189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60D9A2" wp14:editId="6089E50E">
              <wp:simplePos x="0" y="0"/>
              <wp:positionH relativeFrom="page">
                <wp:posOffset>9525</wp:posOffset>
              </wp:positionH>
              <wp:positionV relativeFrom="paragraph">
                <wp:posOffset>-478154</wp:posOffset>
              </wp:positionV>
              <wp:extent cx="7572375" cy="59055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590550"/>
                      </a:xfrm>
                      <a:prstGeom prst="rect">
                        <a:avLst/>
                      </a:prstGeom>
                      <a:solidFill>
                        <a:srgbClr val="0055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49D09" id="Rectangle 7" o:spid="_x0000_s1026" style="position:absolute;margin-left:.75pt;margin-top:-37.65pt;width:596.25pt;height:4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" fillcolor="#00558b" stroked="f" strokeweight="1pt">
              <w10:wrap anchorx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52535AF" wp14:editId="1F894E1F">
              <wp:simplePos x="0" y="0"/>
              <wp:positionH relativeFrom="margin">
                <wp:posOffset>-466725</wp:posOffset>
              </wp:positionH>
              <wp:positionV relativeFrom="paragraph">
                <wp:posOffset>-240030</wp:posOffset>
              </wp:positionV>
              <wp:extent cx="341947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FAC63" w14:textId="77777777" w:rsidR="00DB189A" w:rsidRPr="00DB189A" w:rsidRDefault="00DB189A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B189A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Department of Agriculture, Water and the Environment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DAA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6.75pt;margin-top:-18.9pt;width:269.2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" filled="f" stroked="f">
              <v:textbox>
                <w:txbxContent>
                  <w:p w:rsidR="00DB189A" w:rsidRPr="00DB189A" w:rsidRDefault="00DB189A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DB189A">
                      <w:rPr>
                        <w:color w:val="FFFFFF" w:themeColor="background1"/>
                        <w:sz w:val="18"/>
                        <w:szCs w:val="18"/>
                      </w:rPr>
                      <w:t>Department of Agriculture, Water and the Environment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186C30A" wp14:editId="59F55749">
              <wp:simplePos x="0" y="0"/>
              <wp:positionH relativeFrom="margin">
                <wp:posOffset>2790825</wp:posOffset>
              </wp:positionH>
              <wp:positionV relativeFrom="paragraph">
                <wp:posOffset>-249555</wp:posOffset>
              </wp:positionV>
              <wp:extent cx="3419475" cy="28575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1F860" w14:textId="77777777" w:rsidR="00DB189A" w:rsidRPr="00DB189A" w:rsidRDefault="00837230" w:rsidP="00DB189A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Budget 2021-22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8AE2E" id="_x0000_s1028" type="#_x0000_t202" style="position:absolute;margin-left:219.75pt;margin-top:-19.65pt;width:269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" filled="f" stroked="f">
              <v:textbox>
                <w:txbxContent>
                  <w:p w:rsidR="00DB189A" w:rsidRPr="00DB189A" w:rsidRDefault="00837230" w:rsidP="00DB189A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>Budget 2021-22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1C88" w14:textId="77777777" w:rsidR="00757170" w:rsidRDefault="0059446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5928830F" wp14:editId="0238C5DF">
          <wp:simplePos x="0" y="0"/>
          <wp:positionH relativeFrom="margin">
            <wp:posOffset>3676650</wp:posOffset>
          </wp:positionH>
          <wp:positionV relativeFrom="paragraph">
            <wp:posOffset>-182880</wp:posOffset>
          </wp:positionV>
          <wp:extent cx="2056130" cy="482600"/>
          <wp:effectExtent l="0" t="0" r="127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38" b="-4404"/>
                  <a:stretch/>
                </pic:blipFill>
                <pic:spPr bwMode="auto">
                  <a:xfrm>
                    <a:off x="0" y="0"/>
                    <a:ext cx="2056453" cy="4826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BB34F" wp14:editId="76EAB97C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72375" cy="920187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20187"/>
                      </a:xfrm>
                      <a:prstGeom prst="rect">
                        <a:avLst/>
                      </a:prstGeom>
                      <a:solidFill>
                        <a:srgbClr val="D5D0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BA65B1" id="Rectangle 1" o:spid="_x0000_s1026" style="position:absolute;margin-left:0;margin-top:-35.4pt;width:596.25pt;height:72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" fillcolor="#d5d0ca" stroked="f" strokeweight="1pt">
              <w10:wrap anchorx="page"/>
            </v:rect>
          </w:pict>
        </mc:Fallback>
      </mc:AlternateContent>
    </w:r>
    <w:r w:rsidR="00757170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5DACE72" wp14:editId="562EC3C1">
          <wp:simplePos x="0" y="0"/>
          <wp:positionH relativeFrom="margin">
            <wp:posOffset>-714375</wp:posOffset>
          </wp:positionH>
          <wp:positionV relativeFrom="paragraph">
            <wp:posOffset>-382905</wp:posOffset>
          </wp:positionV>
          <wp:extent cx="2217764" cy="828675"/>
          <wp:effectExtent l="0" t="0" r="0" b="0"/>
          <wp:wrapNone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764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6923"/>
    <w:multiLevelType w:val="hybridMultilevel"/>
    <w:tmpl w:val="58E4B90E"/>
    <w:lvl w:ilvl="0" w:tplc="EE4EE8C4">
      <w:start w:val="1"/>
      <w:numFmt w:val="bullet"/>
      <w:pStyle w:val="BulletPointsBody"/>
      <w:lvlText w:val=""/>
      <w:lvlJc w:val="left"/>
      <w:pPr>
        <w:ind w:left="360" w:hanging="360"/>
      </w:pPr>
      <w:rPr>
        <w:rFonts w:ascii="Symbol" w:hAnsi="Symbol" w:hint="default"/>
        <w:color w:val="00558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950FF"/>
    <w:multiLevelType w:val="hybridMultilevel"/>
    <w:tmpl w:val="1F929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1C93"/>
    <w:multiLevelType w:val="hybridMultilevel"/>
    <w:tmpl w:val="C70E1356"/>
    <w:lvl w:ilvl="0" w:tplc="C910DE4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A43F4"/>
    <w:multiLevelType w:val="hybridMultilevel"/>
    <w:tmpl w:val="72EEB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30"/>
    <w:rsid w:val="00001F18"/>
    <w:rsid w:val="000202BF"/>
    <w:rsid w:val="000561BB"/>
    <w:rsid w:val="00071F7C"/>
    <w:rsid w:val="0007522D"/>
    <w:rsid w:val="00087826"/>
    <w:rsid w:val="000919B0"/>
    <w:rsid w:val="000A18A3"/>
    <w:rsid w:val="000A612A"/>
    <w:rsid w:val="0012702C"/>
    <w:rsid w:val="00192D61"/>
    <w:rsid w:val="001933CA"/>
    <w:rsid w:val="00196885"/>
    <w:rsid w:val="001F64FA"/>
    <w:rsid w:val="0020079E"/>
    <w:rsid w:val="00215AE9"/>
    <w:rsid w:val="0021620E"/>
    <w:rsid w:val="002469E3"/>
    <w:rsid w:val="00262F03"/>
    <w:rsid w:val="00287CC0"/>
    <w:rsid w:val="002A49C7"/>
    <w:rsid w:val="002A543C"/>
    <w:rsid w:val="002C1C38"/>
    <w:rsid w:val="002F1888"/>
    <w:rsid w:val="00336E8D"/>
    <w:rsid w:val="003406D0"/>
    <w:rsid w:val="003625DC"/>
    <w:rsid w:val="00396B06"/>
    <w:rsid w:val="003C2D00"/>
    <w:rsid w:val="003C3E57"/>
    <w:rsid w:val="003C42C7"/>
    <w:rsid w:val="003C5FF4"/>
    <w:rsid w:val="003C7BFA"/>
    <w:rsid w:val="003D22A6"/>
    <w:rsid w:val="00401B0A"/>
    <w:rsid w:val="00415C12"/>
    <w:rsid w:val="004324B3"/>
    <w:rsid w:val="00451576"/>
    <w:rsid w:val="00464380"/>
    <w:rsid w:val="00465B5D"/>
    <w:rsid w:val="004764A4"/>
    <w:rsid w:val="00494611"/>
    <w:rsid w:val="004A0DAC"/>
    <w:rsid w:val="004C0DA5"/>
    <w:rsid w:val="004C25B9"/>
    <w:rsid w:val="004C7E2F"/>
    <w:rsid w:val="004E35E1"/>
    <w:rsid w:val="00563EB6"/>
    <w:rsid w:val="00565036"/>
    <w:rsid w:val="00570A85"/>
    <w:rsid w:val="005866E4"/>
    <w:rsid w:val="00590C42"/>
    <w:rsid w:val="0059446D"/>
    <w:rsid w:val="005C22EF"/>
    <w:rsid w:val="005D4278"/>
    <w:rsid w:val="0060455E"/>
    <w:rsid w:val="00623AC5"/>
    <w:rsid w:val="00651EAD"/>
    <w:rsid w:val="006D533E"/>
    <w:rsid w:val="006E79B8"/>
    <w:rsid w:val="00712674"/>
    <w:rsid w:val="00757170"/>
    <w:rsid w:val="00794C13"/>
    <w:rsid w:val="00795AB8"/>
    <w:rsid w:val="0079649F"/>
    <w:rsid w:val="007B1D86"/>
    <w:rsid w:val="007C7906"/>
    <w:rsid w:val="00815A1E"/>
    <w:rsid w:val="00833EAF"/>
    <w:rsid w:val="00837230"/>
    <w:rsid w:val="00856691"/>
    <w:rsid w:val="00865674"/>
    <w:rsid w:val="008737B9"/>
    <w:rsid w:val="00884254"/>
    <w:rsid w:val="008A1D84"/>
    <w:rsid w:val="008B3EB9"/>
    <w:rsid w:val="008C48EB"/>
    <w:rsid w:val="008D1EE0"/>
    <w:rsid w:val="00903AA9"/>
    <w:rsid w:val="00912BFC"/>
    <w:rsid w:val="00951F2A"/>
    <w:rsid w:val="00956CF4"/>
    <w:rsid w:val="0096778E"/>
    <w:rsid w:val="0098587C"/>
    <w:rsid w:val="009C29C8"/>
    <w:rsid w:val="009C4366"/>
    <w:rsid w:val="009C722A"/>
    <w:rsid w:val="009E2F6F"/>
    <w:rsid w:val="00A07754"/>
    <w:rsid w:val="00A1080D"/>
    <w:rsid w:val="00A17049"/>
    <w:rsid w:val="00A17153"/>
    <w:rsid w:val="00A2426C"/>
    <w:rsid w:val="00A25EAE"/>
    <w:rsid w:val="00A27CE1"/>
    <w:rsid w:val="00A32121"/>
    <w:rsid w:val="00A43491"/>
    <w:rsid w:val="00A61A38"/>
    <w:rsid w:val="00A73A70"/>
    <w:rsid w:val="00A93EAC"/>
    <w:rsid w:val="00AB0FD7"/>
    <w:rsid w:val="00AE219E"/>
    <w:rsid w:val="00B21916"/>
    <w:rsid w:val="00B7022D"/>
    <w:rsid w:val="00BD2DD0"/>
    <w:rsid w:val="00BD62F9"/>
    <w:rsid w:val="00BF68B0"/>
    <w:rsid w:val="00C16957"/>
    <w:rsid w:val="00C24AB4"/>
    <w:rsid w:val="00C2544B"/>
    <w:rsid w:val="00C314C7"/>
    <w:rsid w:val="00CA1E4D"/>
    <w:rsid w:val="00CA358F"/>
    <w:rsid w:val="00CC58B6"/>
    <w:rsid w:val="00CD15CF"/>
    <w:rsid w:val="00DB189A"/>
    <w:rsid w:val="00DF4148"/>
    <w:rsid w:val="00E255F4"/>
    <w:rsid w:val="00E35761"/>
    <w:rsid w:val="00E41DA5"/>
    <w:rsid w:val="00EA44FF"/>
    <w:rsid w:val="00EB650E"/>
    <w:rsid w:val="00F36011"/>
    <w:rsid w:val="00F450E3"/>
    <w:rsid w:val="00F91091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F7E39B"/>
  <w15:chartTrackingRefBased/>
  <w15:docId w15:val="{07CE3FFA-BA23-47B9-AB7C-60E04A0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16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0"/>
  </w:style>
  <w:style w:type="paragraph" w:styleId="Footer">
    <w:name w:val="footer"/>
    <w:basedOn w:val="Normal"/>
    <w:link w:val="Foot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0"/>
  </w:style>
  <w:style w:type="paragraph" w:customStyle="1" w:styleId="Heading1Title">
    <w:name w:val="Heading 1 Title"/>
    <w:basedOn w:val="Normal"/>
    <w:link w:val="Heading1TitleChar"/>
    <w:qFormat/>
    <w:rsid w:val="00757170"/>
    <w:pPr>
      <w:spacing w:after="0"/>
      <w:ind w:left="142"/>
    </w:pPr>
    <w:rPr>
      <w:b/>
      <w:bCs/>
      <w:color w:val="FFFFFF" w:themeColor="background1"/>
      <w:sz w:val="48"/>
      <w:szCs w:val="48"/>
    </w:rPr>
  </w:style>
  <w:style w:type="paragraph" w:customStyle="1" w:styleId="FactsheetSubtitle">
    <w:name w:val="Factsheet Subtitle"/>
    <w:basedOn w:val="Normal"/>
    <w:link w:val="FactsheetSubtitleChar"/>
    <w:qFormat/>
    <w:rsid w:val="00757170"/>
    <w:pPr>
      <w:ind w:left="142"/>
    </w:pPr>
    <w:rPr>
      <w:color w:val="FFFFFF" w:themeColor="background1"/>
      <w:sz w:val="48"/>
      <w:szCs w:val="48"/>
    </w:rPr>
  </w:style>
  <w:style w:type="character" w:customStyle="1" w:styleId="Heading1TitleChar">
    <w:name w:val="Heading 1 Title Char"/>
    <w:basedOn w:val="DefaultParagraphFont"/>
    <w:link w:val="Heading1Title"/>
    <w:rsid w:val="00757170"/>
    <w:rPr>
      <w:b/>
      <w:bCs/>
      <w:color w:val="FFFFFF" w:themeColor="background1"/>
      <w:sz w:val="48"/>
      <w:szCs w:val="48"/>
    </w:rPr>
  </w:style>
  <w:style w:type="paragraph" w:customStyle="1" w:styleId="Dateinheading">
    <w:name w:val="Date in heading"/>
    <w:basedOn w:val="FactsheetSubtitle"/>
    <w:link w:val="DateinheadingChar"/>
    <w:qFormat/>
    <w:rsid w:val="0098587C"/>
    <w:rPr>
      <w:sz w:val="20"/>
      <w:szCs w:val="20"/>
    </w:rPr>
  </w:style>
  <w:style w:type="character" w:customStyle="1" w:styleId="FactsheetSubtitleChar">
    <w:name w:val="Factsheet Subtitle Char"/>
    <w:basedOn w:val="DefaultParagraphFont"/>
    <w:link w:val="FactsheetSubtitle"/>
    <w:rsid w:val="00757170"/>
    <w:rPr>
      <w:color w:val="FFFFFF" w:themeColor="background1"/>
      <w:sz w:val="48"/>
      <w:szCs w:val="48"/>
    </w:rPr>
  </w:style>
  <w:style w:type="paragraph" w:customStyle="1" w:styleId="Text">
    <w:name w:val="Text"/>
    <w:basedOn w:val="Normal"/>
    <w:uiPriority w:val="99"/>
    <w:rsid w:val="0098587C"/>
    <w:pPr>
      <w:suppressAutoHyphens/>
      <w:autoSpaceDE w:val="0"/>
      <w:autoSpaceDN w:val="0"/>
      <w:adjustRightInd w:val="0"/>
      <w:spacing w:before="85" w:after="28" w:line="220" w:lineRule="atLeast"/>
      <w:textAlignment w:val="center"/>
    </w:pPr>
    <w:rPr>
      <w:rFonts w:ascii="Cambria" w:hAnsi="Cambria" w:cs="Cambria"/>
      <w:color w:val="000000"/>
      <w:spacing w:val="-4"/>
      <w:sz w:val="18"/>
      <w:szCs w:val="18"/>
      <w:lang w:val="en-GB"/>
    </w:rPr>
  </w:style>
  <w:style w:type="character" w:customStyle="1" w:styleId="DateinheadingChar">
    <w:name w:val="Date in heading Char"/>
    <w:basedOn w:val="FactsheetSubtitleChar"/>
    <w:link w:val="Dateinheading"/>
    <w:rsid w:val="0098587C"/>
    <w:rPr>
      <w:color w:val="FFFFFF" w:themeColor="background1"/>
      <w:sz w:val="20"/>
      <w:szCs w:val="20"/>
    </w:rPr>
  </w:style>
  <w:style w:type="character" w:customStyle="1" w:styleId="nobreak">
    <w:name w:val="nobreak"/>
    <w:uiPriority w:val="99"/>
    <w:rsid w:val="0098587C"/>
  </w:style>
  <w:style w:type="paragraph" w:styleId="NoSpacing">
    <w:name w:val="No Spacing"/>
    <w:uiPriority w:val="1"/>
    <w:rsid w:val="0098587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587C"/>
    <w:rPr>
      <w:b/>
      <w:bCs/>
    </w:rPr>
  </w:style>
  <w:style w:type="paragraph" w:customStyle="1" w:styleId="Heading2Body">
    <w:name w:val="Heading 2 Body"/>
    <w:basedOn w:val="Normal"/>
    <w:link w:val="Heading2BodyChar"/>
    <w:qFormat/>
    <w:rsid w:val="0098587C"/>
    <w:rPr>
      <w:rFonts w:ascii="Cambria" w:hAnsi="Cambria"/>
      <w:b/>
      <w:bCs/>
      <w:color w:val="00558B"/>
      <w:sz w:val="28"/>
      <w:szCs w:val="28"/>
    </w:rPr>
  </w:style>
  <w:style w:type="paragraph" w:customStyle="1" w:styleId="Heading3Body">
    <w:name w:val="Heading 3 Body"/>
    <w:basedOn w:val="Normal"/>
    <w:link w:val="Heading3BodyChar"/>
    <w:qFormat/>
    <w:rsid w:val="00837230"/>
    <w:rPr>
      <w:rFonts w:ascii="Cambria" w:hAnsi="Cambria"/>
      <w:color w:val="00558B"/>
      <w:sz w:val="28"/>
      <w:szCs w:val="24"/>
    </w:rPr>
  </w:style>
  <w:style w:type="character" w:customStyle="1" w:styleId="Heading2BodyChar">
    <w:name w:val="Heading 2 Body Char"/>
    <w:basedOn w:val="DefaultParagraphFont"/>
    <w:link w:val="Heading2Body"/>
    <w:rsid w:val="0098587C"/>
    <w:rPr>
      <w:rFonts w:ascii="Cambria" w:hAnsi="Cambria"/>
      <w:b/>
      <w:bCs/>
      <w:color w:val="00558B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8587C"/>
    <w:pPr>
      <w:ind w:left="720"/>
      <w:contextualSpacing/>
    </w:pPr>
  </w:style>
  <w:style w:type="character" w:customStyle="1" w:styleId="Heading3BodyChar">
    <w:name w:val="Heading 3 Body Char"/>
    <w:basedOn w:val="DefaultParagraphFont"/>
    <w:link w:val="Heading3Body"/>
    <w:rsid w:val="00837230"/>
    <w:rPr>
      <w:rFonts w:ascii="Cambria" w:hAnsi="Cambria"/>
      <w:color w:val="00558B"/>
      <w:sz w:val="28"/>
      <w:szCs w:val="24"/>
    </w:rPr>
  </w:style>
  <w:style w:type="paragraph" w:customStyle="1" w:styleId="BulletPointsBody">
    <w:name w:val="Bullet Points Body"/>
    <w:basedOn w:val="ListParagraph"/>
    <w:link w:val="BulletPointsBodyChar"/>
    <w:qFormat/>
    <w:rsid w:val="00B21916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1916"/>
    <w:rPr>
      <w:sz w:val="20"/>
    </w:rPr>
  </w:style>
  <w:style w:type="character" w:customStyle="1" w:styleId="BulletPointsBodyChar">
    <w:name w:val="Bullet Points Body Char"/>
    <w:basedOn w:val="ListParagraphChar"/>
    <w:link w:val="BulletPointsBody"/>
    <w:rsid w:val="00B21916"/>
    <w:rPr>
      <w:sz w:val="20"/>
    </w:rPr>
  </w:style>
  <w:style w:type="paragraph" w:customStyle="1" w:styleId="HeadingforPackage">
    <w:name w:val="Heading for Package"/>
    <w:basedOn w:val="Normal"/>
    <w:link w:val="HeadingforPackageChar"/>
    <w:qFormat/>
    <w:rsid w:val="00837230"/>
    <w:rPr>
      <w:rFonts w:ascii="Cambria" w:hAnsi="Cambria"/>
      <w:sz w:val="22"/>
      <w:szCs w:val="24"/>
    </w:rPr>
  </w:style>
  <w:style w:type="table" w:styleId="TableGrid">
    <w:name w:val="Table Grid"/>
    <w:basedOn w:val="TableNormal"/>
    <w:uiPriority w:val="39"/>
    <w:rsid w:val="008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forPackageChar">
    <w:name w:val="Heading for Package Char"/>
    <w:basedOn w:val="DefaultParagraphFont"/>
    <w:link w:val="HeadingforPackage"/>
    <w:rsid w:val="00837230"/>
    <w:rPr>
      <w:rFonts w:ascii="Cambria" w:hAnsi="Cambr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50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50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6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22D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5C0C-9438-4FC3-85A4-050BC81D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agricultural employment opportunities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agricultural employment opportunities</dc:title>
  <dc:subject/>
  <dc:creator>Department of Agriculture, Water and the Environment</dc:creator>
  <cp:keywords>[SEC=OFFICIAL]</cp:keywords>
  <dc:description/>
  <cp:lastModifiedBy>West, Merryn</cp:lastModifiedBy>
  <cp:revision>2</cp:revision>
  <cp:lastPrinted>2021-05-05T06:38:00Z</cp:lastPrinted>
  <dcterms:created xsi:type="dcterms:W3CDTF">2021-05-21T00:51:00Z</dcterms:created>
  <dcterms:modified xsi:type="dcterms:W3CDTF">2021-05-21T00:51:00Z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FC38C01A5E3039FA9D6831BBD75AE1E946FB5854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OFFICIAL:</vt:lpwstr>
  </property>
  <property fmtid="{D5CDD505-2E9C-101B-9397-08002B2CF9AE}" pid="7" name="PM_Qualifier">
    <vt:lpwstr/>
  </property>
  <property fmtid="{D5CDD505-2E9C-101B-9397-08002B2CF9AE}" pid="8" name="PM_Hash_SHA1">
    <vt:lpwstr>33DDF0068FB4E48D415ED7D2FD46F6C82EFFE6A5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588F73FA91854FC19F9F89623804F74F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2021-05-11T00:33:07Z</vt:lpwstr>
  </property>
  <property fmtid="{D5CDD505-2E9C-101B-9397-08002B2CF9AE}" pid="19" name="PM_Hash_Version">
    <vt:lpwstr>2018.0</vt:lpwstr>
  </property>
  <property fmtid="{D5CDD505-2E9C-101B-9397-08002B2CF9AE}" pid="20" name="PM_Hash_Salt_Prev">
    <vt:lpwstr>4B70E6F0650C6037906C481C736C7327</vt:lpwstr>
  </property>
  <property fmtid="{D5CDD505-2E9C-101B-9397-08002B2CF9AE}" pid="21" name="PM_Hash_Salt">
    <vt:lpwstr>6456F93963891818BD84393962C77DA5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