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529B8" w14:textId="63AEB3B8" w:rsidR="00D36486" w:rsidRPr="00864C26" w:rsidRDefault="00864C26" w:rsidP="00864C26">
      <w:pPr>
        <w:shd w:val="clear" w:color="auto" w:fill="FFFFFF"/>
        <w:spacing w:before="120" w:after="120"/>
        <w:outlineLvl w:val="1"/>
        <w:rPr>
          <w:rFonts w:ascii="Open Sans" w:hAnsi="Open Sans" w:cs="Open Sans"/>
          <w:b/>
          <w:bCs/>
          <w:color w:val="083A42"/>
          <w:sz w:val="42"/>
          <w:szCs w:val="42"/>
          <w:lang w:eastAsia="en-AU"/>
        </w:rPr>
      </w:pPr>
      <w:r w:rsidRPr="005434B7">
        <w:rPr>
          <w:rFonts w:ascii="Open Sans" w:hAnsi="Open Sans" w:cs="Open Sans"/>
          <w:b/>
          <w:bCs/>
          <w:color w:val="083A42"/>
          <w:sz w:val="42"/>
          <w:szCs w:val="42"/>
          <w:lang w:eastAsia="en-AU"/>
        </w:rPr>
        <w:t>Ca</w:t>
      </w:r>
      <w:r>
        <w:rPr>
          <w:rFonts w:ascii="Open Sans" w:hAnsi="Open Sans" w:cs="Open Sans"/>
          <w:b/>
          <w:bCs/>
          <w:color w:val="083A42"/>
          <w:sz w:val="42"/>
          <w:szCs w:val="42"/>
          <w:lang w:eastAsia="en-AU"/>
        </w:rPr>
        <w:t xml:space="preserve">rbon calculator </w:t>
      </w:r>
      <w:r w:rsidRPr="00D23B4B">
        <w:rPr>
          <w:rFonts w:ascii="Open Sans" w:hAnsi="Open Sans" w:cs="Open Sans"/>
          <w:b/>
          <w:bCs/>
          <w:color w:val="083A42"/>
          <w:sz w:val="42"/>
          <w:szCs w:val="42"/>
          <w:lang w:eastAsia="en-AU"/>
        </w:rPr>
        <w:t>summary</w:t>
      </w:r>
    </w:p>
    <w:p w14:paraId="2152C915" w14:textId="3E26FE01" w:rsidR="00515E8C" w:rsidRDefault="00A36570" w:rsidP="00A36570">
      <w:pPr>
        <w:shd w:val="clear" w:color="auto" w:fill="FFFFFF"/>
        <w:spacing w:before="120" w:after="120"/>
        <w:outlineLvl w:val="1"/>
        <w:rPr>
          <w:rFonts w:ascii="Open Sans" w:hAnsi="Open Sans" w:cs="Open Sans"/>
          <w:color w:val="000000"/>
          <w:shd w:val="clear" w:color="auto" w:fill="FFFFFF"/>
        </w:rPr>
      </w:pPr>
      <w:r>
        <w:rPr>
          <w:rFonts w:ascii="Open Sans" w:hAnsi="Open Sans" w:cs="Open Sans"/>
          <w:color w:val="000000"/>
          <w:shd w:val="clear" w:color="auto" w:fill="FFFFFF"/>
        </w:rPr>
        <w:t xml:space="preserve">The following information summarises the applicability and requirements of the carbon calculators discussed in this topic, to help farmers and land managers consider calculators that may meet their </w:t>
      </w:r>
      <w:proofErr w:type="gramStart"/>
      <w:r>
        <w:rPr>
          <w:rFonts w:ascii="Open Sans" w:hAnsi="Open Sans" w:cs="Open Sans"/>
          <w:color w:val="000000"/>
          <w:shd w:val="clear" w:color="auto" w:fill="FFFFFF"/>
        </w:rPr>
        <w:t>particular needs</w:t>
      </w:r>
      <w:proofErr w:type="gramEnd"/>
      <w:r>
        <w:rPr>
          <w:rFonts w:ascii="Open Sans" w:hAnsi="Open Sans" w:cs="Open Sans"/>
          <w:color w:val="000000"/>
          <w:shd w:val="clear" w:color="auto" w:fill="FFFFFF"/>
        </w:rPr>
        <w:t xml:space="preserve"> and circumstances. Notes below the summary provide more details.</w:t>
      </w:r>
    </w:p>
    <w:tbl>
      <w:tblPr>
        <w:tblStyle w:val="PlainTable2"/>
        <w:tblW w:w="15451"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843"/>
        <w:gridCol w:w="1559"/>
        <w:gridCol w:w="1701"/>
        <w:gridCol w:w="2268"/>
        <w:gridCol w:w="2127"/>
        <w:gridCol w:w="2028"/>
        <w:gridCol w:w="3925"/>
      </w:tblGrid>
      <w:tr w:rsidR="002300D6" w14:paraId="334EADFD" w14:textId="77777777" w:rsidTr="00491574">
        <w:trPr>
          <w:cnfStyle w:val="100000000000" w:firstRow="1" w:lastRow="0" w:firstColumn="0" w:lastColumn="0" w:oddVBand="0" w:evenVBand="0" w:oddHBand="0" w:evenHBand="0" w:firstRowFirstColumn="0" w:firstRowLastColumn="0" w:lastRowFirstColumn="0" w:lastRowLastColumn="0"/>
          <w:trHeight w:val="845"/>
          <w:tblHeader/>
        </w:trPr>
        <w:tc>
          <w:tcPr>
            <w:cnfStyle w:val="001000000000" w:firstRow="0" w:lastRow="0" w:firstColumn="1" w:lastColumn="0" w:oddVBand="0" w:evenVBand="0" w:oddHBand="0" w:evenHBand="0" w:firstRowFirstColumn="0" w:firstRowLastColumn="0" w:lastRowFirstColumn="0" w:lastRowLastColumn="0"/>
            <w:tcW w:w="1843" w:type="dxa"/>
            <w:tcBorders>
              <w:bottom w:val="none" w:sz="0" w:space="0" w:color="auto"/>
            </w:tcBorders>
            <w:shd w:val="clear" w:color="auto" w:fill="007096"/>
            <w:vAlign w:val="center"/>
          </w:tcPr>
          <w:p w14:paraId="0C458BA1" w14:textId="37A4565C" w:rsidR="00DE0EE9" w:rsidRDefault="2E8A118F" w:rsidP="00341A84">
            <w:pPr>
              <w:jc w:val="center"/>
              <w:rPr>
                <w:rFonts w:asciiTheme="minorHAnsi" w:hAnsiTheme="minorHAnsi"/>
                <w:sz w:val="20"/>
              </w:rPr>
            </w:pPr>
            <w:r w:rsidRPr="0E00ACFF">
              <w:rPr>
                <w:rFonts w:ascii="Open Sans" w:hAnsi="Open Sans" w:cs="Open Sans"/>
                <w:color w:val="FFFFFF" w:themeColor="background1"/>
                <w:sz w:val="20"/>
              </w:rPr>
              <w:t>Calculator</w:t>
            </w:r>
          </w:p>
        </w:tc>
        <w:tc>
          <w:tcPr>
            <w:tcW w:w="1559" w:type="dxa"/>
            <w:tcBorders>
              <w:bottom w:val="none" w:sz="0" w:space="0" w:color="auto"/>
            </w:tcBorders>
            <w:shd w:val="clear" w:color="auto" w:fill="007096"/>
            <w:vAlign w:val="center"/>
          </w:tcPr>
          <w:p w14:paraId="630A50DD" w14:textId="4B3FE23A" w:rsidR="00DE0EE9" w:rsidRDefault="00DE0EE9" w:rsidP="00341A8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A62422">
              <w:rPr>
                <w:rFonts w:ascii="Open Sans" w:hAnsi="Open Sans" w:cs="Open Sans"/>
                <w:color w:val="FFFFFF" w:themeColor="background1"/>
                <w:sz w:val="20"/>
              </w:rPr>
              <w:t>Sector or land use</w:t>
            </w:r>
          </w:p>
        </w:tc>
        <w:tc>
          <w:tcPr>
            <w:tcW w:w="1701" w:type="dxa"/>
            <w:tcBorders>
              <w:bottom w:val="none" w:sz="0" w:space="0" w:color="auto"/>
            </w:tcBorders>
            <w:shd w:val="clear" w:color="auto" w:fill="007096"/>
            <w:vAlign w:val="center"/>
          </w:tcPr>
          <w:p w14:paraId="5198C646" w14:textId="77777777" w:rsidR="000B7DC2" w:rsidRPr="003C6F8F" w:rsidRDefault="000B7DC2" w:rsidP="000B7DC2">
            <w:pPr>
              <w:spacing w:after="0"/>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color w:val="FFFFFF" w:themeColor="background1"/>
                <w:sz w:val="10"/>
                <w:szCs w:val="10"/>
              </w:rPr>
            </w:pPr>
          </w:p>
          <w:p w14:paraId="1DCD2307" w14:textId="2767BBB5" w:rsidR="00DE0EE9" w:rsidRDefault="00DE0EE9" w:rsidP="000B7DC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A62422">
              <w:rPr>
                <w:rFonts w:ascii="Open Sans" w:hAnsi="Open Sans" w:cs="Open Sans"/>
                <w:color w:val="FFFFFF" w:themeColor="background1"/>
                <w:sz w:val="20"/>
              </w:rPr>
              <w:t>Type of estimate or analysis</w:t>
            </w:r>
          </w:p>
        </w:tc>
        <w:tc>
          <w:tcPr>
            <w:tcW w:w="2268" w:type="dxa"/>
            <w:tcBorders>
              <w:bottom w:val="none" w:sz="0" w:space="0" w:color="auto"/>
            </w:tcBorders>
            <w:shd w:val="clear" w:color="auto" w:fill="007096"/>
            <w:vAlign w:val="center"/>
          </w:tcPr>
          <w:p w14:paraId="61C576DE" w14:textId="03CE95CF" w:rsidR="00DE0EE9" w:rsidRDefault="00DE0EE9" w:rsidP="00AE653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A62422">
              <w:rPr>
                <w:rFonts w:ascii="Open Sans" w:hAnsi="Open Sans" w:cs="Open Sans"/>
                <w:color w:val="FFFFFF" w:themeColor="background1"/>
                <w:sz w:val="20"/>
              </w:rPr>
              <w:t>Data required</w:t>
            </w:r>
          </w:p>
        </w:tc>
        <w:tc>
          <w:tcPr>
            <w:tcW w:w="2127" w:type="dxa"/>
            <w:tcBorders>
              <w:bottom w:val="none" w:sz="0" w:space="0" w:color="auto"/>
            </w:tcBorders>
            <w:shd w:val="clear" w:color="auto" w:fill="007096"/>
            <w:vAlign w:val="center"/>
          </w:tcPr>
          <w:p w14:paraId="6F6E0CBF" w14:textId="2755D87A" w:rsidR="00DE0EE9" w:rsidRDefault="00DE0EE9" w:rsidP="00AE653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A62422">
              <w:rPr>
                <w:rFonts w:ascii="Open Sans" w:hAnsi="Open Sans" w:cs="Open Sans"/>
                <w:color w:val="FFFFFF" w:themeColor="background1"/>
                <w:sz w:val="20"/>
              </w:rPr>
              <w:t>Relevant carbon farming categories</w:t>
            </w:r>
          </w:p>
        </w:tc>
        <w:tc>
          <w:tcPr>
            <w:tcW w:w="2028" w:type="dxa"/>
            <w:tcBorders>
              <w:bottom w:val="none" w:sz="0" w:space="0" w:color="auto"/>
            </w:tcBorders>
            <w:shd w:val="clear" w:color="auto" w:fill="007096"/>
            <w:vAlign w:val="center"/>
          </w:tcPr>
          <w:p w14:paraId="6BEBDD04" w14:textId="235E9597" w:rsidR="00DE0EE9" w:rsidRDefault="00DE0EE9" w:rsidP="00AE653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A62422">
              <w:rPr>
                <w:rFonts w:ascii="Open Sans" w:hAnsi="Open Sans" w:cs="Open Sans"/>
                <w:color w:val="FFFFFF" w:themeColor="background1"/>
                <w:sz w:val="20"/>
              </w:rPr>
              <w:t>Accessibility</w:t>
            </w:r>
          </w:p>
        </w:tc>
        <w:tc>
          <w:tcPr>
            <w:tcW w:w="3925" w:type="dxa"/>
            <w:tcBorders>
              <w:bottom w:val="none" w:sz="0" w:space="0" w:color="auto"/>
            </w:tcBorders>
            <w:shd w:val="clear" w:color="auto" w:fill="007096"/>
            <w:vAlign w:val="center"/>
          </w:tcPr>
          <w:p w14:paraId="528AD65E" w14:textId="7E9D9074" w:rsidR="00DE0EE9" w:rsidRDefault="00DE0EE9" w:rsidP="00AE653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A62422">
              <w:rPr>
                <w:rFonts w:ascii="Open Sans" w:hAnsi="Open Sans" w:cs="Open Sans"/>
                <w:color w:val="FFFFFF" w:themeColor="background1"/>
                <w:sz w:val="20"/>
              </w:rPr>
              <w:t>General description</w:t>
            </w:r>
          </w:p>
        </w:tc>
      </w:tr>
      <w:tr w:rsidR="00231B86" w:rsidRPr="00F61F7A" w14:paraId="044FC2D1" w14:textId="77777777" w:rsidTr="00231B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bottom w:val="none" w:sz="0" w:space="0" w:color="auto"/>
            </w:tcBorders>
            <w:vAlign w:val="center"/>
          </w:tcPr>
          <w:p w14:paraId="6C759494" w14:textId="1BFC4399" w:rsidR="00231B86" w:rsidRPr="00057B96" w:rsidRDefault="00231B86" w:rsidP="00231B86">
            <w:pPr>
              <w:rPr>
                <w:rFonts w:ascii="Open Sans" w:hAnsi="Open Sans" w:cs="Open Sans"/>
                <w:sz w:val="20"/>
              </w:rPr>
            </w:pPr>
            <w:hyperlink r:id="rId11" w:history="1">
              <w:r w:rsidRPr="00057B96">
                <w:rPr>
                  <w:rStyle w:val="Hyperlink"/>
                  <w:rFonts w:ascii="Open Sans" w:eastAsiaTheme="majorEastAsia" w:hAnsi="Open Sans" w:cs="Open Sans"/>
                  <w:sz w:val="20"/>
                </w:rPr>
                <w:t>Australian Dairy Carbon Calculator (Dairy Australia)</w:t>
              </w:r>
            </w:hyperlink>
          </w:p>
        </w:tc>
        <w:tc>
          <w:tcPr>
            <w:tcW w:w="1559" w:type="dxa"/>
            <w:tcBorders>
              <w:top w:val="none" w:sz="0" w:space="0" w:color="auto"/>
              <w:bottom w:val="none" w:sz="0" w:space="0" w:color="auto"/>
            </w:tcBorders>
            <w:vAlign w:val="center"/>
          </w:tcPr>
          <w:p w14:paraId="75D1F184" w14:textId="3DCCFC6B" w:rsidR="00231B86" w:rsidRPr="00F61F7A" w:rsidRDefault="00231B86" w:rsidP="00231B86">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Dairy</w:t>
            </w:r>
          </w:p>
        </w:tc>
        <w:tc>
          <w:tcPr>
            <w:tcW w:w="1701" w:type="dxa"/>
            <w:tcBorders>
              <w:top w:val="none" w:sz="0" w:space="0" w:color="auto"/>
              <w:bottom w:val="none" w:sz="0" w:space="0" w:color="auto"/>
            </w:tcBorders>
            <w:vAlign w:val="center"/>
          </w:tcPr>
          <w:p w14:paraId="7BFC6FC1" w14:textId="77777777" w:rsidR="00231B86" w:rsidRPr="00F61F7A" w:rsidRDefault="00231B86" w:rsidP="00231B86">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vertAlign w:val="superscript"/>
              </w:rPr>
            </w:pPr>
            <w:r w:rsidRPr="00F61F7A">
              <w:rPr>
                <w:rFonts w:ascii="Open Sans" w:hAnsi="Open Sans" w:cs="Open Sans"/>
                <w:sz w:val="20"/>
              </w:rPr>
              <w:t>GHG emissions</w:t>
            </w:r>
          </w:p>
          <w:p w14:paraId="122B499F" w14:textId="1E584BFB" w:rsidR="00231B86" w:rsidRPr="00F61F7A" w:rsidRDefault="00231B86" w:rsidP="00231B86">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Abatement estimates</w:t>
            </w:r>
          </w:p>
        </w:tc>
        <w:tc>
          <w:tcPr>
            <w:tcW w:w="2268" w:type="dxa"/>
            <w:tcBorders>
              <w:top w:val="none" w:sz="0" w:space="0" w:color="auto"/>
              <w:bottom w:val="none" w:sz="0" w:space="0" w:color="auto"/>
            </w:tcBorders>
            <w:vAlign w:val="center"/>
          </w:tcPr>
          <w:p w14:paraId="3C67A23E" w14:textId="77777777" w:rsidR="00231B86" w:rsidRPr="00F61F7A" w:rsidRDefault="00231B86" w:rsidP="00231B86">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Property information</w:t>
            </w:r>
          </w:p>
          <w:p w14:paraId="6EC7F7FE" w14:textId="77777777" w:rsidR="00231B86" w:rsidRPr="00F61F7A" w:rsidRDefault="00231B86" w:rsidP="00231B86">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Livestock</w:t>
            </w:r>
          </w:p>
          <w:p w14:paraId="0881B274" w14:textId="77777777" w:rsidR="00231B86" w:rsidRPr="00F61F7A" w:rsidRDefault="00231B86" w:rsidP="00231B86">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Cropping</w:t>
            </w:r>
          </w:p>
          <w:p w14:paraId="72A7C442" w14:textId="77777777" w:rsidR="00231B86" w:rsidRPr="00F61F7A" w:rsidRDefault="00231B86" w:rsidP="00231B86">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Vegetation</w:t>
            </w:r>
          </w:p>
          <w:p w14:paraId="21B40532" w14:textId="29211A0E" w:rsidR="00231B86" w:rsidRPr="00F61F7A" w:rsidRDefault="00231B86" w:rsidP="00231B86">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Waste management Consumables usage</w:t>
            </w:r>
          </w:p>
        </w:tc>
        <w:tc>
          <w:tcPr>
            <w:tcW w:w="2127" w:type="dxa"/>
            <w:tcBorders>
              <w:top w:val="none" w:sz="0" w:space="0" w:color="auto"/>
              <w:bottom w:val="none" w:sz="0" w:space="0" w:color="auto"/>
            </w:tcBorders>
            <w:vAlign w:val="center"/>
          </w:tcPr>
          <w:p w14:paraId="75F14B26" w14:textId="77777777" w:rsidR="00231B86" w:rsidRPr="00F61F7A" w:rsidRDefault="00231B86" w:rsidP="00231B86">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Soil</w:t>
            </w:r>
          </w:p>
          <w:p w14:paraId="44DCD642" w14:textId="77777777" w:rsidR="00231B86" w:rsidRPr="00F61F7A" w:rsidRDefault="00231B86" w:rsidP="00231B86">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Livestock</w:t>
            </w:r>
          </w:p>
          <w:p w14:paraId="671479B7" w14:textId="3486ACEC" w:rsidR="00231B86" w:rsidRPr="00F61F7A" w:rsidRDefault="00231B86" w:rsidP="00231B86">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Vegetation</w:t>
            </w:r>
          </w:p>
          <w:p w14:paraId="12381DFE" w14:textId="178E5639" w:rsidR="00231B86" w:rsidRPr="00F61F7A" w:rsidRDefault="00231B86" w:rsidP="00231B86">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Other – renewable energy and manure management</w:t>
            </w:r>
          </w:p>
        </w:tc>
        <w:tc>
          <w:tcPr>
            <w:tcW w:w="2028" w:type="dxa"/>
            <w:tcBorders>
              <w:top w:val="none" w:sz="0" w:space="0" w:color="auto"/>
              <w:bottom w:val="none" w:sz="0" w:space="0" w:color="auto"/>
            </w:tcBorders>
            <w:vAlign w:val="center"/>
          </w:tcPr>
          <w:p w14:paraId="2B57EB6F" w14:textId="77777777" w:rsidR="00231B86" w:rsidRPr="00F61F7A" w:rsidRDefault="00231B86" w:rsidP="00231B86">
            <w:pPr>
              <w:spacing w:after="0"/>
              <w:jc w:val="center"/>
              <w:cnfStyle w:val="000000100000" w:firstRow="0" w:lastRow="0" w:firstColumn="0" w:lastColumn="0" w:oddVBand="0" w:evenVBand="0" w:oddHBand="1" w:evenHBand="0" w:firstRowFirstColumn="0" w:firstRowLastColumn="0" w:lastRowFirstColumn="0" w:lastRowLastColumn="0"/>
              <w:rPr>
                <w:rStyle w:val="normaltextrun"/>
                <w:rFonts w:ascii="Open Sans" w:hAnsi="Open Sans" w:cs="Open Sans"/>
                <w:color w:val="000000"/>
                <w:sz w:val="14"/>
                <w:szCs w:val="14"/>
                <w:shd w:val="clear" w:color="auto" w:fill="FFFFFF"/>
              </w:rPr>
            </w:pPr>
          </w:p>
          <w:p w14:paraId="4A8E7C08" w14:textId="58E02E2A" w:rsidR="00231B86" w:rsidRPr="00F61F7A" w:rsidRDefault="00231B86" w:rsidP="00231B86">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Style w:val="normaltextrun"/>
                <w:rFonts w:ascii="Open Sans" w:hAnsi="Open Sans" w:cs="Open Sans"/>
                <w:color w:val="000000"/>
                <w:sz w:val="20"/>
                <w:shd w:val="clear" w:color="auto" w:fill="FFFFFF"/>
              </w:rPr>
              <w:t>Microsoft® Excel® spreadsheet</w:t>
            </w:r>
          </w:p>
          <w:p w14:paraId="57392901" w14:textId="77777777" w:rsidR="00231B86" w:rsidRPr="00F61F7A" w:rsidRDefault="00231B86" w:rsidP="00231B86">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Downloadable for offline use</w:t>
            </w:r>
          </w:p>
          <w:p w14:paraId="0DE3500D" w14:textId="46E6ECFF" w:rsidR="00231B86" w:rsidRPr="00F61F7A" w:rsidRDefault="00231B86" w:rsidP="00231B86">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Free</w:t>
            </w:r>
            <w:r w:rsidRPr="00F61F7A">
              <w:rPr>
                <w:rFonts w:ascii="Open Sans" w:hAnsi="Open Sans" w:cs="Open Sans"/>
                <w:sz w:val="20"/>
              </w:rPr>
              <w:br/>
              <w:t>No account required</w:t>
            </w:r>
          </w:p>
        </w:tc>
        <w:tc>
          <w:tcPr>
            <w:tcW w:w="3925" w:type="dxa"/>
            <w:tcBorders>
              <w:top w:val="none" w:sz="0" w:space="0" w:color="auto"/>
              <w:bottom w:val="none" w:sz="0" w:space="0" w:color="auto"/>
            </w:tcBorders>
            <w:vAlign w:val="center"/>
          </w:tcPr>
          <w:p w14:paraId="6482ADBB" w14:textId="6029D39F" w:rsidR="00231B86" w:rsidRPr="00F61F7A" w:rsidRDefault="00231B86" w:rsidP="00231B86">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Style w:val="normaltextrun"/>
                <w:rFonts w:ascii="Open Sans" w:hAnsi="Open Sans" w:cs="Open Sans"/>
                <w:color w:val="000000"/>
                <w:sz w:val="20"/>
                <w:shd w:val="clear" w:color="auto" w:fill="FFFFFF"/>
              </w:rPr>
              <w:t>Used to estimate GHG emissions,</w:t>
            </w:r>
            <w:r w:rsidRPr="00F61F7A">
              <w:rPr>
                <w:rStyle w:val="normaltextrun"/>
                <w:rFonts w:ascii="Open Sans" w:hAnsi="Open Sans" w:cs="Open Sans"/>
                <w:color w:val="000000" w:themeColor="text1"/>
                <w:sz w:val="20"/>
              </w:rPr>
              <w:t xml:space="preserve"> </w:t>
            </w:r>
            <w:r w:rsidRPr="00F61F7A">
              <w:rPr>
                <w:rStyle w:val="normaltextrun"/>
                <w:rFonts w:ascii="Open Sans" w:hAnsi="Open Sans" w:cs="Open Sans"/>
                <w:color w:val="000000"/>
                <w:sz w:val="20"/>
                <w:shd w:val="clear" w:color="auto" w:fill="FFFFFF"/>
              </w:rPr>
              <w:t xml:space="preserve">impacts of management activities on emissions and </w:t>
            </w:r>
            <w:r w:rsidRPr="00F61F7A">
              <w:rPr>
                <w:rStyle w:val="normaltextrun"/>
                <w:rFonts w:ascii="Open Sans" w:hAnsi="Open Sans" w:cs="Open Sans"/>
                <w:color w:val="000000" w:themeColor="text1"/>
                <w:sz w:val="20"/>
              </w:rPr>
              <w:t xml:space="preserve">carbon storage in trees </w:t>
            </w:r>
            <w:r w:rsidRPr="00F61F7A">
              <w:rPr>
                <w:rStyle w:val="normaltextrun"/>
                <w:rFonts w:ascii="Open Sans" w:hAnsi="Open Sans" w:cs="Open Sans"/>
                <w:color w:val="000000"/>
                <w:sz w:val="20"/>
                <w:shd w:val="clear" w:color="auto" w:fill="FFFFFF"/>
              </w:rPr>
              <w:t xml:space="preserve">and explore different management actions. Based on </w:t>
            </w:r>
            <w:hyperlink r:id="rId12" w:history="1">
              <w:r w:rsidRPr="00F61F7A">
                <w:rPr>
                  <w:rStyle w:val="Hyperlink"/>
                  <w:rFonts w:ascii="Open Sans" w:eastAsiaTheme="majorEastAsia" w:hAnsi="Open Sans" w:cs="Open Sans"/>
                  <w:sz w:val="20"/>
                  <w:shd w:val="clear" w:color="auto" w:fill="FFFFFF"/>
                </w:rPr>
                <w:t>Dairy GHG Accounting Framework (D-GAF)</w:t>
              </w:r>
            </w:hyperlink>
            <w:r w:rsidRPr="00F61F7A">
              <w:rPr>
                <w:rFonts w:ascii="Open Sans" w:eastAsiaTheme="majorEastAsia" w:hAnsi="Open Sans" w:cs="Open Sans"/>
                <w:sz w:val="20"/>
                <w:shd w:val="clear" w:color="auto" w:fill="FFFFFF"/>
              </w:rPr>
              <w:t>.</w:t>
            </w:r>
          </w:p>
        </w:tc>
      </w:tr>
      <w:tr w:rsidR="00231B86" w:rsidRPr="00F61F7A" w14:paraId="677793B9" w14:textId="77777777" w:rsidTr="00231B86">
        <w:trPr>
          <w:cantSplit/>
        </w:trPr>
        <w:tc>
          <w:tcPr>
            <w:cnfStyle w:val="001000000000" w:firstRow="0" w:lastRow="0" w:firstColumn="1" w:lastColumn="0" w:oddVBand="0" w:evenVBand="0" w:oddHBand="0" w:evenHBand="0" w:firstRowFirstColumn="0" w:firstRowLastColumn="0" w:lastRowFirstColumn="0" w:lastRowLastColumn="0"/>
            <w:tcW w:w="1843" w:type="dxa"/>
            <w:shd w:val="clear" w:color="auto" w:fill="EAF7F9"/>
            <w:vAlign w:val="center"/>
          </w:tcPr>
          <w:p w14:paraId="02F18447" w14:textId="7322EB72" w:rsidR="00231B86" w:rsidRPr="00057B96" w:rsidRDefault="00231B86" w:rsidP="00231B86">
            <w:pPr>
              <w:rPr>
                <w:rFonts w:ascii="Open Sans" w:hAnsi="Open Sans" w:cs="Open Sans"/>
                <w:sz w:val="20"/>
              </w:rPr>
            </w:pPr>
            <w:hyperlink r:id="rId13" w:history="1">
              <w:r w:rsidRPr="00057B96">
                <w:rPr>
                  <w:rStyle w:val="Hyperlink"/>
                  <w:rFonts w:ascii="Open Sans" w:eastAsiaTheme="majorEastAsia" w:hAnsi="Open Sans" w:cs="Open Sans"/>
                  <w:sz w:val="20"/>
                </w:rPr>
                <w:t>Australian Wine Carbon Calculator (Australian Wine Research Institute)</w:t>
              </w:r>
            </w:hyperlink>
          </w:p>
        </w:tc>
        <w:tc>
          <w:tcPr>
            <w:tcW w:w="1559" w:type="dxa"/>
            <w:shd w:val="clear" w:color="auto" w:fill="EAF7F9"/>
            <w:vAlign w:val="center"/>
          </w:tcPr>
          <w:p w14:paraId="1DAF7A8A" w14:textId="77777777" w:rsidR="00231B86" w:rsidRPr="00F61F7A" w:rsidRDefault="00231B86" w:rsidP="00231B86">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Viticulture</w:t>
            </w:r>
          </w:p>
          <w:p w14:paraId="066C3BB0" w14:textId="6FFCB900" w:rsidR="00231B86" w:rsidRPr="00F61F7A" w:rsidRDefault="00231B86" w:rsidP="00231B86">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Winemaking</w:t>
            </w:r>
          </w:p>
        </w:tc>
        <w:tc>
          <w:tcPr>
            <w:tcW w:w="1701" w:type="dxa"/>
            <w:shd w:val="clear" w:color="auto" w:fill="EAF7F9"/>
            <w:vAlign w:val="center"/>
          </w:tcPr>
          <w:p w14:paraId="013A82A5" w14:textId="4D523008" w:rsidR="00231B86" w:rsidRPr="00F61F7A" w:rsidRDefault="00231B86" w:rsidP="00231B86">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GHG emissions</w:t>
            </w:r>
          </w:p>
        </w:tc>
        <w:tc>
          <w:tcPr>
            <w:tcW w:w="2268" w:type="dxa"/>
            <w:shd w:val="clear" w:color="auto" w:fill="EAF7F9"/>
            <w:vAlign w:val="center"/>
          </w:tcPr>
          <w:p w14:paraId="650986A2" w14:textId="77777777" w:rsidR="00231B86" w:rsidRPr="00F61F7A" w:rsidRDefault="00231B86" w:rsidP="00231B86">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Cropping</w:t>
            </w:r>
          </w:p>
          <w:p w14:paraId="397EEBFD" w14:textId="77777777" w:rsidR="00231B86" w:rsidRPr="00F61F7A" w:rsidRDefault="00231B86" w:rsidP="00231B86">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Waste management</w:t>
            </w:r>
          </w:p>
          <w:p w14:paraId="3CB2A4C9" w14:textId="25FA6C3E" w:rsidR="00231B86" w:rsidRPr="00F61F7A" w:rsidRDefault="00231B86" w:rsidP="00231B86">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Consumables usage</w:t>
            </w:r>
          </w:p>
        </w:tc>
        <w:tc>
          <w:tcPr>
            <w:tcW w:w="2127" w:type="dxa"/>
            <w:shd w:val="clear" w:color="auto" w:fill="EAF7F9"/>
            <w:vAlign w:val="center"/>
          </w:tcPr>
          <w:p w14:paraId="31983E19" w14:textId="77777777" w:rsidR="00231B86" w:rsidRPr="00F61F7A" w:rsidRDefault="00231B86" w:rsidP="00231B86">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Soil</w:t>
            </w:r>
          </w:p>
          <w:p w14:paraId="2C688E17" w14:textId="1AEC0A57" w:rsidR="00231B86" w:rsidRPr="00F61F7A" w:rsidRDefault="00231B86" w:rsidP="00231B86">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Other – renewable energy and energy-efficient irrigation systems</w:t>
            </w:r>
          </w:p>
        </w:tc>
        <w:tc>
          <w:tcPr>
            <w:tcW w:w="2028" w:type="dxa"/>
            <w:shd w:val="clear" w:color="auto" w:fill="EAF7F9"/>
            <w:vAlign w:val="center"/>
          </w:tcPr>
          <w:p w14:paraId="0A89D6D7" w14:textId="77777777" w:rsidR="00231B86" w:rsidRPr="00F61F7A" w:rsidRDefault="00231B86" w:rsidP="00231B86">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14"/>
                <w:szCs w:val="14"/>
              </w:rPr>
            </w:pPr>
          </w:p>
          <w:p w14:paraId="0E9BE661" w14:textId="5BFC6303" w:rsidR="00231B86" w:rsidRPr="00F61F7A" w:rsidRDefault="00231B86" w:rsidP="00231B86">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Microsoft® Excel® spreadsheet</w:t>
            </w:r>
          </w:p>
          <w:p w14:paraId="39097B49" w14:textId="0ABCF8A7" w:rsidR="00231B86" w:rsidRPr="00F61F7A" w:rsidRDefault="00231B86" w:rsidP="00231B86">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Downloadable for offline use</w:t>
            </w:r>
          </w:p>
          <w:p w14:paraId="3BCB8400" w14:textId="1502BB15" w:rsidR="00231B86" w:rsidRPr="00F61F7A" w:rsidRDefault="00231B86" w:rsidP="00231B86">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Free</w:t>
            </w:r>
          </w:p>
          <w:p w14:paraId="421FC2F3" w14:textId="0993BDBC" w:rsidR="00231B86" w:rsidRPr="00F61F7A" w:rsidRDefault="00231B86" w:rsidP="00231B86">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No account required</w:t>
            </w:r>
          </w:p>
        </w:tc>
        <w:tc>
          <w:tcPr>
            <w:tcW w:w="3925" w:type="dxa"/>
            <w:shd w:val="clear" w:color="auto" w:fill="EAF7F9"/>
            <w:vAlign w:val="center"/>
          </w:tcPr>
          <w:p w14:paraId="5786BFC4" w14:textId="7E5ADAC3" w:rsidR="00231B86" w:rsidRPr="00F61F7A" w:rsidRDefault="00231B86" w:rsidP="00231B86">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F61F7A">
              <w:rPr>
                <w:rFonts w:ascii="Open Sans" w:hAnsi="Open Sans" w:cs="Open Sans"/>
                <w:sz w:val="20"/>
                <w:szCs w:val="18"/>
              </w:rPr>
              <w:t>Used to estimate GHG emissions from vineyards and wineries and impacts of management activities on GHG emissions.</w:t>
            </w:r>
          </w:p>
        </w:tc>
      </w:tr>
      <w:tr w:rsidR="00231B86" w:rsidRPr="00F61F7A" w14:paraId="36147CAE" w14:textId="77777777" w:rsidTr="00231B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bottom w:val="none" w:sz="0" w:space="0" w:color="auto"/>
            </w:tcBorders>
            <w:vAlign w:val="center"/>
          </w:tcPr>
          <w:p w14:paraId="716B1205" w14:textId="719B5CFD" w:rsidR="00231B86" w:rsidRPr="00057B96" w:rsidRDefault="00231B86" w:rsidP="00231B86">
            <w:pPr>
              <w:rPr>
                <w:rFonts w:ascii="Open Sans" w:hAnsi="Open Sans" w:cs="Open Sans"/>
                <w:sz w:val="20"/>
              </w:rPr>
            </w:pPr>
            <w:hyperlink r:id="rId14" w:history="1">
              <w:r w:rsidRPr="00057B96">
                <w:rPr>
                  <w:rStyle w:val="Hyperlink"/>
                  <w:rFonts w:ascii="Open Sans" w:eastAsiaTheme="majorEastAsia" w:hAnsi="Open Sans" w:cs="Open Sans"/>
                  <w:sz w:val="20"/>
                </w:rPr>
                <w:t>Blue Carbon Accounting Model (</w:t>
              </w:r>
              <w:proofErr w:type="spellStart"/>
              <w:r w:rsidRPr="00057B96">
                <w:rPr>
                  <w:rStyle w:val="Hyperlink"/>
                  <w:rFonts w:ascii="Open Sans" w:eastAsiaTheme="majorEastAsia" w:hAnsi="Open Sans" w:cs="Open Sans"/>
                  <w:sz w:val="20"/>
                </w:rPr>
                <w:t>BlueCAM</w:t>
              </w:r>
              <w:proofErr w:type="spellEnd"/>
              <w:r w:rsidRPr="00057B96">
                <w:rPr>
                  <w:rStyle w:val="Hyperlink"/>
                  <w:rFonts w:ascii="Open Sans" w:eastAsiaTheme="majorEastAsia" w:hAnsi="Open Sans" w:cs="Open Sans"/>
                  <w:sz w:val="20"/>
                </w:rPr>
                <w:t>) (Australian Government)</w:t>
              </w:r>
            </w:hyperlink>
          </w:p>
        </w:tc>
        <w:tc>
          <w:tcPr>
            <w:tcW w:w="1559" w:type="dxa"/>
            <w:tcBorders>
              <w:top w:val="none" w:sz="0" w:space="0" w:color="auto"/>
              <w:bottom w:val="none" w:sz="0" w:space="0" w:color="auto"/>
            </w:tcBorders>
            <w:vAlign w:val="center"/>
          </w:tcPr>
          <w:p w14:paraId="339F46A6" w14:textId="704B4B8C" w:rsidR="00231B86" w:rsidRPr="00F61F7A" w:rsidRDefault="00231B86" w:rsidP="00231B86">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Blue carbon</w:t>
            </w:r>
          </w:p>
        </w:tc>
        <w:tc>
          <w:tcPr>
            <w:tcW w:w="1701" w:type="dxa"/>
            <w:tcBorders>
              <w:top w:val="none" w:sz="0" w:space="0" w:color="auto"/>
              <w:bottom w:val="none" w:sz="0" w:space="0" w:color="auto"/>
            </w:tcBorders>
            <w:vAlign w:val="center"/>
          </w:tcPr>
          <w:p w14:paraId="139E1A98" w14:textId="77777777" w:rsidR="00231B86" w:rsidRPr="00F61F7A" w:rsidRDefault="00231B86" w:rsidP="00231B86">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ACCU Scheme</w:t>
            </w:r>
          </w:p>
          <w:p w14:paraId="00661976" w14:textId="75904A36" w:rsidR="00231B86" w:rsidRPr="00F61F7A" w:rsidRDefault="00231B86" w:rsidP="00231B86">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Abatement estimates</w:t>
            </w:r>
          </w:p>
        </w:tc>
        <w:tc>
          <w:tcPr>
            <w:tcW w:w="2268" w:type="dxa"/>
            <w:tcBorders>
              <w:top w:val="none" w:sz="0" w:space="0" w:color="auto"/>
              <w:bottom w:val="none" w:sz="0" w:space="0" w:color="auto"/>
            </w:tcBorders>
            <w:vAlign w:val="center"/>
          </w:tcPr>
          <w:p w14:paraId="445B193B" w14:textId="77777777" w:rsidR="00231B86" w:rsidRPr="00F61F7A" w:rsidRDefault="00231B86" w:rsidP="00231B86">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Property information</w:t>
            </w:r>
          </w:p>
          <w:p w14:paraId="75E3B2A3" w14:textId="24CFD3CC" w:rsidR="00231B86" w:rsidRPr="00F61F7A" w:rsidRDefault="00231B86" w:rsidP="00231B86">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Cropping</w:t>
            </w:r>
          </w:p>
          <w:p w14:paraId="3B491EFC" w14:textId="77777777" w:rsidR="00231B86" w:rsidRPr="00F61F7A" w:rsidRDefault="00231B86" w:rsidP="00231B86">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Vegetation</w:t>
            </w:r>
          </w:p>
          <w:p w14:paraId="7F36887A" w14:textId="77777777" w:rsidR="00231B86" w:rsidRPr="00F61F7A" w:rsidRDefault="00231B86" w:rsidP="00231B86">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Consumables usage</w:t>
            </w:r>
          </w:p>
          <w:p w14:paraId="67EB7E76" w14:textId="6A1EB5D7" w:rsidR="00231B86" w:rsidRPr="00F61F7A" w:rsidRDefault="00231B86" w:rsidP="00231B86">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External – tidal ranges</w:t>
            </w:r>
          </w:p>
        </w:tc>
        <w:tc>
          <w:tcPr>
            <w:tcW w:w="2127" w:type="dxa"/>
            <w:tcBorders>
              <w:top w:val="none" w:sz="0" w:space="0" w:color="auto"/>
              <w:bottom w:val="none" w:sz="0" w:space="0" w:color="auto"/>
            </w:tcBorders>
            <w:vAlign w:val="center"/>
          </w:tcPr>
          <w:p w14:paraId="505F505B" w14:textId="3732ED52" w:rsidR="00231B86" w:rsidRPr="00F61F7A" w:rsidRDefault="00231B86" w:rsidP="00231B86">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Blue carbon</w:t>
            </w:r>
          </w:p>
        </w:tc>
        <w:tc>
          <w:tcPr>
            <w:tcW w:w="2028" w:type="dxa"/>
            <w:tcBorders>
              <w:top w:val="none" w:sz="0" w:space="0" w:color="auto"/>
              <w:bottom w:val="none" w:sz="0" w:space="0" w:color="auto"/>
            </w:tcBorders>
            <w:vAlign w:val="center"/>
          </w:tcPr>
          <w:p w14:paraId="57F601F5" w14:textId="77777777" w:rsidR="00231B86" w:rsidRPr="00F61F7A" w:rsidRDefault="00231B86" w:rsidP="00231B86">
            <w:pPr>
              <w:spacing w:after="0"/>
              <w:jc w:val="center"/>
              <w:cnfStyle w:val="000000100000" w:firstRow="0" w:lastRow="0" w:firstColumn="0" w:lastColumn="0" w:oddVBand="0" w:evenVBand="0" w:oddHBand="1" w:evenHBand="0" w:firstRowFirstColumn="0" w:firstRowLastColumn="0" w:lastRowFirstColumn="0" w:lastRowLastColumn="0"/>
              <w:rPr>
                <w:rStyle w:val="normaltextrun"/>
                <w:rFonts w:ascii="Open Sans" w:hAnsi="Open Sans" w:cs="Open Sans"/>
                <w:color w:val="000000"/>
                <w:sz w:val="14"/>
                <w:szCs w:val="14"/>
                <w:shd w:val="clear" w:color="auto" w:fill="FFFFFF"/>
              </w:rPr>
            </w:pPr>
          </w:p>
          <w:p w14:paraId="37C73210" w14:textId="4DF55621" w:rsidR="00231B86" w:rsidRPr="00F61F7A" w:rsidRDefault="00231B86" w:rsidP="00231B86">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Style w:val="normaltextrun"/>
                <w:rFonts w:ascii="Open Sans" w:hAnsi="Open Sans" w:cs="Open Sans"/>
                <w:color w:val="000000"/>
                <w:sz w:val="20"/>
                <w:shd w:val="clear" w:color="auto" w:fill="FFFFFF"/>
              </w:rPr>
              <w:t>Microsoft® Excel® spreadsheet</w:t>
            </w:r>
          </w:p>
          <w:p w14:paraId="6FD87064" w14:textId="77777777" w:rsidR="00231B86" w:rsidRPr="00F61F7A" w:rsidRDefault="00231B86" w:rsidP="00231B86">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Downloadable for offline use</w:t>
            </w:r>
          </w:p>
          <w:p w14:paraId="5D5CB1B3" w14:textId="77777777" w:rsidR="00231B86" w:rsidRPr="00F61F7A" w:rsidRDefault="00231B86" w:rsidP="00231B86">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Free</w:t>
            </w:r>
          </w:p>
          <w:p w14:paraId="739A92F7" w14:textId="481A0628" w:rsidR="00231B86" w:rsidRPr="00F61F7A" w:rsidRDefault="00231B86" w:rsidP="00231B86">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No account required</w:t>
            </w:r>
          </w:p>
        </w:tc>
        <w:tc>
          <w:tcPr>
            <w:tcW w:w="3925" w:type="dxa"/>
            <w:tcBorders>
              <w:top w:val="none" w:sz="0" w:space="0" w:color="auto"/>
              <w:bottom w:val="none" w:sz="0" w:space="0" w:color="auto"/>
            </w:tcBorders>
            <w:vAlign w:val="center"/>
          </w:tcPr>
          <w:p w14:paraId="0C04FAC1" w14:textId="296AF61D" w:rsidR="00231B86" w:rsidRPr="00F61F7A" w:rsidRDefault="00231B86" w:rsidP="00231B86">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 xml:space="preserve">Used to estimate abatement for projects under the ACCU Scheme Tidal Restoration of Blue Carbon Ecosystems method. </w:t>
            </w:r>
          </w:p>
        </w:tc>
      </w:tr>
      <w:tr w:rsidR="00231B86" w:rsidRPr="00F61F7A" w14:paraId="7E84308F" w14:textId="77777777" w:rsidTr="00231B86">
        <w:trPr>
          <w:cantSplit/>
        </w:trPr>
        <w:tc>
          <w:tcPr>
            <w:cnfStyle w:val="001000000000" w:firstRow="0" w:lastRow="0" w:firstColumn="1" w:lastColumn="0" w:oddVBand="0" w:evenVBand="0" w:oddHBand="0" w:evenHBand="0" w:firstRowFirstColumn="0" w:firstRowLastColumn="0" w:lastRowFirstColumn="0" w:lastRowLastColumn="0"/>
            <w:tcW w:w="1843" w:type="dxa"/>
            <w:shd w:val="clear" w:color="auto" w:fill="EAF7F9"/>
            <w:vAlign w:val="center"/>
          </w:tcPr>
          <w:p w14:paraId="4AFFEC63" w14:textId="1266DEB5" w:rsidR="00231B86" w:rsidRPr="00057B96" w:rsidRDefault="00231B86" w:rsidP="00231B86">
            <w:pPr>
              <w:rPr>
                <w:rFonts w:ascii="Open Sans" w:hAnsi="Open Sans" w:cs="Open Sans"/>
                <w:sz w:val="20"/>
              </w:rPr>
            </w:pPr>
            <w:hyperlink r:id="rId15" w:history="1">
              <w:proofErr w:type="spellStart"/>
              <w:r w:rsidRPr="00057B96">
                <w:rPr>
                  <w:rStyle w:val="Hyperlink"/>
                  <w:rFonts w:ascii="Open Sans" w:eastAsiaTheme="majorEastAsia" w:hAnsi="Open Sans" w:cs="Open Sans"/>
                  <w:sz w:val="20"/>
                </w:rPr>
                <w:t>DairyBase</w:t>
              </w:r>
              <w:proofErr w:type="spellEnd"/>
              <w:r w:rsidRPr="00057B96">
                <w:rPr>
                  <w:rStyle w:val="Hyperlink"/>
                  <w:rFonts w:ascii="Open Sans" w:eastAsiaTheme="majorEastAsia" w:hAnsi="Open Sans" w:cs="Open Sans"/>
                  <w:sz w:val="20"/>
                </w:rPr>
                <w:t xml:space="preserve"> (Dairy Australia)</w:t>
              </w:r>
            </w:hyperlink>
          </w:p>
        </w:tc>
        <w:tc>
          <w:tcPr>
            <w:tcW w:w="1559" w:type="dxa"/>
            <w:shd w:val="clear" w:color="auto" w:fill="EAF7F9"/>
            <w:vAlign w:val="center"/>
          </w:tcPr>
          <w:p w14:paraId="571C6F40" w14:textId="0F7A8A3E" w:rsidR="00231B86" w:rsidRPr="00F61F7A" w:rsidRDefault="00231B86" w:rsidP="00231B86">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Dairy</w:t>
            </w:r>
          </w:p>
        </w:tc>
        <w:tc>
          <w:tcPr>
            <w:tcW w:w="1701" w:type="dxa"/>
            <w:shd w:val="clear" w:color="auto" w:fill="EAF7F9"/>
            <w:vAlign w:val="center"/>
          </w:tcPr>
          <w:p w14:paraId="6B1620BF" w14:textId="77777777" w:rsidR="00231B86" w:rsidRPr="00F61F7A" w:rsidRDefault="00231B86" w:rsidP="00231B86">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vertAlign w:val="superscript"/>
              </w:rPr>
            </w:pPr>
            <w:r w:rsidRPr="00F61F7A">
              <w:rPr>
                <w:rFonts w:ascii="Open Sans" w:hAnsi="Open Sans" w:cs="Open Sans"/>
                <w:sz w:val="20"/>
              </w:rPr>
              <w:t>GHG emissions</w:t>
            </w:r>
          </w:p>
          <w:p w14:paraId="78E4C98E" w14:textId="4AF33061" w:rsidR="00231B86" w:rsidRPr="00F61F7A" w:rsidRDefault="00231B86" w:rsidP="00231B86">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Abatement estimates</w:t>
            </w:r>
          </w:p>
        </w:tc>
        <w:tc>
          <w:tcPr>
            <w:tcW w:w="2268" w:type="dxa"/>
            <w:shd w:val="clear" w:color="auto" w:fill="EAF7F9"/>
            <w:vAlign w:val="center"/>
          </w:tcPr>
          <w:p w14:paraId="08B1242D" w14:textId="77777777" w:rsidR="00231B86" w:rsidRPr="00F61F7A" w:rsidRDefault="00231B86" w:rsidP="00231B86">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14"/>
                <w:szCs w:val="14"/>
              </w:rPr>
            </w:pPr>
          </w:p>
          <w:p w14:paraId="6E93CFC7" w14:textId="585D2715" w:rsidR="00231B86" w:rsidRPr="00F61F7A" w:rsidRDefault="00231B86" w:rsidP="00231B86">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Property information</w:t>
            </w:r>
          </w:p>
          <w:p w14:paraId="3796FDA1" w14:textId="77777777" w:rsidR="00231B86" w:rsidRPr="00F61F7A" w:rsidRDefault="00231B86" w:rsidP="00231B86">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Livestock</w:t>
            </w:r>
          </w:p>
          <w:p w14:paraId="368CD88A" w14:textId="77777777" w:rsidR="00231B86" w:rsidRPr="00F61F7A" w:rsidRDefault="00231B86" w:rsidP="00231B86">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Cropping</w:t>
            </w:r>
          </w:p>
          <w:p w14:paraId="545BF1CF" w14:textId="77777777" w:rsidR="00231B86" w:rsidRPr="00F61F7A" w:rsidRDefault="00231B86" w:rsidP="00231B86">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Vegetation</w:t>
            </w:r>
          </w:p>
          <w:p w14:paraId="7C154E95" w14:textId="66587D92" w:rsidR="00231B86" w:rsidRPr="00F61F7A" w:rsidRDefault="00231B86" w:rsidP="00231B86">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Waste management Consumables usage</w:t>
            </w:r>
          </w:p>
        </w:tc>
        <w:tc>
          <w:tcPr>
            <w:tcW w:w="2127" w:type="dxa"/>
            <w:shd w:val="clear" w:color="auto" w:fill="EAF7F9"/>
            <w:vAlign w:val="center"/>
          </w:tcPr>
          <w:p w14:paraId="1D3C99EB" w14:textId="77777777" w:rsidR="00231B86" w:rsidRPr="00F61F7A" w:rsidRDefault="00231B86" w:rsidP="00231B86">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14"/>
                <w:szCs w:val="14"/>
              </w:rPr>
            </w:pPr>
          </w:p>
          <w:p w14:paraId="6BD62F0A" w14:textId="57F2EB60" w:rsidR="00231B86" w:rsidRPr="00F61F7A" w:rsidRDefault="00231B86" w:rsidP="00231B86">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Soil</w:t>
            </w:r>
          </w:p>
          <w:p w14:paraId="12D78D25" w14:textId="77777777" w:rsidR="00231B86" w:rsidRPr="00F61F7A" w:rsidRDefault="00231B86" w:rsidP="00231B86">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Livestock</w:t>
            </w:r>
          </w:p>
          <w:p w14:paraId="724E7751" w14:textId="77777777" w:rsidR="00231B86" w:rsidRPr="00F61F7A" w:rsidRDefault="00231B86" w:rsidP="00231B86">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Vegetation</w:t>
            </w:r>
          </w:p>
          <w:p w14:paraId="5874B006" w14:textId="47444514" w:rsidR="00231B86" w:rsidRPr="00F61F7A" w:rsidRDefault="00231B86" w:rsidP="00231B86">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Other – renewable energy and manure management</w:t>
            </w:r>
          </w:p>
        </w:tc>
        <w:tc>
          <w:tcPr>
            <w:tcW w:w="2028" w:type="dxa"/>
            <w:shd w:val="clear" w:color="auto" w:fill="EAF7F9"/>
            <w:vAlign w:val="center"/>
          </w:tcPr>
          <w:p w14:paraId="211AE46A" w14:textId="53FCF14E" w:rsidR="00231B86" w:rsidRPr="00F61F7A" w:rsidRDefault="00231B86" w:rsidP="00231B86">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Online only</w:t>
            </w:r>
          </w:p>
          <w:p w14:paraId="1FB96950" w14:textId="77777777" w:rsidR="00231B86" w:rsidRPr="00F61F7A" w:rsidRDefault="00231B86" w:rsidP="00231B86">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Internet required</w:t>
            </w:r>
          </w:p>
          <w:p w14:paraId="2709DB62" w14:textId="29C22005" w:rsidR="00231B86" w:rsidRPr="00F61F7A" w:rsidRDefault="00231B86" w:rsidP="00231B86">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Free</w:t>
            </w:r>
          </w:p>
          <w:p w14:paraId="0F91C6CD" w14:textId="403216B8" w:rsidR="00231B86" w:rsidRPr="00F61F7A" w:rsidRDefault="00231B86" w:rsidP="00231B86">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Account required</w:t>
            </w:r>
          </w:p>
        </w:tc>
        <w:tc>
          <w:tcPr>
            <w:tcW w:w="3925" w:type="dxa"/>
            <w:shd w:val="clear" w:color="auto" w:fill="EAF7F9"/>
            <w:vAlign w:val="center"/>
          </w:tcPr>
          <w:p w14:paraId="66845A2C" w14:textId="4D54CD25" w:rsidR="00231B86" w:rsidRPr="00F61F7A" w:rsidRDefault="00231B86" w:rsidP="00231B86">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 xml:space="preserve">Used to estimate GHG emissions, impacts of management activities on emissions and carbon storage in trees and explores different management actions. Based on </w:t>
            </w:r>
            <w:hyperlink r:id="rId16" w:history="1">
              <w:r w:rsidRPr="00F61F7A">
                <w:rPr>
                  <w:rStyle w:val="Hyperlink"/>
                  <w:rFonts w:ascii="Open Sans" w:hAnsi="Open Sans" w:cs="Open Sans"/>
                  <w:sz w:val="20"/>
                </w:rPr>
                <w:t>D-GAF</w:t>
              </w:r>
            </w:hyperlink>
            <w:r w:rsidRPr="00F61F7A">
              <w:rPr>
                <w:rFonts w:ascii="Open Sans" w:hAnsi="Open Sans" w:cs="Open Sans"/>
                <w:sz w:val="20"/>
              </w:rPr>
              <w:t>.</w:t>
            </w:r>
          </w:p>
        </w:tc>
      </w:tr>
      <w:tr w:rsidR="004D0B9D" w:rsidRPr="00F61F7A" w14:paraId="150897E0" w14:textId="77777777" w:rsidTr="00231B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418B4528" w14:textId="22BD4552" w:rsidR="004D0B9D" w:rsidRPr="002D1D92" w:rsidRDefault="004D0B9D" w:rsidP="004D0B9D">
            <w:pPr>
              <w:rPr>
                <w:sz w:val="20"/>
              </w:rPr>
            </w:pPr>
            <w:hyperlink r:id="rId17" w:history="1">
              <w:r w:rsidRPr="002D1D92">
                <w:rPr>
                  <w:rStyle w:val="Hyperlink"/>
                  <w:rFonts w:ascii="Open Sans" w:eastAsiaTheme="majorEastAsia" w:hAnsi="Open Sans" w:cs="Open Sans"/>
                  <w:sz w:val="20"/>
                </w:rPr>
                <w:t>Environmental Accounting Platform (Agricultural Innovation Australia)</w:t>
              </w:r>
            </w:hyperlink>
          </w:p>
        </w:tc>
        <w:tc>
          <w:tcPr>
            <w:tcW w:w="1559" w:type="dxa"/>
            <w:vAlign w:val="center"/>
          </w:tcPr>
          <w:p w14:paraId="1C5BFDE5" w14:textId="77777777" w:rsidR="004D0B9D" w:rsidRPr="004D0B9D"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4"/>
                <w:szCs w:val="14"/>
              </w:rPr>
            </w:pPr>
          </w:p>
          <w:p w14:paraId="102804C0" w14:textId="77777777" w:rsidR="004D0B9D" w:rsidRPr="00231B86"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Beef (Feedlot)</w:t>
            </w:r>
          </w:p>
          <w:p w14:paraId="6A4AE2F5" w14:textId="77777777" w:rsidR="004D0B9D" w:rsidRPr="00231B86"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Beef (Pasture)</w:t>
            </w:r>
          </w:p>
          <w:p w14:paraId="55F1CD75" w14:textId="77777777" w:rsidR="004D0B9D" w:rsidRPr="00231B86"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Buffalo</w:t>
            </w:r>
          </w:p>
          <w:p w14:paraId="3863F665" w14:textId="77777777" w:rsidR="004D0B9D" w:rsidRPr="00231B86"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Deer</w:t>
            </w:r>
          </w:p>
          <w:p w14:paraId="6DF041F4" w14:textId="77777777" w:rsidR="004D0B9D" w:rsidRPr="00231B86"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Goats</w:t>
            </w:r>
          </w:p>
          <w:p w14:paraId="351F0F7F" w14:textId="77777777" w:rsidR="004D0B9D" w:rsidRPr="00231B86"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Poultry (Broiler)</w:t>
            </w:r>
          </w:p>
          <w:p w14:paraId="03A25DAC" w14:textId="77777777" w:rsidR="004D0B9D" w:rsidRPr="00231B86"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Poultry (Layer)</w:t>
            </w:r>
          </w:p>
          <w:p w14:paraId="06F03D7F" w14:textId="77777777" w:rsidR="004D0B9D" w:rsidRPr="00231B86"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Pork</w:t>
            </w:r>
          </w:p>
          <w:p w14:paraId="4973D27B" w14:textId="77777777" w:rsidR="004D0B9D" w:rsidRPr="00231B86"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Sheep</w:t>
            </w:r>
          </w:p>
          <w:p w14:paraId="7B5E8C00" w14:textId="77777777" w:rsidR="004D0B9D" w:rsidRPr="00231B86"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Cotton</w:t>
            </w:r>
          </w:p>
          <w:p w14:paraId="752DDB9A" w14:textId="77777777" w:rsidR="004D0B9D" w:rsidRPr="00231B86"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Cropping (Grains)</w:t>
            </w:r>
          </w:p>
          <w:p w14:paraId="7B4E89AB" w14:textId="77777777" w:rsidR="004D0B9D" w:rsidRPr="00231B86"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Horticulture</w:t>
            </w:r>
          </w:p>
          <w:p w14:paraId="0F046687" w14:textId="77777777" w:rsidR="004D0B9D" w:rsidRPr="00231B86"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Rice</w:t>
            </w:r>
          </w:p>
          <w:p w14:paraId="36DDF0D5" w14:textId="77777777" w:rsidR="004D0B9D" w:rsidRPr="00231B86"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Sugar</w:t>
            </w:r>
          </w:p>
          <w:p w14:paraId="7B6CE029" w14:textId="77777777" w:rsidR="004D0B9D"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Wild Sea Fishery</w:t>
            </w:r>
          </w:p>
          <w:p w14:paraId="16E8DF68"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p>
        </w:tc>
        <w:tc>
          <w:tcPr>
            <w:tcW w:w="1701" w:type="dxa"/>
            <w:vAlign w:val="center"/>
          </w:tcPr>
          <w:p w14:paraId="1AE07B5C" w14:textId="77777777" w:rsidR="004D0B9D" w:rsidRPr="00231B86"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 GHG emissions</w:t>
            </w:r>
          </w:p>
          <w:p w14:paraId="7ECF6461"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p>
        </w:tc>
        <w:tc>
          <w:tcPr>
            <w:tcW w:w="2268" w:type="dxa"/>
            <w:vAlign w:val="center"/>
          </w:tcPr>
          <w:p w14:paraId="30E932A4" w14:textId="77777777" w:rsidR="004D0B9D" w:rsidRPr="00231B86"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Property information</w:t>
            </w:r>
          </w:p>
          <w:p w14:paraId="7D489C95" w14:textId="77777777" w:rsidR="004D0B9D" w:rsidRPr="00231B86"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Livestock</w:t>
            </w:r>
          </w:p>
          <w:p w14:paraId="65AC0C9E" w14:textId="77777777" w:rsidR="004D0B9D" w:rsidRPr="00231B86"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Cropping</w:t>
            </w:r>
          </w:p>
          <w:p w14:paraId="146CF96B" w14:textId="77777777" w:rsidR="004D0B9D" w:rsidRPr="00231B86"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Vegetation</w:t>
            </w:r>
          </w:p>
          <w:p w14:paraId="33A9468D" w14:textId="77777777" w:rsidR="004D0B9D" w:rsidRPr="00231B86"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Fisheries</w:t>
            </w:r>
          </w:p>
          <w:p w14:paraId="00047069" w14:textId="77777777" w:rsidR="004D0B9D" w:rsidRPr="00231B86"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Waste management</w:t>
            </w:r>
          </w:p>
          <w:p w14:paraId="754AE801" w14:textId="45590FCF"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Consumables usage</w:t>
            </w:r>
          </w:p>
        </w:tc>
        <w:tc>
          <w:tcPr>
            <w:tcW w:w="2127" w:type="dxa"/>
            <w:vAlign w:val="center"/>
          </w:tcPr>
          <w:p w14:paraId="04C063BA" w14:textId="77777777" w:rsidR="004D0B9D" w:rsidRPr="00231B86"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Soil</w:t>
            </w:r>
          </w:p>
          <w:p w14:paraId="63BE8AA5" w14:textId="77777777" w:rsidR="004D0B9D" w:rsidRPr="00231B86"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Livestock</w:t>
            </w:r>
          </w:p>
          <w:p w14:paraId="1FD9BF00" w14:textId="77777777" w:rsidR="004D0B9D" w:rsidRPr="00231B86"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Vegetation</w:t>
            </w:r>
          </w:p>
          <w:p w14:paraId="7F811B6B" w14:textId="77777777" w:rsidR="004D0B9D" w:rsidRPr="00231B86"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 xml:space="preserve">Other – renewable </w:t>
            </w:r>
          </w:p>
          <w:p w14:paraId="1705CF76" w14:textId="77777777" w:rsidR="004D0B9D" w:rsidRPr="00231B86"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 xml:space="preserve">energy and manure </w:t>
            </w:r>
          </w:p>
          <w:p w14:paraId="54F49172" w14:textId="77777777" w:rsidR="004D0B9D" w:rsidRPr="00231B86"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management</w:t>
            </w:r>
          </w:p>
          <w:p w14:paraId="457CA95E" w14:textId="77777777" w:rsidR="004D0B9D" w:rsidRPr="00231B86"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 xml:space="preserve">Savanna fire </w:t>
            </w:r>
          </w:p>
          <w:p w14:paraId="55B3577D" w14:textId="5A7A44A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management</w:t>
            </w:r>
          </w:p>
        </w:tc>
        <w:tc>
          <w:tcPr>
            <w:tcW w:w="2028" w:type="dxa"/>
            <w:vAlign w:val="center"/>
          </w:tcPr>
          <w:p w14:paraId="1FA89BC7" w14:textId="77777777" w:rsidR="004D0B9D" w:rsidRPr="00231B86"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Online</w:t>
            </w:r>
          </w:p>
          <w:p w14:paraId="226CE45B" w14:textId="77777777" w:rsidR="004D0B9D" w:rsidRPr="00231B86"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Internet required</w:t>
            </w:r>
          </w:p>
          <w:p w14:paraId="46814057" w14:textId="77777777" w:rsidR="004D0B9D" w:rsidRPr="00231B86"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Free</w:t>
            </w:r>
          </w:p>
          <w:p w14:paraId="5C302A41" w14:textId="678E15CE"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231B86">
              <w:rPr>
                <w:rFonts w:ascii="Open Sans" w:hAnsi="Open Sans" w:cs="Open Sans"/>
                <w:sz w:val="20"/>
              </w:rPr>
              <w:t>Account required</w:t>
            </w:r>
          </w:p>
        </w:tc>
        <w:tc>
          <w:tcPr>
            <w:tcW w:w="3925" w:type="dxa"/>
            <w:vAlign w:val="center"/>
          </w:tcPr>
          <w:p w14:paraId="3ED1E345" w14:textId="014CBE71" w:rsidR="004D0B9D" w:rsidRPr="00F61F7A" w:rsidRDefault="004D0B9D" w:rsidP="00841DF8">
            <w:pPr>
              <w:spacing w:after="0"/>
              <w:cnfStyle w:val="000000100000" w:firstRow="0" w:lastRow="0" w:firstColumn="0" w:lastColumn="0" w:oddVBand="0" w:evenVBand="0" w:oddHBand="1" w:evenHBand="0" w:firstRowFirstColumn="0" w:firstRowLastColumn="0" w:lastRowFirstColumn="0" w:lastRowLastColumn="0"/>
              <w:rPr>
                <w:rFonts w:ascii="Open Sans" w:hAnsi="Open Sans" w:cs="Open Sans"/>
                <w:sz w:val="14"/>
                <w:szCs w:val="14"/>
              </w:rPr>
            </w:pPr>
            <w:r w:rsidRPr="00231B86">
              <w:rPr>
                <w:rFonts w:ascii="Open Sans" w:hAnsi="Open Sans" w:cs="Open Sans"/>
                <w:sz w:val="20"/>
              </w:rPr>
              <w:t>Calculator used to estimate GHG emissions at a commodity or whole of enterprise level, impacts of management activities on emissions and carbon storage in trees</w:t>
            </w:r>
          </w:p>
        </w:tc>
      </w:tr>
      <w:tr w:rsidR="004D0B9D" w:rsidRPr="00F61F7A" w14:paraId="2C6AEDC2" w14:textId="77777777" w:rsidTr="004D0B9D">
        <w:trPr>
          <w:cantSplit/>
        </w:trPr>
        <w:tc>
          <w:tcPr>
            <w:cnfStyle w:val="001000000000" w:firstRow="0" w:lastRow="0" w:firstColumn="1" w:lastColumn="0" w:oddVBand="0" w:evenVBand="0" w:oddHBand="0" w:evenHBand="0" w:firstRowFirstColumn="0" w:firstRowLastColumn="0" w:lastRowFirstColumn="0" w:lastRowLastColumn="0"/>
            <w:tcW w:w="1843" w:type="dxa"/>
            <w:shd w:val="clear" w:color="auto" w:fill="EAF7F9"/>
            <w:vAlign w:val="center"/>
          </w:tcPr>
          <w:p w14:paraId="3047D157" w14:textId="3B6994D9" w:rsidR="004D0B9D" w:rsidRPr="00057B96" w:rsidRDefault="004D0B9D" w:rsidP="004D0B9D">
            <w:pPr>
              <w:rPr>
                <w:rFonts w:ascii="Open Sans" w:hAnsi="Open Sans" w:cs="Open Sans"/>
                <w:sz w:val="20"/>
              </w:rPr>
            </w:pPr>
            <w:hyperlink r:id="rId18" w:history="1">
              <w:r w:rsidRPr="00057B96">
                <w:rPr>
                  <w:rStyle w:val="Hyperlink"/>
                  <w:rFonts w:ascii="Open Sans" w:eastAsiaTheme="majorEastAsia" w:hAnsi="Open Sans" w:cs="Open Sans"/>
                  <w:sz w:val="20"/>
                </w:rPr>
                <w:t>Full Carbon Accounting Model (</w:t>
              </w:r>
              <w:proofErr w:type="spellStart"/>
              <w:r w:rsidRPr="00057B96">
                <w:rPr>
                  <w:rStyle w:val="Hyperlink"/>
                  <w:rFonts w:ascii="Open Sans" w:eastAsiaTheme="majorEastAsia" w:hAnsi="Open Sans" w:cs="Open Sans"/>
                  <w:sz w:val="20"/>
                </w:rPr>
                <w:t>FullCAM</w:t>
              </w:r>
              <w:proofErr w:type="spellEnd"/>
              <w:r w:rsidRPr="00057B96">
                <w:rPr>
                  <w:rStyle w:val="Hyperlink"/>
                  <w:rFonts w:ascii="Open Sans" w:eastAsiaTheme="majorEastAsia" w:hAnsi="Open Sans" w:cs="Open Sans"/>
                  <w:sz w:val="20"/>
                </w:rPr>
                <w:t>) (Australian Government)</w:t>
              </w:r>
            </w:hyperlink>
          </w:p>
        </w:tc>
        <w:tc>
          <w:tcPr>
            <w:tcW w:w="1559" w:type="dxa"/>
            <w:shd w:val="clear" w:color="auto" w:fill="EAF7F9"/>
            <w:vAlign w:val="center"/>
          </w:tcPr>
          <w:p w14:paraId="5C80225F"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Forestry</w:t>
            </w:r>
          </w:p>
          <w:p w14:paraId="3AB372AD"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Cropping</w:t>
            </w:r>
          </w:p>
          <w:p w14:paraId="11431A5C"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Grazing</w:t>
            </w:r>
          </w:p>
          <w:p w14:paraId="4E36C5F4" w14:textId="56570826" w:rsidR="004D0B9D" w:rsidRPr="00F61F7A" w:rsidRDefault="004D0B9D" w:rsidP="004D0B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Non-agricultural land use</w:t>
            </w:r>
          </w:p>
        </w:tc>
        <w:tc>
          <w:tcPr>
            <w:tcW w:w="1701" w:type="dxa"/>
            <w:shd w:val="clear" w:color="auto" w:fill="EAF7F9"/>
            <w:vAlign w:val="center"/>
          </w:tcPr>
          <w:p w14:paraId="63E073A4"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GHG emissions</w:t>
            </w:r>
          </w:p>
          <w:p w14:paraId="34C1529D"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ACCU Scheme</w:t>
            </w:r>
          </w:p>
          <w:p w14:paraId="26550932" w14:textId="778B2A6C" w:rsidR="004D0B9D" w:rsidRPr="00F61F7A" w:rsidRDefault="004D0B9D" w:rsidP="004D0B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Abatement estimates</w:t>
            </w:r>
          </w:p>
        </w:tc>
        <w:tc>
          <w:tcPr>
            <w:tcW w:w="2268" w:type="dxa"/>
            <w:shd w:val="clear" w:color="auto" w:fill="EAF7F9"/>
            <w:vAlign w:val="center"/>
          </w:tcPr>
          <w:p w14:paraId="30E765D3"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Property information</w:t>
            </w:r>
          </w:p>
          <w:p w14:paraId="383A1B68" w14:textId="17531BC3"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Cropping</w:t>
            </w:r>
          </w:p>
          <w:p w14:paraId="274E77B1" w14:textId="283A30C3" w:rsidR="004D0B9D" w:rsidRPr="00F61F7A" w:rsidRDefault="004D0B9D" w:rsidP="004D0B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Vegetation</w:t>
            </w:r>
          </w:p>
        </w:tc>
        <w:tc>
          <w:tcPr>
            <w:tcW w:w="2127" w:type="dxa"/>
            <w:shd w:val="clear" w:color="auto" w:fill="EAF7F9"/>
            <w:vAlign w:val="center"/>
          </w:tcPr>
          <w:p w14:paraId="5B6D635C"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Soil</w:t>
            </w:r>
          </w:p>
          <w:p w14:paraId="08528171" w14:textId="6A5CC74D" w:rsidR="004D0B9D" w:rsidRPr="00F61F7A" w:rsidRDefault="004D0B9D" w:rsidP="004D0B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Vegetation</w:t>
            </w:r>
          </w:p>
        </w:tc>
        <w:tc>
          <w:tcPr>
            <w:tcW w:w="2028" w:type="dxa"/>
            <w:shd w:val="clear" w:color="auto" w:fill="EAF7F9"/>
            <w:vAlign w:val="center"/>
          </w:tcPr>
          <w:p w14:paraId="4F23B731" w14:textId="0456CF69"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Online and downloadable</w:t>
            </w:r>
          </w:p>
          <w:p w14:paraId="2837C43E" w14:textId="115F9AFB"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Internet required</w:t>
            </w:r>
          </w:p>
          <w:p w14:paraId="7E705882" w14:textId="1BC94CA1"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Free</w:t>
            </w:r>
          </w:p>
          <w:p w14:paraId="603C921B" w14:textId="37007933" w:rsidR="004D0B9D" w:rsidRPr="00F61F7A" w:rsidRDefault="004D0B9D" w:rsidP="004D0B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No account required</w:t>
            </w:r>
          </w:p>
        </w:tc>
        <w:tc>
          <w:tcPr>
            <w:tcW w:w="3925" w:type="dxa"/>
            <w:shd w:val="clear" w:color="auto" w:fill="EAF7F9"/>
            <w:vAlign w:val="center"/>
          </w:tcPr>
          <w:p w14:paraId="2EECB985" w14:textId="77777777" w:rsidR="004D0B9D" w:rsidRPr="00F61F7A" w:rsidRDefault="004D0B9D" w:rsidP="004D0B9D">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sz w:val="14"/>
                <w:szCs w:val="14"/>
              </w:rPr>
            </w:pPr>
          </w:p>
          <w:p w14:paraId="0EBE0FA5" w14:textId="2354EA7C" w:rsidR="004D0B9D" w:rsidRPr="00F61F7A" w:rsidRDefault="00090A6A" w:rsidP="004D0B9D">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090A6A">
              <w:rPr>
                <w:rFonts w:ascii="Open Sans" w:hAnsi="Open Sans" w:cs="Open Sans"/>
                <w:sz w:val="20"/>
              </w:rPr>
              <w:t>Used to estimate GHG emissions, impacts of management activities on emissions and carbon storage in soil and vegetation. Also used to estimate abatement for some vegetation and soil carbon methods under the ACCU Scheme.</w:t>
            </w:r>
          </w:p>
        </w:tc>
      </w:tr>
      <w:tr w:rsidR="004D0B9D" w:rsidRPr="00F61F7A" w14:paraId="78B347EE" w14:textId="77777777" w:rsidTr="004D0B9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center"/>
          </w:tcPr>
          <w:p w14:paraId="1D2FE386" w14:textId="70B92C73" w:rsidR="004D0B9D" w:rsidRPr="00057B96" w:rsidRDefault="004D0B9D" w:rsidP="004D0B9D">
            <w:pPr>
              <w:rPr>
                <w:rFonts w:ascii="Open Sans" w:hAnsi="Open Sans" w:cs="Open Sans"/>
                <w:sz w:val="20"/>
              </w:rPr>
            </w:pPr>
            <w:hyperlink r:id="rId19" w:history="1">
              <w:r w:rsidRPr="00057B96">
                <w:rPr>
                  <w:rStyle w:val="Hyperlink"/>
                  <w:rFonts w:ascii="Open Sans" w:eastAsiaTheme="majorEastAsia" w:hAnsi="Open Sans" w:cs="Open Sans"/>
                  <w:sz w:val="20"/>
                </w:rPr>
                <w:t xml:space="preserve">Greenhouse Accounting Frameworks (GAF) for Australian Primary Industries Tools    </w:t>
              </w:r>
              <w:proofErr w:type="gramStart"/>
              <w:r w:rsidRPr="00057B96">
                <w:rPr>
                  <w:rStyle w:val="Hyperlink"/>
                  <w:rFonts w:ascii="Open Sans" w:eastAsiaTheme="majorEastAsia" w:hAnsi="Open Sans" w:cs="Open Sans"/>
                  <w:sz w:val="20"/>
                </w:rPr>
                <w:t xml:space="preserve">   (</w:t>
              </w:r>
              <w:proofErr w:type="gramEnd"/>
              <w:r w:rsidRPr="00057B96">
                <w:rPr>
                  <w:rStyle w:val="Hyperlink"/>
                  <w:rFonts w:ascii="Open Sans" w:eastAsiaTheme="majorEastAsia" w:hAnsi="Open Sans" w:cs="Open Sans"/>
                  <w:sz w:val="20"/>
                </w:rPr>
                <w:t>The University of Melbourne)</w:t>
              </w:r>
            </w:hyperlink>
          </w:p>
        </w:tc>
        <w:tc>
          <w:tcPr>
            <w:tcW w:w="1559" w:type="dxa"/>
            <w:shd w:val="clear" w:color="auto" w:fill="auto"/>
            <w:vAlign w:val="center"/>
          </w:tcPr>
          <w:p w14:paraId="00DA030D"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4"/>
                <w:szCs w:val="14"/>
              </w:rPr>
            </w:pPr>
          </w:p>
          <w:p w14:paraId="61BBFD51" w14:textId="217E2EE6"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Beef (feedlot)</w:t>
            </w:r>
          </w:p>
          <w:p w14:paraId="03F2098F"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Beef (grazing)</w:t>
            </w:r>
          </w:p>
          <w:p w14:paraId="77657376"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Buffalo</w:t>
            </w:r>
          </w:p>
          <w:p w14:paraId="0A0B5EC5"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Dairy</w:t>
            </w:r>
          </w:p>
          <w:p w14:paraId="713F6A6E" w14:textId="3C2F3441"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Deer</w:t>
            </w:r>
          </w:p>
          <w:p w14:paraId="28E2E703"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Goats</w:t>
            </w:r>
          </w:p>
          <w:p w14:paraId="23C52B0B"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Poultry</w:t>
            </w:r>
          </w:p>
          <w:p w14:paraId="5E110D60"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Pork</w:t>
            </w:r>
          </w:p>
          <w:p w14:paraId="4F3B078C"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Sheep</w:t>
            </w:r>
          </w:p>
          <w:p w14:paraId="269D6060" w14:textId="77777777" w:rsidR="004D0B9D" w:rsidRPr="00F61F7A" w:rsidRDefault="004D0B9D" w:rsidP="004D0B9D">
            <w:pPr>
              <w:spacing w:after="0"/>
              <w:ind w:right="-113"/>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Cotton</w:t>
            </w:r>
          </w:p>
          <w:p w14:paraId="7E870688" w14:textId="79F47A1A"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Cropping</w:t>
            </w:r>
          </w:p>
          <w:p w14:paraId="1D12906F"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Horticulture</w:t>
            </w:r>
          </w:p>
          <w:p w14:paraId="6C3BC412"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Rice</w:t>
            </w:r>
          </w:p>
          <w:p w14:paraId="5138606C" w14:textId="32FD2524" w:rsidR="004D0B9D" w:rsidRPr="00F61F7A" w:rsidRDefault="004D0B9D" w:rsidP="004D0B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Sugar</w:t>
            </w:r>
          </w:p>
        </w:tc>
        <w:tc>
          <w:tcPr>
            <w:tcW w:w="1701" w:type="dxa"/>
            <w:shd w:val="clear" w:color="auto" w:fill="auto"/>
            <w:vAlign w:val="center"/>
          </w:tcPr>
          <w:p w14:paraId="16242FD0"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GHG emissions</w:t>
            </w:r>
          </w:p>
          <w:p w14:paraId="7AD7F9C7" w14:textId="054AF244" w:rsidR="004D0B9D" w:rsidRPr="00F61F7A" w:rsidRDefault="004D0B9D" w:rsidP="004D0B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Abatement estimates</w:t>
            </w:r>
          </w:p>
        </w:tc>
        <w:tc>
          <w:tcPr>
            <w:tcW w:w="2268" w:type="dxa"/>
            <w:shd w:val="clear" w:color="auto" w:fill="auto"/>
            <w:vAlign w:val="center"/>
          </w:tcPr>
          <w:p w14:paraId="273CDAEB"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Property information</w:t>
            </w:r>
          </w:p>
          <w:p w14:paraId="64A73665"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Livestock</w:t>
            </w:r>
          </w:p>
          <w:p w14:paraId="7DDEB666"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Cropping</w:t>
            </w:r>
          </w:p>
          <w:p w14:paraId="640874F8"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Vegetation</w:t>
            </w:r>
          </w:p>
          <w:p w14:paraId="337C2922"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Waste management</w:t>
            </w:r>
          </w:p>
          <w:p w14:paraId="4A9652BC" w14:textId="6259093C"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Consumables usage</w:t>
            </w:r>
          </w:p>
        </w:tc>
        <w:tc>
          <w:tcPr>
            <w:tcW w:w="2127" w:type="dxa"/>
            <w:shd w:val="clear" w:color="auto" w:fill="auto"/>
            <w:vAlign w:val="center"/>
          </w:tcPr>
          <w:p w14:paraId="4682F8C7"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Soil</w:t>
            </w:r>
          </w:p>
          <w:p w14:paraId="298EBE84"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Livestock</w:t>
            </w:r>
          </w:p>
          <w:p w14:paraId="642F87B9" w14:textId="148D6DDE"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Vegetation</w:t>
            </w:r>
          </w:p>
          <w:p w14:paraId="0E769FC6" w14:textId="10BCAC0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Other – renewable energy and manure management</w:t>
            </w:r>
          </w:p>
          <w:p w14:paraId="03F0D17D" w14:textId="77DC210E" w:rsidR="004D0B9D" w:rsidRPr="00F61F7A" w:rsidRDefault="004D0B9D" w:rsidP="004D0B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Savanna fire management</w:t>
            </w:r>
          </w:p>
        </w:tc>
        <w:tc>
          <w:tcPr>
            <w:tcW w:w="2028" w:type="dxa"/>
            <w:shd w:val="clear" w:color="auto" w:fill="auto"/>
            <w:vAlign w:val="center"/>
          </w:tcPr>
          <w:p w14:paraId="52ED03C8" w14:textId="31203BDF"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Microsoft® Excel® spreadsheets</w:t>
            </w:r>
          </w:p>
          <w:p w14:paraId="69B6E67F"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Downloadable for offline use</w:t>
            </w:r>
          </w:p>
          <w:p w14:paraId="28B583FC" w14:textId="3CA59DBF"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Free</w:t>
            </w:r>
          </w:p>
          <w:p w14:paraId="48A15E0F" w14:textId="569518F6" w:rsidR="004D0B9D" w:rsidRPr="00F61F7A" w:rsidRDefault="004D0B9D" w:rsidP="004D0B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No account required</w:t>
            </w:r>
          </w:p>
        </w:tc>
        <w:tc>
          <w:tcPr>
            <w:tcW w:w="3925" w:type="dxa"/>
            <w:shd w:val="clear" w:color="auto" w:fill="auto"/>
            <w:vAlign w:val="center"/>
          </w:tcPr>
          <w:p w14:paraId="71A24162" w14:textId="0A63038B" w:rsidR="004D0B9D" w:rsidRPr="00F61F7A" w:rsidRDefault="004D0B9D" w:rsidP="004D0B9D">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Style w:val="normaltextrun"/>
                <w:rFonts w:ascii="Open Sans" w:hAnsi="Open Sans" w:cs="Open Sans"/>
                <w:color w:val="000000" w:themeColor="text1"/>
                <w:sz w:val="20"/>
                <w:szCs w:val="18"/>
              </w:rPr>
              <w:t>Individual sector-specific calculators used to estimate GHG emissions, impacts of management activities on emissions and carbon storage in trees.</w:t>
            </w:r>
          </w:p>
        </w:tc>
      </w:tr>
      <w:tr w:rsidR="004D0B9D" w:rsidRPr="00F61F7A" w14:paraId="26DA82FE" w14:textId="77777777" w:rsidTr="004D0B9D">
        <w:trPr>
          <w:cantSplit/>
        </w:trPr>
        <w:tc>
          <w:tcPr>
            <w:cnfStyle w:val="001000000000" w:firstRow="0" w:lastRow="0" w:firstColumn="1" w:lastColumn="0" w:oddVBand="0" w:evenVBand="0" w:oddHBand="0" w:evenHBand="0" w:firstRowFirstColumn="0" w:firstRowLastColumn="0" w:lastRowFirstColumn="0" w:lastRowLastColumn="0"/>
            <w:tcW w:w="1843" w:type="dxa"/>
            <w:shd w:val="clear" w:color="auto" w:fill="EAF7F9"/>
            <w:vAlign w:val="center"/>
          </w:tcPr>
          <w:p w14:paraId="4F4FFEB0" w14:textId="77777777" w:rsidR="004D0B9D" w:rsidRPr="00057B96" w:rsidRDefault="004D0B9D" w:rsidP="004D0B9D">
            <w:pPr>
              <w:spacing w:after="0"/>
              <w:rPr>
                <w:rFonts w:ascii="Open Sans" w:hAnsi="Open Sans" w:cs="Open Sans"/>
                <w:b w:val="0"/>
                <w:bCs w:val="0"/>
                <w:sz w:val="20"/>
              </w:rPr>
            </w:pPr>
          </w:p>
          <w:p w14:paraId="10DB7511" w14:textId="2A81C42F" w:rsidR="004D0B9D" w:rsidRPr="00057B96" w:rsidRDefault="004D0B9D" w:rsidP="004D0B9D">
            <w:pPr>
              <w:rPr>
                <w:rFonts w:ascii="Open Sans" w:hAnsi="Open Sans" w:cs="Open Sans"/>
                <w:sz w:val="20"/>
              </w:rPr>
            </w:pPr>
            <w:hyperlink r:id="rId20" w:history="1">
              <w:r w:rsidRPr="00057B96">
                <w:rPr>
                  <w:rStyle w:val="Hyperlink"/>
                  <w:rFonts w:ascii="Open Sans" w:eastAsiaTheme="majorEastAsia" w:hAnsi="Open Sans" w:cs="Open Sans"/>
                  <w:sz w:val="20"/>
                </w:rPr>
                <w:t>Landscape Options and Opportunities for Carbon abatement Calculator (LOOC-C) (CSIRO)</w:t>
              </w:r>
            </w:hyperlink>
          </w:p>
        </w:tc>
        <w:tc>
          <w:tcPr>
            <w:tcW w:w="1559" w:type="dxa"/>
            <w:shd w:val="clear" w:color="auto" w:fill="EAF7F9"/>
            <w:vAlign w:val="center"/>
          </w:tcPr>
          <w:p w14:paraId="4E26CD8A" w14:textId="4B7DE02B" w:rsidR="004D0B9D" w:rsidRPr="00F61F7A" w:rsidRDefault="004D0B9D" w:rsidP="004D0B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Agricultural or non-agricultural land use</w:t>
            </w:r>
          </w:p>
        </w:tc>
        <w:tc>
          <w:tcPr>
            <w:tcW w:w="1701" w:type="dxa"/>
            <w:shd w:val="clear" w:color="auto" w:fill="EAF7F9"/>
            <w:vAlign w:val="center"/>
          </w:tcPr>
          <w:p w14:paraId="41A80219" w14:textId="370DAF5B" w:rsidR="004D0B9D" w:rsidRPr="00F61F7A" w:rsidRDefault="004D0B9D" w:rsidP="004D0B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Abatement estimates</w:t>
            </w:r>
          </w:p>
        </w:tc>
        <w:tc>
          <w:tcPr>
            <w:tcW w:w="2268" w:type="dxa"/>
            <w:shd w:val="clear" w:color="auto" w:fill="EAF7F9"/>
            <w:vAlign w:val="center"/>
          </w:tcPr>
          <w:p w14:paraId="230D18D1"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Property information</w:t>
            </w:r>
          </w:p>
          <w:p w14:paraId="487DCCD6"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Cropping</w:t>
            </w:r>
          </w:p>
          <w:p w14:paraId="1D280F73"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Vegetation</w:t>
            </w:r>
          </w:p>
          <w:p w14:paraId="65654030" w14:textId="24E58339" w:rsidR="004D0B9D" w:rsidRPr="00F61F7A" w:rsidRDefault="004D0B9D" w:rsidP="004D0B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Consumables usage</w:t>
            </w:r>
          </w:p>
        </w:tc>
        <w:tc>
          <w:tcPr>
            <w:tcW w:w="2127" w:type="dxa"/>
            <w:shd w:val="clear" w:color="auto" w:fill="EAF7F9"/>
            <w:vAlign w:val="center"/>
          </w:tcPr>
          <w:p w14:paraId="13E7F062"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Soil</w:t>
            </w:r>
          </w:p>
          <w:p w14:paraId="43FDAECD" w14:textId="38A18A05"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Livestock</w:t>
            </w:r>
          </w:p>
          <w:p w14:paraId="785C59BC" w14:textId="7627C815" w:rsidR="004D0B9D" w:rsidRPr="00F61F7A" w:rsidRDefault="004D0B9D" w:rsidP="004D0B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Vegetation</w:t>
            </w:r>
          </w:p>
        </w:tc>
        <w:tc>
          <w:tcPr>
            <w:tcW w:w="2028" w:type="dxa"/>
            <w:shd w:val="clear" w:color="auto" w:fill="EAF7F9"/>
            <w:vAlign w:val="center"/>
          </w:tcPr>
          <w:p w14:paraId="6F33D71F" w14:textId="2838AF4B"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Online only</w:t>
            </w:r>
          </w:p>
          <w:p w14:paraId="32D0A617"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Internet required</w:t>
            </w:r>
          </w:p>
          <w:p w14:paraId="09809481" w14:textId="21A9A30B"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Free</w:t>
            </w:r>
          </w:p>
          <w:p w14:paraId="09EB7B82" w14:textId="24CDCBAB" w:rsidR="004D0B9D" w:rsidRPr="00F61F7A" w:rsidRDefault="004D0B9D" w:rsidP="004D0B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No account required</w:t>
            </w:r>
          </w:p>
        </w:tc>
        <w:tc>
          <w:tcPr>
            <w:tcW w:w="3925" w:type="dxa"/>
            <w:shd w:val="clear" w:color="auto" w:fill="EAF7F9"/>
            <w:vAlign w:val="center"/>
          </w:tcPr>
          <w:p w14:paraId="29EDE798" w14:textId="04CC9FEF" w:rsidR="004D0B9D" w:rsidRPr="00F61F7A" w:rsidRDefault="00090A6A" w:rsidP="004D0B9D">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090A6A">
              <w:rPr>
                <w:rFonts w:ascii="Open Sans" w:hAnsi="Open Sans" w:cs="Open Sans"/>
                <w:sz w:val="20"/>
              </w:rPr>
              <w:t xml:space="preserve">Used to produce indicative estimates of potential abatement under some ACCU Scheme methods, for a specified land area and </w:t>
            </w:r>
            <w:proofErr w:type="gramStart"/>
            <w:r w:rsidRPr="00090A6A">
              <w:rPr>
                <w:rFonts w:ascii="Open Sans" w:hAnsi="Open Sans" w:cs="Open Sans"/>
                <w:sz w:val="20"/>
              </w:rPr>
              <w:t>time period</w:t>
            </w:r>
            <w:proofErr w:type="gramEnd"/>
            <w:r w:rsidRPr="00090A6A">
              <w:rPr>
                <w:rFonts w:ascii="Open Sans" w:hAnsi="Open Sans" w:cs="Open Sans"/>
                <w:sz w:val="20"/>
              </w:rPr>
              <w:t>.</w:t>
            </w:r>
          </w:p>
        </w:tc>
      </w:tr>
      <w:tr w:rsidR="004D0B9D" w:rsidRPr="00F61F7A" w14:paraId="1AF9C721" w14:textId="77777777" w:rsidTr="004D0B9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center"/>
          </w:tcPr>
          <w:p w14:paraId="4187DB59" w14:textId="21814462" w:rsidR="004D0B9D" w:rsidRPr="00057B96" w:rsidRDefault="004D0B9D" w:rsidP="004D0B9D">
            <w:pPr>
              <w:rPr>
                <w:rFonts w:ascii="Open Sans" w:hAnsi="Open Sans" w:cs="Open Sans"/>
                <w:sz w:val="20"/>
              </w:rPr>
            </w:pPr>
            <w:hyperlink r:id="rId21" w:history="1">
              <w:r w:rsidRPr="00057B96">
                <w:rPr>
                  <w:rStyle w:val="Hyperlink"/>
                  <w:rFonts w:ascii="Open Sans" w:eastAsiaTheme="majorEastAsia" w:hAnsi="Open Sans" w:cs="Open Sans"/>
                  <w:sz w:val="20"/>
                </w:rPr>
                <w:t>MLA Carbon Calculator (Meat and Livestock Australia)</w:t>
              </w:r>
            </w:hyperlink>
            <w:r w:rsidRPr="00057B96">
              <w:rPr>
                <w:rStyle w:val="Hyperlink"/>
                <w:rFonts w:ascii="Open Sans" w:eastAsiaTheme="majorEastAsia" w:hAnsi="Open Sans" w:cs="Open Sans"/>
                <w:sz w:val="20"/>
              </w:rPr>
              <w:t xml:space="preserve"> </w:t>
            </w:r>
          </w:p>
        </w:tc>
        <w:tc>
          <w:tcPr>
            <w:tcW w:w="1559" w:type="dxa"/>
            <w:shd w:val="clear" w:color="auto" w:fill="auto"/>
            <w:vAlign w:val="center"/>
          </w:tcPr>
          <w:p w14:paraId="77291E44"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Beef (feedlot)</w:t>
            </w:r>
          </w:p>
          <w:p w14:paraId="7F7B1F85"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Beef (grazing)</w:t>
            </w:r>
          </w:p>
          <w:p w14:paraId="3175253B"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Goats</w:t>
            </w:r>
          </w:p>
          <w:p w14:paraId="76222245"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Sheep</w:t>
            </w:r>
          </w:p>
          <w:p w14:paraId="13F6B8F4" w14:textId="1689A91B" w:rsidR="004D0B9D" w:rsidRPr="00F61F7A" w:rsidRDefault="004D0B9D" w:rsidP="004D0B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Cropping</w:t>
            </w:r>
          </w:p>
        </w:tc>
        <w:tc>
          <w:tcPr>
            <w:tcW w:w="1701" w:type="dxa"/>
            <w:shd w:val="clear" w:color="auto" w:fill="auto"/>
            <w:vAlign w:val="center"/>
          </w:tcPr>
          <w:p w14:paraId="3A2923FC"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GHG emissions</w:t>
            </w:r>
          </w:p>
          <w:p w14:paraId="7B223763" w14:textId="575656B5" w:rsidR="004D0B9D" w:rsidRPr="00F61F7A" w:rsidRDefault="004D0B9D" w:rsidP="004D0B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Abatement estimates</w:t>
            </w:r>
          </w:p>
        </w:tc>
        <w:tc>
          <w:tcPr>
            <w:tcW w:w="2268" w:type="dxa"/>
            <w:shd w:val="clear" w:color="auto" w:fill="auto"/>
            <w:vAlign w:val="center"/>
          </w:tcPr>
          <w:p w14:paraId="264947A1"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Property information</w:t>
            </w:r>
          </w:p>
          <w:p w14:paraId="644DB837"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Livestock</w:t>
            </w:r>
          </w:p>
          <w:p w14:paraId="14A0EFD3"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Cropping</w:t>
            </w:r>
          </w:p>
          <w:p w14:paraId="7D1D1CF5"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Vegetation</w:t>
            </w:r>
          </w:p>
          <w:p w14:paraId="6AB3CD7E" w14:textId="60ECE2C1"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Consumables usage</w:t>
            </w:r>
          </w:p>
        </w:tc>
        <w:tc>
          <w:tcPr>
            <w:tcW w:w="2127" w:type="dxa"/>
            <w:shd w:val="clear" w:color="auto" w:fill="auto"/>
            <w:vAlign w:val="center"/>
          </w:tcPr>
          <w:p w14:paraId="7AC3FAC6"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Soil</w:t>
            </w:r>
          </w:p>
          <w:p w14:paraId="4B787703"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Livestock</w:t>
            </w:r>
          </w:p>
          <w:p w14:paraId="677A9C4F"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Vegetation</w:t>
            </w:r>
          </w:p>
          <w:p w14:paraId="65CB63F4"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Other – renewable energy</w:t>
            </w:r>
          </w:p>
          <w:p w14:paraId="0EDF56C8" w14:textId="46C67F00"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Savanna fire management</w:t>
            </w:r>
          </w:p>
        </w:tc>
        <w:tc>
          <w:tcPr>
            <w:tcW w:w="2028" w:type="dxa"/>
            <w:shd w:val="clear" w:color="auto" w:fill="auto"/>
            <w:vAlign w:val="center"/>
          </w:tcPr>
          <w:p w14:paraId="48030A67" w14:textId="03E0ABD3"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Online only</w:t>
            </w:r>
          </w:p>
          <w:p w14:paraId="37B2DE5F"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Internet required</w:t>
            </w:r>
          </w:p>
          <w:p w14:paraId="6409AAE4" w14:textId="5D2C746C"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lang w:eastAsia="en-AU"/>
              </w:rPr>
            </w:pPr>
            <w:r w:rsidRPr="00F61F7A">
              <w:rPr>
                <w:rFonts w:ascii="Open Sans" w:hAnsi="Open Sans" w:cs="Open Sans"/>
                <w:color w:val="000000"/>
                <w:sz w:val="20"/>
                <w:lang w:eastAsia="en-AU"/>
              </w:rPr>
              <w:t>Free</w:t>
            </w:r>
          </w:p>
          <w:p w14:paraId="291101BC" w14:textId="61EDD880"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color w:val="000000"/>
                <w:sz w:val="20"/>
                <w:lang w:eastAsia="en-AU"/>
              </w:rPr>
              <w:t>Account optional</w:t>
            </w:r>
          </w:p>
        </w:tc>
        <w:tc>
          <w:tcPr>
            <w:tcW w:w="3925" w:type="dxa"/>
            <w:shd w:val="clear" w:color="auto" w:fill="auto"/>
            <w:vAlign w:val="center"/>
          </w:tcPr>
          <w:p w14:paraId="2C206FD7" w14:textId="77777777" w:rsidR="004D0B9D" w:rsidRPr="00F61F7A" w:rsidRDefault="004D0B9D" w:rsidP="004D0B9D">
            <w:pPr>
              <w:spacing w:after="0"/>
              <w:cnfStyle w:val="000000100000" w:firstRow="0" w:lastRow="0" w:firstColumn="0" w:lastColumn="0" w:oddVBand="0" w:evenVBand="0" w:oddHBand="1" w:evenHBand="0" w:firstRowFirstColumn="0" w:firstRowLastColumn="0" w:lastRowFirstColumn="0" w:lastRowLastColumn="0"/>
              <w:rPr>
                <w:rFonts w:ascii="Open Sans" w:hAnsi="Open Sans" w:cs="Open Sans"/>
                <w:sz w:val="14"/>
                <w:szCs w:val="14"/>
              </w:rPr>
            </w:pPr>
          </w:p>
          <w:p w14:paraId="0C7C634A" w14:textId="4FD215CD" w:rsidR="004D0B9D" w:rsidRPr="00F61F7A" w:rsidRDefault="004D0B9D" w:rsidP="004D0B9D">
            <w:pPr>
              <w:cnfStyle w:val="000000100000" w:firstRow="0" w:lastRow="0" w:firstColumn="0" w:lastColumn="0" w:oddVBand="0" w:evenVBand="0" w:oddHBand="1" w:evenHBand="0" w:firstRowFirstColumn="0" w:firstRowLastColumn="0" w:lastRowFirstColumn="0" w:lastRowLastColumn="0"/>
              <w:rPr>
                <w:rStyle w:val="normaltextrun"/>
                <w:rFonts w:ascii="Open Sans" w:hAnsi="Open Sans" w:cs="Open Sans"/>
                <w:color w:val="000000"/>
                <w:sz w:val="20"/>
                <w:shd w:val="clear" w:color="auto" w:fill="FFFFFF"/>
              </w:rPr>
            </w:pPr>
            <w:r w:rsidRPr="00F61F7A">
              <w:rPr>
                <w:rFonts w:ascii="Open Sans" w:hAnsi="Open Sans" w:cs="Open Sans"/>
                <w:sz w:val="20"/>
              </w:rPr>
              <w:t xml:space="preserve">Used to estimate GHG emissions, </w:t>
            </w:r>
            <w:r w:rsidRPr="00F61F7A">
              <w:rPr>
                <w:rStyle w:val="normaltextrun"/>
                <w:rFonts w:ascii="Open Sans" w:hAnsi="Open Sans" w:cs="Open Sans"/>
                <w:color w:val="000000" w:themeColor="text1"/>
                <w:sz w:val="20"/>
              </w:rPr>
              <w:t>impacts of management activities on emissions and carbon storage in trees</w:t>
            </w:r>
            <w:r w:rsidRPr="00F61F7A">
              <w:rPr>
                <w:rFonts w:ascii="Open Sans" w:hAnsi="Open Sans" w:cs="Open Sans"/>
                <w:sz w:val="20"/>
              </w:rPr>
              <w:t xml:space="preserve"> and explore different farm management actions. Built on </w:t>
            </w:r>
            <w:hyperlink r:id="rId22" w:history="1">
              <w:r w:rsidRPr="00F61F7A">
                <w:rPr>
                  <w:rStyle w:val="Hyperlink"/>
                  <w:rFonts w:ascii="Open Sans" w:hAnsi="Open Sans" w:cs="Open Sans"/>
                  <w:sz w:val="20"/>
                </w:rPr>
                <w:t>S</w:t>
              </w:r>
              <w:r w:rsidRPr="00F61F7A">
                <w:rPr>
                  <w:rStyle w:val="Hyperlink"/>
                  <w:rFonts w:ascii="Open Sans" w:eastAsiaTheme="majorEastAsia" w:hAnsi="Open Sans" w:cs="Open Sans"/>
                  <w:sz w:val="20"/>
                </w:rPr>
                <w:t xml:space="preserve">heep </w:t>
              </w:r>
              <w:r>
                <w:rPr>
                  <w:rStyle w:val="Hyperlink"/>
                  <w:rFonts w:ascii="Open Sans" w:eastAsiaTheme="majorEastAsia" w:hAnsi="Open Sans" w:cs="Open Sans"/>
                  <w:sz w:val="20"/>
                </w:rPr>
                <w:t>and</w:t>
              </w:r>
              <w:r w:rsidRPr="00F61F7A">
                <w:rPr>
                  <w:rStyle w:val="Hyperlink"/>
                  <w:rFonts w:ascii="Open Sans" w:eastAsiaTheme="majorEastAsia" w:hAnsi="Open Sans" w:cs="Open Sans"/>
                  <w:sz w:val="20"/>
                </w:rPr>
                <w:t xml:space="preserve"> Beef </w:t>
              </w:r>
              <w:r>
                <w:rPr>
                  <w:rStyle w:val="Hyperlink"/>
                  <w:rFonts w:ascii="Open Sans" w:eastAsiaTheme="majorEastAsia" w:hAnsi="Open Sans" w:cs="Open Sans"/>
                  <w:sz w:val="20"/>
                </w:rPr>
                <w:t>Greenhouse</w:t>
              </w:r>
              <w:r w:rsidRPr="00F61F7A">
                <w:rPr>
                  <w:rStyle w:val="Hyperlink"/>
                  <w:rFonts w:ascii="Open Sans" w:eastAsiaTheme="majorEastAsia" w:hAnsi="Open Sans" w:cs="Open Sans"/>
                  <w:sz w:val="20"/>
                </w:rPr>
                <w:t xml:space="preserve"> Accounting Framework (SB-GAF)</w:t>
              </w:r>
            </w:hyperlink>
            <w:r w:rsidRPr="00F61F7A">
              <w:rPr>
                <w:rFonts w:ascii="Open Sans" w:hAnsi="Open Sans" w:cs="Open Sans"/>
                <w:sz w:val="20"/>
              </w:rPr>
              <w:t xml:space="preserve"> and </w:t>
            </w:r>
            <w:hyperlink r:id="rId23" w:history="1">
              <w:r w:rsidRPr="003167BF">
                <w:rPr>
                  <w:rStyle w:val="Hyperlink"/>
                </w:rPr>
                <w:t>Grains</w:t>
              </w:r>
              <w:r>
                <w:rPr>
                  <w:rStyle w:val="Hyperlink"/>
                </w:rPr>
                <w:t xml:space="preserve"> </w:t>
              </w:r>
              <w:r w:rsidRPr="003167BF">
                <w:rPr>
                  <w:rStyle w:val="Hyperlink"/>
                  <w:rFonts w:ascii="Open Sans" w:hAnsi="Open Sans" w:cs="Open Sans"/>
                  <w:sz w:val="20"/>
                </w:rPr>
                <w:t>Accounting F</w:t>
              </w:r>
              <w:r w:rsidRPr="003167BF">
                <w:rPr>
                  <w:rStyle w:val="Hyperlink"/>
                  <w:rFonts w:ascii="Open Sans" w:eastAsiaTheme="majorEastAsia" w:hAnsi="Open Sans" w:cs="Open Sans"/>
                  <w:sz w:val="20"/>
                </w:rPr>
                <w:t>ramework (G-GAF)</w:t>
              </w:r>
            </w:hyperlink>
            <w:r w:rsidRPr="003167BF">
              <w:rPr>
                <w:rFonts w:ascii="Open Sans" w:hAnsi="Open Sans" w:cs="Open Sans"/>
                <w:sz w:val="20"/>
              </w:rPr>
              <w:t>.</w:t>
            </w:r>
            <w:r w:rsidRPr="003167BF">
              <w:rPr>
                <w:rFonts w:ascii="Open Sans" w:hAnsi="Open Sans" w:cs="Open Sans"/>
              </w:rPr>
              <w:t xml:space="preserve"> </w:t>
            </w:r>
            <w:r w:rsidRPr="00F61F7A">
              <w:rPr>
                <w:rFonts w:ascii="Open Sans" w:hAnsi="Open Sans" w:cs="Open Sans"/>
                <w:sz w:val="20"/>
              </w:rPr>
              <w:t xml:space="preserve">Emissions estimates include consumables usage and feedlots which are not included in the MLA Quick Start calculator (explained below). </w:t>
            </w:r>
          </w:p>
        </w:tc>
      </w:tr>
      <w:tr w:rsidR="004D0B9D" w:rsidRPr="00F61F7A" w14:paraId="1EFF09FD" w14:textId="77777777" w:rsidTr="004D0B9D">
        <w:trPr>
          <w:cantSplit/>
        </w:trPr>
        <w:tc>
          <w:tcPr>
            <w:cnfStyle w:val="001000000000" w:firstRow="0" w:lastRow="0" w:firstColumn="1" w:lastColumn="0" w:oddVBand="0" w:evenVBand="0" w:oddHBand="0" w:evenHBand="0" w:firstRowFirstColumn="0" w:firstRowLastColumn="0" w:lastRowFirstColumn="0" w:lastRowLastColumn="0"/>
            <w:tcW w:w="1843" w:type="dxa"/>
            <w:shd w:val="clear" w:color="auto" w:fill="EAF7F9"/>
            <w:vAlign w:val="center"/>
          </w:tcPr>
          <w:p w14:paraId="709A5DD6" w14:textId="77777777" w:rsidR="004D0B9D" w:rsidRPr="00057B96" w:rsidRDefault="004D0B9D" w:rsidP="004D0B9D">
            <w:pPr>
              <w:spacing w:after="0"/>
              <w:rPr>
                <w:rFonts w:ascii="Open Sans" w:hAnsi="Open Sans" w:cs="Open Sans"/>
                <w:b w:val="0"/>
                <w:bCs w:val="0"/>
                <w:sz w:val="20"/>
              </w:rPr>
            </w:pPr>
          </w:p>
          <w:p w14:paraId="01494659" w14:textId="2473268B" w:rsidR="004D0B9D" w:rsidRPr="00057B96" w:rsidRDefault="004D0B9D" w:rsidP="004D0B9D">
            <w:pPr>
              <w:spacing w:after="0"/>
              <w:rPr>
                <w:rStyle w:val="Hyperlink"/>
                <w:rFonts w:ascii="Open Sans" w:eastAsiaTheme="majorEastAsia" w:hAnsi="Open Sans" w:cs="Open Sans"/>
                <w:b w:val="0"/>
                <w:bCs w:val="0"/>
                <w:sz w:val="20"/>
              </w:rPr>
            </w:pPr>
            <w:r w:rsidRPr="00057B96">
              <w:rPr>
                <w:rFonts w:ascii="Open Sans" w:hAnsi="Open Sans" w:cs="Open Sans"/>
                <w:sz w:val="20"/>
              </w:rPr>
              <w:fldChar w:fldCharType="begin"/>
            </w:r>
            <w:r w:rsidRPr="00057B96">
              <w:rPr>
                <w:rFonts w:ascii="Open Sans" w:hAnsi="Open Sans" w:cs="Open Sans"/>
                <w:sz w:val="20"/>
              </w:rPr>
              <w:instrText>HYPERLINK "https://elearning.mla.com.au/lessons/quick-balance-carbon-calculator/"</w:instrText>
            </w:r>
            <w:r w:rsidRPr="00057B96">
              <w:rPr>
                <w:rFonts w:ascii="Open Sans" w:hAnsi="Open Sans" w:cs="Open Sans"/>
                <w:sz w:val="20"/>
              </w:rPr>
            </w:r>
            <w:r w:rsidRPr="00057B96">
              <w:rPr>
                <w:rFonts w:ascii="Open Sans" w:hAnsi="Open Sans" w:cs="Open Sans"/>
                <w:sz w:val="20"/>
              </w:rPr>
              <w:fldChar w:fldCharType="separate"/>
            </w:r>
            <w:r w:rsidRPr="00057B96">
              <w:rPr>
                <w:rStyle w:val="Hyperlink"/>
                <w:rFonts w:ascii="Open Sans" w:eastAsiaTheme="majorEastAsia" w:hAnsi="Open Sans" w:cs="Open Sans"/>
                <w:sz w:val="20"/>
              </w:rPr>
              <w:t xml:space="preserve">MLA Quick Start Carbon Calculator </w:t>
            </w:r>
          </w:p>
          <w:p w14:paraId="61FCA387" w14:textId="731C78B4" w:rsidR="004D0B9D" w:rsidRPr="00057B96" w:rsidRDefault="004D0B9D" w:rsidP="004D0B9D">
            <w:pPr>
              <w:rPr>
                <w:rFonts w:ascii="Open Sans" w:hAnsi="Open Sans" w:cs="Open Sans"/>
                <w:sz w:val="20"/>
              </w:rPr>
            </w:pPr>
            <w:r w:rsidRPr="00057B96">
              <w:rPr>
                <w:rStyle w:val="Hyperlink"/>
                <w:rFonts w:ascii="Open Sans" w:eastAsiaTheme="majorEastAsia" w:hAnsi="Open Sans" w:cs="Open Sans"/>
                <w:sz w:val="20"/>
              </w:rPr>
              <w:t>(Meat and Livestock Australia)</w:t>
            </w:r>
            <w:r w:rsidRPr="00057B96">
              <w:rPr>
                <w:rFonts w:ascii="Open Sans" w:hAnsi="Open Sans" w:cs="Open Sans"/>
                <w:sz w:val="20"/>
              </w:rPr>
              <w:fldChar w:fldCharType="end"/>
            </w:r>
          </w:p>
        </w:tc>
        <w:tc>
          <w:tcPr>
            <w:tcW w:w="1559" w:type="dxa"/>
            <w:shd w:val="clear" w:color="auto" w:fill="EAF7F9"/>
            <w:vAlign w:val="center"/>
          </w:tcPr>
          <w:p w14:paraId="264F9052" w14:textId="47CB4EF2"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Beef</w:t>
            </w:r>
          </w:p>
          <w:p w14:paraId="556073A1"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Sheep</w:t>
            </w:r>
          </w:p>
          <w:p w14:paraId="341A5F84" w14:textId="7040B928" w:rsidR="004D0B9D" w:rsidRPr="00F61F7A" w:rsidRDefault="004D0B9D" w:rsidP="004D0B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Cropping</w:t>
            </w:r>
          </w:p>
        </w:tc>
        <w:tc>
          <w:tcPr>
            <w:tcW w:w="1701" w:type="dxa"/>
            <w:shd w:val="clear" w:color="auto" w:fill="EAF7F9"/>
            <w:vAlign w:val="center"/>
          </w:tcPr>
          <w:p w14:paraId="7E0C3348"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GHG emissions</w:t>
            </w:r>
          </w:p>
          <w:p w14:paraId="72CF0CE3" w14:textId="351845D2" w:rsidR="004D0B9D" w:rsidRPr="00F61F7A" w:rsidRDefault="004D0B9D" w:rsidP="004D0B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Abatement estimates</w:t>
            </w:r>
          </w:p>
        </w:tc>
        <w:tc>
          <w:tcPr>
            <w:tcW w:w="2268" w:type="dxa"/>
            <w:shd w:val="clear" w:color="auto" w:fill="EAF7F9"/>
            <w:vAlign w:val="center"/>
          </w:tcPr>
          <w:p w14:paraId="7F3B5C15"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Property information</w:t>
            </w:r>
          </w:p>
          <w:p w14:paraId="234886D2"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Livestock</w:t>
            </w:r>
          </w:p>
          <w:p w14:paraId="3068DD10"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Cropping</w:t>
            </w:r>
          </w:p>
          <w:p w14:paraId="0C2E5AAD" w14:textId="41F5802F"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Vegetation</w:t>
            </w:r>
          </w:p>
        </w:tc>
        <w:tc>
          <w:tcPr>
            <w:tcW w:w="2127" w:type="dxa"/>
            <w:shd w:val="clear" w:color="auto" w:fill="EAF7F9"/>
            <w:vAlign w:val="center"/>
          </w:tcPr>
          <w:p w14:paraId="02436EF5"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Soil</w:t>
            </w:r>
          </w:p>
          <w:p w14:paraId="70046559"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Livestock</w:t>
            </w:r>
          </w:p>
          <w:p w14:paraId="69595C36" w14:textId="73B0F7F3"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Vegetation</w:t>
            </w:r>
          </w:p>
        </w:tc>
        <w:tc>
          <w:tcPr>
            <w:tcW w:w="2028" w:type="dxa"/>
            <w:shd w:val="clear" w:color="auto" w:fill="EAF7F9"/>
            <w:vAlign w:val="center"/>
          </w:tcPr>
          <w:p w14:paraId="67251658"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Online only</w:t>
            </w:r>
          </w:p>
          <w:p w14:paraId="14D70B8F"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Internet required</w:t>
            </w:r>
          </w:p>
          <w:p w14:paraId="18E31B68"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lang w:eastAsia="en-AU"/>
              </w:rPr>
            </w:pPr>
            <w:r w:rsidRPr="00F61F7A">
              <w:rPr>
                <w:rFonts w:ascii="Open Sans" w:hAnsi="Open Sans" w:cs="Open Sans"/>
                <w:color w:val="000000"/>
                <w:sz w:val="20"/>
                <w:lang w:eastAsia="en-AU"/>
              </w:rPr>
              <w:t>Free</w:t>
            </w:r>
          </w:p>
          <w:p w14:paraId="24337AC1" w14:textId="5B9F2FEF"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color w:val="000000"/>
                <w:sz w:val="20"/>
                <w:lang w:eastAsia="en-AU"/>
              </w:rPr>
              <w:t>Account optional</w:t>
            </w:r>
          </w:p>
        </w:tc>
        <w:tc>
          <w:tcPr>
            <w:tcW w:w="3925" w:type="dxa"/>
            <w:shd w:val="clear" w:color="auto" w:fill="EAF7F9"/>
            <w:vAlign w:val="center"/>
          </w:tcPr>
          <w:p w14:paraId="65F9109B" w14:textId="271F1D00" w:rsidR="004D0B9D" w:rsidRPr="00C21737" w:rsidRDefault="004D0B9D" w:rsidP="004D0B9D">
            <w:pPr>
              <w:cnfStyle w:val="000000000000" w:firstRow="0" w:lastRow="0" w:firstColumn="0" w:lastColumn="0" w:oddVBand="0" w:evenVBand="0" w:oddHBand="0" w:evenHBand="0" w:firstRowFirstColumn="0" w:firstRowLastColumn="0" w:lastRowFirstColumn="0" w:lastRowLastColumn="0"/>
              <w:rPr>
                <w:rStyle w:val="normaltextrun"/>
                <w:rFonts w:ascii="Open Sans" w:hAnsi="Open Sans" w:cs="Open Sans"/>
                <w:color w:val="000000"/>
                <w:sz w:val="20"/>
                <w:shd w:val="clear" w:color="auto" w:fill="FFFFFF"/>
              </w:rPr>
            </w:pPr>
            <w:r w:rsidRPr="00C21737">
              <w:rPr>
                <w:rFonts w:ascii="Open Sans" w:hAnsi="Open Sans" w:cs="Open Sans"/>
                <w:sz w:val="20"/>
              </w:rPr>
              <w:t>Used to estimate</w:t>
            </w:r>
            <w:r w:rsidRPr="00C21737" w:rsidDel="00572240">
              <w:rPr>
                <w:rFonts w:ascii="Open Sans" w:hAnsi="Open Sans" w:cs="Open Sans"/>
                <w:sz w:val="20"/>
              </w:rPr>
              <w:t xml:space="preserve"> </w:t>
            </w:r>
            <w:r w:rsidRPr="00C21737">
              <w:rPr>
                <w:rFonts w:ascii="Open Sans" w:hAnsi="Open Sans" w:cs="Open Sans"/>
                <w:sz w:val="20"/>
              </w:rPr>
              <w:t>GHG emissions,</w:t>
            </w:r>
            <w:r w:rsidRPr="00C21737">
              <w:rPr>
                <w:rStyle w:val="normaltextrun"/>
                <w:rFonts w:ascii="Open Sans" w:hAnsi="Open Sans" w:cs="Open Sans"/>
                <w:color w:val="000000" w:themeColor="text1"/>
                <w:sz w:val="20"/>
              </w:rPr>
              <w:t xml:space="preserve"> </w:t>
            </w:r>
            <w:r w:rsidR="00090A6A">
              <w:rPr>
                <w:rStyle w:val="normaltextrun"/>
                <w:rFonts w:ascii="Open Sans" w:hAnsi="Open Sans" w:cs="Open Sans"/>
                <w:color w:val="000000" w:themeColor="text1"/>
                <w:sz w:val="20"/>
              </w:rPr>
              <w:t>impacts of management activities on emissions</w:t>
            </w:r>
            <w:r w:rsidRPr="00C21737">
              <w:rPr>
                <w:rFonts w:ascii="Open Sans" w:hAnsi="Open Sans" w:cs="Open Sans"/>
                <w:sz w:val="20"/>
              </w:rPr>
              <w:t xml:space="preserve"> and </w:t>
            </w:r>
            <w:r w:rsidRPr="00C21737">
              <w:rPr>
                <w:rStyle w:val="normaltextrun"/>
                <w:rFonts w:ascii="Open Sans" w:hAnsi="Open Sans" w:cs="Open Sans"/>
                <w:color w:val="000000" w:themeColor="text1"/>
                <w:sz w:val="20"/>
              </w:rPr>
              <w:t>carbon storage in trees</w:t>
            </w:r>
            <w:r w:rsidRPr="00C21737">
              <w:rPr>
                <w:rFonts w:ascii="Open Sans" w:hAnsi="Open Sans" w:cs="Open Sans"/>
                <w:sz w:val="20"/>
              </w:rPr>
              <w:t>.</w:t>
            </w:r>
          </w:p>
        </w:tc>
      </w:tr>
      <w:tr w:rsidR="004D0B9D" w:rsidRPr="00F61F7A" w14:paraId="2E214ECA" w14:textId="77777777" w:rsidTr="004D0B9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center"/>
          </w:tcPr>
          <w:p w14:paraId="774FA039" w14:textId="6399AD30" w:rsidR="004D0B9D" w:rsidRPr="00057B96" w:rsidRDefault="004D0B9D" w:rsidP="004D0B9D">
            <w:pPr>
              <w:rPr>
                <w:rFonts w:ascii="Open Sans" w:hAnsi="Open Sans" w:cs="Open Sans"/>
                <w:sz w:val="20"/>
              </w:rPr>
            </w:pPr>
            <w:hyperlink r:id="rId24" w:history="1">
              <w:r w:rsidRPr="00057B96">
                <w:rPr>
                  <w:rStyle w:val="Hyperlink"/>
                  <w:rFonts w:ascii="Open Sans" w:eastAsiaTheme="majorEastAsia" w:hAnsi="Open Sans" w:cs="Open Sans"/>
                  <w:sz w:val="20"/>
                </w:rPr>
                <w:t>Platform for Land and Nature Repair (PLANR) (Australian Government)</w:t>
              </w:r>
            </w:hyperlink>
          </w:p>
        </w:tc>
        <w:tc>
          <w:tcPr>
            <w:tcW w:w="1559" w:type="dxa"/>
            <w:shd w:val="clear" w:color="auto" w:fill="auto"/>
            <w:vAlign w:val="center"/>
          </w:tcPr>
          <w:p w14:paraId="11C1AE83"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4"/>
                <w:szCs w:val="14"/>
              </w:rPr>
            </w:pPr>
          </w:p>
          <w:p w14:paraId="199606AC" w14:textId="79B78DA3"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Beef</w:t>
            </w:r>
          </w:p>
          <w:p w14:paraId="2B8AAE1B"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Sheep</w:t>
            </w:r>
          </w:p>
          <w:p w14:paraId="02460F70" w14:textId="5DA06C2F"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Dairy</w:t>
            </w:r>
          </w:p>
          <w:p w14:paraId="54CAF60E" w14:textId="6E6331D8"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Pork</w:t>
            </w:r>
          </w:p>
          <w:p w14:paraId="094E640A"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Poultry</w:t>
            </w:r>
          </w:p>
          <w:p w14:paraId="1F607BCC"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Cropping</w:t>
            </w:r>
          </w:p>
          <w:p w14:paraId="537A025F"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Forestry</w:t>
            </w:r>
          </w:p>
          <w:p w14:paraId="0AB9D85F"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Horticulture</w:t>
            </w:r>
          </w:p>
          <w:p w14:paraId="44C2A750" w14:textId="16AE7088" w:rsidR="004D0B9D" w:rsidRPr="00F61F7A" w:rsidRDefault="004D0B9D" w:rsidP="004D0B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Non-agricultural land use</w:t>
            </w:r>
          </w:p>
        </w:tc>
        <w:tc>
          <w:tcPr>
            <w:tcW w:w="1701" w:type="dxa"/>
            <w:shd w:val="clear" w:color="auto" w:fill="auto"/>
            <w:vAlign w:val="center"/>
          </w:tcPr>
          <w:p w14:paraId="3D1FD7D7"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GHG emissions</w:t>
            </w:r>
          </w:p>
          <w:p w14:paraId="09A8230F"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Abatement estimates</w:t>
            </w:r>
          </w:p>
          <w:p w14:paraId="7A998498" w14:textId="1255A2A9" w:rsidR="004D0B9D" w:rsidRPr="00F61F7A" w:rsidRDefault="004D0B9D" w:rsidP="004D0B9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Biodiversity</w:t>
            </w:r>
          </w:p>
        </w:tc>
        <w:tc>
          <w:tcPr>
            <w:tcW w:w="2268" w:type="dxa"/>
            <w:shd w:val="clear" w:color="auto" w:fill="auto"/>
            <w:vAlign w:val="center"/>
          </w:tcPr>
          <w:p w14:paraId="7A4DE750"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Property information</w:t>
            </w:r>
          </w:p>
          <w:p w14:paraId="19AFD190"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Livestock</w:t>
            </w:r>
          </w:p>
          <w:p w14:paraId="09075190"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Cropping</w:t>
            </w:r>
          </w:p>
          <w:p w14:paraId="78D0C964"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Vegetation</w:t>
            </w:r>
          </w:p>
          <w:p w14:paraId="6E80C7EE" w14:textId="36411B74"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Consumables usage</w:t>
            </w:r>
          </w:p>
        </w:tc>
        <w:tc>
          <w:tcPr>
            <w:tcW w:w="2127" w:type="dxa"/>
            <w:shd w:val="clear" w:color="auto" w:fill="auto"/>
            <w:vAlign w:val="center"/>
          </w:tcPr>
          <w:p w14:paraId="1185617C"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Soil</w:t>
            </w:r>
          </w:p>
          <w:p w14:paraId="5D82FA75" w14:textId="44F99B40"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Vegetation</w:t>
            </w:r>
          </w:p>
        </w:tc>
        <w:tc>
          <w:tcPr>
            <w:tcW w:w="2028" w:type="dxa"/>
            <w:shd w:val="clear" w:color="auto" w:fill="auto"/>
            <w:vAlign w:val="center"/>
          </w:tcPr>
          <w:p w14:paraId="36C5D1D9" w14:textId="0D7B4AF9"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Online only</w:t>
            </w:r>
          </w:p>
          <w:p w14:paraId="5E104560"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Internet required</w:t>
            </w:r>
          </w:p>
          <w:p w14:paraId="31426205" w14:textId="4DF7EFF9"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lang w:eastAsia="en-AU"/>
              </w:rPr>
            </w:pPr>
            <w:r w:rsidRPr="00F61F7A">
              <w:rPr>
                <w:rFonts w:ascii="Open Sans" w:hAnsi="Open Sans" w:cs="Open Sans"/>
                <w:color w:val="000000"/>
                <w:sz w:val="20"/>
                <w:lang w:eastAsia="en-AU"/>
              </w:rPr>
              <w:t>Free</w:t>
            </w:r>
          </w:p>
          <w:p w14:paraId="04CF443B" w14:textId="5AB7341B"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color w:val="000000"/>
                <w:sz w:val="20"/>
                <w:lang w:eastAsia="en-AU"/>
              </w:rPr>
              <w:t>Account optional</w:t>
            </w:r>
          </w:p>
        </w:tc>
        <w:tc>
          <w:tcPr>
            <w:tcW w:w="3925" w:type="dxa"/>
            <w:shd w:val="clear" w:color="auto" w:fill="auto"/>
            <w:vAlign w:val="center"/>
          </w:tcPr>
          <w:p w14:paraId="1E794A3A" w14:textId="78B47DBD" w:rsidR="004D0B9D" w:rsidRPr="00F61F7A" w:rsidRDefault="004D0B9D" w:rsidP="004D0B9D">
            <w:pPr>
              <w:cnfStyle w:val="000000100000" w:firstRow="0" w:lastRow="0" w:firstColumn="0" w:lastColumn="0" w:oddVBand="0" w:evenVBand="0" w:oddHBand="1" w:evenHBand="0" w:firstRowFirstColumn="0" w:firstRowLastColumn="0" w:lastRowFirstColumn="0" w:lastRowLastColumn="0"/>
              <w:rPr>
                <w:rStyle w:val="normaltextrun"/>
                <w:rFonts w:ascii="Open Sans" w:hAnsi="Open Sans" w:cs="Open Sans"/>
                <w:color w:val="000000"/>
                <w:sz w:val="20"/>
                <w:shd w:val="clear" w:color="auto" w:fill="FFFFFF"/>
              </w:rPr>
            </w:pPr>
            <w:r w:rsidRPr="00F61F7A">
              <w:rPr>
                <w:rFonts w:ascii="Open Sans" w:hAnsi="Open Sans" w:cs="Open Sans"/>
                <w:sz w:val="20"/>
              </w:rPr>
              <w:t>Used to estimate GHG emissions, impacts of management activities on emissions and carbon storage in trees. PLANR also estimates biodiversity condition and can support planning of vegetation projects under the ACCU Scheme.</w:t>
            </w:r>
          </w:p>
        </w:tc>
      </w:tr>
      <w:tr w:rsidR="004D0B9D" w:rsidRPr="00F61F7A" w14:paraId="773DD48B" w14:textId="77777777" w:rsidTr="004D0B9D">
        <w:trPr>
          <w:cantSplit/>
        </w:trPr>
        <w:tc>
          <w:tcPr>
            <w:cnfStyle w:val="001000000000" w:firstRow="0" w:lastRow="0" w:firstColumn="1" w:lastColumn="0" w:oddVBand="0" w:evenVBand="0" w:oddHBand="0" w:evenHBand="0" w:firstRowFirstColumn="0" w:firstRowLastColumn="0" w:lastRowFirstColumn="0" w:lastRowLastColumn="0"/>
            <w:tcW w:w="1843" w:type="dxa"/>
            <w:shd w:val="clear" w:color="auto" w:fill="EAF7F9"/>
            <w:vAlign w:val="center"/>
          </w:tcPr>
          <w:p w14:paraId="7715003B" w14:textId="756144E4" w:rsidR="004D0B9D" w:rsidRPr="00057B96" w:rsidRDefault="004D0B9D" w:rsidP="004D0B9D">
            <w:pPr>
              <w:rPr>
                <w:rFonts w:ascii="Open Sans" w:hAnsi="Open Sans" w:cs="Open Sans"/>
                <w:sz w:val="20"/>
              </w:rPr>
            </w:pPr>
            <w:hyperlink r:id="rId25" w:history="1">
              <w:proofErr w:type="spellStart"/>
              <w:r w:rsidRPr="00057B96">
                <w:rPr>
                  <w:rStyle w:val="Hyperlink"/>
                  <w:rFonts w:ascii="Open Sans" w:eastAsiaTheme="majorEastAsia" w:hAnsi="Open Sans" w:cs="Open Sans"/>
                  <w:sz w:val="20"/>
                </w:rPr>
                <w:t>Ruminati</w:t>
              </w:r>
              <w:proofErr w:type="spellEnd"/>
              <w:r w:rsidRPr="00057B96">
                <w:rPr>
                  <w:rStyle w:val="Hyperlink"/>
                  <w:rFonts w:ascii="Open Sans" w:eastAsiaTheme="majorEastAsia" w:hAnsi="Open Sans" w:cs="Open Sans"/>
                  <w:sz w:val="20"/>
                </w:rPr>
                <w:t xml:space="preserve"> (</w:t>
              </w:r>
              <w:proofErr w:type="spellStart"/>
              <w:r w:rsidRPr="00057B96">
                <w:rPr>
                  <w:rStyle w:val="Hyperlink"/>
                  <w:rFonts w:ascii="Open Sans" w:eastAsiaTheme="majorEastAsia" w:hAnsi="Open Sans" w:cs="Open Sans"/>
                  <w:sz w:val="20"/>
                </w:rPr>
                <w:t>Ruminati</w:t>
              </w:r>
              <w:proofErr w:type="spellEnd"/>
              <w:r w:rsidRPr="00057B96">
                <w:rPr>
                  <w:rStyle w:val="Hyperlink"/>
                  <w:rFonts w:ascii="Open Sans" w:eastAsiaTheme="majorEastAsia" w:hAnsi="Open Sans" w:cs="Open Sans"/>
                  <w:sz w:val="20"/>
                </w:rPr>
                <w:t>)</w:t>
              </w:r>
            </w:hyperlink>
          </w:p>
        </w:tc>
        <w:tc>
          <w:tcPr>
            <w:tcW w:w="1559" w:type="dxa"/>
            <w:shd w:val="clear" w:color="auto" w:fill="EAF7F9"/>
            <w:vAlign w:val="center"/>
          </w:tcPr>
          <w:p w14:paraId="1137F885"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Beef (feedlot)</w:t>
            </w:r>
          </w:p>
          <w:p w14:paraId="2B45C45C"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Beef (grazing)</w:t>
            </w:r>
          </w:p>
          <w:p w14:paraId="2E8AC02F"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Sheep</w:t>
            </w:r>
          </w:p>
          <w:p w14:paraId="7BB6C354" w14:textId="1BFB9ED9" w:rsidR="004D0B9D" w:rsidRPr="00F61F7A" w:rsidRDefault="004D0B9D" w:rsidP="004D0B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Cropping</w:t>
            </w:r>
          </w:p>
        </w:tc>
        <w:tc>
          <w:tcPr>
            <w:tcW w:w="1701" w:type="dxa"/>
            <w:shd w:val="clear" w:color="auto" w:fill="EAF7F9"/>
            <w:vAlign w:val="center"/>
          </w:tcPr>
          <w:p w14:paraId="1F09A128"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GHG emissions</w:t>
            </w:r>
          </w:p>
          <w:p w14:paraId="2D705CEF" w14:textId="4F784975" w:rsidR="004D0B9D" w:rsidRPr="00F61F7A" w:rsidRDefault="004D0B9D" w:rsidP="004D0B9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Abatement estimates</w:t>
            </w:r>
          </w:p>
        </w:tc>
        <w:tc>
          <w:tcPr>
            <w:tcW w:w="2268" w:type="dxa"/>
            <w:shd w:val="clear" w:color="auto" w:fill="EAF7F9"/>
            <w:vAlign w:val="center"/>
          </w:tcPr>
          <w:p w14:paraId="54A6E3BF"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Property Information</w:t>
            </w:r>
          </w:p>
          <w:p w14:paraId="217BF2DA"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Livestock</w:t>
            </w:r>
          </w:p>
          <w:p w14:paraId="2B204E38"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Cropping</w:t>
            </w:r>
          </w:p>
          <w:p w14:paraId="11657697"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Vegetation</w:t>
            </w:r>
          </w:p>
          <w:p w14:paraId="4AAA1A8F" w14:textId="7C8333D4"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Consumables usage</w:t>
            </w:r>
          </w:p>
        </w:tc>
        <w:tc>
          <w:tcPr>
            <w:tcW w:w="2127" w:type="dxa"/>
            <w:shd w:val="clear" w:color="auto" w:fill="EAF7F9"/>
            <w:vAlign w:val="center"/>
          </w:tcPr>
          <w:p w14:paraId="506835F7"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Soil</w:t>
            </w:r>
          </w:p>
          <w:p w14:paraId="48EB1893"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Livestock</w:t>
            </w:r>
          </w:p>
          <w:p w14:paraId="7E1AA30E"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Vegetation</w:t>
            </w:r>
          </w:p>
          <w:p w14:paraId="7AC9C2B4" w14:textId="5EEE4041"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Other – renewable energy</w:t>
            </w:r>
          </w:p>
        </w:tc>
        <w:tc>
          <w:tcPr>
            <w:tcW w:w="2028" w:type="dxa"/>
            <w:shd w:val="clear" w:color="auto" w:fill="EAF7F9"/>
            <w:vAlign w:val="center"/>
          </w:tcPr>
          <w:p w14:paraId="7523D44D"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Online only</w:t>
            </w:r>
          </w:p>
          <w:p w14:paraId="7A94943E"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Internet required</w:t>
            </w:r>
          </w:p>
          <w:p w14:paraId="3107FB8C" w14:textId="77777777"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Free and paid options</w:t>
            </w:r>
          </w:p>
          <w:p w14:paraId="293F5CAB" w14:textId="1A49E86D" w:rsidR="004D0B9D" w:rsidRPr="00F61F7A" w:rsidRDefault="004D0B9D" w:rsidP="004D0B9D">
            <w:pPr>
              <w:spacing w:after="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F61F7A">
              <w:rPr>
                <w:rFonts w:ascii="Open Sans" w:hAnsi="Open Sans" w:cs="Open Sans"/>
                <w:sz w:val="20"/>
              </w:rPr>
              <w:t>Account required</w:t>
            </w:r>
          </w:p>
        </w:tc>
        <w:tc>
          <w:tcPr>
            <w:tcW w:w="3925" w:type="dxa"/>
            <w:shd w:val="clear" w:color="auto" w:fill="EAF7F9"/>
            <w:vAlign w:val="center"/>
          </w:tcPr>
          <w:p w14:paraId="093CC0C5" w14:textId="77777777" w:rsidR="004D0B9D" w:rsidRPr="00F61F7A" w:rsidRDefault="004D0B9D" w:rsidP="004D0B9D">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sz w:val="14"/>
                <w:szCs w:val="14"/>
              </w:rPr>
            </w:pPr>
          </w:p>
          <w:p w14:paraId="7ED2C789" w14:textId="60326AEC" w:rsidR="004D0B9D" w:rsidRPr="00F61F7A" w:rsidRDefault="004D0B9D" w:rsidP="004D0B9D">
            <w:pPr>
              <w:cnfStyle w:val="000000000000" w:firstRow="0" w:lastRow="0" w:firstColumn="0" w:lastColumn="0" w:oddVBand="0" w:evenVBand="0" w:oddHBand="0" w:evenHBand="0" w:firstRowFirstColumn="0" w:firstRowLastColumn="0" w:lastRowFirstColumn="0" w:lastRowLastColumn="0"/>
              <w:rPr>
                <w:rStyle w:val="normaltextrun"/>
                <w:rFonts w:ascii="Open Sans" w:hAnsi="Open Sans" w:cs="Open Sans"/>
                <w:color w:val="000000"/>
                <w:sz w:val="20"/>
                <w:shd w:val="clear" w:color="auto" w:fill="FFFFFF"/>
              </w:rPr>
            </w:pPr>
            <w:r w:rsidRPr="00F61F7A">
              <w:rPr>
                <w:rFonts w:ascii="Open Sans" w:hAnsi="Open Sans" w:cs="Open Sans"/>
                <w:sz w:val="20"/>
              </w:rPr>
              <w:t>BASE (free) and PRIME (paid) versions are used to estimate GHG emissions, impacts of management activities on emissions</w:t>
            </w:r>
            <w:r w:rsidRPr="00F61F7A">
              <w:rPr>
                <w:rStyle w:val="normaltextrun"/>
                <w:rFonts w:ascii="Open Sans" w:hAnsi="Open Sans" w:cs="Open Sans"/>
                <w:color w:val="000000" w:themeColor="text1"/>
                <w:sz w:val="20"/>
              </w:rPr>
              <w:t xml:space="preserve"> and carbon storage in trees</w:t>
            </w:r>
            <w:r w:rsidRPr="00F61F7A">
              <w:rPr>
                <w:rFonts w:ascii="Open Sans" w:hAnsi="Open Sans" w:cs="Open Sans"/>
                <w:sz w:val="20"/>
              </w:rPr>
              <w:t xml:space="preserve">. </w:t>
            </w:r>
            <w:hyperlink r:id="rId26" w:history="1">
              <w:r w:rsidRPr="00F61F7A">
                <w:rPr>
                  <w:rStyle w:val="Hyperlink"/>
                  <w:rFonts w:ascii="Open Sans" w:eastAsiaTheme="majorEastAsia" w:hAnsi="Open Sans" w:cs="Open Sans"/>
                  <w:sz w:val="20"/>
                </w:rPr>
                <w:t>Based on GAF tools</w:t>
              </w:r>
            </w:hyperlink>
            <w:r w:rsidRPr="00F61F7A">
              <w:rPr>
                <w:rFonts w:ascii="Open Sans" w:hAnsi="Open Sans" w:cs="Open Sans"/>
                <w:sz w:val="20"/>
              </w:rPr>
              <w:t xml:space="preserve">. </w:t>
            </w:r>
            <w:proofErr w:type="spellStart"/>
            <w:r w:rsidRPr="00F61F7A">
              <w:rPr>
                <w:rFonts w:ascii="Open Sans" w:hAnsi="Open Sans" w:cs="Open Sans"/>
                <w:sz w:val="20"/>
              </w:rPr>
              <w:t>Ruminati</w:t>
            </w:r>
            <w:proofErr w:type="spellEnd"/>
            <w:r w:rsidRPr="00F61F7A">
              <w:rPr>
                <w:rFonts w:ascii="Open Sans" w:hAnsi="Open Sans" w:cs="Open Sans"/>
                <w:sz w:val="20"/>
              </w:rPr>
              <w:t xml:space="preserve"> PRIME can estimate emissions from feedlots and can be used to explore different management actions.</w:t>
            </w:r>
          </w:p>
        </w:tc>
      </w:tr>
      <w:tr w:rsidR="004D0B9D" w:rsidRPr="00F61F7A" w14:paraId="0AE9CB85" w14:textId="77777777" w:rsidTr="004D0B9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center"/>
          </w:tcPr>
          <w:p w14:paraId="5617A5C7" w14:textId="3A5658AF" w:rsidR="004D0B9D" w:rsidRPr="00057B96" w:rsidRDefault="004D0B9D" w:rsidP="004D0B9D">
            <w:pPr>
              <w:rPr>
                <w:rFonts w:ascii="Open Sans" w:hAnsi="Open Sans" w:cs="Open Sans"/>
                <w:sz w:val="20"/>
              </w:rPr>
            </w:pPr>
            <w:hyperlink r:id="rId27" w:history="1">
              <w:proofErr w:type="spellStart"/>
              <w:r w:rsidRPr="00057B96">
                <w:rPr>
                  <w:rStyle w:val="Hyperlink"/>
                  <w:rFonts w:ascii="Open Sans" w:eastAsiaTheme="majorEastAsia" w:hAnsi="Open Sans" w:cs="Open Sans"/>
                  <w:sz w:val="20"/>
                </w:rPr>
                <w:t>SavBAT</w:t>
              </w:r>
              <w:proofErr w:type="spellEnd"/>
              <w:r w:rsidRPr="00057B96">
                <w:rPr>
                  <w:rStyle w:val="Hyperlink"/>
                  <w:rFonts w:ascii="Open Sans" w:eastAsiaTheme="majorEastAsia" w:hAnsi="Open Sans" w:cs="Open Sans"/>
                  <w:sz w:val="20"/>
                </w:rPr>
                <w:t xml:space="preserve"> (Australian Government)</w:t>
              </w:r>
            </w:hyperlink>
          </w:p>
        </w:tc>
        <w:tc>
          <w:tcPr>
            <w:tcW w:w="1559" w:type="dxa"/>
            <w:shd w:val="clear" w:color="auto" w:fill="auto"/>
            <w:vAlign w:val="center"/>
          </w:tcPr>
          <w:p w14:paraId="643F9A95" w14:textId="1D9513BC"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Agricultural or non-agricultural land use</w:t>
            </w:r>
          </w:p>
        </w:tc>
        <w:tc>
          <w:tcPr>
            <w:tcW w:w="1701" w:type="dxa"/>
            <w:shd w:val="clear" w:color="auto" w:fill="auto"/>
            <w:vAlign w:val="center"/>
          </w:tcPr>
          <w:p w14:paraId="771A376B" w14:textId="7B22C4D2"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Abatement estimates</w:t>
            </w:r>
          </w:p>
        </w:tc>
        <w:tc>
          <w:tcPr>
            <w:tcW w:w="2268" w:type="dxa"/>
            <w:shd w:val="clear" w:color="auto" w:fill="auto"/>
            <w:vAlign w:val="center"/>
          </w:tcPr>
          <w:p w14:paraId="7FE5AEF6"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Property information</w:t>
            </w:r>
          </w:p>
          <w:p w14:paraId="29760B2E" w14:textId="3BBE022B"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Vegetation</w:t>
            </w:r>
          </w:p>
          <w:p w14:paraId="43CCF649" w14:textId="79EC5A5C"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External – vegetation map of project region</w:t>
            </w:r>
          </w:p>
        </w:tc>
        <w:tc>
          <w:tcPr>
            <w:tcW w:w="2127" w:type="dxa"/>
            <w:shd w:val="clear" w:color="auto" w:fill="auto"/>
            <w:vAlign w:val="center"/>
          </w:tcPr>
          <w:p w14:paraId="29113672" w14:textId="451F40A0"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Savanna fire management</w:t>
            </w:r>
          </w:p>
        </w:tc>
        <w:tc>
          <w:tcPr>
            <w:tcW w:w="2028" w:type="dxa"/>
            <w:shd w:val="clear" w:color="auto" w:fill="auto"/>
            <w:vAlign w:val="center"/>
          </w:tcPr>
          <w:p w14:paraId="7E8462D6"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4"/>
                <w:szCs w:val="14"/>
              </w:rPr>
            </w:pPr>
          </w:p>
          <w:p w14:paraId="5AFF00A2" w14:textId="3AC3A45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Online only</w:t>
            </w:r>
          </w:p>
          <w:p w14:paraId="03C81DC6"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Internet required</w:t>
            </w:r>
          </w:p>
          <w:p w14:paraId="2F2ADD05"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Free</w:t>
            </w:r>
          </w:p>
          <w:p w14:paraId="2F10161F" w14:textId="77777777"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No account required</w:t>
            </w:r>
          </w:p>
          <w:p w14:paraId="14628AC9" w14:textId="0365F5E1" w:rsidR="004D0B9D" w:rsidRPr="00F61F7A" w:rsidRDefault="004D0B9D" w:rsidP="004D0B9D">
            <w:pPr>
              <w:spacing w:after="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4"/>
                <w:szCs w:val="14"/>
              </w:rPr>
            </w:pPr>
          </w:p>
        </w:tc>
        <w:tc>
          <w:tcPr>
            <w:tcW w:w="3925" w:type="dxa"/>
            <w:shd w:val="clear" w:color="auto" w:fill="auto"/>
            <w:vAlign w:val="center"/>
          </w:tcPr>
          <w:p w14:paraId="2372EC8E" w14:textId="7FE2EF25" w:rsidR="004D0B9D" w:rsidRPr="00F61F7A" w:rsidRDefault="004D0B9D" w:rsidP="004D0B9D">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F61F7A">
              <w:rPr>
                <w:rFonts w:ascii="Open Sans" w:hAnsi="Open Sans" w:cs="Open Sans"/>
                <w:sz w:val="20"/>
              </w:rPr>
              <w:t>Used to estimate abatement for projects under the ACCU Scheme Savanna Fire Management methods.</w:t>
            </w:r>
          </w:p>
        </w:tc>
      </w:tr>
    </w:tbl>
    <w:p w14:paraId="6CBE77D2" w14:textId="7BDB3CC2" w:rsidR="00DE0EE9" w:rsidRPr="00F61F7A" w:rsidRDefault="00DE0EE9" w:rsidP="00DE0EE9">
      <w:pPr>
        <w:rPr>
          <w:rFonts w:ascii="Open Sans" w:hAnsi="Open Sans" w:cs="Open Sans"/>
          <w:sz w:val="20"/>
        </w:rPr>
        <w:sectPr w:rsidR="00DE0EE9" w:rsidRPr="00F61F7A" w:rsidSect="00B21344">
          <w:headerReference w:type="default" r:id="rId28"/>
          <w:footerReference w:type="default" r:id="rId29"/>
          <w:pgSz w:w="16838" w:h="11906" w:orient="landscape"/>
          <w:pgMar w:top="720" w:right="720" w:bottom="720" w:left="720" w:header="340" w:footer="283" w:gutter="0"/>
          <w:cols w:space="720"/>
          <w:docGrid w:linePitch="299"/>
        </w:sectPr>
      </w:pPr>
      <w:r w:rsidRPr="00F61F7A">
        <w:rPr>
          <w:rFonts w:ascii="Open Sans" w:hAnsi="Open Sans" w:cs="Open Sans"/>
          <w:sz w:val="20"/>
        </w:rPr>
        <w:t>The presentation of material in this summary table does not imply the expression of any opinion, and the mention of specific companies or calculators does not imply that these have been endorsed or recommended by DCCEEW. Every effort has been made to ensure the information on calculators is accurate and linked to the most recent version of the calculator at the time of publication.</w:t>
      </w:r>
    </w:p>
    <w:p w14:paraId="2FE44C4C" w14:textId="77777777" w:rsidR="009931E9" w:rsidRPr="009931E9" w:rsidRDefault="009931E9" w:rsidP="0E00ACFF">
      <w:pPr>
        <w:shd w:val="clear" w:color="auto" w:fill="FFFFFF" w:themeFill="background1"/>
        <w:spacing w:before="120" w:after="120"/>
        <w:outlineLvl w:val="2"/>
        <w:rPr>
          <w:rFonts w:ascii="Open Sans" w:hAnsi="Open Sans" w:cs="Open Sans"/>
          <w:color w:val="007096"/>
          <w:sz w:val="4"/>
          <w:szCs w:val="4"/>
          <w:lang w:eastAsia="en-AU"/>
        </w:rPr>
      </w:pPr>
    </w:p>
    <w:p w14:paraId="6523B17A" w14:textId="0D3F4B80" w:rsidR="00EF6F58" w:rsidRPr="00743E04" w:rsidRDefault="58EA59F5" w:rsidP="0E00ACFF">
      <w:pPr>
        <w:shd w:val="clear" w:color="auto" w:fill="FFFFFF" w:themeFill="background1"/>
        <w:spacing w:before="120" w:after="120"/>
        <w:outlineLvl w:val="2"/>
        <w:rPr>
          <w:rFonts w:ascii="Open Sans" w:hAnsi="Open Sans" w:cs="Open Sans"/>
          <w:color w:val="083A42"/>
          <w:sz w:val="36"/>
          <w:szCs w:val="36"/>
          <w:lang w:eastAsia="en-AU"/>
        </w:rPr>
      </w:pPr>
      <w:r w:rsidRPr="00743E04">
        <w:rPr>
          <w:rFonts w:ascii="Open Sans" w:hAnsi="Open Sans" w:cs="Open Sans"/>
          <w:color w:val="083A42"/>
          <w:sz w:val="36"/>
          <w:szCs w:val="36"/>
          <w:lang w:eastAsia="en-AU"/>
        </w:rPr>
        <w:t>Supporting information</w:t>
      </w:r>
    </w:p>
    <w:p w14:paraId="4E609993" w14:textId="77777777" w:rsidR="00EF6F58" w:rsidRPr="0089515D" w:rsidRDefault="00EF6F58" w:rsidP="00EF6F58">
      <w:pPr>
        <w:spacing w:line="259" w:lineRule="auto"/>
        <w:rPr>
          <w:rFonts w:ascii="Open Sans" w:hAnsi="Open Sans" w:cs="Open Sans"/>
          <w:szCs w:val="22"/>
        </w:rPr>
      </w:pPr>
      <w:bookmarkStart w:id="0" w:name="_Hlk166157250"/>
      <w:r w:rsidRPr="00413802">
        <w:rPr>
          <w:rFonts w:ascii="Open Sans" w:hAnsi="Open Sans" w:cs="Open Sans"/>
          <w:b/>
          <w:bCs/>
          <w:szCs w:val="22"/>
        </w:rPr>
        <w:t>Calculator:</w:t>
      </w:r>
      <w:r w:rsidRPr="0089515D">
        <w:rPr>
          <w:rFonts w:ascii="Open Sans" w:hAnsi="Open Sans" w:cs="Open Sans"/>
          <w:szCs w:val="22"/>
        </w:rPr>
        <w:t xml:space="preserve"> calculator name and responsible organisation. Some products include functions other than calculations; all are referred to as</w:t>
      </w:r>
      <w:r w:rsidRPr="0089515D" w:rsidDel="00FB6658">
        <w:rPr>
          <w:rFonts w:ascii="Open Sans" w:hAnsi="Open Sans" w:cs="Open Sans"/>
          <w:szCs w:val="22"/>
        </w:rPr>
        <w:t xml:space="preserve"> </w:t>
      </w:r>
      <w:r w:rsidRPr="0089515D">
        <w:rPr>
          <w:rFonts w:ascii="Open Sans" w:hAnsi="Open Sans" w:cs="Open Sans"/>
          <w:szCs w:val="22"/>
        </w:rPr>
        <w:t>calculators for simplicity. A carbon calculator can be custom-made software or a spreadsheet (usually in Microsoft® Excel®) that can be used to conduct activities including estimating quantities of GHGs emitted and providing abatement estimates.</w:t>
      </w:r>
    </w:p>
    <w:p w14:paraId="6AF076FD" w14:textId="77777777" w:rsidR="00EF6F58" w:rsidRPr="0089515D" w:rsidRDefault="00EF6F58" w:rsidP="00EF6F58">
      <w:pPr>
        <w:spacing w:line="259" w:lineRule="auto"/>
        <w:rPr>
          <w:rFonts w:ascii="Open Sans" w:hAnsi="Open Sans" w:cs="Open Sans"/>
          <w:szCs w:val="22"/>
        </w:rPr>
      </w:pPr>
      <w:r w:rsidRPr="00517FE6">
        <w:rPr>
          <w:rFonts w:ascii="Open Sans" w:hAnsi="Open Sans" w:cs="Open Sans"/>
          <w:b/>
          <w:bCs/>
          <w:szCs w:val="22"/>
        </w:rPr>
        <w:t>Sector or land use:</w:t>
      </w:r>
      <w:r w:rsidRPr="0089515D">
        <w:rPr>
          <w:rFonts w:ascii="Open Sans" w:hAnsi="Open Sans" w:cs="Open Sans"/>
          <w:szCs w:val="22"/>
        </w:rPr>
        <w:t xml:space="preserve"> agricultural and non-agricultural sectors or land uses that a calculator relates to.</w:t>
      </w:r>
    </w:p>
    <w:p w14:paraId="2611B8E7" w14:textId="77777777" w:rsidR="00EF6F58" w:rsidRPr="0089515D" w:rsidRDefault="00EF6F58" w:rsidP="00EF6F58">
      <w:pPr>
        <w:spacing w:after="80"/>
        <w:rPr>
          <w:rFonts w:ascii="Open Sans" w:hAnsi="Open Sans" w:cs="Open Sans"/>
          <w:szCs w:val="22"/>
        </w:rPr>
      </w:pPr>
      <w:r w:rsidRPr="00517FE6">
        <w:rPr>
          <w:rFonts w:ascii="Open Sans" w:hAnsi="Open Sans" w:cs="Open Sans"/>
          <w:b/>
          <w:bCs/>
          <w:szCs w:val="22"/>
        </w:rPr>
        <w:t>Type of estimate or analysis:</w:t>
      </w:r>
      <w:r w:rsidRPr="0089515D">
        <w:rPr>
          <w:rFonts w:ascii="Open Sans" w:hAnsi="Open Sans" w:cs="Open Sans"/>
          <w:szCs w:val="22"/>
        </w:rPr>
        <w:t xml:space="preserve"> types of estimates or analyses the calculators can be used for. </w:t>
      </w:r>
    </w:p>
    <w:p w14:paraId="10EF4C77" w14:textId="1AF9B343" w:rsidR="00EF6F58" w:rsidRPr="0089515D" w:rsidRDefault="58EA59F5" w:rsidP="00C514FA">
      <w:pPr>
        <w:pStyle w:val="ListParagraph"/>
        <w:numPr>
          <w:ilvl w:val="0"/>
          <w:numId w:val="3"/>
        </w:numPr>
        <w:spacing w:after="80" w:line="276" w:lineRule="auto"/>
        <w:ind w:left="924" w:hanging="357"/>
        <w:rPr>
          <w:rFonts w:ascii="Open Sans" w:hAnsi="Open Sans" w:cs="Open Sans"/>
          <w:sz w:val="22"/>
          <w:szCs w:val="22"/>
        </w:rPr>
      </w:pPr>
      <w:r w:rsidRPr="0089515D">
        <w:rPr>
          <w:rFonts w:ascii="Open Sans" w:hAnsi="Open Sans" w:cs="Open Sans"/>
          <w:sz w:val="22"/>
          <w:szCs w:val="22"/>
        </w:rPr>
        <w:t>GHG emissions: calculator can be used to estimate GHG emissions, which may include scope 1, 2 and 3 emissions, and could be for an operation (e.g. a farm or winery), a land area, or an activity</w:t>
      </w:r>
      <w:r w:rsidR="212B9FFB" w:rsidRPr="0089515D">
        <w:rPr>
          <w:rFonts w:ascii="Open Sans" w:hAnsi="Open Sans" w:cs="Open Sans"/>
          <w:sz w:val="22"/>
          <w:szCs w:val="22"/>
        </w:rPr>
        <w:t>.</w:t>
      </w:r>
    </w:p>
    <w:p w14:paraId="47551CD7" w14:textId="6EB9F25D" w:rsidR="00EF6F58" w:rsidRPr="0089515D" w:rsidRDefault="58EA59F5" w:rsidP="00C514FA">
      <w:pPr>
        <w:pStyle w:val="ListParagraph"/>
        <w:numPr>
          <w:ilvl w:val="0"/>
          <w:numId w:val="3"/>
        </w:numPr>
        <w:spacing w:after="80" w:line="276" w:lineRule="auto"/>
        <w:ind w:left="924" w:hanging="357"/>
        <w:rPr>
          <w:rFonts w:ascii="Open Sans" w:hAnsi="Open Sans" w:cs="Open Sans"/>
          <w:sz w:val="22"/>
          <w:szCs w:val="22"/>
        </w:rPr>
      </w:pPr>
      <w:r w:rsidRPr="0089515D">
        <w:rPr>
          <w:rFonts w:ascii="Open Sans" w:hAnsi="Open Sans" w:cs="Open Sans"/>
          <w:sz w:val="22"/>
          <w:szCs w:val="22"/>
        </w:rPr>
        <w:t>ACCU Scheme: calculator is specified in an ACCU Scheme method for estimating abatement from projects conducted under the method</w:t>
      </w:r>
      <w:r w:rsidR="713CF8B1" w:rsidRPr="0089515D">
        <w:rPr>
          <w:rFonts w:ascii="Open Sans" w:hAnsi="Open Sans" w:cs="Open Sans"/>
          <w:sz w:val="22"/>
          <w:szCs w:val="22"/>
        </w:rPr>
        <w:t>.</w:t>
      </w:r>
      <w:r w:rsidRPr="0089515D">
        <w:rPr>
          <w:rFonts w:ascii="Open Sans" w:hAnsi="Open Sans" w:cs="Open Sans"/>
          <w:sz w:val="22"/>
          <w:szCs w:val="22"/>
        </w:rPr>
        <w:t xml:space="preserve"> </w:t>
      </w:r>
    </w:p>
    <w:p w14:paraId="27403302" w14:textId="739BB042" w:rsidR="0089515D" w:rsidRPr="0089515D" w:rsidRDefault="58EA59F5" w:rsidP="00C514FA">
      <w:pPr>
        <w:pStyle w:val="ListParagraph"/>
        <w:numPr>
          <w:ilvl w:val="0"/>
          <w:numId w:val="3"/>
        </w:numPr>
        <w:spacing w:after="80" w:line="276" w:lineRule="auto"/>
        <w:ind w:left="924" w:hanging="357"/>
        <w:rPr>
          <w:rStyle w:val="CommentReference"/>
          <w:rFonts w:ascii="Open Sans" w:hAnsi="Open Sans" w:cs="Open Sans"/>
          <w:sz w:val="22"/>
          <w:szCs w:val="22"/>
        </w:rPr>
      </w:pPr>
      <w:r w:rsidRPr="0089515D">
        <w:rPr>
          <w:rFonts w:ascii="Open Sans" w:hAnsi="Open Sans" w:cs="Open Sans"/>
          <w:sz w:val="22"/>
          <w:szCs w:val="22"/>
        </w:rPr>
        <w:t>Abatement estimates: calculator can be used to estimate abatement (emissions avoided or reduced or carbon stored) from activities. May provide for forecasts of abatement and/or estimates of abatement already achieved</w:t>
      </w:r>
      <w:r w:rsidR="09DE9FBC" w:rsidRPr="0089515D">
        <w:rPr>
          <w:rFonts w:ascii="Open Sans" w:hAnsi="Open Sans" w:cs="Open Sans"/>
          <w:sz w:val="22"/>
          <w:szCs w:val="22"/>
        </w:rPr>
        <w:t>.</w:t>
      </w:r>
    </w:p>
    <w:p w14:paraId="64F19177" w14:textId="09B52A86" w:rsidR="00EF6F58" w:rsidRPr="0089515D" w:rsidRDefault="0089515D" w:rsidP="00C514FA">
      <w:pPr>
        <w:pStyle w:val="ListParagraph"/>
        <w:numPr>
          <w:ilvl w:val="0"/>
          <w:numId w:val="3"/>
        </w:numPr>
        <w:spacing w:after="80" w:line="276" w:lineRule="auto"/>
        <w:ind w:left="924" w:hanging="357"/>
        <w:rPr>
          <w:rFonts w:ascii="Open Sans" w:hAnsi="Open Sans" w:cs="Open Sans"/>
          <w:sz w:val="22"/>
          <w:szCs w:val="22"/>
        </w:rPr>
      </w:pPr>
      <w:r w:rsidRPr="0089515D">
        <w:rPr>
          <w:rFonts w:ascii="Open Sans" w:hAnsi="Open Sans" w:cs="Open Sans"/>
          <w:sz w:val="22"/>
          <w:szCs w:val="22"/>
        </w:rPr>
        <w:t>B</w:t>
      </w:r>
      <w:r w:rsidR="00EF6F58" w:rsidRPr="0089515D">
        <w:rPr>
          <w:rFonts w:ascii="Open Sans" w:hAnsi="Open Sans" w:cs="Open Sans"/>
          <w:sz w:val="22"/>
          <w:szCs w:val="22"/>
        </w:rPr>
        <w:t xml:space="preserve">iodiversity: tool can be used to examine biodiversity condition. </w:t>
      </w:r>
    </w:p>
    <w:p w14:paraId="226675D9" w14:textId="77777777" w:rsidR="00EF6F58" w:rsidRPr="0089515D" w:rsidRDefault="00EF6F58" w:rsidP="00517FE6">
      <w:pPr>
        <w:spacing w:before="240" w:after="80"/>
        <w:rPr>
          <w:rFonts w:ascii="Open Sans" w:hAnsi="Open Sans" w:cs="Open Sans"/>
          <w:szCs w:val="22"/>
        </w:rPr>
      </w:pPr>
      <w:r w:rsidRPr="00517FE6">
        <w:rPr>
          <w:rFonts w:ascii="Open Sans" w:hAnsi="Open Sans" w:cs="Open Sans"/>
          <w:b/>
          <w:bCs/>
          <w:szCs w:val="22"/>
        </w:rPr>
        <w:t xml:space="preserve">Data required: </w:t>
      </w:r>
      <w:r w:rsidRPr="0089515D">
        <w:rPr>
          <w:rFonts w:ascii="Open Sans" w:hAnsi="Open Sans" w:cs="Open Sans"/>
          <w:szCs w:val="22"/>
        </w:rPr>
        <w:t>types of input data that may be required.</w:t>
      </w:r>
    </w:p>
    <w:p w14:paraId="4FC3C3B9" w14:textId="44CCBDE3" w:rsidR="00EF6F58" w:rsidRPr="0089515D" w:rsidRDefault="58EA59F5" w:rsidP="000A77DA">
      <w:pPr>
        <w:pStyle w:val="ListParagraph"/>
        <w:numPr>
          <w:ilvl w:val="0"/>
          <w:numId w:val="3"/>
        </w:numPr>
        <w:spacing w:line="276" w:lineRule="auto"/>
        <w:ind w:left="924" w:hanging="357"/>
        <w:rPr>
          <w:rFonts w:ascii="Open Sans" w:hAnsi="Open Sans" w:cs="Open Sans"/>
          <w:sz w:val="22"/>
          <w:szCs w:val="22"/>
        </w:rPr>
      </w:pPr>
      <w:r w:rsidRPr="0089515D">
        <w:rPr>
          <w:rFonts w:ascii="Open Sans" w:hAnsi="Open Sans" w:cs="Open Sans"/>
          <w:sz w:val="22"/>
          <w:szCs w:val="22"/>
        </w:rPr>
        <w:t>Property information: may include area boundary, property name and size, location/region, annual rainfall, workforce, ownership status and distribution of land use activities on property. The calculator may include a geospatial tool to define an area boundary</w:t>
      </w:r>
      <w:r w:rsidR="485029EA" w:rsidRPr="0089515D">
        <w:rPr>
          <w:rFonts w:ascii="Open Sans" w:hAnsi="Open Sans" w:cs="Open Sans"/>
          <w:sz w:val="22"/>
          <w:szCs w:val="22"/>
        </w:rPr>
        <w:t>.</w:t>
      </w:r>
    </w:p>
    <w:p w14:paraId="24386B66" w14:textId="0DFCB224" w:rsidR="00EF6F58" w:rsidRPr="0089515D" w:rsidRDefault="58EA59F5" w:rsidP="000A77DA">
      <w:pPr>
        <w:pStyle w:val="ListParagraph"/>
        <w:numPr>
          <w:ilvl w:val="0"/>
          <w:numId w:val="3"/>
        </w:numPr>
        <w:spacing w:line="276" w:lineRule="auto"/>
        <w:ind w:left="924" w:hanging="357"/>
        <w:rPr>
          <w:rFonts w:ascii="Open Sans" w:hAnsi="Open Sans" w:cs="Open Sans"/>
          <w:sz w:val="22"/>
          <w:szCs w:val="22"/>
        </w:rPr>
      </w:pPr>
      <w:r w:rsidRPr="0089515D">
        <w:rPr>
          <w:rFonts w:ascii="Open Sans" w:hAnsi="Open Sans" w:cs="Open Sans"/>
          <w:sz w:val="22"/>
          <w:szCs w:val="22"/>
        </w:rPr>
        <w:t>Livestock: may include livestock numbers, seasonal liveweights, animal sexes, liveweight gain, crude protein, dry matter digestibility, livestock purchase and sale inventory, milk production and supplementary feed use (e.g. hay, grain, cotton seed)</w:t>
      </w:r>
      <w:r w:rsidR="00E3FF7E" w:rsidRPr="0089515D">
        <w:rPr>
          <w:rFonts w:ascii="Open Sans" w:hAnsi="Open Sans" w:cs="Open Sans"/>
          <w:sz w:val="22"/>
          <w:szCs w:val="22"/>
        </w:rPr>
        <w:t>.</w:t>
      </w:r>
    </w:p>
    <w:p w14:paraId="237CDDB5" w14:textId="3072F578" w:rsidR="00EF6F58" w:rsidRPr="0089515D" w:rsidRDefault="58EA59F5" w:rsidP="000A77DA">
      <w:pPr>
        <w:pStyle w:val="ListParagraph"/>
        <w:numPr>
          <w:ilvl w:val="0"/>
          <w:numId w:val="3"/>
        </w:numPr>
        <w:spacing w:line="276" w:lineRule="auto"/>
        <w:ind w:left="924" w:hanging="357"/>
        <w:rPr>
          <w:rFonts w:ascii="Open Sans" w:hAnsi="Open Sans" w:cs="Open Sans"/>
          <w:sz w:val="22"/>
          <w:szCs w:val="22"/>
        </w:rPr>
      </w:pPr>
      <w:r w:rsidRPr="0089515D">
        <w:rPr>
          <w:rFonts w:ascii="Open Sans" w:hAnsi="Open Sans" w:cs="Open Sans"/>
          <w:sz w:val="22"/>
          <w:szCs w:val="22"/>
        </w:rPr>
        <w:t>Cropping: may include crop varieties grown, area sown, average/yearly pasture</w:t>
      </w:r>
      <w:r w:rsidR="008C2815">
        <w:rPr>
          <w:rFonts w:ascii="Open Sans" w:hAnsi="Open Sans" w:cs="Open Sans"/>
          <w:sz w:val="22"/>
          <w:szCs w:val="22"/>
        </w:rPr>
        <w:t xml:space="preserve"> and </w:t>
      </w:r>
      <w:r w:rsidR="00E371B7">
        <w:rPr>
          <w:rFonts w:ascii="Open Sans" w:hAnsi="Open Sans" w:cs="Open Sans"/>
          <w:sz w:val="22"/>
          <w:szCs w:val="22"/>
        </w:rPr>
        <w:t>crop</w:t>
      </w:r>
      <w:r w:rsidR="008C2815">
        <w:rPr>
          <w:rFonts w:ascii="Open Sans" w:hAnsi="Open Sans" w:cs="Open Sans"/>
          <w:sz w:val="22"/>
          <w:szCs w:val="22"/>
        </w:rPr>
        <w:t xml:space="preserve"> </w:t>
      </w:r>
      <w:r w:rsidRPr="0089515D">
        <w:rPr>
          <w:rFonts w:ascii="Open Sans" w:hAnsi="Open Sans" w:cs="Open Sans"/>
          <w:sz w:val="22"/>
          <w:szCs w:val="22"/>
        </w:rPr>
        <w:t>yields, soil properties (e.g. soil organic carbon), fertiliser usage and herbicide and pesticide usage</w:t>
      </w:r>
      <w:r w:rsidR="29D06661" w:rsidRPr="0089515D">
        <w:rPr>
          <w:rFonts w:ascii="Open Sans" w:hAnsi="Open Sans" w:cs="Open Sans"/>
          <w:sz w:val="22"/>
          <w:szCs w:val="22"/>
        </w:rPr>
        <w:t>.</w:t>
      </w:r>
      <w:r w:rsidRPr="0089515D">
        <w:rPr>
          <w:rFonts w:ascii="Open Sans" w:hAnsi="Open Sans" w:cs="Open Sans"/>
          <w:sz w:val="22"/>
          <w:szCs w:val="22"/>
        </w:rPr>
        <w:t xml:space="preserve"> </w:t>
      </w:r>
    </w:p>
    <w:p w14:paraId="08521E55" w14:textId="19018742" w:rsidR="00EF6F58" w:rsidRPr="0089515D" w:rsidRDefault="58EA59F5" w:rsidP="000A77DA">
      <w:pPr>
        <w:pStyle w:val="ListParagraph"/>
        <w:numPr>
          <w:ilvl w:val="0"/>
          <w:numId w:val="3"/>
        </w:numPr>
        <w:spacing w:line="276" w:lineRule="auto"/>
        <w:ind w:left="924" w:hanging="357"/>
        <w:rPr>
          <w:rFonts w:ascii="Open Sans" w:hAnsi="Open Sans" w:cs="Open Sans"/>
          <w:sz w:val="22"/>
          <w:szCs w:val="22"/>
        </w:rPr>
      </w:pPr>
      <w:r w:rsidRPr="0089515D">
        <w:rPr>
          <w:rFonts w:ascii="Open Sans" w:hAnsi="Open Sans" w:cs="Open Sans"/>
          <w:sz w:val="22"/>
          <w:szCs w:val="22"/>
        </w:rPr>
        <w:t>Vegetation: may include species of trees, soil type, area of trees, age of trees, vegetation management actions, and fire management</w:t>
      </w:r>
      <w:r w:rsidR="6FDB68CE" w:rsidRPr="0089515D">
        <w:rPr>
          <w:rFonts w:ascii="Open Sans" w:hAnsi="Open Sans" w:cs="Open Sans"/>
          <w:sz w:val="22"/>
          <w:szCs w:val="22"/>
        </w:rPr>
        <w:t>.</w:t>
      </w:r>
    </w:p>
    <w:p w14:paraId="5162517C" w14:textId="29BF65C7" w:rsidR="00EF6F58" w:rsidRPr="0089515D" w:rsidRDefault="58EA59F5" w:rsidP="000A77DA">
      <w:pPr>
        <w:pStyle w:val="ListParagraph"/>
        <w:numPr>
          <w:ilvl w:val="0"/>
          <w:numId w:val="3"/>
        </w:numPr>
        <w:spacing w:line="276" w:lineRule="auto"/>
        <w:ind w:left="924" w:hanging="357"/>
        <w:rPr>
          <w:rFonts w:ascii="Open Sans" w:hAnsi="Open Sans" w:cs="Open Sans"/>
          <w:sz w:val="22"/>
          <w:szCs w:val="22"/>
        </w:rPr>
      </w:pPr>
      <w:r w:rsidRPr="0089515D">
        <w:rPr>
          <w:rFonts w:ascii="Open Sans" w:hAnsi="Open Sans" w:cs="Open Sans"/>
          <w:sz w:val="22"/>
          <w:szCs w:val="22"/>
        </w:rPr>
        <w:t>Waste management: may include solid waste (e.g. packaging), wastewater and organic waste (e.g. manure</w:t>
      </w:r>
      <w:r w:rsidR="002A4A06">
        <w:rPr>
          <w:rFonts w:ascii="Open Sans" w:hAnsi="Open Sans" w:cs="Open Sans"/>
          <w:sz w:val="22"/>
          <w:szCs w:val="22"/>
        </w:rPr>
        <w:t xml:space="preserve"> and</w:t>
      </w:r>
      <w:r w:rsidR="002A4A06" w:rsidRPr="0089515D">
        <w:rPr>
          <w:rFonts w:ascii="Open Sans" w:hAnsi="Open Sans" w:cs="Open Sans"/>
          <w:sz w:val="22"/>
          <w:szCs w:val="22"/>
        </w:rPr>
        <w:t xml:space="preserve"> vines</w:t>
      </w:r>
      <w:r w:rsidRPr="0089515D">
        <w:rPr>
          <w:rFonts w:ascii="Open Sans" w:hAnsi="Open Sans" w:cs="Open Sans"/>
          <w:sz w:val="22"/>
          <w:szCs w:val="22"/>
        </w:rPr>
        <w:t>). May also include how waste is managed (e.g. how much solid waste is recyclable or how much manure is drained to the paddock)</w:t>
      </w:r>
      <w:r w:rsidR="5F59190E" w:rsidRPr="0089515D">
        <w:rPr>
          <w:rFonts w:ascii="Open Sans" w:hAnsi="Open Sans" w:cs="Open Sans"/>
          <w:sz w:val="22"/>
          <w:szCs w:val="22"/>
        </w:rPr>
        <w:t>.</w:t>
      </w:r>
    </w:p>
    <w:p w14:paraId="43DCDB23" w14:textId="4305FF10" w:rsidR="00EF6F58" w:rsidRPr="0089515D" w:rsidRDefault="58EA59F5" w:rsidP="000A77DA">
      <w:pPr>
        <w:pStyle w:val="ListParagraph"/>
        <w:numPr>
          <w:ilvl w:val="0"/>
          <w:numId w:val="3"/>
        </w:numPr>
        <w:spacing w:line="276" w:lineRule="auto"/>
        <w:ind w:left="924" w:hanging="357"/>
        <w:rPr>
          <w:rFonts w:ascii="Open Sans" w:hAnsi="Open Sans" w:cs="Open Sans"/>
          <w:sz w:val="22"/>
          <w:szCs w:val="22"/>
        </w:rPr>
      </w:pPr>
      <w:r w:rsidRPr="0089515D">
        <w:rPr>
          <w:rFonts w:ascii="Open Sans" w:hAnsi="Open Sans" w:cs="Open Sans"/>
          <w:sz w:val="22"/>
          <w:szCs w:val="22"/>
        </w:rPr>
        <w:t>Consumables usage: may include water usage (e.g. irrigation types, water sources), fuel consumption (e.g. petrol, diesel, natural gas, liquified petroleum gas, biodiesel), vehicle types and farm transport data, and electricity usage (e.g. how much energy used has been purchased or generated) and winemaking products (e.g. CO</w:t>
      </w:r>
      <w:r w:rsidRPr="0089515D">
        <w:rPr>
          <w:rFonts w:ascii="Open Sans" w:hAnsi="Open Sans" w:cs="Open Sans"/>
          <w:sz w:val="22"/>
          <w:szCs w:val="22"/>
          <w:vertAlign w:val="subscript"/>
        </w:rPr>
        <w:t>2</w:t>
      </w:r>
      <w:r w:rsidRPr="0089515D">
        <w:rPr>
          <w:rFonts w:ascii="Open Sans" w:hAnsi="Open Sans" w:cs="Open Sans"/>
          <w:sz w:val="22"/>
          <w:szCs w:val="22"/>
        </w:rPr>
        <w:t xml:space="preserve"> and synthetic refrigerant)</w:t>
      </w:r>
      <w:r w:rsidR="0104B05F" w:rsidRPr="0089515D">
        <w:rPr>
          <w:rFonts w:ascii="Open Sans" w:hAnsi="Open Sans" w:cs="Open Sans"/>
          <w:sz w:val="22"/>
          <w:szCs w:val="22"/>
        </w:rPr>
        <w:t>.</w:t>
      </w:r>
    </w:p>
    <w:p w14:paraId="1FD8F418" w14:textId="3E4E4748" w:rsidR="00661DE9" w:rsidRPr="00661DE9" w:rsidRDefault="00EF6F58" w:rsidP="00661DE9">
      <w:pPr>
        <w:pStyle w:val="ListParagraph"/>
        <w:numPr>
          <w:ilvl w:val="0"/>
          <w:numId w:val="3"/>
        </w:numPr>
        <w:spacing w:line="276" w:lineRule="auto"/>
        <w:ind w:left="924" w:hanging="357"/>
        <w:contextualSpacing w:val="0"/>
        <w:rPr>
          <w:rFonts w:ascii="Open Sans" w:hAnsi="Open Sans" w:cs="Open Sans"/>
          <w:sz w:val="22"/>
          <w:szCs w:val="22"/>
        </w:rPr>
      </w:pPr>
      <w:r w:rsidRPr="0089515D">
        <w:rPr>
          <w:rFonts w:ascii="Open Sans" w:hAnsi="Open Sans" w:cs="Open Sans"/>
          <w:sz w:val="22"/>
          <w:szCs w:val="22"/>
        </w:rPr>
        <w:t>External data: refers to specific information required by a calculator which is obtained from an external source.</w:t>
      </w:r>
    </w:p>
    <w:p w14:paraId="247FD6F0" w14:textId="77777777" w:rsidR="00661DE9" w:rsidRDefault="00661DE9" w:rsidP="00661DE9">
      <w:pPr>
        <w:spacing w:after="0"/>
        <w:rPr>
          <w:rFonts w:ascii="Open Sans" w:hAnsi="Open Sans" w:cs="Open Sans"/>
          <w:b/>
          <w:bCs/>
          <w:szCs w:val="22"/>
        </w:rPr>
      </w:pPr>
    </w:p>
    <w:p w14:paraId="5B30A632" w14:textId="5C117344" w:rsidR="00EF6F58" w:rsidRPr="0089515D" w:rsidRDefault="00EF6F58" w:rsidP="00EF6F58">
      <w:pPr>
        <w:rPr>
          <w:rFonts w:ascii="Open Sans" w:hAnsi="Open Sans" w:cs="Open Sans"/>
          <w:szCs w:val="22"/>
        </w:rPr>
      </w:pPr>
      <w:r w:rsidRPr="00517FE6">
        <w:rPr>
          <w:rFonts w:ascii="Open Sans" w:hAnsi="Open Sans" w:cs="Open Sans"/>
          <w:b/>
          <w:bCs/>
          <w:szCs w:val="22"/>
        </w:rPr>
        <w:t xml:space="preserve">Relevant carbon farming categories: </w:t>
      </w:r>
      <w:r w:rsidRPr="0089515D">
        <w:rPr>
          <w:rFonts w:ascii="Open Sans" w:hAnsi="Open Sans" w:cs="Open Sans"/>
          <w:szCs w:val="22"/>
        </w:rPr>
        <w:t>guidance on relevant carbon farming groups/activities, as identified in Topic 2.</w:t>
      </w:r>
    </w:p>
    <w:p w14:paraId="7464BD01" w14:textId="77777777" w:rsidR="00EF6F58" w:rsidRPr="0089515D" w:rsidRDefault="00EF6F58" w:rsidP="00EF6F58">
      <w:pPr>
        <w:spacing w:after="80"/>
        <w:rPr>
          <w:rFonts w:ascii="Open Sans" w:hAnsi="Open Sans" w:cs="Open Sans"/>
          <w:szCs w:val="22"/>
        </w:rPr>
      </w:pPr>
      <w:r w:rsidRPr="00517FE6">
        <w:rPr>
          <w:rFonts w:ascii="Open Sans" w:hAnsi="Open Sans" w:cs="Open Sans"/>
          <w:b/>
          <w:bCs/>
          <w:szCs w:val="22"/>
        </w:rPr>
        <w:t>Accessibility:</w:t>
      </w:r>
      <w:r w:rsidRPr="0089515D">
        <w:rPr>
          <w:rFonts w:ascii="Open Sans" w:hAnsi="Open Sans" w:cs="Open Sans"/>
          <w:szCs w:val="22"/>
        </w:rPr>
        <w:t xml:space="preserve"> refers to the how the calculator can be accessed and used. This includes:</w:t>
      </w:r>
    </w:p>
    <w:p w14:paraId="57B3BE55" w14:textId="77777777" w:rsidR="00EF6F58" w:rsidRPr="0089515D" w:rsidRDefault="00EF6F58" w:rsidP="00C514FA">
      <w:pPr>
        <w:pStyle w:val="ListParagraph"/>
        <w:numPr>
          <w:ilvl w:val="0"/>
          <w:numId w:val="1"/>
        </w:numPr>
        <w:spacing w:after="0" w:line="276" w:lineRule="auto"/>
        <w:ind w:left="924" w:hanging="357"/>
        <w:contextualSpacing w:val="0"/>
        <w:rPr>
          <w:rFonts w:ascii="Open Sans" w:hAnsi="Open Sans" w:cs="Open Sans"/>
          <w:sz w:val="22"/>
          <w:szCs w:val="22"/>
        </w:rPr>
      </w:pPr>
      <w:r w:rsidRPr="0089515D">
        <w:rPr>
          <w:rFonts w:ascii="Open Sans" w:hAnsi="Open Sans" w:cs="Open Sans"/>
          <w:sz w:val="22"/>
          <w:szCs w:val="22"/>
        </w:rPr>
        <w:t>format of calculator: Microsoft® Excel® spreadsheet or online platform</w:t>
      </w:r>
    </w:p>
    <w:p w14:paraId="25999D2B" w14:textId="77777777" w:rsidR="0089515D" w:rsidRPr="0089515D" w:rsidRDefault="00EF6F58" w:rsidP="00C514FA">
      <w:pPr>
        <w:pStyle w:val="ListParagraph"/>
        <w:numPr>
          <w:ilvl w:val="0"/>
          <w:numId w:val="1"/>
        </w:numPr>
        <w:spacing w:after="0" w:line="276" w:lineRule="auto"/>
        <w:ind w:left="924" w:hanging="357"/>
        <w:contextualSpacing w:val="0"/>
        <w:rPr>
          <w:rFonts w:ascii="Open Sans" w:hAnsi="Open Sans" w:cs="Open Sans"/>
          <w:sz w:val="22"/>
          <w:szCs w:val="22"/>
        </w:rPr>
      </w:pPr>
      <w:r w:rsidRPr="0089515D">
        <w:rPr>
          <w:rFonts w:ascii="Open Sans" w:hAnsi="Open Sans" w:cs="Open Sans"/>
          <w:sz w:val="22"/>
          <w:szCs w:val="22"/>
        </w:rPr>
        <w:t>online or offline use: downloadable for offline use; or online only, and internet required</w:t>
      </w:r>
    </w:p>
    <w:p w14:paraId="112F4FBE" w14:textId="77777777" w:rsidR="00EF6F58" w:rsidRPr="0089515D" w:rsidRDefault="00EF6F58" w:rsidP="00C514FA">
      <w:pPr>
        <w:pStyle w:val="ListParagraph"/>
        <w:numPr>
          <w:ilvl w:val="0"/>
          <w:numId w:val="1"/>
        </w:numPr>
        <w:spacing w:after="0" w:line="276" w:lineRule="auto"/>
        <w:ind w:left="924" w:hanging="357"/>
        <w:contextualSpacing w:val="0"/>
        <w:rPr>
          <w:rFonts w:ascii="Open Sans" w:hAnsi="Open Sans" w:cs="Open Sans"/>
          <w:sz w:val="22"/>
          <w:szCs w:val="22"/>
        </w:rPr>
      </w:pPr>
      <w:r w:rsidRPr="0089515D">
        <w:rPr>
          <w:rFonts w:ascii="Open Sans" w:hAnsi="Open Sans" w:cs="Open Sans"/>
          <w:sz w:val="22"/>
          <w:szCs w:val="22"/>
        </w:rPr>
        <w:t>user fees and accounts: free and no account required; free and account required; free and account optional (calculator can be used without account but account needed to save calculations); free and paid options (users are required to pay a fee to access the full content of the calculator).</w:t>
      </w:r>
      <w:bookmarkEnd w:id="0"/>
    </w:p>
    <w:p w14:paraId="5F12ECAF" w14:textId="77777777" w:rsidR="00EF6F58" w:rsidRPr="0089515D" w:rsidRDefault="00EF6F58" w:rsidP="00517FE6">
      <w:pPr>
        <w:spacing w:before="240" w:after="80"/>
        <w:rPr>
          <w:rFonts w:ascii="Open Sans" w:hAnsi="Open Sans" w:cs="Open Sans"/>
          <w:iCs/>
          <w:szCs w:val="22"/>
        </w:rPr>
      </w:pPr>
      <w:r w:rsidRPr="00517FE6">
        <w:rPr>
          <w:rFonts w:ascii="Open Sans" w:hAnsi="Open Sans" w:cs="Open Sans"/>
          <w:b/>
          <w:bCs/>
          <w:szCs w:val="22"/>
        </w:rPr>
        <w:t>General description:</w:t>
      </w:r>
      <w:r w:rsidRPr="0089515D">
        <w:rPr>
          <w:rFonts w:ascii="Open Sans" w:hAnsi="Open Sans" w:cs="Open Sans"/>
          <w:i/>
          <w:iCs/>
          <w:szCs w:val="22"/>
        </w:rPr>
        <w:t xml:space="preserve"> </w:t>
      </w:r>
      <w:r w:rsidRPr="0089515D">
        <w:rPr>
          <w:rFonts w:ascii="Open Sans" w:hAnsi="Open Sans" w:cs="Open Sans"/>
          <w:iCs/>
          <w:szCs w:val="22"/>
        </w:rPr>
        <w:t>outlines the main features of each calculator. For consistency, descriptions have been based on whether:</w:t>
      </w:r>
    </w:p>
    <w:p w14:paraId="740EEC68" w14:textId="77777777" w:rsidR="00EF6F58" w:rsidRPr="0089515D" w:rsidRDefault="00EF6F58" w:rsidP="00C514FA">
      <w:pPr>
        <w:pStyle w:val="ListParagraph"/>
        <w:numPr>
          <w:ilvl w:val="1"/>
          <w:numId w:val="2"/>
        </w:numPr>
        <w:spacing w:after="0" w:line="276" w:lineRule="auto"/>
        <w:ind w:left="924" w:hanging="357"/>
        <w:contextualSpacing w:val="0"/>
        <w:rPr>
          <w:rFonts w:ascii="Open Sans" w:hAnsi="Open Sans" w:cs="Open Sans"/>
          <w:sz w:val="22"/>
          <w:szCs w:val="22"/>
        </w:rPr>
      </w:pPr>
      <w:r w:rsidRPr="0089515D">
        <w:rPr>
          <w:rFonts w:ascii="Open Sans" w:hAnsi="Open Sans" w:cs="Open Sans"/>
          <w:sz w:val="22"/>
          <w:szCs w:val="22"/>
        </w:rPr>
        <w:t>the calculator estimates GHG emissions and/or carbon storage</w:t>
      </w:r>
    </w:p>
    <w:p w14:paraId="7B905521" w14:textId="77777777" w:rsidR="00EF6F58" w:rsidRPr="0089515D" w:rsidRDefault="00EF6F58" w:rsidP="00C514FA">
      <w:pPr>
        <w:pStyle w:val="ListParagraph"/>
        <w:numPr>
          <w:ilvl w:val="1"/>
          <w:numId w:val="2"/>
        </w:numPr>
        <w:spacing w:after="0" w:line="276" w:lineRule="auto"/>
        <w:ind w:left="924" w:hanging="357"/>
        <w:contextualSpacing w:val="0"/>
        <w:rPr>
          <w:rFonts w:ascii="Open Sans" w:hAnsi="Open Sans" w:cs="Open Sans"/>
          <w:sz w:val="22"/>
          <w:szCs w:val="22"/>
        </w:rPr>
      </w:pPr>
      <w:r w:rsidRPr="0089515D">
        <w:rPr>
          <w:rFonts w:ascii="Open Sans" w:hAnsi="Open Sans" w:cs="Open Sans"/>
          <w:sz w:val="22"/>
          <w:szCs w:val="22"/>
        </w:rPr>
        <w:t>the calculator explores the effect of different management practices on GHG emissions and explores management actions</w:t>
      </w:r>
    </w:p>
    <w:p w14:paraId="6B1EBCDC" w14:textId="77777777" w:rsidR="00EF6F58" w:rsidRPr="0089515D" w:rsidRDefault="00EF6F58" w:rsidP="00C514FA">
      <w:pPr>
        <w:pStyle w:val="ListParagraph"/>
        <w:numPr>
          <w:ilvl w:val="1"/>
          <w:numId w:val="2"/>
        </w:numPr>
        <w:spacing w:after="0" w:line="276" w:lineRule="auto"/>
        <w:ind w:left="924" w:hanging="357"/>
        <w:contextualSpacing w:val="0"/>
        <w:rPr>
          <w:rFonts w:ascii="Open Sans" w:hAnsi="Open Sans" w:cs="Open Sans"/>
          <w:sz w:val="22"/>
          <w:szCs w:val="22"/>
        </w:rPr>
      </w:pPr>
      <w:r w:rsidRPr="0089515D">
        <w:rPr>
          <w:rFonts w:ascii="Open Sans" w:hAnsi="Open Sans" w:cs="Open Sans"/>
          <w:sz w:val="22"/>
          <w:szCs w:val="22"/>
        </w:rPr>
        <w:t>the calculator is based on a GAF calculator</w:t>
      </w:r>
    </w:p>
    <w:p w14:paraId="15403717" w14:textId="77777777" w:rsidR="00EF6F58" w:rsidRPr="0089515D" w:rsidRDefault="00EF6F58" w:rsidP="00C514FA">
      <w:pPr>
        <w:pStyle w:val="ListParagraph"/>
        <w:numPr>
          <w:ilvl w:val="1"/>
          <w:numId w:val="2"/>
        </w:numPr>
        <w:spacing w:after="0" w:line="276" w:lineRule="auto"/>
        <w:ind w:left="924" w:hanging="357"/>
        <w:contextualSpacing w:val="0"/>
        <w:rPr>
          <w:rFonts w:ascii="Open Sans" w:hAnsi="Open Sans" w:cs="Open Sans"/>
          <w:iCs/>
          <w:sz w:val="22"/>
          <w:szCs w:val="22"/>
        </w:rPr>
      </w:pPr>
      <w:r w:rsidRPr="0089515D">
        <w:rPr>
          <w:rFonts w:ascii="Open Sans" w:hAnsi="Open Sans" w:cs="Open Sans"/>
          <w:sz w:val="22"/>
          <w:szCs w:val="22"/>
        </w:rPr>
        <w:t>the calculator is used in an ACCU Scheme method.</w:t>
      </w:r>
    </w:p>
    <w:p w14:paraId="5B8E27E0" w14:textId="77777777" w:rsidR="00EF6F58" w:rsidRPr="0089515D" w:rsidRDefault="00EF6F58" w:rsidP="00EF6F58">
      <w:pPr>
        <w:spacing w:after="160" w:line="259" w:lineRule="auto"/>
        <w:rPr>
          <w:rFonts w:ascii="Open Sans" w:hAnsi="Open Sans" w:cs="Open Sans"/>
          <w:iCs/>
          <w:szCs w:val="22"/>
        </w:rPr>
      </w:pPr>
      <w:r w:rsidRPr="0089515D">
        <w:rPr>
          <w:rFonts w:ascii="Open Sans" w:hAnsi="Open Sans" w:cs="Open Sans"/>
          <w:iCs/>
          <w:szCs w:val="22"/>
        </w:rPr>
        <w:t>The calculators may have more functions than those described.</w:t>
      </w:r>
      <w:r w:rsidRPr="0089515D" w:rsidDel="00D54C4C">
        <w:rPr>
          <w:rFonts w:ascii="Open Sans" w:hAnsi="Open Sans" w:cs="Open Sans"/>
          <w:iCs/>
          <w:szCs w:val="22"/>
        </w:rPr>
        <w:t xml:space="preserve"> </w:t>
      </w:r>
      <w:r w:rsidRPr="0089515D">
        <w:rPr>
          <w:rFonts w:ascii="Open Sans" w:hAnsi="Open Sans" w:cs="Open Sans"/>
          <w:iCs/>
          <w:szCs w:val="22"/>
        </w:rPr>
        <w:t xml:space="preserve">Users of the summary table are encouraged to click on the link for each calculator to explore all available functions, and any recent or upcoming updates to the calculator. </w:t>
      </w:r>
    </w:p>
    <w:p w14:paraId="4E1B3575" w14:textId="77777777" w:rsidR="005F4EA7" w:rsidRDefault="005F4EA7"/>
    <w:p w14:paraId="1D519358" w14:textId="77777777" w:rsidR="00A62422" w:rsidRDefault="00A62422"/>
    <w:p w14:paraId="4914EE9D" w14:textId="77777777" w:rsidR="00A62422" w:rsidRDefault="00A62422"/>
    <w:sectPr w:rsidR="00A62422" w:rsidSect="00823015">
      <w:headerReference w:type="even" r:id="rId30"/>
      <w:headerReference w:type="default" r:id="rId31"/>
      <w:footerReference w:type="even" r:id="rId32"/>
      <w:footerReference w:type="default" r:id="rId33"/>
      <w:headerReference w:type="first" r:id="rId34"/>
      <w:footerReference w:type="first" r:id="rId35"/>
      <w:pgSz w:w="16838" w:h="11906" w:orient="landscape"/>
      <w:pgMar w:top="720" w:right="720" w:bottom="720" w:left="720"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B4AFF" w14:textId="77777777" w:rsidR="00BB540E" w:rsidRDefault="00BB540E" w:rsidP="004C1FF0">
      <w:pPr>
        <w:spacing w:after="0"/>
      </w:pPr>
      <w:r>
        <w:separator/>
      </w:r>
    </w:p>
  </w:endnote>
  <w:endnote w:type="continuationSeparator" w:id="0">
    <w:p w14:paraId="1C667F3A" w14:textId="77777777" w:rsidR="00BB540E" w:rsidRDefault="00BB540E" w:rsidP="004C1FF0">
      <w:pPr>
        <w:spacing w:after="0"/>
      </w:pPr>
      <w:r>
        <w:continuationSeparator/>
      </w:r>
    </w:p>
  </w:endnote>
  <w:endnote w:type="continuationNotice" w:id="1">
    <w:p w14:paraId="590FCB1D" w14:textId="77777777" w:rsidR="00BB540E" w:rsidRDefault="00BB54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200423"/>
      <w:docPartObj>
        <w:docPartGallery w:val="Page Numbers (Bottom of Page)"/>
        <w:docPartUnique/>
      </w:docPartObj>
    </w:sdtPr>
    <w:sdtEndPr>
      <w:rPr>
        <w:noProof/>
      </w:rPr>
    </w:sdtEndPr>
    <w:sdtContent>
      <w:p w14:paraId="274FF9E6" w14:textId="26A7F74E" w:rsidR="005F74CE" w:rsidRDefault="005F74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1E8F5B" w14:textId="77777777" w:rsidR="005F74CE" w:rsidRDefault="005F7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BFBFD" w14:textId="4697A2BB" w:rsidR="004C1FF0" w:rsidRDefault="004C1FF0">
    <w:pPr>
      <w:pStyle w:val="Footer"/>
    </w:pPr>
    <w:r>
      <w:rPr>
        <w:noProof/>
      </w:rPr>
      <mc:AlternateContent>
        <mc:Choice Requires="wps">
          <w:drawing>
            <wp:anchor distT="0" distB="0" distL="0" distR="0" simplePos="0" relativeHeight="251658244" behindDoc="0" locked="0" layoutInCell="1" allowOverlap="1" wp14:anchorId="424AB0EE" wp14:editId="1E123C1C">
              <wp:simplePos x="635" y="635"/>
              <wp:positionH relativeFrom="page">
                <wp:align>center</wp:align>
              </wp:positionH>
              <wp:positionV relativeFrom="page">
                <wp:align>bottom</wp:align>
              </wp:positionV>
              <wp:extent cx="551815" cy="405765"/>
              <wp:effectExtent l="0" t="0" r="635" b="0"/>
              <wp:wrapNone/>
              <wp:docPr id="194602977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63CA948A" w14:textId="6DB15DCD" w:rsidR="004C1FF0" w:rsidRPr="004C1FF0" w:rsidRDefault="004C1FF0" w:rsidP="004C1FF0">
                          <w:pPr>
                            <w:spacing w:after="0"/>
                            <w:rPr>
                              <w:rFonts w:eastAsia="Calibri" w:cs="Calibri"/>
                              <w:noProof/>
                              <w:color w:val="FF0000"/>
                              <w:sz w:val="24"/>
                              <w:szCs w:val="24"/>
                            </w:rPr>
                          </w:pPr>
                          <w:r w:rsidRPr="004C1FF0">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4AB0EE" id="_x0000_t202" coordsize="21600,21600" o:spt="202" path="m,l,21600r21600,l21600,xe">
              <v:stroke joinstyle="miter"/>
              <v:path gradientshapeok="t" o:connecttype="rect"/>
            </v:shapetype>
            <v:shape id="Text Box 5" o:spid="_x0000_s1027" type="#_x0000_t202" alt="OFFICIAL" style="position:absolute;margin-left:0;margin-top:0;width:43.45pt;height:31.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j1DAIAABwEAAAOAAAAZHJzL2Uyb0RvYy54bWysU8Fu2zAMvQ/YPwi6L7aLuW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c15+uS4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UPfmdsAAAADAQAADwAAAGRycy9kb3ducmV2LnhtbEyPQWvCQBCF74X+h2UKvdVNDQ2aZiMieLIU&#10;1F56W3fHJG12NmQ3Gv99p170MvB4j/e+KRaja8UJ+9B4UvA6SUAgGW8bqhR87dcvMxAharK69YQK&#10;LhhgUT4+FDq3/kxbPO1iJbiEQq4V1DF2uZTB1Oh0mPgOib2j752OLPtK2l6fudy1cpokmXS6IV6o&#10;dYerGs3vbnAK3rbxY/ikffo9Ti8/m25l0uPGKPX8NC7fQUQc4y0M//iMDiUzHfxANohWAT8Sr5e9&#10;WTYHcVCQpXOQZSHv2cs/AAAA//8DAFBLAQItABQABgAIAAAAIQC2gziS/gAAAOEBAAATAAAAAAAA&#10;AAAAAAAAAAAAAABbQ29udGVudF9UeXBlc10ueG1sUEsBAi0AFAAGAAgAAAAhADj9If/WAAAAlAEA&#10;AAsAAAAAAAAAAAAAAAAALwEAAF9yZWxzLy5yZWxzUEsBAi0AFAAGAAgAAAAhAC1h6PUMAgAAHAQA&#10;AA4AAAAAAAAAAAAAAAAALgIAAGRycy9lMm9Eb2MueG1sUEsBAi0AFAAGAAgAAAAhAIlD35nbAAAA&#10;AwEAAA8AAAAAAAAAAAAAAAAAZgQAAGRycy9kb3ducmV2LnhtbFBLBQYAAAAABAAEAPMAAABuBQAA&#10;AAA=&#10;" filled="f" stroked="f">
              <v:textbox style="mso-fit-shape-to-text:t" inset="0,0,0,15pt">
                <w:txbxContent>
                  <w:p w14:paraId="63CA948A" w14:textId="6DB15DCD" w:rsidR="004C1FF0" w:rsidRPr="004C1FF0" w:rsidRDefault="004C1FF0" w:rsidP="004C1FF0">
                    <w:pPr>
                      <w:spacing w:after="0"/>
                      <w:rPr>
                        <w:rFonts w:eastAsia="Calibri" w:cs="Calibri"/>
                        <w:noProof/>
                        <w:color w:val="FF0000"/>
                        <w:sz w:val="24"/>
                        <w:szCs w:val="24"/>
                      </w:rPr>
                    </w:pPr>
                    <w:r w:rsidRPr="004C1FF0">
                      <w:rPr>
                        <w:rFonts w:eastAsia="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7995733"/>
      <w:docPartObj>
        <w:docPartGallery w:val="Page Numbers (Bottom of Page)"/>
        <w:docPartUnique/>
      </w:docPartObj>
    </w:sdtPr>
    <w:sdtEndPr>
      <w:rPr>
        <w:rFonts w:ascii="Open Sans" w:hAnsi="Open Sans" w:cs="Open Sans"/>
        <w:noProof/>
        <w:sz w:val="22"/>
        <w:szCs w:val="22"/>
      </w:rPr>
    </w:sdtEndPr>
    <w:sdtContent>
      <w:p w14:paraId="1596295D" w14:textId="0625CB3C" w:rsidR="00643690" w:rsidRPr="00643690" w:rsidRDefault="00643690">
        <w:pPr>
          <w:pStyle w:val="Footer"/>
          <w:jc w:val="center"/>
          <w:rPr>
            <w:rFonts w:ascii="Open Sans" w:hAnsi="Open Sans" w:cs="Open Sans"/>
            <w:sz w:val="22"/>
            <w:szCs w:val="22"/>
          </w:rPr>
        </w:pPr>
        <w:r w:rsidRPr="00643690">
          <w:rPr>
            <w:rFonts w:ascii="Open Sans" w:hAnsi="Open Sans" w:cs="Open Sans"/>
            <w:sz w:val="22"/>
            <w:szCs w:val="22"/>
          </w:rPr>
          <w:fldChar w:fldCharType="begin"/>
        </w:r>
        <w:r w:rsidRPr="00643690">
          <w:rPr>
            <w:rFonts w:ascii="Open Sans" w:hAnsi="Open Sans" w:cs="Open Sans"/>
            <w:sz w:val="22"/>
            <w:szCs w:val="22"/>
          </w:rPr>
          <w:instrText xml:space="preserve"> PAGE   \* MERGEFORMAT </w:instrText>
        </w:r>
        <w:r w:rsidRPr="00643690">
          <w:rPr>
            <w:rFonts w:ascii="Open Sans" w:hAnsi="Open Sans" w:cs="Open Sans"/>
            <w:sz w:val="22"/>
            <w:szCs w:val="22"/>
          </w:rPr>
          <w:fldChar w:fldCharType="separate"/>
        </w:r>
        <w:r w:rsidRPr="00643690">
          <w:rPr>
            <w:rFonts w:ascii="Open Sans" w:hAnsi="Open Sans" w:cs="Open Sans"/>
            <w:noProof/>
            <w:sz w:val="22"/>
            <w:szCs w:val="22"/>
          </w:rPr>
          <w:t>2</w:t>
        </w:r>
        <w:r w:rsidRPr="00643690">
          <w:rPr>
            <w:rFonts w:ascii="Open Sans" w:hAnsi="Open Sans" w:cs="Open Sans"/>
            <w:noProof/>
            <w:sz w:val="22"/>
            <w:szCs w:val="22"/>
          </w:rPr>
          <w:fldChar w:fldCharType="end"/>
        </w:r>
      </w:p>
    </w:sdtContent>
  </w:sdt>
  <w:p w14:paraId="5D9A295E" w14:textId="720A70CC" w:rsidR="004C1FF0" w:rsidRDefault="004C1FF0" w:rsidP="005F74C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FAF34" w14:textId="58D03F10" w:rsidR="004C1FF0" w:rsidRDefault="004C1FF0">
    <w:pPr>
      <w:pStyle w:val="Footer"/>
    </w:pPr>
    <w:r>
      <w:rPr>
        <w:noProof/>
      </w:rPr>
      <mc:AlternateContent>
        <mc:Choice Requires="wps">
          <w:drawing>
            <wp:anchor distT="0" distB="0" distL="0" distR="0" simplePos="0" relativeHeight="251658243" behindDoc="0" locked="0" layoutInCell="1" allowOverlap="1" wp14:anchorId="4810383B" wp14:editId="1FFCAA9A">
              <wp:simplePos x="635" y="635"/>
              <wp:positionH relativeFrom="page">
                <wp:align>center</wp:align>
              </wp:positionH>
              <wp:positionV relativeFrom="page">
                <wp:align>bottom</wp:align>
              </wp:positionV>
              <wp:extent cx="551815" cy="405765"/>
              <wp:effectExtent l="0" t="0" r="635" b="0"/>
              <wp:wrapNone/>
              <wp:docPr id="56962364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730F9B41" w14:textId="38C4144F" w:rsidR="004C1FF0" w:rsidRPr="004C1FF0" w:rsidRDefault="004C1FF0" w:rsidP="004C1FF0">
                          <w:pPr>
                            <w:spacing w:after="0"/>
                            <w:rPr>
                              <w:rFonts w:eastAsia="Calibri" w:cs="Calibri"/>
                              <w:noProof/>
                              <w:color w:val="FF0000"/>
                              <w:sz w:val="24"/>
                              <w:szCs w:val="24"/>
                            </w:rPr>
                          </w:pPr>
                          <w:r w:rsidRPr="004C1FF0">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10383B" id="_x0000_t202" coordsize="21600,21600" o:spt="202" path="m,l,21600r21600,l21600,xe">
              <v:stroke joinstyle="miter"/>
              <v:path gradientshapeok="t" o:connecttype="rect"/>
            </v:shapetype>
            <v:shape id="Text Box 4" o:spid="_x0000_s1029" type="#_x0000_t202" alt="OFFICIAL" style="position:absolute;margin-left:0;margin-top:0;width:43.4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42O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U15+vi4jSna5bJ0P3wRoEo2aOtxKIosd&#10;1j6MqVNKrGVg1SmVNqPMbw7EjJ7s0mG0wrAdSNfU9OPU/RaaIw7lYNy3t3zVYek18+GJOVwwzoGi&#10;DY94SAV9TeFkUdKC+/k3f8xH3jFKSY+CqalBRVOivhvcR9TWZLjJ2Caj+JKXOcbNXt8ByrDAF2F5&#10;MtHrgppM6UC/oJyXsRCGmOFYrqbbybwLo3LxOXCxXKYklJFlYW02lkfoSFfk8nl4Yc6eCA+4qQeY&#10;1MSqN7yPufGmt8t9QPbTUiK1I5EnxlGCaa2n5xI1/vo/ZV0e9eIXAAAA//8DAFBLAwQUAAYACAAA&#10;ACEAiUPfmdsAAAADAQAADwAAAGRycy9kb3ducmV2LnhtbEyPQWvCQBCF74X+h2UKvdVNDQ2aZiMi&#10;eLIU1F56W3fHJG12NmQ3Gv99p170MvB4j/e+KRaja8UJ+9B4UvA6SUAgGW8bqhR87dcvMxAharK6&#10;9YQKLhhgUT4+FDq3/kxbPO1iJbiEQq4V1DF2uZTB1Oh0mPgOib2j752OLPtK2l6fudy1cpokmXS6&#10;IV6odYerGs3vbnAK3rbxY/ikffo9Ti8/m25l0uPGKPX8NC7fQUQc4y0M//iMDiUzHfxANohWAT8S&#10;r5e9WTYHcVCQpXOQZSHv2cs/AAAA//8DAFBLAQItABQABgAIAAAAIQC2gziS/gAAAOEBAAATAAAA&#10;AAAAAAAAAAAAAAAAAABbQ29udGVudF9UeXBlc10ueG1sUEsBAi0AFAAGAAgAAAAhADj9If/WAAAA&#10;lAEAAAsAAAAAAAAAAAAAAAAALwEAAF9yZWxzLy5yZWxzUEsBAi0AFAAGAAgAAAAhAPcfjY4PAgAA&#10;HAQAAA4AAAAAAAAAAAAAAAAALgIAAGRycy9lMm9Eb2MueG1sUEsBAi0AFAAGAAgAAAAhAIlD35nb&#10;AAAAAwEAAA8AAAAAAAAAAAAAAAAAaQQAAGRycy9kb3ducmV2LnhtbFBLBQYAAAAABAAEAPMAAABx&#10;BQAAAAA=&#10;" filled="f" stroked="f">
              <v:textbox style="mso-fit-shape-to-text:t" inset="0,0,0,15pt">
                <w:txbxContent>
                  <w:p w14:paraId="730F9B41" w14:textId="38C4144F" w:rsidR="004C1FF0" w:rsidRPr="004C1FF0" w:rsidRDefault="004C1FF0" w:rsidP="004C1FF0">
                    <w:pPr>
                      <w:spacing w:after="0"/>
                      <w:rPr>
                        <w:rFonts w:eastAsia="Calibri" w:cs="Calibri"/>
                        <w:noProof/>
                        <w:color w:val="FF0000"/>
                        <w:sz w:val="24"/>
                        <w:szCs w:val="24"/>
                      </w:rPr>
                    </w:pPr>
                    <w:r w:rsidRPr="004C1FF0">
                      <w:rPr>
                        <w:rFonts w:eastAsia="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5A358" w14:textId="77777777" w:rsidR="00BB540E" w:rsidRDefault="00BB540E" w:rsidP="004C1FF0">
      <w:pPr>
        <w:spacing w:after="0"/>
      </w:pPr>
      <w:r>
        <w:separator/>
      </w:r>
    </w:p>
  </w:footnote>
  <w:footnote w:type="continuationSeparator" w:id="0">
    <w:p w14:paraId="1FB411C2" w14:textId="77777777" w:rsidR="00BB540E" w:rsidRDefault="00BB540E" w:rsidP="004C1FF0">
      <w:pPr>
        <w:spacing w:after="0"/>
      </w:pPr>
      <w:r>
        <w:continuationSeparator/>
      </w:r>
    </w:p>
  </w:footnote>
  <w:footnote w:type="continuationNotice" w:id="1">
    <w:p w14:paraId="317601B5" w14:textId="77777777" w:rsidR="00BB540E" w:rsidRDefault="00BB54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9889A" w14:textId="153A4103" w:rsidR="002300D6" w:rsidRPr="00C514FA" w:rsidRDefault="00934F97">
    <w:pPr>
      <w:pStyle w:val="Header"/>
      <w:rPr>
        <w:rFonts w:ascii="Open Sans" w:hAnsi="Open Sans" w:cs="Open Sans"/>
        <w:sz w:val="22"/>
        <w:szCs w:val="22"/>
      </w:rPr>
    </w:pPr>
    <w:r>
      <w:rPr>
        <w:rFonts w:ascii="Open Sans" w:hAnsi="Open Sans" w:cs="Open Sans"/>
        <w:noProof/>
        <w:sz w:val="22"/>
        <w:szCs w:val="22"/>
      </w:rPr>
      <w:drawing>
        <wp:anchor distT="0" distB="0" distL="114300" distR="114300" simplePos="0" relativeHeight="251659268" behindDoc="1" locked="0" layoutInCell="1" allowOverlap="1" wp14:anchorId="6C311A8B" wp14:editId="2C9CFC78">
          <wp:simplePos x="0" y="0"/>
          <wp:positionH relativeFrom="column">
            <wp:posOffset>7687118</wp:posOffset>
          </wp:positionH>
          <wp:positionV relativeFrom="paragraph">
            <wp:posOffset>-173931</wp:posOffset>
          </wp:positionV>
          <wp:extent cx="2381250" cy="492125"/>
          <wp:effectExtent l="0" t="0" r="0" b="3175"/>
          <wp:wrapTight wrapText="bothSides">
            <wp:wrapPolygon edited="0">
              <wp:start x="1901" y="0"/>
              <wp:lineTo x="0" y="1672"/>
              <wp:lineTo x="0" y="15050"/>
              <wp:lineTo x="3974" y="20903"/>
              <wp:lineTo x="5011" y="20903"/>
              <wp:lineTo x="16762" y="20903"/>
              <wp:lineTo x="21427" y="18395"/>
              <wp:lineTo x="21427" y="6689"/>
              <wp:lineTo x="2938" y="0"/>
              <wp:lineTo x="1901" y="0"/>
            </wp:wrapPolygon>
          </wp:wrapTight>
          <wp:docPr id="19300590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05906"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492125"/>
                  </a:xfrm>
                  <a:prstGeom prst="rect">
                    <a:avLst/>
                  </a:prstGeom>
                  <a:noFill/>
                </pic:spPr>
              </pic:pic>
            </a:graphicData>
          </a:graphic>
          <wp14:sizeRelH relativeFrom="page">
            <wp14:pctWidth>0</wp14:pctWidth>
          </wp14:sizeRelH>
          <wp14:sizeRelV relativeFrom="page">
            <wp14:pctHeight>0</wp14:pctHeight>
          </wp14:sizeRelV>
        </wp:anchor>
      </w:drawing>
    </w:r>
    <w:r w:rsidR="002300D6" w:rsidRPr="00C514FA">
      <w:rPr>
        <w:rFonts w:ascii="Open Sans" w:hAnsi="Open Sans" w:cs="Open Sans"/>
        <w:sz w:val="22"/>
        <w:szCs w:val="22"/>
      </w:rPr>
      <w:t>Carbon Farming Outreach Program training package</w:t>
    </w:r>
    <w:r w:rsidR="009C59D3">
      <w:rPr>
        <w:rFonts w:ascii="Open Sans" w:hAnsi="Open Sans" w:cs="Open Sans"/>
        <w:sz w:val="22"/>
        <w:szCs w:val="22"/>
      </w:rPr>
      <w:t xml:space="preserve">  </w:t>
    </w:r>
  </w:p>
  <w:p w14:paraId="075592C1" w14:textId="77777777" w:rsidR="002300D6" w:rsidRDefault="00230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F7080" w14:textId="30D14961" w:rsidR="004C1FF0" w:rsidRDefault="004C1FF0">
    <w:pPr>
      <w:pStyle w:val="Header"/>
    </w:pPr>
    <w:r>
      <w:rPr>
        <w:noProof/>
      </w:rPr>
      <mc:AlternateContent>
        <mc:Choice Requires="wps">
          <w:drawing>
            <wp:anchor distT="0" distB="0" distL="0" distR="0" simplePos="0" relativeHeight="251658241" behindDoc="0" locked="0" layoutInCell="1" allowOverlap="1" wp14:anchorId="67F8D558" wp14:editId="15C08B82">
              <wp:simplePos x="635" y="635"/>
              <wp:positionH relativeFrom="page">
                <wp:align>center</wp:align>
              </wp:positionH>
              <wp:positionV relativeFrom="page">
                <wp:align>top</wp:align>
              </wp:positionV>
              <wp:extent cx="551815" cy="405765"/>
              <wp:effectExtent l="0" t="0" r="635" b="13335"/>
              <wp:wrapNone/>
              <wp:docPr id="62535462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534F114C" w14:textId="1B5780C8" w:rsidR="004C1FF0" w:rsidRPr="004C1FF0" w:rsidRDefault="004C1FF0" w:rsidP="004C1FF0">
                          <w:pPr>
                            <w:spacing w:after="0"/>
                            <w:rPr>
                              <w:rFonts w:eastAsia="Calibri" w:cs="Calibri"/>
                              <w:noProof/>
                              <w:color w:val="FF0000"/>
                              <w:sz w:val="24"/>
                              <w:szCs w:val="24"/>
                            </w:rPr>
                          </w:pPr>
                          <w:r w:rsidRPr="004C1FF0">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F8D558" id="_x0000_t202" coordsize="21600,21600" o:spt="202" path="m,l,21600r21600,l21600,xe">
              <v:stroke joinstyle="miter"/>
              <v:path gradientshapeok="t" o:connecttype="rect"/>
            </v:shapetype>
            <v:shape id="Text Box 2" o:spid="_x0000_s1026" type="#_x0000_t202" alt="OFFICIAL" style="position:absolute;margin-left:0;margin-top:0;width:43.4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NECQIAABUEAAAOAAAAZHJzL2Uyb0RvYy54bWysU8Fu2zAMvQ/YPwi6L7aLue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mJefrs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arAD&#10;JtoAAAADAQAADwAAAGRycy9kb3ducmV2LnhtbEyPQU/CQBCF7yb+h82YeJNtNTRQOyXEhAM3RPS8&#10;dMe20J1tugtUfr2jF71M8vJe3vumWIyuU2caQusZIZ0koIgrb1uuEXZvq4cZqBANW9N5JoQvCrAo&#10;b28Kk1t/4Vc6b2OtpIRDbhCaGPtc61A15EyY+J5YvE8/OBNFDrW2g7lIuev0Y5Jk2pmWZaExPb00&#10;VB23J4fQTpc+pvS+Xh0+XOrT62Y9vW4Q7+/G5TOoSGP8C8MPvqBDKUx7f2IbVIcgj8TfK94sm4Pa&#10;I2RPc9Blof+zl98AAAD//wMAUEsBAi0AFAAGAAgAAAAhALaDOJL+AAAA4QEAABMAAAAAAAAAAAAA&#10;AAAAAAAAAFtDb250ZW50X1R5cGVzXS54bWxQSwECLQAUAAYACAAAACEAOP0h/9YAAACUAQAACwAA&#10;AAAAAAAAAAAAAAAvAQAAX3JlbHMvLnJlbHNQSwECLQAUAAYACAAAACEAt7cDRAkCAAAVBAAADgAA&#10;AAAAAAAAAAAAAAAuAgAAZHJzL2Uyb0RvYy54bWxQSwECLQAUAAYACAAAACEAarADJtoAAAADAQAA&#10;DwAAAAAAAAAAAAAAAABjBAAAZHJzL2Rvd25yZXYueG1sUEsFBgAAAAAEAAQA8wAAAGoFAAAAAA==&#10;" filled="f" stroked="f">
              <v:textbox style="mso-fit-shape-to-text:t" inset="0,15pt,0,0">
                <w:txbxContent>
                  <w:p w14:paraId="534F114C" w14:textId="1B5780C8" w:rsidR="004C1FF0" w:rsidRPr="004C1FF0" w:rsidRDefault="004C1FF0" w:rsidP="004C1FF0">
                    <w:pPr>
                      <w:spacing w:after="0"/>
                      <w:rPr>
                        <w:rFonts w:eastAsia="Calibri" w:cs="Calibri"/>
                        <w:noProof/>
                        <w:color w:val="FF0000"/>
                        <w:sz w:val="24"/>
                        <w:szCs w:val="24"/>
                      </w:rPr>
                    </w:pPr>
                    <w:r w:rsidRPr="004C1FF0">
                      <w:rPr>
                        <w:rFonts w:eastAsia="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A5918" w14:textId="1B36D992" w:rsidR="004C1FF0" w:rsidRPr="00D1142F" w:rsidRDefault="00D1142F">
    <w:pPr>
      <w:pStyle w:val="Header"/>
      <w:rPr>
        <w:rFonts w:ascii="Open Sans" w:hAnsi="Open Sans" w:cs="Open Sans"/>
        <w:sz w:val="22"/>
        <w:szCs w:val="22"/>
      </w:rPr>
    </w:pPr>
    <w:r>
      <w:rPr>
        <w:rFonts w:ascii="Open Sans" w:hAnsi="Open Sans" w:cs="Open Sans"/>
        <w:noProof/>
        <w:sz w:val="22"/>
        <w:szCs w:val="22"/>
      </w:rPr>
      <w:drawing>
        <wp:anchor distT="0" distB="0" distL="114300" distR="114300" simplePos="0" relativeHeight="251661316" behindDoc="1" locked="0" layoutInCell="1" allowOverlap="1" wp14:anchorId="4B57411C" wp14:editId="1D8E499C">
          <wp:simplePos x="0" y="0"/>
          <wp:positionH relativeFrom="column">
            <wp:posOffset>7675570</wp:posOffset>
          </wp:positionH>
          <wp:positionV relativeFrom="paragraph">
            <wp:posOffset>-162206</wp:posOffset>
          </wp:positionV>
          <wp:extent cx="2381250" cy="492125"/>
          <wp:effectExtent l="0" t="0" r="0" b="3175"/>
          <wp:wrapTight wrapText="bothSides">
            <wp:wrapPolygon edited="0">
              <wp:start x="1901" y="0"/>
              <wp:lineTo x="0" y="1672"/>
              <wp:lineTo x="0" y="15050"/>
              <wp:lineTo x="3974" y="20903"/>
              <wp:lineTo x="5011" y="20903"/>
              <wp:lineTo x="16762" y="20903"/>
              <wp:lineTo x="21427" y="18395"/>
              <wp:lineTo x="21427" y="6689"/>
              <wp:lineTo x="2938" y="0"/>
              <wp:lineTo x="1901" y="0"/>
            </wp:wrapPolygon>
          </wp:wrapTight>
          <wp:docPr id="116607224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072244"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492125"/>
                  </a:xfrm>
                  <a:prstGeom prst="rect">
                    <a:avLst/>
                  </a:prstGeom>
                  <a:noFill/>
                </pic:spPr>
              </pic:pic>
            </a:graphicData>
          </a:graphic>
          <wp14:sizeRelH relativeFrom="page">
            <wp14:pctWidth>0</wp14:pctWidth>
          </wp14:sizeRelH>
          <wp14:sizeRelV relativeFrom="page">
            <wp14:pctHeight>0</wp14:pctHeight>
          </wp14:sizeRelV>
        </wp:anchor>
      </w:drawing>
    </w:r>
    <w:r w:rsidRPr="00C514FA">
      <w:rPr>
        <w:rFonts w:ascii="Open Sans" w:hAnsi="Open Sans" w:cs="Open Sans"/>
        <w:sz w:val="22"/>
        <w:szCs w:val="22"/>
      </w:rPr>
      <w:t>Carbon Farming Outreach Program training package</w:t>
    </w:r>
    <w:r>
      <w:rPr>
        <w:rFonts w:ascii="Open Sans" w:hAnsi="Open Sans" w:cs="Open Sans"/>
        <w:sz w:val="22"/>
        <w:szCs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3DF6E" w14:textId="6BBAF31E" w:rsidR="004C1FF0" w:rsidRDefault="004C1FF0">
    <w:pPr>
      <w:pStyle w:val="Header"/>
    </w:pPr>
    <w:r>
      <w:rPr>
        <w:noProof/>
      </w:rPr>
      <mc:AlternateContent>
        <mc:Choice Requires="wps">
          <w:drawing>
            <wp:anchor distT="0" distB="0" distL="0" distR="0" simplePos="0" relativeHeight="251658240" behindDoc="0" locked="0" layoutInCell="1" allowOverlap="1" wp14:anchorId="7E0DBEC1" wp14:editId="5E648618">
              <wp:simplePos x="635" y="635"/>
              <wp:positionH relativeFrom="page">
                <wp:align>center</wp:align>
              </wp:positionH>
              <wp:positionV relativeFrom="page">
                <wp:align>top</wp:align>
              </wp:positionV>
              <wp:extent cx="551815" cy="405765"/>
              <wp:effectExtent l="0" t="0" r="635" b="13335"/>
              <wp:wrapNone/>
              <wp:docPr id="50043849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39B70013" w14:textId="3C8AA7BA" w:rsidR="004C1FF0" w:rsidRPr="004C1FF0" w:rsidRDefault="004C1FF0" w:rsidP="004C1FF0">
                          <w:pPr>
                            <w:spacing w:after="0"/>
                            <w:rPr>
                              <w:rFonts w:eastAsia="Calibri" w:cs="Calibri"/>
                              <w:noProof/>
                              <w:color w:val="FF0000"/>
                              <w:sz w:val="24"/>
                              <w:szCs w:val="24"/>
                            </w:rPr>
                          </w:pPr>
                          <w:r w:rsidRPr="004C1FF0">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0DBEC1" id="_x0000_t202" coordsize="21600,21600" o:spt="202" path="m,l,21600r21600,l21600,xe">
              <v:stroke joinstyle="miter"/>
              <v:path gradientshapeok="t" o:connecttype="rect"/>
            </v:shapetype>
            <v:shape id="Text Box 1" o:spid="_x0000_s1028" type="#_x0000_t202" alt="OFFICIAL" style="position:absolute;margin-left:0;margin-top:0;width:43.4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4HDgIAABwEAAAOAAAAZHJzL2Uyb0RvYy54bWysU8Fu2zAMvQ/YPwi6L7aDue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zMtPN2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BqsAMm2gAAAAMBAAAPAAAAZHJzL2Rvd25yZXYueG1sTI9BT8JAEIXvJv6HzZh4k201NFA7JcSE&#10;AzdE9Lx0x7bQnW26C1R+vaMXvUzy8l7e+6ZYjK5TZxpC6xkhnSSgiCtvW64Rdm+rhxmoEA1b03km&#10;hC8KsChvbwqTW3/hVzpvY62khENuEJoY+1zrUDXkTJj4nli8Tz84E0UOtbaDuUi56/RjkmTamZZl&#10;oTE9vTRUHbcnh9BOlz6m9L5eHT5c6tPrZj29bhDv78blM6hIY/wLww++oEMpTHt/YhtUhyCPxN8r&#10;3iybg9ojZE9z0GWh/7OX3wAAAP//AwBQSwECLQAUAAYACAAAACEAtoM4kv4AAADhAQAAEwAAAAAA&#10;AAAAAAAAAAAAAAAAW0NvbnRlbnRfVHlwZXNdLnhtbFBLAQItABQABgAIAAAAIQA4/SH/1gAAAJQB&#10;AAALAAAAAAAAAAAAAAAAAC8BAABfcmVscy8ucmVsc1BLAQItABQABgAIAAAAIQAEZ24HDgIAABwE&#10;AAAOAAAAAAAAAAAAAAAAAC4CAABkcnMvZTJvRG9jLnhtbFBLAQItABQABgAIAAAAIQBqsAMm2gAA&#10;AAMBAAAPAAAAAAAAAAAAAAAAAGgEAABkcnMvZG93bnJldi54bWxQSwUGAAAAAAQABADzAAAAbwUA&#10;AAAA&#10;" filled="f" stroked="f">
              <v:textbox style="mso-fit-shape-to-text:t" inset="0,15pt,0,0">
                <w:txbxContent>
                  <w:p w14:paraId="39B70013" w14:textId="3C8AA7BA" w:rsidR="004C1FF0" w:rsidRPr="004C1FF0" w:rsidRDefault="004C1FF0" w:rsidP="004C1FF0">
                    <w:pPr>
                      <w:spacing w:after="0"/>
                      <w:rPr>
                        <w:rFonts w:eastAsia="Calibri" w:cs="Calibri"/>
                        <w:noProof/>
                        <w:color w:val="FF0000"/>
                        <w:sz w:val="24"/>
                        <w:szCs w:val="24"/>
                      </w:rPr>
                    </w:pPr>
                    <w:r w:rsidRPr="004C1FF0">
                      <w:rPr>
                        <w:rFonts w:eastAsia="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23204"/>
    <w:multiLevelType w:val="hybridMultilevel"/>
    <w:tmpl w:val="314A3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911266"/>
    <w:multiLevelType w:val="hybridMultilevel"/>
    <w:tmpl w:val="38F8EE90"/>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 w15:restartNumberingAfterBreak="0">
    <w:nsid w:val="177A500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BAC3A9F"/>
    <w:multiLevelType w:val="multilevel"/>
    <w:tmpl w:val="568496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B693302"/>
    <w:multiLevelType w:val="hybridMultilevel"/>
    <w:tmpl w:val="E080107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353"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33950161">
    <w:abstractNumId w:val="1"/>
  </w:num>
  <w:num w:numId="2" w16cid:durableId="1277719221">
    <w:abstractNumId w:val="4"/>
  </w:num>
  <w:num w:numId="3" w16cid:durableId="2116948345">
    <w:abstractNumId w:val="0"/>
  </w:num>
  <w:num w:numId="4" w16cid:durableId="1357538953">
    <w:abstractNumId w:val="3"/>
  </w:num>
  <w:num w:numId="5" w16cid:durableId="259721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45"/>
    <w:rsid w:val="00022EE4"/>
    <w:rsid w:val="00032837"/>
    <w:rsid w:val="00036B7C"/>
    <w:rsid w:val="00057B96"/>
    <w:rsid w:val="00076B3F"/>
    <w:rsid w:val="0008017C"/>
    <w:rsid w:val="00082BDC"/>
    <w:rsid w:val="00085BA8"/>
    <w:rsid w:val="00090A6A"/>
    <w:rsid w:val="000A505B"/>
    <w:rsid w:val="000A77DA"/>
    <w:rsid w:val="000B7DC2"/>
    <w:rsid w:val="000C6205"/>
    <w:rsid w:val="00124981"/>
    <w:rsid w:val="00136390"/>
    <w:rsid w:val="00156DC6"/>
    <w:rsid w:val="0019293C"/>
    <w:rsid w:val="001D4434"/>
    <w:rsid w:val="001F7AA2"/>
    <w:rsid w:val="00204EA4"/>
    <w:rsid w:val="002211A2"/>
    <w:rsid w:val="002300D6"/>
    <w:rsid w:val="00231B86"/>
    <w:rsid w:val="00250888"/>
    <w:rsid w:val="002538CF"/>
    <w:rsid w:val="002667DF"/>
    <w:rsid w:val="00281099"/>
    <w:rsid w:val="00284903"/>
    <w:rsid w:val="00296E6A"/>
    <w:rsid w:val="002A4A06"/>
    <w:rsid w:val="002B18A1"/>
    <w:rsid w:val="002C5E97"/>
    <w:rsid w:val="002D1D92"/>
    <w:rsid w:val="002D434F"/>
    <w:rsid w:val="002D733D"/>
    <w:rsid w:val="002F01F6"/>
    <w:rsid w:val="003167BF"/>
    <w:rsid w:val="00335213"/>
    <w:rsid w:val="00341A84"/>
    <w:rsid w:val="00386EDA"/>
    <w:rsid w:val="003C6F8F"/>
    <w:rsid w:val="003C79DA"/>
    <w:rsid w:val="003D0410"/>
    <w:rsid w:val="003F1D37"/>
    <w:rsid w:val="00412D64"/>
    <w:rsid w:val="00413802"/>
    <w:rsid w:val="00433AE5"/>
    <w:rsid w:val="00441BB2"/>
    <w:rsid w:val="00461372"/>
    <w:rsid w:val="00482AAB"/>
    <w:rsid w:val="00491574"/>
    <w:rsid w:val="004B357C"/>
    <w:rsid w:val="004C1FF0"/>
    <w:rsid w:val="004C5BCB"/>
    <w:rsid w:val="004D0B9D"/>
    <w:rsid w:val="004D1F77"/>
    <w:rsid w:val="004D1FD9"/>
    <w:rsid w:val="00502A9D"/>
    <w:rsid w:val="00503C0A"/>
    <w:rsid w:val="00515E8C"/>
    <w:rsid w:val="00517FE6"/>
    <w:rsid w:val="00520B92"/>
    <w:rsid w:val="005606E1"/>
    <w:rsid w:val="0057471D"/>
    <w:rsid w:val="00593D86"/>
    <w:rsid w:val="005A0F5E"/>
    <w:rsid w:val="005B4536"/>
    <w:rsid w:val="005C4614"/>
    <w:rsid w:val="005D0468"/>
    <w:rsid w:val="005D27A6"/>
    <w:rsid w:val="005D3FA3"/>
    <w:rsid w:val="005D4F38"/>
    <w:rsid w:val="005D517E"/>
    <w:rsid w:val="005D6E9D"/>
    <w:rsid w:val="005F4EA7"/>
    <w:rsid w:val="005F74CE"/>
    <w:rsid w:val="00617DC6"/>
    <w:rsid w:val="006231E7"/>
    <w:rsid w:val="0062397C"/>
    <w:rsid w:val="00626595"/>
    <w:rsid w:val="006376CB"/>
    <w:rsid w:val="0064119C"/>
    <w:rsid w:val="00642FDF"/>
    <w:rsid w:val="00643690"/>
    <w:rsid w:val="00654D4A"/>
    <w:rsid w:val="00661DE9"/>
    <w:rsid w:val="00663BB2"/>
    <w:rsid w:val="00680D89"/>
    <w:rsid w:val="006916F2"/>
    <w:rsid w:val="00696444"/>
    <w:rsid w:val="006966A7"/>
    <w:rsid w:val="006B0B72"/>
    <w:rsid w:val="006E2CB7"/>
    <w:rsid w:val="006E5F31"/>
    <w:rsid w:val="006F2886"/>
    <w:rsid w:val="006F2C0D"/>
    <w:rsid w:val="00700B4F"/>
    <w:rsid w:val="00717CC1"/>
    <w:rsid w:val="00743E04"/>
    <w:rsid w:val="00760F8D"/>
    <w:rsid w:val="00780420"/>
    <w:rsid w:val="00786777"/>
    <w:rsid w:val="007B42CD"/>
    <w:rsid w:val="007B7795"/>
    <w:rsid w:val="007B7C20"/>
    <w:rsid w:val="007B7E43"/>
    <w:rsid w:val="007E73A2"/>
    <w:rsid w:val="00803995"/>
    <w:rsid w:val="00811952"/>
    <w:rsid w:val="00822248"/>
    <w:rsid w:val="00823015"/>
    <w:rsid w:val="00827429"/>
    <w:rsid w:val="00841DF8"/>
    <w:rsid w:val="00856E3A"/>
    <w:rsid w:val="00864C26"/>
    <w:rsid w:val="008666F5"/>
    <w:rsid w:val="00884308"/>
    <w:rsid w:val="0089515D"/>
    <w:rsid w:val="008B702A"/>
    <w:rsid w:val="008C2815"/>
    <w:rsid w:val="008D1ACA"/>
    <w:rsid w:val="008D22E1"/>
    <w:rsid w:val="008D5F15"/>
    <w:rsid w:val="00934F97"/>
    <w:rsid w:val="00964BAC"/>
    <w:rsid w:val="00972E2C"/>
    <w:rsid w:val="009931E9"/>
    <w:rsid w:val="009A2C8F"/>
    <w:rsid w:val="009A2D77"/>
    <w:rsid w:val="009B5F5C"/>
    <w:rsid w:val="009C5406"/>
    <w:rsid w:val="009C59D3"/>
    <w:rsid w:val="009E02BF"/>
    <w:rsid w:val="00A26A67"/>
    <w:rsid w:val="00A36570"/>
    <w:rsid w:val="00A45439"/>
    <w:rsid w:val="00A46212"/>
    <w:rsid w:val="00A55198"/>
    <w:rsid w:val="00A608CE"/>
    <w:rsid w:val="00A62422"/>
    <w:rsid w:val="00A975C9"/>
    <w:rsid w:val="00AA00FE"/>
    <w:rsid w:val="00AA208D"/>
    <w:rsid w:val="00AA4C74"/>
    <w:rsid w:val="00AA7973"/>
    <w:rsid w:val="00AC4DFB"/>
    <w:rsid w:val="00AC5071"/>
    <w:rsid w:val="00AC5F99"/>
    <w:rsid w:val="00AE6530"/>
    <w:rsid w:val="00B031C0"/>
    <w:rsid w:val="00B04D7A"/>
    <w:rsid w:val="00B1071E"/>
    <w:rsid w:val="00B162FD"/>
    <w:rsid w:val="00B21344"/>
    <w:rsid w:val="00B24D8F"/>
    <w:rsid w:val="00B25DFC"/>
    <w:rsid w:val="00B52ECF"/>
    <w:rsid w:val="00B67C03"/>
    <w:rsid w:val="00B92534"/>
    <w:rsid w:val="00BA5B68"/>
    <w:rsid w:val="00BB540E"/>
    <w:rsid w:val="00BC3BF5"/>
    <w:rsid w:val="00BD172C"/>
    <w:rsid w:val="00C00B91"/>
    <w:rsid w:val="00C21737"/>
    <w:rsid w:val="00C21AE9"/>
    <w:rsid w:val="00C27673"/>
    <w:rsid w:val="00C42D52"/>
    <w:rsid w:val="00C514FA"/>
    <w:rsid w:val="00C56550"/>
    <w:rsid w:val="00C848B9"/>
    <w:rsid w:val="00C95234"/>
    <w:rsid w:val="00CA37CB"/>
    <w:rsid w:val="00CA68E9"/>
    <w:rsid w:val="00CC7BBE"/>
    <w:rsid w:val="00CD0228"/>
    <w:rsid w:val="00CE1CE3"/>
    <w:rsid w:val="00CE24A9"/>
    <w:rsid w:val="00CE498D"/>
    <w:rsid w:val="00CE4A7D"/>
    <w:rsid w:val="00D1142F"/>
    <w:rsid w:val="00D135AB"/>
    <w:rsid w:val="00D140E7"/>
    <w:rsid w:val="00D21091"/>
    <w:rsid w:val="00D36486"/>
    <w:rsid w:val="00D40A08"/>
    <w:rsid w:val="00D64040"/>
    <w:rsid w:val="00D64750"/>
    <w:rsid w:val="00DC2E3B"/>
    <w:rsid w:val="00DE0EE9"/>
    <w:rsid w:val="00DE6E45"/>
    <w:rsid w:val="00DF704D"/>
    <w:rsid w:val="00E01AAB"/>
    <w:rsid w:val="00E313B5"/>
    <w:rsid w:val="00E371B7"/>
    <w:rsid w:val="00E3FF7E"/>
    <w:rsid w:val="00E547A0"/>
    <w:rsid w:val="00E724CA"/>
    <w:rsid w:val="00E85EA9"/>
    <w:rsid w:val="00E87ED5"/>
    <w:rsid w:val="00E96017"/>
    <w:rsid w:val="00EC6057"/>
    <w:rsid w:val="00EE4065"/>
    <w:rsid w:val="00EE6E8E"/>
    <w:rsid w:val="00EF6F58"/>
    <w:rsid w:val="00EF7741"/>
    <w:rsid w:val="00F144D1"/>
    <w:rsid w:val="00F559BC"/>
    <w:rsid w:val="00F61F7A"/>
    <w:rsid w:val="00F7157D"/>
    <w:rsid w:val="00F73170"/>
    <w:rsid w:val="00F94709"/>
    <w:rsid w:val="00FA3E37"/>
    <w:rsid w:val="00FB5190"/>
    <w:rsid w:val="00FC6337"/>
    <w:rsid w:val="0104B05F"/>
    <w:rsid w:val="0356C751"/>
    <w:rsid w:val="09DE9FBC"/>
    <w:rsid w:val="0BD558F4"/>
    <w:rsid w:val="0E00ACFF"/>
    <w:rsid w:val="212B9FFB"/>
    <w:rsid w:val="21F58C89"/>
    <w:rsid w:val="23E3A2D4"/>
    <w:rsid w:val="26110D1A"/>
    <w:rsid w:val="26293A32"/>
    <w:rsid w:val="29D06661"/>
    <w:rsid w:val="2E8A118F"/>
    <w:rsid w:val="30AD0E05"/>
    <w:rsid w:val="355153E6"/>
    <w:rsid w:val="3703A7F8"/>
    <w:rsid w:val="3C33EFC1"/>
    <w:rsid w:val="485029EA"/>
    <w:rsid w:val="4C740AF4"/>
    <w:rsid w:val="4F8F4A61"/>
    <w:rsid w:val="58EA59F5"/>
    <w:rsid w:val="5904CBDC"/>
    <w:rsid w:val="59E985A2"/>
    <w:rsid w:val="5A6ED8EC"/>
    <w:rsid w:val="5D9B02D3"/>
    <w:rsid w:val="5E47ABB0"/>
    <w:rsid w:val="5F59190E"/>
    <w:rsid w:val="65079313"/>
    <w:rsid w:val="6517FCF6"/>
    <w:rsid w:val="68B8FA20"/>
    <w:rsid w:val="6E994B8A"/>
    <w:rsid w:val="6FDB68CE"/>
    <w:rsid w:val="713CF8B1"/>
    <w:rsid w:val="714279D9"/>
    <w:rsid w:val="76B8F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8D8B8"/>
  <w15:chartTrackingRefBased/>
  <w15:docId w15:val="{0F60F8AA-BCB8-4B43-83A2-2554AF1B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234"/>
    <w:pPr>
      <w:spacing w:after="220" w:line="240" w:lineRule="auto"/>
    </w:pPr>
    <w:rPr>
      <w:rFonts w:ascii="Calibri" w:eastAsia="Times New Roman" w:hAnsi="Calibri" w:cs="Times New Roman"/>
      <w:kern w:val="0"/>
      <w:sz w:val="22"/>
      <w:szCs w:val="20"/>
      <w14:ligatures w14:val="none"/>
    </w:rPr>
  </w:style>
  <w:style w:type="paragraph" w:styleId="Heading1">
    <w:name w:val="heading 1"/>
    <w:basedOn w:val="Normal"/>
    <w:next w:val="Normal"/>
    <w:link w:val="Heading1Char"/>
    <w:uiPriority w:val="9"/>
    <w:qFormat/>
    <w:rsid w:val="00DE6E4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E6E4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DE6E4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E6E4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E6E4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E6E45"/>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E6E45"/>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E6E45"/>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E6E45"/>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E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E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E6E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E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E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E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E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E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E45"/>
    <w:rPr>
      <w:rFonts w:eastAsiaTheme="majorEastAsia" w:cstheme="majorBidi"/>
      <w:color w:val="272727" w:themeColor="text1" w:themeTint="D8"/>
    </w:rPr>
  </w:style>
  <w:style w:type="paragraph" w:styleId="Title">
    <w:name w:val="Title"/>
    <w:basedOn w:val="Normal"/>
    <w:next w:val="Normal"/>
    <w:link w:val="TitleChar"/>
    <w:uiPriority w:val="10"/>
    <w:qFormat/>
    <w:rsid w:val="00DE6E4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E6E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E4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E6E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E45"/>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E6E45"/>
    <w:rPr>
      <w:i/>
      <w:iCs/>
      <w:color w:val="404040" w:themeColor="text1" w:themeTint="BF"/>
    </w:rPr>
  </w:style>
  <w:style w:type="paragraph" w:styleId="ListParagraph">
    <w:name w:val="List Paragraph"/>
    <w:aliases w:val="Body of text - Bullet point,List number Paragraph"/>
    <w:basedOn w:val="Normal"/>
    <w:link w:val="ListParagraphChar"/>
    <w:uiPriority w:val="34"/>
    <w:qFormat/>
    <w:rsid w:val="00DE6E45"/>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DE6E45"/>
    <w:rPr>
      <w:i/>
      <w:iCs/>
      <w:color w:val="0F4761" w:themeColor="accent1" w:themeShade="BF"/>
    </w:rPr>
  </w:style>
  <w:style w:type="paragraph" w:styleId="IntenseQuote">
    <w:name w:val="Intense Quote"/>
    <w:basedOn w:val="Normal"/>
    <w:next w:val="Normal"/>
    <w:link w:val="IntenseQuoteChar"/>
    <w:uiPriority w:val="30"/>
    <w:qFormat/>
    <w:rsid w:val="00DE6E4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E6E45"/>
    <w:rPr>
      <w:i/>
      <w:iCs/>
      <w:color w:val="0F4761" w:themeColor="accent1" w:themeShade="BF"/>
    </w:rPr>
  </w:style>
  <w:style w:type="character" w:styleId="IntenseReference">
    <w:name w:val="Intense Reference"/>
    <w:basedOn w:val="DefaultParagraphFont"/>
    <w:uiPriority w:val="32"/>
    <w:qFormat/>
    <w:rsid w:val="00DE6E45"/>
    <w:rPr>
      <w:b/>
      <w:bCs/>
      <w:smallCaps/>
      <w:color w:val="0F4761" w:themeColor="accent1" w:themeShade="BF"/>
      <w:spacing w:val="5"/>
    </w:rPr>
  </w:style>
  <w:style w:type="paragraph" w:styleId="Header">
    <w:name w:val="header"/>
    <w:basedOn w:val="Normal"/>
    <w:link w:val="HeaderChar"/>
    <w:uiPriority w:val="99"/>
    <w:unhideWhenUsed/>
    <w:rsid w:val="004C1FF0"/>
    <w:pPr>
      <w:tabs>
        <w:tab w:val="center" w:pos="4513"/>
        <w:tab w:val="right" w:pos="9026"/>
      </w:tabs>
      <w:spacing w:after="0"/>
    </w:pPr>
    <w:rPr>
      <w:rFonts w:asciiTheme="minorHAnsi" w:eastAsiaTheme="minorHAnsi" w:hAnsiTheme="minorHAnsi" w:cstheme="minorBidi"/>
      <w:kern w:val="2"/>
      <w:sz w:val="24"/>
      <w:szCs w:val="24"/>
      <w14:ligatures w14:val="standardContextual"/>
    </w:rPr>
  </w:style>
  <w:style w:type="character" w:customStyle="1" w:styleId="HeaderChar">
    <w:name w:val="Header Char"/>
    <w:basedOn w:val="DefaultParagraphFont"/>
    <w:link w:val="Header"/>
    <w:uiPriority w:val="99"/>
    <w:rsid w:val="004C1FF0"/>
  </w:style>
  <w:style w:type="paragraph" w:styleId="Footer">
    <w:name w:val="footer"/>
    <w:basedOn w:val="Normal"/>
    <w:link w:val="FooterChar"/>
    <w:uiPriority w:val="99"/>
    <w:unhideWhenUsed/>
    <w:rsid w:val="004C1FF0"/>
    <w:pPr>
      <w:tabs>
        <w:tab w:val="center" w:pos="4513"/>
        <w:tab w:val="right" w:pos="9026"/>
      </w:tabs>
      <w:spacing w:after="0"/>
    </w:pPr>
    <w:rPr>
      <w:rFonts w:asciiTheme="minorHAnsi" w:eastAsiaTheme="minorHAnsi" w:hAnsiTheme="minorHAnsi" w:cstheme="minorBidi"/>
      <w:kern w:val="2"/>
      <w:sz w:val="24"/>
      <w:szCs w:val="24"/>
      <w14:ligatures w14:val="standardContextual"/>
    </w:rPr>
  </w:style>
  <w:style w:type="character" w:customStyle="1" w:styleId="FooterChar">
    <w:name w:val="Footer Char"/>
    <w:basedOn w:val="DefaultParagraphFont"/>
    <w:link w:val="Footer"/>
    <w:uiPriority w:val="99"/>
    <w:rsid w:val="004C1FF0"/>
  </w:style>
  <w:style w:type="character" w:styleId="Hyperlink">
    <w:name w:val="Hyperlink"/>
    <w:basedOn w:val="DefaultParagraphFont"/>
    <w:uiPriority w:val="99"/>
    <w:rsid w:val="00C95234"/>
    <w:rPr>
      <w:color w:val="0000FF"/>
      <w:u w:val="single"/>
    </w:rPr>
  </w:style>
  <w:style w:type="character" w:styleId="CommentReference">
    <w:name w:val="annotation reference"/>
    <w:basedOn w:val="DefaultParagraphFont"/>
    <w:uiPriority w:val="99"/>
    <w:semiHidden/>
    <w:unhideWhenUsed/>
    <w:rsid w:val="00C95234"/>
    <w:rPr>
      <w:sz w:val="16"/>
      <w:szCs w:val="16"/>
    </w:rPr>
  </w:style>
  <w:style w:type="character" w:customStyle="1" w:styleId="normaltextrun">
    <w:name w:val="normaltextrun"/>
    <w:basedOn w:val="DefaultParagraphFont"/>
    <w:rsid w:val="00C95234"/>
  </w:style>
  <w:style w:type="paragraph" w:styleId="CommentText">
    <w:name w:val="annotation text"/>
    <w:basedOn w:val="Normal"/>
    <w:link w:val="CommentTextChar"/>
    <w:uiPriority w:val="99"/>
    <w:unhideWhenUsed/>
    <w:rsid w:val="00C95234"/>
    <w:rPr>
      <w:kern w:val="2"/>
      <w:sz w:val="20"/>
      <w14:ligatures w14:val="standardContextual"/>
    </w:rPr>
  </w:style>
  <w:style w:type="character" w:customStyle="1" w:styleId="CommentTextChar">
    <w:name w:val="Comment Text Char"/>
    <w:basedOn w:val="DefaultParagraphFont"/>
    <w:link w:val="CommentText"/>
    <w:uiPriority w:val="99"/>
    <w:rsid w:val="00C95234"/>
    <w:rPr>
      <w:rFonts w:ascii="Calibri" w:eastAsia="Times New Roman" w:hAnsi="Calibri" w:cs="Times New Roman"/>
      <w:sz w:val="20"/>
      <w:szCs w:val="20"/>
    </w:rPr>
  </w:style>
  <w:style w:type="character" w:styleId="Mention">
    <w:name w:val="Mention"/>
    <w:basedOn w:val="DefaultParagraphFont"/>
    <w:uiPriority w:val="99"/>
    <w:unhideWhenUsed/>
    <w:rsid w:val="00C95234"/>
    <w:rPr>
      <w:color w:val="2B579A"/>
      <w:shd w:val="clear" w:color="auto" w:fill="E6E6E6"/>
    </w:rPr>
  </w:style>
  <w:style w:type="table" w:styleId="PlainTable2">
    <w:name w:val="Plain Table 2"/>
    <w:basedOn w:val="TableNormal"/>
    <w:uiPriority w:val="42"/>
    <w:rsid w:val="00C42D52"/>
    <w:pPr>
      <w:spacing w:after="0" w:line="240" w:lineRule="auto"/>
    </w:pPr>
    <w:rPr>
      <w:kern w:val="0"/>
    </w:rPr>
    <w:tblPr>
      <w:tblStyleRowBandSize w:val="1"/>
      <w:tblStyleColBandSize w:val="1"/>
      <w:tblBorders>
        <w:top w:val="single" w:sz="4" w:space="0" w:color="7F7F7F" w:themeColor="text1" w:themeTint="80"/>
        <w:bottom w:val="single" w:sz="4" w:space="0" w:color="7F7F7F" w:themeColor="text1" w:themeTint="80"/>
        <w:insideH w:val="single" w:sz="4" w:space="0" w:color="007096"/>
      </w:tblBorders>
    </w:tblPr>
    <w:tcPr>
      <w:shd w:val="clear" w:color="auto" w:fill="FFFFFF" w:themeFill="background1"/>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Body of text - Bullet point Char,List number Paragraph Char"/>
    <w:basedOn w:val="DefaultParagraphFont"/>
    <w:link w:val="ListParagraph"/>
    <w:uiPriority w:val="34"/>
    <w:locked/>
    <w:rsid w:val="00EF6F58"/>
  </w:style>
  <w:style w:type="character" w:styleId="Strong">
    <w:name w:val="Strong"/>
    <w:basedOn w:val="DefaultParagraphFont"/>
    <w:uiPriority w:val="22"/>
    <w:qFormat/>
    <w:rsid w:val="00A62422"/>
    <w:rPr>
      <w:b/>
      <w:bCs/>
    </w:rPr>
  </w:style>
  <w:style w:type="table" w:styleId="TableGrid">
    <w:name w:val="Table Grid"/>
    <w:basedOn w:val="TableNormal"/>
    <w:uiPriority w:val="39"/>
    <w:rsid w:val="00DE0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41BB2"/>
    <w:rPr>
      <w:color w:val="96607D" w:themeColor="followedHyperlink"/>
      <w:u w:val="single"/>
    </w:rPr>
  </w:style>
  <w:style w:type="character" w:styleId="UnresolvedMention">
    <w:name w:val="Unresolved Mention"/>
    <w:basedOn w:val="DefaultParagraphFont"/>
    <w:uiPriority w:val="99"/>
    <w:semiHidden/>
    <w:unhideWhenUsed/>
    <w:rsid w:val="007B7795"/>
    <w:rPr>
      <w:color w:val="605E5C"/>
      <w:shd w:val="clear" w:color="auto" w:fill="E1DFDD"/>
    </w:rPr>
  </w:style>
  <w:style w:type="paragraph" w:styleId="Revision">
    <w:name w:val="Revision"/>
    <w:hidden/>
    <w:uiPriority w:val="99"/>
    <w:semiHidden/>
    <w:rsid w:val="009A2D77"/>
    <w:pPr>
      <w:spacing w:after="0" w:line="240" w:lineRule="auto"/>
    </w:pPr>
    <w:rPr>
      <w:rFonts w:ascii="Calibri" w:eastAsia="Times New Roman" w:hAnsi="Calibri" w:cs="Times New Roman"/>
      <w:kern w:val="0"/>
      <w:sz w:val="22"/>
      <w:szCs w:val="20"/>
      <w14:ligatures w14:val="none"/>
    </w:rPr>
  </w:style>
  <w:style w:type="character" w:customStyle="1" w:styleId="field">
    <w:name w:val="field"/>
    <w:basedOn w:val="DefaultParagraphFont"/>
    <w:rsid w:val="00253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067697">
      <w:bodyDiv w:val="1"/>
      <w:marLeft w:val="0"/>
      <w:marRight w:val="0"/>
      <w:marTop w:val="0"/>
      <w:marBottom w:val="0"/>
      <w:divBdr>
        <w:top w:val="none" w:sz="0" w:space="0" w:color="auto"/>
        <w:left w:val="none" w:sz="0" w:space="0" w:color="auto"/>
        <w:bottom w:val="none" w:sz="0" w:space="0" w:color="auto"/>
        <w:right w:val="none" w:sz="0" w:space="0" w:color="auto"/>
      </w:divBdr>
    </w:div>
    <w:div w:id="1141575161">
      <w:bodyDiv w:val="1"/>
      <w:marLeft w:val="0"/>
      <w:marRight w:val="0"/>
      <w:marTop w:val="0"/>
      <w:marBottom w:val="0"/>
      <w:divBdr>
        <w:top w:val="none" w:sz="0" w:space="0" w:color="auto"/>
        <w:left w:val="none" w:sz="0" w:space="0" w:color="auto"/>
        <w:bottom w:val="none" w:sz="0" w:space="0" w:color="auto"/>
        <w:right w:val="none" w:sz="0" w:space="0" w:color="auto"/>
      </w:divBdr>
    </w:div>
    <w:div w:id="1997763362">
      <w:bodyDiv w:val="1"/>
      <w:marLeft w:val="0"/>
      <w:marRight w:val="0"/>
      <w:marTop w:val="0"/>
      <w:marBottom w:val="0"/>
      <w:divBdr>
        <w:top w:val="none" w:sz="0" w:space="0" w:color="auto"/>
        <w:left w:val="none" w:sz="0" w:space="0" w:color="auto"/>
        <w:bottom w:val="none" w:sz="0" w:space="0" w:color="auto"/>
        <w:right w:val="none" w:sz="0" w:space="0" w:color="auto"/>
      </w:divBdr>
    </w:div>
    <w:div w:id="203379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wri.com.au/industry_support/sustainable-winegrowing-australia/carbon-calculator/" TargetMode="External"/><Relationship Id="rId18" Type="http://schemas.openxmlformats.org/officeDocument/2006/relationships/hyperlink" Target="https://www.dcceew.gov.au/climate-change/publications/full-carbon-accounting-model-fullcam" TargetMode="External"/><Relationship Id="rId26" Type="http://schemas.openxmlformats.org/officeDocument/2006/relationships/hyperlink" Target="https://piccc.org.au/resources/Tools.html" TargetMode="External"/><Relationship Id="rId21" Type="http://schemas.openxmlformats.org/officeDocument/2006/relationships/hyperlink" Target="https://carbon-calculator.mla.com.au/"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piccc.org.au/Files/Tools/DairyGreenhouseV14.7.xlsx" TargetMode="External"/><Relationship Id="rId17" Type="http://schemas.openxmlformats.org/officeDocument/2006/relationships/hyperlink" Target="https://www.aiaeap.com/" TargetMode="External"/><Relationship Id="rId25" Type="http://schemas.openxmlformats.org/officeDocument/2006/relationships/hyperlink" Target="https://ruminati.com.au/"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iccc.org.au/Files/Tools/DairyGreenhouseV14.7.xlsx" TargetMode="External"/><Relationship Id="rId20" Type="http://schemas.openxmlformats.org/officeDocument/2006/relationships/hyperlink" Target="https://looc-c.far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iryaustralia.com.au/climate-and-environment/greenhouse-gas-emissions/australian-dairy-carbon-calculator" TargetMode="External"/><Relationship Id="rId24" Type="http://schemas.openxmlformats.org/officeDocument/2006/relationships/hyperlink" Target="https://planr.gov.au/"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airyaustralia.com.au/farm-business/dairybase" TargetMode="External"/><Relationship Id="rId23" Type="http://schemas.openxmlformats.org/officeDocument/2006/relationships/hyperlink" Target="https://piccc.org.au/Files/Tools/GrainsGreenhouseV10.9.xlsx"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iccc.org.au/resources/Tools.html"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r.gov.au/schemes/australian-carbon-credit-unit-scheme/accu-scheme-methods/tidal-restoration-blue-carbon" TargetMode="External"/><Relationship Id="rId22" Type="http://schemas.openxmlformats.org/officeDocument/2006/relationships/hyperlink" Target="https://piccc.org.au/Files/Tools/SB-GAFv2.4_Seasonal.xlsx" TargetMode="External"/><Relationship Id="rId27" Type="http://schemas.openxmlformats.org/officeDocument/2006/relationships/hyperlink" Target="https://savbat.environment.gov.au/" TargetMode="External"/><Relationship Id="rId30" Type="http://schemas.openxmlformats.org/officeDocument/2006/relationships/header" Target="header2.xm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55D86-24DB-4753-97DE-348B26C59A64}">
  <ds:schemaRefs>
    <ds:schemaRef ds:uri="http://www.w3.org/XML/1998/namespace"/>
    <ds:schemaRef ds:uri="http://schemas.microsoft.com/sharepoint/v3"/>
    <ds:schemaRef ds:uri="d869c146-c82e-4435-92e4-da91542262fd"/>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a95247a4-6a6b-40fb-87b6-0fb2f012c536"/>
    <ds:schemaRef ds:uri="http://purl.org/dc/elements/1.1/"/>
    <ds:schemaRef ds:uri="http://schemas.openxmlformats.org/package/2006/metadata/core-properties"/>
    <ds:schemaRef ds:uri="d81c2681-db7b-4a56-9abd-a3238a78f6b2"/>
    <ds:schemaRef ds:uri="b98728ac-f998-415c-abee-6b046fb1441e"/>
  </ds:schemaRefs>
</ds:datastoreItem>
</file>

<file path=customXml/itemProps2.xml><?xml version="1.0" encoding="utf-8"?>
<ds:datastoreItem xmlns:ds="http://schemas.openxmlformats.org/officeDocument/2006/customXml" ds:itemID="{26EF26EF-953B-49F8-8A9B-D8F0B6FDB15F}">
  <ds:schemaRefs>
    <ds:schemaRef ds:uri="http://schemas.microsoft.com/sharepoint/v3/contenttype/forms"/>
  </ds:schemaRefs>
</ds:datastoreItem>
</file>

<file path=customXml/itemProps3.xml><?xml version="1.0" encoding="utf-8"?>
<ds:datastoreItem xmlns:ds="http://schemas.openxmlformats.org/officeDocument/2006/customXml" ds:itemID="{A8C2721F-B793-4448-B533-C1ABA842A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B7511B-EAB2-481A-AD35-8AAA6065CC7C}">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8</TotalTime>
  <Pages>7</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Carbon Farming Outreach Program</vt:lpstr>
    </vt:vector>
  </TitlesOfParts>
  <Company>Department of Climate Change, Energy, the Environment and Water</Company>
  <LinksUpToDate>false</LinksUpToDate>
  <CharactersWithSpaces>12865</CharactersWithSpaces>
  <SharedDoc>false</SharedDoc>
  <HLinks>
    <vt:vector size="114" baseType="variant">
      <vt:variant>
        <vt:i4>2556027</vt:i4>
      </vt:variant>
      <vt:variant>
        <vt:i4>48</vt:i4>
      </vt:variant>
      <vt:variant>
        <vt:i4>0</vt:i4>
      </vt:variant>
      <vt:variant>
        <vt:i4>5</vt:i4>
      </vt:variant>
      <vt:variant>
        <vt:lpwstr>https://savbat.environment.gov.au/</vt:lpwstr>
      </vt:variant>
      <vt:variant>
        <vt:lpwstr/>
      </vt:variant>
      <vt:variant>
        <vt:i4>1376285</vt:i4>
      </vt:variant>
      <vt:variant>
        <vt:i4>45</vt:i4>
      </vt:variant>
      <vt:variant>
        <vt:i4>0</vt:i4>
      </vt:variant>
      <vt:variant>
        <vt:i4>5</vt:i4>
      </vt:variant>
      <vt:variant>
        <vt:lpwstr>https://piccc.org.au/resources/Tools.html</vt:lpwstr>
      </vt:variant>
      <vt:variant>
        <vt:lpwstr/>
      </vt:variant>
      <vt:variant>
        <vt:i4>4522079</vt:i4>
      </vt:variant>
      <vt:variant>
        <vt:i4>42</vt:i4>
      </vt:variant>
      <vt:variant>
        <vt:i4>0</vt:i4>
      </vt:variant>
      <vt:variant>
        <vt:i4>5</vt:i4>
      </vt:variant>
      <vt:variant>
        <vt:lpwstr>https://ruminati.com.au/</vt:lpwstr>
      </vt:variant>
      <vt:variant>
        <vt:lpwstr/>
      </vt:variant>
      <vt:variant>
        <vt:i4>589907</vt:i4>
      </vt:variant>
      <vt:variant>
        <vt:i4>39</vt:i4>
      </vt:variant>
      <vt:variant>
        <vt:i4>0</vt:i4>
      </vt:variant>
      <vt:variant>
        <vt:i4>5</vt:i4>
      </vt:variant>
      <vt:variant>
        <vt:lpwstr>https://planr.gov.au/</vt:lpwstr>
      </vt:variant>
      <vt:variant>
        <vt:lpwstr/>
      </vt:variant>
      <vt:variant>
        <vt:i4>655435</vt:i4>
      </vt:variant>
      <vt:variant>
        <vt:i4>36</vt:i4>
      </vt:variant>
      <vt:variant>
        <vt:i4>0</vt:i4>
      </vt:variant>
      <vt:variant>
        <vt:i4>5</vt:i4>
      </vt:variant>
      <vt:variant>
        <vt:lpwstr>https://elearning.mla.com.au/lessons/quick-balance-carbon-calculator/</vt:lpwstr>
      </vt:variant>
      <vt:variant>
        <vt:lpwstr/>
      </vt:variant>
      <vt:variant>
        <vt:i4>6357027</vt:i4>
      </vt:variant>
      <vt:variant>
        <vt:i4>33</vt:i4>
      </vt:variant>
      <vt:variant>
        <vt:i4>0</vt:i4>
      </vt:variant>
      <vt:variant>
        <vt:i4>5</vt:i4>
      </vt:variant>
      <vt:variant>
        <vt:lpwstr>https://piccc.org.au/Files/Tools/GrainsGreenhouseV10.9.xlsx</vt:lpwstr>
      </vt:variant>
      <vt:variant>
        <vt:lpwstr/>
      </vt:variant>
      <vt:variant>
        <vt:i4>2752578</vt:i4>
      </vt:variant>
      <vt:variant>
        <vt:i4>30</vt:i4>
      </vt:variant>
      <vt:variant>
        <vt:i4>0</vt:i4>
      </vt:variant>
      <vt:variant>
        <vt:i4>5</vt:i4>
      </vt:variant>
      <vt:variant>
        <vt:lpwstr>https://piccc.org.au/Files/Tools/SB-GAFv2.4_Seasonal.xlsx</vt:lpwstr>
      </vt:variant>
      <vt:variant>
        <vt:lpwstr/>
      </vt:variant>
      <vt:variant>
        <vt:i4>5242904</vt:i4>
      </vt:variant>
      <vt:variant>
        <vt:i4>27</vt:i4>
      </vt:variant>
      <vt:variant>
        <vt:i4>0</vt:i4>
      </vt:variant>
      <vt:variant>
        <vt:i4>5</vt:i4>
      </vt:variant>
      <vt:variant>
        <vt:lpwstr>https://carbon-calculator.mla.com.au/</vt:lpwstr>
      </vt:variant>
      <vt:variant>
        <vt:lpwstr/>
      </vt:variant>
      <vt:variant>
        <vt:i4>4522060</vt:i4>
      </vt:variant>
      <vt:variant>
        <vt:i4>24</vt:i4>
      </vt:variant>
      <vt:variant>
        <vt:i4>0</vt:i4>
      </vt:variant>
      <vt:variant>
        <vt:i4>5</vt:i4>
      </vt:variant>
      <vt:variant>
        <vt:lpwstr>https://looc-c.farm/</vt:lpwstr>
      </vt:variant>
      <vt:variant>
        <vt:lpwstr/>
      </vt:variant>
      <vt:variant>
        <vt:i4>1376285</vt:i4>
      </vt:variant>
      <vt:variant>
        <vt:i4>21</vt:i4>
      </vt:variant>
      <vt:variant>
        <vt:i4>0</vt:i4>
      </vt:variant>
      <vt:variant>
        <vt:i4>5</vt:i4>
      </vt:variant>
      <vt:variant>
        <vt:lpwstr>https://piccc.org.au/resources/Tools.html</vt:lpwstr>
      </vt:variant>
      <vt:variant>
        <vt:lpwstr/>
      </vt:variant>
      <vt:variant>
        <vt:i4>2621499</vt:i4>
      </vt:variant>
      <vt:variant>
        <vt:i4>18</vt:i4>
      </vt:variant>
      <vt:variant>
        <vt:i4>0</vt:i4>
      </vt:variant>
      <vt:variant>
        <vt:i4>5</vt:i4>
      </vt:variant>
      <vt:variant>
        <vt:lpwstr>https://www.dcceew.gov.au/climate-change/publications/full-carbon-accounting-model-fullcam</vt:lpwstr>
      </vt:variant>
      <vt:variant>
        <vt:lpwstr/>
      </vt:variant>
      <vt:variant>
        <vt:i4>3342436</vt:i4>
      </vt:variant>
      <vt:variant>
        <vt:i4>15</vt:i4>
      </vt:variant>
      <vt:variant>
        <vt:i4>0</vt:i4>
      </vt:variant>
      <vt:variant>
        <vt:i4>5</vt:i4>
      </vt:variant>
      <vt:variant>
        <vt:lpwstr>https://piccc.org.au/Files/Tools/DairyGreenhouseV14.7.xlsx</vt:lpwstr>
      </vt:variant>
      <vt:variant>
        <vt:lpwstr/>
      </vt:variant>
      <vt:variant>
        <vt:i4>5963777</vt:i4>
      </vt:variant>
      <vt:variant>
        <vt:i4>12</vt:i4>
      </vt:variant>
      <vt:variant>
        <vt:i4>0</vt:i4>
      </vt:variant>
      <vt:variant>
        <vt:i4>5</vt:i4>
      </vt:variant>
      <vt:variant>
        <vt:lpwstr>https://www.dairyaustralia.com.au/farm-business/dairybase</vt:lpwstr>
      </vt:variant>
      <vt:variant>
        <vt:lpwstr/>
      </vt:variant>
      <vt:variant>
        <vt:i4>4915266</vt:i4>
      </vt:variant>
      <vt:variant>
        <vt:i4>9</vt:i4>
      </vt:variant>
      <vt:variant>
        <vt:i4>0</vt:i4>
      </vt:variant>
      <vt:variant>
        <vt:i4>5</vt:i4>
      </vt:variant>
      <vt:variant>
        <vt:lpwstr>https://cer.gov.au/schemes/australian-carbon-credit-unit-scheme/accu-scheme-methods/tidal-restoration-blue-carbon</vt:lpwstr>
      </vt:variant>
      <vt:variant>
        <vt:lpwstr/>
      </vt:variant>
      <vt:variant>
        <vt:i4>5832831</vt:i4>
      </vt:variant>
      <vt:variant>
        <vt:i4>6</vt:i4>
      </vt:variant>
      <vt:variant>
        <vt:i4>0</vt:i4>
      </vt:variant>
      <vt:variant>
        <vt:i4>5</vt:i4>
      </vt:variant>
      <vt:variant>
        <vt:lpwstr>https://www.awri.com.au/industry_support/sustainable-winegrowing-australia/carbon-calculator/</vt:lpwstr>
      </vt:variant>
      <vt:variant>
        <vt:lpwstr/>
      </vt:variant>
      <vt:variant>
        <vt:i4>3342436</vt:i4>
      </vt:variant>
      <vt:variant>
        <vt:i4>3</vt:i4>
      </vt:variant>
      <vt:variant>
        <vt:i4>0</vt:i4>
      </vt:variant>
      <vt:variant>
        <vt:i4>5</vt:i4>
      </vt:variant>
      <vt:variant>
        <vt:lpwstr>https://piccc.org.au/Files/Tools/DairyGreenhouseV14.7.xlsx</vt:lpwstr>
      </vt:variant>
      <vt:variant>
        <vt:lpwstr/>
      </vt:variant>
      <vt:variant>
        <vt:i4>7864368</vt:i4>
      </vt:variant>
      <vt:variant>
        <vt:i4>0</vt:i4>
      </vt:variant>
      <vt:variant>
        <vt:i4>0</vt:i4>
      </vt:variant>
      <vt:variant>
        <vt:i4>5</vt:i4>
      </vt:variant>
      <vt:variant>
        <vt:lpwstr>https://www.dairyaustralia.com.au/resource-repository/2023/01/30/australian-dairy-carbon-calculator</vt:lpwstr>
      </vt:variant>
      <vt:variant>
        <vt:lpwstr/>
      </vt:variant>
      <vt:variant>
        <vt:i4>7143515</vt:i4>
      </vt:variant>
      <vt:variant>
        <vt:i4>3</vt:i4>
      </vt:variant>
      <vt:variant>
        <vt:i4>0</vt:i4>
      </vt:variant>
      <vt:variant>
        <vt:i4>5</vt:i4>
      </vt:variant>
      <vt:variant>
        <vt:lpwstr>mailto:Kanika.Singh@dcceew.gov.au</vt:lpwstr>
      </vt:variant>
      <vt:variant>
        <vt:lpwstr/>
      </vt:variant>
      <vt:variant>
        <vt:i4>2490389</vt:i4>
      </vt:variant>
      <vt:variant>
        <vt:i4>0</vt:i4>
      </vt:variant>
      <vt:variant>
        <vt:i4>0</vt:i4>
      </vt:variant>
      <vt:variant>
        <vt:i4>5</vt:i4>
      </vt:variant>
      <vt:variant>
        <vt:lpwstr>mailto:Paul.Ryan@dcceew.gov.au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Farming Outreach Program</dc:title>
  <dc:subject>Carbon calculator summary</dc:subject>
  <dc:creator>Soils and Vegetation Team</dc:creator>
  <cp:keywords/>
  <dc:description/>
  <cp:lastModifiedBy>Wendy PHAM</cp:lastModifiedBy>
  <cp:revision>11</cp:revision>
  <cp:lastPrinted>2025-05-30T04:48:00Z</cp:lastPrinted>
  <dcterms:created xsi:type="dcterms:W3CDTF">2025-05-30T04:27:00Z</dcterms:created>
  <dcterms:modified xsi:type="dcterms:W3CDTF">2025-06-10T04:41:00Z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1dd415e1,2546277e,5282e129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21f3c45a,73fe0ed1,7d265307</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0x010100D001B2BE74D025469E1D0E28F10DD2C8</vt:lpwstr>
  </property>
  <property fmtid="{D5CDD505-2E9C-101B-9397-08002B2CF9AE}" pid="9" name="MediaServiceImageTags">
    <vt:lpwstr/>
  </property>
</Properties>
</file>