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5A3D6" w14:textId="674980E1" w:rsidR="00A15698" w:rsidRDefault="00D10DF0" w:rsidP="00D10DF0">
      <w:pPr>
        <w:pStyle w:val="Heading1"/>
      </w:pPr>
      <w:r>
        <w:t>Cargo Scheduling Policy</w:t>
      </w:r>
    </w:p>
    <w:p w14:paraId="087AAA87" w14:textId="77777777" w:rsidR="004E2791" w:rsidRPr="001A5D32" w:rsidRDefault="004E2791" w:rsidP="001A5D32">
      <w:r w:rsidRPr="001A5D32">
        <w:br w:type="page"/>
      </w:r>
    </w:p>
    <w:p w14:paraId="5BB7555E" w14:textId="430741F8" w:rsidR="00764D6A" w:rsidRDefault="00E91D72" w:rsidP="004E3B9F">
      <w:pPr>
        <w:pStyle w:val="Normalsmall"/>
      </w:pPr>
      <w:r>
        <w:lastRenderedPageBreak/>
        <w:t xml:space="preserve">© Commonwealth of Australia </w:t>
      </w:r>
      <w:r w:rsidR="00B97E61">
        <w:t>202</w:t>
      </w:r>
      <w:r w:rsidR="00894031">
        <w:t>6</w:t>
      </w:r>
    </w:p>
    <w:p w14:paraId="2352ED76" w14:textId="77777777" w:rsidR="00764D6A" w:rsidRDefault="00E91D72" w:rsidP="00894031">
      <w:pPr>
        <w:pStyle w:val="Normalsmall"/>
        <w:spacing w:after="0"/>
        <w:rPr>
          <w:rStyle w:val="Strong"/>
        </w:rPr>
      </w:pPr>
      <w:r>
        <w:rPr>
          <w:rStyle w:val="Strong"/>
        </w:rPr>
        <w:t>Ownership of intellectual property rights</w:t>
      </w:r>
    </w:p>
    <w:p w14:paraId="3F6C9A70" w14:textId="77777777" w:rsidR="00764D6A" w:rsidRDefault="00E91D72">
      <w:pPr>
        <w:pStyle w:val="Normalsmall"/>
      </w:pPr>
      <w:r>
        <w:t xml:space="preserve">Unless otherwise noted, copyright (and any other intellectual property rights) in this publication </w:t>
      </w:r>
      <w:proofErr w:type="gramStart"/>
      <w:r>
        <w:t>is owned</w:t>
      </w:r>
      <w:proofErr w:type="gramEnd"/>
      <w:r>
        <w:t xml:space="preserve"> by the Commonwealth of Australia (referred to as the Commonwealth).</w:t>
      </w:r>
    </w:p>
    <w:p w14:paraId="446D9AF8" w14:textId="77777777" w:rsidR="00764D6A" w:rsidRDefault="00E91D72" w:rsidP="00894031">
      <w:pPr>
        <w:pStyle w:val="Normalsmall"/>
        <w:spacing w:after="0"/>
        <w:rPr>
          <w:rStyle w:val="Strong"/>
        </w:rPr>
      </w:pPr>
      <w:r>
        <w:rPr>
          <w:rStyle w:val="Strong"/>
        </w:rPr>
        <w:t>Creative Commons licence</w:t>
      </w:r>
    </w:p>
    <w:p w14:paraId="3BDF0598" w14:textId="77777777" w:rsidR="00764D6A" w:rsidRDefault="00E91D72">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75E66877" w14:textId="77777777" w:rsidR="00764D6A" w:rsidRPr="00364A4A" w:rsidRDefault="00E91D72">
      <w:pPr>
        <w:pStyle w:val="Normalsmall"/>
      </w:pPr>
      <w:r w:rsidRPr="00364A4A">
        <w:rPr>
          <w:noProof/>
          <w:lang w:eastAsia="en-AU"/>
        </w:rPr>
        <w:drawing>
          <wp:inline distT="0" distB="0" distL="0" distR="0" wp14:anchorId="332BEFC4" wp14:editId="379A0034">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23428BAD" w14:textId="77777777" w:rsidR="00764D6A" w:rsidRPr="00364A4A" w:rsidRDefault="00E91D72" w:rsidP="00894031">
      <w:pPr>
        <w:pStyle w:val="Normalsmall"/>
        <w:spacing w:after="0"/>
        <w:rPr>
          <w:rStyle w:val="Strong"/>
        </w:rPr>
      </w:pPr>
      <w:r w:rsidRPr="00364A4A">
        <w:rPr>
          <w:rStyle w:val="Strong"/>
        </w:rPr>
        <w:t>Cataloguing data</w:t>
      </w:r>
    </w:p>
    <w:p w14:paraId="4AF53BCC" w14:textId="7429EEDE" w:rsidR="00764D6A" w:rsidRDefault="00E91D72">
      <w:pPr>
        <w:pStyle w:val="Normalsmall"/>
      </w:pPr>
      <w:r w:rsidRPr="00364A4A">
        <w:t xml:space="preserve">This publication (and any material sourced from it) should </w:t>
      </w:r>
      <w:proofErr w:type="gramStart"/>
      <w:r w:rsidRPr="00364A4A">
        <w:t>be attributed</w:t>
      </w:r>
      <w:proofErr w:type="gramEnd"/>
      <w:r w:rsidRPr="00364A4A">
        <w:t xml:space="preserve"> </w:t>
      </w:r>
      <w:r w:rsidRPr="0067734F">
        <w:t xml:space="preserve">as: </w:t>
      </w:r>
      <w:r w:rsidR="00F4134D">
        <w:t xml:space="preserve">DAFF 2026, </w:t>
      </w:r>
      <w:r w:rsidR="002D6213" w:rsidRPr="00125B86">
        <w:rPr>
          <w:rStyle w:val="Emphasis"/>
        </w:rPr>
        <w:t>Cargo Scheduling Policy</w:t>
      </w:r>
      <w:r w:rsidR="002D6213" w:rsidRPr="0067734F">
        <w:t>,</w:t>
      </w:r>
      <w:r>
        <w:t xml:space="preserve"> </w:t>
      </w:r>
      <w:r w:rsidR="00DE0AAE" w:rsidRPr="00DE0AAE">
        <w:t>Department of Agriculture, Fisheries and Forestry</w:t>
      </w:r>
      <w:r>
        <w:t>, Canberra. CC BY 4.0.</w:t>
      </w:r>
    </w:p>
    <w:p w14:paraId="3D03D3AE" w14:textId="77777777" w:rsidR="00764D6A" w:rsidRDefault="00E91D72">
      <w:pPr>
        <w:pStyle w:val="Normalsmall"/>
      </w:pPr>
      <w:r>
        <w:t xml:space="preserve">This </w:t>
      </w:r>
      <w:r w:rsidRPr="00364A4A">
        <w:t xml:space="preserve">publication is available </w:t>
      </w:r>
      <w:commentRangeStart w:id="0"/>
      <w:commentRangeStart w:id="1"/>
      <w:r w:rsidRPr="00364A4A">
        <w:t>at</w:t>
      </w:r>
      <w:commentRangeEnd w:id="0"/>
      <w:r w:rsidRPr="00364A4A">
        <w:rPr>
          <w:rStyle w:val="CommentReference"/>
          <w:sz w:val="18"/>
          <w:szCs w:val="18"/>
        </w:rPr>
        <w:commentReference w:id="0"/>
      </w:r>
      <w:commentRangeEnd w:id="1"/>
      <w:r w:rsidR="00244141">
        <w:rPr>
          <w:rStyle w:val="CommentReference"/>
        </w:rPr>
        <w:commentReference w:id="1"/>
      </w:r>
      <w:r w:rsidRPr="00364A4A">
        <w:t xml:space="preserve"> </w:t>
      </w:r>
      <w:hyperlink r:id="rId17" w:history="1">
        <w:r w:rsidR="00DE0AAE" w:rsidRPr="00364A4A">
          <w:rPr>
            <w:rStyle w:val="Hyperlink"/>
            <w:highlight w:val="yellow"/>
          </w:rPr>
          <w:t>agriculture.gov.au/publications</w:t>
        </w:r>
      </w:hyperlink>
      <w:r w:rsidRPr="00364A4A">
        <w:t>.</w:t>
      </w:r>
    </w:p>
    <w:p w14:paraId="56DC9A7E" w14:textId="77777777" w:rsidR="00DE0AAE" w:rsidRDefault="00DE0AAE">
      <w:pPr>
        <w:pStyle w:val="Normalsmall"/>
        <w:spacing w:after="0"/>
      </w:pPr>
      <w:r w:rsidRPr="00DE0AAE">
        <w:t>Department of Agriculture, Fisheries and Forestry</w:t>
      </w:r>
    </w:p>
    <w:p w14:paraId="681FBD45" w14:textId="77777777" w:rsidR="00764D6A" w:rsidRPr="00364A4A" w:rsidRDefault="00E91D72">
      <w:pPr>
        <w:pStyle w:val="Normalsmall"/>
        <w:spacing w:after="0"/>
      </w:pPr>
      <w:r w:rsidRPr="00364A4A">
        <w:t>GPO Box 858 Canberra ACT 2601</w:t>
      </w:r>
    </w:p>
    <w:p w14:paraId="24ACF6AE" w14:textId="77777777" w:rsidR="00764D6A" w:rsidRPr="00364A4A" w:rsidRDefault="00E91D72">
      <w:pPr>
        <w:pStyle w:val="Normalsmall"/>
        <w:spacing w:after="0"/>
      </w:pPr>
      <w:r w:rsidRPr="00364A4A">
        <w:t>Telephone 1800 900 090</w:t>
      </w:r>
    </w:p>
    <w:p w14:paraId="1A80394B" w14:textId="77777777" w:rsidR="00764D6A" w:rsidRPr="00364A4A" w:rsidRDefault="00E91D72">
      <w:pPr>
        <w:pStyle w:val="Normalsmall"/>
      </w:pPr>
      <w:r w:rsidRPr="00364A4A">
        <w:t xml:space="preserve">Web </w:t>
      </w:r>
      <w:hyperlink r:id="rId18" w:history="1">
        <w:r w:rsidR="00DE0AAE" w:rsidRPr="00364A4A">
          <w:rPr>
            <w:rStyle w:val="Hyperlink"/>
          </w:rPr>
          <w:t>agriculture.gov.au</w:t>
        </w:r>
      </w:hyperlink>
    </w:p>
    <w:p w14:paraId="4422C20B" w14:textId="77777777" w:rsidR="007C358A" w:rsidRDefault="007C358A" w:rsidP="00894031">
      <w:pPr>
        <w:pStyle w:val="Normalsmall"/>
        <w:spacing w:after="0"/>
      </w:pPr>
      <w:r w:rsidRPr="00364A4A">
        <w:rPr>
          <w:rStyle w:val="Strong"/>
        </w:rPr>
        <w:t>Disclaimer</w:t>
      </w:r>
    </w:p>
    <w:p w14:paraId="047B0AFF" w14:textId="77777777" w:rsidR="00764D6A" w:rsidRDefault="00E91D72">
      <w:pPr>
        <w:pStyle w:val="Normalsmall"/>
      </w:pPr>
      <w:r>
        <w:t xml:space="preserve">The Australian Government acting through the </w:t>
      </w:r>
      <w:r w:rsidR="00DE0AAE" w:rsidRPr="00DE0AAE">
        <w:t>Department of Agriculture, Fisheries and Forestry</w:t>
      </w:r>
      <w:r>
        <w:t xml:space="preserve"> has exercised due care and skill in preparing and compiling the information and data in this publication. Notwithstanding, the </w:t>
      </w:r>
      <w:r w:rsidR="00DE0AAE" w:rsidRPr="00DE0AAE">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66690B5C" w14:textId="77777777" w:rsidR="00B02B9B" w:rsidRDefault="00B02B9B" w:rsidP="00894031">
      <w:pPr>
        <w:pStyle w:val="Normalsmall"/>
        <w:spacing w:after="0"/>
      </w:pPr>
      <w:r>
        <w:rPr>
          <w:rStyle w:val="Strong"/>
        </w:rPr>
        <w:t>Acknowledgement of Country</w:t>
      </w:r>
    </w:p>
    <w:p w14:paraId="66E5C7A6" w14:textId="77777777" w:rsidR="00517A68" w:rsidRDefault="00DE21ED" w:rsidP="00432172">
      <w:pPr>
        <w:pStyle w:val="Normalsmall"/>
      </w:pPr>
      <w:r w:rsidRPr="00DE21ED">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40B3A482" w14:textId="77777777" w:rsidR="00FD6F88" w:rsidRDefault="00FD6F88" w:rsidP="00FD6F88">
      <w:pPr>
        <w:spacing w:after="0" w:line="240" w:lineRule="auto"/>
      </w:pPr>
      <w:r>
        <w:br w:type="page"/>
      </w: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46BAE77E" w14:textId="77777777" w:rsidR="00FD6F88" w:rsidRDefault="00FD6F88" w:rsidP="00DA6088">
          <w:pPr>
            <w:pStyle w:val="TOCHeading"/>
          </w:pPr>
          <w:r w:rsidRPr="00DA6088">
            <w:t>Contents</w:t>
          </w:r>
        </w:p>
        <w:p w14:paraId="088214DD" w14:textId="68CA043B" w:rsidR="003723E2" w:rsidRDefault="00FD6F88">
          <w:pPr>
            <w:pStyle w:val="TOC1"/>
            <w:rPr>
              <w:rFonts w:eastAsiaTheme="minorEastAsia"/>
              <w:b w:val="0"/>
              <w:kern w:val="2"/>
              <w:sz w:val="24"/>
              <w:szCs w:val="24"/>
              <w:lang w:eastAsia="en-AU"/>
              <w14:ligatures w14:val="standardContextual"/>
            </w:rPr>
          </w:pPr>
          <w:r>
            <w:fldChar w:fldCharType="begin"/>
          </w:r>
          <w:r w:rsidRPr="000800D6">
            <w:instrText xml:space="preserve"> TOC \h \z \u \t "Heading 2,1,Heading 3,2,Style1,2,TOA Heading,1" </w:instrText>
          </w:r>
          <w:r>
            <w:fldChar w:fldCharType="separate"/>
          </w:r>
          <w:hyperlink w:anchor="_Toc228528776" w:history="1">
            <w:r w:rsidR="003723E2" w:rsidRPr="001817D2">
              <w:rPr>
                <w:rStyle w:val="Hyperlink"/>
              </w:rPr>
              <w:t>Introduction</w:t>
            </w:r>
            <w:r w:rsidR="003723E2">
              <w:rPr>
                <w:webHidden/>
              </w:rPr>
              <w:tab/>
            </w:r>
            <w:r w:rsidR="003723E2">
              <w:rPr>
                <w:webHidden/>
              </w:rPr>
              <w:fldChar w:fldCharType="begin"/>
            </w:r>
            <w:r w:rsidR="003723E2">
              <w:rPr>
                <w:webHidden/>
              </w:rPr>
              <w:instrText xml:space="preserve"> PAGEREF _Toc228528776 \h </w:instrText>
            </w:r>
            <w:r w:rsidR="003723E2">
              <w:rPr>
                <w:webHidden/>
              </w:rPr>
            </w:r>
            <w:r w:rsidR="003723E2">
              <w:rPr>
                <w:webHidden/>
              </w:rPr>
              <w:fldChar w:fldCharType="separate"/>
            </w:r>
            <w:r w:rsidR="003723E2">
              <w:rPr>
                <w:webHidden/>
              </w:rPr>
              <w:t>1</w:t>
            </w:r>
            <w:r w:rsidR="003723E2">
              <w:rPr>
                <w:webHidden/>
              </w:rPr>
              <w:fldChar w:fldCharType="end"/>
            </w:r>
          </w:hyperlink>
        </w:p>
        <w:p w14:paraId="016729D9" w14:textId="1505DB1E" w:rsidR="003723E2" w:rsidRDefault="003723E2">
          <w:pPr>
            <w:pStyle w:val="TOC2"/>
            <w:rPr>
              <w:rFonts w:eastAsiaTheme="minorEastAsia"/>
              <w:kern w:val="2"/>
              <w:sz w:val="24"/>
              <w:szCs w:val="24"/>
              <w:lang w:eastAsia="en-AU"/>
              <w14:ligatures w14:val="standardContextual"/>
            </w:rPr>
          </w:pPr>
          <w:hyperlink w:anchor="_Toc228528777" w:history="1">
            <w:r w:rsidRPr="001817D2">
              <w:rPr>
                <w:rStyle w:val="Hyperlink"/>
              </w:rPr>
              <w:t>Purpose</w:t>
            </w:r>
            <w:r>
              <w:rPr>
                <w:webHidden/>
              </w:rPr>
              <w:tab/>
            </w:r>
            <w:r>
              <w:rPr>
                <w:webHidden/>
              </w:rPr>
              <w:fldChar w:fldCharType="begin"/>
            </w:r>
            <w:r>
              <w:rPr>
                <w:webHidden/>
              </w:rPr>
              <w:instrText xml:space="preserve"> PAGEREF _Toc228528777 \h </w:instrText>
            </w:r>
            <w:r>
              <w:rPr>
                <w:webHidden/>
              </w:rPr>
            </w:r>
            <w:r>
              <w:rPr>
                <w:webHidden/>
              </w:rPr>
              <w:fldChar w:fldCharType="separate"/>
            </w:r>
            <w:r>
              <w:rPr>
                <w:webHidden/>
              </w:rPr>
              <w:t>1</w:t>
            </w:r>
            <w:r>
              <w:rPr>
                <w:webHidden/>
              </w:rPr>
              <w:fldChar w:fldCharType="end"/>
            </w:r>
          </w:hyperlink>
        </w:p>
        <w:p w14:paraId="6DBD08DA" w14:textId="38953FF6" w:rsidR="003723E2" w:rsidRDefault="003723E2">
          <w:pPr>
            <w:pStyle w:val="TOC2"/>
            <w:rPr>
              <w:rFonts w:eastAsiaTheme="minorEastAsia"/>
              <w:kern w:val="2"/>
              <w:sz w:val="24"/>
              <w:szCs w:val="24"/>
              <w:lang w:eastAsia="en-AU"/>
              <w14:ligatures w14:val="standardContextual"/>
            </w:rPr>
          </w:pPr>
          <w:hyperlink w:anchor="_Toc228528778" w:history="1">
            <w:r w:rsidRPr="001817D2">
              <w:rPr>
                <w:rStyle w:val="Hyperlink"/>
              </w:rPr>
              <w:t>Background</w:t>
            </w:r>
            <w:r>
              <w:rPr>
                <w:webHidden/>
              </w:rPr>
              <w:tab/>
            </w:r>
            <w:r>
              <w:rPr>
                <w:webHidden/>
              </w:rPr>
              <w:fldChar w:fldCharType="begin"/>
            </w:r>
            <w:r>
              <w:rPr>
                <w:webHidden/>
              </w:rPr>
              <w:instrText xml:space="preserve"> PAGEREF _Toc228528778 \h </w:instrText>
            </w:r>
            <w:r>
              <w:rPr>
                <w:webHidden/>
              </w:rPr>
            </w:r>
            <w:r>
              <w:rPr>
                <w:webHidden/>
              </w:rPr>
              <w:fldChar w:fldCharType="separate"/>
            </w:r>
            <w:r>
              <w:rPr>
                <w:webHidden/>
              </w:rPr>
              <w:t>1</w:t>
            </w:r>
            <w:r>
              <w:rPr>
                <w:webHidden/>
              </w:rPr>
              <w:fldChar w:fldCharType="end"/>
            </w:r>
          </w:hyperlink>
        </w:p>
        <w:p w14:paraId="080974AF" w14:textId="776D9E0C" w:rsidR="003723E2" w:rsidRDefault="003723E2">
          <w:pPr>
            <w:pStyle w:val="TOC2"/>
            <w:rPr>
              <w:rFonts w:eastAsiaTheme="minorEastAsia"/>
              <w:kern w:val="2"/>
              <w:sz w:val="24"/>
              <w:szCs w:val="24"/>
              <w:lang w:eastAsia="en-AU"/>
              <w14:ligatures w14:val="standardContextual"/>
            </w:rPr>
          </w:pPr>
          <w:hyperlink w:anchor="_Toc228528779" w:history="1">
            <w:r w:rsidRPr="001817D2">
              <w:rPr>
                <w:rStyle w:val="Hyperlink"/>
              </w:rPr>
              <w:t>Scope</w:t>
            </w:r>
            <w:r>
              <w:rPr>
                <w:webHidden/>
              </w:rPr>
              <w:tab/>
            </w:r>
            <w:r>
              <w:rPr>
                <w:webHidden/>
              </w:rPr>
              <w:fldChar w:fldCharType="begin"/>
            </w:r>
            <w:r>
              <w:rPr>
                <w:webHidden/>
              </w:rPr>
              <w:instrText xml:space="preserve"> PAGEREF _Toc228528779 \h </w:instrText>
            </w:r>
            <w:r>
              <w:rPr>
                <w:webHidden/>
              </w:rPr>
            </w:r>
            <w:r>
              <w:rPr>
                <w:webHidden/>
              </w:rPr>
              <w:fldChar w:fldCharType="separate"/>
            </w:r>
            <w:r>
              <w:rPr>
                <w:webHidden/>
              </w:rPr>
              <w:t>1</w:t>
            </w:r>
            <w:r>
              <w:rPr>
                <w:webHidden/>
              </w:rPr>
              <w:fldChar w:fldCharType="end"/>
            </w:r>
          </w:hyperlink>
        </w:p>
        <w:p w14:paraId="6DCE025D" w14:textId="375C063B" w:rsidR="003723E2" w:rsidRDefault="003723E2">
          <w:pPr>
            <w:pStyle w:val="TOC1"/>
            <w:rPr>
              <w:rFonts w:eastAsiaTheme="minorEastAsia"/>
              <w:b w:val="0"/>
              <w:kern w:val="2"/>
              <w:sz w:val="24"/>
              <w:szCs w:val="24"/>
              <w:lang w:eastAsia="en-AU"/>
              <w14:ligatures w14:val="standardContextual"/>
            </w:rPr>
          </w:pPr>
          <w:hyperlink w:anchor="_Toc228528780" w:history="1">
            <w:r w:rsidRPr="001817D2">
              <w:rPr>
                <w:rStyle w:val="Hyperlink"/>
              </w:rPr>
              <w:t>1</w:t>
            </w:r>
            <w:r>
              <w:rPr>
                <w:rFonts w:eastAsiaTheme="minorEastAsia"/>
                <w:b w:val="0"/>
                <w:kern w:val="2"/>
                <w:sz w:val="24"/>
                <w:szCs w:val="24"/>
                <w:lang w:eastAsia="en-AU"/>
                <w14:ligatures w14:val="standardContextual"/>
              </w:rPr>
              <w:tab/>
            </w:r>
            <w:r w:rsidRPr="001817D2">
              <w:rPr>
                <w:rStyle w:val="Hyperlink"/>
              </w:rPr>
              <w:t>Principles</w:t>
            </w:r>
            <w:r>
              <w:rPr>
                <w:webHidden/>
              </w:rPr>
              <w:tab/>
            </w:r>
            <w:r>
              <w:rPr>
                <w:webHidden/>
              </w:rPr>
              <w:fldChar w:fldCharType="begin"/>
            </w:r>
            <w:r>
              <w:rPr>
                <w:webHidden/>
              </w:rPr>
              <w:instrText xml:space="preserve"> PAGEREF _Toc228528780 \h </w:instrText>
            </w:r>
            <w:r>
              <w:rPr>
                <w:webHidden/>
              </w:rPr>
            </w:r>
            <w:r>
              <w:rPr>
                <w:webHidden/>
              </w:rPr>
              <w:fldChar w:fldCharType="separate"/>
            </w:r>
            <w:r>
              <w:rPr>
                <w:webHidden/>
              </w:rPr>
              <w:t>3</w:t>
            </w:r>
            <w:r>
              <w:rPr>
                <w:webHidden/>
              </w:rPr>
              <w:fldChar w:fldCharType="end"/>
            </w:r>
          </w:hyperlink>
        </w:p>
        <w:p w14:paraId="133D8ABF" w14:textId="0BF5F1B8" w:rsidR="003723E2" w:rsidRDefault="003723E2">
          <w:pPr>
            <w:pStyle w:val="TOC1"/>
            <w:rPr>
              <w:rFonts w:eastAsiaTheme="minorEastAsia"/>
              <w:b w:val="0"/>
              <w:kern w:val="2"/>
              <w:sz w:val="24"/>
              <w:szCs w:val="24"/>
              <w:lang w:eastAsia="en-AU"/>
              <w14:ligatures w14:val="standardContextual"/>
            </w:rPr>
          </w:pPr>
          <w:hyperlink w:anchor="_Toc228528781" w:history="1">
            <w:r w:rsidRPr="001817D2">
              <w:rPr>
                <w:rStyle w:val="Hyperlink"/>
              </w:rPr>
              <w:t>2</w:t>
            </w:r>
            <w:r>
              <w:rPr>
                <w:rFonts w:eastAsiaTheme="minorEastAsia"/>
                <w:b w:val="0"/>
                <w:kern w:val="2"/>
                <w:sz w:val="24"/>
                <w:szCs w:val="24"/>
                <w:lang w:eastAsia="en-AU"/>
                <w14:ligatures w14:val="standardContextual"/>
              </w:rPr>
              <w:tab/>
            </w:r>
            <w:r w:rsidRPr="001817D2">
              <w:rPr>
                <w:rStyle w:val="Hyperlink"/>
              </w:rPr>
              <w:t>Fees</w:t>
            </w:r>
            <w:r>
              <w:rPr>
                <w:webHidden/>
              </w:rPr>
              <w:tab/>
            </w:r>
            <w:r>
              <w:rPr>
                <w:webHidden/>
              </w:rPr>
              <w:fldChar w:fldCharType="begin"/>
            </w:r>
            <w:r>
              <w:rPr>
                <w:webHidden/>
              </w:rPr>
              <w:instrText xml:space="preserve"> PAGEREF _Toc228528781 \h </w:instrText>
            </w:r>
            <w:r>
              <w:rPr>
                <w:webHidden/>
              </w:rPr>
            </w:r>
            <w:r>
              <w:rPr>
                <w:webHidden/>
              </w:rPr>
              <w:fldChar w:fldCharType="separate"/>
            </w:r>
            <w:r>
              <w:rPr>
                <w:webHidden/>
              </w:rPr>
              <w:t>4</w:t>
            </w:r>
            <w:r>
              <w:rPr>
                <w:webHidden/>
              </w:rPr>
              <w:fldChar w:fldCharType="end"/>
            </w:r>
          </w:hyperlink>
        </w:p>
        <w:p w14:paraId="3B0076A9" w14:textId="373A3894" w:rsidR="003723E2" w:rsidRDefault="003723E2">
          <w:pPr>
            <w:pStyle w:val="TOC2"/>
            <w:tabs>
              <w:tab w:val="left" w:pos="1200"/>
            </w:tabs>
            <w:rPr>
              <w:rFonts w:eastAsiaTheme="minorEastAsia"/>
              <w:kern w:val="2"/>
              <w:sz w:val="24"/>
              <w:szCs w:val="24"/>
              <w:lang w:eastAsia="en-AU"/>
              <w14:ligatures w14:val="standardContextual"/>
            </w:rPr>
          </w:pPr>
          <w:hyperlink w:anchor="_Toc228528782" w:history="1">
            <w:r w:rsidRPr="001817D2">
              <w:rPr>
                <w:rStyle w:val="Hyperlink"/>
                <w:lang w:eastAsia="ja-JP"/>
              </w:rPr>
              <w:t>2.1</w:t>
            </w:r>
            <w:r>
              <w:rPr>
                <w:rFonts w:eastAsiaTheme="minorEastAsia"/>
                <w:kern w:val="2"/>
                <w:sz w:val="24"/>
                <w:szCs w:val="24"/>
                <w:lang w:eastAsia="en-AU"/>
                <w14:ligatures w14:val="standardContextual"/>
              </w:rPr>
              <w:tab/>
            </w:r>
            <w:r w:rsidRPr="001817D2">
              <w:rPr>
                <w:rStyle w:val="Hyperlink"/>
                <w:lang w:eastAsia="ja-JP"/>
              </w:rPr>
              <w:t>Unused time during standard appointments</w:t>
            </w:r>
            <w:r>
              <w:rPr>
                <w:webHidden/>
              </w:rPr>
              <w:tab/>
            </w:r>
            <w:r>
              <w:rPr>
                <w:webHidden/>
              </w:rPr>
              <w:fldChar w:fldCharType="begin"/>
            </w:r>
            <w:r>
              <w:rPr>
                <w:webHidden/>
              </w:rPr>
              <w:instrText xml:space="preserve"> PAGEREF _Toc228528782 \h </w:instrText>
            </w:r>
            <w:r>
              <w:rPr>
                <w:webHidden/>
              </w:rPr>
            </w:r>
            <w:r>
              <w:rPr>
                <w:webHidden/>
              </w:rPr>
              <w:fldChar w:fldCharType="separate"/>
            </w:r>
            <w:r>
              <w:rPr>
                <w:webHidden/>
              </w:rPr>
              <w:t>4</w:t>
            </w:r>
            <w:r>
              <w:rPr>
                <w:webHidden/>
              </w:rPr>
              <w:fldChar w:fldCharType="end"/>
            </w:r>
          </w:hyperlink>
        </w:p>
        <w:p w14:paraId="1BD510DB" w14:textId="4646B966" w:rsidR="003723E2" w:rsidRDefault="003723E2">
          <w:pPr>
            <w:pStyle w:val="TOC2"/>
            <w:tabs>
              <w:tab w:val="left" w:pos="1200"/>
            </w:tabs>
            <w:rPr>
              <w:rFonts w:eastAsiaTheme="minorEastAsia"/>
              <w:kern w:val="2"/>
              <w:sz w:val="24"/>
              <w:szCs w:val="24"/>
              <w:lang w:eastAsia="en-AU"/>
              <w14:ligatures w14:val="standardContextual"/>
            </w:rPr>
          </w:pPr>
          <w:hyperlink w:anchor="_Toc228528783" w:history="1">
            <w:r w:rsidRPr="001817D2">
              <w:rPr>
                <w:rStyle w:val="Hyperlink"/>
                <w:lang w:eastAsia="ja-JP"/>
              </w:rPr>
              <w:t>2.2</w:t>
            </w:r>
            <w:r>
              <w:rPr>
                <w:rFonts w:eastAsiaTheme="minorEastAsia"/>
                <w:kern w:val="2"/>
                <w:sz w:val="24"/>
                <w:szCs w:val="24"/>
                <w:lang w:eastAsia="en-AU"/>
                <w14:ligatures w14:val="standardContextual"/>
              </w:rPr>
              <w:tab/>
            </w:r>
            <w:r w:rsidRPr="001817D2">
              <w:rPr>
                <w:rStyle w:val="Hyperlink"/>
                <w:lang w:eastAsia="ja-JP"/>
              </w:rPr>
              <w:t>Unused time during recurring appointments</w:t>
            </w:r>
            <w:r>
              <w:rPr>
                <w:webHidden/>
              </w:rPr>
              <w:tab/>
            </w:r>
            <w:r>
              <w:rPr>
                <w:webHidden/>
              </w:rPr>
              <w:fldChar w:fldCharType="begin"/>
            </w:r>
            <w:r>
              <w:rPr>
                <w:webHidden/>
              </w:rPr>
              <w:instrText xml:space="preserve"> PAGEREF _Toc228528783 \h </w:instrText>
            </w:r>
            <w:r>
              <w:rPr>
                <w:webHidden/>
              </w:rPr>
            </w:r>
            <w:r>
              <w:rPr>
                <w:webHidden/>
              </w:rPr>
              <w:fldChar w:fldCharType="separate"/>
            </w:r>
            <w:r>
              <w:rPr>
                <w:webHidden/>
              </w:rPr>
              <w:t>4</w:t>
            </w:r>
            <w:r>
              <w:rPr>
                <w:webHidden/>
              </w:rPr>
              <w:fldChar w:fldCharType="end"/>
            </w:r>
          </w:hyperlink>
        </w:p>
        <w:p w14:paraId="57F464C5" w14:textId="0DD76F20" w:rsidR="003723E2" w:rsidRDefault="003723E2">
          <w:pPr>
            <w:pStyle w:val="TOC1"/>
            <w:rPr>
              <w:rFonts w:eastAsiaTheme="minorEastAsia"/>
              <w:b w:val="0"/>
              <w:kern w:val="2"/>
              <w:sz w:val="24"/>
              <w:szCs w:val="24"/>
              <w:lang w:eastAsia="en-AU"/>
              <w14:ligatures w14:val="standardContextual"/>
            </w:rPr>
          </w:pPr>
          <w:hyperlink w:anchor="_Toc228528784" w:history="1">
            <w:r w:rsidRPr="001817D2">
              <w:rPr>
                <w:rStyle w:val="Hyperlink"/>
              </w:rPr>
              <w:t>3</w:t>
            </w:r>
            <w:r>
              <w:rPr>
                <w:rFonts w:eastAsiaTheme="minorEastAsia"/>
                <w:b w:val="0"/>
                <w:kern w:val="2"/>
                <w:sz w:val="24"/>
                <w:szCs w:val="24"/>
                <w:lang w:eastAsia="en-AU"/>
                <w14:ligatures w14:val="standardContextual"/>
              </w:rPr>
              <w:tab/>
            </w:r>
            <w:r w:rsidRPr="001817D2">
              <w:rPr>
                <w:rStyle w:val="Hyperlink"/>
              </w:rPr>
              <w:t>Scheduling arrangements</w:t>
            </w:r>
            <w:r>
              <w:rPr>
                <w:webHidden/>
              </w:rPr>
              <w:tab/>
            </w:r>
            <w:r>
              <w:rPr>
                <w:webHidden/>
              </w:rPr>
              <w:fldChar w:fldCharType="begin"/>
            </w:r>
            <w:r>
              <w:rPr>
                <w:webHidden/>
              </w:rPr>
              <w:instrText xml:space="preserve"> PAGEREF _Toc228528784 \h </w:instrText>
            </w:r>
            <w:r>
              <w:rPr>
                <w:webHidden/>
              </w:rPr>
            </w:r>
            <w:r>
              <w:rPr>
                <w:webHidden/>
              </w:rPr>
              <w:fldChar w:fldCharType="separate"/>
            </w:r>
            <w:r>
              <w:rPr>
                <w:webHidden/>
              </w:rPr>
              <w:t>5</w:t>
            </w:r>
            <w:r>
              <w:rPr>
                <w:webHidden/>
              </w:rPr>
              <w:fldChar w:fldCharType="end"/>
            </w:r>
          </w:hyperlink>
        </w:p>
        <w:p w14:paraId="55CAB0C8" w14:textId="43E39230" w:rsidR="003723E2" w:rsidRDefault="003723E2">
          <w:pPr>
            <w:pStyle w:val="TOC2"/>
            <w:tabs>
              <w:tab w:val="left" w:pos="1200"/>
            </w:tabs>
            <w:rPr>
              <w:rFonts w:eastAsiaTheme="minorEastAsia"/>
              <w:kern w:val="2"/>
              <w:sz w:val="24"/>
              <w:szCs w:val="24"/>
              <w:lang w:eastAsia="en-AU"/>
              <w14:ligatures w14:val="standardContextual"/>
            </w:rPr>
          </w:pPr>
          <w:hyperlink w:anchor="_Toc228528785" w:history="1">
            <w:r w:rsidRPr="001817D2">
              <w:rPr>
                <w:rStyle w:val="Hyperlink"/>
              </w:rPr>
              <w:t>3.1</w:t>
            </w:r>
            <w:r>
              <w:rPr>
                <w:rFonts w:eastAsiaTheme="minorEastAsia"/>
                <w:kern w:val="2"/>
                <w:sz w:val="24"/>
                <w:szCs w:val="24"/>
                <w:lang w:eastAsia="en-AU"/>
                <w14:ligatures w14:val="standardContextual"/>
              </w:rPr>
              <w:tab/>
            </w:r>
            <w:r w:rsidRPr="001817D2">
              <w:rPr>
                <w:rStyle w:val="Hyperlink"/>
              </w:rPr>
              <w:t>Department coordinated attendance</w:t>
            </w:r>
            <w:r>
              <w:rPr>
                <w:webHidden/>
              </w:rPr>
              <w:tab/>
            </w:r>
            <w:r>
              <w:rPr>
                <w:webHidden/>
              </w:rPr>
              <w:fldChar w:fldCharType="begin"/>
            </w:r>
            <w:r>
              <w:rPr>
                <w:webHidden/>
              </w:rPr>
              <w:instrText xml:space="preserve"> PAGEREF _Toc228528785 \h </w:instrText>
            </w:r>
            <w:r>
              <w:rPr>
                <w:webHidden/>
              </w:rPr>
            </w:r>
            <w:r>
              <w:rPr>
                <w:webHidden/>
              </w:rPr>
              <w:fldChar w:fldCharType="separate"/>
            </w:r>
            <w:r>
              <w:rPr>
                <w:webHidden/>
              </w:rPr>
              <w:t>5</w:t>
            </w:r>
            <w:r>
              <w:rPr>
                <w:webHidden/>
              </w:rPr>
              <w:fldChar w:fldCharType="end"/>
            </w:r>
          </w:hyperlink>
        </w:p>
        <w:p w14:paraId="5BECD2FA" w14:textId="2A704B58" w:rsidR="003723E2" w:rsidRDefault="003723E2">
          <w:pPr>
            <w:pStyle w:val="TOC2"/>
            <w:tabs>
              <w:tab w:val="left" w:pos="1200"/>
            </w:tabs>
            <w:rPr>
              <w:rFonts w:eastAsiaTheme="minorEastAsia"/>
              <w:kern w:val="2"/>
              <w:sz w:val="24"/>
              <w:szCs w:val="24"/>
              <w:lang w:eastAsia="en-AU"/>
              <w14:ligatures w14:val="standardContextual"/>
            </w:rPr>
          </w:pPr>
          <w:hyperlink w:anchor="_Toc228528786" w:history="1">
            <w:r w:rsidRPr="001817D2">
              <w:rPr>
                <w:rStyle w:val="Hyperlink"/>
              </w:rPr>
              <w:t>3.2</w:t>
            </w:r>
            <w:r>
              <w:rPr>
                <w:rFonts w:eastAsiaTheme="minorEastAsia"/>
                <w:kern w:val="2"/>
                <w:sz w:val="24"/>
                <w:szCs w:val="24"/>
                <w:lang w:eastAsia="en-AU"/>
                <w14:ligatures w14:val="standardContextual"/>
              </w:rPr>
              <w:tab/>
            </w:r>
            <w:r w:rsidRPr="001817D2">
              <w:rPr>
                <w:rStyle w:val="Hyperlink"/>
              </w:rPr>
              <w:t>Standard appointments</w:t>
            </w:r>
            <w:r>
              <w:rPr>
                <w:webHidden/>
              </w:rPr>
              <w:tab/>
            </w:r>
            <w:r>
              <w:rPr>
                <w:webHidden/>
              </w:rPr>
              <w:fldChar w:fldCharType="begin"/>
            </w:r>
            <w:r>
              <w:rPr>
                <w:webHidden/>
              </w:rPr>
              <w:instrText xml:space="preserve"> PAGEREF _Toc228528786 \h </w:instrText>
            </w:r>
            <w:r>
              <w:rPr>
                <w:webHidden/>
              </w:rPr>
            </w:r>
            <w:r>
              <w:rPr>
                <w:webHidden/>
              </w:rPr>
              <w:fldChar w:fldCharType="separate"/>
            </w:r>
            <w:r>
              <w:rPr>
                <w:webHidden/>
              </w:rPr>
              <w:t>5</w:t>
            </w:r>
            <w:r>
              <w:rPr>
                <w:webHidden/>
              </w:rPr>
              <w:fldChar w:fldCharType="end"/>
            </w:r>
          </w:hyperlink>
        </w:p>
        <w:p w14:paraId="2766B75C" w14:textId="7E110F6C" w:rsidR="003723E2" w:rsidRDefault="003723E2">
          <w:pPr>
            <w:pStyle w:val="TOC2"/>
            <w:tabs>
              <w:tab w:val="left" w:pos="1200"/>
            </w:tabs>
            <w:rPr>
              <w:rFonts w:eastAsiaTheme="minorEastAsia"/>
              <w:kern w:val="2"/>
              <w:sz w:val="24"/>
              <w:szCs w:val="24"/>
              <w:lang w:eastAsia="en-AU"/>
              <w14:ligatures w14:val="standardContextual"/>
            </w:rPr>
          </w:pPr>
          <w:hyperlink w:anchor="_Toc228528787" w:history="1">
            <w:r w:rsidRPr="001817D2">
              <w:rPr>
                <w:rStyle w:val="Hyperlink"/>
              </w:rPr>
              <w:t>3.3</w:t>
            </w:r>
            <w:r>
              <w:rPr>
                <w:rFonts w:eastAsiaTheme="minorEastAsia"/>
                <w:kern w:val="2"/>
                <w:sz w:val="24"/>
                <w:szCs w:val="24"/>
                <w:lang w:eastAsia="en-AU"/>
                <w14:ligatures w14:val="standardContextual"/>
              </w:rPr>
              <w:tab/>
            </w:r>
            <w:r w:rsidRPr="001817D2">
              <w:rPr>
                <w:rStyle w:val="Hyperlink"/>
              </w:rPr>
              <w:t>Group appointments</w:t>
            </w:r>
            <w:r>
              <w:rPr>
                <w:webHidden/>
              </w:rPr>
              <w:tab/>
            </w:r>
            <w:r>
              <w:rPr>
                <w:webHidden/>
              </w:rPr>
              <w:fldChar w:fldCharType="begin"/>
            </w:r>
            <w:r>
              <w:rPr>
                <w:webHidden/>
              </w:rPr>
              <w:instrText xml:space="preserve"> PAGEREF _Toc228528787 \h </w:instrText>
            </w:r>
            <w:r>
              <w:rPr>
                <w:webHidden/>
              </w:rPr>
            </w:r>
            <w:r>
              <w:rPr>
                <w:webHidden/>
              </w:rPr>
              <w:fldChar w:fldCharType="separate"/>
            </w:r>
            <w:r>
              <w:rPr>
                <w:webHidden/>
              </w:rPr>
              <w:t>6</w:t>
            </w:r>
            <w:r>
              <w:rPr>
                <w:webHidden/>
              </w:rPr>
              <w:fldChar w:fldCharType="end"/>
            </w:r>
          </w:hyperlink>
        </w:p>
        <w:p w14:paraId="2A950589" w14:textId="0CA845C4" w:rsidR="003723E2" w:rsidRDefault="003723E2">
          <w:pPr>
            <w:pStyle w:val="TOC2"/>
            <w:tabs>
              <w:tab w:val="left" w:pos="1200"/>
            </w:tabs>
            <w:rPr>
              <w:rFonts w:eastAsiaTheme="minorEastAsia"/>
              <w:kern w:val="2"/>
              <w:sz w:val="24"/>
              <w:szCs w:val="24"/>
              <w:lang w:eastAsia="en-AU"/>
              <w14:ligatures w14:val="standardContextual"/>
            </w:rPr>
          </w:pPr>
          <w:hyperlink w:anchor="_Toc228528788" w:history="1">
            <w:r w:rsidRPr="001817D2">
              <w:rPr>
                <w:rStyle w:val="Hyperlink"/>
              </w:rPr>
              <w:t>3.4</w:t>
            </w:r>
            <w:r>
              <w:rPr>
                <w:rFonts w:eastAsiaTheme="minorEastAsia"/>
                <w:kern w:val="2"/>
                <w:sz w:val="24"/>
                <w:szCs w:val="24"/>
                <w:lang w:eastAsia="en-AU"/>
                <w14:ligatures w14:val="standardContextual"/>
              </w:rPr>
              <w:tab/>
            </w:r>
            <w:r w:rsidRPr="001817D2">
              <w:rPr>
                <w:rStyle w:val="Hyperlink"/>
              </w:rPr>
              <w:t>Recurring appointments</w:t>
            </w:r>
            <w:r>
              <w:rPr>
                <w:webHidden/>
              </w:rPr>
              <w:tab/>
            </w:r>
            <w:r>
              <w:rPr>
                <w:webHidden/>
              </w:rPr>
              <w:fldChar w:fldCharType="begin"/>
            </w:r>
            <w:r>
              <w:rPr>
                <w:webHidden/>
              </w:rPr>
              <w:instrText xml:space="preserve"> PAGEREF _Toc228528788 \h </w:instrText>
            </w:r>
            <w:r>
              <w:rPr>
                <w:webHidden/>
              </w:rPr>
            </w:r>
            <w:r>
              <w:rPr>
                <w:webHidden/>
              </w:rPr>
              <w:fldChar w:fldCharType="separate"/>
            </w:r>
            <w:r>
              <w:rPr>
                <w:webHidden/>
              </w:rPr>
              <w:t>7</w:t>
            </w:r>
            <w:r>
              <w:rPr>
                <w:webHidden/>
              </w:rPr>
              <w:fldChar w:fldCharType="end"/>
            </w:r>
          </w:hyperlink>
        </w:p>
        <w:p w14:paraId="32022CB1" w14:textId="616C3660" w:rsidR="003723E2" w:rsidRDefault="003723E2">
          <w:pPr>
            <w:pStyle w:val="TOC1"/>
            <w:rPr>
              <w:rFonts w:eastAsiaTheme="minorEastAsia"/>
              <w:b w:val="0"/>
              <w:kern w:val="2"/>
              <w:sz w:val="24"/>
              <w:szCs w:val="24"/>
              <w:lang w:eastAsia="en-AU"/>
              <w14:ligatures w14:val="standardContextual"/>
            </w:rPr>
          </w:pPr>
          <w:hyperlink w:anchor="_Toc228528789" w:history="1">
            <w:r w:rsidRPr="001817D2">
              <w:rPr>
                <w:rStyle w:val="Hyperlink"/>
              </w:rPr>
              <w:t>4</w:t>
            </w:r>
            <w:r>
              <w:rPr>
                <w:rFonts w:eastAsiaTheme="minorEastAsia"/>
                <w:b w:val="0"/>
                <w:kern w:val="2"/>
                <w:sz w:val="24"/>
                <w:szCs w:val="24"/>
                <w:lang w:eastAsia="en-AU"/>
                <w14:ligatures w14:val="standardContextual"/>
              </w:rPr>
              <w:tab/>
            </w:r>
            <w:r w:rsidRPr="001817D2">
              <w:rPr>
                <w:rStyle w:val="Hyperlink"/>
              </w:rPr>
              <w:t>Arrangement requests and governance processes</w:t>
            </w:r>
            <w:r>
              <w:rPr>
                <w:webHidden/>
              </w:rPr>
              <w:tab/>
            </w:r>
            <w:r>
              <w:rPr>
                <w:webHidden/>
              </w:rPr>
              <w:fldChar w:fldCharType="begin"/>
            </w:r>
            <w:r>
              <w:rPr>
                <w:webHidden/>
              </w:rPr>
              <w:instrText xml:space="preserve"> PAGEREF _Toc228528789 \h </w:instrText>
            </w:r>
            <w:r>
              <w:rPr>
                <w:webHidden/>
              </w:rPr>
            </w:r>
            <w:r>
              <w:rPr>
                <w:webHidden/>
              </w:rPr>
              <w:fldChar w:fldCharType="separate"/>
            </w:r>
            <w:r>
              <w:rPr>
                <w:webHidden/>
              </w:rPr>
              <w:t>9</w:t>
            </w:r>
            <w:r>
              <w:rPr>
                <w:webHidden/>
              </w:rPr>
              <w:fldChar w:fldCharType="end"/>
            </w:r>
          </w:hyperlink>
        </w:p>
        <w:p w14:paraId="18794690" w14:textId="2F97B8CD" w:rsidR="003723E2" w:rsidRDefault="003723E2">
          <w:pPr>
            <w:pStyle w:val="TOC2"/>
            <w:tabs>
              <w:tab w:val="left" w:pos="1200"/>
            </w:tabs>
            <w:rPr>
              <w:rFonts w:eastAsiaTheme="minorEastAsia"/>
              <w:kern w:val="2"/>
              <w:sz w:val="24"/>
              <w:szCs w:val="24"/>
              <w:lang w:eastAsia="en-AU"/>
              <w14:ligatures w14:val="standardContextual"/>
            </w:rPr>
          </w:pPr>
          <w:hyperlink w:anchor="_Toc228528790" w:history="1">
            <w:r w:rsidRPr="001817D2">
              <w:rPr>
                <w:rStyle w:val="Hyperlink"/>
              </w:rPr>
              <w:t>4.1</w:t>
            </w:r>
            <w:r>
              <w:rPr>
                <w:rFonts w:eastAsiaTheme="minorEastAsia"/>
                <w:kern w:val="2"/>
                <w:sz w:val="24"/>
                <w:szCs w:val="24"/>
                <w:lang w:eastAsia="en-AU"/>
                <w14:ligatures w14:val="standardContextual"/>
              </w:rPr>
              <w:tab/>
            </w:r>
            <w:r w:rsidRPr="001817D2">
              <w:rPr>
                <w:rStyle w:val="Hyperlink"/>
              </w:rPr>
              <w:t>Who may submit a request</w:t>
            </w:r>
            <w:r>
              <w:rPr>
                <w:webHidden/>
              </w:rPr>
              <w:tab/>
            </w:r>
            <w:r>
              <w:rPr>
                <w:webHidden/>
              </w:rPr>
              <w:fldChar w:fldCharType="begin"/>
            </w:r>
            <w:r>
              <w:rPr>
                <w:webHidden/>
              </w:rPr>
              <w:instrText xml:space="preserve"> PAGEREF _Toc228528790 \h </w:instrText>
            </w:r>
            <w:r>
              <w:rPr>
                <w:webHidden/>
              </w:rPr>
            </w:r>
            <w:r>
              <w:rPr>
                <w:webHidden/>
              </w:rPr>
              <w:fldChar w:fldCharType="separate"/>
            </w:r>
            <w:r>
              <w:rPr>
                <w:webHidden/>
              </w:rPr>
              <w:t>9</w:t>
            </w:r>
            <w:r>
              <w:rPr>
                <w:webHidden/>
              </w:rPr>
              <w:fldChar w:fldCharType="end"/>
            </w:r>
          </w:hyperlink>
        </w:p>
        <w:p w14:paraId="7F94C7FE" w14:textId="1AA18FF6" w:rsidR="003723E2" w:rsidRDefault="003723E2">
          <w:pPr>
            <w:pStyle w:val="TOC2"/>
            <w:tabs>
              <w:tab w:val="left" w:pos="1200"/>
            </w:tabs>
            <w:rPr>
              <w:rFonts w:eastAsiaTheme="minorEastAsia"/>
              <w:kern w:val="2"/>
              <w:sz w:val="24"/>
              <w:szCs w:val="24"/>
              <w:lang w:eastAsia="en-AU"/>
              <w14:ligatures w14:val="standardContextual"/>
            </w:rPr>
          </w:pPr>
          <w:hyperlink w:anchor="_Toc228528791" w:history="1">
            <w:r w:rsidRPr="001817D2">
              <w:rPr>
                <w:rStyle w:val="Hyperlink"/>
              </w:rPr>
              <w:t>4.2</w:t>
            </w:r>
            <w:r>
              <w:rPr>
                <w:rFonts w:eastAsiaTheme="minorEastAsia"/>
                <w:kern w:val="2"/>
                <w:sz w:val="24"/>
                <w:szCs w:val="24"/>
                <w:lang w:eastAsia="en-AU"/>
                <w14:ligatures w14:val="standardContextual"/>
              </w:rPr>
              <w:tab/>
            </w:r>
            <w:r w:rsidRPr="001817D2">
              <w:rPr>
                <w:rStyle w:val="Hyperlink"/>
              </w:rPr>
              <w:t>Submission of requests</w:t>
            </w:r>
            <w:r>
              <w:rPr>
                <w:webHidden/>
              </w:rPr>
              <w:tab/>
            </w:r>
            <w:r>
              <w:rPr>
                <w:webHidden/>
              </w:rPr>
              <w:fldChar w:fldCharType="begin"/>
            </w:r>
            <w:r>
              <w:rPr>
                <w:webHidden/>
              </w:rPr>
              <w:instrText xml:space="preserve"> PAGEREF _Toc228528791 \h </w:instrText>
            </w:r>
            <w:r>
              <w:rPr>
                <w:webHidden/>
              </w:rPr>
            </w:r>
            <w:r>
              <w:rPr>
                <w:webHidden/>
              </w:rPr>
              <w:fldChar w:fldCharType="separate"/>
            </w:r>
            <w:r>
              <w:rPr>
                <w:webHidden/>
              </w:rPr>
              <w:t>9</w:t>
            </w:r>
            <w:r>
              <w:rPr>
                <w:webHidden/>
              </w:rPr>
              <w:fldChar w:fldCharType="end"/>
            </w:r>
          </w:hyperlink>
        </w:p>
        <w:p w14:paraId="09C958A2" w14:textId="39F4B061" w:rsidR="003723E2" w:rsidRDefault="003723E2">
          <w:pPr>
            <w:pStyle w:val="TOC2"/>
            <w:tabs>
              <w:tab w:val="left" w:pos="1200"/>
            </w:tabs>
            <w:rPr>
              <w:rFonts w:eastAsiaTheme="minorEastAsia"/>
              <w:kern w:val="2"/>
              <w:sz w:val="24"/>
              <w:szCs w:val="24"/>
              <w:lang w:eastAsia="en-AU"/>
              <w14:ligatures w14:val="standardContextual"/>
            </w:rPr>
          </w:pPr>
          <w:hyperlink w:anchor="_Toc228528792" w:history="1">
            <w:r w:rsidRPr="001817D2">
              <w:rPr>
                <w:rStyle w:val="Hyperlink"/>
              </w:rPr>
              <w:t>4.3</w:t>
            </w:r>
            <w:r>
              <w:rPr>
                <w:rFonts w:eastAsiaTheme="minorEastAsia"/>
                <w:kern w:val="2"/>
                <w:sz w:val="24"/>
                <w:szCs w:val="24"/>
                <w:lang w:eastAsia="en-AU"/>
                <w14:ligatures w14:val="standardContextual"/>
              </w:rPr>
              <w:tab/>
            </w:r>
            <w:r w:rsidRPr="001817D2">
              <w:rPr>
                <w:rStyle w:val="Hyperlink"/>
              </w:rPr>
              <w:t>Eligibility criteria and assessment</w:t>
            </w:r>
            <w:r>
              <w:rPr>
                <w:webHidden/>
              </w:rPr>
              <w:tab/>
            </w:r>
            <w:r>
              <w:rPr>
                <w:webHidden/>
              </w:rPr>
              <w:fldChar w:fldCharType="begin"/>
            </w:r>
            <w:r>
              <w:rPr>
                <w:webHidden/>
              </w:rPr>
              <w:instrText xml:space="preserve"> PAGEREF _Toc228528792 \h </w:instrText>
            </w:r>
            <w:r>
              <w:rPr>
                <w:webHidden/>
              </w:rPr>
            </w:r>
            <w:r>
              <w:rPr>
                <w:webHidden/>
              </w:rPr>
              <w:fldChar w:fldCharType="separate"/>
            </w:r>
            <w:r>
              <w:rPr>
                <w:webHidden/>
              </w:rPr>
              <w:t>9</w:t>
            </w:r>
            <w:r>
              <w:rPr>
                <w:webHidden/>
              </w:rPr>
              <w:fldChar w:fldCharType="end"/>
            </w:r>
          </w:hyperlink>
        </w:p>
        <w:p w14:paraId="0C59EDFC" w14:textId="7C3BB281" w:rsidR="003723E2" w:rsidRDefault="003723E2">
          <w:pPr>
            <w:pStyle w:val="TOC2"/>
            <w:tabs>
              <w:tab w:val="left" w:pos="1200"/>
            </w:tabs>
            <w:rPr>
              <w:rFonts w:eastAsiaTheme="minorEastAsia"/>
              <w:kern w:val="2"/>
              <w:sz w:val="24"/>
              <w:szCs w:val="24"/>
              <w:lang w:eastAsia="en-AU"/>
              <w14:ligatures w14:val="standardContextual"/>
            </w:rPr>
          </w:pPr>
          <w:hyperlink w:anchor="_Toc228528793" w:history="1">
            <w:r w:rsidRPr="001817D2">
              <w:rPr>
                <w:rStyle w:val="Hyperlink"/>
              </w:rPr>
              <w:t>4.4</w:t>
            </w:r>
            <w:r>
              <w:rPr>
                <w:rFonts w:eastAsiaTheme="minorEastAsia"/>
                <w:kern w:val="2"/>
                <w:sz w:val="24"/>
                <w:szCs w:val="24"/>
                <w:lang w:eastAsia="en-AU"/>
                <w14:ligatures w14:val="standardContextual"/>
              </w:rPr>
              <w:tab/>
            </w:r>
            <w:r w:rsidRPr="001817D2">
              <w:rPr>
                <w:rStyle w:val="Hyperlink"/>
              </w:rPr>
              <w:t>Approved recurring appointment</w:t>
            </w:r>
            <w:r>
              <w:rPr>
                <w:webHidden/>
              </w:rPr>
              <w:tab/>
            </w:r>
            <w:r>
              <w:rPr>
                <w:webHidden/>
              </w:rPr>
              <w:fldChar w:fldCharType="begin"/>
            </w:r>
            <w:r>
              <w:rPr>
                <w:webHidden/>
              </w:rPr>
              <w:instrText xml:space="preserve"> PAGEREF _Toc228528793 \h </w:instrText>
            </w:r>
            <w:r>
              <w:rPr>
                <w:webHidden/>
              </w:rPr>
            </w:r>
            <w:r>
              <w:rPr>
                <w:webHidden/>
              </w:rPr>
              <w:fldChar w:fldCharType="separate"/>
            </w:r>
            <w:r>
              <w:rPr>
                <w:webHidden/>
              </w:rPr>
              <w:t>10</w:t>
            </w:r>
            <w:r>
              <w:rPr>
                <w:webHidden/>
              </w:rPr>
              <w:fldChar w:fldCharType="end"/>
            </w:r>
          </w:hyperlink>
        </w:p>
        <w:p w14:paraId="710B99B0" w14:textId="2AB2A395" w:rsidR="003723E2" w:rsidRDefault="003723E2">
          <w:pPr>
            <w:pStyle w:val="TOC2"/>
            <w:tabs>
              <w:tab w:val="left" w:pos="1200"/>
            </w:tabs>
            <w:rPr>
              <w:rFonts w:eastAsiaTheme="minorEastAsia"/>
              <w:kern w:val="2"/>
              <w:sz w:val="24"/>
              <w:szCs w:val="24"/>
              <w:lang w:eastAsia="en-AU"/>
              <w14:ligatures w14:val="standardContextual"/>
            </w:rPr>
          </w:pPr>
          <w:hyperlink w:anchor="_Toc228528794" w:history="1">
            <w:r w:rsidRPr="001817D2">
              <w:rPr>
                <w:rStyle w:val="Hyperlink"/>
              </w:rPr>
              <w:t>4.5</w:t>
            </w:r>
            <w:r>
              <w:rPr>
                <w:rFonts w:eastAsiaTheme="minorEastAsia"/>
                <w:kern w:val="2"/>
                <w:sz w:val="24"/>
                <w:szCs w:val="24"/>
                <w:lang w:eastAsia="en-AU"/>
                <w14:ligatures w14:val="standardContextual"/>
              </w:rPr>
              <w:tab/>
            </w:r>
            <w:r w:rsidRPr="001817D2">
              <w:rPr>
                <w:rStyle w:val="Hyperlink"/>
              </w:rPr>
              <w:t>Declined recurring appointment</w:t>
            </w:r>
            <w:r>
              <w:rPr>
                <w:webHidden/>
              </w:rPr>
              <w:tab/>
            </w:r>
            <w:r>
              <w:rPr>
                <w:webHidden/>
              </w:rPr>
              <w:fldChar w:fldCharType="begin"/>
            </w:r>
            <w:r>
              <w:rPr>
                <w:webHidden/>
              </w:rPr>
              <w:instrText xml:space="preserve"> PAGEREF _Toc228528794 \h </w:instrText>
            </w:r>
            <w:r>
              <w:rPr>
                <w:webHidden/>
              </w:rPr>
            </w:r>
            <w:r>
              <w:rPr>
                <w:webHidden/>
              </w:rPr>
              <w:fldChar w:fldCharType="separate"/>
            </w:r>
            <w:r>
              <w:rPr>
                <w:webHidden/>
              </w:rPr>
              <w:t>10</w:t>
            </w:r>
            <w:r>
              <w:rPr>
                <w:webHidden/>
              </w:rPr>
              <w:fldChar w:fldCharType="end"/>
            </w:r>
          </w:hyperlink>
        </w:p>
        <w:p w14:paraId="6513D72B" w14:textId="3503F27C" w:rsidR="003723E2" w:rsidRDefault="003723E2">
          <w:pPr>
            <w:pStyle w:val="TOC2"/>
            <w:tabs>
              <w:tab w:val="left" w:pos="1200"/>
            </w:tabs>
            <w:rPr>
              <w:rFonts w:eastAsiaTheme="minorEastAsia"/>
              <w:kern w:val="2"/>
              <w:sz w:val="24"/>
              <w:szCs w:val="24"/>
              <w:lang w:eastAsia="en-AU"/>
              <w14:ligatures w14:val="standardContextual"/>
            </w:rPr>
          </w:pPr>
          <w:hyperlink w:anchor="_Toc228528795" w:history="1">
            <w:r w:rsidRPr="001817D2">
              <w:rPr>
                <w:rStyle w:val="Hyperlink"/>
              </w:rPr>
              <w:t>4.6</w:t>
            </w:r>
            <w:r>
              <w:rPr>
                <w:rFonts w:eastAsiaTheme="minorEastAsia"/>
                <w:kern w:val="2"/>
                <w:sz w:val="24"/>
                <w:szCs w:val="24"/>
                <w:lang w:eastAsia="en-AU"/>
                <w14:ligatures w14:val="standardContextual"/>
              </w:rPr>
              <w:tab/>
            </w:r>
            <w:r w:rsidRPr="001817D2">
              <w:rPr>
                <w:rStyle w:val="Hyperlink"/>
              </w:rPr>
              <w:t>Reviewing a decision</w:t>
            </w:r>
            <w:r>
              <w:rPr>
                <w:webHidden/>
              </w:rPr>
              <w:tab/>
            </w:r>
            <w:r>
              <w:rPr>
                <w:webHidden/>
              </w:rPr>
              <w:fldChar w:fldCharType="begin"/>
            </w:r>
            <w:r>
              <w:rPr>
                <w:webHidden/>
              </w:rPr>
              <w:instrText xml:space="preserve"> PAGEREF _Toc228528795 \h </w:instrText>
            </w:r>
            <w:r>
              <w:rPr>
                <w:webHidden/>
              </w:rPr>
            </w:r>
            <w:r>
              <w:rPr>
                <w:webHidden/>
              </w:rPr>
              <w:fldChar w:fldCharType="separate"/>
            </w:r>
            <w:r>
              <w:rPr>
                <w:webHidden/>
              </w:rPr>
              <w:t>10</w:t>
            </w:r>
            <w:r>
              <w:rPr>
                <w:webHidden/>
              </w:rPr>
              <w:fldChar w:fldCharType="end"/>
            </w:r>
          </w:hyperlink>
        </w:p>
        <w:p w14:paraId="45326B8E" w14:textId="33586030" w:rsidR="003723E2" w:rsidRDefault="003723E2">
          <w:pPr>
            <w:pStyle w:val="TOC2"/>
            <w:tabs>
              <w:tab w:val="left" w:pos="1200"/>
            </w:tabs>
            <w:rPr>
              <w:rFonts w:eastAsiaTheme="minorEastAsia"/>
              <w:kern w:val="2"/>
              <w:sz w:val="24"/>
              <w:szCs w:val="24"/>
              <w:lang w:eastAsia="en-AU"/>
              <w14:ligatures w14:val="standardContextual"/>
            </w:rPr>
          </w:pPr>
          <w:hyperlink w:anchor="_Toc228528796" w:history="1">
            <w:r w:rsidRPr="001817D2">
              <w:rPr>
                <w:rStyle w:val="Hyperlink"/>
              </w:rPr>
              <w:t>4.7</w:t>
            </w:r>
            <w:r>
              <w:rPr>
                <w:rFonts w:eastAsiaTheme="minorEastAsia"/>
                <w:kern w:val="2"/>
                <w:sz w:val="24"/>
                <w:szCs w:val="24"/>
                <w:lang w:eastAsia="en-AU"/>
                <w14:ligatures w14:val="standardContextual"/>
              </w:rPr>
              <w:tab/>
            </w:r>
            <w:r w:rsidRPr="001817D2">
              <w:rPr>
                <w:rStyle w:val="Hyperlink"/>
              </w:rPr>
              <w:t>Review of existing recurring appointments</w:t>
            </w:r>
            <w:r>
              <w:rPr>
                <w:webHidden/>
              </w:rPr>
              <w:tab/>
            </w:r>
            <w:r>
              <w:rPr>
                <w:webHidden/>
              </w:rPr>
              <w:fldChar w:fldCharType="begin"/>
            </w:r>
            <w:r>
              <w:rPr>
                <w:webHidden/>
              </w:rPr>
              <w:instrText xml:space="preserve"> PAGEREF _Toc228528796 \h </w:instrText>
            </w:r>
            <w:r>
              <w:rPr>
                <w:webHidden/>
              </w:rPr>
            </w:r>
            <w:r>
              <w:rPr>
                <w:webHidden/>
              </w:rPr>
              <w:fldChar w:fldCharType="separate"/>
            </w:r>
            <w:r>
              <w:rPr>
                <w:webHidden/>
              </w:rPr>
              <w:t>11</w:t>
            </w:r>
            <w:r>
              <w:rPr>
                <w:webHidden/>
              </w:rPr>
              <w:fldChar w:fldCharType="end"/>
            </w:r>
          </w:hyperlink>
        </w:p>
        <w:p w14:paraId="3A5505BF" w14:textId="17C0F170" w:rsidR="003723E2" w:rsidRDefault="003723E2">
          <w:pPr>
            <w:pStyle w:val="TOC2"/>
            <w:tabs>
              <w:tab w:val="left" w:pos="1200"/>
            </w:tabs>
            <w:rPr>
              <w:rFonts w:eastAsiaTheme="minorEastAsia"/>
              <w:kern w:val="2"/>
              <w:sz w:val="24"/>
              <w:szCs w:val="24"/>
              <w:lang w:eastAsia="en-AU"/>
              <w14:ligatures w14:val="standardContextual"/>
            </w:rPr>
          </w:pPr>
          <w:hyperlink w:anchor="_Toc228528797" w:history="1">
            <w:r w:rsidRPr="001817D2">
              <w:rPr>
                <w:rStyle w:val="Hyperlink"/>
              </w:rPr>
              <w:t>4.8</w:t>
            </w:r>
            <w:r>
              <w:rPr>
                <w:rFonts w:eastAsiaTheme="minorEastAsia"/>
                <w:kern w:val="2"/>
                <w:sz w:val="24"/>
                <w:szCs w:val="24"/>
                <w:lang w:eastAsia="en-AU"/>
                <w14:ligatures w14:val="standardContextual"/>
              </w:rPr>
              <w:tab/>
            </w:r>
            <w:r w:rsidRPr="001817D2">
              <w:rPr>
                <w:rStyle w:val="Hyperlink"/>
              </w:rPr>
              <w:t>Amendments or cancellations of arrangements</w:t>
            </w:r>
            <w:r>
              <w:rPr>
                <w:webHidden/>
              </w:rPr>
              <w:tab/>
            </w:r>
            <w:r>
              <w:rPr>
                <w:webHidden/>
              </w:rPr>
              <w:fldChar w:fldCharType="begin"/>
            </w:r>
            <w:r>
              <w:rPr>
                <w:webHidden/>
              </w:rPr>
              <w:instrText xml:space="preserve"> PAGEREF _Toc228528797 \h </w:instrText>
            </w:r>
            <w:r>
              <w:rPr>
                <w:webHidden/>
              </w:rPr>
            </w:r>
            <w:r>
              <w:rPr>
                <w:webHidden/>
              </w:rPr>
              <w:fldChar w:fldCharType="separate"/>
            </w:r>
            <w:r>
              <w:rPr>
                <w:webHidden/>
              </w:rPr>
              <w:t>11</w:t>
            </w:r>
            <w:r>
              <w:rPr>
                <w:webHidden/>
              </w:rPr>
              <w:fldChar w:fldCharType="end"/>
            </w:r>
          </w:hyperlink>
        </w:p>
        <w:p w14:paraId="6ACA3E16" w14:textId="3CE61E91" w:rsidR="003723E2" w:rsidRDefault="003723E2">
          <w:pPr>
            <w:pStyle w:val="TOC1"/>
            <w:rPr>
              <w:rFonts w:eastAsiaTheme="minorEastAsia"/>
              <w:b w:val="0"/>
              <w:kern w:val="2"/>
              <w:sz w:val="24"/>
              <w:szCs w:val="24"/>
              <w:lang w:eastAsia="en-AU"/>
              <w14:ligatures w14:val="standardContextual"/>
            </w:rPr>
          </w:pPr>
          <w:hyperlink w:anchor="_Toc228528798" w:history="1">
            <w:r w:rsidRPr="001817D2">
              <w:rPr>
                <w:rStyle w:val="Hyperlink"/>
              </w:rPr>
              <w:t>5</w:t>
            </w:r>
            <w:r>
              <w:rPr>
                <w:rFonts w:eastAsiaTheme="minorEastAsia"/>
                <w:b w:val="0"/>
                <w:kern w:val="2"/>
                <w:sz w:val="24"/>
                <w:szCs w:val="24"/>
                <w:lang w:eastAsia="en-AU"/>
                <w14:ligatures w14:val="standardContextual"/>
              </w:rPr>
              <w:tab/>
            </w:r>
            <w:r w:rsidRPr="001817D2">
              <w:rPr>
                <w:rStyle w:val="Hyperlink"/>
              </w:rPr>
              <w:t>Working conditions</w:t>
            </w:r>
            <w:r>
              <w:rPr>
                <w:webHidden/>
              </w:rPr>
              <w:tab/>
            </w:r>
            <w:r>
              <w:rPr>
                <w:webHidden/>
              </w:rPr>
              <w:fldChar w:fldCharType="begin"/>
            </w:r>
            <w:r>
              <w:rPr>
                <w:webHidden/>
              </w:rPr>
              <w:instrText xml:space="preserve"> PAGEREF _Toc228528798 \h </w:instrText>
            </w:r>
            <w:r>
              <w:rPr>
                <w:webHidden/>
              </w:rPr>
            </w:r>
            <w:r>
              <w:rPr>
                <w:webHidden/>
              </w:rPr>
              <w:fldChar w:fldCharType="separate"/>
            </w:r>
            <w:r>
              <w:rPr>
                <w:webHidden/>
              </w:rPr>
              <w:t>12</w:t>
            </w:r>
            <w:r>
              <w:rPr>
                <w:webHidden/>
              </w:rPr>
              <w:fldChar w:fldCharType="end"/>
            </w:r>
          </w:hyperlink>
        </w:p>
        <w:p w14:paraId="6BBCB9B1" w14:textId="309B5EB2" w:rsidR="003723E2" w:rsidRDefault="003723E2">
          <w:pPr>
            <w:pStyle w:val="TOC1"/>
            <w:rPr>
              <w:rFonts w:eastAsiaTheme="minorEastAsia"/>
              <w:b w:val="0"/>
              <w:kern w:val="2"/>
              <w:sz w:val="24"/>
              <w:szCs w:val="24"/>
              <w:lang w:eastAsia="en-AU"/>
              <w14:ligatures w14:val="standardContextual"/>
            </w:rPr>
          </w:pPr>
          <w:hyperlink w:anchor="_Toc228528799" w:history="1">
            <w:r w:rsidRPr="001817D2">
              <w:rPr>
                <w:rStyle w:val="Hyperlink"/>
              </w:rPr>
              <w:t>6</w:t>
            </w:r>
            <w:r>
              <w:rPr>
                <w:rFonts w:eastAsiaTheme="minorEastAsia"/>
                <w:b w:val="0"/>
                <w:kern w:val="2"/>
                <w:sz w:val="24"/>
                <w:szCs w:val="24"/>
                <w:lang w:eastAsia="en-AU"/>
                <w14:ligatures w14:val="standardContextual"/>
              </w:rPr>
              <w:tab/>
            </w:r>
            <w:r w:rsidRPr="001817D2">
              <w:rPr>
                <w:rStyle w:val="Hyperlink"/>
              </w:rPr>
              <w:t>Legislation and policy framework</w:t>
            </w:r>
            <w:r>
              <w:rPr>
                <w:webHidden/>
              </w:rPr>
              <w:tab/>
            </w:r>
            <w:r>
              <w:rPr>
                <w:webHidden/>
              </w:rPr>
              <w:fldChar w:fldCharType="begin"/>
            </w:r>
            <w:r>
              <w:rPr>
                <w:webHidden/>
              </w:rPr>
              <w:instrText xml:space="preserve"> PAGEREF _Toc228528799 \h </w:instrText>
            </w:r>
            <w:r>
              <w:rPr>
                <w:webHidden/>
              </w:rPr>
            </w:r>
            <w:r>
              <w:rPr>
                <w:webHidden/>
              </w:rPr>
              <w:fldChar w:fldCharType="separate"/>
            </w:r>
            <w:r>
              <w:rPr>
                <w:webHidden/>
              </w:rPr>
              <w:t>13</w:t>
            </w:r>
            <w:r>
              <w:rPr>
                <w:webHidden/>
              </w:rPr>
              <w:fldChar w:fldCharType="end"/>
            </w:r>
          </w:hyperlink>
        </w:p>
        <w:p w14:paraId="422CA420" w14:textId="526D1474" w:rsidR="003723E2" w:rsidRDefault="003723E2">
          <w:pPr>
            <w:pStyle w:val="TOC2"/>
            <w:tabs>
              <w:tab w:val="left" w:pos="1200"/>
            </w:tabs>
            <w:rPr>
              <w:rFonts w:eastAsiaTheme="minorEastAsia"/>
              <w:kern w:val="2"/>
              <w:sz w:val="24"/>
              <w:szCs w:val="24"/>
              <w:lang w:eastAsia="en-AU"/>
              <w14:ligatures w14:val="standardContextual"/>
            </w:rPr>
          </w:pPr>
          <w:hyperlink w:anchor="_Toc228528800" w:history="1">
            <w:r w:rsidRPr="001817D2">
              <w:rPr>
                <w:rStyle w:val="Hyperlink"/>
              </w:rPr>
              <w:t>6.1</w:t>
            </w:r>
            <w:r>
              <w:rPr>
                <w:rFonts w:eastAsiaTheme="minorEastAsia"/>
                <w:kern w:val="2"/>
                <w:sz w:val="24"/>
                <w:szCs w:val="24"/>
                <w:lang w:eastAsia="en-AU"/>
                <w14:ligatures w14:val="standardContextual"/>
              </w:rPr>
              <w:tab/>
            </w:r>
            <w:r w:rsidRPr="001817D2">
              <w:rPr>
                <w:rStyle w:val="Hyperlink"/>
              </w:rPr>
              <w:t>Legislative accountabilities and delegated powers</w:t>
            </w:r>
            <w:r>
              <w:rPr>
                <w:webHidden/>
              </w:rPr>
              <w:tab/>
            </w:r>
            <w:r>
              <w:rPr>
                <w:webHidden/>
              </w:rPr>
              <w:fldChar w:fldCharType="begin"/>
            </w:r>
            <w:r>
              <w:rPr>
                <w:webHidden/>
              </w:rPr>
              <w:instrText xml:space="preserve"> PAGEREF _Toc228528800 \h </w:instrText>
            </w:r>
            <w:r>
              <w:rPr>
                <w:webHidden/>
              </w:rPr>
            </w:r>
            <w:r>
              <w:rPr>
                <w:webHidden/>
              </w:rPr>
              <w:fldChar w:fldCharType="separate"/>
            </w:r>
            <w:r>
              <w:rPr>
                <w:webHidden/>
              </w:rPr>
              <w:t>13</w:t>
            </w:r>
            <w:r>
              <w:rPr>
                <w:webHidden/>
              </w:rPr>
              <w:fldChar w:fldCharType="end"/>
            </w:r>
          </w:hyperlink>
        </w:p>
        <w:p w14:paraId="45A13DF6" w14:textId="1FF373DB" w:rsidR="003723E2" w:rsidRDefault="003723E2">
          <w:pPr>
            <w:pStyle w:val="TOC1"/>
            <w:rPr>
              <w:rFonts w:eastAsiaTheme="minorEastAsia"/>
              <w:b w:val="0"/>
              <w:kern w:val="2"/>
              <w:sz w:val="24"/>
              <w:szCs w:val="24"/>
              <w:lang w:eastAsia="en-AU"/>
              <w14:ligatures w14:val="standardContextual"/>
            </w:rPr>
          </w:pPr>
          <w:hyperlink w:anchor="_Toc228528801" w:history="1">
            <w:r w:rsidRPr="001817D2">
              <w:rPr>
                <w:rStyle w:val="Hyperlink"/>
              </w:rPr>
              <w:t>7</w:t>
            </w:r>
            <w:r>
              <w:rPr>
                <w:rFonts w:eastAsiaTheme="minorEastAsia"/>
                <w:b w:val="0"/>
                <w:kern w:val="2"/>
                <w:sz w:val="24"/>
                <w:szCs w:val="24"/>
                <w:lang w:eastAsia="en-AU"/>
                <w14:ligatures w14:val="standardContextual"/>
              </w:rPr>
              <w:tab/>
            </w:r>
            <w:r w:rsidRPr="001817D2">
              <w:rPr>
                <w:rStyle w:val="Hyperlink"/>
              </w:rPr>
              <w:t>Assurance</w:t>
            </w:r>
            <w:r>
              <w:rPr>
                <w:webHidden/>
              </w:rPr>
              <w:tab/>
            </w:r>
            <w:r>
              <w:rPr>
                <w:webHidden/>
              </w:rPr>
              <w:fldChar w:fldCharType="begin"/>
            </w:r>
            <w:r>
              <w:rPr>
                <w:webHidden/>
              </w:rPr>
              <w:instrText xml:space="preserve"> PAGEREF _Toc228528801 \h </w:instrText>
            </w:r>
            <w:r>
              <w:rPr>
                <w:webHidden/>
              </w:rPr>
            </w:r>
            <w:r>
              <w:rPr>
                <w:webHidden/>
              </w:rPr>
              <w:fldChar w:fldCharType="separate"/>
            </w:r>
            <w:r>
              <w:rPr>
                <w:webHidden/>
              </w:rPr>
              <w:t>15</w:t>
            </w:r>
            <w:r>
              <w:rPr>
                <w:webHidden/>
              </w:rPr>
              <w:fldChar w:fldCharType="end"/>
            </w:r>
          </w:hyperlink>
        </w:p>
        <w:p w14:paraId="55D2D424" w14:textId="5BC3828B" w:rsidR="003723E2" w:rsidRDefault="003723E2">
          <w:pPr>
            <w:pStyle w:val="TOC1"/>
            <w:rPr>
              <w:rFonts w:eastAsiaTheme="minorEastAsia"/>
              <w:b w:val="0"/>
              <w:kern w:val="2"/>
              <w:sz w:val="24"/>
              <w:szCs w:val="24"/>
              <w:lang w:eastAsia="en-AU"/>
              <w14:ligatures w14:val="standardContextual"/>
            </w:rPr>
          </w:pPr>
          <w:hyperlink w:anchor="_Toc228528802" w:history="1">
            <w:r w:rsidRPr="001817D2">
              <w:rPr>
                <w:rStyle w:val="Hyperlink"/>
              </w:rPr>
              <w:t>Glossary</w:t>
            </w:r>
            <w:r>
              <w:rPr>
                <w:webHidden/>
              </w:rPr>
              <w:tab/>
            </w:r>
            <w:r>
              <w:rPr>
                <w:webHidden/>
              </w:rPr>
              <w:fldChar w:fldCharType="begin"/>
            </w:r>
            <w:r>
              <w:rPr>
                <w:webHidden/>
              </w:rPr>
              <w:instrText xml:space="preserve"> PAGEREF _Toc228528802 \h </w:instrText>
            </w:r>
            <w:r>
              <w:rPr>
                <w:webHidden/>
              </w:rPr>
            </w:r>
            <w:r>
              <w:rPr>
                <w:webHidden/>
              </w:rPr>
              <w:fldChar w:fldCharType="separate"/>
            </w:r>
            <w:r>
              <w:rPr>
                <w:webHidden/>
              </w:rPr>
              <w:t>16</w:t>
            </w:r>
            <w:r>
              <w:rPr>
                <w:webHidden/>
              </w:rPr>
              <w:fldChar w:fldCharType="end"/>
            </w:r>
          </w:hyperlink>
        </w:p>
        <w:p w14:paraId="281C49EA" w14:textId="142157C0" w:rsidR="00FD6F88" w:rsidRDefault="00FD6F88" w:rsidP="00FD6F88">
          <w:pPr>
            <w:pStyle w:val="TOC1"/>
          </w:pPr>
          <w:r>
            <w:rPr>
              <w:b w:val="0"/>
            </w:rPr>
            <w:fldChar w:fldCharType="end"/>
          </w:r>
        </w:p>
      </w:sdtContent>
    </w:sdt>
    <w:p w14:paraId="604C6A73" w14:textId="77777777" w:rsidR="00FD6F88" w:rsidRPr="009622CD" w:rsidRDefault="00FD6F88" w:rsidP="00FD6F88">
      <w:pPr>
        <w:pStyle w:val="TOCHeading2"/>
        <w:rPr>
          <w:rStyle w:val="Strong"/>
          <w:b/>
          <w:bCs w:val="0"/>
        </w:rPr>
      </w:pPr>
      <w:r w:rsidRPr="009622CD">
        <w:rPr>
          <w:rStyle w:val="Strong"/>
          <w:b/>
          <w:bCs w:val="0"/>
        </w:rPr>
        <w:t>Tables</w:t>
      </w:r>
    </w:p>
    <w:p w14:paraId="119B81AC" w14:textId="2AB2B34C" w:rsidR="002D482F" w:rsidRDefault="00FD6F88">
      <w:pPr>
        <w:pStyle w:val="TableofFigures"/>
        <w:tabs>
          <w:tab w:val="right" w:leader="dot" w:pos="9060"/>
        </w:tabs>
        <w:rPr>
          <w:rFonts w:eastAsiaTheme="minorEastAsia"/>
          <w:noProof/>
          <w:kern w:val="2"/>
          <w:sz w:val="24"/>
          <w:szCs w:val="24"/>
          <w:lang w:eastAsia="en-AU"/>
          <w14:ligatures w14:val="standardContextual"/>
        </w:rPr>
      </w:pPr>
      <w:r>
        <w:rPr>
          <w:rStyle w:val="Hyperlink"/>
        </w:rPr>
        <w:fldChar w:fldCharType="begin"/>
      </w:r>
      <w:r>
        <w:rPr>
          <w:rStyle w:val="Hyperlink"/>
          <w:noProof/>
        </w:rPr>
        <w:instrText xml:space="preserve"> TOC \h \z \c "Table" </w:instrText>
      </w:r>
      <w:r>
        <w:rPr>
          <w:rStyle w:val="Hyperlink"/>
        </w:rPr>
        <w:fldChar w:fldCharType="separate"/>
      </w:r>
      <w:hyperlink w:anchor="_Toc228356735" w:history="1">
        <w:r w:rsidR="002D482F" w:rsidRPr="00880E5D">
          <w:rPr>
            <w:rStyle w:val="Hyperlink"/>
            <w:noProof/>
          </w:rPr>
          <w:t>Table 1 Legislative accountabilities and delegated powers</w:t>
        </w:r>
        <w:r w:rsidR="002D482F">
          <w:rPr>
            <w:noProof/>
            <w:webHidden/>
          </w:rPr>
          <w:tab/>
        </w:r>
        <w:r w:rsidR="002D482F">
          <w:rPr>
            <w:noProof/>
            <w:webHidden/>
          </w:rPr>
          <w:fldChar w:fldCharType="begin"/>
        </w:r>
        <w:r w:rsidR="002D482F">
          <w:rPr>
            <w:noProof/>
            <w:webHidden/>
          </w:rPr>
          <w:instrText xml:space="preserve"> PAGEREF _Toc228356735 \h </w:instrText>
        </w:r>
        <w:r w:rsidR="002D482F">
          <w:rPr>
            <w:noProof/>
            <w:webHidden/>
          </w:rPr>
        </w:r>
        <w:r w:rsidR="002D482F">
          <w:rPr>
            <w:noProof/>
            <w:webHidden/>
          </w:rPr>
          <w:fldChar w:fldCharType="separate"/>
        </w:r>
        <w:r w:rsidR="002D482F">
          <w:rPr>
            <w:noProof/>
            <w:webHidden/>
          </w:rPr>
          <w:t>13</w:t>
        </w:r>
        <w:r w:rsidR="002D482F">
          <w:rPr>
            <w:noProof/>
            <w:webHidden/>
          </w:rPr>
          <w:fldChar w:fldCharType="end"/>
        </w:r>
      </w:hyperlink>
    </w:p>
    <w:p w14:paraId="15CA5504" w14:textId="0D6A01B6" w:rsidR="002D482F" w:rsidRDefault="002D482F">
      <w:pPr>
        <w:pStyle w:val="TableofFigures"/>
        <w:tabs>
          <w:tab w:val="right" w:leader="dot" w:pos="9060"/>
        </w:tabs>
        <w:rPr>
          <w:rFonts w:eastAsiaTheme="minorEastAsia"/>
          <w:noProof/>
          <w:kern w:val="2"/>
          <w:sz w:val="24"/>
          <w:szCs w:val="24"/>
          <w:lang w:eastAsia="en-AU"/>
          <w14:ligatures w14:val="standardContextual"/>
        </w:rPr>
      </w:pPr>
      <w:hyperlink w:anchor="_Toc228356736" w:history="1">
        <w:r w:rsidRPr="00880E5D">
          <w:rPr>
            <w:rStyle w:val="Hyperlink"/>
            <w:noProof/>
          </w:rPr>
          <w:t>Table 2 Relevant legislation</w:t>
        </w:r>
        <w:r>
          <w:rPr>
            <w:noProof/>
            <w:webHidden/>
          </w:rPr>
          <w:tab/>
        </w:r>
        <w:r>
          <w:rPr>
            <w:noProof/>
            <w:webHidden/>
          </w:rPr>
          <w:fldChar w:fldCharType="begin"/>
        </w:r>
        <w:r>
          <w:rPr>
            <w:noProof/>
            <w:webHidden/>
          </w:rPr>
          <w:instrText xml:space="preserve"> PAGEREF _Toc228356736 \h </w:instrText>
        </w:r>
        <w:r>
          <w:rPr>
            <w:noProof/>
            <w:webHidden/>
          </w:rPr>
        </w:r>
        <w:r>
          <w:rPr>
            <w:noProof/>
            <w:webHidden/>
          </w:rPr>
          <w:fldChar w:fldCharType="separate"/>
        </w:r>
        <w:r>
          <w:rPr>
            <w:noProof/>
            <w:webHidden/>
          </w:rPr>
          <w:t>14</w:t>
        </w:r>
        <w:r>
          <w:rPr>
            <w:noProof/>
            <w:webHidden/>
          </w:rPr>
          <w:fldChar w:fldCharType="end"/>
        </w:r>
      </w:hyperlink>
    </w:p>
    <w:p w14:paraId="0E2C3068" w14:textId="72C1C970" w:rsidR="002D482F" w:rsidRDefault="002D482F">
      <w:pPr>
        <w:pStyle w:val="TableofFigures"/>
        <w:tabs>
          <w:tab w:val="right" w:leader="dot" w:pos="9060"/>
        </w:tabs>
        <w:rPr>
          <w:rFonts w:eastAsiaTheme="minorEastAsia"/>
          <w:noProof/>
          <w:kern w:val="2"/>
          <w:sz w:val="24"/>
          <w:szCs w:val="24"/>
          <w:lang w:eastAsia="en-AU"/>
          <w14:ligatures w14:val="standardContextual"/>
        </w:rPr>
      </w:pPr>
      <w:hyperlink w:anchor="_Toc228356737" w:history="1">
        <w:r w:rsidRPr="00880E5D">
          <w:rPr>
            <w:rStyle w:val="Hyperlink"/>
            <w:noProof/>
          </w:rPr>
          <w:t>Table 3 Relevant policies</w:t>
        </w:r>
        <w:r>
          <w:rPr>
            <w:noProof/>
            <w:webHidden/>
          </w:rPr>
          <w:tab/>
        </w:r>
        <w:r>
          <w:rPr>
            <w:noProof/>
            <w:webHidden/>
          </w:rPr>
          <w:fldChar w:fldCharType="begin"/>
        </w:r>
        <w:r>
          <w:rPr>
            <w:noProof/>
            <w:webHidden/>
          </w:rPr>
          <w:instrText xml:space="preserve"> PAGEREF _Toc228356737 \h </w:instrText>
        </w:r>
        <w:r>
          <w:rPr>
            <w:noProof/>
            <w:webHidden/>
          </w:rPr>
        </w:r>
        <w:r>
          <w:rPr>
            <w:noProof/>
            <w:webHidden/>
          </w:rPr>
          <w:fldChar w:fldCharType="separate"/>
        </w:r>
        <w:r>
          <w:rPr>
            <w:noProof/>
            <w:webHidden/>
          </w:rPr>
          <w:t>14</w:t>
        </w:r>
        <w:r>
          <w:rPr>
            <w:noProof/>
            <w:webHidden/>
          </w:rPr>
          <w:fldChar w:fldCharType="end"/>
        </w:r>
      </w:hyperlink>
    </w:p>
    <w:p w14:paraId="6E71861C" w14:textId="5049B0DD" w:rsidR="00FD6F88" w:rsidRDefault="00FD6F88" w:rsidP="00FD6F88">
      <w:pPr>
        <w:pStyle w:val="TableofFigures"/>
        <w:tabs>
          <w:tab w:val="right" w:leader="dot" w:pos="9060"/>
        </w:tabs>
        <w:rPr>
          <w:noProof/>
        </w:rPr>
        <w:sectPr w:rsidR="00FD6F88" w:rsidSect="00FD6F88">
          <w:headerReference w:type="even" r:id="rId19"/>
          <w:headerReference w:type="default" r:id="rId20"/>
          <w:footerReference w:type="even" r:id="rId21"/>
          <w:footerReference w:type="default" r:id="rId22"/>
          <w:headerReference w:type="first" r:id="rId23"/>
          <w:footerReference w:type="first" r:id="rId24"/>
          <w:pgSz w:w="11906" w:h="16838"/>
          <w:pgMar w:top="1418" w:right="1418" w:bottom="1418" w:left="1418" w:header="567" w:footer="283" w:gutter="0"/>
          <w:pgNumType w:fmt="lowerRoman"/>
          <w:cols w:space="708"/>
          <w:titlePg/>
          <w:docGrid w:linePitch="360"/>
        </w:sectPr>
      </w:pPr>
      <w:r>
        <w:rPr>
          <w:noProof/>
        </w:rPr>
        <w:fldChar w:fldCharType="end"/>
      </w:r>
    </w:p>
    <w:p w14:paraId="241DCEE9" w14:textId="26978AD3" w:rsidR="00A46EBF" w:rsidRDefault="00A46EBF" w:rsidP="008F2762">
      <w:pPr>
        <w:pStyle w:val="Heading2"/>
        <w:numPr>
          <w:ilvl w:val="0"/>
          <w:numId w:val="0"/>
        </w:numPr>
        <w:ind w:left="720" w:hanging="720"/>
      </w:pPr>
      <w:bookmarkStart w:id="2" w:name="_Toc228528776"/>
      <w:bookmarkStart w:id="3" w:name="_Toc430782148"/>
      <w:r w:rsidRPr="004658E9">
        <w:lastRenderedPageBreak/>
        <w:t>Introduction</w:t>
      </w:r>
      <w:bookmarkEnd w:id="2"/>
    </w:p>
    <w:p w14:paraId="5C99044E" w14:textId="69263390" w:rsidR="00FD6F88" w:rsidRDefault="00A46EBF" w:rsidP="008F2762">
      <w:pPr>
        <w:pStyle w:val="Heading3"/>
        <w:numPr>
          <w:ilvl w:val="0"/>
          <w:numId w:val="0"/>
        </w:numPr>
        <w:ind w:left="964" w:hanging="964"/>
      </w:pPr>
      <w:bookmarkStart w:id="4" w:name="_Toc228528777"/>
      <w:bookmarkEnd w:id="3"/>
      <w:r w:rsidRPr="004658E9">
        <w:t>Purpose</w:t>
      </w:r>
      <w:bookmarkEnd w:id="4"/>
    </w:p>
    <w:p w14:paraId="75471028" w14:textId="7BEEE83E" w:rsidR="00FD6F88" w:rsidRDefault="00FD6F88" w:rsidP="00FD6F88">
      <w:pPr>
        <w:spacing w:after="120"/>
      </w:pPr>
      <w:r w:rsidRPr="2060C837">
        <w:t xml:space="preserve">The </w:t>
      </w:r>
      <w:r w:rsidR="008E6248" w:rsidRPr="0038283B">
        <w:rPr>
          <w:i/>
          <w:iCs/>
        </w:rPr>
        <w:t xml:space="preserve">Cargo </w:t>
      </w:r>
      <w:r w:rsidR="008B3D69" w:rsidRPr="0038283B">
        <w:rPr>
          <w:i/>
          <w:iCs/>
        </w:rPr>
        <w:t>Scheduling Policy</w:t>
      </w:r>
      <w:r w:rsidR="008E6248">
        <w:t xml:space="preserve"> </w:t>
      </w:r>
      <w:r w:rsidR="008B3D69">
        <w:t>outlines</w:t>
      </w:r>
      <w:r w:rsidRPr="2060C837">
        <w:t xml:space="preserve"> </w:t>
      </w:r>
      <w:r w:rsidRPr="2060C837">
        <w:rPr>
          <w:lang w:eastAsia="en-AU"/>
        </w:rPr>
        <w:t>the Department of Agriculture, Fisheries and Forestry’s</w:t>
      </w:r>
      <w:r w:rsidR="00B930A4">
        <w:rPr>
          <w:lang w:eastAsia="en-AU"/>
        </w:rPr>
        <w:t xml:space="preserve"> </w:t>
      </w:r>
      <w:r w:rsidRPr="2060C837">
        <w:t>approach and decision-making process to schedule and deploy departmental officers to attend third-party sites</w:t>
      </w:r>
      <w:r>
        <w:t xml:space="preserve"> (e.g. approved arrangements, wharves and other premises) </w:t>
      </w:r>
      <w:r w:rsidRPr="2060C837">
        <w:t xml:space="preserve">for the purpose of conducting biosecurity and imported food inspections. </w:t>
      </w:r>
    </w:p>
    <w:p w14:paraId="767DEA63" w14:textId="77777777" w:rsidR="00A40D7F" w:rsidRDefault="00FD6F88" w:rsidP="00FD6F88">
      <w:pPr>
        <w:spacing w:after="120"/>
      </w:pPr>
      <w:r w:rsidRPr="2060C837">
        <w:t xml:space="preserve">This policy covers the eligibility and governance processes related to the management of the scheduling arrangements within scope of the policy: standard appointments, group appointments and recurring </w:t>
      </w:r>
      <w:r w:rsidRPr="00A40D7F">
        <w:t>appointments.</w:t>
      </w:r>
    </w:p>
    <w:p w14:paraId="1AC7820E" w14:textId="70B1F7D7" w:rsidR="00764D6A" w:rsidRDefault="00DA1F5B" w:rsidP="008F2762">
      <w:pPr>
        <w:pStyle w:val="Heading3"/>
        <w:numPr>
          <w:ilvl w:val="0"/>
          <w:numId w:val="0"/>
        </w:numPr>
        <w:ind w:left="964" w:hanging="964"/>
      </w:pPr>
      <w:bookmarkStart w:id="5" w:name="_Toc228528778"/>
      <w:r w:rsidRPr="004658E9">
        <w:t>Background</w:t>
      </w:r>
      <w:bookmarkEnd w:id="5"/>
    </w:p>
    <w:p w14:paraId="699AD76A" w14:textId="4F9002B4" w:rsidR="006F2A3C" w:rsidRPr="00DE4069" w:rsidRDefault="00785607" w:rsidP="006F2A3C">
      <w:pPr>
        <w:spacing w:after="120"/>
        <w:rPr>
          <w:lang w:eastAsia="en-AU"/>
        </w:rPr>
      </w:pPr>
      <w:bookmarkStart w:id="6" w:name="_Toc430782150"/>
      <w:r>
        <w:rPr>
          <w:lang w:eastAsia="en-AU"/>
        </w:rPr>
        <w:t>We</w:t>
      </w:r>
      <w:r w:rsidR="006F2A3C" w:rsidRPr="2060C837">
        <w:rPr>
          <w:lang w:eastAsia="en-AU"/>
        </w:rPr>
        <w:t xml:space="preserve"> provide advice to importers </w:t>
      </w:r>
      <w:r w:rsidR="00B930A4">
        <w:rPr>
          <w:lang w:eastAsia="en-AU"/>
        </w:rPr>
        <w:t>and</w:t>
      </w:r>
      <w:r w:rsidR="006F2A3C" w:rsidRPr="2060C837">
        <w:rPr>
          <w:lang w:eastAsia="en-AU"/>
        </w:rPr>
        <w:t xml:space="preserve"> their representatives when an inspection </w:t>
      </w:r>
      <w:proofErr w:type="gramStart"/>
      <w:r w:rsidR="006F2A3C" w:rsidRPr="2060C837">
        <w:rPr>
          <w:lang w:eastAsia="en-AU"/>
        </w:rPr>
        <w:t>is required</w:t>
      </w:r>
      <w:proofErr w:type="gramEnd"/>
      <w:r w:rsidR="006F2A3C" w:rsidRPr="2060C837">
        <w:rPr>
          <w:lang w:eastAsia="en-AU"/>
        </w:rPr>
        <w:t xml:space="preserve"> under the </w:t>
      </w:r>
      <w:r w:rsidR="006F2A3C" w:rsidRPr="2060C837">
        <w:rPr>
          <w:i/>
          <w:lang w:eastAsia="en-AU"/>
        </w:rPr>
        <w:t>Biosecurity Act 2015 or Imported Food Control Act 1992</w:t>
      </w:r>
      <w:r w:rsidR="006F2A3C" w:rsidRPr="2060C837">
        <w:rPr>
          <w:lang w:eastAsia="en-AU"/>
        </w:rPr>
        <w:t xml:space="preserve">. Upon receiving advice, </w:t>
      </w:r>
      <w:r w:rsidR="006F2A3C">
        <w:rPr>
          <w:lang w:eastAsia="en-AU"/>
        </w:rPr>
        <w:t xml:space="preserve">an entity </w:t>
      </w:r>
      <w:r w:rsidR="006F2A3C" w:rsidRPr="2060C837">
        <w:rPr>
          <w:lang w:eastAsia="en-AU"/>
        </w:rPr>
        <w:t>may</w:t>
      </w:r>
      <w:r w:rsidR="00A32D8E">
        <w:rPr>
          <w:lang w:eastAsia="en-AU"/>
        </w:rPr>
        <w:t xml:space="preserve"> then</w:t>
      </w:r>
      <w:r w:rsidR="006F2A3C" w:rsidRPr="2060C837">
        <w:rPr>
          <w:lang w:eastAsia="en-AU"/>
        </w:rPr>
        <w:t xml:space="preserve"> notify </w:t>
      </w:r>
      <w:r>
        <w:rPr>
          <w:lang w:eastAsia="en-AU"/>
        </w:rPr>
        <w:t xml:space="preserve">us </w:t>
      </w:r>
      <w:r w:rsidR="006F2A3C" w:rsidRPr="2060C837">
        <w:rPr>
          <w:lang w:eastAsia="en-AU"/>
        </w:rPr>
        <w:t>when their goods will be available for inspection to enable</w:t>
      </w:r>
      <w:r w:rsidR="00C331FD">
        <w:rPr>
          <w:lang w:eastAsia="en-AU"/>
        </w:rPr>
        <w:t xml:space="preserve"> us to schedule an inspection appointment.</w:t>
      </w:r>
      <w:r w:rsidR="00880721" w:rsidRPr="00880721">
        <w:rPr>
          <w:lang w:eastAsia="ja-JP"/>
        </w:rPr>
        <w:t xml:space="preserve"> </w:t>
      </w:r>
      <w:r w:rsidR="00880721">
        <w:rPr>
          <w:lang w:eastAsia="ja-JP"/>
        </w:rPr>
        <w:t>Entities include importers and/or their representatives, operators of entry points, approved arrangement operators and brokers.</w:t>
      </w:r>
    </w:p>
    <w:p w14:paraId="53A6994E" w14:textId="62C4A0B6" w:rsidR="00A40D7F" w:rsidRDefault="00785607" w:rsidP="006F2A3C">
      <w:pPr>
        <w:spacing w:after="120"/>
        <w:rPr>
          <w:rFonts w:cstheme="minorHAnsi"/>
          <w:lang w:eastAsia="en-AU"/>
        </w:rPr>
      </w:pPr>
      <w:r>
        <w:rPr>
          <w:rFonts w:cstheme="minorHAnsi"/>
          <w:lang w:eastAsia="en-AU"/>
        </w:rPr>
        <w:t>We</w:t>
      </w:r>
      <w:r w:rsidR="00A40D7F">
        <w:rPr>
          <w:rFonts w:cstheme="minorHAnsi"/>
          <w:lang w:eastAsia="en-AU"/>
        </w:rPr>
        <w:t xml:space="preserve"> </w:t>
      </w:r>
      <w:r w:rsidR="006F2A3C" w:rsidRPr="00DE4069">
        <w:rPr>
          <w:rFonts w:cstheme="minorHAnsi"/>
          <w:lang w:eastAsia="en-AU"/>
        </w:rPr>
        <w:t>appoint officers who regularly attend third-party sites for the purpose of conducting biosecurity and imported food inspection</w:t>
      </w:r>
      <w:r w:rsidR="006F2A3C" w:rsidRPr="00A138CA">
        <w:rPr>
          <w:rFonts w:cstheme="minorHAnsi"/>
          <w:lang w:eastAsia="en-AU"/>
        </w:rPr>
        <w:t>s.</w:t>
      </w:r>
    </w:p>
    <w:p w14:paraId="5E38D210" w14:textId="6A6839C8" w:rsidR="006F2A3C" w:rsidRPr="00DE4069" w:rsidRDefault="006F2A3C" w:rsidP="006F2A3C">
      <w:pPr>
        <w:spacing w:after="120"/>
        <w:rPr>
          <w:lang w:eastAsia="en-AU"/>
        </w:rPr>
      </w:pPr>
      <w:r w:rsidRPr="2060C837">
        <w:t xml:space="preserve">The volume of goods handled by entities varies daily. To service this varying demand and to ensure an efficient manner to inspect goods, </w:t>
      </w:r>
      <w:r w:rsidR="00785607">
        <w:rPr>
          <w:rFonts w:cstheme="minorHAnsi"/>
          <w:lang w:eastAsia="en-AU"/>
        </w:rPr>
        <w:t>we</w:t>
      </w:r>
      <w:r w:rsidR="001364A3" w:rsidRPr="00DE4069">
        <w:rPr>
          <w:rFonts w:cstheme="minorHAnsi"/>
          <w:lang w:eastAsia="en-AU"/>
        </w:rPr>
        <w:t xml:space="preserve"> </w:t>
      </w:r>
      <w:r w:rsidR="001364A3">
        <w:rPr>
          <w:rFonts w:cstheme="minorHAnsi"/>
          <w:lang w:eastAsia="en-AU"/>
        </w:rPr>
        <w:t>ha</w:t>
      </w:r>
      <w:r w:rsidR="00785607">
        <w:rPr>
          <w:rFonts w:cstheme="minorHAnsi"/>
          <w:lang w:eastAsia="en-AU"/>
        </w:rPr>
        <w:t>ve</w:t>
      </w:r>
      <w:r w:rsidRPr="2060C837">
        <w:t xml:space="preserve"> developed </w:t>
      </w:r>
      <w:r w:rsidR="00785607">
        <w:t>the</w:t>
      </w:r>
      <w:r w:rsidRPr="2060C837">
        <w:t xml:space="preserve"> scheduling model</w:t>
      </w:r>
      <w:r>
        <w:t xml:space="preserve"> outlined in this policy</w:t>
      </w:r>
      <w:r w:rsidRPr="2060C837">
        <w:t>.</w:t>
      </w:r>
    </w:p>
    <w:p w14:paraId="44DF8681" w14:textId="7122210F" w:rsidR="006F2A3C" w:rsidRPr="00DE4069" w:rsidRDefault="006F2A3C" w:rsidP="006F2A3C">
      <w:pPr>
        <w:spacing w:after="120"/>
        <w:rPr>
          <w:lang w:eastAsia="en-AU"/>
        </w:rPr>
      </w:pPr>
      <w:r w:rsidRPr="2060C837">
        <w:t xml:space="preserve">This policy aligns with </w:t>
      </w:r>
      <w:r w:rsidR="00026464">
        <w:t xml:space="preserve">one of </w:t>
      </w:r>
      <w:r w:rsidR="00785607">
        <w:t>the</w:t>
      </w:r>
      <w:r w:rsidRPr="2060C837">
        <w:t xml:space="preserve"> </w:t>
      </w:r>
      <w:r w:rsidR="00785607">
        <w:t>9</w:t>
      </w:r>
      <w:r w:rsidR="00026464">
        <w:t xml:space="preserve"> s</w:t>
      </w:r>
      <w:r w:rsidRPr="2060C837">
        <w:t xml:space="preserve">trategic </w:t>
      </w:r>
      <w:r w:rsidR="00026464">
        <w:t>actions</w:t>
      </w:r>
      <w:r w:rsidRPr="2060C837">
        <w:t xml:space="preserve"> outlined in </w:t>
      </w:r>
      <w:hyperlink r:id="rId25" w:history="1">
        <w:r w:rsidR="00AD4FDD">
          <w:rPr>
            <w:rStyle w:val="Hyperlink"/>
          </w:rPr>
          <w:t>Commonwealth Biosecurity 2030</w:t>
        </w:r>
      </w:hyperlink>
      <w:r w:rsidRPr="2060C837">
        <w:t xml:space="preserve">: </w:t>
      </w:r>
      <w:r w:rsidR="00785607">
        <w:t>‘</w:t>
      </w:r>
      <w:r w:rsidR="00BD33E0">
        <w:t xml:space="preserve">Invest in a skilled and responsive workforce </w:t>
      </w:r>
      <w:r w:rsidR="00661B55">
        <w:t>supported by improved regulatory tools and information</w:t>
      </w:r>
      <w:r w:rsidR="00785607">
        <w:t>’</w:t>
      </w:r>
      <w:r w:rsidR="00661B55">
        <w:t>.</w:t>
      </w:r>
    </w:p>
    <w:p w14:paraId="4E37E2C5" w14:textId="52F1538F" w:rsidR="006F2A3C" w:rsidRDefault="006F2A3C" w:rsidP="006F2A3C">
      <w:pPr>
        <w:rPr>
          <w:rFonts w:cstheme="minorHAnsi"/>
        </w:rPr>
      </w:pPr>
      <w:r w:rsidRPr="00DE4069">
        <w:rPr>
          <w:rFonts w:cstheme="minorHAnsi"/>
        </w:rPr>
        <w:t xml:space="preserve">In the event of inconsistency between this policy and the legislation </w:t>
      </w:r>
      <w:r w:rsidR="006F662A">
        <w:rPr>
          <w:rFonts w:cstheme="minorHAnsi"/>
        </w:rPr>
        <w:t>governing our statutory functions, the legislation takes precedence.</w:t>
      </w:r>
    </w:p>
    <w:p w14:paraId="63B4B060" w14:textId="581821BA" w:rsidR="00FF71E4" w:rsidRDefault="004658E9" w:rsidP="008F2762">
      <w:pPr>
        <w:pStyle w:val="Heading3"/>
        <w:numPr>
          <w:ilvl w:val="0"/>
          <w:numId w:val="0"/>
        </w:numPr>
        <w:ind w:left="964" w:hanging="964"/>
      </w:pPr>
      <w:bookmarkStart w:id="7" w:name="_Toc228528779"/>
      <w:bookmarkEnd w:id="6"/>
      <w:r>
        <w:t>Scope</w:t>
      </w:r>
      <w:bookmarkEnd w:id="7"/>
    </w:p>
    <w:p w14:paraId="25DF2D8A" w14:textId="2234D3CF" w:rsidR="00FF71E4" w:rsidRPr="008E5056" w:rsidRDefault="00FF71E4" w:rsidP="00FF71E4">
      <w:r w:rsidRPr="008E5056">
        <w:t xml:space="preserve">This policy covers scheduling and deployment arrangements </w:t>
      </w:r>
      <w:r w:rsidR="005932AF">
        <w:t>for</w:t>
      </w:r>
      <w:r w:rsidRPr="008E5056">
        <w:t>:</w:t>
      </w:r>
    </w:p>
    <w:p w14:paraId="7DE2D8BA" w14:textId="77777777" w:rsidR="00FF71E4" w:rsidRPr="00D10599" w:rsidRDefault="00FF71E4" w:rsidP="00FF71E4">
      <w:pPr>
        <w:pStyle w:val="ListBullet"/>
      </w:pPr>
      <w:r w:rsidRPr="00D10599">
        <w:t>department coordinated attendance</w:t>
      </w:r>
    </w:p>
    <w:p w14:paraId="21F96E11" w14:textId="77777777" w:rsidR="00A40D7F" w:rsidRDefault="00FF71E4" w:rsidP="00FF71E4">
      <w:pPr>
        <w:pStyle w:val="ListBullet"/>
      </w:pPr>
      <w:r w:rsidRPr="00D10599">
        <w:t>standard appointments</w:t>
      </w:r>
    </w:p>
    <w:p w14:paraId="2776CA39" w14:textId="77777777" w:rsidR="00A40D7F" w:rsidRDefault="00FF71E4" w:rsidP="00FF71E4">
      <w:pPr>
        <w:pStyle w:val="ListBullet"/>
      </w:pPr>
      <w:r w:rsidRPr="00D10599">
        <w:t>group appointments</w:t>
      </w:r>
    </w:p>
    <w:p w14:paraId="39CEB22A" w14:textId="4E6C2FE9" w:rsidR="00FF71E4" w:rsidRPr="00D10599" w:rsidRDefault="00FF71E4" w:rsidP="00FF71E4">
      <w:pPr>
        <w:pStyle w:val="ListBullet"/>
      </w:pPr>
      <w:r w:rsidRPr="00D10599">
        <w:t>recurring appointments.</w:t>
      </w:r>
    </w:p>
    <w:p w14:paraId="06916949" w14:textId="77777777" w:rsidR="005932AF" w:rsidRDefault="00FF71E4" w:rsidP="00FF71E4">
      <w:pPr>
        <w:rPr>
          <w:rFonts w:cstheme="minorHAnsi"/>
          <w:lang w:eastAsia="en-AU"/>
        </w:rPr>
      </w:pPr>
      <w:r w:rsidRPr="008E5056">
        <w:rPr>
          <w:rFonts w:cstheme="minorHAnsi"/>
          <w:lang w:eastAsia="en-AU"/>
        </w:rPr>
        <w:t>This policy does not cover</w:t>
      </w:r>
      <w:r w:rsidR="005932AF">
        <w:rPr>
          <w:rFonts w:cstheme="minorHAnsi"/>
          <w:lang w:eastAsia="en-AU"/>
        </w:rPr>
        <w:t>:</w:t>
      </w:r>
    </w:p>
    <w:p w14:paraId="6158369F" w14:textId="77777777" w:rsidR="00A40D7F" w:rsidRDefault="00FF71E4" w:rsidP="000F1393">
      <w:pPr>
        <w:pStyle w:val="ListBullet"/>
        <w:rPr>
          <w:lang w:eastAsia="en-AU"/>
        </w:rPr>
      </w:pPr>
      <w:r w:rsidRPr="008E5056">
        <w:rPr>
          <w:lang w:eastAsia="en-AU"/>
        </w:rPr>
        <w:t xml:space="preserve">arrangements for </w:t>
      </w:r>
      <w:r>
        <w:rPr>
          <w:lang w:eastAsia="en-AU"/>
        </w:rPr>
        <w:t>export inspections</w:t>
      </w:r>
    </w:p>
    <w:p w14:paraId="6237B2DD" w14:textId="1748DD23" w:rsidR="000F1393" w:rsidRDefault="00FF71E4" w:rsidP="000F1393">
      <w:pPr>
        <w:pStyle w:val="ListBullet"/>
        <w:rPr>
          <w:lang w:eastAsia="en-AU"/>
        </w:rPr>
      </w:pPr>
      <w:r w:rsidRPr="008E5056">
        <w:rPr>
          <w:lang w:eastAsia="en-AU"/>
        </w:rPr>
        <w:t>inspections undertaken by non-departmental officers</w:t>
      </w:r>
    </w:p>
    <w:p w14:paraId="4995B564" w14:textId="52DF631E" w:rsidR="00FF71E4" w:rsidRPr="008E5056" w:rsidRDefault="000F1393" w:rsidP="000F1393">
      <w:pPr>
        <w:pStyle w:val="ListBullet"/>
        <w:rPr>
          <w:lang w:eastAsia="en-AU"/>
        </w:rPr>
      </w:pPr>
      <w:r>
        <w:rPr>
          <w:lang w:eastAsia="en-AU"/>
        </w:rPr>
        <w:lastRenderedPageBreak/>
        <w:t>inspections undertaken by</w:t>
      </w:r>
      <w:r w:rsidR="00FF71E4" w:rsidRPr="008E5056">
        <w:rPr>
          <w:lang w:eastAsia="en-AU"/>
        </w:rPr>
        <w:t xml:space="preserve"> industry participants operating under an approved arrangement.</w:t>
      </w:r>
    </w:p>
    <w:p w14:paraId="0F5C96A5" w14:textId="1EE98B34" w:rsidR="00FF71E4" w:rsidRDefault="00FF71E4" w:rsidP="00FF71E4">
      <w:pPr>
        <w:rPr>
          <w:lang w:eastAsia="en-AU"/>
        </w:rPr>
      </w:pPr>
      <w:r>
        <w:rPr>
          <w:lang w:eastAsia="en-AU"/>
        </w:rPr>
        <w:t xml:space="preserve">This policy </w:t>
      </w:r>
      <w:r w:rsidR="002E087D">
        <w:rPr>
          <w:lang w:eastAsia="en-AU"/>
        </w:rPr>
        <w:t>describes:</w:t>
      </w:r>
    </w:p>
    <w:p w14:paraId="6E0BFF32" w14:textId="11BFF483" w:rsidR="00FF71E4" w:rsidRPr="00A02D4B" w:rsidRDefault="00600B18" w:rsidP="00FF71E4">
      <w:pPr>
        <w:pStyle w:val="ListBullet"/>
        <w:rPr>
          <w:lang w:eastAsia="en-AU"/>
        </w:rPr>
      </w:pPr>
      <w:r>
        <w:rPr>
          <w:lang w:eastAsia="en-AU"/>
        </w:rPr>
        <w:t>t</w:t>
      </w:r>
      <w:r w:rsidR="00FF71E4" w:rsidRPr="2060C837">
        <w:rPr>
          <w:lang w:eastAsia="en-AU"/>
        </w:rPr>
        <w:t xml:space="preserve">he types of scheduling arrangements available </w:t>
      </w:r>
      <w:r w:rsidR="00FF71E4">
        <w:rPr>
          <w:lang w:eastAsia="en-AU"/>
        </w:rPr>
        <w:t xml:space="preserve">for the department to </w:t>
      </w:r>
      <w:r w:rsidR="00FF71E4" w:rsidRPr="2060C837">
        <w:rPr>
          <w:lang w:eastAsia="en-AU"/>
        </w:rPr>
        <w:t xml:space="preserve">perform its biosecurity and imported food </w:t>
      </w:r>
      <w:r w:rsidR="00FF71E4">
        <w:rPr>
          <w:lang w:eastAsia="en-AU"/>
        </w:rPr>
        <w:t>regulatory</w:t>
      </w:r>
      <w:r w:rsidR="00FF71E4" w:rsidRPr="2060C837">
        <w:rPr>
          <w:lang w:eastAsia="en-AU"/>
        </w:rPr>
        <w:t xml:space="preserve"> activities</w:t>
      </w:r>
      <w:r w:rsidR="00FF71E4" w:rsidRPr="00A02D4B">
        <w:rPr>
          <w:rFonts w:cstheme="minorHAnsi"/>
          <w:lang w:eastAsia="en-AU"/>
        </w:rPr>
        <w:t xml:space="preserve"> </w:t>
      </w:r>
      <w:r w:rsidR="00FF71E4">
        <w:rPr>
          <w:rFonts w:cstheme="minorHAnsi"/>
          <w:lang w:eastAsia="en-AU"/>
        </w:rPr>
        <w:t>at third party premises</w:t>
      </w:r>
    </w:p>
    <w:p w14:paraId="5D4A1766" w14:textId="2187B5BA" w:rsidR="00FF71E4" w:rsidRPr="00981EC4" w:rsidRDefault="0049612F" w:rsidP="00FF71E4">
      <w:pPr>
        <w:pStyle w:val="ListBullet"/>
        <w:rPr>
          <w:lang w:eastAsia="en-AU"/>
        </w:rPr>
      </w:pPr>
      <w:r>
        <w:rPr>
          <w:rFonts w:cstheme="minorHAnsi"/>
          <w:lang w:eastAsia="en-AU"/>
        </w:rPr>
        <w:t>t</w:t>
      </w:r>
      <w:r w:rsidR="00FF71E4">
        <w:rPr>
          <w:rFonts w:cstheme="minorHAnsi"/>
          <w:lang w:eastAsia="en-AU"/>
        </w:rPr>
        <w:t xml:space="preserve">he </w:t>
      </w:r>
      <w:r w:rsidR="00FF71E4" w:rsidRPr="008E5056">
        <w:rPr>
          <w:rFonts w:cstheme="minorHAnsi"/>
          <w:lang w:eastAsia="en-AU"/>
        </w:rPr>
        <w:t>processes that support the establishment of appropriate scheduling arrangements and communicate the kinds of arrangements available</w:t>
      </w:r>
    </w:p>
    <w:p w14:paraId="7E70962B" w14:textId="1D8F67A4" w:rsidR="00FF71E4" w:rsidRPr="00A02D4B" w:rsidRDefault="0049612F" w:rsidP="00FF71E4">
      <w:pPr>
        <w:pStyle w:val="ListBullet"/>
        <w:rPr>
          <w:lang w:eastAsia="en-AU"/>
        </w:rPr>
      </w:pPr>
      <w:r>
        <w:rPr>
          <w:rFonts w:cstheme="minorHAnsi"/>
          <w:lang w:eastAsia="en-AU"/>
        </w:rPr>
        <w:t>t</w:t>
      </w:r>
      <w:r w:rsidR="00FF71E4" w:rsidRPr="008E5056">
        <w:rPr>
          <w:rFonts w:cstheme="minorHAnsi"/>
          <w:lang w:eastAsia="en-AU"/>
        </w:rPr>
        <w:t xml:space="preserve">he effective utilisation of departmental resources and </w:t>
      </w:r>
      <w:r w:rsidR="00FF71E4">
        <w:rPr>
          <w:rFonts w:cstheme="minorHAnsi"/>
          <w:lang w:eastAsia="en-AU"/>
        </w:rPr>
        <w:t>minimising the</w:t>
      </w:r>
      <w:r w:rsidR="00FF71E4" w:rsidRPr="008E5056">
        <w:rPr>
          <w:rFonts w:cstheme="minorHAnsi"/>
          <w:lang w:eastAsia="en-AU"/>
        </w:rPr>
        <w:t xml:space="preserve"> administrative burden</w:t>
      </w:r>
      <w:r w:rsidR="00FF71E4" w:rsidRPr="00A02D4B">
        <w:rPr>
          <w:rFonts w:cstheme="minorHAnsi"/>
          <w:lang w:eastAsia="en-AU"/>
        </w:rPr>
        <w:t xml:space="preserve"> </w:t>
      </w:r>
      <w:r w:rsidR="00FF71E4">
        <w:rPr>
          <w:rFonts w:cstheme="minorHAnsi"/>
          <w:lang w:eastAsia="en-AU"/>
        </w:rPr>
        <w:t>associated with scheduling of deployable capacity</w:t>
      </w:r>
    </w:p>
    <w:p w14:paraId="403DE1F6" w14:textId="138983BB" w:rsidR="00FF71E4" w:rsidRPr="008E5056" w:rsidRDefault="0049612F" w:rsidP="00FF71E4">
      <w:pPr>
        <w:pStyle w:val="ListBullet"/>
        <w:rPr>
          <w:rFonts w:cstheme="minorHAnsi"/>
          <w:lang w:eastAsia="ja-JP"/>
        </w:rPr>
      </w:pPr>
      <w:r>
        <w:rPr>
          <w:rFonts w:cstheme="minorHAnsi"/>
          <w:lang w:eastAsia="ja-JP"/>
        </w:rPr>
        <w:t>h</w:t>
      </w:r>
      <w:r w:rsidR="00FF71E4">
        <w:rPr>
          <w:rFonts w:cstheme="minorHAnsi"/>
          <w:lang w:eastAsia="ja-JP"/>
        </w:rPr>
        <w:t>ow</w:t>
      </w:r>
      <w:r w:rsidR="00FF71E4" w:rsidRPr="008E5056">
        <w:rPr>
          <w:rFonts w:cstheme="minorHAnsi"/>
          <w:lang w:eastAsia="ja-JP"/>
        </w:rPr>
        <w:t xml:space="preserve"> the establishment of recurring appointments </w:t>
      </w:r>
      <w:r w:rsidR="00FF71E4">
        <w:rPr>
          <w:rFonts w:cstheme="minorHAnsi"/>
          <w:lang w:eastAsia="ja-JP"/>
        </w:rPr>
        <w:t>will</w:t>
      </w:r>
      <w:r w:rsidR="00FF71E4" w:rsidRPr="008E5056">
        <w:rPr>
          <w:rFonts w:cstheme="minorHAnsi"/>
          <w:lang w:eastAsia="ja-JP"/>
        </w:rPr>
        <w:t xml:space="preserve"> not unreasonably prevent other entities from being able to obtain an appointment for inspection</w:t>
      </w:r>
    </w:p>
    <w:p w14:paraId="1AF29C34" w14:textId="651FE463" w:rsidR="001364A3" w:rsidRDefault="0049612F" w:rsidP="00FF71E4">
      <w:pPr>
        <w:pStyle w:val="ListBullet"/>
        <w:rPr>
          <w:rFonts w:cstheme="minorHAnsi"/>
          <w:lang w:eastAsia="ja-JP"/>
        </w:rPr>
      </w:pPr>
      <w:r>
        <w:rPr>
          <w:rFonts w:cstheme="minorHAnsi"/>
          <w:lang w:eastAsia="ja-JP"/>
        </w:rPr>
        <w:t>h</w:t>
      </w:r>
      <w:r w:rsidR="00FF71E4">
        <w:rPr>
          <w:rFonts w:cstheme="minorHAnsi"/>
          <w:lang w:eastAsia="ja-JP"/>
        </w:rPr>
        <w:t>ow</w:t>
      </w:r>
      <w:r w:rsidR="00FF71E4" w:rsidRPr="008E5056">
        <w:rPr>
          <w:rFonts w:cstheme="minorHAnsi"/>
          <w:lang w:eastAsia="ja-JP"/>
        </w:rPr>
        <w:t xml:space="preserve"> </w:t>
      </w:r>
      <w:r w:rsidR="00FF71E4">
        <w:rPr>
          <w:rFonts w:cstheme="minorHAnsi"/>
          <w:lang w:eastAsia="ja-JP"/>
        </w:rPr>
        <w:t>scheduling</w:t>
      </w:r>
      <w:r w:rsidR="00FF71E4" w:rsidRPr="008E5056" w:rsidDel="006F5E69">
        <w:rPr>
          <w:rFonts w:cstheme="minorHAnsi"/>
          <w:lang w:eastAsia="ja-JP"/>
        </w:rPr>
        <w:t xml:space="preserve"> </w:t>
      </w:r>
      <w:r w:rsidR="00FF71E4" w:rsidRPr="008E5056">
        <w:rPr>
          <w:rFonts w:cstheme="minorHAnsi"/>
          <w:lang w:eastAsia="ja-JP"/>
        </w:rPr>
        <w:t>will not impact the ability to prioritise goods</w:t>
      </w:r>
    </w:p>
    <w:p w14:paraId="21127B67" w14:textId="531198CD" w:rsidR="00FF71E4" w:rsidRPr="008E5056" w:rsidRDefault="0049612F" w:rsidP="00FF71E4">
      <w:pPr>
        <w:pStyle w:val="ListBullet"/>
        <w:rPr>
          <w:rFonts w:cstheme="minorHAnsi"/>
          <w:lang w:eastAsia="ja-JP"/>
        </w:rPr>
      </w:pPr>
      <w:r>
        <w:rPr>
          <w:rFonts w:cstheme="minorHAnsi"/>
          <w:lang w:eastAsia="ja-JP"/>
        </w:rPr>
        <w:t>h</w:t>
      </w:r>
      <w:r w:rsidR="001364A3">
        <w:rPr>
          <w:rFonts w:cstheme="minorHAnsi"/>
          <w:lang w:eastAsia="ja-JP"/>
        </w:rPr>
        <w:t>ow the department will enable</w:t>
      </w:r>
      <w:r w:rsidR="00FF71E4">
        <w:rPr>
          <w:rFonts w:cstheme="minorHAnsi"/>
          <w:lang w:eastAsia="ja-JP"/>
        </w:rPr>
        <w:t xml:space="preserve"> timely regulation of imported goods subject to biosecurity and imported food </w:t>
      </w:r>
      <w:r w:rsidR="001364A3">
        <w:rPr>
          <w:rFonts w:cstheme="minorHAnsi"/>
          <w:lang w:eastAsia="ja-JP"/>
        </w:rPr>
        <w:t>control</w:t>
      </w:r>
    </w:p>
    <w:p w14:paraId="5D14DA82" w14:textId="5C495454" w:rsidR="00FF71E4" w:rsidRDefault="0049612F" w:rsidP="00FF71E4">
      <w:pPr>
        <w:pStyle w:val="ListBullet"/>
        <w:rPr>
          <w:rFonts w:cstheme="minorHAnsi"/>
        </w:rPr>
      </w:pPr>
      <w:r>
        <w:rPr>
          <w:rFonts w:cstheme="minorHAnsi"/>
        </w:rPr>
        <w:t>h</w:t>
      </w:r>
      <w:r w:rsidR="00FF71E4">
        <w:rPr>
          <w:rFonts w:cstheme="minorHAnsi"/>
        </w:rPr>
        <w:t xml:space="preserve">ow </w:t>
      </w:r>
      <w:r w:rsidR="00E45EDF">
        <w:rPr>
          <w:rFonts w:cstheme="minorHAnsi"/>
        </w:rPr>
        <w:t xml:space="preserve">we will manage </w:t>
      </w:r>
      <w:r w:rsidR="00FF71E4">
        <w:rPr>
          <w:rFonts w:cstheme="minorHAnsi"/>
        </w:rPr>
        <w:t>i</w:t>
      </w:r>
      <w:r w:rsidR="00FF71E4" w:rsidRPr="000F05CD">
        <w:rPr>
          <w:rFonts w:cstheme="minorHAnsi"/>
        </w:rPr>
        <w:t xml:space="preserve">nformation collected for the establishment and management of recurring appointments in accordance with the </w:t>
      </w:r>
      <w:r w:rsidR="00FF71E4" w:rsidRPr="000F05CD">
        <w:rPr>
          <w:rFonts w:cstheme="minorHAnsi"/>
          <w:i/>
          <w:iCs/>
        </w:rPr>
        <w:t>Privacy Act 1988</w:t>
      </w:r>
    </w:p>
    <w:p w14:paraId="040FA0FF" w14:textId="76CEA301" w:rsidR="00FF71E4" w:rsidRDefault="0049612F" w:rsidP="00FF71E4">
      <w:pPr>
        <w:pStyle w:val="ListBullet"/>
      </w:pPr>
      <w:r>
        <w:t>t</w:t>
      </w:r>
      <w:r w:rsidR="00FF71E4" w:rsidRPr="2060C837">
        <w:t xml:space="preserve">he </w:t>
      </w:r>
      <w:r w:rsidR="00FF71E4">
        <w:t xml:space="preserve">responsibilities of the </w:t>
      </w:r>
      <w:r w:rsidR="00FF71E4" w:rsidRPr="2060C837">
        <w:t xml:space="preserve">entity </w:t>
      </w:r>
      <w:r w:rsidR="00FF71E4">
        <w:t xml:space="preserve">including </w:t>
      </w:r>
      <w:r w:rsidR="001364A3">
        <w:t>ensuring provided</w:t>
      </w:r>
      <w:r w:rsidR="00FF71E4" w:rsidRPr="2060C837">
        <w:t xml:space="preserve"> information is accurate to </w:t>
      </w:r>
      <w:r w:rsidR="001364A3">
        <w:t>enable the department to appropriately manage resource deployment.</w:t>
      </w:r>
    </w:p>
    <w:p w14:paraId="74A84E9B" w14:textId="1BA3A8B7" w:rsidR="00764D6A" w:rsidRDefault="00A57F62" w:rsidP="009B47B0">
      <w:pPr>
        <w:pStyle w:val="Heading2"/>
      </w:pPr>
      <w:bookmarkStart w:id="8" w:name="_Toc228528780"/>
      <w:r>
        <w:lastRenderedPageBreak/>
        <w:t>P</w:t>
      </w:r>
      <w:r w:rsidR="006F2A3C" w:rsidRPr="009B47B0">
        <w:t>rinciples</w:t>
      </w:r>
      <w:bookmarkEnd w:id="8"/>
    </w:p>
    <w:p w14:paraId="7E83599E" w14:textId="66A06FE0" w:rsidR="00013194" w:rsidRPr="008E5056" w:rsidRDefault="00013194" w:rsidP="001364A3">
      <w:pPr>
        <w:rPr>
          <w:rFonts w:cstheme="minorHAnsi"/>
        </w:rPr>
      </w:pPr>
      <w:bookmarkStart w:id="9" w:name="_Ref445985033"/>
      <w:bookmarkStart w:id="10" w:name="_Toc409769171"/>
      <w:r w:rsidRPr="008E5056">
        <w:rPr>
          <w:rFonts w:cstheme="minorHAnsi"/>
        </w:rPr>
        <w:t>Scheduling and deployment arrangements for officers to sites for the purpose of conducting cargo inspections must</w:t>
      </w:r>
      <w:r w:rsidR="001364A3">
        <w:rPr>
          <w:rFonts w:cstheme="minorHAnsi"/>
        </w:rPr>
        <w:t>:</w:t>
      </w:r>
    </w:p>
    <w:p w14:paraId="10120779" w14:textId="77777777" w:rsidR="00013194" w:rsidRDefault="00013194" w:rsidP="00D10599">
      <w:pPr>
        <w:pStyle w:val="ListBullet"/>
      </w:pPr>
      <w:r w:rsidRPr="008E5056">
        <w:t>be lawful</w:t>
      </w:r>
    </w:p>
    <w:p w14:paraId="1EB57737" w14:textId="77777777" w:rsidR="00013194" w:rsidRDefault="00013194" w:rsidP="00D10599">
      <w:pPr>
        <w:pStyle w:val="ListBullet"/>
      </w:pPr>
      <w:r w:rsidRPr="008E5056">
        <w:t>be flexible</w:t>
      </w:r>
    </w:p>
    <w:p w14:paraId="32AB2CAF" w14:textId="77777777" w:rsidR="00013194" w:rsidRDefault="00013194" w:rsidP="00D10599">
      <w:pPr>
        <w:pStyle w:val="ListBullet"/>
      </w:pPr>
      <w:r w:rsidRPr="008E5056">
        <w:t>be transparent and equitable to entities</w:t>
      </w:r>
    </w:p>
    <w:p w14:paraId="6BDDF5C9" w14:textId="77777777" w:rsidR="00013194" w:rsidRDefault="00013194" w:rsidP="00D10599">
      <w:pPr>
        <w:pStyle w:val="ListBullet"/>
      </w:pPr>
      <w:r>
        <w:t>c</w:t>
      </w:r>
      <w:r w:rsidRPr="008E5056">
        <w:t>onsider consistent application across the inspectorate where practical</w:t>
      </w:r>
    </w:p>
    <w:p w14:paraId="3D2B1369" w14:textId="77777777" w:rsidR="00013194" w:rsidRDefault="00013194" w:rsidP="00D10599">
      <w:pPr>
        <w:pStyle w:val="ListBullet"/>
      </w:pPr>
      <w:r>
        <w:t>c</w:t>
      </w:r>
      <w:r w:rsidRPr="008E5056">
        <w:t>onsider pathway priority and appropriately manage risks</w:t>
      </w:r>
    </w:p>
    <w:p w14:paraId="3894727F" w14:textId="77777777" w:rsidR="00013194" w:rsidRDefault="00013194" w:rsidP="00D10599">
      <w:pPr>
        <w:pStyle w:val="ListBullet"/>
      </w:pPr>
      <w:r w:rsidRPr="008E5056">
        <w:t>be efficient and promote the effective utilisation of resources</w:t>
      </w:r>
    </w:p>
    <w:p w14:paraId="31F93353" w14:textId="77777777" w:rsidR="00013194" w:rsidRDefault="00013194" w:rsidP="00D10599">
      <w:pPr>
        <w:pStyle w:val="ListBullet"/>
      </w:pPr>
      <w:r w:rsidRPr="008E5056">
        <w:t>not be unnecessarily restrictive to trade</w:t>
      </w:r>
    </w:p>
    <w:p w14:paraId="4032D20A" w14:textId="77777777" w:rsidR="00013194" w:rsidRPr="008E5056" w:rsidRDefault="00013194" w:rsidP="00D10599">
      <w:pPr>
        <w:pStyle w:val="ListBullet"/>
      </w:pPr>
      <w:r>
        <w:t>a</w:t>
      </w:r>
      <w:r w:rsidRPr="008E5056">
        <w:t xml:space="preserve">llow for the collection of data to validate the servicing arrangements and inform future </w:t>
      </w:r>
      <w:r>
        <w:t>practice.</w:t>
      </w:r>
    </w:p>
    <w:p w14:paraId="0C8EEC60" w14:textId="4B7F7FE4" w:rsidR="00764D6A" w:rsidRDefault="00013194" w:rsidP="00243934">
      <w:r w:rsidRPr="008E5056">
        <w:t>Entities must enter scheduling arrangements on a voluntary basis</w:t>
      </w:r>
      <w:r w:rsidR="00DB57E4">
        <w:t>;</w:t>
      </w:r>
      <w:r w:rsidRPr="008E5056">
        <w:t xml:space="preserve"> department may not compel an entity to make an appointment.</w:t>
      </w:r>
      <w:r>
        <w:t xml:space="preserve"> However, there may be circumstances where the department is required to coordinate the attendance of officers to a site</w:t>
      </w:r>
      <w:r w:rsidR="00096FB6">
        <w:t xml:space="preserve"> (s</w:t>
      </w:r>
      <w:r>
        <w:t xml:space="preserve">ee </w:t>
      </w:r>
      <w:hyperlink w:anchor="_Department_coordinated_attendance" w:history="1">
        <w:r w:rsidRPr="00306873">
          <w:rPr>
            <w:rStyle w:val="Hyperlink"/>
            <w:rFonts w:cstheme="minorHAnsi"/>
          </w:rPr>
          <w:t>Department coordinated attendance</w:t>
        </w:r>
      </w:hyperlink>
      <w:bookmarkEnd w:id="9"/>
      <w:bookmarkEnd w:id="10"/>
      <w:r w:rsidR="00096FB6">
        <w:t>).</w:t>
      </w:r>
    </w:p>
    <w:p w14:paraId="514A8B19" w14:textId="4448AD95" w:rsidR="00A57F62" w:rsidRDefault="00A57F62" w:rsidP="00A57F62">
      <w:pPr>
        <w:pStyle w:val="Heading2"/>
      </w:pPr>
      <w:bookmarkStart w:id="11" w:name="_Toc430782152"/>
      <w:bookmarkStart w:id="12" w:name="_Toc228528781"/>
      <w:bookmarkStart w:id="13" w:name="_Ref445985062"/>
      <w:bookmarkStart w:id="14" w:name="_Toc409769199"/>
      <w:bookmarkStart w:id="15" w:name="_Toc214279204"/>
      <w:r>
        <w:lastRenderedPageBreak/>
        <w:t>Fees</w:t>
      </w:r>
      <w:bookmarkEnd w:id="11"/>
      <w:bookmarkEnd w:id="12"/>
    </w:p>
    <w:p w14:paraId="33C718D2" w14:textId="161556A6" w:rsidR="00A57F62" w:rsidRPr="00A01FA8" w:rsidRDefault="00A57F62" w:rsidP="00A57F62">
      <w:pPr>
        <w:rPr>
          <w:lang w:eastAsia="ja-JP"/>
        </w:rPr>
      </w:pPr>
      <w:r w:rsidRPr="2060C837">
        <w:t xml:space="preserve">Fees for biosecurity activities are </w:t>
      </w:r>
      <w:r w:rsidR="00E2749F">
        <w:t>available</w:t>
      </w:r>
      <w:r w:rsidRPr="2060C837">
        <w:t xml:space="preserve"> in the Biosecurity Regulations 2016, and fees for imported food activities are </w:t>
      </w:r>
      <w:r w:rsidR="00E2749F">
        <w:t>available</w:t>
      </w:r>
      <w:r w:rsidRPr="2060C837">
        <w:t xml:space="preserve"> in the Imported Food Control Regulations 2019. The </w:t>
      </w:r>
      <w:hyperlink r:id="rId26" w:history="1">
        <w:r w:rsidR="00330063" w:rsidRPr="00096FB6">
          <w:rPr>
            <w:rStyle w:val="Hyperlink"/>
          </w:rPr>
          <w:t xml:space="preserve">Biosecurity </w:t>
        </w:r>
        <w:r w:rsidRPr="00096FB6">
          <w:rPr>
            <w:rStyle w:val="Hyperlink"/>
          </w:rPr>
          <w:t>cost recovery implementation statement</w:t>
        </w:r>
      </w:hyperlink>
      <w:r w:rsidRPr="2060C837">
        <w:t xml:space="preserve"> (CRIS) and fee tables </w:t>
      </w:r>
      <w:r w:rsidR="00BD3838">
        <w:t>outline</w:t>
      </w:r>
      <w:r w:rsidR="001A5D32">
        <w:t xml:space="preserve"> </w:t>
      </w:r>
      <w:r w:rsidRPr="2060C837">
        <w:t xml:space="preserve">current prices for </w:t>
      </w:r>
      <w:r w:rsidR="001A5D32">
        <w:t xml:space="preserve">our </w:t>
      </w:r>
      <w:r w:rsidRPr="2060C837">
        <w:t>regulatory activities.</w:t>
      </w:r>
    </w:p>
    <w:p w14:paraId="781008DA" w14:textId="2B4B3559" w:rsidR="00A57F62" w:rsidRPr="00A01FA8" w:rsidRDefault="00A57F62" w:rsidP="006A3CD4">
      <w:pPr>
        <w:pStyle w:val="Heading3"/>
        <w:rPr>
          <w:lang w:eastAsia="ja-JP"/>
        </w:rPr>
      </w:pPr>
      <w:bookmarkStart w:id="16" w:name="_Toc228528782"/>
      <w:r>
        <w:rPr>
          <w:lang w:eastAsia="ja-JP"/>
        </w:rPr>
        <w:t>Unused time during s</w:t>
      </w:r>
      <w:r w:rsidRPr="00A01FA8">
        <w:rPr>
          <w:lang w:eastAsia="ja-JP"/>
        </w:rPr>
        <w:t>tandard appointments</w:t>
      </w:r>
      <w:bookmarkEnd w:id="16"/>
    </w:p>
    <w:p w14:paraId="0FFE3572" w14:textId="77777777" w:rsidR="00A40D7F" w:rsidRDefault="00A57F62" w:rsidP="00A57F62">
      <w:pPr>
        <w:pStyle w:val="ListBullet"/>
      </w:pPr>
      <w:r w:rsidRPr="00D10599">
        <w:t xml:space="preserve">If the officer cannot </w:t>
      </w:r>
      <w:proofErr w:type="gramStart"/>
      <w:r w:rsidRPr="00D10599">
        <w:t>be deployed</w:t>
      </w:r>
      <w:proofErr w:type="gramEnd"/>
      <w:r w:rsidRPr="00D10599">
        <w:t xml:space="preserve"> to another appointment, fees apply to the entity booking the inspection for the entire time booked.</w:t>
      </w:r>
    </w:p>
    <w:p w14:paraId="52D8D5B8" w14:textId="35C98B9F" w:rsidR="00A57F62" w:rsidRPr="00D10599" w:rsidRDefault="00A57F62" w:rsidP="00A57F62">
      <w:pPr>
        <w:pStyle w:val="ListBullet"/>
      </w:pPr>
      <w:r w:rsidRPr="00D10599">
        <w:t xml:space="preserve">If the officer can </w:t>
      </w:r>
      <w:proofErr w:type="gramStart"/>
      <w:r w:rsidRPr="00D10599">
        <w:t>be deployed</w:t>
      </w:r>
      <w:proofErr w:type="gramEnd"/>
      <w:r w:rsidRPr="00D10599">
        <w:t xml:space="preserve"> to another appointment, fees apply for utilised time only.</w:t>
      </w:r>
    </w:p>
    <w:p w14:paraId="638BC2AB" w14:textId="6E0B6C01" w:rsidR="00A57F62" w:rsidRPr="00A01FA8" w:rsidRDefault="00A57F62" w:rsidP="00AB4903">
      <w:pPr>
        <w:pStyle w:val="Heading3"/>
        <w:rPr>
          <w:lang w:eastAsia="ja-JP"/>
        </w:rPr>
      </w:pPr>
      <w:bookmarkStart w:id="17" w:name="_Toc228528783"/>
      <w:r>
        <w:rPr>
          <w:lang w:eastAsia="ja-JP"/>
        </w:rPr>
        <w:t>Unused time during r</w:t>
      </w:r>
      <w:r w:rsidRPr="2060C837">
        <w:rPr>
          <w:lang w:eastAsia="ja-JP"/>
        </w:rPr>
        <w:t>ecurring appointments</w:t>
      </w:r>
      <w:bookmarkEnd w:id="17"/>
    </w:p>
    <w:p w14:paraId="512BF3F7" w14:textId="0D4631C2" w:rsidR="00A40D7F" w:rsidRDefault="00A57F62" w:rsidP="00A57F62">
      <w:pPr>
        <w:pStyle w:val="ListBullet"/>
      </w:pPr>
      <w:r w:rsidRPr="00D10599">
        <w:t xml:space="preserve">Fees for unused inspection time </w:t>
      </w:r>
      <w:r w:rsidR="002F054B">
        <w:t>apply</w:t>
      </w:r>
      <w:r w:rsidRPr="00D10599">
        <w:t xml:space="preserve"> to the organiser of the recurring appointment.</w:t>
      </w:r>
    </w:p>
    <w:p w14:paraId="43957059" w14:textId="10A59A17" w:rsidR="00A57F62" w:rsidRPr="00D10599" w:rsidRDefault="00A57F62" w:rsidP="00A57F62">
      <w:pPr>
        <w:pStyle w:val="ListBullet"/>
      </w:pPr>
      <w:r w:rsidRPr="00D10599">
        <w:t xml:space="preserve">Fees relating to the inspection of an individual consignment </w:t>
      </w:r>
      <w:r w:rsidR="002F054B">
        <w:t>apply</w:t>
      </w:r>
      <w:r w:rsidRPr="00D10599">
        <w:t xml:space="preserve"> to the broker</w:t>
      </w:r>
      <w:r w:rsidR="00620249">
        <w:t xml:space="preserve"> or </w:t>
      </w:r>
      <w:r w:rsidRPr="00D10599">
        <w:t xml:space="preserve">importer who is responsible for the goods </w:t>
      </w:r>
      <w:proofErr w:type="gramStart"/>
      <w:r w:rsidRPr="00D10599">
        <w:t>being inspected</w:t>
      </w:r>
      <w:proofErr w:type="gramEnd"/>
      <w:r w:rsidRPr="00D10599">
        <w:t>.</w:t>
      </w:r>
    </w:p>
    <w:p w14:paraId="5703EA36" w14:textId="77777777" w:rsidR="00A57F62" w:rsidRPr="00D10599" w:rsidRDefault="00A57F62" w:rsidP="00A57F62">
      <w:pPr>
        <w:pStyle w:val="ListBullet"/>
      </w:pPr>
      <w:r w:rsidRPr="00D10599">
        <w:t xml:space="preserve">If the officer cannot </w:t>
      </w:r>
      <w:proofErr w:type="gramStart"/>
      <w:r w:rsidRPr="00D10599">
        <w:t>be deployed</w:t>
      </w:r>
      <w:proofErr w:type="gramEnd"/>
      <w:r w:rsidRPr="00D10599">
        <w:t xml:space="preserve"> to another appointment, fees apply to the entity booking the inspection time for the unused inspection time booked.</w:t>
      </w:r>
    </w:p>
    <w:p w14:paraId="4C3CF853" w14:textId="77777777" w:rsidR="00A57F62" w:rsidRPr="00D10599" w:rsidRDefault="00A57F62" w:rsidP="00A57F62">
      <w:pPr>
        <w:pStyle w:val="ListBullet"/>
      </w:pPr>
      <w:r w:rsidRPr="00D10599">
        <w:t xml:space="preserve">If the officer can </w:t>
      </w:r>
      <w:proofErr w:type="gramStart"/>
      <w:r w:rsidRPr="00D10599">
        <w:t>be deployed</w:t>
      </w:r>
      <w:proofErr w:type="gramEnd"/>
      <w:r w:rsidRPr="00D10599">
        <w:t xml:space="preserve"> to another appointment, fees apply for utilised time only.</w:t>
      </w:r>
    </w:p>
    <w:p w14:paraId="67F1DC6D" w14:textId="3045CDCD" w:rsidR="00936B86" w:rsidRDefault="00C91311" w:rsidP="009B47B0">
      <w:pPr>
        <w:pStyle w:val="Heading2"/>
      </w:pPr>
      <w:bookmarkStart w:id="18" w:name="_Toc228528784"/>
      <w:r w:rsidRPr="009B47B0">
        <w:lastRenderedPageBreak/>
        <w:t>S</w:t>
      </w:r>
      <w:r w:rsidR="00936B86" w:rsidRPr="009B47B0">
        <w:t>cheduling</w:t>
      </w:r>
      <w:r w:rsidR="00936B86">
        <w:t xml:space="preserve"> arrangements</w:t>
      </w:r>
      <w:bookmarkEnd w:id="18"/>
    </w:p>
    <w:p w14:paraId="128E049B" w14:textId="62550F7D" w:rsidR="00BF10B1" w:rsidRPr="000F05CD" w:rsidRDefault="00BF10B1" w:rsidP="00BF10B1">
      <w:pPr>
        <w:contextualSpacing/>
      </w:pPr>
      <w:r w:rsidRPr="2060C837">
        <w:t xml:space="preserve">The scheduling and deployment arrangement types available </w:t>
      </w:r>
      <w:r>
        <w:t xml:space="preserve">are </w:t>
      </w:r>
      <w:r w:rsidRPr="2060C837">
        <w:t>based on the volume of cargo and other criteria that a</w:t>
      </w:r>
      <w:r w:rsidR="001364A3">
        <w:t>n entity</w:t>
      </w:r>
      <w:r w:rsidRPr="2060C837">
        <w:t xml:space="preserve"> may handle</w:t>
      </w:r>
      <w:r>
        <w:t xml:space="preserve">. </w:t>
      </w:r>
      <w:r w:rsidR="00B04227">
        <w:rPr>
          <w:rFonts w:cstheme="minorHAnsi"/>
          <w:lang w:eastAsia="en-AU"/>
        </w:rPr>
        <w:t>We</w:t>
      </w:r>
      <w:r w:rsidR="001364A3" w:rsidRPr="00DE4069">
        <w:rPr>
          <w:rFonts w:cstheme="minorHAnsi"/>
          <w:lang w:eastAsia="en-AU"/>
        </w:rPr>
        <w:t xml:space="preserve"> </w:t>
      </w:r>
      <w:r>
        <w:t xml:space="preserve">will publish an overview of the scheduling and deployment arrangements available </w:t>
      </w:r>
      <w:r w:rsidR="00F22C43">
        <w:t>which</w:t>
      </w:r>
      <w:r w:rsidRPr="2060C837">
        <w:t xml:space="preserve"> include:</w:t>
      </w:r>
    </w:p>
    <w:p w14:paraId="6D53659A" w14:textId="77777777" w:rsidR="00BF10B1" w:rsidRPr="00D10599" w:rsidRDefault="00BF10B1" w:rsidP="00D10599">
      <w:pPr>
        <w:pStyle w:val="ListBullet"/>
      </w:pPr>
      <w:r w:rsidRPr="00D10599">
        <w:t>department coordinated attendance</w:t>
      </w:r>
    </w:p>
    <w:p w14:paraId="336DC719" w14:textId="77777777" w:rsidR="00BF10B1" w:rsidRPr="00D10599" w:rsidRDefault="00BF10B1" w:rsidP="00D10599">
      <w:pPr>
        <w:pStyle w:val="ListBullet"/>
      </w:pPr>
      <w:r w:rsidRPr="00D10599">
        <w:t>standard appointments</w:t>
      </w:r>
    </w:p>
    <w:p w14:paraId="157BD131" w14:textId="77777777" w:rsidR="00BF10B1" w:rsidRPr="00D10599" w:rsidRDefault="00BF10B1" w:rsidP="00D10599">
      <w:pPr>
        <w:pStyle w:val="ListBullet"/>
      </w:pPr>
      <w:r w:rsidRPr="00D10599">
        <w:t>group appointments</w:t>
      </w:r>
    </w:p>
    <w:p w14:paraId="4A1506BD" w14:textId="77777777" w:rsidR="00BF10B1" w:rsidRPr="00D10599" w:rsidRDefault="00BF10B1" w:rsidP="00D10599">
      <w:pPr>
        <w:pStyle w:val="ListBullet"/>
      </w:pPr>
      <w:r w:rsidRPr="00D10599">
        <w:t>recurring appointments.</w:t>
      </w:r>
    </w:p>
    <w:p w14:paraId="310A4BA3" w14:textId="6760A3D1" w:rsidR="00FB135B" w:rsidRPr="00A01FA8" w:rsidRDefault="00FB135B" w:rsidP="009B47B0">
      <w:pPr>
        <w:pStyle w:val="Heading3"/>
      </w:pPr>
      <w:bookmarkStart w:id="19" w:name="_Department_coordinated_attendance"/>
      <w:bookmarkStart w:id="20" w:name="_Toc210296051"/>
      <w:bookmarkStart w:id="21" w:name="_Toc228528785"/>
      <w:bookmarkEnd w:id="19"/>
      <w:r w:rsidRPr="009B47B0">
        <w:t>Department</w:t>
      </w:r>
      <w:r>
        <w:t xml:space="preserve"> coordinated attendance</w:t>
      </w:r>
      <w:bookmarkEnd w:id="20"/>
      <w:bookmarkEnd w:id="21"/>
    </w:p>
    <w:p w14:paraId="03A1D6D6" w14:textId="7CFDC23C" w:rsidR="00E9131D" w:rsidRDefault="00780368" w:rsidP="00E9131D">
      <w:pPr>
        <w:spacing w:after="120"/>
        <w:rPr>
          <w:rFonts w:cstheme="minorHAnsi"/>
        </w:rPr>
      </w:pPr>
      <w:r>
        <w:rPr>
          <w:rFonts w:cstheme="minorHAnsi"/>
        </w:rPr>
        <w:t xml:space="preserve">Authorised department officers can arrange department coordinated attendance. </w:t>
      </w:r>
      <w:r w:rsidR="0071743D">
        <w:rPr>
          <w:rFonts w:cstheme="minorHAnsi"/>
        </w:rPr>
        <w:t xml:space="preserve">This must </w:t>
      </w:r>
      <w:proofErr w:type="gramStart"/>
      <w:r w:rsidR="0071743D">
        <w:rPr>
          <w:rFonts w:cstheme="minorHAnsi"/>
        </w:rPr>
        <w:t>be done</w:t>
      </w:r>
      <w:proofErr w:type="gramEnd"/>
      <w:r w:rsidR="0071743D">
        <w:rPr>
          <w:rFonts w:cstheme="minorHAnsi"/>
        </w:rPr>
        <w:t xml:space="preserve"> in consultation with the delegate and key stakeholders governing the policy.</w:t>
      </w:r>
    </w:p>
    <w:p w14:paraId="72BB7B6C" w14:textId="37E198FB" w:rsidR="00E9131D" w:rsidRDefault="00E9131D" w:rsidP="00E9131D">
      <w:pPr>
        <w:spacing w:after="120"/>
        <w:rPr>
          <w:rFonts w:cstheme="minorHAnsi"/>
        </w:rPr>
      </w:pPr>
      <w:r>
        <w:rPr>
          <w:rFonts w:cstheme="minorHAnsi"/>
        </w:rPr>
        <w:t xml:space="preserve">Department coordinated attendance does not enable scheduling recurring or group appointments through local agreements </w:t>
      </w:r>
      <w:r w:rsidR="00B04227">
        <w:rPr>
          <w:rFonts w:cstheme="minorHAnsi"/>
        </w:rPr>
        <w:t>(</w:t>
      </w:r>
      <w:r>
        <w:rPr>
          <w:rFonts w:cstheme="minorHAnsi"/>
        </w:rPr>
        <w:t xml:space="preserve">see </w:t>
      </w:r>
      <w:hyperlink w:anchor="_Recurring_appointments" w:history="1">
        <w:r w:rsidRPr="00E90651">
          <w:rPr>
            <w:rStyle w:val="Hyperlink"/>
            <w:rFonts w:cstheme="minorHAnsi"/>
          </w:rPr>
          <w:t>Recurring appointments</w:t>
        </w:r>
      </w:hyperlink>
      <w:r w:rsidR="00B04227">
        <w:t>)</w:t>
      </w:r>
      <w:r>
        <w:rPr>
          <w:rFonts w:cstheme="minorHAnsi"/>
        </w:rPr>
        <w:t>.</w:t>
      </w:r>
    </w:p>
    <w:p w14:paraId="0D1BE75E" w14:textId="034113A7" w:rsidR="00E9131D" w:rsidRDefault="00B04227" w:rsidP="00E9131D">
      <w:pPr>
        <w:spacing w:after="120"/>
        <w:rPr>
          <w:rFonts w:cstheme="minorHAnsi"/>
        </w:rPr>
      </w:pPr>
      <w:r>
        <w:rPr>
          <w:rFonts w:cstheme="minorHAnsi"/>
        </w:rPr>
        <w:t>We</w:t>
      </w:r>
      <w:r w:rsidR="00E9131D">
        <w:rPr>
          <w:rFonts w:cstheme="minorHAnsi"/>
        </w:rPr>
        <w:t xml:space="preserve"> will endeavour to contact the entity to discuss the requirements of a coordinated attendance, prior to establishing the deployment model.</w:t>
      </w:r>
      <w:r w:rsidR="001364A3">
        <w:rPr>
          <w:rFonts w:cstheme="minorHAnsi"/>
        </w:rPr>
        <w:t xml:space="preserve"> </w:t>
      </w:r>
      <w:r w:rsidR="009233EB">
        <w:rPr>
          <w:rFonts w:cstheme="minorHAnsi"/>
        </w:rPr>
        <w:t xml:space="preserve">We will consider any additional information provided by the entity when </w:t>
      </w:r>
      <w:r w:rsidR="00F13E90">
        <w:rPr>
          <w:rFonts w:cstheme="minorHAnsi"/>
        </w:rPr>
        <w:t>establishing</w:t>
      </w:r>
      <w:r w:rsidR="00E9131D" w:rsidRPr="00A01FA8">
        <w:rPr>
          <w:rFonts w:cstheme="minorHAnsi"/>
        </w:rPr>
        <w:t xml:space="preserve"> a </w:t>
      </w:r>
      <w:r w:rsidR="00E9131D">
        <w:rPr>
          <w:rFonts w:cstheme="minorHAnsi"/>
        </w:rPr>
        <w:t>suitable</w:t>
      </w:r>
      <w:r w:rsidR="00E9131D" w:rsidRPr="00A01FA8">
        <w:rPr>
          <w:rFonts w:cstheme="minorHAnsi"/>
        </w:rPr>
        <w:t xml:space="preserve"> arrangement.</w:t>
      </w:r>
    </w:p>
    <w:p w14:paraId="0287B65A" w14:textId="63CA01ED" w:rsidR="00E9131D" w:rsidRDefault="00E9131D" w:rsidP="00E9131D">
      <w:pPr>
        <w:spacing w:after="120"/>
        <w:rPr>
          <w:lang w:eastAsia="en-AU"/>
        </w:rPr>
      </w:pPr>
      <w:r w:rsidRPr="2060C837">
        <w:rPr>
          <w:lang w:eastAsia="en-AU"/>
        </w:rPr>
        <w:t xml:space="preserve">Subject to the provisions under either the </w:t>
      </w:r>
      <w:r w:rsidRPr="2060C837">
        <w:rPr>
          <w:i/>
          <w:lang w:eastAsia="en-AU"/>
        </w:rPr>
        <w:t>Biosecurity Act 2015</w:t>
      </w:r>
      <w:r w:rsidR="00FF71E4">
        <w:rPr>
          <w:i/>
          <w:lang w:eastAsia="en-AU"/>
        </w:rPr>
        <w:t xml:space="preserve"> </w:t>
      </w:r>
      <w:r w:rsidRPr="2060C837">
        <w:rPr>
          <w:lang w:eastAsia="en-AU"/>
        </w:rPr>
        <w:t xml:space="preserve">or the </w:t>
      </w:r>
      <w:r w:rsidRPr="2060C837">
        <w:rPr>
          <w:i/>
          <w:lang w:eastAsia="en-AU"/>
        </w:rPr>
        <w:t>Imported Food Control Act 1992,</w:t>
      </w:r>
      <w:r w:rsidR="00FF71E4">
        <w:rPr>
          <w:i/>
          <w:lang w:eastAsia="en-AU"/>
        </w:rPr>
        <w:t xml:space="preserve"> </w:t>
      </w:r>
      <w:r w:rsidR="00B04227">
        <w:rPr>
          <w:lang w:eastAsia="en-AU"/>
        </w:rPr>
        <w:t>we</w:t>
      </w:r>
      <w:r w:rsidRPr="00885468">
        <w:rPr>
          <w:lang w:eastAsia="en-AU"/>
        </w:rPr>
        <w:t xml:space="preserve"> may proceed with an inspection of imported goods </w:t>
      </w:r>
      <w:r w:rsidRPr="2060C837">
        <w:rPr>
          <w:lang w:eastAsia="en-AU"/>
        </w:rPr>
        <w:t>subject to biosecurity control</w:t>
      </w:r>
      <w:r w:rsidRPr="00885468">
        <w:rPr>
          <w:lang w:eastAsia="en-AU"/>
        </w:rPr>
        <w:t xml:space="preserve"> </w:t>
      </w:r>
      <w:r>
        <w:rPr>
          <w:lang w:eastAsia="en-AU"/>
        </w:rPr>
        <w:t xml:space="preserve">or imported food control, </w:t>
      </w:r>
      <w:r w:rsidRPr="00885468">
        <w:rPr>
          <w:lang w:eastAsia="en-AU"/>
        </w:rPr>
        <w:t xml:space="preserve">without notification </w:t>
      </w:r>
      <w:r w:rsidRPr="2060C837">
        <w:rPr>
          <w:lang w:eastAsia="en-AU"/>
        </w:rPr>
        <w:t xml:space="preserve">prior </w:t>
      </w:r>
      <w:r w:rsidRPr="006A79EF">
        <w:rPr>
          <w:lang w:eastAsia="en-AU"/>
        </w:rPr>
        <w:t>to or from the entity regarding</w:t>
      </w:r>
      <w:r w:rsidRPr="004B0DC3">
        <w:rPr>
          <w:lang w:eastAsia="en-AU"/>
        </w:rPr>
        <w:t xml:space="preserve"> the</w:t>
      </w:r>
      <w:r w:rsidRPr="00885468">
        <w:rPr>
          <w:lang w:eastAsia="en-AU"/>
        </w:rPr>
        <w:t xml:space="preserve"> availability of goods.</w:t>
      </w:r>
    </w:p>
    <w:p w14:paraId="2B6B4CD3" w14:textId="399EE7EE" w:rsidR="00E9131D" w:rsidRPr="0042374A" w:rsidRDefault="00E9131D" w:rsidP="00E9131D">
      <w:pPr>
        <w:rPr>
          <w:lang w:eastAsia="en-AU"/>
        </w:rPr>
      </w:pPr>
      <w:r w:rsidRPr="2060C837">
        <w:rPr>
          <w:lang w:eastAsia="en-AU"/>
        </w:rPr>
        <w:t xml:space="preserve">Instances where </w:t>
      </w:r>
      <w:r w:rsidR="00B04227">
        <w:rPr>
          <w:lang w:eastAsia="en-AU"/>
        </w:rPr>
        <w:t>we</w:t>
      </w:r>
      <w:r w:rsidRPr="2060C837">
        <w:rPr>
          <w:lang w:eastAsia="en-AU"/>
        </w:rPr>
        <w:t xml:space="preserve"> may elect to proceed directly to an inspection </w:t>
      </w:r>
      <w:r w:rsidR="009146FD">
        <w:rPr>
          <w:lang w:eastAsia="en-AU"/>
        </w:rPr>
        <w:t>may</w:t>
      </w:r>
      <w:r w:rsidR="001364A3">
        <w:rPr>
          <w:lang w:eastAsia="en-AU"/>
        </w:rPr>
        <w:t xml:space="preserve"> include</w:t>
      </w:r>
      <w:r w:rsidR="009146FD">
        <w:rPr>
          <w:lang w:eastAsia="en-AU"/>
        </w:rPr>
        <w:t>:</w:t>
      </w:r>
    </w:p>
    <w:p w14:paraId="4E6F01FC" w14:textId="77777777" w:rsidR="00E9131D" w:rsidRPr="00D10599" w:rsidRDefault="00E9131D" w:rsidP="00D10599">
      <w:pPr>
        <w:pStyle w:val="ListBullet"/>
      </w:pPr>
      <w:r w:rsidRPr="00D10599">
        <w:t>targeted operations</w:t>
      </w:r>
    </w:p>
    <w:p w14:paraId="13AC0E65" w14:textId="77777777" w:rsidR="00E9131D" w:rsidRPr="00D10599" w:rsidRDefault="00E9131D" w:rsidP="00D10599">
      <w:pPr>
        <w:pStyle w:val="ListBullet"/>
      </w:pPr>
      <w:r w:rsidRPr="00D10599">
        <w:t>non-compliance</w:t>
      </w:r>
    </w:p>
    <w:p w14:paraId="4AB0F71B" w14:textId="77777777" w:rsidR="00E9131D" w:rsidRPr="00D10599" w:rsidRDefault="00E9131D" w:rsidP="00D10599">
      <w:pPr>
        <w:pStyle w:val="ListBullet"/>
      </w:pPr>
      <w:r w:rsidRPr="00D10599">
        <w:t>biosecurity risk</w:t>
      </w:r>
    </w:p>
    <w:p w14:paraId="0204AC6A" w14:textId="77777777" w:rsidR="00E9131D" w:rsidRPr="00D10599" w:rsidRDefault="00E9131D" w:rsidP="00D10599">
      <w:pPr>
        <w:pStyle w:val="ListBullet"/>
      </w:pPr>
      <w:r w:rsidRPr="00D10599">
        <w:t>animal welfare issues</w:t>
      </w:r>
    </w:p>
    <w:p w14:paraId="08571DAD" w14:textId="77777777" w:rsidR="00E9131D" w:rsidRPr="00D10599" w:rsidRDefault="00E9131D" w:rsidP="00D10599">
      <w:pPr>
        <w:pStyle w:val="ListBullet"/>
      </w:pPr>
      <w:r w:rsidRPr="00D10599">
        <w:t>surveillance, monitoring and assurance activities.</w:t>
      </w:r>
    </w:p>
    <w:p w14:paraId="111A2E0D" w14:textId="06CEA73F" w:rsidR="00E9131D" w:rsidRPr="000F05CD" w:rsidRDefault="00E9131D" w:rsidP="00D10599">
      <w:r>
        <w:t xml:space="preserve">An entity has the right to provide further information that may impact </w:t>
      </w:r>
      <w:r w:rsidR="00B04227">
        <w:t>our</w:t>
      </w:r>
      <w:r>
        <w:t xml:space="preserve"> ability to undertake such activities.</w:t>
      </w:r>
    </w:p>
    <w:p w14:paraId="54E2AD6B" w14:textId="77777777" w:rsidR="00A40D7F" w:rsidRDefault="000F6A89" w:rsidP="002D7EC4">
      <w:pPr>
        <w:pStyle w:val="Heading3"/>
      </w:pPr>
      <w:bookmarkStart w:id="22" w:name="_Toc210296052"/>
      <w:bookmarkStart w:id="23" w:name="_Toc169167766"/>
      <w:bookmarkStart w:id="24" w:name="_Toc228528786"/>
      <w:r w:rsidRPr="002D7EC4">
        <w:t>Standard</w:t>
      </w:r>
      <w:r w:rsidRPr="000F05CD">
        <w:t xml:space="preserve"> </w:t>
      </w:r>
      <w:r w:rsidRPr="00263344">
        <w:t>appointments</w:t>
      </w:r>
      <w:bookmarkEnd w:id="22"/>
      <w:bookmarkEnd w:id="23"/>
      <w:bookmarkEnd w:id="24"/>
    </w:p>
    <w:p w14:paraId="2A8CA3BC" w14:textId="29C710F7" w:rsidR="000F6A89" w:rsidRPr="000F05CD" w:rsidRDefault="000F6A89" w:rsidP="000F6A89">
      <w:pPr>
        <w:spacing w:after="120"/>
        <w:rPr>
          <w:rFonts w:cstheme="minorHAnsi"/>
        </w:rPr>
      </w:pPr>
      <w:r w:rsidRPr="000F05CD">
        <w:rPr>
          <w:rFonts w:cstheme="minorHAnsi"/>
        </w:rPr>
        <w:t>A standard appointment is specific to a single consignment. It is the primary appointment type used to schedule cargo inspections.</w:t>
      </w:r>
    </w:p>
    <w:p w14:paraId="70723005" w14:textId="567EF905" w:rsidR="000F6A89" w:rsidRPr="000F05CD" w:rsidRDefault="000F6A89" w:rsidP="00E03C8E">
      <w:pPr>
        <w:keepNext/>
        <w:contextualSpacing/>
        <w:rPr>
          <w:rFonts w:cstheme="minorHAnsi"/>
        </w:rPr>
      </w:pPr>
      <w:bookmarkStart w:id="25" w:name="_Mandatory_requirements_to"/>
      <w:bookmarkEnd w:id="25"/>
      <w:r w:rsidRPr="000F05CD">
        <w:rPr>
          <w:rFonts w:cstheme="minorHAnsi"/>
        </w:rPr>
        <w:lastRenderedPageBreak/>
        <w:t>Unless otherwise determined by the</w:t>
      </w:r>
      <w:r w:rsidR="00FF71E4">
        <w:rPr>
          <w:rFonts w:cstheme="minorHAnsi"/>
        </w:rPr>
        <w:t xml:space="preserve"> </w:t>
      </w:r>
      <w:r w:rsidRPr="000F05CD">
        <w:rPr>
          <w:rFonts w:cstheme="minorHAnsi"/>
        </w:rPr>
        <w:t>department,</w:t>
      </w:r>
      <w:r w:rsidR="00666052">
        <w:rPr>
          <w:rFonts w:cstheme="minorHAnsi"/>
        </w:rPr>
        <w:t xml:space="preserve"> </w:t>
      </w:r>
      <w:r w:rsidR="0071586E">
        <w:rPr>
          <w:rFonts w:cstheme="minorHAnsi"/>
        </w:rPr>
        <w:t xml:space="preserve">we won’t schedule </w:t>
      </w:r>
      <w:r w:rsidR="00CA78F7">
        <w:rPr>
          <w:rFonts w:cstheme="minorHAnsi"/>
        </w:rPr>
        <w:t>an inspection unless we have issued the entity either:</w:t>
      </w:r>
    </w:p>
    <w:p w14:paraId="67A93004" w14:textId="7D4ABFFA" w:rsidR="000F6A89" w:rsidRPr="00D10599" w:rsidRDefault="00B04227" w:rsidP="00D10599">
      <w:pPr>
        <w:pStyle w:val="ListBullet"/>
      </w:pPr>
      <w:r>
        <w:t>a</w:t>
      </w:r>
      <w:r w:rsidR="000F6A89" w:rsidRPr="00D10599">
        <w:t xml:space="preserve"> biosecurity inspection direction</w:t>
      </w:r>
      <w:r>
        <w:t>, or</w:t>
      </w:r>
    </w:p>
    <w:p w14:paraId="3F381228" w14:textId="71C8C8DD" w:rsidR="00A40D7F" w:rsidRDefault="00B04227" w:rsidP="00D10599">
      <w:pPr>
        <w:pStyle w:val="ListBullet"/>
      </w:pPr>
      <w:r>
        <w:t>a</w:t>
      </w:r>
      <w:r w:rsidR="000F6A89" w:rsidRPr="00D10599">
        <w:t>n imported food control certificate.</w:t>
      </w:r>
    </w:p>
    <w:p w14:paraId="6B61A1D9" w14:textId="77777777" w:rsidR="00A40D7F" w:rsidRDefault="00347886" w:rsidP="002D7EC4">
      <w:pPr>
        <w:pStyle w:val="Heading4"/>
      </w:pPr>
      <w:r w:rsidRPr="002D7EC4">
        <w:t>Prioritisation</w:t>
      </w:r>
      <w:r w:rsidRPr="000F05CD">
        <w:t xml:space="preserve"> of inspections</w:t>
      </w:r>
    </w:p>
    <w:p w14:paraId="415484E2" w14:textId="62E485E5" w:rsidR="00347886" w:rsidRPr="000F05CD" w:rsidRDefault="00B04227" w:rsidP="00347886">
      <w:pPr>
        <w:contextualSpacing/>
        <w:rPr>
          <w:rFonts w:cstheme="minorHAnsi"/>
        </w:rPr>
      </w:pPr>
      <w:r>
        <w:rPr>
          <w:rFonts w:cstheme="minorHAnsi"/>
        </w:rPr>
        <w:t>We</w:t>
      </w:r>
      <w:r w:rsidR="00347886" w:rsidRPr="000F05CD">
        <w:rPr>
          <w:rFonts w:cstheme="minorHAnsi"/>
        </w:rPr>
        <w:t xml:space="preserve"> will apply prioritisation rules when scheduling inspections for imported cargo to manage factors such as:</w:t>
      </w:r>
    </w:p>
    <w:p w14:paraId="627AB7A1" w14:textId="77777777" w:rsidR="00347886" w:rsidRPr="00D10599" w:rsidRDefault="00347886" w:rsidP="00D10599">
      <w:pPr>
        <w:pStyle w:val="ListBullet"/>
      </w:pPr>
      <w:r w:rsidRPr="00D10599">
        <w:t>animal welfare</w:t>
      </w:r>
    </w:p>
    <w:p w14:paraId="3C8A5B51" w14:textId="77777777" w:rsidR="00A40D7F" w:rsidRDefault="00347886" w:rsidP="00D10599">
      <w:pPr>
        <w:pStyle w:val="ListBullet"/>
      </w:pPr>
      <w:r w:rsidRPr="00D10599">
        <w:t>emergency response</w:t>
      </w:r>
    </w:p>
    <w:p w14:paraId="69CE010A" w14:textId="09271CD9" w:rsidR="00347886" w:rsidRPr="00D10599" w:rsidRDefault="00347886" w:rsidP="00D10599">
      <w:pPr>
        <w:pStyle w:val="ListBullet"/>
      </w:pPr>
      <w:r w:rsidRPr="00D10599">
        <w:t>staffing capacity</w:t>
      </w:r>
    </w:p>
    <w:p w14:paraId="1F0ABEF1" w14:textId="0C1BCD32" w:rsidR="00347886" w:rsidRPr="00D10599" w:rsidRDefault="00347886" w:rsidP="00D10599">
      <w:pPr>
        <w:pStyle w:val="ListBullet"/>
      </w:pPr>
      <w:r w:rsidRPr="00D10599">
        <w:t>time sensitivities</w:t>
      </w:r>
      <w:r w:rsidR="00620249">
        <w:t xml:space="preserve"> or </w:t>
      </w:r>
      <w:r w:rsidRPr="00D10599">
        <w:t>dependencies</w:t>
      </w:r>
    </w:p>
    <w:p w14:paraId="7A4BE303" w14:textId="77777777" w:rsidR="00347886" w:rsidRPr="00D10599" w:rsidRDefault="00347886" w:rsidP="00D10599">
      <w:pPr>
        <w:pStyle w:val="ListBullet"/>
      </w:pPr>
      <w:r w:rsidRPr="00D10599">
        <w:t>biosecurity and imported food risk</w:t>
      </w:r>
    </w:p>
    <w:p w14:paraId="4C50E486" w14:textId="77777777" w:rsidR="00347886" w:rsidRPr="00D10599" w:rsidRDefault="00347886" w:rsidP="00D10599">
      <w:pPr>
        <w:pStyle w:val="ListBullet"/>
      </w:pPr>
      <w:r w:rsidRPr="00D10599">
        <w:t>WHS health and safety impacts to officers.</w:t>
      </w:r>
    </w:p>
    <w:p w14:paraId="345C2018" w14:textId="77777777" w:rsidR="00C65CB3" w:rsidRPr="000F05CD" w:rsidRDefault="00C65CB3" w:rsidP="009B47B0">
      <w:pPr>
        <w:pStyle w:val="Heading4"/>
      </w:pPr>
      <w:r w:rsidRPr="000F05CD">
        <w:t>Hours of operations</w:t>
      </w:r>
    </w:p>
    <w:p w14:paraId="4D4816D4" w14:textId="67E53722" w:rsidR="00C65CB3" w:rsidRPr="000F05CD" w:rsidRDefault="00C65CB3" w:rsidP="00C65CB3">
      <w:pPr>
        <w:spacing w:after="120"/>
        <w:rPr>
          <w:rFonts w:cstheme="minorHAnsi"/>
        </w:rPr>
      </w:pPr>
      <w:bookmarkStart w:id="26" w:name="_Hlk199771957"/>
      <w:r w:rsidRPr="000F05CD">
        <w:rPr>
          <w:rFonts w:cstheme="minorHAnsi"/>
        </w:rPr>
        <w:t>Unless requested otherwise,</w:t>
      </w:r>
      <w:r w:rsidR="0071586E">
        <w:rPr>
          <w:rFonts w:cstheme="minorHAnsi"/>
        </w:rPr>
        <w:t xml:space="preserve"> we will schedule</w:t>
      </w:r>
      <w:r w:rsidRPr="000F05CD">
        <w:rPr>
          <w:rFonts w:cstheme="minorHAnsi"/>
        </w:rPr>
        <w:t xml:space="preserve"> inspections within </w:t>
      </w:r>
      <w:r w:rsidR="00B04227">
        <w:rPr>
          <w:rFonts w:cstheme="minorHAnsi"/>
        </w:rPr>
        <w:t>our</w:t>
      </w:r>
      <w:r w:rsidRPr="000F05CD">
        <w:rPr>
          <w:rFonts w:cstheme="minorHAnsi"/>
        </w:rPr>
        <w:t xml:space="preserve"> ordinary hours of duty as defined in the Biosecurity Regulation 2016.</w:t>
      </w:r>
      <w:r w:rsidRPr="00395D2D">
        <w:t xml:space="preserve"> </w:t>
      </w:r>
      <w:r w:rsidRPr="2060C837">
        <w:t>For an inspection that commence</w:t>
      </w:r>
      <w:r w:rsidR="00CD3554">
        <w:t>s</w:t>
      </w:r>
      <w:r w:rsidRPr="2060C837">
        <w:t xml:space="preserve"> within ordinary hours of duty and conclude</w:t>
      </w:r>
      <w:r w:rsidR="00CD3554">
        <w:t>s</w:t>
      </w:r>
      <w:r w:rsidRPr="2060C837">
        <w:t xml:space="preserve"> outside ordinary hours of duty, the overtime rate for cost recovery will only </w:t>
      </w:r>
      <w:proofErr w:type="gramStart"/>
      <w:r w:rsidRPr="2060C837">
        <w:t>be imposed</w:t>
      </w:r>
      <w:proofErr w:type="gramEnd"/>
      <w:r w:rsidRPr="2060C837">
        <w:t xml:space="preserve"> for activities performed outside ordinary hours of duty.</w:t>
      </w:r>
    </w:p>
    <w:bookmarkEnd w:id="26"/>
    <w:p w14:paraId="5D03C192" w14:textId="091C1901" w:rsidR="00874B35" w:rsidRDefault="00C65CB3" w:rsidP="00C65CB3">
      <w:pPr>
        <w:contextualSpacing/>
      </w:pPr>
      <w:r w:rsidRPr="2060C837">
        <w:t xml:space="preserve">An entity may submit a request for an inspection to </w:t>
      </w:r>
      <w:proofErr w:type="gramStart"/>
      <w:r w:rsidRPr="2060C837">
        <w:t xml:space="preserve">be </w:t>
      </w:r>
      <w:r w:rsidR="00BB2646">
        <w:t>performed</w:t>
      </w:r>
      <w:proofErr w:type="gramEnd"/>
      <w:r w:rsidRPr="2060C837">
        <w:t xml:space="preserve"> outside of </w:t>
      </w:r>
      <w:r w:rsidR="00B04227">
        <w:t>our</w:t>
      </w:r>
      <w:r w:rsidRPr="2060C837">
        <w:t xml:space="preserve"> ordinary hours of duty. These inspections will incur an overtime rate for cost recovery. The approval of a request will be subject to</w:t>
      </w:r>
      <w:r w:rsidR="00874B35">
        <w:t>:</w:t>
      </w:r>
    </w:p>
    <w:p w14:paraId="39A707EA" w14:textId="77777777" w:rsidR="00A40D7F" w:rsidRDefault="00C65CB3" w:rsidP="00874B35">
      <w:pPr>
        <w:pStyle w:val="ListBullet"/>
      </w:pPr>
      <w:r w:rsidRPr="2060C837">
        <w:t>the availability of inspectors</w:t>
      </w:r>
    </w:p>
    <w:p w14:paraId="6A7D45EB" w14:textId="789650CF" w:rsidR="00C65CB3" w:rsidRPr="00D10599" w:rsidRDefault="00C65CB3" w:rsidP="00D10599">
      <w:pPr>
        <w:pStyle w:val="ListBullet"/>
      </w:pPr>
      <w:r w:rsidRPr="00D10599">
        <w:t>the safety of the inspector, including fatigue and personal safety</w:t>
      </w:r>
    </w:p>
    <w:p w14:paraId="62F02BF3" w14:textId="77777777" w:rsidR="00C65CB3" w:rsidRPr="000F05CD" w:rsidRDefault="00C65CB3" w:rsidP="00D10599">
      <w:pPr>
        <w:pStyle w:val="ListBullet"/>
      </w:pPr>
      <w:r w:rsidRPr="00D10599">
        <w:t>the need for adequate lighting</w:t>
      </w:r>
      <w:r w:rsidRPr="000F05CD">
        <w:t>.</w:t>
      </w:r>
    </w:p>
    <w:p w14:paraId="4DEE1A92" w14:textId="77777777" w:rsidR="00A40D7F" w:rsidRDefault="004D4F73" w:rsidP="009B47B0">
      <w:pPr>
        <w:pStyle w:val="Heading3"/>
      </w:pPr>
      <w:bookmarkStart w:id="27" w:name="_Toc210296053"/>
      <w:bookmarkStart w:id="28" w:name="_Toc169167767"/>
      <w:bookmarkStart w:id="29" w:name="_Toc228528787"/>
      <w:r w:rsidRPr="000F05CD">
        <w:t xml:space="preserve">Group </w:t>
      </w:r>
      <w:r w:rsidRPr="009B47B0">
        <w:t>appointments</w:t>
      </w:r>
      <w:bookmarkEnd w:id="27"/>
      <w:bookmarkEnd w:id="28"/>
      <w:bookmarkEnd w:id="29"/>
    </w:p>
    <w:p w14:paraId="3DBB3B97" w14:textId="2562DE74" w:rsidR="00A40D7F" w:rsidRDefault="00B04227" w:rsidP="004D4F73">
      <w:pPr>
        <w:spacing w:after="120"/>
        <w:rPr>
          <w:rFonts w:cstheme="minorHAnsi"/>
        </w:rPr>
      </w:pPr>
      <w:r>
        <w:rPr>
          <w:rFonts w:cstheme="minorHAnsi"/>
        </w:rPr>
        <w:t>We</w:t>
      </w:r>
      <w:r w:rsidR="004D4F73" w:rsidRPr="000F05CD">
        <w:rPr>
          <w:rFonts w:cstheme="minorHAnsi"/>
        </w:rPr>
        <w:t xml:space="preserve"> will consider grouping requests for </w:t>
      </w:r>
      <w:r w:rsidR="004D4F73">
        <w:rPr>
          <w:rFonts w:cstheme="minorHAnsi"/>
        </w:rPr>
        <w:t>standard appointments</w:t>
      </w:r>
      <w:r w:rsidR="004D4F73" w:rsidRPr="000F05CD">
        <w:rPr>
          <w:rFonts w:cstheme="minorHAnsi"/>
        </w:rPr>
        <w:t xml:space="preserve"> made by an entity where it is efficient and where officers are appropriately accredited and equipped to perform multiple inspections within one appointment.</w:t>
      </w:r>
    </w:p>
    <w:p w14:paraId="3C16DE77" w14:textId="0C7688D5" w:rsidR="004D4F73" w:rsidRPr="000F05CD" w:rsidRDefault="004D4F73" w:rsidP="004D4F73">
      <w:pPr>
        <w:rPr>
          <w:rFonts w:cstheme="minorHAnsi"/>
        </w:rPr>
      </w:pPr>
      <w:r w:rsidRPr="000F05CD">
        <w:rPr>
          <w:rFonts w:cstheme="minorHAnsi"/>
        </w:rPr>
        <w:t xml:space="preserve">A request for a group appointment covering multiple consignments and </w:t>
      </w:r>
      <w:r w:rsidRPr="00D56C60">
        <w:rPr>
          <w:rFonts w:cstheme="minorHAnsi"/>
        </w:rPr>
        <w:t>inspection types</w:t>
      </w:r>
      <w:r w:rsidRPr="000F05CD">
        <w:rPr>
          <w:rFonts w:cstheme="minorHAnsi"/>
        </w:rPr>
        <w:t xml:space="preserve"> may </w:t>
      </w:r>
      <w:proofErr w:type="gramStart"/>
      <w:r w:rsidRPr="000F05CD">
        <w:rPr>
          <w:rFonts w:cstheme="minorHAnsi"/>
        </w:rPr>
        <w:t>be made</w:t>
      </w:r>
      <w:proofErr w:type="gramEnd"/>
      <w:r w:rsidRPr="000F05CD">
        <w:rPr>
          <w:rFonts w:cstheme="minorHAnsi"/>
        </w:rPr>
        <w:t xml:space="preserve"> in the following circumstances:</w:t>
      </w:r>
    </w:p>
    <w:p w14:paraId="54614DCD" w14:textId="2CD0DEBF" w:rsidR="004D4F73" w:rsidRPr="00D10599" w:rsidRDefault="004D4F73" w:rsidP="00D10599">
      <w:pPr>
        <w:pStyle w:val="ListBullet"/>
      </w:pPr>
      <w:r w:rsidRPr="00D10599">
        <w:t xml:space="preserve">The inspection type </w:t>
      </w:r>
      <w:r w:rsidR="000804A0">
        <w:t>is</w:t>
      </w:r>
      <w:r w:rsidRPr="00D10599">
        <w:t xml:space="preserve"> eligible for a group inspection appointment.</w:t>
      </w:r>
    </w:p>
    <w:p w14:paraId="33F291C2" w14:textId="77777777" w:rsidR="004D4F73" w:rsidRPr="00D10599" w:rsidRDefault="004D4F73" w:rsidP="00D10599">
      <w:pPr>
        <w:pStyle w:val="ListBullet"/>
      </w:pPr>
      <w:r w:rsidRPr="00D10599">
        <w:t>The request covers multiple consignments; or a single consignment that requires an inspection for both biosecurity and imported food.</w:t>
      </w:r>
    </w:p>
    <w:p w14:paraId="415E7D76" w14:textId="77777777" w:rsidR="00A40D7F" w:rsidRDefault="004D4F73" w:rsidP="00D10599">
      <w:pPr>
        <w:pStyle w:val="ListBullet"/>
      </w:pPr>
      <w:r w:rsidRPr="00D10599">
        <w:t>Due to system-based processing and declaration requirements, the request covers a single consignment reported across more than one declaration.</w:t>
      </w:r>
    </w:p>
    <w:p w14:paraId="2AB46036" w14:textId="1BAF9298" w:rsidR="00A40D7F" w:rsidRDefault="004D4F73" w:rsidP="004D4F73">
      <w:r w:rsidRPr="2060C837">
        <w:lastRenderedPageBreak/>
        <w:t>The availability of group appointment options will vary depending on the location due to</w:t>
      </w:r>
      <w:r>
        <w:t xml:space="preserve"> regional</w:t>
      </w:r>
      <w:r w:rsidRPr="2060C837">
        <w:t xml:space="preserve"> constraints and capacity. </w:t>
      </w:r>
      <w:r w:rsidR="009B2CF8">
        <w:t>We will assess and manage</w:t>
      </w:r>
      <w:r w:rsidRPr="2060C837">
        <w:t xml:space="preserve"> </w:t>
      </w:r>
      <w:r>
        <w:t>deployable capacity to ensure equitable resource availability and allocation.</w:t>
      </w:r>
    </w:p>
    <w:p w14:paraId="0AD6C2FC" w14:textId="7881E829" w:rsidR="00721044" w:rsidRPr="000F05CD" w:rsidRDefault="00721044" w:rsidP="009B47B0">
      <w:pPr>
        <w:pStyle w:val="Heading3"/>
      </w:pPr>
      <w:bookmarkStart w:id="30" w:name="_Recurring_appointments"/>
      <w:bookmarkStart w:id="31" w:name="_Toc169167768"/>
      <w:bookmarkStart w:id="32" w:name="_Toc210296054"/>
      <w:bookmarkStart w:id="33" w:name="_Toc228528788"/>
      <w:bookmarkEnd w:id="30"/>
      <w:r w:rsidRPr="000F05CD">
        <w:t xml:space="preserve">Recurring </w:t>
      </w:r>
      <w:r w:rsidRPr="009B47B0">
        <w:t>appointments</w:t>
      </w:r>
      <w:bookmarkEnd w:id="31"/>
      <w:bookmarkEnd w:id="32"/>
      <w:bookmarkEnd w:id="33"/>
    </w:p>
    <w:p w14:paraId="2C620BD8" w14:textId="77777777" w:rsidR="00A40D7F" w:rsidRDefault="00721044" w:rsidP="002E0B7C">
      <w:pPr>
        <w:rPr>
          <w:i/>
          <w:iCs/>
        </w:rPr>
      </w:pPr>
      <w:r w:rsidRPr="000F05CD">
        <w:rPr>
          <w:lang w:eastAsia="ja-JP"/>
        </w:rPr>
        <w:t xml:space="preserve">A recurring appointment is a voluntary </w:t>
      </w:r>
      <w:r w:rsidRPr="000F05CD">
        <w:t>arrangement with regularly scheduled appointments that may be available for entities handling significant volumes of consignments on a regular basis.</w:t>
      </w:r>
    </w:p>
    <w:p w14:paraId="47BA26CB" w14:textId="3CB015D1" w:rsidR="00721044" w:rsidRDefault="00721044" w:rsidP="002E0B7C">
      <w:pPr>
        <w:rPr>
          <w:lang w:eastAsia="ja-JP"/>
        </w:rPr>
      </w:pPr>
      <w:r w:rsidRPr="000F05CD">
        <w:rPr>
          <w:lang w:eastAsia="ja-JP"/>
        </w:rPr>
        <w:t>Based on the volume and operational requirements of both the entity and the department, an arrangement may range from a single attendance per week to the allocation of multiple officers, multiple days per week, for the full or part length of their shift</w:t>
      </w:r>
      <w:r w:rsidR="00B04227">
        <w:rPr>
          <w:lang w:eastAsia="ja-JP"/>
        </w:rPr>
        <w:t xml:space="preserve"> (</w:t>
      </w:r>
      <w:r>
        <w:rPr>
          <w:lang w:eastAsia="ja-JP"/>
        </w:rPr>
        <w:t xml:space="preserve">see </w:t>
      </w:r>
      <w:hyperlink w:anchor="_Minimum_threshold_criteria" w:history="1">
        <w:r w:rsidRPr="001526DA">
          <w:rPr>
            <w:rStyle w:val="Hyperlink"/>
            <w:rFonts w:cstheme="minorHAnsi"/>
            <w:lang w:eastAsia="ja-JP"/>
          </w:rPr>
          <w:t>Minimum threshold criteria</w:t>
        </w:r>
      </w:hyperlink>
      <w:r w:rsidR="00B04227">
        <w:t>).</w:t>
      </w:r>
    </w:p>
    <w:p w14:paraId="4B6F044D" w14:textId="77777777" w:rsidR="00721044" w:rsidRDefault="00721044" w:rsidP="002E0B7C">
      <w:r w:rsidRPr="002E0B7C">
        <w:t>An entity may request periodic recurring appointments to cover seasonal fluctuations in import volumes. Recurring appointments will be subject to a minimum 8-week schedule</w:t>
      </w:r>
      <w:r w:rsidRPr="2060C837">
        <w:t>.</w:t>
      </w:r>
    </w:p>
    <w:p w14:paraId="66E6C0D7" w14:textId="58B1AE73" w:rsidR="00A40D7F" w:rsidRDefault="00DF2FB6" w:rsidP="00DF2FB6">
      <w:pPr>
        <w:rPr>
          <w:lang w:eastAsia="ja-JP"/>
        </w:rPr>
      </w:pPr>
      <w:r w:rsidRPr="00DF2FB6">
        <w:rPr>
          <w:rFonts w:ascii="Calibri" w:hAnsi="Calibri" w:cs="Calibri"/>
          <w:color w:val="000000"/>
        </w:rPr>
        <w:t xml:space="preserve">To set up a recurring appointment, the entity </w:t>
      </w:r>
      <w:r>
        <w:rPr>
          <w:rFonts w:ascii="Calibri" w:hAnsi="Calibri" w:cs="Calibri"/>
          <w:color w:val="000000"/>
        </w:rPr>
        <w:t>needs</w:t>
      </w:r>
      <w:r w:rsidRPr="00DF2FB6">
        <w:rPr>
          <w:rFonts w:ascii="Calibri" w:hAnsi="Calibri" w:cs="Calibri"/>
          <w:color w:val="000000"/>
        </w:rPr>
        <w:t xml:space="preserve"> to provide written acceptance and follow the terms of the agreement.</w:t>
      </w:r>
    </w:p>
    <w:p w14:paraId="3F42C6A8" w14:textId="269B6797" w:rsidR="00A40D7F" w:rsidRDefault="00721044" w:rsidP="00721044">
      <w:pPr>
        <w:spacing w:after="120"/>
        <w:rPr>
          <w:rFonts w:cstheme="minorHAnsi"/>
        </w:rPr>
      </w:pPr>
      <w:r w:rsidRPr="000F05CD">
        <w:rPr>
          <w:rFonts w:cstheme="minorHAnsi"/>
        </w:rPr>
        <w:t xml:space="preserve">A recurring appointment commits the attendance of officers in line with </w:t>
      </w:r>
      <w:r w:rsidR="00B04227">
        <w:rPr>
          <w:rFonts w:cstheme="minorHAnsi"/>
        </w:rPr>
        <w:t>our</w:t>
      </w:r>
      <w:r w:rsidRPr="000F05CD">
        <w:rPr>
          <w:rFonts w:cstheme="minorHAnsi"/>
        </w:rPr>
        <w:t xml:space="preserve"> </w:t>
      </w:r>
      <w:hyperlink r:id="rId27" w:history="1">
        <w:r w:rsidRPr="00DA05AC">
          <w:rPr>
            <w:rStyle w:val="Hyperlink"/>
            <w:rFonts w:cstheme="minorHAnsi"/>
          </w:rPr>
          <w:t>service standards</w:t>
        </w:r>
      </w:hyperlink>
      <w:r w:rsidRPr="000F05CD">
        <w:rPr>
          <w:rFonts w:cstheme="minorHAnsi"/>
        </w:rPr>
        <w:t xml:space="preserve">. To meet operational demands and facilitate or support other recurring appointments the department may make amendments to existing arrangements from time to time. </w:t>
      </w:r>
      <w:r w:rsidR="00310C65">
        <w:rPr>
          <w:rFonts w:cstheme="minorHAnsi"/>
        </w:rPr>
        <w:t>We will notify t</w:t>
      </w:r>
      <w:r w:rsidRPr="000F05CD">
        <w:rPr>
          <w:rFonts w:cstheme="minorHAnsi"/>
        </w:rPr>
        <w:t>he relevant entity of the amendments to their existing recurring appointment prior to its finalisation.</w:t>
      </w:r>
    </w:p>
    <w:p w14:paraId="1EB50F17" w14:textId="5980D195" w:rsidR="00A40D7F" w:rsidRDefault="00721044" w:rsidP="00721044">
      <w:pPr>
        <w:spacing w:after="120"/>
      </w:pPr>
      <w:r w:rsidRPr="000F05CD">
        <w:rPr>
          <w:rFonts w:cstheme="minorHAnsi"/>
        </w:rPr>
        <w:t xml:space="preserve">The availability of appointment slots for recurring appointments will vary depending on the location due to </w:t>
      </w:r>
      <w:r>
        <w:rPr>
          <w:rFonts w:cstheme="minorHAnsi"/>
        </w:rPr>
        <w:t>regional</w:t>
      </w:r>
      <w:r w:rsidRPr="000F05CD">
        <w:rPr>
          <w:rFonts w:cstheme="minorHAnsi"/>
        </w:rPr>
        <w:t xml:space="preserve"> constraints and capacity. </w:t>
      </w:r>
      <w:r w:rsidR="00310C65">
        <w:t>We will assess and manage</w:t>
      </w:r>
      <w:r w:rsidR="00310C65" w:rsidRPr="2060C837">
        <w:t xml:space="preserve"> </w:t>
      </w:r>
      <w:r w:rsidR="00310C65">
        <w:t>deployable capacity to ensure equitable resource availability and allocation.</w:t>
      </w:r>
    </w:p>
    <w:p w14:paraId="7C0FFF6D" w14:textId="77777777" w:rsidR="00A40D7F" w:rsidRDefault="00721044" w:rsidP="00721044">
      <w:pPr>
        <w:spacing w:after="120"/>
        <w:rPr>
          <w:rFonts w:cstheme="minorHAnsi"/>
          <w:lang w:eastAsia="ja-JP"/>
        </w:rPr>
      </w:pPr>
      <w:r w:rsidRPr="000F05CD">
        <w:rPr>
          <w:rFonts w:cstheme="minorHAnsi"/>
          <w:lang w:eastAsia="ja-JP"/>
        </w:rPr>
        <w:t xml:space="preserve">In addition to holding a recurring appointment, an entity can request standard </w:t>
      </w:r>
      <w:r>
        <w:rPr>
          <w:rFonts w:cstheme="minorHAnsi"/>
          <w:lang w:eastAsia="ja-JP"/>
        </w:rPr>
        <w:t>and group</w:t>
      </w:r>
      <w:r w:rsidRPr="000F05CD">
        <w:rPr>
          <w:rFonts w:cstheme="minorHAnsi"/>
          <w:lang w:eastAsia="ja-JP"/>
        </w:rPr>
        <w:t xml:space="preserve"> appointments for any goods where necessary</w:t>
      </w:r>
      <w:r>
        <w:rPr>
          <w:rFonts w:cstheme="minorHAnsi"/>
          <w:lang w:eastAsia="ja-JP"/>
        </w:rPr>
        <w:t>.</w:t>
      </w:r>
    </w:p>
    <w:p w14:paraId="685057D9" w14:textId="3DEA286F" w:rsidR="00721044" w:rsidRDefault="00DA05AC" w:rsidP="00721044">
      <w:pPr>
        <w:spacing w:after="120"/>
        <w:rPr>
          <w:rFonts w:cstheme="minorHAnsi"/>
        </w:rPr>
      </w:pPr>
      <w:r>
        <w:rPr>
          <w:rFonts w:cstheme="minorHAnsi"/>
        </w:rPr>
        <w:t xml:space="preserve">We will not publish </w:t>
      </w:r>
      <w:r w:rsidR="00BA791C">
        <w:rPr>
          <w:rFonts w:cstheme="minorHAnsi"/>
        </w:rPr>
        <w:t>or make publicly available i</w:t>
      </w:r>
      <w:r w:rsidR="00721044" w:rsidRPr="000F05CD">
        <w:rPr>
          <w:rFonts w:cstheme="minorHAnsi"/>
        </w:rPr>
        <w:t>nformation on recurring appointments held by entities</w:t>
      </w:r>
      <w:r w:rsidR="00BA791C">
        <w:rPr>
          <w:rFonts w:cstheme="minorHAnsi"/>
        </w:rPr>
        <w:t>.</w:t>
      </w:r>
    </w:p>
    <w:p w14:paraId="6076F59F" w14:textId="77777777" w:rsidR="00A40D7F" w:rsidRDefault="00721044" w:rsidP="009B47B0">
      <w:pPr>
        <w:pStyle w:val="Heading4"/>
      </w:pPr>
      <w:r w:rsidRPr="006851B5">
        <w:t>Acceptable inspection types</w:t>
      </w:r>
    </w:p>
    <w:p w14:paraId="479E66EA" w14:textId="0B99A577" w:rsidR="00A40D7F" w:rsidRDefault="00CC3A34" w:rsidP="00721044">
      <w:pPr>
        <w:spacing w:after="120"/>
        <w:rPr>
          <w:rFonts w:cstheme="minorHAnsi"/>
          <w:lang w:eastAsia="ja-JP"/>
        </w:rPr>
      </w:pPr>
      <w:r>
        <w:rPr>
          <w:rFonts w:cstheme="minorHAnsi"/>
          <w:lang w:eastAsia="ja-JP"/>
        </w:rPr>
        <w:t xml:space="preserve">Only the approved inspection types noted in the recurring appointment agreement can </w:t>
      </w:r>
      <w:proofErr w:type="gramStart"/>
      <w:r>
        <w:rPr>
          <w:rFonts w:cstheme="minorHAnsi"/>
          <w:lang w:eastAsia="ja-JP"/>
        </w:rPr>
        <w:t xml:space="preserve">be </w:t>
      </w:r>
      <w:r w:rsidR="00692384">
        <w:rPr>
          <w:rFonts w:cstheme="minorHAnsi"/>
          <w:lang w:eastAsia="ja-JP"/>
        </w:rPr>
        <w:t>inspected</w:t>
      </w:r>
      <w:proofErr w:type="gramEnd"/>
      <w:r>
        <w:rPr>
          <w:rFonts w:cstheme="minorHAnsi"/>
          <w:lang w:eastAsia="ja-JP"/>
        </w:rPr>
        <w:t xml:space="preserve"> at recurring appointments. </w:t>
      </w:r>
      <w:r w:rsidR="00721044" w:rsidRPr="00E16051">
        <w:rPr>
          <w:rFonts w:cstheme="minorHAnsi"/>
          <w:lang w:eastAsia="ja-JP"/>
        </w:rPr>
        <w:t>Not all inspection</w:t>
      </w:r>
      <w:r w:rsidR="00721044" w:rsidRPr="004D7706">
        <w:rPr>
          <w:rFonts w:cstheme="minorHAnsi"/>
          <w:lang w:eastAsia="ja-JP"/>
        </w:rPr>
        <w:t xml:space="preserve"> type</w:t>
      </w:r>
      <w:r w:rsidR="00721044" w:rsidRPr="00E16051">
        <w:rPr>
          <w:rFonts w:cstheme="minorHAnsi"/>
          <w:lang w:eastAsia="ja-JP"/>
        </w:rPr>
        <w:t xml:space="preserve">s </w:t>
      </w:r>
      <w:r w:rsidR="00721044" w:rsidRPr="00A01FA8">
        <w:rPr>
          <w:rFonts w:cstheme="minorHAnsi"/>
          <w:lang w:eastAsia="ja-JP"/>
        </w:rPr>
        <w:t>will be eligible for a recurring appointment due to the availability of officers, the accreditations held by these officers, the volume of imports and the operational needs of the department.</w:t>
      </w:r>
    </w:p>
    <w:p w14:paraId="7412E7E4" w14:textId="27CD2216" w:rsidR="00A40D7F" w:rsidRDefault="00721044" w:rsidP="00EC2FF3">
      <w:pPr>
        <w:spacing w:after="120"/>
        <w:rPr>
          <w:rFonts w:cstheme="minorHAnsi"/>
          <w:lang w:eastAsia="ja-JP"/>
        </w:rPr>
      </w:pPr>
      <w:r w:rsidRPr="00A01FA8">
        <w:rPr>
          <w:rFonts w:cstheme="minorHAnsi"/>
          <w:lang w:eastAsia="ja-JP"/>
        </w:rPr>
        <w:t xml:space="preserve">To ensure equity, </w:t>
      </w:r>
      <w:r w:rsidR="007571FE">
        <w:rPr>
          <w:rFonts w:cstheme="minorHAnsi"/>
          <w:lang w:eastAsia="ja-JP"/>
        </w:rPr>
        <w:t xml:space="preserve">we will assess </w:t>
      </w:r>
      <w:r w:rsidRPr="00A01FA8">
        <w:rPr>
          <w:rFonts w:cstheme="minorHAnsi"/>
          <w:lang w:eastAsia="ja-JP"/>
        </w:rPr>
        <w:t>applications against the availability of scheduling arrangements for all other entities within the same industry groups</w:t>
      </w:r>
      <w:r w:rsidRPr="00E16051">
        <w:rPr>
          <w:rFonts w:cstheme="minorHAnsi"/>
          <w:lang w:eastAsia="ja-JP"/>
        </w:rPr>
        <w:t xml:space="preserve">. </w:t>
      </w:r>
      <w:r w:rsidR="00EC2FF3" w:rsidRPr="00EC2FF3">
        <w:rPr>
          <w:rFonts w:ascii="Calibri" w:hAnsi="Calibri" w:cs="Calibri"/>
          <w:color w:val="000000"/>
        </w:rPr>
        <w:t xml:space="preserve">An inspection type approved for other </w:t>
      </w:r>
      <w:r w:rsidR="00EC2FF3">
        <w:rPr>
          <w:rFonts w:ascii="Calibri" w:hAnsi="Calibri" w:cs="Calibri"/>
          <w:color w:val="000000"/>
        </w:rPr>
        <w:t>entities</w:t>
      </w:r>
      <w:r w:rsidR="00EC2FF3" w:rsidRPr="00EC2FF3">
        <w:rPr>
          <w:rFonts w:ascii="Calibri" w:hAnsi="Calibri" w:cs="Calibri"/>
          <w:color w:val="000000"/>
        </w:rPr>
        <w:t xml:space="preserve"> in the area will be acceptable.</w:t>
      </w:r>
      <w:r w:rsidR="00EC2FF3">
        <w:rPr>
          <w:rFonts w:ascii="Calibri" w:hAnsi="Calibri" w:cs="Calibri"/>
          <w:color w:val="000000"/>
        </w:rPr>
        <w:t xml:space="preserve"> </w:t>
      </w:r>
      <w:r w:rsidRPr="00A01FA8">
        <w:rPr>
          <w:rFonts w:cstheme="minorHAnsi"/>
          <w:lang w:eastAsia="ja-JP"/>
        </w:rPr>
        <w:t xml:space="preserve">Where the number of entities seeking a recurring appointment for an </w:t>
      </w:r>
      <w:r w:rsidRPr="00E16051">
        <w:rPr>
          <w:rFonts w:cstheme="minorHAnsi"/>
          <w:lang w:eastAsia="ja-JP"/>
        </w:rPr>
        <w:t>inspection type</w:t>
      </w:r>
      <w:r w:rsidRPr="00A01FA8">
        <w:rPr>
          <w:rFonts w:cstheme="minorHAnsi"/>
          <w:lang w:eastAsia="ja-JP"/>
        </w:rPr>
        <w:t xml:space="preserve"> exceeds the department’s resources, all recurring appointments covering that inspection type within the </w:t>
      </w:r>
      <w:r>
        <w:rPr>
          <w:rFonts w:cstheme="minorHAnsi"/>
          <w:lang w:eastAsia="ja-JP"/>
        </w:rPr>
        <w:t>region</w:t>
      </w:r>
      <w:r w:rsidRPr="00A01FA8">
        <w:rPr>
          <w:rFonts w:cstheme="minorHAnsi"/>
          <w:lang w:eastAsia="ja-JP"/>
        </w:rPr>
        <w:t xml:space="preserve"> will be reassessed.</w:t>
      </w:r>
    </w:p>
    <w:p w14:paraId="502DD408" w14:textId="5F55A7CA" w:rsidR="00721044" w:rsidRPr="00A01FA8" w:rsidRDefault="00721044" w:rsidP="00721044">
      <w:pPr>
        <w:rPr>
          <w:rFonts w:asciiTheme="majorHAnsi" w:hAnsiTheme="majorHAnsi" w:cstheme="minorHAnsi"/>
          <w:lang w:eastAsia="ja-JP"/>
        </w:rPr>
      </w:pPr>
      <w:r w:rsidRPr="00A01FA8">
        <w:rPr>
          <w:rFonts w:cstheme="minorHAnsi"/>
          <w:bCs/>
        </w:rPr>
        <w:t xml:space="preserve">An </w:t>
      </w:r>
      <w:r w:rsidRPr="00E16051">
        <w:rPr>
          <w:rFonts w:cstheme="minorHAnsi"/>
        </w:rPr>
        <w:t>inspection type</w:t>
      </w:r>
      <w:r w:rsidRPr="00A01FA8">
        <w:rPr>
          <w:rFonts w:cstheme="minorHAnsi"/>
          <w:bCs/>
        </w:rPr>
        <w:t xml:space="preserve"> will not </w:t>
      </w:r>
      <w:proofErr w:type="gramStart"/>
      <w:r w:rsidRPr="00A01FA8">
        <w:rPr>
          <w:rFonts w:cstheme="minorHAnsi"/>
          <w:bCs/>
        </w:rPr>
        <w:t>be considered</w:t>
      </w:r>
      <w:proofErr w:type="gramEnd"/>
      <w:r w:rsidRPr="00A01FA8">
        <w:rPr>
          <w:rFonts w:cstheme="minorHAnsi"/>
          <w:bCs/>
        </w:rPr>
        <w:t xml:space="preserve"> acceptable where:</w:t>
      </w:r>
    </w:p>
    <w:p w14:paraId="092C202F" w14:textId="25F359AA" w:rsidR="00721044" w:rsidRPr="002D482F" w:rsidRDefault="002D482F" w:rsidP="00D10599">
      <w:pPr>
        <w:pStyle w:val="ListBullet"/>
      </w:pPr>
      <w:r w:rsidRPr="002D482F">
        <w:t>t</w:t>
      </w:r>
      <w:r w:rsidR="00721044" w:rsidRPr="002D482F">
        <w:t xml:space="preserve">he time it takes to complete a single inspection including travel to the site would prevent more than one inspection </w:t>
      </w:r>
      <w:proofErr w:type="gramStart"/>
      <w:r w:rsidR="00721044" w:rsidRPr="002D482F">
        <w:t>being completed</w:t>
      </w:r>
      <w:proofErr w:type="gramEnd"/>
      <w:r w:rsidR="00721044" w:rsidRPr="002D482F">
        <w:t xml:space="preserve"> per attendance</w:t>
      </w:r>
    </w:p>
    <w:p w14:paraId="7CDB666A" w14:textId="715D55B8" w:rsidR="00721044" w:rsidRPr="002D482F" w:rsidRDefault="002D482F" w:rsidP="00D10599">
      <w:pPr>
        <w:pStyle w:val="ListBullet"/>
      </w:pPr>
      <w:r>
        <w:lastRenderedPageBreak/>
        <w:t>t</w:t>
      </w:r>
      <w:r w:rsidR="00721044" w:rsidRPr="00D10599">
        <w:t xml:space="preserve">here are insufficient officers available to </w:t>
      </w:r>
      <w:proofErr w:type="gramStart"/>
      <w:r w:rsidR="00721044" w:rsidRPr="00D10599">
        <w:t>be assigned</w:t>
      </w:r>
      <w:proofErr w:type="gramEnd"/>
      <w:r w:rsidR="00721044" w:rsidRPr="00D10599">
        <w:t xml:space="preserve"> to the appointment</w:t>
      </w:r>
      <w:r w:rsidR="00A40D7F">
        <w:t xml:space="preserve"> </w:t>
      </w:r>
      <w:r w:rsidRPr="00600575">
        <w:t>(</w:t>
      </w:r>
      <w:r w:rsidR="00721044" w:rsidRPr="00600575">
        <w:t xml:space="preserve">see </w:t>
      </w:r>
      <w:hyperlink w:anchor="_Eligibility_criteria_and" w:history="1">
        <w:r w:rsidR="00721044" w:rsidRPr="00600575">
          <w:rPr>
            <w:rStyle w:val="Hyperlink"/>
          </w:rPr>
          <w:t>Eligibility criteria and assessment</w:t>
        </w:r>
      </w:hyperlink>
      <w:r w:rsidRPr="002D482F">
        <w:t>)</w:t>
      </w:r>
    </w:p>
    <w:p w14:paraId="07F4EB52" w14:textId="77777777" w:rsidR="00721044" w:rsidRPr="00A01FA8" w:rsidRDefault="00721044" w:rsidP="00256EA4">
      <w:pPr>
        <w:rPr>
          <w:b/>
        </w:rPr>
      </w:pPr>
      <w:r w:rsidRPr="00A01FA8">
        <w:t>A recurring appointment may include more than one type of inspection providing:</w:t>
      </w:r>
    </w:p>
    <w:p w14:paraId="59F4512D" w14:textId="51D7B397" w:rsidR="00721044" w:rsidRPr="002D482F" w:rsidRDefault="002D482F" w:rsidP="00D10599">
      <w:pPr>
        <w:pStyle w:val="ListBullet"/>
      </w:pPr>
      <w:r>
        <w:t>e</w:t>
      </w:r>
      <w:r w:rsidR="00721044" w:rsidRPr="002D482F">
        <w:t xml:space="preserve">ach inspection type will </w:t>
      </w:r>
      <w:proofErr w:type="gramStart"/>
      <w:r w:rsidR="00721044" w:rsidRPr="002D482F">
        <w:t>be undertaken</w:t>
      </w:r>
      <w:proofErr w:type="gramEnd"/>
      <w:r w:rsidR="00721044" w:rsidRPr="002D482F">
        <w:t xml:space="preserve"> during most appointments</w:t>
      </w:r>
    </w:p>
    <w:p w14:paraId="4C025023" w14:textId="2F99A0C3" w:rsidR="00A40D7F" w:rsidRDefault="002D482F" w:rsidP="00D10599">
      <w:pPr>
        <w:pStyle w:val="ListBullet"/>
      </w:pPr>
      <w:r>
        <w:t>t</w:t>
      </w:r>
      <w:r w:rsidR="00721044" w:rsidRPr="002D482F">
        <w:t>he number of inspection types do not exceed the accreditation limits of officers within the region.</w:t>
      </w:r>
    </w:p>
    <w:p w14:paraId="48D5FA72" w14:textId="3B9486C0" w:rsidR="00721044" w:rsidRPr="008C2FCF" w:rsidRDefault="00721044" w:rsidP="00721044">
      <w:pPr>
        <w:rPr>
          <w:rFonts w:cstheme="minorHAnsi"/>
        </w:rPr>
      </w:pPr>
      <w:r>
        <w:rPr>
          <w:rFonts w:cstheme="minorHAnsi"/>
        </w:rPr>
        <w:t>In addition, and when assessing the minimum threshold criteria, r</w:t>
      </w:r>
      <w:r w:rsidRPr="00A01FA8">
        <w:rPr>
          <w:rFonts w:cstheme="minorHAnsi"/>
        </w:rPr>
        <w:t xml:space="preserve">ecurring appointments </w:t>
      </w:r>
      <w:r>
        <w:rPr>
          <w:rFonts w:cstheme="minorHAnsi"/>
        </w:rPr>
        <w:t>will consider including</w:t>
      </w:r>
      <w:r w:rsidRPr="00A01FA8">
        <w:rPr>
          <w:rFonts w:cstheme="minorHAnsi"/>
        </w:rPr>
        <w:t xml:space="preserve"> inspection</w:t>
      </w:r>
      <w:r>
        <w:rPr>
          <w:rFonts w:cstheme="minorHAnsi"/>
        </w:rPr>
        <w:t xml:space="preserve"> type</w:t>
      </w:r>
      <w:r w:rsidRPr="00A01FA8">
        <w:rPr>
          <w:rFonts w:cstheme="minorHAnsi"/>
        </w:rPr>
        <w:t xml:space="preserve">s where alternative </w:t>
      </w:r>
      <w:r w:rsidRPr="008C2FCF">
        <w:rPr>
          <w:rFonts w:cstheme="minorHAnsi"/>
        </w:rPr>
        <w:t>arrangements exist, such as:</w:t>
      </w:r>
    </w:p>
    <w:p w14:paraId="232A0286" w14:textId="77777777" w:rsidR="00A40D7F" w:rsidRDefault="00721044" w:rsidP="00D10599">
      <w:pPr>
        <w:pStyle w:val="ListBullet"/>
      </w:pPr>
      <w:r w:rsidRPr="00D10599">
        <w:t xml:space="preserve">an inspection that is eligible to </w:t>
      </w:r>
      <w:proofErr w:type="gramStart"/>
      <w:r w:rsidRPr="00D10599">
        <w:t>be performed</w:t>
      </w:r>
      <w:proofErr w:type="gramEnd"/>
      <w:r w:rsidRPr="00D10599">
        <w:t xml:space="preserve"> by a biosecurity industry participant</w:t>
      </w:r>
    </w:p>
    <w:p w14:paraId="2BCA7DAB" w14:textId="77777777" w:rsidR="00A40D7F" w:rsidRDefault="00721044" w:rsidP="00D10599">
      <w:pPr>
        <w:pStyle w:val="ListBullet"/>
      </w:pPr>
      <w:r w:rsidRPr="00D10599">
        <w:t xml:space="preserve">an imported food inspection that is eligible to </w:t>
      </w:r>
      <w:proofErr w:type="gramStart"/>
      <w:r w:rsidRPr="00D10599">
        <w:t>be undertaken</w:t>
      </w:r>
      <w:proofErr w:type="gramEnd"/>
      <w:r w:rsidRPr="00D10599">
        <w:t xml:space="preserve"> virtually.</w:t>
      </w:r>
    </w:p>
    <w:p w14:paraId="758BDA7B" w14:textId="3EA71B2E" w:rsidR="009101D6" w:rsidRDefault="009101D6" w:rsidP="009B47B0">
      <w:pPr>
        <w:pStyle w:val="Heading4"/>
      </w:pPr>
      <w:bookmarkStart w:id="34" w:name="_Minimum_threshold_criteria"/>
      <w:bookmarkEnd w:id="34"/>
      <w:r w:rsidRPr="009B47B0">
        <w:t>Minimum</w:t>
      </w:r>
      <w:r w:rsidRPr="00A01FA8">
        <w:t xml:space="preserve"> threshold</w:t>
      </w:r>
      <w:r>
        <w:t xml:space="preserve"> criteria</w:t>
      </w:r>
    </w:p>
    <w:p w14:paraId="114995A6" w14:textId="1F4ED73C" w:rsidR="009101D6" w:rsidRDefault="009101D6" w:rsidP="009101D6">
      <w:pPr>
        <w:rPr>
          <w:lang w:val="en-US"/>
        </w:rPr>
      </w:pPr>
      <w:r>
        <w:rPr>
          <w:lang w:val="en-US"/>
        </w:rPr>
        <w:t xml:space="preserve">As at </w:t>
      </w:r>
      <w:commentRangeStart w:id="35"/>
      <w:r>
        <w:rPr>
          <w:lang w:val="en-US"/>
        </w:rPr>
        <w:t>[</w:t>
      </w:r>
      <w:r>
        <w:rPr>
          <w:i/>
          <w:iCs/>
          <w:lang w:val="en-US"/>
        </w:rPr>
        <w:t>publication date</w:t>
      </w:r>
      <w:r>
        <w:rPr>
          <w:lang w:val="en-US"/>
        </w:rPr>
        <w:t>]</w:t>
      </w:r>
      <w:commentRangeEnd w:id="35"/>
      <w:r w:rsidR="00786B59">
        <w:rPr>
          <w:rStyle w:val="CommentReference"/>
          <w:sz w:val="22"/>
          <w:szCs w:val="22"/>
          <w:lang w:val="en-US"/>
        </w:rPr>
        <w:commentReference w:id="35"/>
      </w:r>
      <w:r>
        <w:rPr>
          <w:lang w:val="en-US"/>
        </w:rPr>
        <w:t xml:space="preserve">, the following criteria must be met to enable </w:t>
      </w:r>
      <w:r w:rsidR="00C55EDE">
        <w:rPr>
          <w:lang w:val="en-US"/>
        </w:rPr>
        <w:t>eligibility</w:t>
      </w:r>
      <w:r>
        <w:rPr>
          <w:lang w:val="en-US"/>
        </w:rPr>
        <w:t xml:space="preserve"> for a recurring appointment:</w:t>
      </w:r>
    </w:p>
    <w:p w14:paraId="4EFEC99C" w14:textId="65D3583F" w:rsidR="009101D6" w:rsidRPr="00A01FA8" w:rsidRDefault="009101D6" w:rsidP="00DB2C7A">
      <w:pPr>
        <w:pStyle w:val="ListBullet"/>
      </w:pPr>
      <w:bookmarkStart w:id="36" w:name="_Minimum_volume_thresholds"/>
      <w:bookmarkEnd w:id="36"/>
      <w:r w:rsidRPr="00A01FA8">
        <w:t xml:space="preserve">Full </w:t>
      </w:r>
      <w:r w:rsidR="006851B5">
        <w:t>i</w:t>
      </w:r>
      <w:r w:rsidRPr="00A01FA8">
        <w:t xml:space="preserve">mport </w:t>
      </w:r>
      <w:r w:rsidR="006851B5">
        <w:t>d</w:t>
      </w:r>
      <w:r w:rsidRPr="00A01FA8">
        <w:t>eclarations (FID)</w:t>
      </w:r>
    </w:p>
    <w:p w14:paraId="1F894A61" w14:textId="11107146" w:rsidR="009101D6" w:rsidRDefault="009101D6" w:rsidP="00DB2C7A">
      <w:pPr>
        <w:pStyle w:val="ListBullet2"/>
      </w:pPr>
      <w:r w:rsidRPr="00A01FA8">
        <w:t>5 to 9 inspections per week, consisting of at least 10 hours of inspection time</w:t>
      </w:r>
    </w:p>
    <w:p w14:paraId="70F72382" w14:textId="41A0EC46" w:rsidR="009101D6" w:rsidRDefault="009101D6" w:rsidP="00DB2C7A">
      <w:pPr>
        <w:pStyle w:val="ListBullet2"/>
      </w:pPr>
      <w:r w:rsidRPr="00CB6C71">
        <w:t>10 to 14 inspections per week, consisting of at least 6 hours of inspection time</w:t>
      </w:r>
    </w:p>
    <w:p w14:paraId="541A1BE0" w14:textId="15DF068B" w:rsidR="009101D6" w:rsidRPr="00CB6C71" w:rsidRDefault="009101D6" w:rsidP="00DB2C7A">
      <w:pPr>
        <w:pStyle w:val="ListBullet2"/>
      </w:pPr>
      <w:r w:rsidRPr="00CB6C71">
        <w:t>15 or more inspections per week</w:t>
      </w:r>
    </w:p>
    <w:p w14:paraId="12933F96" w14:textId="2ECF5330" w:rsidR="00A40D7F" w:rsidRDefault="009101D6" w:rsidP="00DB2C7A">
      <w:pPr>
        <w:pStyle w:val="ListBullet"/>
      </w:pPr>
      <w:r w:rsidRPr="00A01FA8">
        <w:t>Self-</w:t>
      </w:r>
      <w:r w:rsidR="006851B5">
        <w:t>a</w:t>
      </w:r>
      <w:r w:rsidRPr="00A01FA8">
        <w:t xml:space="preserve">ssessed </w:t>
      </w:r>
      <w:r w:rsidR="006851B5">
        <w:t>c</w:t>
      </w:r>
      <w:r w:rsidRPr="00A01FA8">
        <w:t>learances (SAC)</w:t>
      </w:r>
    </w:p>
    <w:p w14:paraId="52EE99E4" w14:textId="6AA8E46A" w:rsidR="009101D6" w:rsidRPr="00A01FA8" w:rsidRDefault="009101D6" w:rsidP="00DB2C7A">
      <w:pPr>
        <w:pStyle w:val="ListBullet2"/>
        <w:rPr>
          <w:i/>
          <w:iCs/>
        </w:rPr>
      </w:pPr>
      <w:r w:rsidRPr="00A01FA8">
        <w:t>10 consignments or at least 1 hour of inspection time per week</w:t>
      </w:r>
    </w:p>
    <w:p w14:paraId="2692AE80" w14:textId="6B0FD92A" w:rsidR="009101D6" w:rsidRPr="00A01FA8" w:rsidRDefault="009101D6" w:rsidP="00DB2C7A">
      <w:pPr>
        <w:pStyle w:val="ListBullet"/>
      </w:pPr>
      <w:r w:rsidRPr="00A01FA8">
        <w:t xml:space="preserve">Unaccompanied </w:t>
      </w:r>
      <w:r w:rsidR="006851B5">
        <w:t>p</w:t>
      </w:r>
      <w:r w:rsidRPr="00A01FA8">
        <w:t xml:space="preserve">ersonal </w:t>
      </w:r>
      <w:r w:rsidR="006851B5">
        <w:t>e</w:t>
      </w:r>
      <w:r w:rsidRPr="00A01FA8">
        <w:t>ffects (UPE)</w:t>
      </w:r>
    </w:p>
    <w:p w14:paraId="643D22D7" w14:textId="740BBF2B" w:rsidR="009101D6" w:rsidRPr="00A01FA8" w:rsidRDefault="009101D6" w:rsidP="00DB2C7A">
      <w:pPr>
        <w:pStyle w:val="ListBullet2"/>
      </w:pPr>
      <w:r w:rsidRPr="00A01FA8">
        <w:t>10 consignments per week</w:t>
      </w:r>
    </w:p>
    <w:p w14:paraId="186E70BE" w14:textId="048158E7" w:rsidR="009101D6" w:rsidRPr="00A01FA8" w:rsidRDefault="009101D6" w:rsidP="00DB2C7A">
      <w:pPr>
        <w:pStyle w:val="ListBullet"/>
      </w:pPr>
      <w:r w:rsidRPr="00A01FA8">
        <w:t>Country Action List (CAL)</w:t>
      </w:r>
    </w:p>
    <w:p w14:paraId="5FE7EC4F" w14:textId="77777777" w:rsidR="009101D6" w:rsidRPr="00A01FA8" w:rsidRDefault="009101D6" w:rsidP="00DB2C7A">
      <w:pPr>
        <w:pStyle w:val="ListBullet2"/>
      </w:pPr>
      <w:r w:rsidRPr="00A01FA8">
        <w:t>5 hours of inspection time per week.</w:t>
      </w:r>
    </w:p>
    <w:p w14:paraId="7F3FC53C" w14:textId="6DDCFD3C" w:rsidR="00A40D7F" w:rsidRDefault="00830897" w:rsidP="00D10599">
      <w:r>
        <w:t>We will review t</w:t>
      </w:r>
      <w:r w:rsidR="009101D6" w:rsidRPr="00A967F2">
        <w:t>h</w:t>
      </w:r>
      <w:r w:rsidR="009101D6">
        <w:t>e minimum threshold criteria as requ</w:t>
      </w:r>
      <w:r w:rsidR="009101D6" w:rsidRPr="00A967F2">
        <w:t xml:space="preserve">ired or within 3 years following </w:t>
      </w:r>
      <w:r w:rsidR="009101D6">
        <w:t>implementation</w:t>
      </w:r>
      <w:r w:rsidR="009101D6" w:rsidRPr="00A967F2">
        <w:t>.</w:t>
      </w:r>
    </w:p>
    <w:p w14:paraId="38519120" w14:textId="5E7676C8" w:rsidR="00A40D7F" w:rsidRDefault="009101D6" w:rsidP="00D10599">
      <w:r>
        <w:t xml:space="preserve">Where major changes to the minimum threshold criteria </w:t>
      </w:r>
      <w:proofErr w:type="gramStart"/>
      <w:r>
        <w:t>are required</w:t>
      </w:r>
      <w:proofErr w:type="gramEnd"/>
      <w:r>
        <w:t xml:space="preserve">, </w:t>
      </w:r>
      <w:r w:rsidR="00601343">
        <w:t xml:space="preserve">we will undertake </w:t>
      </w:r>
      <w:r>
        <w:t>c</w:t>
      </w:r>
      <w:r w:rsidRPr="00A01FA8">
        <w:t>onsultation with entities and internal stakeholders</w:t>
      </w:r>
      <w:r w:rsidR="00601343">
        <w:t>.</w:t>
      </w:r>
    </w:p>
    <w:p w14:paraId="7CE8560D" w14:textId="6458A8D3" w:rsidR="009101D6" w:rsidRPr="00A01FA8" w:rsidRDefault="009101D6" w:rsidP="009B47B0">
      <w:pPr>
        <w:pStyle w:val="Heading2"/>
      </w:pPr>
      <w:bookmarkStart w:id="37" w:name="_Toc210296055"/>
      <w:bookmarkStart w:id="38" w:name="_Toc228528789"/>
      <w:r w:rsidRPr="009B47B0">
        <w:lastRenderedPageBreak/>
        <w:t>Arrangement</w:t>
      </w:r>
      <w:r>
        <w:t xml:space="preserve"> requests and governance processes</w:t>
      </w:r>
      <w:bookmarkEnd w:id="37"/>
      <w:bookmarkEnd w:id="38"/>
    </w:p>
    <w:p w14:paraId="783A3CC3" w14:textId="77777777" w:rsidR="009101D6" w:rsidRPr="00A01FA8" w:rsidRDefault="009101D6" w:rsidP="009B47B0">
      <w:pPr>
        <w:pStyle w:val="Heading3"/>
      </w:pPr>
      <w:bookmarkStart w:id="39" w:name="_Toc210296056"/>
      <w:bookmarkStart w:id="40" w:name="_Toc228528790"/>
      <w:r w:rsidRPr="00A01FA8">
        <w:t xml:space="preserve">Who may </w:t>
      </w:r>
      <w:r w:rsidRPr="009B47B0">
        <w:t>submit</w:t>
      </w:r>
      <w:r w:rsidRPr="00A01FA8">
        <w:t xml:space="preserve"> a request</w:t>
      </w:r>
      <w:bookmarkEnd w:id="39"/>
      <w:bookmarkEnd w:id="40"/>
    </w:p>
    <w:p w14:paraId="6D39F169" w14:textId="77777777" w:rsidR="009101D6" w:rsidRPr="00A01FA8" w:rsidRDefault="009101D6" w:rsidP="009101D6">
      <w:pPr>
        <w:contextualSpacing/>
        <w:rPr>
          <w:rFonts w:cstheme="minorHAnsi"/>
        </w:rPr>
      </w:pPr>
      <w:r w:rsidRPr="00A01FA8">
        <w:rPr>
          <w:rFonts w:cstheme="minorHAnsi"/>
        </w:rPr>
        <w:t>The following entities may request a recurring appointment:</w:t>
      </w:r>
    </w:p>
    <w:p w14:paraId="62EF2AA0" w14:textId="77777777" w:rsidR="009101D6" w:rsidRPr="00D10599" w:rsidRDefault="009101D6" w:rsidP="00D10599">
      <w:pPr>
        <w:pStyle w:val="ListBullet"/>
      </w:pPr>
      <w:r w:rsidRPr="00D10599">
        <w:t>operators of biosecurity entry points</w:t>
      </w:r>
    </w:p>
    <w:p w14:paraId="0C43221B" w14:textId="77777777" w:rsidR="009101D6" w:rsidRPr="00D10599" w:rsidRDefault="009101D6" w:rsidP="00D10599">
      <w:pPr>
        <w:pStyle w:val="ListBullet"/>
      </w:pPr>
      <w:r w:rsidRPr="00D10599">
        <w:t>operators of approved arrangements sites</w:t>
      </w:r>
    </w:p>
    <w:p w14:paraId="06802175" w14:textId="14EFBE71" w:rsidR="009101D6" w:rsidRPr="00D10599" w:rsidRDefault="009101D6" w:rsidP="00D10599">
      <w:pPr>
        <w:pStyle w:val="ListBullet"/>
      </w:pPr>
      <w:r w:rsidRPr="00D10599">
        <w:t xml:space="preserve">importers, with </w:t>
      </w:r>
      <w:r w:rsidR="00E931BA" w:rsidRPr="00D10599">
        <w:t>a</w:t>
      </w:r>
      <w:r w:rsidR="00E931BA">
        <w:t>n existing approved arrangement or en</w:t>
      </w:r>
      <w:r w:rsidR="00E931BA" w:rsidRPr="00D10599">
        <w:t xml:space="preserve">dorsement </w:t>
      </w:r>
      <w:r w:rsidRPr="00D10599">
        <w:t>from an operator of an approved arrangement site</w:t>
      </w:r>
    </w:p>
    <w:p w14:paraId="7C902917" w14:textId="39683C03" w:rsidR="009101D6" w:rsidRPr="00D10599" w:rsidRDefault="009101D6" w:rsidP="00D10599">
      <w:pPr>
        <w:pStyle w:val="ListBullet"/>
      </w:pPr>
      <w:r w:rsidRPr="00D10599">
        <w:t>brokers</w:t>
      </w:r>
      <w:r w:rsidR="00620249">
        <w:t xml:space="preserve"> or </w:t>
      </w:r>
      <w:r w:rsidRPr="00D10599">
        <w:t>freight forwarders, with a</w:t>
      </w:r>
      <w:r w:rsidR="00600575">
        <w:t>n existing approved arrangement or</w:t>
      </w:r>
      <w:r w:rsidR="00E931BA">
        <w:t xml:space="preserve"> en</w:t>
      </w:r>
      <w:r w:rsidRPr="00D10599">
        <w:t>dorsement from an operator of an approved arrangement site.</w:t>
      </w:r>
    </w:p>
    <w:p w14:paraId="41856246" w14:textId="77777777" w:rsidR="009101D6" w:rsidRPr="00A01FA8" w:rsidRDefault="009101D6" w:rsidP="009B47B0">
      <w:pPr>
        <w:pStyle w:val="Heading3"/>
      </w:pPr>
      <w:bookmarkStart w:id="41" w:name="_Toc210296057"/>
      <w:bookmarkStart w:id="42" w:name="_Toc228528791"/>
      <w:r w:rsidRPr="00A01FA8">
        <w:t xml:space="preserve">Submission of </w:t>
      </w:r>
      <w:r w:rsidRPr="009B47B0">
        <w:t>requests</w:t>
      </w:r>
      <w:bookmarkEnd w:id="41"/>
      <w:bookmarkEnd w:id="42"/>
    </w:p>
    <w:p w14:paraId="3517E847" w14:textId="506F0F82" w:rsidR="009101D6" w:rsidRDefault="00DB2C7A" w:rsidP="009101D6">
      <w:r>
        <w:t>To r</w:t>
      </w:r>
      <w:r w:rsidR="009101D6" w:rsidRPr="2060C837">
        <w:t xml:space="preserve">equest </w:t>
      </w:r>
      <w:r>
        <w:t xml:space="preserve">a </w:t>
      </w:r>
      <w:r w:rsidR="009101D6" w:rsidRPr="2060C837">
        <w:t>recurring appointment</w:t>
      </w:r>
      <w:r>
        <w:t>,</w:t>
      </w:r>
      <w:r w:rsidR="009101D6" w:rsidRPr="2060C837">
        <w:t xml:space="preserve"> </w:t>
      </w:r>
      <w:r>
        <w:t>c</w:t>
      </w:r>
      <w:r w:rsidR="009101D6" w:rsidRPr="2060C837">
        <w:t>omplet</w:t>
      </w:r>
      <w:r>
        <w:t>e</w:t>
      </w:r>
      <w:r w:rsidR="009101D6" w:rsidRPr="2060C837">
        <w:t xml:space="preserve"> the </w:t>
      </w:r>
      <w:commentRangeStart w:id="43"/>
      <w:r w:rsidR="009101D6" w:rsidRPr="00DB2C7A">
        <w:t xml:space="preserve">Request for </w:t>
      </w:r>
      <w:r w:rsidRPr="00DB2C7A">
        <w:t>r</w:t>
      </w:r>
      <w:r w:rsidR="009101D6" w:rsidRPr="00DB2C7A">
        <w:t xml:space="preserve">ecurring </w:t>
      </w:r>
      <w:r w:rsidRPr="00D91362">
        <w:t>a</w:t>
      </w:r>
      <w:r w:rsidR="009101D6" w:rsidRPr="00DB2C7A">
        <w:t>ppointment</w:t>
      </w:r>
      <w:r w:rsidR="009101D6" w:rsidRPr="2060C837">
        <w:t xml:space="preserve"> form</w:t>
      </w:r>
      <w:commentRangeEnd w:id="43"/>
      <w:r w:rsidR="001E6C10">
        <w:rPr>
          <w:rStyle w:val="CommentReference"/>
        </w:rPr>
        <w:commentReference w:id="43"/>
      </w:r>
      <w:r w:rsidR="009101D6">
        <w:t>.</w:t>
      </w:r>
      <w:r w:rsidR="009101D6" w:rsidRPr="2060C837">
        <w:t xml:space="preserve"> </w:t>
      </w:r>
    </w:p>
    <w:p w14:paraId="7136C541" w14:textId="77777777" w:rsidR="009101D6" w:rsidRPr="00A01FA8" w:rsidRDefault="009101D6" w:rsidP="009B47B0">
      <w:pPr>
        <w:pStyle w:val="Heading3"/>
      </w:pPr>
      <w:bookmarkStart w:id="44" w:name="_Eligibility_criteria_and"/>
      <w:bookmarkStart w:id="45" w:name="_Toc210296058"/>
      <w:bookmarkStart w:id="46" w:name="_Toc228528792"/>
      <w:bookmarkEnd w:id="44"/>
      <w:r w:rsidRPr="00A01FA8">
        <w:t xml:space="preserve">Eligibility criteria </w:t>
      </w:r>
      <w:r w:rsidRPr="009B47B0">
        <w:t>and</w:t>
      </w:r>
      <w:r w:rsidRPr="00A01FA8">
        <w:t xml:space="preserve"> assessment</w:t>
      </w:r>
      <w:bookmarkEnd w:id="45"/>
      <w:bookmarkEnd w:id="46"/>
    </w:p>
    <w:p w14:paraId="7FD37027" w14:textId="77777777" w:rsidR="00C55EDE" w:rsidRDefault="009101D6" w:rsidP="00D10599">
      <w:pPr>
        <w:rPr>
          <w:lang w:eastAsia="ja-JP"/>
        </w:rPr>
      </w:pPr>
      <w:r w:rsidRPr="00A01FA8">
        <w:rPr>
          <w:lang w:eastAsia="ja-JP"/>
        </w:rPr>
        <w:t xml:space="preserve">Recurring appointments will </w:t>
      </w:r>
      <w:proofErr w:type="gramStart"/>
      <w:r w:rsidRPr="00A01FA8">
        <w:rPr>
          <w:lang w:eastAsia="ja-JP"/>
        </w:rPr>
        <w:t>be approved</w:t>
      </w:r>
      <w:proofErr w:type="gramEnd"/>
      <w:r w:rsidRPr="00A01FA8">
        <w:rPr>
          <w:lang w:eastAsia="ja-JP"/>
        </w:rPr>
        <w:t xml:space="preserve"> where they are likely to achieve an efficient outcome for both the</w:t>
      </w:r>
      <w:r w:rsidR="00C55EDE">
        <w:rPr>
          <w:lang w:eastAsia="ja-JP"/>
        </w:rPr>
        <w:t xml:space="preserve"> </w:t>
      </w:r>
      <w:r w:rsidRPr="00A01FA8">
        <w:rPr>
          <w:lang w:eastAsia="ja-JP"/>
        </w:rPr>
        <w:t>department and the entity</w:t>
      </w:r>
      <w:r w:rsidR="00C55EDE">
        <w:rPr>
          <w:lang w:eastAsia="ja-JP"/>
        </w:rPr>
        <w:t xml:space="preserve"> by:</w:t>
      </w:r>
    </w:p>
    <w:p w14:paraId="0E75B507" w14:textId="77777777" w:rsidR="00C55EDE" w:rsidRDefault="009101D6" w:rsidP="00C55EDE">
      <w:pPr>
        <w:pStyle w:val="ListBullet"/>
        <w:rPr>
          <w:lang w:eastAsia="ja-JP"/>
        </w:rPr>
      </w:pPr>
      <w:r w:rsidRPr="00A01FA8">
        <w:rPr>
          <w:lang w:eastAsia="ja-JP"/>
        </w:rPr>
        <w:t>maximising the number of inspections conducted per attendance</w:t>
      </w:r>
    </w:p>
    <w:p w14:paraId="489ACBD4" w14:textId="77777777" w:rsidR="00C55EDE" w:rsidRDefault="009101D6" w:rsidP="00C55EDE">
      <w:pPr>
        <w:pStyle w:val="ListBullet"/>
        <w:rPr>
          <w:lang w:eastAsia="ja-JP"/>
        </w:rPr>
      </w:pPr>
      <w:r w:rsidRPr="00A01FA8">
        <w:rPr>
          <w:lang w:eastAsia="ja-JP"/>
        </w:rPr>
        <w:t>reducing travel</w:t>
      </w:r>
    </w:p>
    <w:p w14:paraId="43CBAB7B" w14:textId="77777777" w:rsidR="00A40D7F" w:rsidRDefault="00C55EDE" w:rsidP="00C55EDE">
      <w:pPr>
        <w:pStyle w:val="ListBullet"/>
        <w:rPr>
          <w:lang w:eastAsia="ja-JP"/>
        </w:rPr>
      </w:pPr>
      <w:r>
        <w:rPr>
          <w:lang w:eastAsia="ja-JP"/>
        </w:rPr>
        <w:t>reducing</w:t>
      </w:r>
      <w:r w:rsidR="009101D6" w:rsidRPr="00A01FA8">
        <w:rPr>
          <w:lang w:eastAsia="ja-JP"/>
        </w:rPr>
        <w:t xml:space="preserve"> the scheduling workload associated with managing multiple appointments.</w:t>
      </w:r>
    </w:p>
    <w:p w14:paraId="203C41B1" w14:textId="482EBB13" w:rsidR="009101D6" w:rsidRPr="00A01FA8" w:rsidRDefault="009101D6" w:rsidP="00D10599">
      <w:r w:rsidRPr="00A01FA8">
        <w:t>The number of officers at locations across the country varies due to the operational needs of the department. The assessment of a request for a recurring appointment will consider:</w:t>
      </w:r>
    </w:p>
    <w:p w14:paraId="2C170AA8" w14:textId="77777777" w:rsidR="00A40D7F" w:rsidRDefault="009101D6" w:rsidP="00D10599">
      <w:pPr>
        <w:pStyle w:val="ListBullet"/>
      </w:pPr>
      <w:r w:rsidRPr="00D10599">
        <w:t>inspection types</w:t>
      </w:r>
    </w:p>
    <w:p w14:paraId="4634C18A" w14:textId="77777777" w:rsidR="00A40D7F" w:rsidRDefault="009101D6" w:rsidP="00D10599">
      <w:pPr>
        <w:pStyle w:val="ListBullet"/>
      </w:pPr>
      <w:r w:rsidRPr="00D10599">
        <w:t>nature of the goods in accordance with prioritisation requirements</w:t>
      </w:r>
    </w:p>
    <w:p w14:paraId="759CE5A6" w14:textId="3224BB5E" w:rsidR="009101D6" w:rsidRPr="00D10599" w:rsidRDefault="009101D6" w:rsidP="00D10599">
      <w:pPr>
        <w:pStyle w:val="ListBullet"/>
      </w:pPr>
      <w:r w:rsidRPr="00D10599">
        <w:t xml:space="preserve">volume of inspections to </w:t>
      </w:r>
      <w:proofErr w:type="gramStart"/>
      <w:r w:rsidRPr="00D10599">
        <w:t>be undertaken</w:t>
      </w:r>
      <w:proofErr w:type="gramEnd"/>
    </w:p>
    <w:p w14:paraId="1F230BAA" w14:textId="77777777" w:rsidR="009101D6" w:rsidRPr="00D10599" w:rsidRDefault="009101D6" w:rsidP="00D10599">
      <w:pPr>
        <w:pStyle w:val="ListBullet"/>
      </w:pPr>
      <w:r w:rsidRPr="00D10599">
        <w:t>the requested schedule</w:t>
      </w:r>
    </w:p>
    <w:p w14:paraId="1E834410" w14:textId="77777777" w:rsidR="009101D6" w:rsidRPr="00D10599" w:rsidRDefault="009101D6" w:rsidP="00D10599">
      <w:pPr>
        <w:pStyle w:val="ListBullet"/>
      </w:pPr>
      <w:r w:rsidRPr="00D10599">
        <w:t>efficiency for both the department and the entity</w:t>
      </w:r>
    </w:p>
    <w:p w14:paraId="2CD6E258" w14:textId="77777777" w:rsidR="009101D6" w:rsidRPr="00D10599" w:rsidRDefault="009101D6" w:rsidP="00D10599">
      <w:pPr>
        <w:pStyle w:val="ListBullet"/>
      </w:pPr>
      <w:r w:rsidRPr="00D10599">
        <w:t>working conditions at the site for the officer</w:t>
      </w:r>
    </w:p>
    <w:p w14:paraId="4AB61D37" w14:textId="5A9221CF" w:rsidR="009101D6" w:rsidRPr="00D10599" w:rsidRDefault="009101D6" w:rsidP="00D10599">
      <w:pPr>
        <w:pStyle w:val="ListBullet"/>
      </w:pPr>
      <w:r w:rsidRPr="00D10599">
        <w:t>equity and impact on other entities</w:t>
      </w:r>
    </w:p>
    <w:p w14:paraId="478B9940" w14:textId="77777777" w:rsidR="009101D6" w:rsidRPr="00D10599" w:rsidRDefault="009101D6" w:rsidP="00D10599">
      <w:pPr>
        <w:pStyle w:val="ListBullet"/>
      </w:pPr>
      <w:r w:rsidRPr="00D10599">
        <w:t>commitment of resources and resource availability</w:t>
      </w:r>
    </w:p>
    <w:p w14:paraId="51831706" w14:textId="77777777" w:rsidR="009101D6" w:rsidRPr="00D10599" w:rsidRDefault="009101D6" w:rsidP="00D10599">
      <w:pPr>
        <w:pStyle w:val="ListBullet"/>
      </w:pPr>
      <w:r w:rsidRPr="00D10599">
        <w:t>temporary or seasonal increase in imports</w:t>
      </w:r>
    </w:p>
    <w:p w14:paraId="2D1714CD" w14:textId="77777777" w:rsidR="009101D6" w:rsidRPr="00D91362" w:rsidRDefault="009101D6" w:rsidP="00DB2C7A">
      <w:pPr>
        <w:pStyle w:val="ListBullet"/>
      </w:pPr>
      <w:r w:rsidRPr="00D91362">
        <w:rPr>
          <w:rStyle w:val="Strong"/>
          <w:b w:val="0"/>
          <w:bCs w:val="0"/>
        </w:rPr>
        <w:t>minimum threshold criteria</w:t>
      </w:r>
      <w:r w:rsidRPr="00D91362">
        <w:t>.</w:t>
      </w:r>
    </w:p>
    <w:p w14:paraId="6985CB38" w14:textId="3C8FF7CA" w:rsidR="009101D6" w:rsidRPr="00A01FA8" w:rsidRDefault="009101D6" w:rsidP="009101D6">
      <w:pPr>
        <w:rPr>
          <w:rFonts w:cstheme="minorHAnsi"/>
        </w:rPr>
      </w:pPr>
      <w:r w:rsidRPr="00A01FA8">
        <w:rPr>
          <w:rFonts w:cstheme="minorHAnsi"/>
        </w:rPr>
        <w:lastRenderedPageBreak/>
        <w:t>The assessment of an application for a recurring appointment will determine whether there is:</w:t>
      </w:r>
    </w:p>
    <w:p w14:paraId="4CD21FE0" w14:textId="1859B011" w:rsidR="009101D6" w:rsidRPr="00474B46" w:rsidRDefault="00474B46" w:rsidP="00D10599">
      <w:pPr>
        <w:pStyle w:val="ListBullet"/>
      </w:pPr>
      <w:r w:rsidRPr="00474B46">
        <w:t>a r</w:t>
      </w:r>
      <w:r w:rsidR="009101D6" w:rsidRPr="00474B46">
        <w:t>eduction in the number of attendances to the site by officers</w:t>
      </w:r>
    </w:p>
    <w:p w14:paraId="341DA9DF" w14:textId="0C035943" w:rsidR="009101D6" w:rsidRPr="00A01FA8" w:rsidRDefault="00474B46" w:rsidP="00D10599">
      <w:pPr>
        <w:pStyle w:val="ListBullet"/>
      </w:pPr>
      <w:r>
        <w:t>an i</w:t>
      </w:r>
      <w:r w:rsidR="009101D6" w:rsidRPr="00A01FA8">
        <w:t>ncrease in the number of goods inspected during an agreed recurring time</w:t>
      </w:r>
    </w:p>
    <w:p w14:paraId="206B863C" w14:textId="0D0804D1" w:rsidR="00A40D7F" w:rsidRDefault="00474B46" w:rsidP="00D10599">
      <w:pPr>
        <w:pStyle w:val="ListBullet"/>
      </w:pPr>
      <w:r>
        <w:t>a r</w:t>
      </w:r>
      <w:r w:rsidR="009101D6" w:rsidRPr="00A01FA8">
        <w:t>eduction in the amount of time spent travelling to the site for officers</w:t>
      </w:r>
    </w:p>
    <w:p w14:paraId="3CD5F366" w14:textId="4CF83FA5" w:rsidR="009101D6" w:rsidRPr="00A01FA8" w:rsidRDefault="00474B46" w:rsidP="00D10599">
      <w:pPr>
        <w:pStyle w:val="ListBullet"/>
      </w:pPr>
      <w:r>
        <w:t>r</w:t>
      </w:r>
      <w:r w:rsidR="009101D6" w:rsidRPr="2060C837">
        <w:t>eduction in bookings and the associated workload for both an entity (goods preparation and presentation) and the department (attending to the goods).</w:t>
      </w:r>
    </w:p>
    <w:p w14:paraId="73C8B310" w14:textId="77777777" w:rsidR="00A40D7F" w:rsidRDefault="009101D6" w:rsidP="009101D6">
      <w:pPr>
        <w:spacing w:after="120"/>
        <w:rPr>
          <w:rFonts w:cstheme="minorHAnsi"/>
        </w:rPr>
      </w:pPr>
      <w:bookmarkStart w:id="47" w:name="_Scheduling"/>
      <w:bookmarkEnd w:id="47"/>
      <w:r w:rsidRPr="00A01FA8">
        <w:rPr>
          <w:rFonts w:cstheme="minorHAnsi"/>
        </w:rPr>
        <w:t>The establishment of recurring appointment must not unreasonably prevent other entities from being able to obtain an appointment for an inspection.</w:t>
      </w:r>
    </w:p>
    <w:p w14:paraId="2FF410B8" w14:textId="495F7E10" w:rsidR="00A40D7F" w:rsidRDefault="008B54CD" w:rsidP="009101D6">
      <w:pPr>
        <w:rPr>
          <w:rFonts w:cstheme="minorHAnsi"/>
        </w:rPr>
      </w:pPr>
      <w:r>
        <w:rPr>
          <w:rFonts w:cstheme="minorHAnsi"/>
        </w:rPr>
        <w:t>We will schedule r</w:t>
      </w:r>
      <w:r w:rsidR="009101D6" w:rsidRPr="00A01FA8">
        <w:rPr>
          <w:rFonts w:cstheme="minorHAnsi"/>
        </w:rPr>
        <w:t>ecurring appointments at a time within the department’s operating hours that does not prevent the department from being able to inspect goods in accordance with any prioritisation requirements.</w:t>
      </w:r>
    </w:p>
    <w:p w14:paraId="0D3428DA" w14:textId="10D3FF41" w:rsidR="009101D6" w:rsidRPr="00A01FA8" w:rsidRDefault="009101D6" w:rsidP="009B47B0">
      <w:pPr>
        <w:pStyle w:val="Heading3"/>
      </w:pPr>
      <w:bookmarkStart w:id="48" w:name="_Toc210296059"/>
      <w:bookmarkStart w:id="49" w:name="_Toc228528793"/>
      <w:r>
        <w:t xml:space="preserve">Approved </w:t>
      </w:r>
      <w:r w:rsidRPr="009B47B0">
        <w:t>recurring</w:t>
      </w:r>
      <w:r>
        <w:t xml:space="preserve"> appointment</w:t>
      </w:r>
      <w:bookmarkEnd w:id="48"/>
      <w:bookmarkEnd w:id="49"/>
    </w:p>
    <w:p w14:paraId="250FFCC7" w14:textId="1E30CC7B" w:rsidR="009101D6" w:rsidRPr="00A01FA8" w:rsidRDefault="008B54CD" w:rsidP="009101D6">
      <w:pPr>
        <w:rPr>
          <w:rFonts w:cstheme="minorHAnsi"/>
        </w:rPr>
      </w:pPr>
      <w:r>
        <w:rPr>
          <w:rFonts w:cstheme="minorHAnsi"/>
        </w:rPr>
        <w:t>The department’s recurring appointment team must approve recurring appointments</w:t>
      </w:r>
      <w:r w:rsidR="00BE4BFF">
        <w:rPr>
          <w:rFonts w:cstheme="minorHAnsi"/>
        </w:rPr>
        <w:t xml:space="preserve">. </w:t>
      </w:r>
      <w:r w:rsidR="009101D6">
        <w:rPr>
          <w:rFonts w:cstheme="minorHAnsi"/>
        </w:rPr>
        <w:t xml:space="preserve">The </w:t>
      </w:r>
      <w:r w:rsidR="009101D6" w:rsidRPr="00A01FA8">
        <w:rPr>
          <w:rFonts w:cstheme="minorHAnsi"/>
        </w:rPr>
        <w:t xml:space="preserve">approval must </w:t>
      </w:r>
      <w:r w:rsidR="009101D6">
        <w:rPr>
          <w:rFonts w:cstheme="minorHAnsi"/>
        </w:rPr>
        <w:t xml:space="preserve">be in writing and </w:t>
      </w:r>
      <w:r w:rsidR="009101D6" w:rsidRPr="00A01FA8">
        <w:rPr>
          <w:rFonts w:cstheme="minorHAnsi"/>
        </w:rPr>
        <w:t>include a covering statement indicating that the arrangement is voluntary and both the</w:t>
      </w:r>
      <w:r w:rsidR="00881291">
        <w:rPr>
          <w:rFonts w:cstheme="minorHAnsi"/>
        </w:rPr>
        <w:t xml:space="preserve"> </w:t>
      </w:r>
      <w:r w:rsidR="009101D6" w:rsidRPr="00A01FA8">
        <w:rPr>
          <w:rFonts w:cstheme="minorHAnsi"/>
        </w:rPr>
        <w:t xml:space="preserve">department </w:t>
      </w:r>
      <w:r w:rsidR="00181104" w:rsidRPr="00A01FA8">
        <w:rPr>
          <w:rFonts w:cstheme="minorHAnsi"/>
        </w:rPr>
        <w:t>and</w:t>
      </w:r>
      <w:r w:rsidR="009101D6" w:rsidRPr="00A01FA8">
        <w:rPr>
          <w:rFonts w:cstheme="minorHAnsi"/>
        </w:rPr>
        <w:t xml:space="preserve"> the entity may withdraw from the arrangement at any point. The approval must also include:</w:t>
      </w:r>
    </w:p>
    <w:p w14:paraId="71612001" w14:textId="77777777" w:rsidR="009101D6" w:rsidRPr="00D10599" w:rsidRDefault="009101D6" w:rsidP="00D10599">
      <w:pPr>
        <w:pStyle w:val="ListBullet"/>
      </w:pPr>
      <w:r w:rsidRPr="00D10599">
        <w:t>defined start and end date</w:t>
      </w:r>
    </w:p>
    <w:p w14:paraId="3615ABAB" w14:textId="77777777" w:rsidR="009101D6" w:rsidRPr="00D10599" w:rsidRDefault="009101D6" w:rsidP="00D10599">
      <w:pPr>
        <w:pStyle w:val="ListBullet"/>
      </w:pPr>
      <w:r w:rsidRPr="00D10599">
        <w:t>defined review date.</w:t>
      </w:r>
    </w:p>
    <w:p w14:paraId="06C81AE0" w14:textId="77777777" w:rsidR="00A40D7F" w:rsidRDefault="009101D6" w:rsidP="00D10599">
      <w:r>
        <w:t>The end date must be no more than 12-months from the start date.</w:t>
      </w:r>
    </w:p>
    <w:p w14:paraId="36F702F9" w14:textId="1121D84C" w:rsidR="009101D6" w:rsidRDefault="009101D6" w:rsidP="00D10599">
      <w:r>
        <w:t xml:space="preserve">An entity </w:t>
      </w:r>
      <w:r w:rsidR="00601CC5">
        <w:t>is responsible for</w:t>
      </w:r>
      <w:r>
        <w:t xml:space="preserve"> request</w:t>
      </w:r>
      <w:r w:rsidR="00601CC5">
        <w:t>ing</w:t>
      </w:r>
      <w:r>
        <w:t xml:space="preserve"> an extension of their arrangement at least 8</w:t>
      </w:r>
      <w:r w:rsidR="00BC3C43">
        <w:t> </w:t>
      </w:r>
      <w:r>
        <w:t>weeks before the defined end date within the agreement. If an entity does not request an extension of their agreement prior to the defined end date, the agreement will end as scheduled.</w:t>
      </w:r>
    </w:p>
    <w:p w14:paraId="3D39EBCA" w14:textId="77777777" w:rsidR="009101D6" w:rsidRPr="00A01FA8" w:rsidRDefault="009101D6" w:rsidP="009B47B0">
      <w:pPr>
        <w:pStyle w:val="Heading3"/>
      </w:pPr>
      <w:bookmarkStart w:id="50" w:name="_Toc210296060"/>
      <w:bookmarkStart w:id="51" w:name="_Toc228528794"/>
      <w:r w:rsidRPr="00A01FA8">
        <w:t>Declin</w:t>
      </w:r>
      <w:r>
        <w:t xml:space="preserve">ed </w:t>
      </w:r>
      <w:r w:rsidRPr="009B47B0">
        <w:t>recurring</w:t>
      </w:r>
      <w:r>
        <w:t xml:space="preserve"> appointment</w:t>
      </w:r>
      <w:bookmarkEnd w:id="50"/>
      <w:bookmarkEnd w:id="51"/>
    </w:p>
    <w:p w14:paraId="72177C59" w14:textId="5ECEF440" w:rsidR="009101D6" w:rsidRPr="00A01FA8" w:rsidRDefault="009101D6" w:rsidP="009101D6">
      <w:pPr>
        <w:contextualSpacing/>
        <w:rPr>
          <w:rFonts w:cstheme="minorHAnsi"/>
        </w:rPr>
      </w:pPr>
      <w:r w:rsidRPr="00A01FA8">
        <w:rPr>
          <w:rFonts w:cstheme="minorHAnsi"/>
        </w:rPr>
        <w:t xml:space="preserve">Where </w:t>
      </w:r>
      <w:r w:rsidR="00652D42">
        <w:rPr>
          <w:rFonts w:cstheme="minorHAnsi"/>
        </w:rPr>
        <w:t xml:space="preserve">we have declined </w:t>
      </w:r>
      <w:r w:rsidRPr="00A01FA8">
        <w:rPr>
          <w:rFonts w:cstheme="minorHAnsi"/>
        </w:rPr>
        <w:t>a request</w:t>
      </w:r>
      <w:r w:rsidR="00652D42">
        <w:rPr>
          <w:rFonts w:cstheme="minorHAnsi"/>
        </w:rPr>
        <w:t>,</w:t>
      </w:r>
      <w:r w:rsidRPr="00A01FA8">
        <w:rPr>
          <w:rFonts w:cstheme="minorHAnsi"/>
        </w:rPr>
        <w:t xml:space="preserve"> the entity </w:t>
      </w:r>
      <w:r w:rsidR="00652D42">
        <w:rPr>
          <w:rFonts w:cstheme="minorHAnsi"/>
        </w:rPr>
        <w:t>will</w:t>
      </w:r>
      <w:r w:rsidRPr="00A01FA8">
        <w:rPr>
          <w:rFonts w:cstheme="minorHAnsi"/>
        </w:rPr>
        <w:t xml:space="preserve"> </w:t>
      </w:r>
      <w:proofErr w:type="gramStart"/>
      <w:r w:rsidRPr="00A01FA8">
        <w:rPr>
          <w:rFonts w:cstheme="minorHAnsi"/>
        </w:rPr>
        <w:t>be notified</w:t>
      </w:r>
      <w:proofErr w:type="gramEnd"/>
      <w:r w:rsidRPr="00A01FA8">
        <w:rPr>
          <w:rFonts w:cstheme="minorHAnsi"/>
        </w:rPr>
        <w:t xml:space="preserve"> in writing. The notification must include:</w:t>
      </w:r>
    </w:p>
    <w:p w14:paraId="0A0A459E" w14:textId="644E6722" w:rsidR="009101D6" w:rsidRPr="00D10599" w:rsidRDefault="009101D6" w:rsidP="00D10599">
      <w:pPr>
        <w:pStyle w:val="ListBullet"/>
      </w:pPr>
      <w:r w:rsidRPr="00D10599">
        <w:t xml:space="preserve">the reason </w:t>
      </w:r>
      <w:r w:rsidR="00652D42">
        <w:t>we have declined the request</w:t>
      </w:r>
    </w:p>
    <w:p w14:paraId="471D6570" w14:textId="77777777" w:rsidR="009101D6" w:rsidRPr="00D10599" w:rsidRDefault="009101D6" w:rsidP="00D10599">
      <w:pPr>
        <w:pStyle w:val="ListBullet"/>
      </w:pPr>
      <w:r w:rsidRPr="00D10599">
        <w:t>the process to follow to have the decision reviewed.</w:t>
      </w:r>
    </w:p>
    <w:p w14:paraId="042969FE" w14:textId="0FD5CA01" w:rsidR="00A40D7F" w:rsidRDefault="009101D6" w:rsidP="00C42BA6">
      <w:pPr>
        <w:rPr>
          <w:rFonts w:cstheme="minorHAnsi"/>
        </w:rPr>
      </w:pPr>
      <w:r w:rsidRPr="00D10599">
        <w:t xml:space="preserve">Where </w:t>
      </w:r>
      <w:r w:rsidR="00652D42">
        <w:t xml:space="preserve">we have declined </w:t>
      </w:r>
      <w:r w:rsidRPr="00D10599">
        <w:t xml:space="preserve">a request due to unavailability of departmental resources, </w:t>
      </w:r>
      <w:r w:rsidR="00F53C29">
        <w:t>we</w:t>
      </w:r>
      <w:r w:rsidRPr="00D10599">
        <w:t xml:space="preserve"> will proactively undertake a review of the application every 4 months for a period up to 12 months from the date of the assessment to determine if an arrangement can </w:t>
      </w:r>
      <w:proofErr w:type="gramStart"/>
      <w:r w:rsidRPr="00D10599">
        <w:t>be established</w:t>
      </w:r>
      <w:proofErr w:type="gramEnd"/>
      <w:r w:rsidRPr="00A01FA8">
        <w:rPr>
          <w:rFonts w:cstheme="minorHAnsi"/>
        </w:rPr>
        <w:t>.</w:t>
      </w:r>
    </w:p>
    <w:p w14:paraId="3D7CABE6" w14:textId="23E786C1" w:rsidR="009101D6" w:rsidRPr="00A01FA8" w:rsidRDefault="009101D6" w:rsidP="009B47B0">
      <w:pPr>
        <w:pStyle w:val="Heading3"/>
      </w:pPr>
      <w:bookmarkStart w:id="52" w:name="_Toc210296061"/>
      <w:bookmarkStart w:id="53" w:name="_Toc228528795"/>
      <w:r w:rsidRPr="00A01FA8">
        <w:t xml:space="preserve">Reviewing a </w:t>
      </w:r>
      <w:r w:rsidRPr="009B47B0">
        <w:t>decision</w:t>
      </w:r>
      <w:bookmarkEnd w:id="52"/>
      <w:bookmarkEnd w:id="53"/>
    </w:p>
    <w:p w14:paraId="1AC340D4" w14:textId="6AFFCAD5" w:rsidR="00A40D7F" w:rsidRDefault="009101D6" w:rsidP="009101D6">
      <w:pPr>
        <w:spacing w:after="120"/>
        <w:rPr>
          <w:rFonts w:cstheme="minorHAnsi"/>
        </w:rPr>
      </w:pPr>
      <w:r w:rsidRPr="00A01FA8">
        <w:rPr>
          <w:rFonts w:cstheme="minorHAnsi"/>
        </w:rPr>
        <w:t>An entity can apply for a</w:t>
      </w:r>
      <w:r>
        <w:rPr>
          <w:rFonts w:cstheme="minorHAnsi"/>
        </w:rPr>
        <w:t>n independent</w:t>
      </w:r>
      <w:r w:rsidRPr="00A01FA8">
        <w:rPr>
          <w:rFonts w:cstheme="minorHAnsi"/>
        </w:rPr>
        <w:t xml:space="preserve"> review of a decision where the decision includes a decline of a new request, a cancellation, or modification of an existing arrangement within 20 business days of </w:t>
      </w:r>
      <w:r w:rsidR="00D133B3">
        <w:rPr>
          <w:rFonts w:cstheme="minorHAnsi"/>
        </w:rPr>
        <w:t>receiving an outcome.</w:t>
      </w:r>
    </w:p>
    <w:p w14:paraId="39832DD8" w14:textId="6D7C1AD4" w:rsidR="00A40D7F" w:rsidRDefault="009101D6" w:rsidP="009101D6">
      <w:pPr>
        <w:contextualSpacing/>
        <w:rPr>
          <w:rFonts w:cstheme="minorHAnsi"/>
        </w:rPr>
      </w:pPr>
      <w:r w:rsidRPr="00A01FA8">
        <w:rPr>
          <w:rFonts w:cstheme="minorHAnsi"/>
        </w:rPr>
        <w:lastRenderedPageBreak/>
        <w:t xml:space="preserve">Entities may submit a request for review to the </w:t>
      </w:r>
      <w:r w:rsidR="00BC3C43">
        <w:rPr>
          <w:rFonts w:cstheme="minorHAnsi"/>
        </w:rPr>
        <w:t>d</w:t>
      </w:r>
      <w:r w:rsidRPr="00A01FA8">
        <w:rPr>
          <w:rFonts w:cstheme="minorHAnsi"/>
        </w:rPr>
        <w:t>irector designated as being responsible for recurring appointment application outcomes. The request made by the entity should outline:</w:t>
      </w:r>
    </w:p>
    <w:p w14:paraId="272F7EFD" w14:textId="0AFA25A7" w:rsidR="009101D6" w:rsidRPr="00D10599" w:rsidRDefault="00AB3742" w:rsidP="00D10599">
      <w:pPr>
        <w:pStyle w:val="ListBullet"/>
      </w:pPr>
      <w:r>
        <w:t>r</w:t>
      </w:r>
      <w:r w:rsidR="009101D6" w:rsidRPr="00D10599">
        <w:t>eason for seeking the reassessment</w:t>
      </w:r>
    </w:p>
    <w:p w14:paraId="64276D59" w14:textId="12858F3E" w:rsidR="009101D6" w:rsidRPr="00D10599" w:rsidRDefault="00AB3742" w:rsidP="00D10599">
      <w:pPr>
        <w:pStyle w:val="ListBullet"/>
      </w:pPr>
      <w:r>
        <w:t>d</w:t>
      </w:r>
      <w:r w:rsidR="009101D6" w:rsidRPr="00D10599">
        <w:t>ata that supports the reasoning (may include volume of goods handled for an extended period)</w:t>
      </w:r>
    </w:p>
    <w:p w14:paraId="579AED6F" w14:textId="2CC896D5" w:rsidR="009101D6" w:rsidRPr="00D10599" w:rsidRDefault="00AB3742" w:rsidP="00D10599">
      <w:pPr>
        <w:pStyle w:val="ListBullet"/>
      </w:pPr>
      <w:r>
        <w:t>a</w:t>
      </w:r>
      <w:r w:rsidR="009101D6" w:rsidRPr="00D10599">
        <w:t>ny other information that supports the request for review.</w:t>
      </w:r>
    </w:p>
    <w:p w14:paraId="3887940F" w14:textId="70DECDC2" w:rsidR="00A40D7F" w:rsidRDefault="009101D6" w:rsidP="009101D6">
      <w:pPr>
        <w:spacing w:after="120"/>
        <w:rPr>
          <w:rFonts w:cstheme="minorHAnsi"/>
        </w:rPr>
      </w:pPr>
      <w:r w:rsidRPr="00A01FA8">
        <w:rPr>
          <w:rFonts w:cstheme="minorHAnsi"/>
        </w:rPr>
        <w:t xml:space="preserve">Upon receiving a request from the entity, the </w:t>
      </w:r>
      <w:r w:rsidR="002D482F">
        <w:rPr>
          <w:rFonts w:cstheme="minorHAnsi"/>
        </w:rPr>
        <w:t>d</w:t>
      </w:r>
      <w:r w:rsidRPr="00A01FA8">
        <w:rPr>
          <w:rFonts w:cstheme="minorHAnsi"/>
        </w:rPr>
        <w:t>irector responsible for recurring appointments will review</w:t>
      </w:r>
      <w:r w:rsidRPr="00A01FA8" w:rsidDel="00A07042">
        <w:rPr>
          <w:rFonts w:cstheme="minorHAnsi"/>
        </w:rPr>
        <w:t xml:space="preserve"> </w:t>
      </w:r>
      <w:r w:rsidRPr="00A01FA8">
        <w:rPr>
          <w:rFonts w:cstheme="minorHAnsi"/>
        </w:rPr>
        <w:t xml:space="preserve">the decision. </w:t>
      </w:r>
      <w:r w:rsidR="004C7FC3">
        <w:rPr>
          <w:rFonts w:cstheme="minorHAnsi"/>
        </w:rPr>
        <w:t>The applicant or holder of the appointment must request the review.</w:t>
      </w:r>
    </w:p>
    <w:p w14:paraId="7643B252" w14:textId="7D94F64D" w:rsidR="00A40D7F" w:rsidRDefault="00BC3C43" w:rsidP="009101D6">
      <w:pPr>
        <w:spacing w:after="120"/>
      </w:pPr>
      <w:r>
        <w:t>We</w:t>
      </w:r>
      <w:r w:rsidR="009101D6">
        <w:t xml:space="preserve"> will endeavour to notify the entity of the outcome of the review within 20 business days of the review request</w:t>
      </w:r>
      <w:r w:rsidR="00F82A98">
        <w:t xml:space="preserve"> or</w:t>
      </w:r>
      <w:r w:rsidR="00296765">
        <w:t xml:space="preserve"> when </w:t>
      </w:r>
      <w:r w:rsidR="00901862">
        <w:t xml:space="preserve">we receive </w:t>
      </w:r>
      <w:r w:rsidR="00296765">
        <w:t xml:space="preserve">additional information </w:t>
      </w:r>
      <w:r w:rsidR="00901862">
        <w:t>from the entity</w:t>
      </w:r>
      <w:r w:rsidR="00296765">
        <w:t>; whichever is the latter.</w:t>
      </w:r>
    </w:p>
    <w:p w14:paraId="608520AD" w14:textId="77777777" w:rsidR="00A40D7F" w:rsidRDefault="009101D6" w:rsidP="009B47B0">
      <w:pPr>
        <w:pStyle w:val="Heading3"/>
      </w:pPr>
      <w:bookmarkStart w:id="54" w:name="_Toc210296062"/>
      <w:bookmarkStart w:id="55" w:name="_Toc228528796"/>
      <w:r>
        <w:t>R</w:t>
      </w:r>
      <w:r w:rsidRPr="00A01FA8">
        <w:t xml:space="preserve">eview of </w:t>
      </w:r>
      <w:r w:rsidRPr="009B47B0">
        <w:t>existing</w:t>
      </w:r>
      <w:r w:rsidRPr="00A01FA8">
        <w:t xml:space="preserve"> recurring appointments</w:t>
      </w:r>
      <w:bookmarkEnd w:id="54"/>
      <w:bookmarkEnd w:id="55"/>
    </w:p>
    <w:p w14:paraId="508E10CC" w14:textId="2B89D116" w:rsidR="00A40D7F" w:rsidRDefault="00BC3C43" w:rsidP="00D10599">
      <w:pPr>
        <w:rPr>
          <w:lang w:eastAsia="ja-JP"/>
        </w:rPr>
      </w:pPr>
      <w:r>
        <w:rPr>
          <w:lang w:eastAsia="ja-JP"/>
        </w:rPr>
        <w:t>We will review a</w:t>
      </w:r>
      <w:r w:rsidR="009101D6" w:rsidRPr="00A01FA8">
        <w:rPr>
          <w:lang w:eastAsia="ja-JP"/>
        </w:rPr>
        <w:t>ll recurring appointments (including department</w:t>
      </w:r>
      <w:r w:rsidR="009101D6">
        <w:rPr>
          <w:lang w:eastAsia="ja-JP"/>
        </w:rPr>
        <w:t xml:space="preserve"> coordinated</w:t>
      </w:r>
      <w:r w:rsidR="009101D6" w:rsidRPr="00A01FA8">
        <w:rPr>
          <w:lang w:eastAsia="ja-JP"/>
        </w:rPr>
        <w:t xml:space="preserve"> </w:t>
      </w:r>
      <w:r w:rsidR="009101D6">
        <w:rPr>
          <w:lang w:eastAsia="ja-JP"/>
        </w:rPr>
        <w:t>attendance</w:t>
      </w:r>
      <w:r w:rsidR="009101D6" w:rsidRPr="00A01FA8">
        <w:rPr>
          <w:lang w:eastAsia="ja-JP"/>
        </w:rPr>
        <w:t xml:space="preserve">) </w:t>
      </w:r>
      <w:r w:rsidR="009101D6">
        <w:rPr>
          <w:lang w:eastAsia="ja-JP"/>
        </w:rPr>
        <w:t>at least 6</w:t>
      </w:r>
      <w:r w:rsidR="00A40D7F">
        <w:rPr>
          <w:lang w:eastAsia="ja-JP"/>
        </w:rPr>
        <w:t xml:space="preserve"> </w:t>
      </w:r>
      <w:r w:rsidR="009101D6">
        <w:rPr>
          <w:lang w:eastAsia="ja-JP"/>
        </w:rPr>
        <w:t xml:space="preserve">months </w:t>
      </w:r>
      <w:r>
        <w:rPr>
          <w:lang w:eastAsia="ja-JP"/>
        </w:rPr>
        <w:t xml:space="preserve">– and no </w:t>
      </w:r>
      <w:r w:rsidR="00041340">
        <w:rPr>
          <w:lang w:eastAsia="ja-JP"/>
        </w:rPr>
        <w:t>more</w:t>
      </w:r>
      <w:r>
        <w:rPr>
          <w:lang w:eastAsia="ja-JP"/>
        </w:rPr>
        <w:t xml:space="preserve"> than 8 months – </w:t>
      </w:r>
      <w:r w:rsidR="009101D6">
        <w:rPr>
          <w:lang w:eastAsia="ja-JP"/>
        </w:rPr>
        <w:t>after implementation</w:t>
      </w:r>
      <w:r w:rsidR="00A91A88">
        <w:rPr>
          <w:lang w:eastAsia="ja-JP"/>
        </w:rPr>
        <w:t xml:space="preserve">. A review may also </w:t>
      </w:r>
      <w:proofErr w:type="gramStart"/>
      <w:r w:rsidR="00A91A88">
        <w:rPr>
          <w:lang w:eastAsia="ja-JP"/>
        </w:rPr>
        <w:t>be</w:t>
      </w:r>
      <w:r w:rsidR="009101D6" w:rsidRPr="00A01FA8">
        <w:rPr>
          <w:lang w:eastAsia="ja-JP"/>
        </w:rPr>
        <w:t xml:space="preserve"> triggered</w:t>
      </w:r>
      <w:proofErr w:type="gramEnd"/>
      <w:r w:rsidR="009101D6" w:rsidRPr="00A01FA8">
        <w:rPr>
          <w:lang w:eastAsia="ja-JP"/>
        </w:rPr>
        <w:t xml:space="preserve"> </w:t>
      </w:r>
      <w:r w:rsidR="00A91A88">
        <w:rPr>
          <w:lang w:eastAsia="ja-JP"/>
        </w:rPr>
        <w:t>when</w:t>
      </w:r>
      <w:r w:rsidR="009101D6" w:rsidRPr="00A01FA8">
        <w:rPr>
          <w:lang w:eastAsia="ja-JP"/>
        </w:rPr>
        <w:t xml:space="preserve"> the number of entities seeking a recurring appointment for an inspection type exceed</w:t>
      </w:r>
      <w:r w:rsidR="00A91A88">
        <w:rPr>
          <w:lang w:eastAsia="ja-JP"/>
        </w:rPr>
        <w:t>s</w:t>
      </w:r>
      <w:r w:rsidR="009101D6" w:rsidRPr="00A01FA8">
        <w:rPr>
          <w:lang w:eastAsia="ja-JP"/>
        </w:rPr>
        <w:t xml:space="preserve"> </w:t>
      </w:r>
      <w:r w:rsidR="00BE4CC3">
        <w:rPr>
          <w:lang w:eastAsia="ja-JP"/>
        </w:rPr>
        <w:t>our</w:t>
      </w:r>
      <w:r w:rsidR="009101D6" w:rsidRPr="00A01FA8">
        <w:rPr>
          <w:lang w:eastAsia="ja-JP"/>
        </w:rPr>
        <w:t xml:space="preserve"> resources. When this occurs, </w:t>
      </w:r>
      <w:r w:rsidR="00BE4CC3">
        <w:rPr>
          <w:lang w:eastAsia="ja-JP"/>
        </w:rPr>
        <w:t xml:space="preserve">we will reassess </w:t>
      </w:r>
      <w:r w:rsidR="009101D6" w:rsidRPr="00A01FA8">
        <w:rPr>
          <w:lang w:eastAsia="ja-JP"/>
        </w:rPr>
        <w:t xml:space="preserve">all recurring appointments covering that inspection type within the </w:t>
      </w:r>
      <w:r w:rsidR="009101D6">
        <w:rPr>
          <w:lang w:eastAsia="ja-JP"/>
        </w:rPr>
        <w:t>region</w:t>
      </w:r>
      <w:r w:rsidR="009101D6" w:rsidRPr="00A01FA8">
        <w:rPr>
          <w:lang w:eastAsia="ja-JP"/>
        </w:rPr>
        <w:t xml:space="preserve"> and </w:t>
      </w:r>
      <w:r w:rsidR="00BE4CC3">
        <w:rPr>
          <w:lang w:eastAsia="ja-JP"/>
        </w:rPr>
        <w:t xml:space="preserve">notify </w:t>
      </w:r>
      <w:r w:rsidR="009101D6" w:rsidRPr="00A01FA8">
        <w:rPr>
          <w:lang w:eastAsia="ja-JP"/>
        </w:rPr>
        <w:t>recurring appointment holders of the outcome.</w:t>
      </w:r>
    </w:p>
    <w:p w14:paraId="5AE96B58" w14:textId="2122F069" w:rsidR="009101D6" w:rsidRPr="00A01FA8" w:rsidRDefault="009101D6" w:rsidP="00D10599">
      <w:pPr>
        <w:rPr>
          <w:lang w:eastAsia="ja-JP"/>
        </w:rPr>
      </w:pPr>
      <w:r w:rsidRPr="00A01FA8">
        <w:rPr>
          <w:lang w:eastAsia="ja-JP"/>
        </w:rPr>
        <w:t xml:space="preserve">Where it is determined that officers are not being effectively utilised for the entire duration of the allotted time, </w:t>
      </w:r>
      <w:r w:rsidR="00BE4CC3">
        <w:rPr>
          <w:lang w:eastAsia="ja-JP"/>
        </w:rPr>
        <w:t xml:space="preserve">we may modify or cancel </w:t>
      </w:r>
      <w:r w:rsidRPr="00A01FA8">
        <w:rPr>
          <w:lang w:eastAsia="ja-JP"/>
        </w:rPr>
        <w:t>the appointment.</w:t>
      </w:r>
    </w:p>
    <w:p w14:paraId="6F031C5C" w14:textId="5491BBC7" w:rsidR="00A40D7F" w:rsidRDefault="00BE4CC3" w:rsidP="00D10599">
      <w:pPr>
        <w:rPr>
          <w:lang w:eastAsia="ja-JP"/>
        </w:rPr>
      </w:pPr>
      <w:r>
        <w:rPr>
          <w:lang w:eastAsia="ja-JP"/>
        </w:rPr>
        <w:t>We will notify e</w:t>
      </w:r>
      <w:r w:rsidR="009101D6" w:rsidRPr="00A01FA8">
        <w:rPr>
          <w:lang w:eastAsia="ja-JP"/>
        </w:rPr>
        <w:t xml:space="preserve">ntities with an active </w:t>
      </w:r>
      <w:r w:rsidR="009101D6" w:rsidRPr="00A01FA8" w:rsidDel="002C7550">
        <w:rPr>
          <w:lang w:eastAsia="ja-JP"/>
        </w:rPr>
        <w:t xml:space="preserve">appointment </w:t>
      </w:r>
      <w:r w:rsidR="009101D6" w:rsidRPr="00A01FA8">
        <w:rPr>
          <w:lang w:eastAsia="ja-JP"/>
        </w:rPr>
        <w:t xml:space="preserve">of their biannual review date at the time </w:t>
      </w:r>
      <w:r>
        <w:rPr>
          <w:lang w:eastAsia="ja-JP"/>
        </w:rPr>
        <w:t xml:space="preserve">we approve </w:t>
      </w:r>
      <w:r w:rsidR="009101D6" w:rsidRPr="00A01FA8">
        <w:rPr>
          <w:lang w:eastAsia="ja-JP"/>
        </w:rPr>
        <w:t xml:space="preserve">their arrangement. Entities will be able to notify </w:t>
      </w:r>
      <w:r>
        <w:rPr>
          <w:lang w:eastAsia="ja-JP"/>
        </w:rPr>
        <w:t>us</w:t>
      </w:r>
      <w:r w:rsidR="009101D6" w:rsidRPr="00A01FA8">
        <w:rPr>
          <w:lang w:eastAsia="ja-JP"/>
        </w:rPr>
        <w:t xml:space="preserve"> of any change in circumstance</w:t>
      </w:r>
      <w:r w:rsidR="00A91A88">
        <w:rPr>
          <w:lang w:eastAsia="ja-JP"/>
        </w:rPr>
        <w:t>,</w:t>
      </w:r>
      <w:r w:rsidR="009101D6" w:rsidRPr="00A01FA8">
        <w:rPr>
          <w:lang w:eastAsia="ja-JP"/>
        </w:rPr>
        <w:t xml:space="preserve"> </w:t>
      </w:r>
      <w:r>
        <w:rPr>
          <w:lang w:eastAsia="ja-JP"/>
        </w:rPr>
        <w:t xml:space="preserve">or </w:t>
      </w:r>
      <w:r w:rsidR="009101D6" w:rsidRPr="00A01FA8">
        <w:rPr>
          <w:lang w:eastAsia="ja-JP"/>
        </w:rPr>
        <w:t>additional information or data for consideration.</w:t>
      </w:r>
    </w:p>
    <w:p w14:paraId="5FFB082A" w14:textId="76DBBF73" w:rsidR="009101D6" w:rsidRPr="00A01FA8" w:rsidRDefault="00BE4CC3" w:rsidP="00D10599">
      <w:pPr>
        <w:rPr>
          <w:lang w:eastAsia="ja-JP"/>
        </w:rPr>
      </w:pPr>
      <w:r>
        <w:rPr>
          <w:lang w:eastAsia="ja-JP"/>
        </w:rPr>
        <w:t>We</w:t>
      </w:r>
      <w:r w:rsidR="009101D6">
        <w:rPr>
          <w:lang w:eastAsia="ja-JP"/>
        </w:rPr>
        <w:t xml:space="preserve"> will endeavour to notify arrangement holders of the outcome within 20 business days of </w:t>
      </w:r>
      <w:r>
        <w:rPr>
          <w:lang w:eastAsia="ja-JP"/>
        </w:rPr>
        <w:t xml:space="preserve">commencing </w:t>
      </w:r>
      <w:r w:rsidR="009101D6">
        <w:rPr>
          <w:lang w:eastAsia="ja-JP"/>
        </w:rPr>
        <w:t>the review.</w:t>
      </w:r>
    </w:p>
    <w:p w14:paraId="3C752227" w14:textId="77777777" w:rsidR="009101D6" w:rsidRPr="00A01FA8" w:rsidRDefault="009101D6" w:rsidP="009B47B0">
      <w:pPr>
        <w:pStyle w:val="Heading3"/>
      </w:pPr>
      <w:bookmarkStart w:id="56" w:name="_Toc210296063"/>
      <w:bookmarkStart w:id="57" w:name="_Toc228528797"/>
      <w:r w:rsidRPr="00A01FA8">
        <w:t xml:space="preserve">Amendments </w:t>
      </w:r>
      <w:r w:rsidRPr="009B47B0">
        <w:t>or</w:t>
      </w:r>
      <w:r w:rsidRPr="00A01FA8">
        <w:t xml:space="preserve"> cancellations of arrangements</w:t>
      </w:r>
      <w:bookmarkEnd w:id="56"/>
      <w:bookmarkEnd w:id="57"/>
    </w:p>
    <w:p w14:paraId="74AC0569" w14:textId="2C572D49" w:rsidR="009101D6" w:rsidRPr="00A01FA8" w:rsidRDefault="009101D6" w:rsidP="00D10599">
      <w:pPr>
        <w:rPr>
          <w:lang w:eastAsia="ja-JP"/>
        </w:rPr>
      </w:pPr>
      <w:r w:rsidRPr="00A01FA8">
        <w:rPr>
          <w:lang w:eastAsia="ja-JP"/>
        </w:rPr>
        <w:t xml:space="preserve">The department or the entity requesting the appointment may cancel or amend the arrangement at any time </w:t>
      </w:r>
      <w:r w:rsidR="00BE4CC3">
        <w:rPr>
          <w:lang w:eastAsia="ja-JP"/>
        </w:rPr>
        <w:t>if</w:t>
      </w:r>
      <w:r w:rsidRPr="00A01FA8">
        <w:rPr>
          <w:lang w:eastAsia="ja-JP"/>
        </w:rPr>
        <w:t>:</w:t>
      </w:r>
    </w:p>
    <w:p w14:paraId="065885C8" w14:textId="3A022C3D" w:rsidR="009101D6" w:rsidRPr="00D10599" w:rsidRDefault="00BE4CC3" w:rsidP="00D10599">
      <w:pPr>
        <w:pStyle w:val="ListBullet"/>
      </w:pPr>
      <w:r>
        <w:t>t</w:t>
      </w:r>
      <w:r w:rsidR="009101D6" w:rsidRPr="00D10599">
        <w:t>he entity no longer wants the arrangement</w:t>
      </w:r>
    </w:p>
    <w:p w14:paraId="0D110E38" w14:textId="23013260" w:rsidR="009101D6" w:rsidRPr="00D10599" w:rsidRDefault="00BE4CC3" w:rsidP="00D10599">
      <w:pPr>
        <w:pStyle w:val="ListBullet"/>
      </w:pPr>
      <w:r>
        <w:t>t</w:t>
      </w:r>
      <w:r w:rsidR="009101D6" w:rsidRPr="00D10599">
        <w:t xml:space="preserve">he </w:t>
      </w:r>
      <w:r w:rsidR="0026330E">
        <w:t>entity doesn’t require the arrangement as</w:t>
      </w:r>
      <w:r w:rsidR="009101D6" w:rsidRPr="00D10599">
        <w:t xml:space="preserve"> the volume of goods handled by the entity has reduced</w:t>
      </w:r>
    </w:p>
    <w:p w14:paraId="625B3589" w14:textId="45D517F3" w:rsidR="009101D6" w:rsidRPr="00D10599" w:rsidRDefault="00BE4CC3" w:rsidP="00D10599">
      <w:pPr>
        <w:pStyle w:val="ListBullet"/>
      </w:pPr>
      <w:r>
        <w:t>o</w:t>
      </w:r>
      <w:r w:rsidR="009101D6" w:rsidRPr="00D10599">
        <w:t>fficers are not being utilised for the full length of the appointment</w:t>
      </w:r>
    </w:p>
    <w:p w14:paraId="6021B5A4" w14:textId="233E0308" w:rsidR="009101D6" w:rsidRPr="00D10599" w:rsidRDefault="00BE4CC3" w:rsidP="00D10599">
      <w:pPr>
        <w:pStyle w:val="ListBullet"/>
      </w:pPr>
      <w:r>
        <w:t>t</w:t>
      </w:r>
      <w:r w:rsidR="009101D6" w:rsidRPr="00D10599">
        <w:t>he working conditions at the site are unsafe and any attempt</w:t>
      </w:r>
      <w:r>
        <w:t xml:space="preserve"> by the operator</w:t>
      </w:r>
      <w:r w:rsidR="009101D6" w:rsidRPr="00D10599">
        <w:t xml:space="preserve"> to remedy the conditions were unsatisfactory</w:t>
      </w:r>
    </w:p>
    <w:p w14:paraId="08422B80" w14:textId="1344001D" w:rsidR="009101D6" w:rsidRPr="00D10599" w:rsidRDefault="00BE4CC3" w:rsidP="00D10599">
      <w:pPr>
        <w:pStyle w:val="ListBullet"/>
      </w:pPr>
      <w:r>
        <w:t>o</w:t>
      </w:r>
      <w:r w:rsidR="009101D6" w:rsidRPr="00D10599">
        <w:t xml:space="preserve">ther entities </w:t>
      </w:r>
      <w:proofErr w:type="gramStart"/>
      <w:r w:rsidR="009101D6" w:rsidRPr="00D10599">
        <w:t>are impacted</w:t>
      </w:r>
      <w:proofErr w:type="gramEnd"/>
      <w:r w:rsidR="009101D6" w:rsidRPr="00D10599">
        <w:t xml:space="preserve"> due to the unavailability of officers.</w:t>
      </w:r>
    </w:p>
    <w:p w14:paraId="6D8B7596" w14:textId="129FC57D" w:rsidR="009101D6" w:rsidRPr="00A01FA8" w:rsidRDefault="009101D6" w:rsidP="00D10599">
      <w:r w:rsidRPr="00A01FA8">
        <w:t>The department or the entity responsible for amending or cancelling the arrangement must notify the relevant party 5 business days prior to the change, or within 24</w:t>
      </w:r>
      <w:r>
        <w:t xml:space="preserve"> </w:t>
      </w:r>
      <w:r w:rsidRPr="00A01FA8">
        <w:t>h</w:t>
      </w:r>
      <w:r>
        <w:t>our</w:t>
      </w:r>
      <w:r w:rsidRPr="00A01FA8">
        <w:t xml:space="preserve">s of a cancellation based on unsafe working conditions. </w:t>
      </w:r>
      <w:r w:rsidR="007376FD">
        <w:t>Notifications</w:t>
      </w:r>
      <w:r w:rsidRPr="00A01FA8">
        <w:t xml:space="preserve"> must </w:t>
      </w:r>
      <w:proofErr w:type="gramStart"/>
      <w:r w:rsidRPr="00A01FA8">
        <w:t>be made</w:t>
      </w:r>
      <w:proofErr w:type="gramEnd"/>
      <w:r w:rsidRPr="00A01FA8">
        <w:t xml:space="preserve"> in writing.</w:t>
      </w:r>
    </w:p>
    <w:p w14:paraId="1A2ADC27" w14:textId="77777777" w:rsidR="009101D6" w:rsidRPr="00A01FA8" w:rsidRDefault="009101D6" w:rsidP="009B47B0">
      <w:pPr>
        <w:pStyle w:val="Heading2"/>
      </w:pPr>
      <w:bookmarkStart w:id="58" w:name="_Toc210296064"/>
      <w:bookmarkStart w:id="59" w:name="_Toc228528798"/>
      <w:r w:rsidRPr="009B47B0">
        <w:lastRenderedPageBreak/>
        <w:t>Working</w:t>
      </w:r>
      <w:r w:rsidRPr="00A01FA8">
        <w:t xml:space="preserve"> conditions</w:t>
      </w:r>
      <w:bookmarkEnd w:id="58"/>
      <w:bookmarkEnd w:id="59"/>
    </w:p>
    <w:p w14:paraId="794C83EE" w14:textId="29631E48" w:rsidR="009101D6" w:rsidRPr="00A01FA8" w:rsidRDefault="009101D6" w:rsidP="009101D6">
      <w:pPr>
        <w:rPr>
          <w:rFonts w:cstheme="minorHAnsi"/>
        </w:rPr>
      </w:pPr>
      <w:r w:rsidRPr="00A01FA8">
        <w:rPr>
          <w:rFonts w:cstheme="minorHAnsi"/>
        </w:rPr>
        <w:t xml:space="preserve">Where the working conditions at a site have </w:t>
      </w:r>
      <w:proofErr w:type="gramStart"/>
      <w:r w:rsidRPr="00A01FA8">
        <w:rPr>
          <w:rFonts w:cstheme="minorHAnsi"/>
        </w:rPr>
        <w:t>been deemed</w:t>
      </w:r>
      <w:proofErr w:type="gramEnd"/>
      <w:r w:rsidRPr="00A01FA8">
        <w:rPr>
          <w:rFonts w:cstheme="minorHAnsi"/>
        </w:rPr>
        <w:t xml:space="preserve"> unsafe, </w:t>
      </w:r>
      <w:r w:rsidR="00BE4CC3">
        <w:rPr>
          <w:rFonts w:cstheme="minorHAnsi"/>
        </w:rPr>
        <w:t>we</w:t>
      </w:r>
      <w:r w:rsidRPr="00A01FA8">
        <w:rPr>
          <w:rFonts w:cstheme="minorHAnsi"/>
        </w:rPr>
        <w:t xml:space="preserve"> may</w:t>
      </w:r>
      <w:r w:rsidR="00041687" w:rsidRPr="00041687">
        <w:rPr>
          <w:rFonts w:cstheme="minorHAnsi"/>
        </w:rPr>
        <w:t xml:space="preserve"> </w:t>
      </w:r>
      <w:r w:rsidRPr="00A01FA8">
        <w:rPr>
          <w:rFonts w:cstheme="minorHAnsi"/>
        </w:rPr>
        <w:t xml:space="preserve">cease </w:t>
      </w:r>
      <w:r>
        <w:rPr>
          <w:rFonts w:cstheme="minorHAnsi"/>
        </w:rPr>
        <w:t xml:space="preserve">all </w:t>
      </w:r>
      <w:r w:rsidRPr="00A01FA8">
        <w:rPr>
          <w:rFonts w:cstheme="minorHAnsi"/>
        </w:rPr>
        <w:t xml:space="preserve">inspections at that site until the safety issues have </w:t>
      </w:r>
      <w:proofErr w:type="gramStart"/>
      <w:r w:rsidRPr="00A01FA8">
        <w:rPr>
          <w:rFonts w:cstheme="minorHAnsi"/>
        </w:rPr>
        <w:t>been addressed</w:t>
      </w:r>
      <w:proofErr w:type="gramEnd"/>
      <w:r w:rsidR="006B7461">
        <w:rPr>
          <w:rFonts w:cstheme="minorHAnsi"/>
        </w:rPr>
        <w:t xml:space="preserve"> by the site operator</w:t>
      </w:r>
      <w:r w:rsidRPr="00A01FA8">
        <w:rPr>
          <w:rFonts w:cstheme="minorHAnsi"/>
        </w:rPr>
        <w:t>. The appropriate authority to cease inspections at a site are as follows:</w:t>
      </w:r>
    </w:p>
    <w:p w14:paraId="076E3168" w14:textId="77777777" w:rsidR="009101D6" w:rsidRPr="005E31D5" w:rsidRDefault="009101D6" w:rsidP="005E31D5">
      <w:pPr>
        <w:pStyle w:val="ListBullet"/>
      </w:pPr>
      <w:r w:rsidRPr="005E31D5">
        <w:t>Officers attending a site may refuse to conduct an inspection upon identifying unsafe conditions.</w:t>
      </w:r>
    </w:p>
    <w:p w14:paraId="296A24A5" w14:textId="34131EB3" w:rsidR="009101D6" w:rsidRPr="005E31D5" w:rsidRDefault="009101D6" w:rsidP="005E31D5">
      <w:pPr>
        <w:pStyle w:val="ListBullet"/>
      </w:pPr>
      <w:r w:rsidRPr="005E31D5">
        <w:t>All leadership positions within the department (APS</w:t>
      </w:r>
      <w:r w:rsidR="00BE4CC3">
        <w:t> </w:t>
      </w:r>
      <w:r w:rsidRPr="005E31D5">
        <w:t xml:space="preserve">5 </w:t>
      </w:r>
      <w:r w:rsidR="00BE4CC3">
        <w:t>to</w:t>
      </w:r>
      <w:r w:rsidRPr="005E31D5">
        <w:t xml:space="preserve"> SES) may temporarily suspend inspection activities at a site pending rectification of the unsafe conditions.</w:t>
      </w:r>
    </w:p>
    <w:p w14:paraId="680C9AD1" w14:textId="58889ACB" w:rsidR="009101D6" w:rsidRPr="005E31D5" w:rsidRDefault="009101D6" w:rsidP="005E31D5">
      <w:pPr>
        <w:pStyle w:val="ListBullet"/>
      </w:pPr>
      <w:r w:rsidRPr="005E31D5">
        <w:t xml:space="preserve">Workplace </w:t>
      </w:r>
      <w:r w:rsidR="00BE4CC3">
        <w:t>h</w:t>
      </w:r>
      <w:r w:rsidRPr="005E31D5">
        <w:t xml:space="preserve">ealth and </w:t>
      </w:r>
      <w:r w:rsidR="00BE4CC3">
        <w:t>s</w:t>
      </w:r>
      <w:r w:rsidRPr="005E31D5">
        <w:t xml:space="preserve">afety </w:t>
      </w:r>
      <w:r w:rsidR="00BE4CC3">
        <w:t>r</w:t>
      </w:r>
      <w:r w:rsidRPr="005E31D5">
        <w:t xml:space="preserve">epresentatives may issue a direction to cease unsafe work to the cargo inspectorate in accordance with the </w:t>
      </w:r>
      <w:r w:rsidRPr="005E31D5">
        <w:rPr>
          <w:i/>
          <w:iCs/>
        </w:rPr>
        <w:t>Work Health and Safety Act 2011</w:t>
      </w:r>
      <w:r w:rsidRPr="005E31D5">
        <w:t>.</w:t>
      </w:r>
    </w:p>
    <w:p w14:paraId="469C2BB4" w14:textId="06162CEC" w:rsidR="009101D6" w:rsidRDefault="009101D6" w:rsidP="005E31D5">
      <w:r w:rsidRPr="00A01FA8">
        <w:t xml:space="preserve">Once safety issues have </w:t>
      </w:r>
      <w:proofErr w:type="gramStart"/>
      <w:r w:rsidRPr="00A01FA8">
        <w:t>been resolved</w:t>
      </w:r>
      <w:proofErr w:type="gramEnd"/>
      <w:r w:rsidR="00BE4CC3">
        <w:t>,</w:t>
      </w:r>
      <w:r w:rsidRPr="00A01FA8">
        <w:t xml:space="preserve"> inspections at the site will recommence.</w:t>
      </w:r>
    </w:p>
    <w:p w14:paraId="704561D1" w14:textId="08AA856C" w:rsidR="009101D6" w:rsidRPr="00A01FA8" w:rsidRDefault="009101D6" w:rsidP="005E31D5">
      <w:r>
        <w:t xml:space="preserve">An entity is responsible for advising </w:t>
      </w:r>
      <w:r w:rsidR="00BE4CC3">
        <w:t>us</w:t>
      </w:r>
      <w:r>
        <w:t xml:space="preserve"> of planned or </w:t>
      </w:r>
      <w:r w:rsidR="00BE4CC3">
        <w:t xml:space="preserve">unplanned </w:t>
      </w:r>
      <w:r>
        <w:t xml:space="preserve">site changes that may impact </w:t>
      </w:r>
      <w:r w:rsidR="00BE4CC3">
        <w:t xml:space="preserve">an </w:t>
      </w:r>
      <w:r w:rsidR="00386D5A">
        <w:t>officer’s</w:t>
      </w:r>
      <w:r>
        <w:t xml:space="preserve"> ability to effectively and safely undertake activities.</w:t>
      </w:r>
    </w:p>
    <w:p w14:paraId="1D5BDFC3" w14:textId="77777777" w:rsidR="00041687" w:rsidRPr="008E5056" w:rsidRDefault="00041687" w:rsidP="00041687">
      <w:pPr>
        <w:contextualSpacing/>
        <w:rPr>
          <w:rFonts w:cstheme="minorHAnsi"/>
          <w:lang w:eastAsia="ja-JP"/>
        </w:rPr>
      </w:pPr>
      <w:bookmarkStart w:id="60" w:name="_Toc210296066"/>
      <w:r w:rsidRPr="008E5056">
        <w:rPr>
          <w:rFonts w:cstheme="minorHAnsi"/>
          <w:lang w:eastAsia="ja-JP"/>
        </w:rPr>
        <w:t>The working conditions for officers at third-party sites must adhere to:</w:t>
      </w:r>
    </w:p>
    <w:p w14:paraId="68A3FE73" w14:textId="033E7CC1" w:rsidR="00041687" w:rsidRPr="00B60E5B" w:rsidRDefault="00041687" w:rsidP="00041687">
      <w:pPr>
        <w:pStyle w:val="ListBullet"/>
        <w:rPr>
          <w:i/>
          <w:iCs/>
        </w:rPr>
      </w:pPr>
      <w:r w:rsidRPr="00B60E5B">
        <w:rPr>
          <w:i/>
          <w:iCs/>
        </w:rPr>
        <w:t>Public Service Act 1992</w:t>
      </w:r>
    </w:p>
    <w:p w14:paraId="76656DF9" w14:textId="0B6E3783" w:rsidR="00041687" w:rsidRPr="00B60E5B" w:rsidRDefault="00041687" w:rsidP="00041687">
      <w:pPr>
        <w:pStyle w:val="ListBullet"/>
        <w:rPr>
          <w:i/>
          <w:iCs/>
        </w:rPr>
      </w:pPr>
      <w:r w:rsidRPr="00B60E5B">
        <w:rPr>
          <w:i/>
          <w:iCs/>
        </w:rPr>
        <w:t>Work Health and Safety Act 2011</w:t>
      </w:r>
    </w:p>
    <w:p w14:paraId="2C38CE63" w14:textId="18427223" w:rsidR="00041687" w:rsidRPr="00B60E5B" w:rsidRDefault="00041687" w:rsidP="00041687">
      <w:pPr>
        <w:pStyle w:val="ListBullet2"/>
      </w:pPr>
      <w:r w:rsidRPr="00B60E5B">
        <w:t>Work Health and Safety Regulations 2011</w:t>
      </w:r>
    </w:p>
    <w:p w14:paraId="1A527938" w14:textId="5B040278" w:rsidR="00041687" w:rsidRPr="00B60E5B" w:rsidRDefault="00041687" w:rsidP="00041687">
      <w:pPr>
        <w:pStyle w:val="ListBullet2"/>
      </w:pPr>
      <w:r w:rsidRPr="00B60E5B">
        <w:t>Work Health and Safety (How to Manage Work Health and Safety Risks</w:t>
      </w:r>
      <w:r w:rsidR="00BE4CC3">
        <w:t>)</w:t>
      </w:r>
      <w:r w:rsidRPr="00B60E5B">
        <w:t xml:space="preserve"> Code of Practice 2015</w:t>
      </w:r>
    </w:p>
    <w:p w14:paraId="6901173B" w14:textId="1FAAE853" w:rsidR="00041687" w:rsidRPr="00B60E5B" w:rsidRDefault="00041687" w:rsidP="00041687">
      <w:pPr>
        <w:pStyle w:val="ListBullet"/>
      </w:pPr>
      <w:r w:rsidRPr="00B60E5B">
        <w:t xml:space="preserve">State </w:t>
      </w:r>
      <w:r w:rsidR="00EB4D54">
        <w:t>w</w:t>
      </w:r>
      <w:r w:rsidRPr="00B60E5B">
        <w:t xml:space="preserve">ork </w:t>
      </w:r>
      <w:r w:rsidR="00EB4D54">
        <w:t>h</w:t>
      </w:r>
      <w:r w:rsidRPr="00B60E5B">
        <w:t xml:space="preserve">ealth and </w:t>
      </w:r>
      <w:r w:rsidR="00EB4D54">
        <w:t>s</w:t>
      </w:r>
      <w:r w:rsidRPr="00B60E5B">
        <w:t xml:space="preserve">afety Acts and </w:t>
      </w:r>
      <w:r w:rsidR="00EB4D54">
        <w:t>r</w:t>
      </w:r>
      <w:r w:rsidRPr="00B60E5B">
        <w:t>egulations</w:t>
      </w:r>
    </w:p>
    <w:p w14:paraId="69E533FB" w14:textId="3FE116D6" w:rsidR="00041687" w:rsidRPr="00B60E5B" w:rsidRDefault="00041687" w:rsidP="00041687">
      <w:pPr>
        <w:pStyle w:val="ListBullet"/>
      </w:pPr>
      <w:r w:rsidRPr="00B60E5B">
        <w:t xml:space="preserve">Department of Agriculture, Fisheries and Forestry </w:t>
      </w:r>
      <w:r w:rsidR="00EB4D54">
        <w:t>E</w:t>
      </w:r>
      <w:r w:rsidRPr="00B60E5B">
        <w:t xml:space="preserve">nterprise </w:t>
      </w:r>
      <w:r w:rsidR="00EB4D54">
        <w:t>A</w:t>
      </w:r>
      <w:r w:rsidRPr="00B60E5B">
        <w:t>greement</w:t>
      </w:r>
    </w:p>
    <w:p w14:paraId="19082690" w14:textId="3DC60B31" w:rsidR="00041687" w:rsidRPr="00B60E5B" w:rsidRDefault="00A91A88" w:rsidP="00041687">
      <w:pPr>
        <w:pStyle w:val="ListBullet"/>
      </w:pPr>
      <w:r>
        <w:t>O</w:t>
      </w:r>
      <w:r w:rsidR="00041687" w:rsidRPr="00B60E5B">
        <w:t>ther workplace laws and regulations in the jurisdiction where the site is located.</w:t>
      </w:r>
    </w:p>
    <w:p w14:paraId="68BC17E2" w14:textId="77777777" w:rsidR="00041687" w:rsidRPr="008E5056" w:rsidRDefault="00041687" w:rsidP="00041687">
      <w:pPr>
        <w:rPr>
          <w:rFonts w:cstheme="minorHAnsi"/>
          <w:lang w:eastAsia="ja-JP"/>
        </w:rPr>
      </w:pPr>
      <w:r w:rsidRPr="008E5056">
        <w:rPr>
          <w:rFonts w:cstheme="minorHAnsi"/>
          <w:lang w:eastAsia="ja-JP"/>
        </w:rPr>
        <w:t>In addition, officers must not be subject to:</w:t>
      </w:r>
    </w:p>
    <w:p w14:paraId="12ED3470" w14:textId="0B5C08B8" w:rsidR="00041687" w:rsidRPr="00B60E5B" w:rsidRDefault="00EB4D54" w:rsidP="00041687">
      <w:pPr>
        <w:pStyle w:val="ListBullet"/>
      </w:pPr>
      <w:r>
        <w:t xml:space="preserve">an </w:t>
      </w:r>
      <w:r w:rsidR="00041687" w:rsidRPr="00B60E5B">
        <w:t>unsafe workplace</w:t>
      </w:r>
    </w:p>
    <w:p w14:paraId="31015F6A" w14:textId="77777777" w:rsidR="00041687" w:rsidRPr="00B60E5B" w:rsidRDefault="00041687" w:rsidP="00041687">
      <w:pPr>
        <w:pStyle w:val="ListBullet"/>
      </w:pPr>
      <w:r w:rsidRPr="00B60E5B">
        <w:t>bullying, harassment and intimidation</w:t>
      </w:r>
    </w:p>
    <w:p w14:paraId="1CB63E3A" w14:textId="77777777" w:rsidR="00041687" w:rsidRPr="00B60E5B" w:rsidRDefault="00041687" w:rsidP="00041687">
      <w:pPr>
        <w:pStyle w:val="ListBullet"/>
      </w:pPr>
      <w:r w:rsidRPr="00B60E5B">
        <w:t>attempts at collusion</w:t>
      </w:r>
    </w:p>
    <w:p w14:paraId="167DECF2" w14:textId="77777777" w:rsidR="00041687" w:rsidRPr="00B60E5B" w:rsidRDefault="00041687" w:rsidP="00041687">
      <w:pPr>
        <w:pStyle w:val="ListBullet"/>
      </w:pPr>
      <w:r w:rsidRPr="00B60E5B">
        <w:t>illegal activities.</w:t>
      </w:r>
    </w:p>
    <w:p w14:paraId="77F7CA64" w14:textId="1C1047A0" w:rsidR="00041687" w:rsidRDefault="00041687" w:rsidP="00041687">
      <w:pPr>
        <w:rPr>
          <w:lang w:eastAsia="ja-JP"/>
        </w:rPr>
      </w:pPr>
      <w:r w:rsidRPr="008E5056">
        <w:rPr>
          <w:lang w:eastAsia="ja-JP"/>
        </w:rPr>
        <w:t xml:space="preserve">Where </w:t>
      </w:r>
      <w:r w:rsidR="00EB4D54">
        <w:rPr>
          <w:lang w:eastAsia="ja-JP"/>
        </w:rPr>
        <w:t>we</w:t>
      </w:r>
      <w:r w:rsidRPr="008E5056">
        <w:rPr>
          <w:lang w:eastAsia="ja-JP"/>
        </w:rPr>
        <w:t xml:space="preserve"> determine that the working conditions at a site are unsuitable or unsafe,</w:t>
      </w:r>
      <w:r w:rsidR="00EB4D54">
        <w:rPr>
          <w:lang w:eastAsia="ja-JP"/>
        </w:rPr>
        <w:t xml:space="preserve"> we may suspend</w:t>
      </w:r>
      <w:r w:rsidRPr="008E5056">
        <w:rPr>
          <w:lang w:eastAsia="ja-JP"/>
        </w:rPr>
        <w:t xml:space="preserve"> inspection services at that site.</w:t>
      </w:r>
    </w:p>
    <w:p w14:paraId="698A79F2" w14:textId="77777777" w:rsidR="009101D6" w:rsidRPr="00A01FA8" w:rsidRDefault="009101D6" w:rsidP="009101D6">
      <w:pPr>
        <w:pStyle w:val="Heading2"/>
      </w:pPr>
      <w:bookmarkStart w:id="61" w:name="_Toc228528799"/>
      <w:r w:rsidRPr="00A01FA8">
        <w:lastRenderedPageBreak/>
        <w:t>Legislation and policy framework</w:t>
      </w:r>
      <w:bookmarkEnd w:id="60"/>
      <w:bookmarkEnd w:id="61"/>
    </w:p>
    <w:p w14:paraId="00751D52" w14:textId="543D3EF6" w:rsidR="009101D6" w:rsidRPr="00A01FA8" w:rsidRDefault="009101D6" w:rsidP="009101D6">
      <w:pPr>
        <w:rPr>
          <w:rFonts w:cstheme="minorHAnsi"/>
          <w:lang w:val="en-US"/>
        </w:rPr>
      </w:pPr>
      <w:r w:rsidRPr="00A01FA8">
        <w:rPr>
          <w:rFonts w:cstheme="minorHAnsi"/>
          <w:lang w:val="en-US"/>
        </w:rPr>
        <w:t xml:space="preserve">The primary </w:t>
      </w:r>
      <w:r w:rsidRPr="00A01FA8">
        <w:rPr>
          <w:rFonts w:cstheme="minorHAnsi"/>
        </w:rPr>
        <w:t>reference</w:t>
      </w:r>
      <w:r w:rsidRPr="00A01FA8">
        <w:rPr>
          <w:rFonts w:cstheme="minorHAnsi"/>
          <w:lang w:val="en-US"/>
        </w:rPr>
        <w:t xml:space="preserve"> documents related to t</w:t>
      </w:r>
      <w:r w:rsidR="001618AE">
        <w:rPr>
          <w:rFonts w:cstheme="minorHAnsi"/>
          <w:lang w:val="en-US"/>
        </w:rPr>
        <w:t>his policy are</w:t>
      </w:r>
      <w:r w:rsidRPr="00A01FA8">
        <w:rPr>
          <w:rFonts w:cstheme="minorHAnsi"/>
          <w:lang w:val="en-US"/>
        </w:rPr>
        <w:t>:</w:t>
      </w:r>
    </w:p>
    <w:p w14:paraId="27F2958D" w14:textId="77777777" w:rsidR="009101D6" w:rsidRPr="005E31D5" w:rsidRDefault="009101D6" w:rsidP="005E31D5">
      <w:pPr>
        <w:pStyle w:val="ListBullet"/>
        <w:rPr>
          <w:i/>
          <w:iCs/>
        </w:rPr>
      </w:pPr>
      <w:r w:rsidRPr="005E31D5">
        <w:rPr>
          <w:i/>
          <w:iCs/>
        </w:rPr>
        <w:t>Biosecurity Act 2015</w:t>
      </w:r>
    </w:p>
    <w:p w14:paraId="206015FF" w14:textId="77777777" w:rsidR="009101D6" w:rsidRPr="005E31D5" w:rsidRDefault="009101D6" w:rsidP="005E31D5">
      <w:pPr>
        <w:pStyle w:val="ListBullet"/>
      </w:pPr>
      <w:r w:rsidRPr="005E31D5">
        <w:t>Biosecurity Regulations 2016</w:t>
      </w:r>
    </w:p>
    <w:p w14:paraId="21389977" w14:textId="77777777" w:rsidR="009101D6" w:rsidRPr="005E31D5" w:rsidRDefault="009101D6" w:rsidP="005E31D5">
      <w:pPr>
        <w:pStyle w:val="ListBullet"/>
        <w:rPr>
          <w:i/>
          <w:iCs/>
        </w:rPr>
      </w:pPr>
      <w:r w:rsidRPr="005E31D5">
        <w:rPr>
          <w:i/>
          <w:iCs/>
        </w:rPr>
        <w:t>Imported Food Control Act 1992</w:t>
      </w:r>
    </w:p>
    <w:p w14:paraId="13642072" w14:textId="77777777" w:rsidR="009101D6" w:rsidRPr="005E31D5" w:rsidRDefault="009101D6" w:rsidP="005E31D5">
      <w:pPr>
        <w:pStyle w:val="ListBullet"/>
      </w:pPr>
      <w:r w:rsidRPr="005E31D5">
        <w:t>Imported Food Control Regulations 2019</w:t>
      </w:r>
    </w:p>
    <w:p w14:paraId="033D65B6" w14:textId="77777777" w:rsidR="009101D6" w:rsidRPr="005E31D5" w:rsidRDefault="009101D6" w:rsidP="005E31D5">
      <w:pPr>
        <w:pStyle w:val="ListBullet"/>
        <w:rPr>
          <w:i/>
          <w:iCs/>
        </w:rPr>
      </w:pPr>
      <w:r w:rsidRPr="005E31D5">
        <w:rPr>
          <w:i/>
          <w:iCs/>
        </w:rPr>
        <w:t>Public Governance, Performance and Accountability Act 2013</w:t>
      </w:r>
    </w:p>
    <w:p w14:paraId="657399FF" w14:textId="77777777" w:rsidR="009101D6" w:rsidRPr="005E31D5" w:rsidRDefault="009101D6" w:rsidP="005E31D5">
      <w:pPr>
        <w:pStyle w:val="ListBullet"/>
        <w:rPr>
          <w:i/>
          <w:iCs/>
        </w:rPr>
      </w:pPr>
      <w:r w:rsidRPr="005E31D5">
        <w:rPr>
          <w:i/>
          <w:iCs/>
        </w:rPr>
        <w:t>Public Service Act 1999</w:t>
      </w:r>
    </w:p>
    <w:p w14:paraId="1EE7A78A" w14:textId="77777777" w:rsidR="009101D6" w:rsidRPr="005E31D5" w:rsidRDefault="009101D6" w:rsidP="005E31D5">
      <w:pPr>
        <w:pStyle w:val="ListBullet"/>
        <w:rPr>
          <w:i/>
          <w:iCs/>
        </w:rPr>
      </w:pPr>
      <w:r w:rsidRPr="005E31D5">
        <w:rPr>
          <w:i/>
          <w:iCs/>
        </w:rPr>
        <w:t>Work Health and Safety Act 2011</w:t>
      </w:r>
    </w:p>
    <w:p w14:paraId="38132E67" w14:textId="77777777" w:rsidR="009101D6" w:rsidRPr="005E31D5" w:rsidRDefault="009101D6" w:rsidP="005E31D5">
      <w:pPr>
        <w:pStyle w:val="ListBullet"/>
        <w:rPr>
          <w:i/>
          <w:iCs/>
        </w:rPr>
      </w:pPr>
      <w:r w:rsidRPr="005E31D5">
        <w:rPr>
          <w:i/>
          <w:iCs/>
        </w:rPr>
        <w:t>Privacy Act 1988</w:t>
      </w:r>
    </w:p>
    <w:p w14:paraId="27892C0D" w14:textId="630DE81C" w:rsidR="009101D6" w:rsidRPr="005E31D5" w:rsidRDefault="009101D6" w:rsidP="005E31D5">
      <w:pPr>
        <w:pStyle w:val="ListBullet"/>
      </w:pPr>
      <w:hyperlink r:id="rId28" w:history="1">
        <w:r w:rsidRPr="00C562D4">
          <w:rPr>
            <w:rStyle w:val="Hyperlink"/>
          </w:rPr>
          <w:t>Client service charter</w:t>
        </w:r>
      </w:hyperlink>
    </w:p>
    <w:p w14:paraId="40CFC979" w14:textId="618CBB0B" w:rsidR="009101D6" w:rsidRPr="005E31D5" w:rsidRDefault="009101D6" w:rsidP="005E31D5">
      <w:pPr>
        <w:pStyle w:val="ListBullet"/>
      </w:pPr>
      <w:hyperlink r:id="rId29" w:history="1">
        <w:r w:rsidRPr="00FB03A8">
          <w:rPr>
            <w:rStyle w:val="Hyperlink"/>
          </w:rPr>
          <w:t xml:space="preserve">Corporate </w:t>
        </w:r>
        <w:r w:rsidR="00FB03A8" w:rsidRPr="00FB03A8">
          <w:rPr>
            <w:rStyle w:val="Hyperlink"/>
          </w:rPr>
          <w:t>plan</w:t>
        </w:r>
      </w:hyperlink>
    </w:p>
    <w:p w14:paraId="7E71103A" w14:textId="776D6E69" w:rsidR="009101D6" w:rsidRPr="005E31D5" w:rsidRDefault="009101D6" w:rsidP="005E31D5">
      <w:pPr>
        <w:pStyle w:val="ListBullet"/>
      </w:pPr>
      <w:hyperlink r:id="rId30" w:history="1">
        <w:r w:rsidRPr="00FB03A8">
          <w:rPr>
            <w:rStyle w:val="Hyperlink"/>
          </w:rPr>
          <w:t>Regulatory practice statement</w:t>
        </w:r>
      </w:hyperlink>
      <w:r w:rsidRPr="005E31D5">
        <w:t>.</w:t>
      </w:r>
    </w:p>
    <w:p w14:paraId="0B7AB340" w14:textId="32545B2F" w:rsidR="00316C89" w:rsidRDefault="00316C89" w:rsidP="00316C89">
      <w:pPr>
        <w:pStyle w:val="Heading3"/>
      </w:pPr>
      <w:bookmarkStart w:id="62" w:name="_Toc210296067"/>
      <w:bookmarkStart w:id="63" w:name="_Toc228528800"/>
      <w:r w:rsidRPr="00A01FA8">
        <w:t>Legislative accountabilities and delegated powers</w:t>
      </w:r>
      <w:bookmarkEnd w:id="62"/>
      <w:bookmarkEnd w:id="63"/>
    </w:p>
    <w:p w14:paraId="04219186" w14:textId="19A68A7C" w:rsidR="00CE2994" w:rsidRPr="00CE2994" w:rsidRDefault="00CE2994" w:rsidP="00A84B58">
      <w:r w:rsidRPr="00CE2994">
        <w:t xml:space="preserve">This policy sets out </w:t>
      </w:r>
      <w:r w:rsidR="00EB4D54">
        <w:t>our</w:t>
      </w:r>
      <w:r w:rsidRPr="00CE2994">
        <w:t xml:space="preserve"> scheduling arrangements, including new recurring appointments to enable effective and proper use of departmental resources.</w:t>
      </w:r>
      <w:r w:rsidR="002828CB">
        <w:t xml:space="preserve"> </w:t>
      </w:r>
      <w:r w:rsidR="00283CA7">
        <w:t xml:space="preserve">The legislative accountabilities and delegated powers related to this policy are in </w:t>
      </w:r>
      <w:r w:rsidR="006B4DDC">
        <w:fldChar w:fldCharType="begin"/>
      </w:r>
      <w:r w:rsidR="006B4DDC">
        <w:instrText xml:space="preserve"> REF _Ref227739284 \h </w:instrText>
      </w:r>
      <w:r w:rsidR="006B4DDC">
        <w:fldChar w:fldCharType="separate"/>
      </w:r>
      <w:r w:rsidR="006B4DDC">
        <w:t xml:space="preserve">Table </w:t>
      </w:r>
      <w:r w:rsidR="006B4DDC">
        <w:rPr>
          <w:noProof/>
        </w:rPr>
        <w:t>1</w:t>
      </w:r>
      <w:r w:rsidR="006B4DDC">
        <w:fldChar w:fldCharType="end"/>
      </w:r>
      <w:r w:rsidR="00283CA7">
        <w:t>.</w:t>
      </w:r>
      <w:r w:rsidR="00344A3F">
        <w:t xml:space="preserve"> Relevant legislation is in </w:t>
      </w:r>
      <w:r w:rsidR="00675FFB">
        <w:fldChar w:fldCharType="begin"/>
      </w:r>
      <w:r w:rsidR="00675FFB">
        <w:instrText xml:space="preserve"> REF _Ref227739583 \h </w:instrText>
      </w:r>
      <w:r w:rsidR="00675FFB">
        <w:fldChar w:fldCharType="separate"/>
      </w:r>
      <w:r w:rsidR="00675FFB">
        <w:t xml:space="preserve">Table </w:t>
      </w:r>
      <w:r w:rsidR="00675FFB">
        <w:rPr>
          <w:noProof/>
        </w:rPr>
        <w:t>2</w:t>
      </w:r>
      <w:r w:rsidR="00675FFB">
        <w:fldChar w:fldCharType="end"/>
      </w:r>
      <w:r w:rsidR="00344A3F">
        <w:t xml:space="preserve"> and </w:t>
      </w:r>
      <w:r w:rsidR="00675FFB">
        <w:t xml:space="preserve">relevant policies are in </w:t>
      </w:r>
      <w:r w:rsidR="00675FFB">
        <w:fldChar w:fldCharType="begin"/>
      </w:r>
      <w:r w:rsidR="00675FFB">
        <w:instrText xml:space="preserve"> REF _Ref227739588 \h </w:instrText>
      </w:r>
      <w:r w:rsidR="00675FFB">
        <w:fldChar w:fldCharType="separate"/>
      </w:r>
      <w:r w:rsidR="00675FFB">
        <w:t xml:space="preserve">Table </w:t>
      </w:r>
      <w:r w:rsidR="00675FFB">
        <w:rPr>
          <w:noProof/>
        </w:rPr>
        <w:t>3</w:t>
      </w:r>
      <w:r w:rsidR="00675FFB">
        <w:fldChar w:fldCharType="end"/>
      </w:r>
      <w:r w:rsidR="00675FFB">
        <w:t>.</w:t>
      </w:r>
    </w:p>
    <w:p w14:paraId="4C3CE027" w14:textId="03BE1229" w:rsidR="009E10F3" w:rsidRDefault="00675FFB" w:rsidP="00675FFB">
      <w:pPr>
        <w:pStyle w:val="Caption"/>
      </w:pPr>
      <w:bookmarkStart w:id="64" w:name="_Toc228356735"/>
      <w:r>
        <w:t xml:space="preserve">Table </w:t>
      </w:r>
      <w:r>
        <w:fldChar w:fldCharType="begin"/>
      </w:r>
      <w:r>
        <w:instrText xml:space="preserve"> SEQ Table \* ARABIC </w:instrText>
      </w:r>
      <w:r>
        <w:fldChar w:fldCharType="separate"/>
      </w:r>
      <w:r>
        <w:rPr>
          <w:noProof/>
        </w:rPr>
        <w:t>1</w:t>
      </w:r>
      <w:r>
        <w:fldChar w:fldCharType="end"/>
      </w:r>
      <w:r w:rsidRPr="009E10F3">
        <w:t xml:space="preserve"> </w:t>
      </w:r>
      <w:r>
        <w:t>L</w:t>
      </w:r>
      <w:r w:rsidRPr="00A01FA8">
        <w:t>egislative accountabilities and delegated powers</w:t>
      </w:r>
      <w:bookmarkEnd w:id="64"/>
    </w:p>
    <w:tbl>
      <w:tblPr>
        <w:tblW w:w="9015" w:type="dxa"/>
        <w:tblBorders>
          <w:top w:val="single" w:sz="6" w:space="0" w:color="auto"/>
          <w:bottom w:val="single" w:sz="4" w:space="0" w:color="auto"/>
          <w:insideH w:val="single" w:sz="4" w:space="0" w:color="auto"/>
        </w:tblBorders>
        <w:tblCellMar>
          <w:left w:w="40" w:type="dxa"/>
          <w:right w:w="40" w:type="dxa"/>
        </w:tblCellMar>
        <w:tblLook w:val="06A0" w:firstRow="1" w:lastRow="0" w:firstColumn="1" w:lastColumn="0" w:noHBand="1" w:noVBand="1"/>
      </w:tblPr>
      <w:tblGrid>
        <w:gridCol w:w="2128"/>
        <w:gridCol w:w="6887"/>
      </w:tblGrid>
      <w:tr w:rsidR="00316C89" w:rsidRPr="0034153B" w14:paraId="4B963586" w14:textId="77777777" w:rsidTr="00EB4D54">
        <w:trPr>
          <w:cantSplit/>
          <w:tblHeader/>
        </w:trPr>
        <w:tc>
          <w:tcPr>
            <w:tcW w:w="1180" w:type="pct"/>
            <w:tcMar>
              <w:left w:w="108" w:type="dxa"/>
              <w:right w:w="108" w:type="dxa"/>
            </w:tcMar>
          </w:tcPr>
          <w:p w14:paraId="67CF3D56" w14:textId="3B886674" w:rsidR="00316C89" w:rsidRPr="0034153B" w:rsidRDefault="00344A3F" w:rsidP="00287719">
            <w:pPr>
              <w:pStyle w:val="TableHeading"/>
            </w:pPr>
            <w:r>
              <w:t>Role</w:t>
            </w:r>
          </w:p>
        </w:tc>
        <w:tc>
          <w:tcPr>
            <w:tcW w:w="3820" w:type="pct"/>
            <w:tcMar>
              <w:left w:w="108" w:type="dxa"/>
              <w:right w:w="108" w:type="dxa"/>
            </w:tcMar>
          </w:tcPr>
          <w:p w14:paraId="1470EF3A" w14:textId="26398237" w:rsidR="00316C89" w:rsidRPr="0034153B" w:rsidRDefault="00316C89" w:rsidP="00287719">
            <w:pPr>
              <w:pStyle w:val="TableHeading"/>
            </w:pPr>
            <w:r w:rsidRPr="0034153B">
              <w:t>Accountability or delegated power</w:t>
            </w:r>
          </w:p>
        </w:tc>
      </w:tr>
      <w:tr w:rsidR="00316C89" w:rsidRPr="0034153B" w14:paraId="2AD93BDD" w14:textId="77777777" w:rsidTr="00EB4D54">
        <w:tc>
          <w:tcPr>
            <w:tcW w:w="1180" w:type="pct"/>
            <w:tcMar>
              <w:left w:w="108" w:type="dxa"/>
              <w:right w:w="108" w:type="dxa"/>
            </w:tcMar>
          </w:tcPr>
          <w:p w14:paraId="5C902B06" w14:textId="77777777" w:rsidR="00316C89" w:rsidRPr="0034153B" w:rsidRDefault="00316C89" w:rsidP="00287719">
            <w:pPr>
              <w:pStyle w:val="TableText"/>
            </w:pPr>
            <w:r w:rsidRPr="0034153B">
              <w:t>Authorised officer</w:t>
            </w:r>
          </w:p>
        </w:tc>
        <w:tc>
          <w:tcPr>
            <w:tcW w:w="3820" w:type="pct"/>
            <w:tcMar>
              <w:left w:w="108" w:type="dxa"/>
              <w:right w:w="108" w:type="dxa"/>
            </w:tcMar>
          </w:tcPr>
          <w:p w14:paraId="21CF5AC0" w14:textId="77777777" w:rsidR="00316C89" w:rsidRPr="00F05697" w:rsidRDefault="00316C89" w:rsidP="00287719">
            <w:pPr>
              <w:pStyle w:val="TableText"/>
            </w:pPr>
            <w:r w:rsidRPr="00F05697">
              <w:rPr>
                <w:i/>
                <w:iCs/>
              </w:rPr>
              <w:t>Imported Food Control Act 1992</w:t>
            </w:r>
            <w:r w:rsidRPr="00F05697">
              <w:t>: s12 Issue of food control certificate.</w:t>
            </w:r>
          </w:p>
        </w:tc>
      </w:tr>
      <w:tr w:rsidR="00316C89" w:rsidRPr="0034153B" w14:paraId="0B2BF0D3" w14:textId="77777777" w:rsidTr="00EB4D54">
        <w:tc>
          <w:tcPr>
            <w:tcW w:w="1180" w:type="pct"/>
            <w:tcMar>
              <w:left w:w="108" w:type="dxa"/>
              <w:right w:w="108" w:type="dxa"/>
            </w:tcMar>
          </w:tcPr>
          <w:p w14:paraId="6ADA4508" w14:textId="77777777" w:rsidR="00316C89" w:rsidRPr="0034153B" w:rsidRDefault="00316C89" w:rsidP="00287719">
            <w:pPr>
              <w:pStyle w:val="TableText"/>
            </w:pPr>
            <w:r w:rsidRPr="0034153B">
              <w:t>Biosecurity officer</w:t>
            </w:r>
          </w:p>
        </w:tc>
        <w:tc>
          <w:tcPr>
            <w:tcW w:w="3820" w:type="pct"/>
            <w:tcMar>
              <w:left w:w="108" w:type="dxa"/>
              <w:right w:w="108" w:type="dxa"/>
            </w:tcMar>
          </w:tcPr>
          <w:p w14:paraId="52972324" w14:textId="75B0C635" w:rsidR="00316C89" w:rsidRPr="0034153B" w:rsidRDefault="00316C89" w:rsidP="00287719">
            <w:pPr>
              <w:pStyle w:val="TableText"/>
            </w:pPr>
            <w:r w:rsidRPr="0034153B">
              <w:rPr>
                <w:i/>
                <w:iCs/>
              </w:rPr>
              <w:t>Biosecurity Act 2015</w:t>
            </w:r>
            <w:r w:rsidRPr="0034153B">
              <w:t xml:space="preserve">: </w:t>
            </w:r>
            <w:r w:rsidR="00EB4D54">
              <w:t>s</w:t>
            </w:r>
            <w:r w:rsidRPr="0034153B">
              <w:t>125 Inspecting goods and taking samples.</w:t>
            </w:r>
          </w:p>
        </w:tc>
      </w:tr>
      <w:tr w:rsidR="00316C89" w:rsidRPr="0034153B" w14:paraId="0734AAF8" w14:textId="77777777" w:rsidTr="00EB4D54">
        <w:tc>
          <w:tcPr>
            <w:tcW w:w="1180" w:type="pct"/>
            <w:tcMar>
              <w:left w:w="108" w:type="dxa"/>
              <w:right w:w="108" w:type="dxa"/>
            </w:tcMar>
          </w:tcPr>
          <w:p w14:paraId="2FC292D7" w14:textId="77777777" w:rsidR="00316C89" w:rsidRPr="0034153B" w:rsidRDefault="00316C89" w:rsidP="00287719">
            <w:pPr>
              <w:pStyle w:val="TableText"/>
            </w:pPr>
            <w:r w:rsidRPr="0034153B">
              <w:t>Secretary</w:t>
            </w:r>
          </w:p>
        </w:tc>
        <w:tc>
          <w:tcPr>
            <w:tcW w:w="3820" w:type="pct"/>
            <w:tcMar>
              <w:left w:w="108" w:type="dxa"/>
              <w:right w:w="108" w:type="dxa"/>
            </w:tcMar>
          </w:tcPr>
          <w:p w14:paraId="568800D2" w14:textId="77777777" w:rsidR="00316C89" w:rsidRPr="0034153B" w:rsidRDefault="00316C89" w:rsidP="00287719">
            <w:pPr>
              <w:pStyle w:val="TableText"/>
              <w:rPr>
                <w:i/>
                <w:iCs/>
              </w:rPr>
            </w:pPr>
            <w:r w:rsidRPr="0034153B">
              <w:rPr>
                <w:i/>
                <w:iCs/>
              </w:rPr>
              <w:t>Public Governance, Performance and Accountability Act 2013:</w:t>
            </w:r>
          </w:p>
          <w:p w14:paraId="3A945367" w14:textId="77777777" w:rsidR="00316C89" w:rsidRPr="00F05697" w:rsidRDefault="00316C89" w:rsidP="00041340">
            <w:pPr>
              <w:pStyle w:val="TableBullet"/>
              <w:rPr>
                <w:i/>
                <w:iCs/>
              </w:rPr>
            </w:pPr>
            <w:r w:rsidRPr="00F05697">
              <w:t>s15 Duty to govern the Commonwealth entity</w:t>
            </w:r>
          </w:p>
          <w:p w14:paraId="67506B76" w14:textId="77777777" w:rsidR="00316C89" w:rsidRPr="00F05697" w:rsidRDefault="00316C89" w:rsidP="00216DC2">
            <w:pPr>
              <w:pStyle w:val="TableBullet2"/>
            </w:pPr>
            <w:r w:rsidRPr="00F05697">
              <w:t>(1)(a) promote the proper use and management of public resources for which the authority is responsible</w:t>
            </w:r>
          </w:p>
          <w:p w14:paraId="13376DEE" w14:textId="77777777" w:rsidR="00316C89" w:rsidRPr="00F05697" w:rsidRDefault="00316C89" w:rsidP="00216DC2">
            <w:pPr>
              <w:pStyle w:val="TableBullet2"/>
            </w:pPr>
            <w:r w:rsidRPr="00F05697">
              <w:t>(1)(b) promote the achievement of the purposes of the entity</w:t>
            </w:r>
          </w:p>
          <w:p w14:paraId="5080F1B1" w14:textId="66C8618C" w:rsidR="00316C89" w:rsidRPr="00F05697" w:rsidRDefault="00041340" w:rsidP="00041340">
            <w:pPr>
              <w:pStyle w:val="TableBullet"/>
            </w:pPr>
            <w:r>
              <w:t>s</w:t>
            </w:r>
            <w:r w:rsidR="00316C89" w:rsidRPr="00F05697">
              <w:t>16 Duty to establish and maintain systems relating to risk and control</w:t>
            </w:r>
          </w:p>
          <w:p w14:paraId="7DC4EFE9" w14:textId="2703DF4B" w:rsidR="00316C89" w:rsidRPr="0034153B" w:rsidRDefault="00041340" w:rsidP="00041340">
            <w:pPr>
              <w:pStyle w:val="TableBullet"/>
            </w:pPr>
            <w:r>
              <w:t>s</w:t>
            </w:r>
            <w:r w:rsidR="00316C89" w:rsidRPr="00F05697">
              <w:t>37 Records about performance of Commonwealth entities</w:t>
            </w:r>
          </w:p>
        </w:tc>
      </w:tr>
    </w:tbl>
    <w:p w14:paraId="5E14749C" w14:textId="27D86036" w:rsidR="00344A3F" w:rsidRPr="00287719" w:rsidRDefault="00675FFB" w:rsidP="00216DC2">
      <w:pPr>
        <w:pStyle w:val="Caption"/>
        <w:keepLines/>
      </w:pPr>
      <w:bookmarkStart w:id="65" w:name="_Ref227739583"/>
      <w:bookmarkStart w:id="66" w:name="_Toc228356736"/>
      <w:bookmarkStart w:id="67" w:name="_Toc210296068"/>
      <w:bookmarkStart w:id="68" w:name="_Hlk119936897"/>
      <w:bookmarkStart w:id="69" w:name="_Hlk119935358"/>
      <w:bookmarkStart w:id="70" w:name="_Ref445985101"/>
      <w:bookmarkStart w:id="71" w:name="_Toc409769090"/>
      <w:bookmarkEnd w:id="13"/>
      <w:bookmarkEnd w:id="14"/>
      <w:bookmarkEnd w:id="15"/>
      <w:r w:rsidRPr="00287719">
        <w:t xml:space="preserve">Table </w:t>
      </w:r>
      <w:r w:rsidRPr="00287719">
        <w:fldChar w:fldCharType="begin"/>
      </w:r>
      <w:r w:rsidRPr="00287719">
        <w:instrText xml:space="preserve"> SEQ Table \* ARABIC </w:instrText>
      </w:r>
      <w:r w:rsidRPr="00287719">
        <w:fldChar w:fldCharType="separate"/>
      </w:r>
      <w:r w:rsidRPr="00287719">
        <w:t>2</w:t>
      </w:r>
      <w:r w:rsidRPr="00287719">
        <w:fldChar w:fldCharType="end"/>
      </w:r>
      <w:bookmarkEnd w:id="65"/>
      <w:r w:rsidRPr="00287719">
        <w:t xml:space="preserve"> Relevant legislation</w:t>
      </w:r>
      <w:bookmarkEnd w:id="66"/>
    </w:p>
    <w:tbl>
      <w:tblPr>
        <w:tblW w:w="5000" w:type="pct"/>
        <w:tblBorders>
          <w:top w:val="single" w:sz="6" w:space="0" w:color="auto"/>
          <w:bottom w:val="single" w:sz="4" w:space="0" w:color="auto"/>
          <w:insideH w:val="single" w:sz="4" w:space="0" w:color="auto"/>
        </w:tblBorders>
        <w:tblCellMar>
          <w:left w:w="40" w:type="dxa"/>
          <w:right w:w="40" w:type="dxa"/>
        </w:tblCellMar>
        <w:tblLook w:val="06A0" w:firstRow="1" w:lastRow="0" w:firstColumn="1" w:lastColumn="0" w:noHBand="1" w:noVBand="1"/>
      </w:tblPr>
      <w:tblGrid>
        <w:gridCol w:w="3262"/>
        <w:gridCol w:w="5808"/>
      </w:tblGrid>
      <w:tr w:rsidR="00344A3F" w:rsidRPr="00287719" w14:paraId="15EA0C80" w14:textId="77777777" w:rsidTr="00216DC2">
        <w:trPr>
          <w:cantSplit/>
          <w:tblHeader/>
        </w:trPr>
        <w:tc>
          <w:tcPr>
            <w:tcW w:w="1798" w:type="pct"/>
            <w:tcMar>
              <w:left w:w="108" w:type="dxa"/>
              <w:right w:w="108" w:type="dxa"/>
            </w:tcMar>
          </w:tcPr>
          <w:p w14:paraId="51CA62C8" w14:textId="73A42EE0" w:rsidR="00344A3F" w:rsidRPr="00287719" w:rsidRDefault="00675FFB" w:rsidP="00287719">
            <w:pPr>
              <w:pStyle w:val="TableHeading"/>
              <w:keepLines/>
            </w:pPr>
            <w:r w:rsidRPr="00287719">
              <w:t>L</w:t>
            </w:r>
            <w:r w:rsidR="00344A3F" w:rsidRPr="00287719">
              <w:t>egislation</w:t>
            </w:r>
          </w:p>
        </w:tc>
        <w:tc>
          <w:tcPr>
            <w:tcW w:w="3202" w:type="pct"/>
            <w:tcMar>
              <w:left w:w="108" w:type="dxa"/>
              <w:right w:w="108" w:type="dxa"/>
            </w:tcMar>
          </w:tcPr>
          <w:p w14:paraId="5C3C71E4" w14:textId="66DD8620" w:rsidR="00344A3F" w:rsidRPr="00287719" w:rsidRDefault="00C26E47" w:rsidP="00287719">
            <w:pPr>
              <w:pStyle w:val="TableHeading"/>
              <w:keepLines/>
            </w:pPr>
            <w:r>
              <w:t>Relevant section</w:t>
            </w:r>
          </w:p>
        </w:tc>
      </w:tr>
      <w:tr w:rsidR="00344A3F" w:rsidRPr="00287719" w14:paraId="51EC8DF3" w14:textId="77777777" w:rsidTr="00216DC2">
        <w:trPr>
          <w:cantSplit/>
        </w:trPr>
        <w:tc>
          <w:tcPr>
            <w:tcW w:w="1798" w:type="pct"/>
            <w:tcMar>
              <w:left w:w="108" w:type="dxa"/>
              <w:right w:w="108" w:type="dxa"/>
            </w:tcMar>
          </w:tcPr>
          <w:p w14:paraId="4EEE47B7" w14:textId="77777777" w:rsidR="00344A3F" w:rsidRPr="00DB3C34" w:rsidRDefault="00344A3F" w:rsidP="00DB3C34">
            <w:pPr>
              <w:pStyle w:val="TableText"/>
              <w:rPr>
                <w:rStyle w:val="Emphasis"/>
              </w:rPr>
            </w:pPr>
            <w:r w:rsidRPr="00DB3C34">
              <w:rPr>
                <w:rStyle w:val="Emphasis"/>
              </w:rPr>
              <w:t>Biosecurity Act 2015</w:t>
            </w:r>
          </w:p>
        </w:tc>
        <w:tc>
          <w:tcPr>
            <w:tcW w:w="3202" w:type="pct"/>
            <w:tcMar>
              <w:left w:w="108" w:type="dxa"/>
              <w:right w:w="108" w:type="dxa"/>
            </w:tcMar>
          </w:tcPr>
          <w:p w14:paraId="264220AF" w14:textId="4AFE2967" w:rsidR="00344A3F" w:rsidRPr="00287719" w:rsidRDefault="00827F08" w:rsidP="00287719">
            <w:pPr>
              <w:pStyle w:val="TableText"/>
              <w:keepNext/>
              <w:keepLines/>
            </w:pPr>
            <w:r>
              <w:t>s</w:t>
            </w:r>
            <w:r w:rsidR="00A40D7F">
              <w:t xml:space="preserve"> </w:t>
            </w:r>
            <w:r w:rsidR="00344A3F" w:rsidRPr="00287719">
              <w:t>592</w:t>
            </w:r>
            <w:r w:rsidR="00A40D7F">
              <w:t xml:space="preserve"> </w:t>
            </w:r>
            <w:r w:rsidR="00344A3F" w:rsidRPr="00287719">
              <w:t>Fees and other rules for fee-bearing activities.</w:t>
            </w:r>
          </w:p>
        </w:tc>
      </w:tr>
      <w:tr w:rsidR="00344A3F" w:rsidRPr="0034153B" w14:paraId="6BDA82AD" w14:textId="77777777" w:rsidTr="00216DC2">
        <w:trPr>
          <w:cantSplit/>
        </w:trPr>
        <w:tc>
          <w:tcPr>
            <w:tcW w:w="1798" w:type="pct"/>
            <w:tcMar>
              <w:left w:w="108" w:type="dxa"/>
              <w:right w:w="108" w:type="dxa"/>
            </w:tcMar>
          </w:tcPr>
          <w:p w14:paraId="7B0E7BD7" w14:textId="77777777" w:rsidR="00344A3F" w:rsidRPr="00287719" w:rsidRDefault="00344A3F" w:rsidP="00287719">
            <w:pPr>
              <w:pStyle w:val="TableText"/>
            </w:pPr>
            <w:r w:rsidRPr="00287719">
              <w:lastRenderedPageBreak/>
              <w:t>Biosecurity Regulation 2016</w:t>
            </w:r>
          </w:p>
        </w:tc>
        <w:tc>
          <w:tcPr>
            <w:tcW w:w="3202" w:type="pct"/>
            <w:tcMar>
              <w:left w:w="108" w:type="dxa"/>
              <w:right w:w="108" w:type="dxa"/>
            </w:tcMar>
          </w:tcPr>
          <w:p w14:paraId="35FE8FD1" w14:textId="2A4E8038" w:rsidR="007B6709" w:rsidRPr="00287719" w:rsidRDefault="00344A3F" w:rsidP="00287719">
            <w:pPr>
              <w:pStyle w:val="TableText"/>
            </w:pPr>
            <w:r w:rsidRPr="00287719">
              <w:t>Chapter 9 Miscellaneous</w:t>
            </w:r>
            <w:r w:rsidR="00287719">
              <w:t>,</w:t>
            </w:r>
            <w:r w:rsidRPr="00287719">
              <w:t xml:space="preserve"> Part 2 Cost </w:t>
            </w:r>
            <w:r w:rsidR="007B6709">
              <w:t>r</w:t>
            </w:r>
            <w:r w:rsidRPr="00287719">
              <w:t>ecovery</w:t>
            </w:r>
            <w:r w:rsidR="007B6709">
              <w:t>, Division 1 Fees:</w:t>
            </w:r>
          </w:p>
          <w:p w14:paraId="4348E75D" w14:textId="5A1896A9" w:rsidR="00344A3F" w:rsidRPr="00287719" w:rsidRDefault="00344A3F" w:rsidP="00AB701E">
            <w:pPr>
              <w:pStyle w:val="TableBullet"/>
            </w:pPr>
            <w:r w:rsidRPr="00287719">
              <w:t xml:space="preserve">s106 Fees that may </w:t>
            </w:r>
            <w:proofErr w:type="gramStart"/>
            <w:r w:rsidRPr="007B6709">
              <w:t>be</w:t>
            </w:r>
            <w:r w:rsidRPr="00287719">
              <w:t xml:space="preserve"> charged</w:t>
            </w:r>
            <w:proofErr w:type="gramEnd"/>
            <w:r w:rsidRPr="00287719">
              <w:t xml:space="preserve"> in relation to fee-bearing activities</w:t>
            </w:r>
          </w:p>
          <w:p w14:paraId="5EE0A9AF" w14:textId="7ECCC6D6" w:rsidR="00344A3F" w:rsidRPr="00287719" w:rsidRDefault="00E729D8" w:rsidP="00AB701E">
            <w:pPr>
              <w:pStyle w:val="TableBullet"/>
            </w:pPr>
            <w:r>
              <w:t>s</w:t>
            </w:r>
            <w:r w:rsidR="00344A3F" w:rsidRPr="00287719">
              <w:t>106A Fee-bearing activities carried out in special processing areas.</w:t>
            </w:r>
          </w:p>
        </w:tc>
      </w:tr>
      <w:tr w:rsidR="00344A3F" w:rsidRPr="0034153B" w14:paraId="1ABC3153" w14:textId="77777777" w:rsidTr="00216DC2">
        <w:trPr>
          <w:cantSplit/>
          <w:trHeight w:val="495"/>
        </w:trPr>
        <w:tc>
          <w:tcPr>
            <w:tcW w:w="1798" w:type="pct"/>
            <w:tcMar>
              <w:left w:w="108" w:type="dxa"/>
              <w:right w:w="108" w:type="dxa"/>
            </w:tcMar>
          </w:tcPr>
          <w:p w14:paraId="38D41A76" w14:textId="77777777" w:rsidR="00344A3F" w:rsidRPr="00287719" w:rsidRDefault="00344A3F" w:rsidP="00287719">
            <w:pPr>
              <w:pStyle w:val="TableText"/>
              <w:rPr>
                <w:rStyle w:val="Emphasis"/>
              </w:rPr>
            </w:pPr>
            <w:r w:rsidRPr="00287719">
              <w:rPr>
                <w:rStyle w:val="Emphasis"/>
              </w:rPr>
              <w:t>Imported Food Control Act 1992</w:t>
            </w:r>
          </w:p>
        </w:tc>
        <w:tc>
          <w:tcPr>
            <w:tcW w:w="3202" w:type="pct"/>
            <w:tcMar>
              <w:left w:w="108" w:type="dxa"/>
              <w:right w:w="108" w:type="dxa"/>
            </w:tcMar>
          </w:tcPr>
          <w:p w14:paraId="3C080532" w14:textId="77777777" w:rsidR="00344A3F" w:rsidRPr="00287719" w:rsidRDefault="00344A3F" w:rsidP="00287719">
            <w:pPr>
              <w:pStyle w:val="TableText"/>
            </w:pPr>
            <w:r w:rsidRPr="00287719">
              <w:t>s36 Fees for certain services.</w:t>
            </w:r>
          </w:p>
        </w:tc>
      </w:tr>
      <w:tr w:rsidR="00344A3F" w:rsidRPr="0034153B" w14:paraId="21CC9721" w14:textId="77777777" w:rsidTr="00216DC2">
        <w:trPr>
          <w:cantSplit/>
          <w:trHeight w:val="60"/>
        </w:trPr>
        <w:tc>
          <w:tcPr>
            <w:tcW w:w="1798" w:type="pct"/>
            <w:tcMar>
              <w:left w:w="108" w:type="dxa"/>
              <w:right w:w="108" w:type="dxa"/>
            </w:tcMar>
          </w:tcPr>
          <w:p w14:paraId="40BCEEAE" w14:textId="77777777" w:rsidR="00344A3F" w:rsidRPr="00287719" w:rsidRDefault="00344A3F" w:rsidP="00287719">
            <w:pPr>
              <w:pStyle w:val="TableText"/>
            </w:pPr>
            <w:r w:rsidRPr="00287719">
              <w:t>Imported Food Control Regulations 2019</w:t>
            </w:r>
          </w:p>
        </w:tc>
        <w:tc>
          <w:tcPr>
            <w:tcW w:w="3202" w:type="pct"/>
            <w:tcMar>
              <w:left w:w="108" w:type="dxa"/>
              <w:right w:w="108" w:type="dxa"/>
            </w:tcMar>
          </w:tcPr>
          <w:p w14:paraId="2B1D6586" w14:textId="31230854" w:rsidR="00344A3F" w:rsidRPr="00287719" w:rsidRDefault="00344A3F" w:rsidP="00287719">
            <w:pPr>
              <w:pStyle w:val="TableText"/>
            </w:pPr>
            <w:r w:rsidRPr="00287719">
              <w:t>s30 Payable amounts for chargeable services.</w:t>
            </w:r>
          </w:p>
        </w:tc>
      </w:tr>
      <w:tr w:rsidR="00344A3F" w:rsidRPr="0034153B" w14:paraId="21082A7D" w14:textId="77777777" w:rsidTr="00216DC2">
        <w:trPr>
          <w:cantSplit/>
          <w:trHeight w:val="60"/>
        </w:trPr>
        <w:tc>
          <w:tcPr>
            <w:tcW w:w="1798" w:type="pct"/>
            <w:tcMar>
              <w:left w:w="108" w:type="dxa"/>
              <w:right w:w="108" w:type="dxa"/>
            </w:tcMar>
          </w:tcPr>
          <w:p w14:paraId="40CE9179" w14:textId="77777777" w:rsidR="00344A3F" w:rsidRPr="00287719" w:rsidRDefault="00344A3F" w:rsidP="00287719">
            <w:pPr>
              <w:pStyle w:val="TableText"/>
              <w:rPr>
                <w:rStyle w:val="Emphasis"/>
              </w:rPr>
            </w:pPr>
            <w:r w:rsidRPr="00287719">
              <w:rPr>
                <w:rStyle w:val="Emphasis"/>
              </w:rPr>
              <w:t>Public Service Act 1999</w:t>
            </w:r>
          </w:p>
        </w:tc>
        <w:tc>
          <w:tcPr>
            <w:tcW w:w="3202" w:type="pct"/>
            <w:tcMar>
              <w:left w:w="108" w:type="dxa"/>
              <w:right w:w="108" w:type="dxa"/>
            </w:tcMar>
          </w:tcPr>
          <w:p w14:paraId="4FAFA98B" w14:textId="5F1E86B7" w:rsidR="00344A3F" w:rsidRPr="00287719" w:rsidRDefault="00827F08" w:rsidP="00287719">
            <w:pPr>
              <w:pStyle w:val="TableText"/>
            </w:pPr>
            <w:r>
              <w:t>s</w:t>
            </w:r>
            <w:r w:rsidR="00344A3F" w:rsidRPr="00287719">
              <w:t>10 APS Values.</w:t>
            </w:r>
          </w:p>
        </w:tc>
      </w:tr>
      <w:tr w:rsidR="00344A3F" w:rsidRPr="0034153B" w14:paraId="3DEEA595" w14:textId="77777777" w:rsidTr="00216DC2">
        <w:trPr>
          <w:cantSplit/>
          <w:trHeight w:val="60"/>
        </w:trPr>
        <w:tc>
          <w:tcPr>
            <w:tcW w:w="1798" w:type="pct"/>
            <w:tcMar>
              <w:left w:w="108" w:type="dxa"/>
              <w:right w:w="108" w:type="dxa"/>
            </w:tcMar>
          </w:tcPr>
          <w:p w14:paraId="5152D3F4" w14:textId="77777777" w:rsidR="00344A3F" w:rsidRPr="00287719" w:rsidRDefault="00344A3F" w:rsidP="00287719">
            <w:pPr>
              <w:pStyle w:val="TableText"/>
              <w:rPr>
                <w:rStyle w:val="Emphasis"/>
              </w:rPr>
            </w:pPr>
            <w:r w:rsidRPr="00287719">
              <w:rPr>
                <w:rStyle w:val="Emphasis"/>
              </w:rPr>
              <w:t>Public Governance, Performance and Accountability Act 2013</w:t>
            </w:r>
          </w:p>
        </w:tc>
        <w:tc>
          <w:tcPr>
            <w:tcW w:w="3202" w:type="pct"/>
            <w:tcMar>
              <w:left w:w="108" w:type="dxa"/>
              <w:right w:w="108" w:type="dxa"/>
            </w:tcMar>
          </w:tcPr>
          <w:p w14:paraId="719A099C" w14:textId="77777777" w:rsidR="00344A3F" w:rsidRPr="00287719" w:rsidRDefault="00344A3F" w:rsidP="00FD386F">
            <w:pPr>
              <w:pStyle w:val="TableBullet"/>
            </w:pPr>
            <w:r w:rsidRPr="00287719">
              <w:t>s16 Duty to establish and maintain systems relating to risk and control.</w:t>
            </w:r>
          </w:p>
          <w:p w14:paraId="3D6F9AEF" w14:textId="77777777" w:rsidR="00344A3F" w:rsidRPr="00287719" w:rsidRDefault="00344A3F" w:rsidP="00FD386F">
            <w:pPr>
              <w:pStyle w:val="TableBullet"/>
            </w:pPr>
            <w:r w:rsidRPr="00287719">
              <w:t>s37 Records about performance of Commonwealth entities.</w:t>
            </w:r>
          </w:p>
          <w:p w14:paraId="7D97A700" w14:textId="77777777" w:rsidR="00344A3F" w:rsidRPr="00287719" w:rsidRDefault="00344A3F" w:rsidP="00FD386F">
            <w:pPr>
              <w:pStyle w:val="TableBullet"/>
            </w:pPr>
            <w:r w:rsidRPr="00287719">
              <w:t>s38 Measuring and assessing performance of Commonwealth entities.</w:t>
            </w:r>
          </w:p>
        </w:tc>
      </w:tr>
      <w:tr w:rsidR="00344A3F" w:rsidRPr="0034153B" w14:paraId="1617B469" w14:textId="77777777" w:rsidTr="00216DC2">
        <w:trPr>
          <w:cantSplit/>
          <w:trHeight w:val="60"/>
        </w:trPr>
        <w:tc>
          <w:tcPr>
            <w:tcW w:w="1798" w:type="pct"/>
            <w:tcMar>
              <w:left w:w="108" w:type="dxa"/>
              <w:right w:w="108" w:type="dxa"/>
            </w:tcMar>
          </w:tcPr>
          <w:p w14:paraId="07532544" w14:textId="77777777" w:rsidR="00344A3F" w:rsidRPr="00287719" w:rsidRDefault="00344A3F" w:rsidP="00287719">
            <w:pPr>
              <w:pStyle w:val="TableText"/>
            </w:pPr>
            <w:r w:rsidRPr="00287719">
              <w:t>Public Governance, Performance and Accountability Rule 2014</w:t>
            </w:r>
          </w:p>
        </w:tc>
        <w:tc>
          <w:tcPr>
            <w:tcW w:w="3202" w:type="pct"/>
            <w:tcMar>
              <w:left w:w="108" w:type="dxa"/>
              <w:right w:w="108" w:type="dxa"/>
            </w:tcMar>
          </w:tcPr>
          <w:p w14:paraId="1BC956E8" w14:textId="3754CC9D" w:rsidR="00344A3F" w:rsidRPr="00287719" w:rsidRDefault="00E729D8" w:rsidP="00287719">
            <w:pPr>
              <w:pStyle w:val="TableText"/>
            </w:pPr>
            <w:r>
              <w:t>s</w:t>
            </w:r>
            <w:r w:rsidR="00344A3F" w:rsidRPr="00287719">
              <w:t>10</w:t>
            </w:r>
            <w:r w:rsidR="00A40D7F">
              <w:t xml:space="preserve"> </w:t>
            </w:r>
            <w:r w:rsidR="00344A3F" w:rsidRPr="00287719">
              <w:t>Preventing, detecting, and dealing with fraud</w:t>
            </w:r>
          </w:p>
        </w:tc>
      </w:tr>
    </w:tbl>
    <w:p w14:paraId="546D0A29" w14:textId="74362D1D" w:rsidR="00344A3F" w:rsidRDefault="00675FFB" w:rsidP="00E729D8">
      <w:pPr>
        <w:pStyle w:val="Caption"/>
        <w:spacing w:before="120"/>
      </w:pPr>
      <w:bookmarkStart w:id="72" w:name="_Ref227739588"/>
      <w:bookmarkStart w:id="73" w:name="_Toc228356737"/>
      <w:r>
        <w:t xml:space="preserve">Table </w:t>
      </w:r>
      <w:r>
        <w:fldChar w:fldCharType="begin"/>
      </w:r>
      <w:r>
        <w:instrText xml:space="preserve"> SEQ Table \* ARABIC </w:instrText>
      </w:r>
      <w:r>
        <w:fldChar w:fldCharType="separate"/>
      </w:r>
      <w:r>
        <w:rPr>
          <w:noProof/>
        </w:rPr>
        <w:t>3</w:t>
      </w:r>
      <w:r>
        <w:fldChar w:fldCharType="end"/>
      </w:r>
      <w:bookmarkEnd w:id="72"/>
      <w:r w:rsidRPr="00112FE1">
        <w:t xml:space="preserve"> Relevant policies</w:t>
      </w:r>
      <w:bookmarkEnd w:id="73"/>
    </w:p>
    <w:tbl>
      <w:tblPr>
        <w:tblW w:w="5000" w:type="pct"/>
        <w:tblBorders>
          <w:top w:val="single" w:sz="6"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3262"/>
        <w:gridCol w:w="5808"/>
      </w:tblGrid>
      <w:tr w:rsidR="00344A3F" w:rsidRPr="00287719" w14:paraId="6F74FD5D" w14:textId="77777777" w:rsidTr="00E729D8">
        <w:trPr>
          <w:cantSplit/>
          <w:tblHeader/>
        </w:trPr>
        <w:tc>
          <w:tcPr>
            <w:tcW w:w="1798" w:type="pct"/>
            <w:tcMar>
              <w:left w:w="108" w:type="dxa"/>
              <w:right w:w="108" w:type="dxa"/>
            </w:tcMar>
          </w:tcPr>
          <w:p w14:paraId="762BB4BD" w14:textId="0E38B40E" w:rsidR="00344A3F" w:rsidRPr="00287719" w:rsidRDefault="00675FFB" w:rsidP="00287719">
            <w:pPr>
              <w:pStyle w:val="TableHeading"/>
            </w:pPr>
            <w:r w:rsidRPr="00287719">
              <w:t>P</w:t>
            </w:r>
            <w:r w:rsidR="00344A3F" w:rsidRPr="00287719">
              <w:t>olicy</w:t>
            </w:r>
          </w:p>
        </w:tc>
        <w:tc>
          <w:tcPr>
            <w:tcW w:w="3202" w:type="pct"/>
            <w:tcMar>
              <w:left w:w="108" w:type="dxa"/>
              <w:right w:w="108" w:type="dxa"/>
            </w:tcMar>
          </w:tcPr>
          <w:p w14:paraId="05C19B71" w14:textId="77777777" w:rsidR="00344A3F" w:rsidRPr="00287719" w:rsidRDefault="00344A3F" w:rsidP="00287719">
            <w:pPr>
              <w:pStyle w:val="TableHeading"/>
            </w:pPr>
            <w:r w:rsidRPr="00287719">
              <w:t>How it applies</w:t>
            </w:r>
          </w:p>
        </w:tc>
      </w:tr>
      <w:tr w:rsidR="00344A3F" w:rsidRPr="00287719" w14:paraId="4F85EB59" w14:textId="77777777" w:rsidTr="00E729D8">
        <w:trPr>
          <w:cantSplit/>
          <w:trHeight w:val="60"/>
        </w:trPr>
        <w:tc>
          <w:tcPr>
            <w:tcW w:w="1798" w:type="pct"/>
            <w:tcMar>
              <w:left w:w="108" w:type="dxa"/>
              <w:right w:w="108" w:type="dxa"/>
            </w:tcMar>
          </w:tcPr>
          <w:p w14:paraId="7628C547" w14:textId="77777777" w:rsidR="00344A3F" w:rsidRPr="00287719" w:rsidRDefault="00344A3F" w:rsidP="00287719">
            <w:pPr>
              <w:pStyle w:val="TableText"/>
            </w:pPr>
            <w:r w:rsidRPr="00287719">
              <w:t>Accountable authority instructions</w:t>
            </w:r>
          </w:p>
        </w:tc>
        <w:tc>
          <w:tcPr>
            <w:tcW w:w="3202" w:type="pct"/>
            <w:tcMar>
              <w:left w:w="108" w:type="dxa"/>
              <w:right w:w="108" w:type="dxa"/>
            </w:tcMar>
          </w:tcPr>
          <w:p w14:paraId="15253599" w14:textId="74F96144" w:rsidR="00344A3F" w:rsidRPr="00287719" w:rsidRDefault="00344A3F" w:rsidP="00287719">
            <w:pPr>
              <w:pStyle w:val="TableText"/>
            </w:pPr>
            <w:r w:rsidRPr="00287719">
              <w:t>The</w:t>
            </w:r>
            <w:r w:rsidR="002725F5" w:rsidRPr="00287719">
              <w:t xml:space="preserve"> </w:t>
            </w:r>
            <w:hyperlink r:id="rId31" w:tgtFrame="_blank" w:history="1">
              <w:r w:rsidR="00E729D8">
                <w:t>a</w:t>
              </w:r>
              <w:r w:rsidRPr="00287719">
                <w:t xml:space="preserve">ccountable </w:t>
              </w:r>
              <w:r w:rsidR="00E729D8">
                <w:t>a</w:t>
              </w:r>
              <w:r w:rsidRPr="00287719">
                <w:t xml:space="preserve">uthority </w:t>
              </w:r>
              <w:r w:rsidR="00E729D8">
                <w:t>i</w:t>
              </w:r>
              <w:r w:rsidRPr="00287719">
                <w:t>nstructions (AAIs)</w:t>
              </w:r>
            </w:hyperlink>
            <w:r w:rsidR="002725F5" w:rsidRPr="00287719">
              <w:t xml:space="preserve"> </w:t>
            </w:r>
            <w:r w:rsidRPr="00287719">
              <w:t xml:space="preserve">are issued by the secretary under </w:t>
            </w:r>
            <w:r w:rsidR="00E729D8">
              <w:t>s</w:t>
            </w:r>
            <w:r w:rsidRPr="00287719">
              <w:t>ection 20A of the</w:t>
            </w:r>
            <w:r w:rsidR="002725F5" w:rsidRPr="00287719">
              <w:t xml:space="preserve"> </w:t>
            </w:r>
            <w:hyperlink r:id="rId32" w:history="1">
              <w:r w:rsidRPr="00E729D8">
                <w:rPr>
                  <w:rStyle w:val="Emphasis"/>
                </w:rPr>
                <w:t>Public Governance, Performance and Accountability Act 2013</w:t>
              </w:r>
            </w:hyperlink>
            <w:r w:rsidR="002725F5" w:rsidRPr="00287719">
              <w:t xml:space="preserve"> </w:t>
            </w:r>
            <w:r w:rsidRPr="00287719">
              <w:t>(PGPA Act) to</w:t>
            </w:r>
            <w:r w:rsidR="002725F5" w:rsidRPr="00287719">
              <w:t xml:space="preserve"> </w:t>
            </w:r>
            <w:hyperlink r:id="rId33" w:anchor="o" w:history="1">
              <w:r w:rsidRPr="00287719">
                <w:t>officials</w:t>
              </w:r>
            </w:hyperlink>
            <w:r w:rsidR="002725F5" w:rsidRPr="00287719">
              <w:t xml:space="preserve"> </w:t>
            </w:r>
            <w:r w:rsidRPr="00287719">
              <w:t>on matters relating to the use of public resources in the delivery of policies, programs and services. The</w:t>
            </w:r>
            <w:r w:rsidR="00A40D7F">
              <w:t xml:space="preserve"> </w:t>
            </w:r>
            <w:r w:rsidRPr="00287719">
              <w:t xml:space="preserve">AAIs apply to all </w:t>
            </w:r>
            <w:r w:rsidR="00041340">
              <w:t xml:space="preserve">department </w:t>
            </w:r>
            <w:r w:rsidRPr="00287719">
              <w:t>officials</w:t>
            </w:r>
            <w:r w:rsidRPr="00041340">
              <w:t>.</w:t>
            </w:r>
          </w:p>
        </w:tc>
      </w:tr>
      <w:tr w:rsidR="00344A3F" w:rsidRPr="00287719" w14:paraId="1BBA370A" w14:textId="77777777" w:rsidTr="00E729D8">
        <w:trPr>
          <w:cantSplit/>
          <w:trHeight w:val="60"/>
        </w:trPr>
        <w:tc>
          <w:tcPr>
            <w:tcW w:w="1798" w:type="pct"/>
            <w:tcMar>
              <w:left w:w="108" w:type="dxa"/>
              <w:right w:w="108" w:type="dxa"/>
            </w:tcMar>
          </w:tcPr>
          <w:p w14:paraId="5FA29B15" w14:textId="77777777" w:rsidR="00344A3F" w:rsidRPr="00287719" w:rsidRDefault="00344A3F" w:rsidP="00287719">
            <w:pPr>
              <w:pStyle w:val="TableText"/>
            </w:pPr>
            <w:r w:rsidRPr="00287719">
              <w:t>APS Values</w:t>
            </w:r>
          </w:p>
        </w:tc>
        <w:tc>
          <w:tcPr>
            <w:tcW w:w="3202" w:type="pct"/>
            <w:tcMar>
              <w:left w:w="108" w:type="dxa"/>
              <w:right w:w="108" w:type="dxa"/>
            </w:tcMar>
          </w:tcPr>
          <w:p w14:paraId="7C246817" w14:textId="6BF227AD" w:rsidR="00344A3F" w:rsidRPr="00287719" w:rsidRDefault="00344A3F" w:rsidP="00287719">
            <w:pPr>
              <w:pStyle w:val="TableText"/>
            </w:pPr>
            <w:r w:rsidRPr="00287719">
              <w:t>The APS Values articulate the parliament</w:t>
            </w:r>
            <w:r w:rsidR="00E729D8">
              <w:t>’</w:t>
            </w:r>
            <w:r w:rsidRPr="00287719">
              <w:t xml:space="preserve">s expectations of public servants in terms of performance and standards of behaviour. The principles of good public administration </w:t>
            </w:r>
            <w:proofErr w:type="gramStart"/>
            <w:r w:rsidRPr="00287719">
              <w:t>are embodied</w:t>
            </w:r>
            <w:proofErr w:type="gramEnd"/>
            <w:r w:rsidRPr="00287719">
              <w:t xml:space="preserve"> in the APS Values.</w:t>
            </w:r>
          </w:p>
        </w:tc>
      </w:tr>
      <w:tr w:rsidR="00344A3F" w:rsidRPr="00287719" w14:paraId="3B6A5EDD" w14:textId="77777777" w:rsidTr="00E729D8">
        <w:trPr>
          <w:cantSplit/>
          <w:trHeight w:val="60"/>
        </w:trPr>
        <w:tc>
          <w:tcPr>
            <w:tcW w:w="1798" w:type="pct"/>
            <w:tcMar>
              <w:left w:w="108" w:type="dxa"/>
              <w:right w:w="108" w:type="dxa"/>
            </w:tcMar>
          </w:tcPr>
          <w:p w14:paraId="51DE37B3" w14:textId="77777777" w:rsidR="00344A3F" w:rsidRPr="00287719" w:rsidRDefault="00344A3F" w:rsidP="00287719">
            <w:pPr>
              <w:pStyle w:val="TableText"/>
            </w:pPr>
            <w:r w:rsidRPr="00287719">
              <w:t>Client service charter</w:t>
            </w:r>
          </w:p>
        </w:tc>
        <w:tc>
          <w:tcPr>
            <w:tcW w:w="3202" w:type="pct"/>
            <w:tcMar>
              <w:left w:w="108" w:type="dxa"/>
              <w:right w:w="108" w:type="dxa"/>
            </w:tcMar>
          </w:tcPr>
          <w:p w14:paraId="550BA94A" w14:textId="1B80E4BA" w:rsidR="00344A3F" w:rsidRPr="00287719" w:rsidRDefault="00344A3F" w:rsidP="00287719">
            <w:pPr>
              <w:pStyle w:val="TableText"/>
            </w:pPr>
            <w:r w:rsidRPr="00287719">
              <w:t>Policy outlining the department</w:t>
            </w:r>
            <w:r w:rsidR="00E729D8">
              <w:t>’</w:t>
            </w:r>
            <w:r w:rsidRPr="00287719">
              <w:t xml:space="preserve">s </w:t>
            </w:r>
            <w:r w:rsidR="001618AE" w:rsidRPr="00287719">
              <w:t>servicing commitments to clients.</w:t>
            </w:r>
          </w:p>
        </w:tc>
      </w:tr>
      <w:tr w:rsidR="00344A3F" w:rsidRPr="00287719" w14:paraId="7812A906" w14:textId="77777777" w:rsidTr="00E729D8">
        <w:trPr>
          <w:cantSplit/>
          <w:trHeight w:val="60"/>
        </w:trPr>
        <w:tc>
          <w:tcPr>
            <w:tcW w:w="1798" w:type="pct"/>
            <w:tcMar>
              <w:left w:w="108" w:type="dxa"/>
              <w:right w:w="108" w:type="dxa"/>
            </w:tcMar>
          </w:tcPr>
          <w:p w14:paraId="7AC61C19" w14:textId="04AF4E6F" w:rsidR="00344A3F" w:rsidRPr="00287719" w:rsidRDefault="00344A3F" w:rsidP="00287719">
            <w:pPr>
              <w:pStyle w:val="TableText"/>
            </w:pPr>
            <w:r w:rsidRPr="00287719">
              <w:t xml:space="preserve">Enterprise </w:t>
            </w:r>
            <w:r w:rsidR="00E729D8">
              <w:t>R</w:t>
            </w:r>
            <w:r w:rsidRPr="00287719">
              <w:t xml:space="preserve">isk </w:t>
            </w:r>
            <w:r w:rsidR="00E729D8">
              <w:t>M</w:t>
            </w:r>
            <w:r w:rsidRPr="00287719">
              <w:t xml:space="preserve">anagement </w:t>
            </w:r>
            <w:r w:rsidR="00E729D8">
              <w:t>F</w:t>
            </w:r>
            <w:r w:rsidRPr="00287719">
              <w:t xml:space="preserve">ramework and </w:t>
            </w:r>
            <w:r w:rsidR="00E729D8">
              <w:t>P</w:t>
            </w:r>
            <w:r w:rsidRPr="00287719">
              <w:t>olicy</w:t>
            </w:r>
          </w:p>
        </w:tc>
        <w:tc>
          <w:tcPr>
            <w:tcW w:w="3202" w:type="pct"/>
            <w:tcMar>
              <w:left w:w="108" w:type="dxa"/>
              <w:right w:w="108" w:type="dxa"/>
            </w:tcMar>
          </w:tcPr>
          <w:p w14:paraId="1D30E6CB" w14:textId="4F4AF949" w:rsidR="00344A3F" w:rsidRPr="00287719" w:rsidRDefault="00344A3F" w:rsidP="00287719">
            <w:pPr>
              <w:pStyle w:val="TableText"/>
            </w:pPr>
            <w:r w:rsidRPr="00287719">
              <w:t xml:space="preserve">The </w:t>
            </w:r>
            <w:r w:rsidR="00E729D8">
              <w:t>E</w:t>
            </w:r>
            <w:r w:rsidRPr="00287719">
              <w:t xml:space="preserve">nterprise </w:t>
            </w:r>
            <w:r w:rsidR="00E729D8">
              <w:t>R</w:t>
            </w:r>
            <w:r w:rsidRPr="00287719">
              <w:t xml:space="preserve">isk </w:t>
            </w:r>
            <w:r w:rsidR="00E729D8">
              <w:t>M</w:t>
            </w:r>
            <w:r w:rsidRPr="00287719">
              <w:t xml:space="preserve">anagement </w:t>
            </w:r>
            <w:r w:rsidR="00E729D8">
              <w:t>F</w:t>
            </w:r>
            <w:r w:rsidRPr="00287719">
              <w:t xml:space="preserve">ramework and </w:t>
            </w:r>
            <w:r w:rsidR="00E729D8">
              <w:t>P</w:t>
            </w:r>
            <w:r w:rsidRPr="00287719">
              <w:t xml:space="preserve">olicy (ERMFP) </w:t>
            </w:r>
            <w:proofErr w:type="gramStart"/>
            <w:r w:rsidRPr="00287719">
              <w:t>outlines</w:t>
            </w:r>
            <w:proofErr w:type="gramEnd"/>
            <w:r w:rsidRPr="00287719">
              <w:t xml:space="preserve"> the </w:t>
            </w:r>
            <w:r w:rsidR="00041340">
              <w:t>department’s</w:t>
            </w:r>
            <w:r w:rsidRPr="00287719">
              <w:t xml:space="preserve"> approach to effective risk management</w:t>
            </w:r>
            <w:r w:rsidR="00D9617F" w:rsidRPr="00287719">
              <w:t xml:space="preserve"> in line with the PGPA Act.</w:t>
            </w:r>
          </w:p>
        </w:tc>
      </w:tr>
      <w:tr w:rsidR="00344A3F" w:rsidRPr="00287719" w14:paraId="210AF8D9" w14:textId="77777777" w:rsidTr="00E729D8">
        <w:trPr>
          <w:cantSplit/>
          <w:trHeight w:val="60"/>
        </w:trPr>
        <w:tc>
          <w:tcPr>
            <w:tcW w:w="1798" w:type="pct"/>
            <w:tcMar>
              <w:left w:w="108" w:type="dxa"/>
              <w:right w:w="108" w:type="dxa"/>
            </w:tcMar>
          </w:tcPr>
          <w:p w14:paraId="30464039" w14:textId="77777777" w:rsidR="00344A3F" w:rsidRPr="00287719" w:rsidRDefault="00344A3F" w:rsidP="00287719">
            <w:pPr>
              <w:pStyle w:val="TableText"/>
            </w:pPr>
            <w:r w:rsidRPr="00287719">
              <w:t>Regulatory practice statement</w:t>
            </w:r>
          </w:p>
        </w:tc>
        <w:tc>
          <w:tcPr>
            <w:tcW w:w="3202" w:type="pct"/>
            <w:tcMar>
              <w:left w:w="108" w:type="dxa"/>
              <w:right w:w="108" w:type="dxa"/>
            </w:tcMar>
          </w:tcPr>
          <w:p w14:paraId="121A9676" w14:textId="37951EDE" w:rsidR="00344A3F" w:rsidRPr="00287719" w:rsidRDefault="00344A3F" w:rsidP="00287719">
            <w:pPr>
              <w:pStyle w:val="TableText"/>
            </w:pPr>
            <w:r w:rsidRPr="00287719">
              <w:t>Sets out the way the</w:t>
            </w:r>
            <w:r w:rsidR="006651B0" w:rsidRPr="00287719">
              <w:t xml:space="preserve"> </w:t>
            </w:r>
            <w:r w:rsidRPr="00287719">
              <w:t>department approaches its regulatory responsibilities, how it regulates according to better practice, and achieve</w:t>
            </w:r>
            <w:r w:rsidR="00041340">
              <w:t>s</w:t>
            </w:r>
            <w:r w:rsidRPr="00287719">
              <w:t xml:space="preserve"> regulatory outcomes that benefit the Australian community, our regulated entities, and industries.</w:t>
            </w:r>
          </w:p>
        </w:tc>
      </w:tr>
      <w:tr w:rsidR="00344A3F" w:rsidRPr="00287719" w14:paraId="39AACFA0" w14:textId="77777777" w:rsidTr="00E729D8">
        <w:trPr>
          <w:cantSplit/>
          <w:trHeight w:val="60"/>
        </w:trPr>
        <w:tc>
          <w:tcPr>
            <w:tcW w:w="1798" w:type="pct"/>
            <w:tcMar>
              <w:left w:w="108" w:type="dxa"/>
              <w:right w:w="108" w:type="dxa"/>
            </w:tcMar>
          </w:tcPr>
          <w:p w14:paraId="3CF9575A" w14:textId="5548B6BF" w:rsidR="00344A3F" w:rsidRPr="00287719" w:rsidRDefault="00041340" w:rsidP="00287719">
            <w:pPr>
              <w:pStyle w:val="TableText"/>
            </w:pPr>
            <w:r>
              <w:t xml:space="preserve">Scheme for </w:t>
            </w:r>
            <w:r w:rsidR="00517040" w:rsidRPr="00287719">
              <w:t>C</w:t>
            </w:r>
            <w:r w:rsidR="00344A3F" w:rsidRPr="00287719">
              <w:t xml:space="preserve">ompensation for </w:t>
            </w:r>
            <w:r>
              <w:t>D</w:t>
            </w:r>
            <w:r w:rsidR="00344A3F" w:rsidRPr="00287719">
              <w:t xml:space="preserve">etriment caused by </w:t>
            </w:r>
            <w:r>
              <w:t>D</w:t>
            </w:r>
            <w:r w:rsidR="00344A3F" w:rsidRPr="00287719">
              <w:t xml:space="preserve">efective </w:t>
            </w:r>
            <w:r>
              <w:t>A</w:t>
            </w:r>
            <w:r w:rsidR="00344A3F" w:rsidRPr="00287719">
              <w:t>dministration (CDDA</w:t>
            </w:r>
            <w:r>
              <w:t xml:space="preserve"> Scheme</w:t>
            </w:r>
            <w:r w:rsidR="00344A3F" w:rsidRPr="00287719">
              <w:t>)</w:t>
            </w:r>
          </w:p>
        </w:tc>
        <w:tc>
          <w:tcPr>
            <w:tcW w:w="3202" w:type="pct"/>
            <w:tcMar>
              <w:left w:w="108" w:type="dxa"/>
              <w:right w:w="108" w:type="dxa"/>
            </w:tcMar>
          </w:tcPr>
          <w:p w14:paraId="4498EC37" w14:textId="6E373129" w:rsidR="00344A3F" w:rsidRPr="00287719" w:rsidRDefault="0028451F" w:rsidP="00287719">
            <w:pPr>
              <w:pStyle w:val="TableText"/>
            </w:pPr>
            <w:r w:rsidRPr="00287719">
              <w:t xml:space="preserve">The CDDA Scheme enables the department to compensate you in circumstances where we are not legally liable and statutory compensation is not available. We can make a payment under the CDDA </w:t>
            </w:r>
            <w:r w:rsidR="00041340">
              <w:t>S</w:t>
            </w:r>
            <w:r w:rsidRPr="00287719">
              <w:t>cheme if we agree that our administration has been defective and our defective administration has directly caused you loss. Payments made under the CDDA Scheme are discretionary, meaning a decision-maker does not have to approve your application.</w:t>
            </w:r>
          </w:p>
        </w:tc>
      </w:tr>
    </w:tbl>
    <w:p w14:paraId="478A2B60" w14:textId="1235A747" w:rsidR="00341894" w:rsidRPr="00A01FA8" w:rsidRDefault="00341894" w:rsidP="00341894">
      <w:pPr>
        <w:pStyle w:val="Heading2"/>
      </w:pPr>
      <w:bookmarkStart w:id="74" w:name="_Toc228528801"/>
      <w:r w:rsidRPr="00A01FA8">
        <w:lastRenderedPageBreak/>
        <w:t>Assurance</w:t>
      </w:r>
      <w:bookmarkEnd w:id="67"/>
      <w:bookmarkEnd w:id="74"/>
    </w:p>
    <w:p w14:paraId="1AAEE682" w14:textId="77777777" w:rsidR="00341894" w:rsidRPr="00A01FA8" w:rsidRDefault="00341894" w:rsidP="00341894">
      <w:pPr>
        <w:rPr>
          <w:rFonts w:cstheme="minorHAnsi"/>
        </w:rPr>
      </w:pPr>
      <w:r w:rsidRPr="00A01FA8">
        <w:rPr>
          <w:rFonts w:cstheme="minorHAnsi"/>
        </w:rPr>
        <w:t>The following departmental mechanisms assure appropriate implementation of this policy:</w:t>
      </w:r>
    </w:p>
    <w:p w14:paraId="42CDBA88" w14:textId="405E3498" w:rsidR="00341894" w:rsidRPr="00A01FA8" w:rsidRDefault="00A91A88" w:rsidP="005E31D5">
      <w:pPr>
        <w:pStyle w:val="ListBullet"/>
      </w:pPr>
      <w:r>
        <w:t>Officers</w:t>
      </w:r>
      <w:r w:rsidR="00341894" w:rsidRPr="00A01FA8">
        <w:rPr>
          <w:lang w:val="en-US"/>
        </w:rPr>
        <w:t xml:space="preserve"> scheduling </w:t>
      </w:r>
      <w:r>
        <w:t>s</w:t>
      </w:r>
      <w:r w:rsidRPr="00A01FA8">
        <w:t>tandard and group appointments</w:t>
      </w:r>
      <w:r>
        <w:t xml:space="preserve"> </w:t>
      </w:r>
      <w:r w:rsidR="00341894" w:rsidRPr="00A01FA8">
        <w:rPr>
          <w:lang w:val="en-US"/>
        </w:rPr>
        <w:t>will be subject to</w:t>
      </w:r>
    </w:p>
    <w:p w14:paraId="6979BAD0" w14:textId="77777777" w:rsidR="00341894" w:rsidRDefault="00341894" w:rsidP="005E31D5">
      <w:pPr>
        <w:pStyle w:val="ListBullet2"/>
      </w:pPr>
      <w:r w:rsidRPr="00A01FA8">
        <w:t>training and assessment</w:t>
      </w:r>
    </w:p>
    <w:p w14:paraId="7E009B5F" w14:textId="77777777" w:rsidR="00341894" w:rsidRDefault="00341894" w:rsidP="005E31D5">
      <w:pPr>
        <w:pStyle w:val="ListBullet2"/>
      </w:pPr>
      <w:r w:rsidRPr="00D01B88">
        <w:t>job cards</w:t>
      </w:r>
    </w:p>
    <w:p w14:paraId="7855753C" w14:textId="77777777" w:rsidR="00341894" w:rsidRPr="00D01B88" w:rsidRDefault="00341894" w:rsidP="005E31D5">
      <w:pPr>
        <w:pStyle w:val="ListBullet2"/>
      </w:pPr>
      <w:r w:rsidRPr="00D01B88">
        <w:t>verification.</w:t>
      </w:r>
    </w:p>
    <w:p w14:paraId="017F6407" w14:textId="77777777" w:rsidR="00341894" w:rsidRPr="00A01FA8" w:rsidRDefault="00341894" w:rsidP="005E31D5">
      <w:pPr>
        <w:pStyle w:val="ListBullet"/>
      </w:pPr>
      <w:r w:rsidRPr="00A01FA8">
        <w:t>Recurring appointments</w:t>
      </w:r>
    </w:p>
    <w:p w14:paraId="0F2D234F" w14:textId="47919B10" w:rsidR="00341894" w:rsidRDefault="00041340" w:rsidP="005E31D5">
      <w:pPr>
        <w:pStyle w:val="ListBullet2"/>
      </w:pPr>
      <w:r>
        <w:t>m</w:t>
      </w:r>
      <w:r w:rsidR="00341894" w:rsidRPr="00A01FA8">
        <w:t xml:space="preserve">ust </w:t>
      </w:r>
      <w:proofErr w:type="gramStart"/>
      <w:r w:rsidR="00341894" w:rsidRPr="00A01FA8">
        <w:t>be reviewed</w:t>
      </w:r>
      <w:proofErr w:type="gramEnd"/>
      <w:r w:rsidR="00341894" w:rsidRPr="00A01FA8">
        <w:t xml:space="preserve"> </w:t>
      </w:r>
      <w:r>
        <w:t xml:space="preserve">by the recurring appointments team </w:t>
      </w:r>
      <w:r w:rsidR="00341894">
        <w:rPr>
          <w:lang w:eastAsia="ja-JP"/>
        </w:rPr>
        <w:t xml:space="preserve">at least 6 months </w:t>
      </w:r>
      <w:r>
        <w:rPr>
          <w:lang w:eastAsia="ja-JP"/>
        </w:rPr>
        <w:t xml:space="preserve">– and no more than 8 months – </w:t>
      </w:r>
      <w:r w:rsidR="00341894">
        <w:rPr>
          <w:lang w:eastAsia="ja-JP"/>
        </w:rPr>
        <w:t>after implementation</w:t>
      </w:r>
    </w:p>
    <w:p w14:paraId="51B03B1B" w14:textId="549133D0" w:rsidR="00341894" w:rsidRDefault="00341894" w:rsidP="005E31D5">
      <w:pPr>
        <w:pStyle w:val="ListBullet2"/>
      </w:pPr>
      <w:r w:rsidRPr="00D01B88">
        <w:t xml:space="preserve">must </w:t>
      </w:r>
      <w:proofErr w:type="gramStart"/>
      <w:r w:rsidRPr="00D01B88">
        <w:t>be endorsed</w:t>
      </w:r>
      <w:proofErr w:type="gramEnd"/>
      <w:r w:rsidRPr="00D01B88">
        <w:t xml:space="preserve"> by the </w:t>
      </w:r>
      <w:r w:rsidR="00A91A88">
        <w:t>recurring appointments team executive</w:t>
      </w:r>
    </w:p>
    <w:p w14:paraId="70D862FE" w14:textId="3F74BF33" w:rsidR="00341894" w:rsidRPr="001F42D9" w:rsidRDefault="00041340" w:rsidP="005E31D5">
      <w:pPr>
        <w:pStyle w:val="ListBullet2"/>
      </w:pPr>
      <w:r>
        <w:t>r</w:t>
      </w:r>
      <w:r w:rsidR="00341894" w:rsidRPr="00D01B88">
        <w:t xml:space="preserve">ecords must </w:t>
      </w:r>
      <w:proofErr w:type="gramStart"/>
      <w:r w:rsidR="00341894" w:rsidRPr="00D01B88">
        <w:t xml:space="preserve">be </w:t>
      </w:r>
      <w:r w:rsidR="00A91A88">
        <w:t xml:space="preserve">appropriately </w:t>
      </w:r>
      <w:r w:rsidR="00341894" w:rsidRPr="00D01B88">
        <w:t>maintained</w:t>
      </w:r>
      <w:proofErr w:type="gramEnd"/>
      <w:r w:rsidR="00A91A88">
        <w:t>.</w:t>
      </w:r>
    </w:p>
    <w:p w14:paraId="22F38B3B" w14:textId="76F3DD17" w:rsidR="00A40D7F" w:rsidRDefault="00140DAB" w:rsidP="005E31D5">
      <w:pPr>
        <w:pStyle w:val="ListBullet"/>
      </w:pPr>
      <w:r>
        <w:t>We will review t</w:t>
      </w:r>
      <w:r w:rsidR="00341894" w:rsidRPr="00A967F2">
        <w:t xml:space="preserve">his policy and associated documents as required or within 3 years following </w:t>
      </w:r>
      <w:r w:rsidR="00341894">
        <w:t>implementation</w:t>
      </w:r>
      <w:r w:rsidR="00341894" w:rsidRPr="00A967F2">
        <w:t>.</w:t>
      </w:r>
    </w:p>
    <w:p w14:paraId="0813C69F" w14:textId="6D2E6473" w:rsidR="00341894" w:rsidRPr="005479A3" w:rsidRDefault="00140DAB" w:rsidP="005E31D5">
      <w:pPr>
        <w:pStyle w:val="ListBullet"/>
      </w:pPr>
      <w:r>
        <w:t xml:space="preserve">Where there are major amendments to the policy; the department will </w:t>
      </w:r>
      <w:r w:rsidR="00F67DEC">
        <w:t>consult internal stakeholders and</w:t>
      </w:r>
      <w:r>
        <w:t xml:space="preserve"> entities to </w:t>
      </w:r>
      <w:r w:rsidR="00F67DEC">
        <w:t xml:space="preserve">submit </w:t>
      </w:r>
      <w:r w:rsidR="00341894" w:rsidRPr="00A01FA8">
        <w:t xml:space="preserve">any identified issues or </w:t>
      </w:r>
      <w:r w:rsidR="00341894" w:rsidRPr="005479A3">
        <w:t>major amendments to the policy.</w:t>
      </w:r>
    </w:p>
    <w:p w14:paraId="79B7777B" w14:textId="71D459E0" w:rsidR="00341894" w:rsidRPr="005479A3" w:rsidRDefault="00341894" w:rsidP="005E31D5">
      <w:pPr>
        <w:pStyle w:val="ListBullet"/>
      </w:pPr>
      <w:r w:rsidRPr="005479A3">
        <w:t xml:space="preserve">Where there are minor amendments that do not impact the overall administration of the policy, </w:t>
      </w:r>
      <w:r w:rsidR="00916DF0">
        <w:t xml:space="preserve">the department will notify entities </w:t>
      </w:r>
      <w:r w:rsidRPr="00916DF0">
        <w:t>of the</w:t>
      </w:r>
      <w:r w:rsidRPr="005479A3">
        <w:t xml:space="preserve"> minor amendment.</w:t>
      </w:r>
    </w:p>
    <w:p w14:paraId="78936631" w14:textId="77777777" w:rsidR="00764D6A" w:rsidRDefault="00E91D72" w:rsidP="007E39EF">
      <w:pPr>
        <w:pStyle w:val="Heading2"/>
        <w:numPr>
          <w:ilvl w:val="0"/>
          <w:numId w:val="0"/>
        </w:numPr>
        <w:ind w:left="720" w:hanging="720"/>
      </w:pPr>
      <w:bookmarkStart w:id="75" w:name="_Appendix_A:_Checklist"/>
      <w:bookmarkStart w:id="76" w:name="_Appendix_A:_Relevant"/>
      <w:bookmarkStart w:id="77" w:name="_Appendix_A:_Glossary"/>
      <w:bookmarkStart w:id="78" w:name="_Appendix_B:_Definitions"/>
      <w:bookmarkStart w:id="79" w:name="_Appendix_C:_Appointments"/>
      <w:bookmarkStart w:id="80" w:name="_Appendix_D:_Related"/>
      <w:bookmarkStart w:id="81" w:name="_Appendix_D:_Related_1"/>
      <w:bookmarkStart w:id="82" w:name="_Appendix_D:_Safety"/>
      <w:bookmarkStart w:id="83" w:name="_Appendix_C:_Safety"/>
      <w:bookmarkStart w:id="84" w:name="_Glossary"/>
      <w:bookmarkStart w:id="85" w:name="_Toc430782161"/>
      <w:bookmarkStart w:id="86" w:name="_Toc228528802"/>
      <w:bookmarkEnd w:id="68"/>
      <w:bookmarkEnd w:id="69"/>
      <w:bookmarkEnd w:id="70"/>
      <w:bookmarkEnd w:id="71"/>
      <w:bookmarkEnd w:id="75"/>
      <w:bookmarkEnd w:id="76"/>
      <w:bookmarkEnd w:id="77"/>
      <w:bookmarkEnd w:id="78"/>
      <w:bookmarkEnd w:id="79"/>
      <w:bookmarkEnd w:id="80"/>
      <w:bookmarkEnd w:id="81"/>
      <w:bookmarkEnd w:id="82"/>
      <w:bookmarkEnd w:id="83"/>
      <w:bookmarkEnd w:id="84"/>
      <w:r>
        <w:lastRenderedPageBreak/>
        <w:t>Glossary</w:t>
      </w:r>
      <w:bookmarkEnd w:id="85"/>
      <w:bookmarkEnd w:id="86"/>
    </w:p>
    <w:tbl>
      <w:tblPr>
        <w:tblW w:w="5000" w:type="pct"/>
        <w:tblBorders>
          <w:top w:val="single" w:sz="6"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2267"/>
        <w:gridCol w:w="6803"/>
      </w:tblGrid>
      <w:tr w:rsidR="00291AD8" w:rsidRPr="0034153B" w14:paraId="3C68B8F7" w14:textId="77777777" w:rsidTr="006836E1">
        <w:trPr>
          <w:cantSplit/>
          <w:tblHeader/>
        </w:trPr>
        <w:tc>
          <w:tcPr>
            <w:tcW w:w="1250" w:type="pct"/>
            <w:tcMar>
              <w:left w:w="108" w:type="dxa"/>
              <w:right w:w="108" w:type="dxa"/>
            </w:tcMar>
          </w:tcPr>
          <w:p w14:paraId="62E7F14B" w14:textId="77777777" w:rsidR="00291AD8" w:rsidRPr="0034153B" w:rsidRDefault="00291AD8">
            <w:pPr>
              <w:pStyle w:val="TableHeading"/>
              <w:rPr>
                <w:sz w:val="20"/>
                <w:szCs w:val="20"/>
              </w:rPr>
            </w:pPr>
            <w:r w:rsidRPr="0034153B">
              <w:rPr>
                <w:sz w:val="20"/>
                <w:szCs w:val="20"/>
              </w:rPr>
              <w:t>Term</w:t>
            </w:r>
          </w:p>
        </w:tc>
        <w:tc>
          <w:tcPr>
            <w:tcW w:w="3750" w:type="pct"/>
            <w:tcMar>
              <w:left w:w="108" w:type="dxa"/>
              <w:right w:w="108" w:type="dxa"/>
            </w:tcMar>
          </w:tcPr>
          <w:p w14:paraId="7720B265" w14:textId="77777777" w:rsidR="00291AD8" w:rsidRPr="0034153B" w:rsidRDefault="00291AD8">
            <w:pPr>
              <w:pStyle w:val="TableHeading"/>
              <w:rPr>
                <w:sz w:val="20"/>
                <w:szCs w:val="20"/>
              </w:rPr>
            </w:pPr>
            <w:r w:rsidRPr="0034153B">
              <w:rPr>
                <w:sz w:val="20"/>
                <w:szCs w:val="20"/>
              </w:rPr>
              <w:t>Definition</w:t>
            </w:r>
          </w:p>
        </w:tc>
      </w:tr>
      <w:tr w:rsidR="00291AD8" w:rsidRPr="0034153B" w14:paraId="02063808" w14:textId="77777777" w:rsidTr="006836E1">
        <w:trPr>
          <w:cantSplit/>
          <w:trHeight w:val="60"/>
        </w:trPr>
        <w:tc>
          <w:tcPr>
            <w:tcW w:w="1250" w:type="pct"/>
            <w:tcMar>
              <w:left w:w="108" w:type="dxa"/>
              <w:right w:w="108" w:type="dxa"/>
            </w:tcMar>
          </w:tcPr>
          <w:p w14:paraId="188CA157" w14:textId="7E7CD22B" w:rsidR="00291AD8" w:rsidRPr="0034153B" w:rsidRDefault="00206BDB">
            <w:pPr>
              <w:pStyle w:val="TableText"/>
              <w:rPr>
                <w:sz w:val="20"/>
                <w:szCs w:val="20"/>
              </w:rPr>
            </w:pPr>
            <w:r>
              <w:rPr>
                <w:sz w:val="20"/>
                <w:szCs w:val="20"/>
              </w:rPr>
              <w:t>d</w:t>
            </w:r>
            <w:r w:rsidR="00291AD8" w:rsidRPr="0034153B">
              <w:rPr>
                <w:sz w:val="20"/>
                <w:szCs w:val="20"/>
              </w:rPr>
              <w:t>epartment coordinated attendance</w:t>
            </w:r>
          </w:p>
        </w:tc>
        <w:tc>
          <w:tcPr>
            <w:tcW w:w="3750" w:type="pct"/>
            <w:tcMar>
              <w:left w:w="108" w:type="dxa"/>
              <w:right w:w="108" w:type="dxa"/>
            </w:tcMar>
          </w:tcPr>
          <w:p w14:paraId="661656A0" w14:textId="511874C1" w:rsidR="00291AD8" w:rsidRPr="0034153B" w:rsidRDefault="00291AD8">
            <w:pPr>
              <w:pStyle w:val="TableText"/>
              <w:rPr>
                <w:sz w:val="20"/>
                <w:szCs w:val="20"/>
              </w:rPr>
            </w:pPr>
            <w:r w:rsidRPr="0034153B">
              <w:rPr>
                <w:sz w:val="20"/>
                <w:szCs w:val="20"/>
              </w:rPr>
              <w:t xml:space="preserve">To effectively manage biosecurity risk, </w:t>
            </w:r>
            <w:r w:rsidR="001A5D32">
              <w:rPr>
                <w:sz w:val="20"/>
                <w:szCs w:val="20"/>
              </w:rPr>
              <w:t>we</w:t>
            </w:r>
            <w:r w:rsidRPr="0034153B">
              <w:rPr>
                <w:sz w:val="20"/>
                <w:szCs w:val="20"/>
              </w:rPr>
              <w:t xml:space="preserve"> may coordinate attendance of officers to third-party premises</w:t>
            </w:r>
            <w:r w:rsidR="001A5D32">
              <w:rPr>
                <w:sz w:val="20"/>
                <w:szCs w:val="20"/>
              </w:rPr>
              <w:t xml:space="preserve"> (</w:t>
            </w:r>
            <w:r w:rsidRPr="0034153B">
              <w:rPr>
                <w:sz w:val="20"/>
                <w:szCs w:val="20"/>
              </w:rPr>
              <w:t xml:space="preserve">see </w:t>
            </w:r>
            <w:hyperlink w:anchor="_Department_coordinated_attendance" w:history="1">
              <w:r w:rsidRPr="0034153B">
                <w:rPr>
                  <w:rStyle w:val="Hyperlink"/>
                  <w:sz w:val="20"/>
                  <w:szCs w:val="20"/>
                </w:rPr>
                <w:t>Department coordinated attendance</w:t>
              </w:r>
            </w:hyperlink>
            <w:r w:rsidR="001A5D32">
              <w:t>)</w:t>
            </w:r>
            <w:r w:rsidRPr="0034153B">
              <w:rPr>
                <w:sz w:val="20"/>
                <w:szCs w:val="20"/>
              </w:rPr>
              <w:t>.</w:t>
            </w:r>
          </w:p>
        </w:tc>
      </w:tr>
      <w:tr w:rsidR="00291AD8" w:rsidRPr="0034153B" w14:paraId="0C58CB70" w14:textId="77777777" w:rsidTr="006836E1">
        <w:trPr>
          <w:cantSplit/>
          <w:trHeight w:val="60"/>
        </w:trPr>
        <w:tc>
          <w:tcPr>
            <w:tcW w:w="1250" w:type="pct"/>
            <w:tcMar>
              <w:left w:w="108" w:type="dxa"/>
              <w:right w:w="108" w:type="dxa"/>
            </w:tcMar>
          </w:tcPr>
          <w:p w14:paraId="43A040B4" w14:textId="7974DABD" w:rsidR="00291AD8" w:rsidRPr="0034153B" w:rsidRDefault="00206BDB">
            <w:pPr>
              <w:pStyle w:val="TableText"/>
              <w:rPr>
                <w:sz w:val="20"/>
                <w:szCs w:val="20"/>
              </w:rPr>
            </w:pPr>
            <w:r>
              <w:rPr>
                <w:sz w:val="20"/>
                <w:szCs w:val="20"/>
              </w:rPr>
              <w:t>e</w:t>
            </w:r>
            <w:r w:rsidR="00291AD8" w:rsidRPr="0034153B">
              <w:rPr>
                <w:sz w:val="20"/>
                <w:szCs w:val="20"/>
              </w:rPr>
              <w:t>ntity</w:t>
            </w:r>
          </w:p>
        </w:tc>
        <w:tc>
          <w:tcPr>
            <w:tcW w:w="3750" w:type="pct"/>
            <w:tcMar>
              <w:left w:w="108" w:type="dxa"/>
              <w:right w:w="108" w:type="dxa"/>
            </w:tcMar>
          </w:tcPr>
          <w:p w14:paraId="75DF2344" w14:textId="0FBF5A29" w:rsidR="00291AD8" w:rsidRPr="0034153B" w:rsidRDefault="00291AD8">
            <w:pPr>
              <w:pStyle w:val="TableText"/>
              <w:rPr>
                <w:sz w:val="20"/>
                <w:szCs w:val="20"/>
              </w:rPr>
            </w:pPr>
            <w:r w:rsidRPr="0034153B">
              <w:rPr>
                <w:sz w:val="20"/>
                <w:szCs w:val="20"/>
              </w:rPr>
              <w:t>May refer to importer</w:t>
            </w:r>
            <w:r w:rsidR="001C5144">
              <w:rPr>
                <w:sz w:val="20"/>
                <w:szCs w:val="20"/>
              </w:rPr>
              <w:t>s</w:t>
            </w:r>
            <w:r w:rsidRPr="0034153B">
              <w:rPr>
                <w:sz w:val="20"/>
                <w:szCs w:val="20"/>
              </w:rPr>
              <w:t xml:space="preserve"> and their representative</w:t>
            </w:r>
            <w:r w:rsidR="001C5144">
              <w:rPr>
                <w:sz w:val="20"/>
                <w:szCs w:val="20"/>
              </w:rPr>
              <w:t>s</w:t>
            </w:r>
            <w:r w:rsidRPr="0034153B">
              <w:rPr>
                <w:sz w:val="20"/>
                <w:szCs w:val="20"/>
              </w:rPr>
              <w:t>, operator</w:t>
            </w:r>
            <w:r w:rsidR="001C5144">
              <w:rPr>
                <w:sz w:val="20"/>
                <w:szCs w:val="20"/>
              </w:rPr>
              <w:t>s</w:t>
            </w:r>
            <w:r w:rsidRPr="0034153B">
              <w:rPr>
                <w:sz w:val="20"/>
                <w:szCs w:val="20"/>
              </w:rPr>
              <w:t xml:space="preserve"> of entry points, approved arrangement operator</w:t>
            </w:r>
            <w:r w:rsidR="001C5144">
              <w:rPr>
                <w:sz w:val="20"/>
                <w:szCs w:val="20"/>
              </w:rPr>
              <w:t>s</w:t>
            </w:r>
            <w:r w:rsidRPr="0034153B">
              <w:rPr>
                <w:sz w:val="20"/>
                <w:szCs w:val="20"/>
              </w:rPr>
              <w:t xml:space="preserve"> or broker</w:t>
            </w:r>
            <w:r w:rsidR="001C5144">
              <w:rPr>
                <w:sz w:val="20"/>
                <w:szCs w:val="20"/>
              </w:rPr>
              <w:t>s</w:t>
            </w:r>
            <w:r w:rsidRPr="0034153B">
              <w:rPr>
                <w:sz w:val="20"/>
                <w:szCs w:val="20"/>
              </w:rPr>
              <w:t>.</w:t>
            </w:r>
          </w:p>
        </w:tc>
      </w:tr>
      <w:tr w:rsidR="00291AD8" w:rsidRPr="0034153B" w14:paraId="164E5FF9" w14:textId="77777777" w:rsidTr="006836E1">
        <w:trPr>
          <w:cantSplit/>
          <w:trHeight w:val="60"/>
        </w:trPr>
        <w:tc>
          <w:tcPr>
            <w:tcW w:w="1250" w:type="pct"/>
            <w:tcMar>
              <w:left w:w="108" w:type="dxa"/>
              <w:right w:w="108" w:type="dxa"/>
            </w:tcMar>
          </w:tcPr>
          <w:p w14:paraId="4581322C" w14:textId="64CB700F" w:rsidR="00291AD8" w:rsidRPr="0034153B" w:rsidRDefault="00206BDB">
            <w:pPr>
              <w:pStyle w:val="TableText"/>
              <w:rPr>
                <w:sz w:val="20"/>
                <w:szCs w:val="20"/>
              </w:rPr>
            </w:pPr>
            <w:r>
              <w:rPr>
                <w:sz w:val="20"/>
                <w:szCs w:val="20"/>
              </w:rPr>
              <w:t>g</w:t>
            </w:r>
            <w:r w:rsidR="00291AD8" w:rsidRPr="0034153B">
              <w:rPr>
                <w:sz w:val="20"/>
                <w:szCs w:val="20"/>
              </w:rPr>
              <w:t>roup appointment</w:t>
            </w:r>
          </w:p>
        </w:tc>
        <w:tc>
          <w:tcPr>
            <w:tcW w:w="3750" w:type="pct"/>
            <w:tcMar>
              <w:left w:w="108" w:type="dxa"/>
              <w:right w:w="108" w:type="dxa"/>
            </w:tcMar>
          </w:tcPr>
          <w:p w14:paraId="086E9B74" w14:textId="77777777" w:rsidR="00291AD8" w:rsidRPr="0034153B" w:rsidRDefault="00291AD8">
            <w:pPr>
              <w:pStyle w:val="TableText"/>
              <w:rPr>
                <w:sz w:val="20"/>
                <w:szCs w:val="20"/>
              </w:rPr>
            </w:pPr>
            <w:r w:rsidRPr="0034153B">
              <w:rPr>
                <w:sz w:val="20"/>
                <w:szCs w:val="20"/>
              </w:rPr>
              <w:t>Single appointment for inspection covering multiple consignments or inspection types. Currently available for limited commodities only.</w:t>
            </w:r>
          </w:p>
        </w:tc>
      </w:tr>
      <w:tr w:rsidR="00291AD8" w:rsidRPr="0034153B" w14:paraId="0E0F361E" w14:textId="77777777" w:rsidTr="006836E1">
        <w:trPr>
          <w:cantSplit/>
          <w:trHeight w:val="60"/>
        </w:trPr>
        <w:tc>
          <w:tcPr>
            <w:tcW w:w="1250" w:type="pct"/>
            <w:tcMar>
              <w:left w:w="108" w:type="dxa"/>
              <w:right w:w="108" w:type="dxa"/>
            </w:tcMar>
          </w:tcPr>
          <w:p w14:paraId="57C49B16" w14:textId="16BCDF21" w:rsidR="00291AD8" w:rsidRPr="0034153B" w:rsidRDefault="00206BDB">
            <w:pPr>
              <w:pStyle w:val="TableText"/>
              <w:rPr>
                <w:sz w:val="20"/>
                <w:szCs w:val="20"/>
              </w:rPr>
            </w:pPr>
            <w:r>
              <w:rPr>
                <w:sz w:val="20"/>
                <w:szCs w:val="20"/>
              </w:rPr>
              <w:t>i</w:t>
            </w:r>
            <w:r w:rsidR="00291AD8" w:rsidRPr="0034153B">
              <w:rPr>
                <w:sz w:val="20"/>
                <w:szCs w:val="20"/>
              </w:rPr>
              <w:t>ndustry group</w:t>
            </w:r>
          </w:p>
        </w:tc>
        <w:tc>
          <w:tcPr>
            <w:tcW w:w="3750" w:type="pct"/>
            <w:tcMar>
              <w:left w:w="108" w:type="dxa"/>
              <w:right w:w="108" w:type="dxa"/>
            </w:tcMar>
          </w:tcPr>
          <w:p w14:paraId="2C7E8DB5" w14:textId="01A68CFD" w:rsidR="00291AD8" w:rsidRPr="0034153B" w:rsidRDefault="00291AD8">
            <w:pPr>
              <w:pStyle w:val="TableText"/>
              <w:rPr>
                <w:sz w:val="20"/>
                <w:szCs w:val="20"/>
              </w:rPr>
            </w:pPr>
            <w:r w:rsidRPr="0034153B">
              <w:rPr>
                <w:sz w:val="20"/>
                <w:szCs w:val="20"/>
              </w:rPr>
              <w:t>Entities that are managing the importation of the same or similar inspection types.</w:t>
            </w:r>
          </w:p>
        </w:tc>
      </w:tr>
      <w:tr w:rsidR="00291AD8" w:rsidRPr="0034153B" w14:paraId="6A4AB219" w14:textId="77777777" w:rsidTr="006836E1">
        <w:trPr>
          <w:cantSplit/>
          <w:trHeight w:val="60"/>
        </w:trPr>
        <w:tc>
          <w:tcPr>
            <w:tcW w:w="1250" w:type="pct"/>
            <w:tcMar>
              <w:left w:w="108" w:type="dxa"/>
              <w:right w:w="108" w:type="dxa"/>
            </w:tcMar>
          </w:tcPr>
          <w:p w14:paraId="789BDCCF" w14:textId="3D6652B6" w:rsidR="00291AD8" w:rsidRPr="0034153B" w:rsidRDefault="00206BDB">
            <w:pPr>
              <w:pStyle w:val="TableText"/>
              <w:rPr>
                <w:sz w:val="20"/>
                <w:szCs w:val="20"/>
              </w:rPr>
            </w:pPr>
            <w:r>
              <w:rPr>
                <w:sz w:val="20"/>
                <w:szCs w:val="20"/>
              </w:rPr>
              <w:t>i</w:t>
            </w:r>
            <w:r w:rsidR="00291AD8" w:rsidRPr="0034153B">
              <w:rPr>
                <w:sz w:val="20"/>
                <w:szCs w:val="20"/>
              </w:rPr>
              <w:t>nspection type</w:t>
            </w:r>
          </w:p>
        </w:tc>
        <w:tc>
          <w:tcPr>
            <w:tcW w:w="3750" w:type="pct"/>
            <w:tcMar>
              <w:left w:w="108" w:type="dxa"/>
              <w:right w:w="108" w:type="dxa"/>
            </w:tcMar>
          </w:tcPr>
          <w:p w14:paraId="0E72EF15" w14:textId="77777777" w:rsidR="00291AD8" w:rsidRPr="0034153B" w:rsidRDefault="00291AD8">
            <w:pPr>
              <w:pStyle w:val="TableText"/>
              <w:rPr>
                <w:sz w:val="20"/>
                <w:szCs w:val="20"/>
              </w:rPr>
            </w:pPr>
            <w:r w:rsidRPr="0034153B">
              <w:rPr>
                <w:sz w:val="20"/>
                <w:szCs w:val="20"/>
              </w:rPr>
              <w:t xml:space="preserve">Describes the commodity and </w:t>
            </w:r>
            <w:proofErr w:type="gramStart"/>
            <w:r w:rsidRPr="0034153B">
              <w:rPr>
                <w:sz w:val="20"/>
                <w:szCs w:val="20"/>
              </w:rPr>
              <w:t>is used</w:t>
            </w:r>
            <w:proofErr w:type="gramEnd"/>
            <w:r w:rsidRPr="0034153B">
              <w:rPr>
                <w:sz w:val="20"/>
                <w:szCs w:val="20"/>
              </w:rPr>
              <w:t xml:space="preserve"> by the department to allocate the correct competency of the inspector and calculate the correct duration of the inspection.</w:t>
            </w:r>
          </w:p>
        </w:tc>
      </w:tr>
      <w:tr w:rsidR="00291AD8" w:rsidRPr="0034153B" w14:paraId="6631C059" w14:textId="77777777" w:rsidTr="006836E1">
        <w:trPr>
          <w:cantSplit/>
          <w:trHeight w:val="60"/>
        </w:trPr>
        <w:tc>
          <w:tcPr>
            <w:tcW w:w="1250" w:type="pct"/>
            <w:tcMar>
              <w:left w:w="108" w:type="dxa"/>
              <w:right w:w="108" w:type="dxa"/>
            </w:tcMar>
          </w:tcPr>
          <w:p w14:paraId="4E9F4F22" w14:textId="58C6CA20" w:rsidR="00291AD8" w:rsidRPr="0034153B" w:rsidRDefault="00206BDB">
            <w:pPr>
              <w:pStyle w:val="TableText"/>
              <w:rPr>
                <w:sz w:val="20"/>
                <w:szCs w:val="20"/>
              </w:rPr>
            </w:pPr>
            <w:r>
              <w:rPr>
                <w:sz w:val="20"/>
                <w:szCs w:val="20"/>
              </w:rPr>
              <w:t>o</w:t>
            </w:r>
            <w:r w:rsidR="00291AD8" w:rsidRPr="0034153B">
              <w:rPr>
                <w:sz w:val="20"/>
                <w:szCs w:val="20"/>
              </w:rPr>
              <w:t>fficer</w:t>
            </w:r>
          </w:p>
        </w:tc>
        <w:tc>
          <w:tcPr>
            <w:tcW w:w="3750" w:type="pct"/>
            <w:tcMar>
              <w:left w:w="108" w:type="dxa"/>
              <w:right w:w="108" w:type="dxa"/>
            </w:tcMar>
          </w:tcPr>
          <w:p w14:paraId="50ABB453" w14:textId="77777777" w:rsidR="00291AD8" w:rsidRPr="0034153B" w:rsidRDefault="00291AD8">
            <w:pPr>
              <w:pStyle w:val="TableText"/>
              <w:rPr>
                <w:sz w:val="20"/>
                <w:szCs w:val="20"/>
              </w:rPr>
            </w:pPr>
            <w:r w:rsidRPr="0034153B">
              <w:rPr>
                <w:sz w:val="20"/>
                <w:szCs w:val="20"/>
              </w:rPr>
              <w:t>Refers to a departmental employee authorised as a biosecurity officer and/or imported food authorised officer.</w:t>
            </w:r>
          </w:p>
        </w:tc>
      </w:tr>
      <w:tr w:rsidR="00291AD8" w:rsidRPr="0034153B" w14:paraId="1D76D33E" w14:textId="77777777" w:rsidTr="006836E1">
        <w:trPr>
          <w:cantSplit/>
          <w:trHeight w:val="60"/>
        </w:trPr>
        <w:tc>
          <w:tcPr>
            <w:tcW w:w="1250" w:type="pct"/>
            <w:tcMar>
              <w:left w:w="108" w:type="dxa"/>
              <w:right w:w="108" w:type="dxa"/>
            </w:tcMar>
          </w:tcPr>
          <w:p w14:paraId="1DACFB43" w14:textId="3FCE48C7" w:rsidR="00291AD8" w:rsidRPr="0034153B" w:rsidRDefault="00206BDB">
            <w:pPr>
              <w:pStyle w:val="TableText"/>
              <w:rPr>
                <w:sz w:val="20"/>
                <w:szCs w:val="20"/>
              </w:rPr>
            </w:pPr>
            <w:r>
              <w:rPr>
                <w:sz w:val="20"/>
                <w:szCs w:val="20"/>
              </w:rPr>
              <w:t>o</w:t>
            </w:r>
            <w:r w:rsidR="00291AD8" w:rsidRPr="0034153B">
              <w:rPr>
                <w:sz w:val="20"/>
                <w:szCs w:val="20"/>
              </w:rPr>
              <w:t>fficer accreditation</w:t>
            </w:r>
          </w:p>
        </w:tc>
        <w:tc>
          <w:tcPr>
            <w:tcW w:w="3750" w:type="pct"/>
            <w:tcMar>
              <w:left w:w="108" w:type="dxa"/>
              <w:right w:w="108" w:type="dxa"/>
            </w:tcMar>
          </w:tcPr>
          <w:p w14:paraId="10300685" w14:textId="77777777" w:rsidR="00291AD8" w:rsidRPr="0034153B" w:rsidRDefault="00291AD8">
            <w:pPr>
              <w:pStyle w:val="TableText"/>
              <w:rPr>
                <w:sz w:val="20"/>
                <w:szCs w:val="20"/>
              </w:rPr>
            </w:pPr>
            <w:r w:rsidRPr="0034153B">
              <w:rPr>
                <w:sz w:val="20"/>
                <w:szCs w:val="20"/>
              </w:rPr>
              <w:t>Accreditations held by officers that enable them to perform biosecurity inspections on different inspection types.</w:t>
            </w:r>
          </w:p>
        </w:tc>
      </w:tr>
      <w:tr w:rsidR="00291AD8" w:rsidRPr="0034153B" w14:paraId="1BDD4BF8" w14:textId="77777777" w:rsidTr="006836E1">
        <w:trPr>
          <w:cantSplit/>
          <w:trHeight w:val="60"/>
        </w:trPr>
        <w:tc>
          <w:tcPr>
            <w:tcW w:w="1250" w:type="pct"/>
            <w:tcMar>
              <w:left w:w="108" w:type="dxa"/>
              <w:right w:w="108" w:type="dxa"/>
            </w:tcMar>
          </w:tcPr>
          <w:p w14:paraId="7292AA77" w14:textId="6A3BF967" w:rsidR="00291AD8" w:rsidRPr="0034153B" w:rsidRDefault="00206BDB">
            <w:pPr>
              <w:pStyle w:val="TableText"/>
              <w:rPr>
                <w:sz w:val="20"/>
                <w:szCs w:val="20"/>
              </w:rPr>
            </w:pPr>
            <w:r>
              <w:rPr>
                <w:sz w:val="20"/>
                <w:szCs w:val="20"/>
              </w:rPr>
              <w:t>p</w:t>
            </w:r>
            <w:r w:rsidR="00291AD8" w:rsidRPr="0034153B">
              <w:rPr>
                <w:sz w:val="20"/>
                <w:szCs w:val="20"/>
              </w:rPr>
              <w:t>rioritisation</w:t>
            </w:r>
          </w:p>
        </w:tc>
        <w:tc>
          <w:tcPr>
            <w:tcW w:w="3750" w:type="pct"/>
            <w:tcMar>
              <w:left w:w="108" w:type="dxa"/>
              <w:right w:w="108" w:type="dxa"/>
            </w:tcMar>
          </w:tcPr>
          <w:p w14:paraId="7FA2993A" w14:textId="6131D71E" w:rsidR="00291AD8" w:rsidRPr="0034153B" w:rsidRDefault="00291AD8">
            <w:pPr>
              <w:pStyle w:val="TableText"/>
              <w:rPr>
                <w:sz w:val="20"/>
                <w:szCs w:val="20"/>
              </w:rPr>
            </w:pPr>
            <w:r w:rsidRPr="0034153B">
              <w:rPr>
                <w:rFonts w:cstheme="minorHAnsi"/>
                <w:sz w:val="20"/>
                <w:szCs w:val="20"/>
              </w:rPr>
              <w:t xml:space="preserve">Prioritisation rules </w:t>
            </w:r>
            <w:r w:rsidR="001A5D32">
              <w:rPr>
                <w:rFonts w:cstheme="minorHAnsi"/>
                <w:sz w:val="20"/>
                <w:szCs w:val="20"/>
              </w:rPr>
              <w:t>we</w:t>
            </w:r>
            <w:r w:rsidRPr="0034153B">
              <w:rPr>
                <w:rFonts w:cstheme="minorHAnsi"/>
                <w:sz w:val="20"/>
                <w:szCs w:val="20"/>
              </w:rPr>
              <w:t xml:space="preserve"> </w:t>
            </w:r>
            <w:r w:rsidR="001C5144">
              <w:rPr>
                <w:rFonts w:cstheme="minorHAnsi"/>
                <w:sz w:val="20"/>
                <w:szCs w:val="20"/>
              </w:rPr>
              <w:t>may</w:t>
            </w:r>
            <w:r w:rsidRPr="0034153B">
              <w:rPr>
                <w:rFonts w:cstheme="minorHAnsi"/>
                <w:sz w:val="20"/>
                <w:szCs w:val="20"/>
              </w:rPr>
              <w:t xml:space="preserve"> apply when scheduling inspections for imported cargo to manage factors such as those outlined in </w:t>
            </w:r>
            <w:hyperlink w:anchor="_Prioritisation_of_inspections" w:history="1">
              <w:r w:rsidRPr="0034153B">
                <w:rPr>
                  <w:rStyle w:val="Hyperlink"/>
                  <w:rFonts w:cstheme="minorHAnsi"/>
                  <w:sz w:val="20"/>
                  <w:szCs w:val="20"/>
                </w:rPr>
                <w:t>Prioritisation of inspections</w:t>
              </w:r>
            </w:hyperlink>
            <w:r w:rsidRPr="0034153B">
              <w:rPr>
                <w:rFonts w:cstheme="minorHAnsi"/>
                <w:sz w:val="20"/>
                <w:szCs w:val="20"/>
              </w:rPr>
              <w:t>.</w:t>
            </w:r>
          </w:p>
        </w:tc>
      </w:tr>
      <w:tr w:rsidR="00291AD8" w:rsidRPr="0034153B" w14:paraId="5D068444" w14:textId="77777777" w:rsidTr="006836E1">
        <w:trPr>
          <w:cantSplit/>
          <w:trHeight w:val="60"/>
        </w:trPr>
        <w:tc>
          <w:tcPr>
            <w:tcW w:w="1250" w:type="pct"/>
            <w:tcMar>
              <w:left w:w="108" w:type="dxa"/>
              <w:right w:w="108" w:type="dxa"/>
            </w:tcMar>
          </w:tcPr>
          <w:p w14:paraId="13B8335A" w14:textId="20A85E6C" w:rsidR="00291AD8" w:rsidRPr="0034153B" w:rsidRDefault="00206BDB">
            <w:pPr>
              <w:pStyle w:val="TableText"/>
              <w:rPr>
                <w:sz w:val="20"/>
                <w:szCs w:val="20"/>
              </w:rPr>
            </w:pPr>
            <w:r>
              <w:rPr>
                <w:sz w:val="20"/>
                <w:szCs w:val="20"/>
              </w:rPr>
              <w:t>r</w:t>
            </w:r>
            <w:r w:rsidR="00291AD8" w:rsidRPr="0034153B">
              <w:rPr>
                <w:sz w:val="20"/>
                <w:szCs w:val="20"/>
              </w:rPr>
              <w:t>ecurring appointment</w:t>
            </w:r>
          </w:p>
        </w:tc>
        <w:tc>
          <w:tcPr>
            <w:tcW w:w="3750" w:type="pct"/>
            <w:tcMar>
              <w:left w:w="108" w:type="dxa"/>
              <w:right w:w="108" w:type="dxa"/>
            </w:tcMar>
          </w:tcPr>
          <w:p w14:paraId="1C96B766" w14:textId="45761452" w:rsidR="00291AD8" w:rsidRPr="0034153B" w:rsidRDefault="00291AD8">
            <w:pPr>
              <w:pStyle w:val="TableText"/>
              <w:rPr>
                <w:sz w:val="20"/>
                <w:szCs w:val="20"/>
              </w:rPr>
            </w:pPr>
            <w:r w:rsidRPr="0034153B">
              <w:rPr>
                <w:sz w:val="20"/>
                <w:szCs w:val="20"/>
              </w:rPr>
              <w:t xml:space="preserve">A voluntary agreement requested by an entity </w:t>
            </w:r>
            <w:r w:rsidR="001A5D32">
              <w:rPr>
                <w:sz w:val="20"/>
                <w:szCs w:val="20"/>
              </w:rPr>
              <w:t>that</w:t>
            </w:r>
            <w:r w:rsidRPr="0034153B">
              <w:rPr>
                <w:sz w:val="20"/>
                <w:szCs w:val="20"/>
              </w:rPr>
              <w:t xml:space="preserve"> provides efficient outcomes </w:t>
            </w:r>
            <w:r w:rsidR="001A5D32">
              <w:rPr>
                <w:sz w:val="20"/>
                <w:szCs w:val="20"/>
              </w:rPr>
              <w:t>for</w:t>
            </w:r>
            <w:r w:rsidR="001A5D32" w:rsidRPr="0034153B">
              <w:rPr>
                <w:sz w:val="20"/>
                <w:szCs w:val="20"/>
              </w:rPr>
              <w:t xml:space="preserve"> </w:t>
            </w:r>
            <w:r w:rsidRPr="0034153B">
              <w:rPr>
                <w:sz w:val="20"/>
                <w:szCs w:val="20"/>
              </w:rPr>
              <w:t>the entity and the department</w:t>
            </w:r>
            <w:r w:rsidR="001A5D32">
              <w:rPr>
                <w:sz w:val="20"/>
                <w:szCs w:val="20"/>
              </w:rPr>
              <w:t>.</w:t>
            </w:r>
          </w:p>
        </w:tc>
      </w:tr>
      <w:tr w:rsidR="00291AD8" w:rsidRPr="0034153B" w14:paraId="4A7513BA" w14:textId="77777777" w:rsidTr="006836E1">
        <w:trPr>
          <w:cantSplit/>
          <w:trHeight w:val="60"/>
        </w:trPr>
        <w:tc>
          <w:tcPr>
            <w:tcW w:w="1250" w:type="pct"/>
            <w:tcMar>
              <w:left w:w="108" w:type="dxa"/>
              <w:right w:w="108" w:type="dxa"/>
            </w:tcMar>
          </w:tcPr>
          <w:p w14:paraId="5E0D1817" w14:textId="55E050B7" w:rsidR="00291AD8" w:rsidRPr="0034153B" w:rsidRDefault="00206BDB">
            <w:pPr>
              <w:pStyle w:val="TableText"/>
              <w:rPr>
                <w:sz w:val="20"/>
                <w:szCs w:val="20"/>
              </w:rPr>
            </w:pPr>
            <w:r>
              <w:rPr>
                <w:sz w:val="20"/>
                <w:szCs w:val="20"/>
              </w:rPr>
              <w:t>s</w:t>
            </w:r>
            <w:r w:rsidR="00291AD8" w:rsidRPr="0034153B">
              <w:rPr>
                <w:sz w:val="20"/>
                <w:szCs w:val="20"/>
              </w:rPr>
              <w:t>ite</w:t>
            </w:r>
          </w:p>
        </w:tc>
        <w:tc>
          <w:tcPr>
            <w:tcW w:w="3750" w:type="pct"/>
            <w:tcMar>
              <w:left w:w="108" w:type="dxa"/>
              <w:right w:w="108" w:type="dxa"/>
            </w:tcMar>
          </w:tcPr>
          <w:p w14:paraId="37622012" w14:textId="1897677D" w:rsidR="00291AD8" w:rsidRPr="0034153B" w:rsidRDefault="00291AD8">
            <w:pPr>
              <w:pStyle w:val="TableText"/>
              <w:rPr>
                <w:sz w:val="20"/>
                <w:szCs w:val="20"/>
              </w:rPr>
            </w:pPr>
            <w:r w:rsidRPr="0034153B">
              <w:rPr>
                <w:sz w:val="20"/>
                <w:szCs w:val="20"/>
              </w:rPr>
              <w:t>A third-party premises</w:t>
            </w:r>
            <w:r w:rsidR="001A5D32">
              <w:rPr>
                <w:sz w:val="20"/>
                <w:szCs w:val="20"/>
              </w:rPr>
              <w:t>,</w:t>
            </w:r>
            <w:r w:rsidRPr="0034153B">
              <w:rPr>
                <w:sz w:val="20"/>
                <w:szCs w:val="20"/>
              </w:rPr>
              <w:t xml:space="preserve"> which may include </w:t>
            </w:r>
            <w:r w:rsidR="001A5D32">
              <w:rPr>
                <w:sz w:val="20"/>
                <w:szCs w:val="20"/>
              </w:rPr>
              <w:t xml:space="preserve">an </w:t>
            </w:r>
            <w:r w:rsidRPr="0034153B">
              <w:rPr>
                <w:sz w:val="20"/>
                <w:szCs w:val="20"/>
              </w:rPr>
              <w:t>approved arrangement, first point of entry</w:t>
            </w:r>
            <w:r w:rsidR="001A5D32">
              <w:rPr>
                <w:sz w:val="20"/>
                <w:szCs w:val="20"/>
              </w:rPr>
              <w:t xml:space="preserve"> or</w:t>
            </w:r>
            <w:r w:rsidRPr="0034153B">
              <w:rPr>
                <w:sz w:val="20"/>
                <w:szCs w:val="20"/>
              </w:rPr>
              <w:t xml:space="preserve"> importer premises.</w:t>
            </w:r>
          </w:p>
        </w:tc>
      </w:tr>
      <w:tr w:rsidR="00291AD8" w:rsidRPr="0034153B" w14:paraId="3802CEC9" w14:textId="77777777" w:rsidTr="006836E1">
        <w:trPr>
          <w:cantSplit/>
          <w:trHeight w:val="60"/>
        </w:trPr>
        <w:tc>
          <w:tcPr>
            <w:tcW w:w="1250" w:type="pct"/>
            <w:tcMar>
              <w:left w:w="108" w:type="dxa"/>
              <w:right w:w="108" w:type="dxa"/>
            </w:tcMar>
          </w:tcPr>
          <w:p w14:paraId="0882A176" w14:textId="2AAC60B4" w:rsidR="00291AD8" w:rsidRPr="0034153B" w:rsidDel="00064752" w:rsidRDefault="00206BDB">
            <w:pPr>
              <w:pStyle w:val="TableText"/>
              <w:rPr>
                <w:sz w:val="20"/>
                <w:szCs w:val="20"/>
              </w:rPr>
            </w:pPr>
            <w:r>
              <w:rPr>
                <w:sz w:val="20"/>
                <w:szCs w:val="20"/>
              </w:rPr>
              <w:t>s</w:t>
            </w:r>
            <w:r w:rsidR="00291AD8" w:rsidRPr="0034153B">
              <w:rPr>
                <w:sz w:val="20"/>
                <w:szCs w:val="20"/>
              </w:rPr>
              <w:t>tandard appointment</w:t>
            </w:r>
          </w:p>
        </w:tc>
        <w:tc>
          <w:tcPr>
            <w:tcW w:w="3750" w:type="pct"/>
            <w:tcMar>
              <w:left w:w="108" w:type="dxa"/>
              <w:right w:w="108" w:type="dxa"/>
            </w:tcMar>
          </w:tcPr>
          <w:p w14:paraId="1678EC02" w14:textId="77777777" w:rsidR="00291AD8" w:rsidRPr="0034153B" w:rsidRDefault="00291AD8">
            <w:pPr>
              <w:pStyle w:val="TableText"/>
              <w:rPr>
                <w:sz w:val="20"/>
                <w:szCs w:val="20"/>
              </w:rPr>
            </w:pPr>
            <w:r w:rsidRPr="0034153B">
              <w:rPr>
                <w:sz w:val="20"/>
                <w:szCs w:val="20"/>
              </w:rPr>
              <w:t>Single appointment for inspection covering an individual consignment only.</w:t>
            </w:r>
          </w:p>
        </w:tc>
      </w:tr>
    </w:tbl>
    <w:p w14:paraId="208CA729" w14:textId="77777777" w:rsidR="005A7193" w:rsidRDefault="005A7193" w:rsidP="00675FFB">
      <w:pPr>
        <w:rPr>
          <w:lang w:eastAsia="ja-JP"/>
        </w:rPr>
      </w:pPr>
    </w:p>
    <w:sectPr w:rsidR="005A7193" w:rsidSect="00932CE0">
      <w:footerReference w:type="default" r:id="rId34"/>
      <w:pgSz w:w="11906" w:h="16838"/>
      <w:pgMar w:top="1418" w:right="1418" w:bottom="1418" w:left="1418" w:header="567" w:footer="283"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urch, Julia" w:date="2017-01-24T12:36:00Z" w:initials="JC">
    <w:p w14:paraId="1DC9E8A3" w14:textId="77777777" w:rsidR="00B861B4" w:rsidRDefault="00B861B4">
      <w:pPr>
        <w:pStyle w:val="CommentText"/>
      </w:pPr>
      <w:r>
        <w:rPr>
          <w:rStyle w:val="CommentReference"/>
        </w:rPr>
        <w:annotationRef/>
      </w:r>
      <w:r>
        <w:t>Update URL to reflect web page where document will be made available.</w:t>
      </w:r>
    </w:p>
  </w:comment>
  <w:comment w:id="1" w:author="Yuksel, Madeline" w:date="2026-05-01T15:08:00Z" w:initials="MY">
    <w:p w14:paraId="07BAABD2" w14:textId="77777777" w:rsidR="00244141" w:rsidRDefault="00244141" w:rsidP="00244141">
      <w:pPr>
        <w:pStyle w:val="CommentText"/>
      </w:pPr>
      <w:r>
        <w:rPr>
          <w:rStyle w:val="CommentReference"/>
        </w:rPr>
        <w:annotationRef/>
      </w:r>
      <w:r>
        <w:t>To be updated once we have webpage link</w:t>
      </w:r>
    </w:p>
  </w:comment>
  <w:comment w:id="35" w:author="Yuksel, Madeline" w:date="2026-04-14T14:11:00Z" w:initials="MY">
    <w:p w14:paraId="0EB1346C" w14:textId="126EA115" w:rsidR="00786B59" w:rsidRDefault="00786B59" w:rsidP="00786B59">
      <w:pPr>
        <w:pStyle w:val="CommentText"/>
      </w:pPr>
      <w:r>
        <w:rPr>
          <w:rStyle w:val="CommentReference"/>
        </w:rPr>
        <w:annotationRef/>
      </w:r>
      <w:r>
        <w:t>To be updated on publication date.</w:t>
      </w:r>
    </w:p>
  </w:comment>
  <w:comment w:id="43" w:author="Yuksel, Madeline" w:date="2026-04-30T10:56:00Z" w:initials="MY">
    <w:p w14:paraId="74F1E99D" w14:textId="77777777" w:rsidR="001E6C10" w:rsidRDefault="001E6C10" w:rsidP="001E6C10">
      <w:pPr>
        <w:pStyle w:val="CommentText"/>
      </w:pPr>
      <w:r>
        <w:rPr>
          <w:rStyle w:val="CommentReference"/>
        </w:rPr>
        <w:annotationRef/>
      </w:r>
      <w:r>
        <w:t>Link to webpage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C9E8A3" w15:done="0"/>
  <w15:commentEx w15:paraId="07BAABD2" w15:paraIdParent="1DC9E8A3" w15:done="0"/>
  <w15:commentEx w15:paraId="0EB1346C" w15:done="0"/>
  <w15:commentEx w15:paraId="74F1E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2B1250" w16cex:dateUtc="2017-01-24T01:36:00Z"/>
  <w16cex:commentExtensible w16cex:durableId="21653A7B" w16cex:dateUtc="2026-05-01T05:08:00Z"/>
  <w16cex:commentExtensible w16cex:durableId="015310BA" w16cex:dateUtc="2026-04-14T04:11:00Z"/>
  <w16cex:commentExtensible w16cex:durableId="3F466E44" w16cex:dateUtc="2026-04-30T0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C9E8A3" w16cid:durableId="232B1250"/>
  <w16cid:commentId w16cid:paraId="07BAABD2" w16cid:durableId="21653A7B"/>
  <w16cid:commentId w16cid:paraId="0EB1346C" w16cid:durableId="015310BA"/>
  <w16cid:commentId w16cid:paraId="74F1E99D" w16cid:durableId="3F466E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07A76" w14:textId="77777777" w:rsidR="00A90776" w:rsidRDefault="00A90776">
      <w:r>
        <w:separator/>
      </w:r>
    </w:p>
    <w:p w14:paraId="0B06E14E" w14:textId="77777777" w:rsidR="00A90776" w:rsidRDefault="00A90776"/>
    <w:p w14:paraId="21FE180C" w14:textId="77777777" w:rsidR="00A90776" w:rsidRDefault="00A90776"/>
  </w:endnote>
  <w:endnote w:type="continuationSeparator" w:id="0">
    <w:p w14:paraId="49977AFA" w14:textId="77777777" w:rsidR="00A90776" w:rsidRDefault="00A90776">
      <w:r>
        <w:continuationSeparator/>
      </w:r>
    </w:p>
    <w:p w14:paraId="5355B7F0" w14:textId="77777777" w:rsidR="00A90776" w:rsidRDefault="00A90776"/>
    <w:p w14:paraId="1A7E5A57" w14:textId="77777777" w:rsidR="00A90776" w:rsidRDefault="00A90776"/>
  </w:endnote>
  <w:endnote w:type="continuationNotice" w:id="1">
    <w:p w14:paraId="03E16A7E" w14:textId="77777777" w:rsidR="00A90776" w:rsidRDefault="00A90776" w:rsidP="00274B73">
      <w:pPr>
        <w:pStyle w:val="Footer"/>
      </w:pPr>
    </w:p>
    <w:p w14:paraId="79BF0676" w14:textId="77777777" w:rsidR="00A90776" w:rsidRDefault="00A90776"/>
    <w:p w14:paraId="3067E0E4" w14:textId="77777777" w:rsidR="00A90776" w:rsidRDefault="00A907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5BB2F" w14:textId="77777777" w:rsidR="00FD6F88" w:rsidRDefault="00FD6F88" w:rsidP="00274B73">
    <w:pPr>
      <w:pStyle w:val="Footer"/>
    </w:pPr>
    <w:r>
      <w:rPr>
        <w:noProof/>
      </w:rPr>
      <mc:AlternateContent>
        <mc:Choice Requires="wps">
          <w:drawing>
            <wp:anchor distT="0" distB="0" distL="0" distR="0" simplePos="0" relativeHeight="251659776" behindDoc="0" locked="0" layoutInCell="1" allowOverlap="1" wp14:anchorId="7DE5D8AE" wp14:editId="75B685CA">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4C48FD3" w14:textId="77777777" w:rsidR="00FD6F88" w:rsidRPr="009622CD" w:rsidRDefault="00FD6F88"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E5D8AE"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04C48FD3" w14:textId="77777777" w:rsidR="00FD6F88" w:rsidRPr="009622CD" w:rsidRDefault="00FD6F88"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35B6" w14:textId="02346E3A" w:rsidR="00FD6F88" w:rsidRDefault="00FD6F88" w:rsidP="009F198F">
    <w:pPr>
      <w:pStyle w:val="Footer"/>
      <w:tabs>
        <w:tab w:val="clear" w:pos="4536"/>
        <w:tab w:val="center" w:pos="4535"/>
      </w:tabs>
    </w:pPr>
    <w:r>
      <w:rPr>
        <w:noProof/>
      </w:rPr>
      <mc:AlternateContent>
        <mc:Choice Requires="wps">
          <w:drawing>
            <wp:anchor distT="0" distB="0" distL="0" distR="0" simplePos="0" relativeHeight="251660800" behindDoc="0" locked="0" layoutInCell="1" allowOverlap="1" wp14:anchorId="76379CE0" wp14:editId="4E8A3F60">
              <wp:simplePos x="901065" y="10053320"/>
              <wp:positionH relativeFrom="page">
                <wp:align>center</wp:align>
              </wp:positionH>
              <wp:positionV relativeFrom="page">
                <wp:align>bottom</wp:align>
              </wp:positionV>
              <wp:extent cx="551815" cy="404495"/>
              <wp:effectExtent l="0" t="0" r="635" b="0"/>
              <wp:wrapNone/>
              <wp:docPr id="1018248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3CE3193" w14:textId="77777777" w:rsidR="00FD6F88" w:rsidRPr="009622CD" w:rsidRDefault="00FD6F88"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379CE0"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03CE3193" w14:textId="77777777" w:rsidR="00FD6F88" w:rsidRPr="009622CD" w:rsidRDefault="00FD6F88"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Pr="00DE0AAE">
      <w:t>Department of Agriculture, Fisheries and Forestry</w:t>
    </w:r>
    <w:r>
      <w:tab/>
    </w:r>
    <w:r>
      <w:fldChar w:fldCharType="begin"/>
    </w:r>
    <w:r>
      <w:instrText xml:space="preserve"> PAGE   \* MERGEFORMAT </w:instrText>
    </w:r>
    <w:r>
      <w:fldChar w:fldCharType="separate"/>
    </w:r>
    <w:r>
      <w:rPr>
        <w:noProof/>
      </w:rPr>
      <w:t>12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AE58" w14:textId="77777777" w:rsidR="00FD6F88" w:rsidRDefault="00FD6F88" w:rsidP="00274B73">
    <w:pPr>
      <w:pStyle w:val="Footer"/>
    </w:pPr>
    <w:r>
      <w:rPr>
        <w:noProof/>
      </w:rPr>
      <mc:AlternateContent>
        <mc:Choice Requires="wps">
          <w:drawing>
            <wp:anchor distT="0" distB="0" distL="0" distR="0" simplePos="0" relativeHeight="251658752" behindDoc="0" locked="0" layoutInCell="1" allowOverlap="1" wp14:anchorId="575EC425" wp14:editId="6997924F">
              <wp:simplePos x="899770" y="10051085"/>
              <wp:positionH relativeFrom="page">
                <wp:align>center</wp:align>
              </wp:positionH>
              <wp:positionV relativeFrom="page">
                <wp:align>bottom</wp:align>
              </wp:positionV>
              <wp:extent cx="551815" cy="404495"/>
              <wp:effectExtent l="0" t="0" r="635" b="0"/>
              <wp:wrapNone/>
              <wp:docPr id="15200322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6A73B52" w14:textId="77777777" w:rsidR="00FD6F88" w:rsidRPr="009622CD" w:rsidRDefault="00FD6F88"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5EC425"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66A73B52" w14:textId="77777777" w:rsidR="00FD6F88" w:rsidRPr="009622CD" w:rsidRDefault="00FD6F88"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95114" w14:textId="440D9961" w:rsidR="00932CE0" w:rsidRPr="004467E9" w:rsidRDefault="00932CE0" w:rsidP="009F198F">
    <w:pPr>
      <w:pStyle w:val="Footer"/>
      <w:tabs>
        <w:tab w:val="clear" w:pos="4536"/>
        <w:tab w:val="center" w:pos="4535"/>
      </w:tabs>
    </w:pPr>
    <w:r>
      <w:rPr>
        <w:noProof/>
      </w:rPr>
      <mc:AlternateContent>
        <mc:Choice Requires="wps">
          <w:drawing>
            <wp:anchor distT="0" distB="0" distL="0" distR="0" simplePos="0" relativeHeight="251653632" behindDoc="0" locked="0" layoutInCell="1" allowOverlap="1" wp14:anchorId="7CB84534" wp14:editId="4443CD08">
              <wp:simplePos x="901065" y="10053320"/>
              <wp:positionH relativeFrom="page">
                <wp:align>center</wp:align>
              </wp:positionH>
              <wp:positionV relativeFrom="page">
                <wp:align>bottom</wp:align>
              </wp:positionV>
              <wp:extent cx="551815" cy="404495"/>
              <wp:effectExtent l="0" t="0" r="635" b="0"/>
              <wp:wrapNone/>
              <wp:docPr id="113952973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2FB2F0F" w14:textId="77777777" w:rsidR="00932CE0" w:rsidRPr="009622CD" w:rsidRDefault="00932CE0"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B84534" id="_x0000_t202" coordsize="21600,21600" o:spt="202" path="m,l,21600r21600,l21600,xe">
              <v:stroke joinstyle="miter"/>
              <v:path gradientshapeok="t" o:connecttype="rect"/>
            </v:shapetype>
            <v:shape id="_x0000_s1032" type="#_x0000_t202" alt="OFFICIAL" style="position:absolute;left:0;text-align:left;margin-left:0;margin-top:0;width:43.45pt;height:31.85pt;z-index:2516536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dGWcxg4CAAAc&#10;BAAADgAAAAAAAAAAAAAAAAAuAgAAZHJzL2Uyb0RvYy54bWxQSwECLQAUAAYACAAAACEAH1WiDdsA&#10;AAADAQAADwAAAAAAAAAAAAAAAABoBAAAZHJzL2Rvd25yZXYueG1sUEsFBgAAAAAEAAQA8wAAAHAF&#10;AAAAAA==&#10;" filled="f" stroked="f">
              <v:textbox style="mso-fit-shape-to-text:t" inset="0,0,0,15pt">
                <w:txbxContent>
                  <w:p w14:paraId="72FB2F0F" w14:textId="77777777" w:rsidR="00932CE0" w:rsidRPr="009622CD" w:rsidRDefault="00932CE0"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Pr="00DE0AAE">
      <w:t>Department of Agriculture, Fisheries and Forestry</w:t>
    </w:r>
    <w:r>
      <w:tab/>
    </w:r>
    <w:r>
      <w:fldChar w:fldCharType="begin"/>
    </w:r>
    <w:r>
      <w:instrText xml:space="preserve"> PAGE   \* MERGEFORMAT </w:instrText>
    </w:r>
    <w: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BD72E" w14:textId="77777777" w:rsidR="00A90776" w:rsidRDefault="00A90776">
      <w:r>
        <w:separator/>
      </w:r>
    </w:p>
    <w:p w14:paraId="249B078F" w14:textId="77777777" w:rsidR="00A90776" w:rsidRDefault="00A90776"/>
    <w:p w14:paraId="6A7DB890" w14:textId="77777777" w:rsidR="00A90776" w:rsidRDefault="00A90776"/>
  </w:footnote>
  <w:footnote w:type="continuationSeparator" w:id="0">
    <w:p w14:paraId="49AF69BE" w14:textId="77777777" w:rsidR="00A90776" w:rsidRDefault="00A90776">
      <w:r>
        <w:continuationSeparator/>
      </w:r>
    </w:p>
    <w:p w14:paraId="697882A6" w14:textId="77777777" w:rsidR="00A90776" w:rsidRDefault="00A90776"/>
    <w:p w14:paraId="4F391855" w14:textId="77777777" w:rsidR="00A90776" w:rsidRDefault="00A90776"/>
  </w:footnote>
  <w:footnote w:type="continuationNotice" w:id="1">
    <w:p w14:paraId="0540581E" w14:textId="77777777" w:rsidR="00A90776" w:rsidRDefault="00A90776" w:rsidP="00274B73">
      <w:pPr>
        <w:pStyle w:val="Footer"/>
      </w:pPr>
    </w:p>
    <w:p w14:paraId="10813A43" w14:textId="77777777" w:rsidR="00A90776" w:rsidRDefault="00A90776"/>
    <w:p w14:paraId="48A4DB21" w14:textId="77777777" w:rsidR="00A90776" w:rsidRDefault="00A907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9853" w14:textId="77777777" w:rsidR="00FD6F88" w:rsidRDefault="00FD6F88">
    <w:pPr>
      <w:pStyle w:val="Header"/>
    </w:pPr>
    <w:r>
      <w:rPr>
        <w:noProof/>
        <w:lang w:val="en-US"/>
      </w:rPr>
      <mc:AlternateContent>
        <mc:Choice Requires="wps">
          <w:drawing>
            <wp:anchor distT="0" distB="0" distL="0" distR="0" simplePos="0" relativeHeight="251656704" behindDoc="0" locked="0" layoutInCell="1" allowOverlap="1" wp14:anchorId="30C1BACB" wp14:editId="1327D44B">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D30078E" w14:textId="77777777" w:rsidR="00FD6F88" w:rsidRPr="009622CD" w:rsidRDefault="00FD6F88"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1BACB"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7D30078E" w14:textId="77777777" w:rsidR="00FD6F88" w:rsidRPr="009622CD" w:rsidRDefault="00FD6F88"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F9F9" w14:textId="6E3084C6" w:rsidR="00FD6F88" w:rsidRDefault="00FD6F88" w:rsidP="0027338F">
    <w:pPr>
      <w:pStyle w:val="Header"/>
    </w:pPr>
    <w:r>
      <w:rPr>
        <w:noProof/>
        <w:lang w:val="en-US"/>
      </w:rPr>
      <mc:AlternateContent>
        <mc:Choice Requires="wps">
          <w:drawing>
            <wp:anchor distT="0" distB="0" distL="0" distR="0" simplePos="0" relativeHeight="251657728" behindDoc="0" locked="0" layoutInCell="1" allowOverlap="1" wp14:anchorId="7A07ECDA" wp14:editId="1D165C76">
              <wp:simplePos x="901065" y="360680"/>
              <wp:positionH relativeFrom="page">
                <wp:align>center</wp:align>
              </wp:positionH>
              <wp:positionV relativeFrom="page">
                <wp:align>top</wp:align>
              </wp:positionV>
              <wp:extent cx="551815" cy="404495"/>
              <wp:effectExtent l="0" t="0" r="635" b="14605"/>
              <wp:wrapNone/>
              <wp:docPr id="12575912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69ECA52" w14:textId="77777777" w:rsidR="00FD6F88" w:rsidRPr="009622CD" w:rsidRDefault="00FD6F88"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07ECDA"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369ECA52" w14:textId="77777777" w:rsidR="00FD6F88" w:rsidRPr="009622CD" w:rsidRDefault="00FD6F88"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t>Cargo Scheduling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0C51" w14:textId="77777777" w:rsidR="00FD6F88" w:rsidRDefault="00FD6F88">
    <w:pPr>
      <w:pStyle w:val="Header"/>
      <w:jc w:val="left"/>
    </w:pPr>
    <w:r>
      <w:rPr>
        <w:noProof/>
      </w:rPr>
      <w:drawing>
        <wp:anchor distT="0" distB="0" distL="114300" distR="114300" simplePos="0" relativeHeight="251654656" behindDoc="1" locked="0" layoutInCell="1" allowOverlap="1" wp14:anchorId="28AE2569" wp14:editId="3BDDF753">
          <wp:simplePos x="0" y="0"/>
          <wp:positionH relativeFrom="page">
            <wp:align>left</wp:align>
          </wp:positionH>
          <wp:positionV relativeFrom="paragraph">
            <wp:posOffset>-398591</wp:posOffset>
          </wp:positionV>
          <wp:extent cx="7565594" cy="10701655"/>
          <wp:effectExtent l="0" t="0" r="0" b="4445"/>
          <wp:wrapNone/>
          <wp:docPr id="1754437259" name="Picture 1754437259"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00097" name="Picture 227300097" descr="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5594" cy="107016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55680" behindDoc="0" locked="0" layoutInCell="1" allowOverlap="1" wp14:anchorId="4D65FE3F" wp14:editId="5CD7A195">
              <wp:simplePos x="899770" y="358445"/>
              <wp:positionH relativeFrom="page">
                <wp:align>center</wp:align>
              </wp:positionH>
              <wp:positionV relativeFrom="page">
                <wp:align>top</wp:align>
              </wp:positionV>
              <wp:extent cx="551815" cy="404495"/>
              <wp:effectExtent l="0" t="0" r="635" b="14605"/>
              <wp:wrapNone/>
              <wp:docPr id="1979450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850966B" w14:textId="77777777" w:rsidR="00FD6F88" w:rsidRPr="009622CD" w:rsidRDefault="00FD6F88"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65FE3F"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1850966B" w14:textId="77777777" w:rsidR="00FD6F88" w:rsidRPr="009622CD" w:rsidRDefault="00FD6F88"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0D4E14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76CDCA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B07ADC"/>
    <w:multiLevelType w:val="hybridMultilevel"/>
    <w:tmpl w:val="6E4604A0"/>
    <w:lvl w:ilvl="0" w:tplc="5338F48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14ED7143"/>
    <w:multiLevelType w:val="hybridMultilevel"/>
    <w:tmpl w:val="AE44D860"/>
    <w:lvl w:ilvl="0" w:tplc="0C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mbria" w:eastAsiaTheme="minorHAnsi" w:hAnsi="Cambria"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993E27"/>
    <w:multiLevelType w:val="hybridMultilevel"/>
    <w:tmpl w:val="586EF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6B606F"/>
    <w:multiLevelType w:val="hybridMultilevel"/>
    <w:tmpl w:val="E0560262"/>
    <w:lvl w:ilvl="0" w:tplc="B9FA63BE">
      <w:start w:val="1"/>
      <w:numFmt w:val="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8" w15:restartNumberingAfterBreak="0">
    <w:nsid w:val="1B9F5FBA"/>
    <w:multiLevelType w:val="hybridMultilevel"/>
    <w:tmpl w:val="9E0CA826"/>
    <w:lvl w:ilvl="0" w:tplc="0C090001">
      <w:start w:val="1"/>
      <w:numFmt w:val="bullet"/>
      <w:lvlText w:val=""/>
      <w:lvlJc w:val="left"/>
      <w:pPr>
        <w:ind w:left="1210" w:hanging="360"/>
      </w:pPr>
      <w:rPr>
        <w:rFonts w:ascii="Symbol" w:hAnsi="Symbol" w:hint="default"/>
      </w:rPr>
    </w:lvl>
    <w:lvl w:ilvl="1" w:tplc="0C090003">
      <w:start w:val="1"/>
      <w:numFmt w:val="bullet"/>
      <w:lvlText w:val="o"/>
      <w:lvlJc w:val="left"/>
      <w:pPr>
        <w:ind w:left="1930" w:hanging="360"/>
      </w:pPr>
      <w:rPr>
        <w:rFonts w:ascii="Courier New" w:hAnsi="Courier New" w:cs="Courier New" w:hint="default"/>
      </w:rPr>
    </w:lvl>
    <w:lvl w:ilvl="2" w:tplc="55D2E968">
      <w:start w:val="1"/>
      <w:numFmt w:val="bullet"/>
      <w:lvlText w:val=""/>
      <w:lvlJc w:val="left"/>
      <w:pPr>
        <w:ind w:left="714" w:hanging="374"/>
      </w:pPr>
      <w:rPr>
        <w:rFonts w:ascii="Symbol" w:hAnsi="Symbol"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9" w15:restartNumberingAfterBreak="0">
    <w:nsid w:val="1BF5360E"/>
    <w:multiLevelType w:val="hybridMultilevel"/>
    <w:tmpl w:val="FB6627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4E76827"/>
    <w:multiLevelType w:val="hybridMultilevel"/>
    <w:tmpl w:val="FB022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20033C"/>
    <w:multiLevelType w:val="hybridMultilevel"/>
    <w:tmpl w:val="AE0EFD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6800B4"/>
    <w:multiLevelType w:val="multilevel"/>
    <w:tmpl w:val="F5685FC2"/>
    <w:numStyleLink w:val="List1"/>
  </w:abstractNum>
  <w:abstractNum w:abstractNumId="14"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DC67895"/>
    <w:multiLevelType w:val="hybridMultilevel"/>
    <w:tmpl w:val="6A1AF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A12966"/>
    <w:multiLevelType w:val="multilevel"/>
    <w:tmpl w:val="F5685FC2"/>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9"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0"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F560AF"/>
    <w:multiLevelType w:val="hybridMultilevel"/>
    <w:tmpl w:val="131A1610"/>
    <w:lvl w:ilvl="0" w:tplc="0C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mbria" w:eastAsiaTheme="minorHAnsi" w:hAnsi="Cambria"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94223FE"/>
    <w:multiLevelType w:val="hybridMultilevel"/>
    <w:tmpl w:val="2056E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1057155">
    <w:abstractNumId w:val="18"/>
  </w:num>
  <w:num w:numId="2" w16cid:durableId="1639215797">
    <w:abstractNumId w:val="19"/>
  </w:num>
  <w:num w:numId="3" w16cid:durableId="1643265712">
    <w:abstractNumId w:val="10"/>
  </w:num>
  <w:num w:numId="4" w16cid:durableId="15689503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15"/>
  </w:num>
  <w:num w:numId="6" w16cid:durableId="281765065">
    <w:abstractNumId w:val="17"/>
  </w:num>
  <w:num w:numId="7" w16cid:durableId="2092000146">
    <w:abstractNumId w:val="14"/>
  </w:num>
  <w:num w:numId="8" w16cid:durableId="864908900">
    <w:abstractNumId w:val="10"/>
    <w:lvlOverride w:ilvl="0">
      <w:lvl w:ilvl="0">
        <w:start w:val="1"/>
        <w:numFmt w:val="decimal"/>
        <w:pStyle w:val="Heading2"/>
        <w:lvlText w:val="%1"/>
        <w:lvlJc w:val="left"/>
        <w:pPr>
          <w:ind w:left="720" w:hanging="720"/>
        </w:pPr>
        <w:rPr>
          <w:color w:val="auto"/>
        </w:rPr>
      </w:lvl>
    </w:lvlOverride>
  </w:num>
  <w:num w:numId="9" w16cid:durableId="1469322956">
    <w:abstractNumId w:val="18"/>
    <w:lvlOverride w:ilvl="0">
      <w:lvl w:ilvl="0">
        <w:start w:val="1"/>
        <w:numFmt w:val="bullet"/>
        <w:pStyle w:val="ListBullet"/>
        <w:lvlText w:val=""/>
        <w:lvlJc w:val="left"/>
        <w:pPr>
          <w:ind w:left="425" w:hanging="425"/>
        </w:pPr>
        <w:rPr>
          <w:rFonts w:ascii="Symbol" w:hAnsi="Symbol" w:hint="default"/>
          <w:color w:val="000000" w:themeColor="text1"/>
        </w:rPr>
      </w:lvl>
    </w:lvlOverride>
  </w:num>
  <w:num w:numId="10" w16cid:durableId="1341661948">
    <w:abstractNumId w:val="19"/>
  </w:num>
  <w:num w:numId="11" w16cid:durableId="1983389004">
    <w:abstractNumId w:val="4"/>
  </w:num>
  <w:num w:numId="12" w16cid:durableId="435951209">
    <w:abstractNumId w:val="20"/>
  </w:num>
  <w:num w:numId="13" w16cid:durableId="1385720017">
    <w:abstractNumId w:val="23"/>
  </w:num>
  <w:num w:numId="14" w16cid:durableId="1361395064">
    <w:abstractNumId w:val="21"/>
  </w:num>
  <w:num w:numId="15" w16cid:durableId="2119637520">
    <w:abstractNumId w:val="2"/>
  </w:num>
  <w:num w:numId="16" w16cid:durableId="7741777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68399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51878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7681628">
    <w:abstractNumId w:val="8"/>
  </w:num>
  <w:num w:numId="20" w16cid:durableId="1814759938">
    <w:abstractNumId w:val="9"/>
  </w:num>
  <w:num w:numId="21" w16cid:durableId="916132516">
    <w:abstractNumId w:val="22"/>
  </w:num>
  <w:num w:numId="22" w16cid:durableId="1192109629">
    <w:abstractNumId w:val="11"/>
  </w:num>
  <w:num w:numId="23" w16cid:durableId="1100418518">
    <w:abstractNumId w:val="24"/>
  </w:num>
  <w:num w:numId="24" w16cid:durableId="1085804308">
    <w:abstractNumId w:val="6"/>
  </w:num>
  <w:num w:numId="25" w16cid:durableId="638220383">
    <w:abstractNumId w:val="12"/>
  </w:num>
  <w:num w:numId="26" w16cid:durableId="1748646660">
    <w:abstractNumId w:val="16"/>
  </w:num>
  <w:num w:numId="27" w16cid:durableId="1264265673">
    <w:abstractNumId w:val="5"/>
  </w:num>
  <w:num w:numId="28" w16cid:durableId="1609045867">
    <w:abstractNumId w:val="3"/>
  </w:num>
  <w:num w:numId="29" w16cid:durableId="115879934">
    <w:abstractNumId w:val="7"/>
  </w:num>
  <w:num w:numId="30" w16cid:durableId="418526189">
    <w:abstractNumId w:val="1"/>
  </w:num>
  <w:num w:numId="31" w16cid:durableId="187254527">
    <w:abstractNumId w:val="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urch, Julia">
    <w15:presenceInfo w15:providerId="None" w15:userId="Church, Julia"/>
  </w15:person>
  <w15:person w15:author="Yuksel, Madeline">
    <w15:presenceInfo w15:providerId="AD" w15:userId="S::Madeline.Yuksel@aff.gov.au::7cb719df-036c-49b7-9311-990fa49441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6E"/>
    <w:rsid w:val="00000163"/>
    <w:rsid w:val="000032AD"/>
    <w:rsid w:val="00006D71"/>
    <w:rsid w:val="00013194"/>
    <w:rsid w:val="00015BED"/>
    <w:rsid w:val="00022529"/>
    <w:rsid w:val="00025475"/>
    <w:rsid w:val="00026464"/>
    <w:rsid w:val="00032789"/>
    <w:rsid w:val="00033582"/>
    <w:rsid w:val="00033E60"/>
    <w:rsid w:val="0003448C"/>
    <w:rsid w:val="000373C5"/>
    <w:rsid w:val="00041340"/>
    <w:rsid w:val="00041687"/>
    <w:rsid w:val="00043D85"/>
    <w:rsid w:val="000542FF"/>
    <w:rsid w:val="000573D5"/>
    <w:rsid w:val="00070B9E"/>
    <w:rsid w:val="00071927"/>
    <w:rsid w:val="00073A5B"/>
    <w:rsid w:val="000800D6"/>
    <w:rsid w:val="000804A0"/>
    <w:rsid w:val="00084E12"/>
    <w:rsid w:val="00085712"/>
    <w:rsid w:val="000869AB"/>
    <w:rsid w:val="000942EE"/>
    <w:rsid w:val="00096FB6"/>
    <w:rsid w:val="00097FA8"/>
    <w:rsid w:val="000A1447"/>
    <w:rsid w:val="000A5170"/>
    <w:rsid w:val="000A7AAF"/>
    <w:rsid w:val="000B1329"/>
    <w:rsid w:val="000B5FA0"/>
    <w:rsid w:val="000B7F78"/>
    <w:rsid w:val="000C0F45"/>
    <w:rsid w:val="000D54FA"/>
    <w:rsid w:val="000E3C0F"/>
    <w:rsid w:val="000F1393"/>
    <w:rsid w:val="000F43F7"/>
    <w:rsid w:val="000F6A89"/>
    <w:rsid w:val="000F7D0C"/>
    <w:rsid w:val="001013AD"/>
    <w:rsid w:val="001023A1"/>
    <w:rsid w:val="001065B2"/>
    <w:rsid w:val="001116C3"/>
    <w:rsid w:val="00112AB2"/>
    <w:rsid w:val="0011350A"/>
    <w:rsid w:val="0012291C"/>
    <w:rsid w:val="00125B86"/>
    <w:rsid w:val="0013191B"/>
    <w:rsid w:val="00135828"/>
    <w:rsid w:val="00136001"/>
    <w:rsid w:val="001364A3"/>
    <w:rsid w:val="00140DAB"/>
    <w:rsid w:val="00150D3F"/>
    <w:rsid w:val="0015123F"/>
    <w:rsid w:val="00151D42"/>
    <w:rsid w:val="00154C62"/>
    <w:rsid w:val="001573A6"/>
    <w:rsid w:val="001618AE"/>
    <w:rsid w:val="00161B14"/>
    <w:rsid w:val="0016201B"/>
    <w:rsid w:val="001635C7"/>
    <w:rsid w:val="001641A3"/>
    <w:rsid w:val="00164F0E"/>
    <w:rsid w:val="00167B1B"/>
    <w:rsid w:val="001728AE"/>
    <w:rsid w:val="0017464B"/>
    <w:rsid w:val="00176594"/>
    <w:rsid w:val="0017699C"/>
    <w:rsid w:val="00177018"/>
    <w:rsid w:val="00181104"/>
    <w:rsid w:val="00182577"/>
    <w:rsid w:val="001868A1"/>
    <w:rsid w:val="001951A1"/>
    <w:rsid w:val="0019621C"/>
    <w:rsid w:val="001A1F92"/>
    <w:rsid w:val="001A480C"/>
    <w:rsid w:val="001A5D32"/>
    <w:rsid w:val="001B1D77"/>
    <w:rsid w:val="001B62D1"/>
    <w:rsid w:val="001B69E5"/>
    <w:rsid w:val="001C0D8D"/>
    <w:rsid w:val="001C1865"/>
    <w:rsid w:val="001C336F"/>
    <w:rsid w:val="001C5144"/>
    <w:rsid w:val="001C782B"/>
    <w:rsid w:val="001D70B0"/>
    <w:rsid w:val="001E490A"/>
    <w:rsid w:val="001E50A9"/>
    <w:rsid w:val="001E6C10"/>
    <w:rsid w:val="001F0F34"/>
    <w:rsid w:val="001F73AF"/>
    <w:rsid w:val="00206BDB"/>
    <w:rsid w:val="002159F7"/>
    <w:rsid w:val="00215CF0"/>
    <w:rsid w:val="0021649B"/>
    <w:rsid w:val="00216882"/>
    <w:rsid w:val="00216DC2"/>
    <w:rsid w:val="00222137"/>
    <w:rsid w:val="0023019F"/>
    <w:rsid w:val="00232F52"/>
    <w:rsid w:val="00235538"/>
    <w:rsid w:val="0023624B"/>
    <w:rsid w:val="00236B34"/>
    <w:rsid w:val="00243934"/>
    <w:rsid w:val="00244141"/>
    <w:rsid w:val="00247AEE"/>
    <w:rsid w:val="00256B0D"/>
    <w:rsid w:val="00256EA4"/>
    <w:rsid w:val="00262BBC"/>
    <w:rsid w:val="0026330E"/>
    <w:rsid w:val="00263CB6"/>
    <w:rsid w:val="00265A2D"/>
    <w:rsid w:val="00266B5E"/>
    <w:rsid w:val="00266C5A"/>
    <w:rsid w:val="002725F5"/>
    <w:rsid w:val="0027338F"/>
    <w:rsid w:val="00274B73"/>
    <w:rsid w:val="00274FFC"/>
    <w:rsid w:val="00275281"/>
    <w:rsid w:val="00281BB6"/>
    <w:rsid w:val="00281F0E"/>
    <w:rsid w:val="002828CB"/>
    <w:rsid w:val="00283CA7"/>
    <w:rsid w:val="0028451F"/>
    <w:rsid w:val="00284C5A"/>
    <w:rsid w:val="00284D14"/>
    <w:rsid w:val="00286307"/>
    <w:rsid w:val="0028709D"/>
    <w:rsid w:val="00287719"/>
    <w:rsid w:val="00290757"/>
    <w:rsid w:val="00291AD8"/>
    <w:rsid w:val="00292692"/>
    <w:rsid w:val="00294C58"/>
    <w:rsid w:val="00296765"/>
    <w:rsid w:val="00296DCA"/>
    <w:rsid w:val="002A5589"/>
    <w:rsid w:val="002A650C"/>
    <w:rsid w:val="002B382C"/>
    <w:rsid w:val="002B38B5"/>
    <w:rsid w:val="002B4F3E"/>
    <w:rsid w:val="002C2571"/>
    <w:rsid w:val="002D1974"/>
    <w:rsid w:val="002D46D4"/>
    <w:rsid w:val="002D482F"/>
    <w:rsid w:val="002D4BDA"/>
    <w:rsid w:val="002D5B0A"/>
    <w:rsid w:val="002D6213"/>
    <w:rsid w:val="002D6448"/>
    <w:rsid w:val="002D67C2"/>
    <w:rsid w:val="002D7EC4"/>
    <w:rsid w:val="002E087D"/>
    <w:rsid w:val="002E0B7C"/>
    <w:rsid w:val="002E18EF"/>
    <w:rsid w:val="002F054B"/>
    <w:rsid w:val="002F1457"/>
    <w:rsid w:val="002F52C4"/>
    <w:rsid w:val="003024BD"/>
    <w:rsid w:val="00304AB4"/>
    <w:rsid w:val="00310C65"/>
    <w:rsid w:val="00316C89"/>
    <w:rsid w:val="00317D7D"/>
    <w:rsid w:val="003214B3"/>
    <w:rsid w:val="00324BD0"/>
    <w:rsid w:val="00330063"/>
    <w:rsid w:val="003322D1"/>
    <w:rsid w:val="0033291E"/>
    <w:rsid w:val="00335552"/>
    <w:rsid w:val="00340090"/>
    <w:rsid w:val="00340A58"/>
    <w:rsid w:val="00341111"/>
    <w:rsid w:val="00341894"/>
    <w:rsid w:val="00344A3F"/>
    <w:rsid w:val="00347886"/>
    <w:rsid w:val="00350D80"/>
    <w:rsid w:val="003511FC"/>
    <w:rsid w:val="0035187F"/>
    <w:rsid w:val="003535FC"/>
    <w:rsid w:val="003537AD"/>
    <w:rsid w:val="00354C6A"/>
    <w:rsid w:val="00360039"/>
    <w:rsid w:val="00364A4A"/>
    <w:rsid w:val="003654AC"/>
    <w:rsid w:val="0037073B"/>
    <w:rsid w:val="003723E2"/>
    <w:rsid w:val="00374253"/>
    <w:rsid w:val="0038283B"/>
    <w:rsid w:val="00383F4D"/>
    <w:rsid w:val="00384DD0"/>
    <w:rsid w:val="00386D5A"/>
    <w:rsid w:val="00392AC7"/>
    <w:rsid w:val="00395407"/>
    <w:rsid w:val="003A59A8"/>
    <w:rsid w:val="003A6F9D"/>
    <w:rsid w:val="003B0021"/>
    <w:rsid w:val="003B1E29"/>
    <w:rsid w:val="003C1D65"/>
    <w:rsid w:val="003C1FCE"/>
    <w:rsid w:val="003D42DD"/>
    <w:rsid w:val="003D5E25"/>
    <w:rsid w:val="003D6F4C"/>
    <w:rsid w:val="003E5338"/>
    <w:rsid w:val="003F0145"/>
    <w:rsid w:val="003F58F8"/>
    <w:rsid w:val="00405FB7"/>
    <w:rsid w:val="00410679"/>
    <w:rsid w:val="00410B27"/>
    <w:rsid w:val="00410DA3"/>
    <w:rsid w:val="004119A5"/>
    <w:rsid w:val="00414B67"/>
    <w:rsid w:val="0041658E"/>
    <w:rsid w:val="0042443D"/>
    <w:rsid w:val="00430DA4"/>
    <w:rsid w:val="0043194F"/>
    <w:rsid w:val="00432172"/>
    <w:rsid w:val="00437495"/>
    <w:rsid w:val="00441BFD"/>
    <w:rsid w:val="00445651"/>
    <w:rsid w:val="004467E9"/>
    <w:rsid w:val="00446881"/>
    <w:rsid w:val="00451B82"/>
    <w:rsid w:val="00461957"/>
    <w:rsid w:val="0046507F"/>
    <w:rsid w:val="004658E9"/>
    <w:rsid w:val="0046625C"/>
    <w:rsid w:val="00470C21"/>
    <w:rsid w:val="00474B46"/>
    <w:rsid w:val="004763F8"/>
    <w:rsid w:val="00476C9E"/>
    <w:rsid w:val="00483242"/>
    <w:rsid w:val="00484A83"/>
    <w:rsid w:val="00491E5F"/>
    <w:rsid w:val="004930D5"/>
    <w:rsid w:val="00493690"/>
    <w:rsid w:val="00493F3C"/>
    <w:rsid w:val="0049612F"/>
    <w:rsid w:val="00496D0B"/>
    <w:rsid w:val="004A05E3"/>
    <w:rsid w:val="004A34FD"/>
    <w:rsid w:val="004A775D"/>
    <w:rsid w:val="004B1D54"/>
    <w:rsid w:val="004B29F6"/>
    <w:rsid w:val="004B3F30"/>
    <w:rsid w:val="004B51E6"/>
    <w:rsid w:val="004B6E01"/>
    <w:rsid w:val="004C320D"/>
    <w:rsid w:val="004C7FC3"/>
    <w:rsid w:val="004D4F73"/>
    <w:rsid w:val="004D6DD4"/>
    <w:rsid w:val="004E0F77"/>
    <w:rsid w:val="004E2791"/>
    <w:rsid w:val="004E3B9F"/>
    <w:rsid w:val="004F3F2A"/>
    <w:rsid w:val="005043EB"/>
    <w:rsid w:val="00504477"/>
    <w:rsid w:val="00510992"/>
    <w:rsid w:val="00514A31"/>
    <w:rsid w:val="0051534C"/>
    <w:rsid w:val="00517040"/>
    <w:rsid w:val="00517A68"/>
    <w:rsid w:val="00522D3B"/>
    <w:rsid w:val="00541B2B"/>
    <w:rsid w:val="0054262A"/>
    <w:rsid w:val="00544064"/>
    <w:rsid w:val="00545539"/>
    <w:rsid w:val="00551C05"/>
    <w:rsid w:val="0055555B"/>
    <w:rsid w:val="0055657D"/>
    <w:rsid w:val="00561079"/>
    <w:rsid w:val="00561929"/>
    <w:rsid w:val="00567CD7"/>
    <w:rsid w:val="00574557"/>
    <w:rsid w:val="00590236"/>
    <w:rsid w:val="005932AF"/>
    <w:rsid w:val="0059380F"/>
    <w:rsid w:val="00593D91"/>
    <w:rsid w:val="00594C76"/>
    <w:rsid w:val="005A08B1"/>
    <w:rsid w:val="005A4775"/>
    <w:rsid w:val="005A7193"/>
    <w:rsid w:val="005B29CD"/>
    <w:rsid w:val="005C36F6"/>
    <w:rsid w:val="005C7CAD"/>
    <w:rsid w:val="005D1919"/>
    <w:rsid w:val="005D3790"/>
    <w:rsid w:val="005E25BD"/>
    <w:rsid w:val="005E31D5"/>
    <w:rsid w:val="005F40AA"/>
    <w:rsid w:val="00600575"/>
    <w:rsid w:val="00600B18"/>
    <w:rsid w:val="00601343"/>
    <w:rsid w:val="00601CC5"/>
    <w:rsid w:val="006138D1"/>
    <w:rsid w:val="00615FA5"/>
    <w:rsid w:val="00616C5C"/>
    <w:rsid w:val="00617854"/>
    <w:rsid w:val="00620249"/>
    <w:rsid w:val="00622548"/>
    <w:rsid w:val="0062542B"/>
    <w:rsid w:val="00635C53"/>
    <w:rsid w:val="00640186"/>
    <w:rsid w:val="00640983"/>
    <w:rsid w:val="00643C78"/>
    <w:rsid w:val="006440A9"/>
    <w:rsid w:val="00652D42"/>
    <w:rsid w:val="00660A68"/>
    <w:rsid w:val="006615B1"/>
    <w:rsid w:val="00661B55"/>
    <w:rsid w:val="006651B0"/>
    <w:rsid w:val="00666052"/>
    <w:rsid w:val="006713A7"/>
    <w:rsid w:val="00674795"/>
    <w:rsid w:val="00675FFB"/>
    <w:rsid w:val="0067734F"/>
    <w:rsid w:val="00680970"/>
    <w:rsid w:val="00680ADB"/>
    <w:rsid w:val="006836E1"/>
    <w:rsid w:val="0068466E"/>
    <w:rsid w:val="006851B5"/>
    <w:rsid w:val="00685E24"/>
    <w:rsid w:val="00687755"/>
    <w:rsid w:val="00692384"/>
    <w:rsid w:val="006A3CD4"/>
    <w:rsid w:val="006A4442"/>
    <w:rsid w:val="006B222A"/>
    <w:rsid w:val="006B3546"/>
    <w:rsid w:val="006B41FF"/>
    <w:rsid w:val="006B4DDC"/>
    <w:rsid w:val="006B7461"/>
    <w:rsid w:val="006C16FF"/>
    <w:rsid w:val="006C261F"/>
    <w:rsid w:val="006C350D"/>
    <w:rsid w:val="006C4CB8"/>
    <w:rsid w:val="006C5145"/>
    <w:rsid w:val="006D185A"/>
    <w:rsid w:val="006D1999"/>
    <w:rsid w:val="006E05F1"/>
    <w:rsid w:val="006E1A6F"/>
    <w:rsid w:val="006E3833"/>
    <w:rsid w:val="006E6712"/>
    <w:rsid w:val="006F2A3C"/>
    <w:rsid w:val="006F662A"/>
    <w:rsid w:val="006F6656"/>
    <w:rsid w:val="00703977"/>
    <w:rsid w:val="00711E3D"/>
    <w:rsid w:val="0071381A"/>
    <w:rsid w:val="0071586E"/>
    <w:rsid w:val="007169D6"/>
    <w:rsid w:val="0071743D"/>
    <w:rsid w:val="00721044"/>
    <w:rsid w:val="007218D1"/>
    <w:rsid w:val="00723687"/>
    <w:rsid w:val="007376FD"/>
    <w:rsid w:val="00742190"/>
    <w:rsid w:val="007500D4"/>
    <w:rsid w:val="007571FE"/>
    <w:rsid w:val="00761747"/>
    <w:rsid w:val="00761FCF"/>
    <w:rsid w:val="00764D6A"/>
    <w:rsid w:val="00773056"/>
    <w:rsid w:val="00780368"/>
    <w:rsid w:val="00785607"/>
    <w:rsid w:val="00786B59"/>
    <w:rsid w:val="007871C9"/>
    <w:rsid w:val="007904D6"/>
    <w:rsid w:val="00790710"/>
    <w:rsid w:val="00795C63"/>
    <w:rsid w:val="00797460"/>
    <w:rsid w:val="007A3AFF"/>
    <w:rsid w:val="007A4DDB"/>
    <w:rsid w:val="007A5008"/>
    <w:rsid w:val="007A5D10"/>
    <w:rsid w:val="007B018C"/>
    <w:rsid w:val="007B66C4"/>
    <w:rsid w:val="007B6709"/>
    <w:rsid w:val="007B7E13"/>
    <w:rsid w:val="007C1412"/>
    <w:rsid w:val="007C2ADB"/>
    <w:rsid w:val="007C358A"/>
    <w:rsid w:val="007C3D81"/>
    <w:rsid w:val="007C3FF1"/>
    <w:rsid w:val="007C714F"/>
    <w:rsid w:val="007D2701"/>
    <w:rsid w:val="007D3B33"/>
    <w:rsid w:val="007E2BC6"/>
    <w:rsid w:val="007E3073"/>
    <w:rsid w:val="007E39EF"/>
    <w:rsid w:val="007F1102"/>
    <w:rsid w:val="007F410F"/>
    <w:rsid w:val="00800AF3"/>
    <w:rsid w:val="00800FE1"/>
    <w:rsid w:val="00804C6C"/>
    <w:rsid w:val="00805291"/>
    <w:rsid w:val="00814F3D"/>
    <w:rsid w:val="00814F57"/>
    <w:rsid w:val="00820F04"/>
    <w:rsid w:val="00827F08"/>
    <w:rsid w:val="00830897"/>
    <w:rsid w:val="00831DED"/>
    <w:rsid w:val="00833FC4"/>
    <w:rsid w:val="0084011B"/>
    <w:rsid w:val="00863135"/>
    <w:rsid w:val="00874B35"/>
    <w:rsid w:val="0087752B"/>
    <w:rsid w:val="00880721"/>
    <w:rsid w:val="00880725"/>
    <w:rsid w:val="00881291"/>
    <w:rsid w:val="0088382D"/>
    <w:rsid w:val="00883EEA"/>
    <w:rsid w:val="00884962"/>
    <w:rsid w:val="0088576D"/>
    <w:rsid w:val="00892CC1"/>
    <w:rsid w:val="0089320B"/>
    <w:rsid w:val="00894031"/>
    <w:rsid w:val="00897B06"/>
    <w:rsid w:val="008A0EE3"/>
    <w:rsid w:val="008B14E1"/>
    <w:rsid w:val="008B1855"/>
    <w:rsid w:val="008B34EE"/>
    <w:rsid w:val="008B3D69"/>
    <w:rsid w:val="008B54CD"/>
    <w:rsid w:val="008C56EB"/>
    <w:rsid w:val="008C584E"/>
    <w:rsid w:val="008C7044"/>
    <w:rsid w:val="008D1B6A"/>
    <w:rsid w:val="008D1D6E"/>
    <w:rsid w:val="008D619B"/>
    <w:rsid w:val="008E2231"/>
    <w:rsid w:val="008E26F9"/>
    <w:rsid w:val="008E4896"/>
    <w:rsid w:val="008E6248"/>
    <w:rsid w:val="008F2762"/>
    <w:rsid w:val="008F5066"/>
    <w:rsid w:val="008F7B16"/>
    <w:rsid w:val="00901862"/>
    <w:rsid w:val="009020C3"/>
    <w:rsid w:val="009101D6"/>
    <w:rsid w:val="009146FD"/>
    <w:rsid w:val="009153E4"/>
    <w:rsid w:val="00916DF0"/>
    <w:rsid w:val="00920CE5"/>
    <w:rsid w:val="009233EB"/>
    <w:rsid w:val="00923CC9"/>
    <w:rsid w:val="00932CE0"/>
    <w:rsid w:val="00934671"/>
    <w:rsid w:val="00936B86"/>
    <w:rsid w:val="009407D8"/>
    <w:rsid w:val="009422F0"/>
    <w:rsid w:val="00942ED7"/>
    <w:rsid w:val="00943CF5"/>
    <w:rsid w:val="009553E5"/>
    <w:rsid w:val="00961F76"/>
    <w:rsid w:val="009622CD"/>
    <w:rsid w:val="0096534A"/>
    <w:rsid w:val="0097615E"/>
    <w:rsid w:val="00982CF5"/>
    <w:rsid w:val="00983ED8"/>
    <w:rsid w:val="00984861"/>
    <w:rsid w:val="009A501D"/>
    <w:rsid w:val="009A6F78"/>
    <w:rsid w:val="009A7D66"/>
    <w:rsid w:val="009B2CF8"/>
    <w:rsid w:val="009B47B0"/>
    <w:rsid w:val="009B774A"/>
    <w:rsid w:val="009B790D"/>
    <w:rsid w:val="009B7E76"/>
    <w:rsid w:val="009C2D57"/>
    <w:rsid w:val="009D263F"/>
    <w:rsid w:val="009D5007"/>
    <w:rsid w:val="009E10F3"/>
    <w:rsid w:val="009E2823"/>
    <w:rsid w:val="009E2BC2"/>
    <w:rsid w:val="009E31E4"/>
    <w:rsid w:val="009F0EB1"/>
    <w:rsid w:val="009F198F"/>
    <w:rsid w:val="00A125D9"/>
    <w:rsid w:val="00A138CA"/>
    <w:rsid w:val="00A14089"/>
    <w:rsid w:val="00A15698"/>
    <w:rsid w:val="00A16B82"/>
    <w:rsid w:val="00A306C3"/>
    <w:rsid w:val="00A32D8E"/>
    <w:rsid w:val="00A32E25"/>
    <w:rsid w:val="00A3720E"/>
    <w:rsid w:val="00A40D7F"/>
    <w:rsid w:val="00A411A8"/>
    <w:rsid w:val="00A42882"/>
    <w:rsid w:val="00A4508E"/>
    <w:rsid w:val="00A46EBF"/>
    <w:rsid w:val="00A50EBC"/>
    <w:rsid w:val="00A57F62"/>
    <w:rsid w:val="00A629F9"/>
    <w:rsid w:val="00A77F41"/>
    <w:rsid w:val="00A80C91"/>
    <w:rsid w:val="00A812AF"/>
    <w:rsid w:val="00A84B58"/>
    <w:rsid w:val="00A90776"/>
    <w:rsid w:val="00A91307"/>
    <w:rsid w:val="00A91A88"/>
    <w:rsid w:val="00A95DA4"/>
    <w:rsid w:val="00A97DEA"/>
    <w:rsid w:val="00AA1D58"/>
    <w:rsid w:val="00AA24C2"/>
    <w:rsid w:val="00AA2739"/>
    <w:rsid w:val="00AA6670"/>
    <w:rsid w:val="00AB3742"/>
    <w:rsid w:val="00AB4903"/>
    <w:rsid w:val="00AB5DF7"/>
    <w:rsid w:val="00AB665C"/>
    <w:rsid w:val="00AB701E"/>
    <w:rsid w:val="00AB7911"/>
    <w:rsid w:val="00AC16AD"/>
    <w:rsid w:val="00AC35F5"/>
    <w:rsid w:val="00AC3B3A"/>
    <w:rsid w:val="00AD1493"/>
    <w:rsid w:val="00AD4FDD"/>
    <w:rsid w:val="00AE4237"/>
    <w:rsid w:val="00AF2F9F"/>
    <w:rsid w:val="00AF7997"/>
    <w:rsid w:val="00B02B9B"/>
    <w:rsid w:val="00B04227"/>
    <w:rsid w:val="00B14585"/>
    <w:rsid w:val="00B22350"/>
    <w:rsid w:val="00B2557D"/>
    <w:rsid w:val="00B3404E"/>
    <w:rsid w:val="00B43768"/>
    <w:rsid w:val="00B54B30"/>
    <w:rsid w:val="00B566C5"/>
    <w:rsid w:val="00B5740E"/>
    <w:rsid w:val="00B60E5B"/>
    <w:rsid w:val="00B63B5D"/>
    <w:rsid w:val="00B66B69"/>
    <w:rsid w:val="00B816EF"/>
    <w:rsid w:val="00B83E08"/>
    <w:rsid w:val="00B84485"/>
    <w:rsid w:val="00B861B4"/>
    <w:rsid w:val="00B930A4"/>
    <w:rsid w:val="00B93C7A"/>
    <w:rsid w:val="00B97E61"/>
    <w:rsid w:val="00BA20FF"/>
    <w:rsid w:val="00BA37AB"/>
    <w:rsid w:val="00BA5B0F"/>
    <w:rsid w:val="00BA6DF0"/>
    <w:rsid w:val="00BA791C"/>
    <w:rsid w:val="00BB2646"/>
    <w:rsid w:val="00BB75DE"/>
    <w:rsid w:val="00BC1616"/>
    <w:rsid w:val="00BC3C43"/>
    <w:rsid w:val="00BD2DEC"/>
    <w:rsid w:val="00BD33E0"/>
    <w:rsid w:val="00BD3838"/>
    <w:rsid w:val="00BD671A"/>
    <w:rsid w:val="00BD7291"/>
    <w:rsid w:val="00BD781B"/>
    <w:rsid w:val="00BD78D3"/>
    <w:rsid w:val="00BE4BFF"/>
    <w:rsid w:val="00BE4CC3"/>
    <w:rsid w:val="00BE561A"/>
    <w:rsid w:val="00BE6B5C"/>
    <w:rsid w:val="00BE7539"/>
    <w:rsid w:val="00BE7D9D"/>
    <w:rsid w:val="00BF06E4"/>
    <w:rsid w:val="00BF10B1"/>
    <w:rsid w:val="00BF4D87"/>
    <w:rsid w:val="00BF4E55"/>
    <w:rsid w:val="00BF6B40"/>
    <w:rsid w:val="00C003C5"/>
    <w:rsid w:val="00C02519"/>
    <w:rsid w:val="00C12ACE"/>
    <w:rsid w:val="00C24CEB"/>
    <w:rsid w:val="00C26E47"/>
    <w:rsid w:val="00C331FD"/>
    <w:rsid w:val="00C33358"/>
    <w:rsid w:val="00C416EC"/>
    <w:rsid w:val="00C42BA6"/>
    <w:rsid w:val="00C46825"/>
    <w:rsid w:val="00C4721F"/>
    <w:rsid w:val="00C500E1"/>
    <w:rsid w:val="00C531CD"/>
    <w:rsid w:val="00C55EDE"/>
    <w:rsid w:val="00C562D4"/>
    <w:rsid w:val="00C63E3B"/>
    <w:rsid w:val="00C65CB3"/>
    <w:rsid w:val="00C74950"/>
    <w:rsid w:val="00C76A59"/>
    <w:rsid w:val="00C77CAF"/>
    <w:rsid w:val="00C812D2"/>
    <w:rsid w:val="00C83FE3"/>
    <w:rsid w:val="00C84903"/>
    <w:rsid w:val="00C859C9"/>
    <w:rsid w:val="00C85C62"/>
    <w:rsid w:val="00C91311"/>
    <w:rsid w:val="00CA0B47"/>
    <w:rsid w:val="00CA5540"/>
    <w:rsid w:val="00CA6C9D"/>
    <w:rsid w:val="00CA75C9"/>
    <w:rsid w:val="00CA7614"/>
    <w:rsid w:val="00CA78F7"/>
    <w:rsid w:val="00CB4F59"/>
    <w:rsid w:val="00CC2724"/>
    <w:rsid w:val="00CC3A34"/>
    <w:rsid w:val="00CC6426"/>
    <w:rsid w:val="00CD3554"/>
    <w:rsid w:val="00CD6120"/>
    <w:rsid w:val="00CE2994"/>
    <w:rsid w:val="00CE4D88"/>
    <w:rsid w:val="00CF4F5E"/>
    <w:rsid w:val="00CF52C1"/>
    <w:rsid w:val="00D01BA5"/>
    <w:rsid w:val="00D07F7D"/>
    <w:rsid w:val="00D1032B"/>
    <w:rsid w:val="00D10599"/>
    <w:rsid w:val="00D10DF0"/>
    <w:rsid w:val="00D133B3"/>
    <w:rsid w:val="00D209E4"/>
    <w:rsid w:val="00D20DAF"/>
    <w:rsid w:val="00D2583D"/>
    <w:rsid w:val="00D30B03"/>
    <w:rsid w:val="00D41EF7"/>
    <w:rsid w:val="00D46CA3"/>
    <w:rsid w:val="00D47121"/>
    <w:rsid w:val="00D57AE0"/>
    <w:rsid w:val="00D60962"/>
    <w:rsid w:val="00D63136"/>
    <w:rsid w:val="00D638F6"/>
    <w:rsid w:val="00D6561B"/>
    <w:rsid w:val="00D65CD1"/>
    <w:rsid w:val="00D6626A"/>
    <w:rsid w:val="00D67E0C"/>
    <w:rsid w:val="00D72824"/>
    <w:rsid w:val="00D83F5E"/>
    <w:rsid w:val="00D91362"/>
    <w:rsid w:val="00D9617F"/>
    <w:rsid w:val="00DA05AC"/>
    <w:rsid w:val="00DA1F5B"/>
    <w:rsid w:val="00DA1F76"/>
    <w:rsid w:val="00DA6088"/>
    <w:rsid w:val="00DA6D2C"/>
    <w:rsid w:val="00DA71B8"/>
    <w:rsid w:val="00DB2C7A"/>
    <w:rsid w:val="00DB31EB"/>
    <w:rsid w:val="00DB3C34"/>
    <w:rsid w:val="00DB57E4"/>
    <w:rsid w:val="00DB71A3"/>
    <w:rsid w:val="00DC358E"/>
    <w:rsid w:val="00DC41DE"/>
    <w:rsid w:val="00DC55BE"/>
    <w:rsid w:val="00DC5B34"/>
    <w:rsid w:val="00DC7AA9"/>
    <w:rsid w:val="00DD03B0"/>
    <w:rsid w:val="00DD38D4"/>
    <w:rsid w:val="00DD6331"/>
    <w:rsid w:val="00DE0AAE"/>
    <w:rsid w:val="00DE21ED"/>
    <w:rsid w:val="00DF2FB6"/>
    <w:rsid w:val="00E03C8E"/>
    <w:rsid w:val="00E11AC7"/>
    <w:rsid w:val="00E13D4A"/>
    <w:rsid w:val="00E20810"/>
    <w:rsid w:val="00E20FE8"/>
    <w:rsid w:val="00E223F4"/>
    <w:rsid w:val="00E2749F"/>
    <w:rsid w:val="00E33BE1"/>
    <w:rsid w:val="00E4076A"/>
    <w:rsid w:val="00E45EDF"/>
    <w:rsid w:val="00E4637D"/>
    <w:rsid w:val="00E474AF"/>
    <w:rsid w:val="00E52C98"/>
    <w:rsid w:val="00E54684"/>
    <w:rsid w:val="00E575EB"/>
    <w:rsid w:val="00E60E5E"/>
    <w:rsid w:val="00E617B1"/>
    <w:rsid w:val="00E729D8"/>
    <w:rsid w:val="00E83BAC"/>
    <w:rsid w:val="00E84F8D"/>
    <w:rsid w:val="00E87CEC"/>
    <w:rsid w:val="00E9131D"/>
    <w:rsid w:val="00E91D72"/>
    <w:rsid w:val="00E931BA"/>
    <w:rsid w:val="00E97CE1"/>
    <w:rsid w:val="00E97F13"/>
    <w:rsid w:val="00EA3383"/>
    <w:rsid w:val="00EA3E22"/>
    <w:rsid w:val="00EA5678"/>
    <w:rsid w:val="00EB2D44"/>
    <w:rsid w:val="00EB4D54"/>
    <w:rsid w:val="00EC2FF3"/>
    <w:rsid w:val="00EC40D3"/>
    <w:rsid w:val="00EC74C2"/>
    <w:rsid w:val="00ED01BB"/>
    <w:rsid w:val="00ED4E7D"/>
    <w:rsid w:val="00ED78A6"/>
    <w:rsid w:val="00EE4693"/>
    <w:rsid w:val="00EE4833"/>
    <w:rsid w:val="00EF55CC"/>
    <w:rsid w:val="00F01D00"/>
    <w:rsid w:val="00F02EAA"/>
    <w:rsid w:val="00F04729"/>
    <w:rsid w:val="00F05697"/>
    <w:rsid w:val="00F108C1"/>
    <w:rsid w:val="00F108EF"/>
    <w:rsid w:val="00F13E90"/>
    <w:rsid w:val="00F22C43"/>
    <w:rsid w:val="00F243AF"/>
    <w:rsid w:val="00F3283F"/>
    <w:rsid w:val="00F333E9"/>
    <w:rsid w:val="00F35A2B"/>
    <w:rsid w:val="00F4134D"/>
    <w:rsid w:val="00F41EF9"/>
    <w:rsid w:val="00F5304F"/>
    <w:rsid w:val="00F53C29"/>
    <w:rsid w:val="00F672D4"/>
    <w:rsid w:val="00F67AFC"/>
    <w:rsid w:val="00F67DEC"/>
    <w:rsid w:val="00F716E3"/>
    <w:rsid w:val="00F72EB9"/>
    <w:rsid w:val="00F77C78"/>
    <w:rsid w:val="00F82A98"/>
    <w:rsid w:val="00F82F27"/>
    <w:rsid w:val="00F92F3F"/>
    <w:rsid w:val="00F93011"/>
    <w:rsid w:val="00F96AC7"/>
    <w:rsid w:val="00FA0B2E"/>
    <w:rsid w:val="00FA2743"/>
    <w:rsid w:val="00FB03A8"/>
    <w:rsid w:val="00FB135B"/>
    <w:rsid w:val="00FB2AB8"/>
    <w:rsid w:val="00FC1759"/>
    <w:rsid w:val="00FC22CA"/>
    <w:rsid w:val="00FC74A5"/>
    <w:rsid w:val="00FD1D57"/>
    <w:rsid w:val="00FD2346"/>
    <w:rsid w:val="00FD386F"/>
    <w:rsid w:val="00FD6F88"/>
    <w:rsid w:val="00FD7468"/>
    <w:rsid w:val="00FE274C"/>
    <w:rsid w:val="00FE64BC"/>
    <w:rsid w:val="00FE717B"/>
    <w:rsid w:val="00FF1791"/>
    <w:rsid w:val="00FF4FC8"/>
    <w:rsid w:val="00FF71E4"/>
    <w:rsid w:val="00FF75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20013"/>
  <w15:docId w15:val="{C48DA79A-4ED4-4B43-BB13-1896BDB0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AF3"/>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441BFD"/>
    <w:rPr>
      <w:sz w:val="20"/>
      <w:szCs w:val="20"/>
    </w:rPr>
  </w:style>
  <w:style w:type="character" w:customStyle="1" w:styleId="CommentTextChar">
    <w:name w:val="Comment Text Char"/>
    <w:basedOn w:val="DefaultParagraphFont"/>
    <w:link w:val="CommentText"/>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F4134D"/>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F4134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F4134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F4134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9"/>
      </w:numPr>
      <w:spacing w:before="120" w:after="120"/>
      <w:ind w:left="454" w:hanging="454"/>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9"/>
      </w:numPr>
      <w:spacing w:before="120" w:after="120"/>
      <w:ind w:left="908" w:hanging="454"/>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2B382C"/>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F4134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basedOn w:val="Normal"/>
    <w:uiPriority w:val="34"/>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3"/>
      </w:numPr>
    </w:pPr>
  </w:style>
  <w:style w:type="paragraph" w:customStyle="1" w:styleId="TableListNumber3">
    <w:name w:val="Table List Number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5"/>
      </w:numPr>
    </w:pPr>
  </w:style>
  <w:style w:type="paragraph" w:styleId="Date">
    <w:name w:val="Date"/>
    <w:basedOn w:val="Normal"/>
    <w:next w:val="Normal"/>
    <w:link w:val="DateChar"/>
    <w:uiPriority w:val="99"/>
    <w:unhideWhenUsed/>
    <w:rsid w:val="00800AF3"/>
    <w:rPr>
      <w:sz w:val="28"/>
    </w:rPr>
  </w:style>
  <w:style w:type="character" w:customStyle="1" w:styleId="DateChar">
    <w:name w:val="Date Char"/>
    <w:basedOn w:val="DefaultParagraphFont"/>
    <w:link w:val="Date"/>
    <w:uiPriority w:val="99"/>
    <w:rsid w:val="00800AF3"/>
    <w:rPr>
      <w:rFonts w:asciiTheme="minorHAnsi" w:eastAsiaTheme="minorHAnsi" w:hAnsiTheme="minorHAnsi" w:cstheme="minorBidi"/>
      <w:sz w:val="28"/>
      <w:szCs w:val="22"/>
      <w:lang w:eastAsia="en-US"/>
    </w:rPr>
  </w:style>
  <w:style w:type="paragraph" w:styleId="Revision">
    <w:name w:val="Revision"/>
    <w:hidden/>
    <w:uiPriority w:val="99"/>
    <w:semiHidden/>
    <w:rsid w:val="00236B3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agriculture.gov.au/" TargetMode="External"/><Relationship Id="rId26" Type="http://schemas.openxmlformats.org/officeDocument/2006/relationships/hyperlink" Target="https://www.agriculture.gov.au/about/fees/biosecurity-cris" TargetMode="External"/><Relationship Id="rId21" Type="http://schemas.openxmlformats.org/officeDocument/2006/relationships/footer" Target="footer1.xm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agriculture.gov.au/publications" TargetMode="External"/><Relationship Id="rId25" Type="http://schemas.openxmlformats.org/officeDocument/2006/relationships/hyperlink" Target="https://www.agriculture.gov.au/biosecurity-trade/policy/biosecurity-2030-roadmap" TargetMode="External"/><Relationship Id="rId33" Type="http://schemas.openxmlformats.org/officeDocument/2006/relationships/hyperlink" Target="https://deptagriculture.sharepoint.com/sites/INT_Finance-Policy-Governance/SitePages/Glossary.aspx"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2.xml"/><Relationship Id="rId29" Type="http://schemas.openxmlformats.org/officeDocument/2006/relationships/hyperlink" Target="https://www.agriculture.gov.au/about/reporting/corporate-pl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24" Type="http://schemas.openxmlformats.org/officeDocument/2006/relationships/footer" Target="footer3.xml"/><Relationship Id="rId32" Type="http://schemas.openxmlformats.org/officeDocument/2006/relationships/hyperlink" Target="https://www.legislation.gov.au/Series/C2013A00123" TargetMode="External"/><Relationship Id="rId37"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3.xml"/><Relationship Id="rId28" Type="http://schemas.openxmlformats.org/officeDocument/2006/relationships/hyperlink" Target="https://www.agriculture.gov.au/about/commitment/client-service-charter"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deptagriculture.sharepoint.com/:b:/r/sites/INT_Finance-Policy-Governance/Shared%20Documents/Accountable-Authority-Instructions-(DAFF).pdf?csf=1&amp;web=1&amp;e=0ZLaK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2.xml"/><Relationship Id="rId27" Type="http://schemas.openxmlformats.org/officeDocument/2006/relationships/hyperlink" Target="https://www.agriculture.gov.au/about/commitment/client-service-charter/service-standards" TargetMode="External"/><Relationship Id="rId30" Type="http://schemas.openxmlformats.org/officeDocument/2006/relationships/hyperlink" Target="https://www.agriculture.gov.au/about/commitment/regulator-practice"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1437FB19C71744AACF3957E2D13177" ma:contentTypeVersion="21" ma:contentTypeDescription="Create a new document." ma:contentTypeScope="" ma:versionID="4a6694258038add8aad6ce066ca0cfe8">
  <xsd:schema xmlns:xsd="http://www.w3.org/2001/XMLSchema" xmlns:xs="http://www.w3.org/2001/XMLSchema" xmlns:p="http://schemas.microsoft.com/office/2006/metadata/properties" xmlns:ns2="abf44ee1-6942-42bb-9e03-dcc20019c9bf" xmlns:ns3="fd37dfdd-48a1-48f7-bca6-4f1c6545bb1e" xmlns:ns4="81c01dc6-2c49-4730-b140-874c95cac377" targetNamespace="http://schemas.microsoft.com/office/2006/metadata/properties" ma:root="true" ma:fieldsID="dfcc808bd964fe9dab853f99b8176f05" ns2:_="" ns3:_="" ns4:_="">
    <xsd:import namespace="abf44ee1-6942-42bb-9e03-dcc20019c9bf"/>
    <xsd:import namespace="fd37dfdd-48a1-48f7-bca6-4f1c6545bb1e"/>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LengthInSeconds" minOccurs="0"/>
                <xsd:element ref="ns2:MediaServiceObjectDetectorVersions" minOccurs="0"/>
                <xsd:element ref="ns2:MediaServiceSearchProperties" minOccurs="0"/>
                <xsd:element ref="ns2:Descriptionofdocument" minOccurs="0"/>
                <xsd:element ref="ns2:DocumentType" minOccurs="0"/>
                <xsd:element ref="ns2:Sourc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44ee1-6942-42bb-9e03-dcc20019c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escriptionofdocument" ma:index="25" nillable="true" ma:displayName="Description of document" ma:format="Dropdown" ma:internalName="Descriptionofdocument">
      <xsd:simpleType>
        <xsd:restriction base="dms:Note">
          <xsd:maxLength value="255"/>
        </xsd:restriction>
      </xsd:simpleType>
    </xsd:element>
    <xsd:element name="DocumentType" ma:index="26" nillable="true" ma:displayName="Document Type" ma:format="Dropdown" ma:internalName="DocumentType">
      <xsd:simpleType>
        <xsd:restriction base="dms:Text">
          <xsd:maxLength value="255"/>
        </xsd:restriction>
      </xsd:simpleType>
    </xsd:element>
    <xsd:element name="Source" ma:index="27" nillable="true" ma:displayName="Source" ma:format="Dropdown" ma:internalName="Source">
      <xsd:simpleType>
        <xsd:restriction base="dms:Text">
          <xsd:maxLength value="255"/>
        </xsd:restrictio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7dfdd-48a1-48f7-bca6-4f1c6545bb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d223c44-b179-41a5-925c-166f5e14c7e5}" ma:internalName="TaxCatchAll" ma:showField="CatchAllData" ma:web="fd37dfdd-48a1-48f7-bca6-4f1c6545b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f44ee1-6942-42bb-9e03-dcc20019c9bf">
      <Terms xmlns="http://schemas.microsoft.com/office/infopath/2007/PartnerControls"/>
    </lcf76f155ced4ddcb4097134ff3c332f>
    <TaxCatchAll xmlns="81c01dc6-2c49-4730-b140-874c95cac377" xsi:nil="true"/>
    <Source xmlns="abf44ee1-6942-42bb-9e03-dcc20019c9bf" xsi:nil="true"/>
    <Descriptionofdocument xmlns="abf44ee1-6942-42bb-9e03-dcc20019c9bf" xsi:nil="true"/>
    <DocumentType xmlns="abf44ee1-6942-42bb-9e03-dcc20019c9bf" xsi:nil="true"/>
  </documentManagement>
</p:properties>
</file>

<file path=customXml/itemProps1.xml><?xml version="1.0" encoding="utf-8"?>
<ds:datastoreItem xmlns:ds="http://schemas.openxmlformats.org/officeDocument/2006/customXml" ds:itemID="{024A6561-A332-40A2-B172-EAEB0C5D1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44ee1-6942-42bb-9e03-dcc20019c9bf"/>
    <ds:schemaRef ds:uri="fd37dfdd-48a1-48f7-bca6-4f1c6545bb1e"/>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abf44ee1-6942-42bb-9e03-dcc20019c9bf"/>
    <ds:schemaRef ds:uri="81c01dc6-2c49-4730-b140-874c95cac377"/>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Report_template_1</Template>
  <TotalTime>722</TotalTime>
  <Pages>19</Pages>
  <Words>4967</Words>
  <Characters>29107</Characters>
  <Application>Microsoft Office Word</Application>
  <DocSecurity>0</DocSecurity>
  <Lines>619</Lines>
  <Paragraphs>473</Paragraphs>
  <ScaleCrop>false</ScaleCrop>
  <HeadingPairs>
    <vt:vector size="2" baseType="variant">
      <vt:variant>
        <vt:lpstr>Title</vt:lpstr>
      </vt:variant>
      <vt:variant>
        <vt:i4>1</vt:i4>
      </vt:variant>
    </vt:vector>
  </HeadingPairs>
  <TitlesOfParts>
    <vt:vector size="1" baseType="lpstr">
      <vt:lpstr>Cargo Scheduling Policy</vt:lpstr>
    </vt:vector>
  </TitlesOfParts>
  <Company/>
  <LinksUpToDate>false</LinksUpToDate>
  <CharactersWithSpaces>33601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Cargo Scheduling Policy</dc:title>
  <dc:subject/>
  <dc:creator>Department of Agriculture, Fisheries and Forestry</dc:creator>
  <cp:keywords/>
  <cp:lastModifiedBy>Yuksel, Madeline</cp:lastModifiedBy>
  <cp:revision>119</cp:revision>
  <cp:lastPrinted>2022-11-16T09:20:00Z</cp:lastPrinted>
  <dcterms:created xsi:type="dcterms:W3CDTF">2026-04-23T23:35:00Z</dcterms:created>
  <dcterms:modified xsi:type="dcterms:W3CDTF">2026-05-01T05:08:00Z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0x010100B01437FB19C71744AACF3957E2D13177</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y fmtid="{D5CDD505-2E9C-101B-9397-08002B2CF9AE}" pid="16" name="MediaServiceImageTags">
    <vt:lpwstr/>
  </property>
  <property fmtid="{D5CDD505-2E9C-101B-9397-08002B2CF9AE}" pid="17" name="docLang">
    <vt:lpwstr>en</vt:lpwstr>
  </property>
</Properties>
</file>