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68DF" w:rsidRPr="00EF7FD6" w:rsidRDefault="00FA10EC">
      <w:pPr>
        <w:spacing w:after="0"/>
        <w:jc w:val="left"/>
        <w:rPr>
          <w:rFonts w:ascii="Century Gothic" w:hAnsi="Century Gothic"/>
          <w:b/>
          <w:sz w:val="36"/>
          <w:szCs w:val="36"/>
        </w:rPr>
      </w:pPr>
      <w:bookmarkStart w:id="0" w:name="_Toc319068435"/>
      <w:bookmarkStart w:id="1" w:name="_Toc319068756"/>
      <w:r>
        <w:rPr>
          <w:rFonts w:ascii="Century Gothic" w:hAnsi="Century Gothic"/>
          <w:b/>
          <w:noProof/>
          <w:sz w:val="36"/>
          <w:szCs w:val="36"/>
        </w:rPr>
        <w:drawing>
          <wp:anchor distT="0" distB="0" distL="114300" distR="114300" simplePos="0" relativeHeight="251764736" behindDoc="1" locked="0" layoutInCell="1" allowOverlap="1">
            <wp:simplePos x="0" y="0"/>
            <wp:positionH relativeFrom="column">
              <wp:posOffset>-5690756</wp:posOffset>
            </wp:positionH>
            <wp:positionV relativeFrom="paragraph">
              <wp:posOffset>-788329</wp:posOffset>
            </wp:positionV>
            <wp:extent cx="17340902" cy="11546006"/>
            <wp:effectExtent l="19050" t="0" r="0" b="0"/>
            <wp:wrapNone/>
            <wp:docPr id="2" name="Picture 1" descr="\\pvac01file02\water$\Environment\Environmental Water\CEWH\Photos\20130502 Macquarie Marshes (David Straccione CEWO)\Monkeygar Wetland Swamphen 1 May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ac01file02\water$\Environment\Environmental Water\CEWH\Photos\20130502 Macquarie Marshes (David Straccione CEWO)\Monkeygar Wetland Swamphen 1 May 13.jpg"/>
                    <pic:cNvPicPr>
                      <a:picLocks noChangeAspect="1" noChangeArrowheads="1"/>
                    </pic:cNvPicPr>
                  </pic:nvPicPr>
                  <pic:blipFill>
                    <a:blip r:embed="rId8" cstate="email"/>
                    <a:srcRect/>
                    <a:stretch>
                      <a:fillRect/>
                    </a:stretch>
                  </pic:blipFill>
                  <pic:spPr bwMode="auto">
                    <a:xfrm>
                      <a:off x="0" y="0"/>
                      <a:ext cx="17340902" cy="11546006"/>
                    </a:xfrm>
                    <a:prstGeom prst="rect">
                      <a:avLst/>
                    </a:prstGeom>
                    <a:noFill/>
                    <a:ln w="9525">
                      <a:noFill/>
                      <a:miter lim="800000"/>
                      <a:headEnd/>
                      <a:tailEnd/>
                    </a:ln>
                  </pic:spPr>
                </pic:pic>
              </a:graphicData>
            </a:graphic>
          </wp:anchor>
        </w:drawing>
      </w:r>
      <w:r w:rsidR="005468DA">
        <w:rPr>
          <w:rFonts w:ascii="Century Gothic" w:hAnsi="Century Gothic"/>
          <w:b/>
          <w:noProof/>
          <w:sz w:val="36"/>
          <w:szCs w:val="36"/>
        </w:rPr>
        <w:pict>
          <v:roundrect id="_x0000_s1413" style="position:absolute;margin-left:-155pt;margin-top:47.8pt;width:625.7pt;height:148.35pt;z-index:251750400;mso-position-horizontal-relative:text;mso-position-vertical-relative:text" arcsize="5246f" stroked="f"/>
        </w:pict>
      </w:r>
    </w:p>
    <w:p w:rsidR="008268DF" w:rsidRPr="00EF7FD6" w:rsidRDefault="008268DF">
      <w:pPr>
        <w:spacing w:after="0"/>
        <w:jc w:val="left"/>
        <w:rPr>
          <w:rFonts w:ascii="Century Gothic" w:hAnsi="Century Gothic"/>
          <w:b/>
          <w:sz w:val="36"/>
          <w:szCs w:val="36"/>
        </w:rPr>
      </w:pPr>
    </w:p>
    <w:p w:rsidR="008268DF" w:rsidRPr="00EF7FD6" w:rsidRDefault="005468DA">
      <w:pPr>
        <w:spacing w:after="0"/>
        <w:jc w:val="left"/>
        <w:rPr>
          <w:rFonts w:ascii="Century Gothic" w:hAnsi="Century Gothic"/>
          <w:b/>
          <w:sz w:val="36"/>
          <w:szCs w:val="36"/>
        </w:rPr>
      </w:pPr>
      <w:r>
        <w:rPr>
          <w:rFonts w:ascii="Century Gothic" w:hAnsi="Century Gothic"/>
          <w:b/>
          <w:noProof/>
          <w:sz w:val="36"/>
          <w:szCs w:val="36"/>
        </w:rPr>
        <w:pict>
          <v:shapetype id="_x0000_t202" coordsize="21600,21600" o:spt="202" path="m,l,21600r21600,l21600,xe">
            <v:stroke joinstyle="miter"/>
            <v:path gradientshapeok="t" o:connecttype="rect"/>
          </v:shapetype>
          <v:shape id="_x0000_s1414" type="#_x0000_t202" style="position:absolute;margin-left:104.1pt;margin-top:14.35pt;width:342.85pt;height:94.2pt;z-index:251753472;mso-position-horizontal-relative:text;mso-position-vertical-relative:text;mso-width-relative:margin;mso-height-relative:margin" filled="f" stroked="f">
            <v:textbox style="mso-next-textbox:#_x0000_s1414">
              <w:txbxContent>
                <w:p w:rsidR="00C65146" w:rsidRPr="00923013" w:rsidRDefault="00C65146" w:rsidP="006574E2">
                  <w:pPr>
                    <w:pStyle w:val="Para0"/>
                    <w:spacing w:after="120" w:line="240" w:lineRule="auto"/>
                    <w:ind w:left="-142" w:right="-81"/>
                    <w:jc w:val="right"/>
                    <w:rPr>
                      <w:rFonts w:ascii="Calibri" w:hAnsi="Calibri" w:cs="Calibri"/>
                      <w:b/>
                      <w:color w:val="B6533F"/>
                      <w:sz w:val="42"/>
                      <w:szCs w:val="42"/>
                    </w:rPr>
                  </w:pPr>
                  <w:r w:rsidRPr="00923013">
                    <w:rPr>
                      <w:rFonts w:ascii="Calibri" w:hAnsi="Calibri" w:cs="Calibri"/>
                      <w:b/>
                      <w:color w:val="B6533F"/>
                      <w:sz w:val="42"/>
                      <w:szCs w:val="42"/>
                    </w:rPr>
                    <w:t>Commonwealth environmental water carryover from 2012-13 into 2013-14</w:t>
                  </w:r>
                </w:p>
                <w:p w:rsidR="00C65146" w:rsidRPr="009425E6" w:rsidRDefault="00C65146" w:rsidP="006574E2">
                  <w:pPr>
                    <w:pStyle w:val="Para0"/>
                    <w:spacing w:after="120" w:line="240" w:lineRule="auto"/>
                    <w:ind w:left="-142" w:right="-81"/>
                    <w:jc w:val="right"/>
                    <w:rPr>
                      <w:rFonts w:asciiTheme="minorHAnsi" w:hAnsiTheme="minorHAnsi" w:cstheme="minorHAnsi"/>
                      <w:sz w:val="36"/>
                      <w:szCs w:val="36"/>
                    </w:rPr>
                  </w:pPr>
                </w:p>
              </w:txbxContent>
            </v:textbox>
          </v:shape>
        </w:pict>
      </w:r>
      <w:r w:rsidR="00D61409" w:rsidRPr="00EF7FD6">
        <w:rPr>
          <w:rFonts w:ascii="Century Gothic" w:hAnsi="Century Gothic"/>
          <w:b/>
          <w:noProof/>
          <w:sz w:val="36"/>
          <w:szCs w:val="36"/>
        </w:rPr>
        <w:drawing>
          <wp:anchor distT="0" distB="0" distL="114300" distR="114300" simplePos="0" relativeHeight="251763712" behindDoc="0" locked="0" layoutInCell="1" allowOverlap="1">
            <wp:simplePos x="0" y="0"/>
            <wp:positionH relativeFrom="column">
              <wp:posOffset>-709323</wp:posOffset>
            </wp:positionH>
            <wp:positionV relativeFrom="paragraph">
              <wp:posOffset>844114</wp:posOffset>
            </wp:positionV>
            <wp:extent cx="2243938" cy="887104"/>
            <wp:effectExtent l="19050" t="0" r="3962" b="0"/>
            <wp:wrapNone/>
            <wp:docPr id="35" name="Picture 0" descr="CEW_logo_stacked_LOWRes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W_logo_stacked_LOWRes_Transparent.png"/>
                    <pic:cNvPicPr/>
                  </pic:nvPicPr>
                  <pic:blipFill>
                    <a:blip r:embed="rId9" cstate="screen"/>
                    <a:stretch>
                      <a:fillRect/>
                    </a:stretch>
                  </pic:blipFill>
                  <pic:spPr>
                    <a:xfrm>
                      <a:off x="0" y="0"/>
                      <a:ext cx="2243938" cy="887104"/>
                    </a:xfrm>
                    <a:prstGeom prst="rect">
                      <a:avLst/>
                    </a:prstGeom>
                  </pic:spPr>
                </pic:pic>
              </a:graphicData>
            </a:graphic>
          </wp:anchor>
        </w:drawing>
      </w:r>
      <w:r w:rsidR="0045458B" w:rsidRPr="00EF7FD6">
        <w:rPr>
          <w:rFonts w:ascii="Century Gothic" w:hAnsi="Century Gothic"/>
          <w:b/>
          <w:noProof/>
          <w:sz w:val="36"/>
          <w:szCs w:val="36"/>
        </w:rPr>
        <w:drawing>
          <wp:anchor distT="0" distB="0" distL="114300" distR="114300" simplePos="0" relativeHeight="251755520" behindDoc="0" locked="0" layoutInCell="1" allowOverlap="1">
            <wp:simplePos x="0" y="0"/>
            <wp:positionH relativeFrom="column">
              <wp:posOffset>2305416</wp:posOffset>
            </wp:positionH>
            <wp:positionV relativeFrom="paragraph">
              <wp:posOffset>1379220</wp:posOffset>
            </wp:positionV>
            <wp:extent cx="3371484" cy="254000"/>
            <wp:effectExtent l="19050" t="0" r="366" b="0"/>
            <wp:wrapNone/>
            <wp:docPr id="8" name="Picture 13" descr="CEW_squa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W_squares.png"/>
                    <pic:cNvPicPr/>
                  </pic:nvPicPr>
                  <pic:blipFill>
                    <a:blip r:embed="rId10" cstate="screen"/>
                    <a:stretch>
                      <a:fillRect/>
                    </a:stretch>
                  </pic:blipFill>
                  <pic:spPr>
                    <a:xfrm>
                      <a:off x="0" y="0"/>
                      <a:ext cx="3373727" cy="254169"/>
                    </a:xfrm>
                    <a:prstGeom prst="rect">
                      <a:avLst/>
                    </a:prstGeom>
                  </pic:spPr>
                </pic:pic>
              </a:graphicData>
            </a:graphic>
          </wp:anchor>
        </w:drawing>
      </w:r>
      <w:r w:rsidR="008268DF" w:rsidRPr="00EF7FD6">
        <w:rPr>
          <w:rFonts w:ascii="Century Gothic" w:hAnsi="Century Gothic"/>
          <w:b/>
          <w:sz w:val="36"/>
          <w:szCs w:val="36"/>
        </w:rPr>
        <w:br w:type="page"/>
      </w:r>
    </w:p>
    <w:p w:rsidR="0056742F" w:rsidRPr="00EF7FD6" w:rsidRDefault="00977B54" w:rsidP="00977B54">
      <w:pPr>
        <w:pStyle w:val="Para0"/>
        <w:spacing w:after="120" w:line="240" w:lineRule="auto"/>
        <w:ind w:left="-142" w:right="-81"/>
        <w:jc w:val="center"/>
        <w:rPr>
          <w:rFonts w:ascii="Century Gothic" w:hAnsi="Century Gothic" w:cstheme="minorHAnsi"/>
          <w:b/>
          <w:color w:val="5F497A" w:themeColor="accent4" w:themeShade="BF"/>
          <w:sz w:val="36"/>
          <w:szCs w:val="36"/>
        </w:rPr>
      </w:pPr>
      <w:r w:rsidRPr="00923013">
        <w:rPr>
          <w:rFonts w:ascii="Calibri" w:hAnsi="Calibri" w:cs="Calibri"/>
          <w:b/>
          <w:color w:val="B6533F"/>
          <w:sz w:val="42"/>
          <w:szCs w:val="42"/>
        </w:rPr>
        <w:lastRenderedPageBreak/>
        <w:t>Commonwealth environmental water carryover from 2012-13 into 2013-14</w:t>
      </w:r>
      <w:bookmarkEnd w:id="0"/>
      <w:bookmarkEnd w:id="1"/>
    </w:p>
    <w:p w:rsidR="007269D5" w:rsidRDefault="007269D5" w:rsidP="002B2968">
      <w:pPr>
        <w:pStyle w:val="TOC1"/>
      </w:pPr>
    </w:p>
    <w:p w:rsidR="0056742F" w:rsidRPr="00EF7FD6" w:rsidRDefault="0056742F" w:rsidP="002B2968">
      <w:pPr>
        <w:pStyle w:val="TOC1"/>
      </w:pPr>
      <w:r w:rsidRPr="00EF7FD6">
        <w:t>Table of contents</w:t>
      </w:r>
    </w:p>
    <w:p w:rsidR="00977B54" w:rsidRDefault="005468DA">
      <w:pPr>
        <w:pStyle w:val="TOC1"/>
        <w:rPr>
          <w:rFonts w:asciiTheme="minorHAnsi" w:eastAsiaTheme="minorEastAsia" w:hAnsiTheme="minorHAnsi" w:cstheme="minorBidi"/>
          <w:b w:val="0"/>
          <w:sz w:val="22"/>
          <w:szCs w:val="22"/>
        </w:rPr>
      </w:pPr>
      <w:r w:rsidRPr="00EF7FD6">
        <w:fldChar w:fldCharType="begin"/>
      </w:r>
      <w:r w:rsidR="0056742F" w:rsidRPr="00EF7FD6">
        <w:instrText xml:space="preserve"> TOC \o "1-1" \h \z \t "Heading 2,2,Heading 3,3,Appendix 2,1" </w:instrText>
      </w:r>
      <w:r w:rsidRPr="00EF7FD6">
        <w:fldChar w:fldCharType="separate"/>
      </w:r>
      <w:hyperlink w:anchor="_Toc363199516" w:history="1">
        <w:r w:rsidR="00977B54" w:rsidRPr="00243A19">
          <w:rPr>
            <w:rStyle w:val="Hyperlink"/>
          </w:rPr>
          <w:t>1.</w:t>
        </w:r>
        <w:r w:rsidR="00977B54">
          <w:rPr>
            <w:rFonts w:asciiTheme="minorHAnsi" w:eastAsiaTheme="minorEastAsia" w:hAnsiTheme="minorHAnsi" w:cstheme="minorBidi"/>
            <w:b w:val="0"/>
            <w:sz w:val="22"/>
            <w:szCs w:val="22"/>
          </w:rPr>
          <w:tab/>
        </w:r>
        <w:r w:rsidR="00977B54" w:rsidRPr="00243A19">
          <w:rPr>
            <w:rStyle w:val="Hyperlink"/>
          </w:rPr>
          <w:t>Key points</w:t>
        </w:r>
        <w:r w:rsidR="00977B54">
          <w:rPr>
            <w:webHidden/>
          </w:rPr>
          <w:tab/>
        </w:r>
        <w:r>
          <w:rPr>
            <w:webHidden/>
          </w:rPr>
          <w:fldChar w:fldCharType="begin"/>
        </w:r>
        <w:r w:rsidR="00977B54">
          <w:rPr>
            <w:webHidden/>
          </w:rPr>
          <w:instrText xml:space="preserve"> PAGEREF _Toc363199516 \h </w:instrText>
        </w:r>
        <w:r>
          <w:rPr>
            <w:webHidden/>
          </w:rPr>
        </w:r>
        <w:r>
          <w:rPr>
            <w:webHidden/>
          </w:rPr>
          <w:fldChar w:fldCharType="separate"/>
        </w:r>
        <w:r w:rsidR="009C3DD6">
          <w:rPr>
            <w:webHidden/>
          </w:rPr>
          <w:t>3</w:t>
        </w:r>
        <w:r>
          <w:rPr>
            <w:webHidden/>
          </w:rPr>
          <w:fldChar w:fldCharType="end"/>
        </w:r>
      </w:hyperlink>
    </w:p>
    <w:p w:rsidR="00977B54" w:rsidRDefault="005468DA">
      <w:pPr>
        <w:pStyle w:val="TOC1"/>
        <w:rPr>
          <w:rFonts w:asciiTheme="minorHAnsi" w:eastAsiaTheme="minorEastAsia" w:hAnsiTheme="minorHAnsi" w:cstheme="minorBidi"/>
          <w:b w:val="0"/>
          <w:sz w:val="22"/>
          <w:szCs w:val="22"/>
        </w:rPr>
      </w:pPr>
      <w:hyperlink w:anchor="_Toc363199517" w:history="1">
        <w:r w:rsidR="00977B54" w:rsidRPr="00243A19">
          <w:rPr>
            <w:rStyle w:val="Hyperlink"/>
          </w:rPr>
          <w:t>2.</w:t>
        </w:r>
        <w:r w:rsidR="00977B54">
          <w:rPr>
            <w:rFonts w:asciiTheme="minorHAnsi" w:eastAsiaTheme="minorEastAsia" w:hAnsiTheme="minorHAnsi" w:cstheme="minorBidi"/>
            <w:b w:val="0"/>
            <w:sz w:val="22"/>
            <w:szCs w:val="22"/>
          </w:rPr>
          <w:tab/>
        </w:r>
        <w:r w:rsidR="00977B54" w:rsidRPr="00243A19">
          <w:rPr>
            <w:rStyle w:val="Hyperlink"/>
          </w:rPr>
          <w:t>Background</w:t>
        </w:r>
        <w:r w:rsidR="00977B54">
          <w:rPr>
            <w:webHidden/>
          </w:rPr>
          <w:tab/>
        </w:r>
        <w:r>
          <w:rPr>
            <w:webHidden/>
          </w:rPr>
          <w:fldChar w:fldCharType="begin"/>
        </w:r>
        <w:r w:rsidR="00977B54">
          <w:rPr>
            <w:webHidden/>
          </w:rPr>
          <w:instrText xml:space="preserve"> PAGEREF _Toc363199517 \h </w:instrText>
        </w:r>
        <w:r>
          <w:rPr>
            <w:webHidden/>
          </w:rPr>
        </w:r>
        <w:r>
          <w:rPr>
            <w:webHidden/>
          </w:rPr>
          <w:fldChar w:fldCharType="separate"/>
        </w:r>
        <w:r w:rsidR="009C3DD6">
          <w:rPr>
            <w:webHidden/>
          </w:rPr>
          <w:t>3</w:t>
        </w:r>
        <w:r>
          <w:rPr>
            <w:webHidden/>
          </w:rPr>
          <w:fldChar w:fldCharType="end"/>
        </w:r>
      </w:hyperlink>
    </w:p>
    <w:p w:rsidR="00977B54" w:rsidRDefault="005468DA">
      <w:pPr>
        <w:pStyle w:val="TOC1"/>
        <w:rPr>
          <w:rFonts w:asciiTheme="minorHAnsi" w:eastAsiaTheme="minorEastAsia" w:hAnsiTheme="minorHAnsi" w:cstheme="minorBidi"/>
          <w:b w:val="0"/>
          <w:sz w:val="22"/>
          <w:szCs w:val="22"/>
        </w:rPr>
      </w:pPr>
      <w:hyperlink w:anchor="_Toc363199519" w:history="1">
        <w:r w:rsidR="00977B54" w:rsidRPr="00243A19">
          <w:rPr>
            <w:rStyle w:val="Hyperlink"/>
          </w:rPr>
          <w:t>3.</w:t>
        </w:r>
        <w:r w:rsidR="00977B54">
          <w:rPr>
            <w:rFonts w:asciiTheme="minorHAnsi" w:eastAsiaTheme="minorEastAsia" w:hAnsiTheme="minorHAnsi" w:cstheme="minorBidi"/>
            <w:b w:val="0"/>
            <w:sz w:val="22"/>
            <w:szCs w:val="22"/>
          </w:rPr>
          <w:tab/>
        </w:r>
        <w:r w:rsidR="00977B54" w:rsidRPr="00243A19">
          <w:rPr>
            <w:rStyle w:val="Hyperlink"/>
          </w:rPr>
          <w:t>Commonwealth carryover</w:t>
        </w:r>
        <w:r w:rsidR="00977B54">
          <w:rPr>
            <w:webHidden/>
          </w:rPr>
          <w:tab/>
        </w:r>
        <w:r>
          <w:rPr>
            <w:webHidden/>
          </w:rPr>
          <w:fldChar w:fldCharType="begin"/>
        </w:r>
        <w:r w:rsidR="00977B54">
          <w:rPr>
            <w:webHidden/>
          </w:rPr>
          <w:instrText xml:space="preserve"> PAGEREF _Toc363199519 \h </w:instrText>
        </w:r>
        <w:r>
          <w:rPr>
            <w:webHidden/>
          </w:rPr>
        </w:r>
        <w:r>
          <w:rPr>
            <w:webHidden/>
          </w:rPr>
          <w:fldChar w:fldCharType="separate"/>
        </w:r>
        <w:r w:rsidR="009C3DD6">
          <w:rPr>
            <w:webHidden/>
          </w:rPr>
          <w:t>4</w:t>
        </w:r>
        <w:r>
          <w:rPr>
            <w:webHidden/>
          </w:rPr>
          <w:fldChar w:fldCharType="end"/>
        </w:r>
      </w:hyperlink>
    </w:p>
    <w:p w:rsidR="00977B54" w:rsidRDefault="005468DA">
      <w:pPr>
        <w:pStyle w:val="TOC1"/>
        <w:rPr>
          <w:rFonts w:asciiTheme="minorHAnsi" w:eastAsiaTheme="minorEastAsia" w:hAnsiTheme="minorHAnsi" w:cstheme="minorBidi"/>
          <w:b w:val="0"/>
          <w:sz w:val="22"/>
          <w:szCs w:val="22"/>
        </w:rPr>
      </w:pPr>
      <w:hyperlink w:anchor="_Toc363199520" w:history="1">
        <w:r w:rsidR="00977B54" w:rsidRPr="00243A19">
          <w:rPr>
            <w:rStyle w:val="Hyperlink"/>
          </w:rPr>
          <w:t>4.</w:t>
        </w:r>
        <w:r w:rsidR="00977B54">
          <w:rPr>
            <w:rFonts w:asciiTheme="minorHAnsi" w:eastAsiaTheme="minorEastAsia" w:hAnsiTheme="minorHAnsi" w:cstheme="minorBidi"/>
            <w:b w:val="0"/>
            <w:sz w:val="22"/>
            <w:szCs w:val="22"/>
          </w:rPr>
          <w:tab/>
        </w:r>
        <w:r w:rsidR="00977B54" w:rsidRPr="00243A19">
          <w:rPr>
            <w:rStyle w:val="Hyperlink"/>
          </w:rPr>
          <w:t>Future outlook</w:t>
        </w:r>
        <w:r w:rsidR="00977B54">
          <w:rPr>
            <w:webHidden/>
          </w:rPr>
          <w:tab/>
        </w:r>
        <w:r>
          <w:rPr>
            <w:webHidden/>
          </w:rPr>
          <w:fldChar w:fldCharType="begin"/>
        </w:r>
        <w:r w:rsidR="00977B54">
          <w:rPr>
            <w:webHidden/>
          </w:rPr>
          <w:instrText xml:space="preserve"> PAGEREF _Toc363199520 \h </w:instrText>
        </w:r>
        <w:r>
          <w:rPr>
            <w:webHidden/>
          </w:rPr>
        </w:r>
        <w:r>
          <w:rPr>
            <w:webHidden/>
          </w:rPr>
          <w:fldChar w:fldCharType="separate"/>
        </w:r>
        <w:r w:rsidR="009C3DD6">
          <w:rPr>
            <w:webHidden/>
          </w:rPr>
          <w:t>6</w:t>
        </w:r>
        <w:r>
          <w:rPr>
            <w:webHidden/>
          </w:rPr>
          <w:fldChar w:fldCharType="end"/>
        </w:r>
      </w:hyperlink>
    </w:p>
    <w:p w:rsidR="001851C3" w:rsidRPr="00287F3B" w:rsidRDefault="005468DA" w:rsidP="002B2968">
      <w:pPr>
        <w:pStyle w:val="TOC1"/>
      </w:pPr>
      <w:r w:rsidRPr="00EF7FD6">
        <w:fldChar w:fldCharType="end"/>
      </w:r>
      <w:bookmarkStart w:id="2" w:name="_Toc329248318"/>
    </w:p>
    <w:p w:rsidR="00404110" w:rsidRDefault="00404110" w:rsidP="002D2B56">
      <w:pPr>
        <w:rPr>
          <w:rFonts w:ascii="Century Gothic" w:hAnsi="Century Gothic"/>
        </w:rPr>
      </w:pPr>
    </w:p>
    <w:p w:rsidR="00404110" w:rsidRPr="00FC6370" w:rsidRDefault="00404110" w:rsidP="00404110">
      <w:pPr>
        <w:rPr>
          <w:rFonts w:ascii="Century Gothic" w:hAnsi="Century Gothic"/>
        </w:rPr>
      </w:pPr>
    </w:p>
    <w:p w:rsidR="00404110" w:rsidRPr="00FC6370" w:rsidRDefault="00404110" w:rsidP="00404110">
      <w:pPr>
        <w:rPr>
          <w:rFonts w:ascii="Century Gothic" w:hAnsi="Century Gothic"/>
          <w:b/>
          <w:color w:val="5F497A" w:themeColor="accent4" w:themeShade="BF"/>
          <w:sz w:val="24"/>
          <w:szCs w:val="24"/>
        </w:rPr>
      </w:pPr>
      <w:r w:rsidRPr="00FC6370">
        <w:rPr>
          <w:rFonts w:ascii="Century Gothic" w:hAnsi="Century Gothic"/>
          <w:b/>
          <w:color w:val="5F497A" w:themeColor="accent4" w:themeShade="BF"/>
          <w:sz w:val="24"/>
          <w:szCs w:val="24"/>
        </w:rPr>
        <w:t>Acknowledgement of the Traditional Owners of the Murray-Darling Basin</w:t>
      </w:r>
    </w:p>
    <w:p w:rsidR="00404110" w:rsidRPr="00FC6370" w:rsidRDefault="00404110" w:rsidP="00404110">
      <w:pPr>
        <w:jc w:val="left"/>
        <w:rPr>
          <w:rFonts w:ascii="Century Gothic" w:hAnsi="Century Gothic"/>
        </w:rPr>
      </w:pPr>
      <w:r w:rsidRPr="00FC6370">
        <w:rPr>
          <w:rFonts w:ascii="Century Gothic" w:hAnsi="Century Gothic" w:cs="Century Gothic"/>
          <w:color w:val="000000"/>
        </w:rPr>
        <w:t>The Commonwealth Environmental Water Office respectfully acknowledge</w:t>
      </w:r>
      <w:r>
        <w:rPr>
          <w:rFonts w:ascii="Century Gothic" w:hAnsi="Century Gothic" w:cs="Century Gothic"/>
          <w:color w:val="000000"/>
        </w:rPr>
        <w:t>s</w:t>
      </w:r>
      <w:r w:rsidRPr="00FC6370">
        <w:rPr>
          <w:rFonts w:ascii="Century Gothic" w:hAnsi="Century Gothic" w:cs="Century Gothic"/>
          <w:color w:val="000000"/>
        </w:rPr>
        <w:t xml:space="preserve"> the Traditional Owners, their Elders past and present, their Nations of the Murray–Darling Basin, and their cultural, social, environmental, spiritual and economic connection to their lands and waters.</w:t>
      </w:r>
    </w:p>
    <w:p w:rsidR="00404110" w:rsidRPr="00FC6370" w:rsidRDefault="00404110" w:rsidP="00404110">
      <w:pPr>
        <w:rPr>
          <w:rFonts w:ascii="Century Gothic" w:hAnsi="Century Gothic"/>
        </w:rPr>
      </w:pPr>
    </w:p>
    <w:p w:rsidR="00404110" w:rsidRDefault="00404110">
      <w:pPr>
        <w:spacing w:after="0"/>
        <w:jc w:val="left"/>
        <w:rPr>
          <w:rFonts w:ascii="Century Gothic" w:hAnsi="Century Gothic"/>
        </w:rPr>
      </w:pPr>
    </w:p>
    <w:p w:rsidR="002D2B56" w:rsidRPr="00FC6370" w:rsidRDefault="002D2B56" w:rsidP="002D2B56">
      <w:pPr>
        <w:ind w:left="2127" w:hanging="2127"/>
        <w:jc w:val="left"/>
        <w:rPr>
          <w:rFonts w:ascii="Century Gothic" w:hAnsi="Century Gothic"/>
          <w:color w:val="5F497A" w:themeColor="accent4" w:themeShade="BF"/>
        </w:rPr>
      </w:pPr>
      <w:r w:rsidRPr="007F7361">
        <w:rPr>
          <w:rFonts w:ascii="Century Gothic" w:hAnsi="Century Gothic"/>
          <w:color w:val="5F497A" w:themeColor="accent4" w:themeShade="BF"/>
        </w:rPr>
        <w:t>Cover image credit:</w:t>
      </w:r>
      <w:r>
        <w:rPr>
          <w:rFonts w:ascii="Century Gothic" w:hAnsi="Century Gothic"/>
          <w:color w:val="5F497A" w:themeColor="accent4" w:themeShade="BF"/>
        </w:rPr>
        <w:tab/>
        <w:t xml:space="preserve">Purple swamphen, </w:t>
      </w:r>
      <w:proofErr w:type="spellStart"/>
      <w:r w:rsidRPr="00404110">
        <w:rPr>
          <w:rFonts w:ascii="Century Gothic" w:hAnsi="Century Gothic"/>
          <w:color w:val="5F497A" w:themeColor="accent4" w:themeShade="BF"/>
        </w:rPr>
        <w:t>Monkeygar</w:t>
      </w:r>
      <w:proofErr w:type="spellEnd"/>
      <w:r w:rsidRPr="00404110">
        <w:rPr>
          <w:rFonts w:ascii="Century Gothic" w:hAnsi="Century Gothic"/>
          <w:color w:val="5F497A" w:themeColor="accent4" w:themeShade="BF"/>
        </w:rPr>
        <w:t xml:space="preserve"> Wetland</w:t>
      </w:r>
      <w:r>
        <w:rPr>
          <w:rFonts w:ascii="Century Gothic" w:hAnsi="Century Gothic"/>
          <w:color w:val="5F497A" w:themeColor="accent4" w:themeShade="BF"/>
        </w:rPr>
        <w:t xml:space="preserve">, </w:t>
      </w:r>
      <w:r w:rsidR="00A00276">
        <w:rPr>
          <w:rFonts w:ascii="Century Gothic" w:hAnsi="Century Gothic"/>
          <w:color w:val="5F497A" w:themeColor="accent4" w:themeShade="BF"/>
        </w:rPr>
        <w:t>Macquarie</w:t>
      </w:r>
      <w:r>
        <w:rPr>
          <w:rFonts w:ascii="Century Gothic" w:hAnsi="Century Gothic"/>
          <w:color w:val="5F497A" w:themeColor="accent4" w:themeShade="BF"/>
        </w:rPr>
        <w:t xml:space="preserve"> Marshes, 2013</w:t>
      </w:r>
      <w:r w:rsidRPr="00FC6370">
        <w:rPr>
          <w:rFonts w:ascii="Century Gothic" w:hAnsi="Century Gothic"/>
          <w:color w:val="5F497A" w:themeColor="accent4" w:themeShade="BF"/>
        </w:rPr>
        <w:t xml:space="preserve">. </w:t>
      </w:r>
      <w:r>
        <w:rPr>
          <w:rFonts w:ascii="Century Gothic" w:hAnsi="Century Gothic"/>
          <w:color w:val="5F497A" w:themeColor="accent4" w:themeShade="BF"/>
        </w:rPr>
        <w:br/>
      </w:r>
      <w:r w:rsidRPr="00FC6370">
        <w:rPr>
          <w:rFonts w:ascii="Century Gothic" w:hAnsi="Century Gothic"/>
          <w:color w:val="5F497A" w:themeColor="accent4" w:themeShade="BF"/>
        </w:rPr>
        <w:t xml:space="preserve">Photo by </w:t>
      </w:r>
      <w:r>
        <w:rPr>
          <w:rFonts w:ascii="Century Gothic" w:hAnsi="Century Gothic"/>
          <w:color w:val="5F497A" w:themeColor="accent4" w:themeShade="BF"/>
        </w:rPr>
        <w:t>David Straccione</w:t>
      </w:r>
      <w:r w:rsidRPr="00FC6370">
        <w:rPr>
          <w:rFonts w:ascii="Century Gothic" w:hAnsi="Century Gothic"/>
          <w:color w:val="5F497A" w:themeColor="accent4" w:themeShade="BF"/>
        </w:rPr>
        <w:t xml:space="preserve"> © CEWO </w:t>
      </w:r>
    </w:p>
    <w:p w:rsidR="00404110" w:rsidRDefault="00404110" w:rsidP="002D2B56">
      <w:pPr>
        <w:rPr>
          <w:rFonts w:ascii="Century Gothic" w:hAnsi="Century Gothic"/>
        </w:rPr>
      </w:pPr>
    </w:p>
    <w:p w:rsidR="00404110" w:rsidRDefault="00404110" w:rsidP="00404110">
      <w:pPr>
        <w:rPr>
          <w:rFonts w:ascii="Century Gothic" w:hAnsi="Century Gothic"/>
        </w:rPr>
      </w:pPr>
    </w:p>
    <w:p w:rsidR="002D2B56" w:rsidRDefault="002D2B56" w:rsidP="00404110">
      <w:pPr>
        <w:rPr>
          <w:rFonts w:ascii="Century Gothic" w:hAnsi="Century Gothic"/>
        </w:rPr>
      </w:pPr>
    </w:p>
    <w:p w:rsidR="002D2B56" w:rsidRDefault="002D2B56" w:rsidP="00404110">
      <w:pPr>
        <w:rPr>
          <w:rFonts w:ascii="Century Gothic" w:hAnsi="Century Gothic"/>
        </w:rPr>
      </w:pPr>
    </w:p>
    <w:p w:rsidR="00404110" w:rsidRPr="00EF7FD6" w:rsidRDefault="00404110" w:rsidP="00404110">
      <w:pPr>
        <w:autoSpaceDE w:val="0"/>
        <w:autoSpaceDN w:val="0"/>
        <w:rPr>
          <w:rFonts w:ascii="Century Gothic" w:hAnsi="Century Gothic"/>
          <w:b/>
          <w:i/>
          <w:iCs/>
          <w:color w:val="414142"/>
          <w:sz w:val="16"/>
          <w:szCs w:val="16"/>
          <w:lang w:val="en-GB"/>
        </w:rPr>
      </w:pPr>
      <w:r w:rsidRPr="00EF7FD6">
        <w:rPr>
          <w:rFonts w:ascii="Century Gothic" w:hAnsi="Century Gothic"/>
          <w:color w:val="414142"/>
          <w:sz w:val="16"/>
          <w:szCs w:val="16"/>
        </w:rPr>
        <w:t>This report should be cited as ‘</w:t>
      </w:r>
      <w:r>
        <w:rPr>
          <w:rFonts w:ascii="Century Gothic" w:hAnsi="Century Gothic"/>
          <w:i/>
          <w:iCs/>
          <w:color w:val="414142"/>
          <w:sz w:val="16"/>
          <w:szCs w:val="16"/>
          <w:lang w:val="en-GB"/>
        </w:rPr>
        <w:t xml:space="preserve">Commonwealth environmental water </w:t>
      </w:r>
      <w:r w:rsidRPr="00967800">
        <w:rPr>
          <w:rFonts w:ascii="Century Gothic" w:hAnsi="Century Gothic"/>
          <w:i/>
          <w:iCs/>
          <w:color w:val="414142"/>
          <w:sz w:val="16"/>
          <w:szCs w:val="16"/>
          <w:lang w:val="en-GB"/>
        </w:rPr>
        <w:t>carryover from 2012-13 into 2013-14</w:t>
      </w:r>
      <w:r>
        <w:rPr>
          <w:rFonts w:ascii="Century Gothic" w:hAnsi="Century Gothic"/>
          <w:i/>
          <w:iCs/>
          <w:color w:val="414142"/>
          <w:sz w:val="16"/>
          <w:szCs w:val="16"/>
          <w:lang w:val="en-GB"/>
        </w:rPr>
        <w:t>’</w:t>
      </w:r>
      <w:r w:rsidRPr="00EF7FD6">
        <w:rPr>
          <w:rFonts w:ascii="Century Gothic" w:hAnsi="Century Gothic"/>
          <w:color w:val="414142"/>
          <w:sz w:val="16"/>
          <w:szCs w:val="16"/>
        </w:rPr>
        <w:t xml:space="preserve">. </w:t>
      </w:r>
    </w:p>
    <w:p w:rsidR="00404110" w:rsidRPr="00EF7FD6" w:rsidRDefault="00404110" w:rsidP="00404110">
      <w:pPr>
        <w:autoSpaceDE w:val="0"/>
        <w:autoSpaceDN w:val="0"/>
        <w:jc w:val="left"/>
        <w:rPr>
          <w:rFonts w:ascii="Century Gothic" w:hAnsi="Century Gothic"/>
          <w:color w:val="414142"/>
          <w:sz w:val="16"/>
          <w:szCs w:val="16"/>
        </w:rPr>
      </w:pPr>
      <w:proofErr w:type="gramStart"/>
      <w:r w:rsidRPr="00EF7FD6">
        <w:rPr>
          <w:rFonts w:ascii="Century Gothic" w:hAnsi="Century Gothic"/>
          <w:color w:val="414142"/>
          <w:sz w:val="16"/>
          <w:szCs w:val="16"/>
        </w:rPr>
        <w:t>Published by the Commonwealth Environmental Water Holder for the Australian Government.</w:t>
      </w:r>
      <w:proofErr w:type="gramEnd"/>
      <w:r w:rsidRPr="00EF7FD6">
        <w:rPr>
          <w:rFonts w:ascii="Century Gothic" w:hAnsi="Century Gothic"/>
          <w:color w:val="414142"/>
          <w:sz w:val="16"/>
          <w:szCs w:val="16"/>
        </w:rPr>
        <w:br/>
      </w:r>
      <w:proofErr w:type="gramStart"/>
      <w:r w:rsidRPr="00EF7FD6">
        <w:rPr>
          <w:rFonts w:ascii="Century Gothic" w:hAnsi="Century Gothic"/>
          <w:color w:val="414142"/>
          <w:sz w:val="16"/>
          <w:szCs w:val="16"/>
        </w:rPr>
        <w:softHyphen/>
      </w:r>
      <w:r w:rsidRPr="00EF7FD6">
        <w:rPr>
          <w:rFonts w:ascii="Century Gothic" w:hAnsi="Century Gothic"/>
          <w:color w:val="414142"/>
          <w:sz w:val="16"/>
          <w:szCs w:val="16"/>
        </w:rPr>
        <w:softHyphen/>
        <w:t>© Commonwealth of Australia 2013.</w:t>
      </w:r>
      <w:proofErr w:type="gramEnd"/>
    </w:p>
    <w:p w:rsidR="00404110" w:rsidRPr="00EF7FD6" w:rsidRDefault="00404110" w:rsidP="00404110">
      <w:pPr>
        <w:autoSpaceDE w:val="0"/>
        <w:autoSpaceDN w:val="0"/>
        <w:rPr>
          <w:rFonts w:ascii="Century Gothic" w:hAnsi="Century Gothic"/>
          <w:color w:val="414142"/>
          <w:sz w:val="16"/>
          <w:szCs w:val="16"/>
        </w:rPr>
      </w:pPr>
      <w:r w:rsidRPr="00EF7FD6">
        <w:rPr>
          <w:rFonts w:ascii="Century Gothic" w:hAnsi="Century Gothic"/>
          <w:color w:val="414142"/>
          <w:sz w:val="16"/>
          <w:szCs w:val="16"/>
        </w:rPr>
        <w:t xml:space="preserve">This work is copyright. Apart from any use as permitted under the Copyright Act 1968, no part may be reproduced by any process without prior written permission from the Commonwealth. Requests and enquiries concerning reproduction and rights should be addressed to Department of Sustainability, Environment, Water, Populations and Communities, Public Affairs, GPO Box 787 Canberra ACT 2601 or email </w:t>
      </w:r>
      <w:hyperlink r:id="rId11" w:history="1">
        <w:r w:rsidRPr="00EF7FD6">
          <w:rPr>
            <w:rStyle w:val="Hyperlink"/>
            <w:rFonts w:ascii="Century Gothic" w:hAnsi="Century Gothic"/>
            <w:sz w:val="16"/>
            <w:szCs w:val="16"/>
          </w:rPr>
          <w:t>public.affairs@environment.gov.au</w:t>
        </w:r>
      </w:hyperlink>
    </w:p>
    <w:p w:rsidR="00404110" w:rsidRDefault="00404110">
      <w:pPr>
        <w:spacing w:after="0"/>
        <w:jc w:val="left"/>
        <w:rPr>
          <w:rFonts w:ascii="Century Gothic" w:hAnsi="Century Gothic"/>
        </w:rPr>
      </w:pPr>
      <w:r w:rsidRPr="00EF7FD6">
        <w:rPr>
          <w:rFonts w:ascii="Century Gothic" w:hAnsi="Century Gothic"/>
          <w:color w:val="414142"/>
          <w:sz w:val="16"/>
          <w:szCs w:val="16"/>
        </w:rPr>
        <w:t>Information presented in this document may be copied for personal use or published for education purposes, provided that any extracts are fully acknowledged. The views and opinions expressed in this publication are those of the authors and do not necessarily reflect those of the Australian Government or the Minister for Sustainability, Environment, Water, Population and Communities.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1851C3" w:rsidRPr="00EF7FD6" w:rsidRDefault="001851C3">
      <w:pPr>
        <w:spacing w:after="0"/>
        <w:jc w:val="left"/>
        <w:rPr>
          <w:rFonts w:ascii="Century Gothic" w:hAnsi="Century Gothic"/>
        </w:rPr>
      </w:pPr>
      <w:r w:rsidRPr="00EF7FD6">
        <w:rPr>
          <w:rFonts w:ascii="Century Gothic" w:hAnsi="Century Gothic"/>
        </w:rPr>
        <w:br w:type="page"/>
      </w:r>
    </w:p>
    <w:p w:rsidR="002B40CB" w:rsidRPr="00CE4987" w:rsidRDefault="005468DA" w:rsidP="00EA1FD4">
      <w:pPr>
        <w:pStyle w:val="Heading1"/>
        <w:jc w:val="left"/>
        <w:rPr>
          <w:rFonts w:ascii="Century Gothic" w:hAnsi="Century Gothic"/>
          <w:color w:val="5F497A" w:themeColor="accent4" w:themeShade="BF"/>
          <w:sz w:val="36"/>
          <w:szCs w:val="36"/>
        </w:rPr>
      </w:pPr>
      <w:r>
        <w:rPr>
          <w:rFonts w:ascii="Century Gothic" w:hAnsi="Century Gothic"/>
          <w:noProof/>
          <w:color w:val="5F497A" w:themeColor="accent4" w:themeShade="BF"/>
          <w:sz w:val="36"/>
          <w:szCs w:val="36"/>
          <w:lang w:val="en-AU" w:eastAsia="en-AU"/>
        </w:rPr>
        <w:lastRenderedPageBreak/>
        <w:pict>
          <v:roundrect id="_x0000_s1444" style="position:absolute;left:0;text-align:left;margin-left:-12.8pt;margin-top:-19.2pt;width:486pt;height:285.75pt;z-index:-251567105" arcsize="10923f" strokecolor="#4a2683">
            <v:fill opacity="0"/>
          </v:roundrect>
        </w:pict>
      </w:r>
      <w:bookmarkStart w:id="3" w:name="_Toc363199516"/>
      <w:r w:rsidR="00967800" w:rsidRPr="00CE4987">
        <w:rPr>
          <w:rFonts w:ascii="Century Gothic" w:hAnsi="Century Gothic"/>
          <w:color w:val="5F497A" w:themeColor="accent4" w:themeShade="BF"/>
          <w:sz w:val="36"/>
          <w:szCs w:val="36"/>
        </w:rPr>
        <w:t>Key points</w:t>
      </w:r>
      <w:bookmarkEnd w:id="2"/>
      <w:bookmarkEnd w:id="3"/>
    </w:p>
    <w:p w:rsidR="00967800" w:rsidRPr="00CE4987" w:rsidRDefault="00967800" w:rsidP="0079284B">
      <w:pPr>
        <w:pStyle w:val="Para0"/>
        <w:numPr>
          <w:ilvl w:val="0"/>
          <w:numId w:val="11"/>
        </w:numPr>
        <w:spacing w:after="240" w:line="240" w:lineRule="auto"/>
        <w:jc w:val="left"/>
        <w:rPr>
          <w:rFonts w:ascii="Century Gothic" w:hAnsi="Century Gothic"/>
        </w:rPr>
      </w:pPr>
      <w:r w:rsidRPr="00CE4987">
        <w:rPr>
          <w:rFonts w:ascii="Century Gothic" w:hAnsi="Century Gothic"/>
        </w:rPr>
        <w:t>The Commonwealth owns water entitlements</w:t>
      </w:r>
      <w:r w:rsidR="00666D16" w:rsidRPr="00CE4987">
        <w:rPr>
          <w:rFonts w:ascii="Century Gothic" w:hAnsi="Century Gothic"/>
        </w:rPr>
        <w:t xml:space="preserve"> in the Murray</w:t>
      </w:r>
      <w:r w:rsidR="00666D16" w:rsidRPr="00CE4987">
        <w:rPr>
          <w:rFonts w:ascii="Century Gothic" w:hAnsi="Century Gothic" w:cs="Arial"/>
        </w:rPr>
        <w:t>–</w:t>
      </w:r>
      <w:r w:rsidR="00666D16" w:rsidRPr="00CE4987">
        <w:rPr>
          <w:rFonts w:ascii="Century Gothic" w:hAnsi="Century Gothic"/>
        </w:rPr>
        <w:t>Darling Basin (the Basin)</w:t>
      </w:r>
      <w:r w:rsidRPr="00CE4987">
        <w:rPr>
          <w:rFonts w:ascii="Century Gothic" w:hAnsi="Century Gothic"/>
        </w:rPr>
        <w:t xml:space="preserve">, and receives water allocations against them, in the same way that other entitlement holders do. The rules associated with the water entitlements and allocations are set by </w:t>
      </w:r>
      <w:r w:rsidR="00666D16" w:rsidRPr="00CE4987">
        <w:rPr>
          <w:rFonts w:ascii="Century Gothic" w:hAnsi="Century Gothic"/>
        </w:rPr>
        <w:t xml:space="preserve">the Basin </w:t>
      </w:r>
      <w:r w:rsidRPr="00CE4987">
        <w:rPr>
          <w:rFonts w:ascii="Century Gothic" w:hAnsi="Century Gothic"/>
        </w:rPr>
        <w:t>States and apply to all entitlement holders.</w:t>
      </w:r>
    </w:p>
    <w:p w:rsidR="00967800" w:rsidRPr="00CE4987" w:rsidRDefault="00967800" w:rsidP="0079284B">
      <w:pPr>
        <w:pStyle w:val="Para0"/>
        <w:numPr>
          <w:ilvl w:val="0"/>
          <w:numId w:val="11"/>
        </w:numPr>
        <w:spacing w:after="240" w:line="240" w:lineRule="auto"/>
        <w:jc w:val="left"/>
        <w:rPr>
          <w:rFonts w:ascii="Century Gothic" w:hAnsi="Century Gothic"/>
        </w:rPr>
      </w:pPr>
      <w:r w:rsidRPr="00CE4987">
        <w:rPr>
          <w:rFonts w:ascii="Century Gothic" w:hAnsi="Century Gothic"/>
        </w:rPr>
        <w:t>Across the Basin, on a proportional basis, the Commonwealth used more and carried over less of its available water for each of the five years between 2008-09 and 2012-13.</w:t>
      </w:r>
    </w:p>
    <w:p w:rsidR="00967800" w:rsidRPr="00CE4987" w:rsidRDefault="00967800" w:rsidP="0079284B">
      <w:pPr>
        <w:pStyle w:val="Para0"/>
        <w:numPr>
          <w:ilvl w:val="0"/>
          <w:numId w:val="11"/>
        </w:numPr>
        <w:spacing w:after="240" w:line="240" w:lineRule="auto"/>
        <w:jc w:val="left"/>
        <w:rPr>
          <w:rFonts w:ascii="Century Gothic" w:hAnsi="Century Gothic"/>
        </w:rPr>
      </w:pPr>
      <w:r w:rsidRPr="00CE4987">
        <w:rPr>
          <w:rFonts w:ascii="Century Gothic" w:hAnsi="Century Gothic"/>
        </w:rPr>
        <w:t>On 1 July 2013, the Commonwealth had 393 GL of carryover, which is equivalent to 1.8 per cent of public storage capacity across the Basin.  Like any other water user, the Commonwealth Environmental Water Office</w:t>
      </w:r>
      <w:r w:rsidR="006772F6" w:rsidRPr="00CE4987">
        <w:rPr>
          <w:rFonts w:ascii="Century Gothic" w:hAnsi="Century Gothic"/>
        </w:rPr>
        <w:t xml:space="preserve"> (the office)</w:t>
      </w:r>
      <w:r w:rsidRPr="00CE4987">
        <w:rPr>
          <w:rFonts w:ascii="Century Gothic" w:hAnsi="Century Gothic"/>
        </w:rPr>
        <w:t xml:space="preserve"> could not fill up dams disproportionately relative to its holdings. </w:t>
      </w:r>
    </w:p>
    <w:p w:rsidR="009425E6" w:rsidRPr="00CE4987" w:rsidRDefault="00967800" w:rsidP="0079284B">
      <w:pPr>
        <w:pStyle w:val="Para0"/>
        <w:numPr>
          <w:ilvl w:val="0"/>
          <w:numId w:val="11"/>
        </w:numPr>
        <w:spacing w:after="240" w:line="240" w:lineRule="auto"/>
        <w:jc w:val="left"/>
        <w:rPr>
          <w:rFonts w:ascii="Century Gothic" w:hAnsi="Century Gothic"/>
        </w:rPr>
      </w:pPr>
      <w:r w:rsidRPr="00CE4987">
        <w:rPr>
          <w:rFonts w:ascii="Century Gothic" w:hAnsi="Century Gothic"/>
        </w:rPr>
        <w:t>Over the longer term it is expected that the percentage of Commonwealth environmental water that is used, or conversely carried over, will be similar to other water users - although like all water users the percentage of utilisation will vary from year to year.</w:t>
      </w:r>
    </w:p>
    <w:p w:rsidR="002526EC" w:rsidRDefault="002526EC" w:rsidP="002526EC">
      <w:pPr>
        <w:pStyle w:val="Para0"/>
        <w:spacing w:after="240" w:line="240" w:lineRule="auto"/>
        <w:jc w:val="left"/>
        <w:rPr>
          <w:rFonts w:ascii="Century Gothic" w:hAnsi="Century Gothic"/>
          <w:sz w:val="24"/>
          <w:szCs w:val="24"/>
        </w:rPr>
      </w:pPr>
    </w:p>
    <w:p w:rsidR="009C12A0" w:rsidRPr="00CE4987" w:rsidRDefault="00BC44CA" w:rsidP="009C12A0">
      <w:pPr>
        <w:pStyle w:val="Heading1"/>
        <w:ind w:left="360"/>
        <w:jc w:val="left"/>
        <w:rPr>
          <w:rFonts w:ascii="Century Gothic" w:hAnsi="Century Gothic"/>
          <w:color w:val="5F497A" w:themeColor="accent4" w:themeShade="BF"/>
          <w:sz w:val="36"/>
          <w:szCs w:val="36"/>
        </w:rPr>
      </w:pPr>
      <w:r w:rsidRPr="00CE4987">
        <w:rPr>
          <w:rFonts w:ascii="Century Gothic" w:hAnsi="Century Gothic"/>
          <w:color w:val="5F497A" w:themeColor="accent4" w:themeShade="BF"/>
          <w:sz w:val="36"/>
          <w:szCs w:val="36"/>
        </w:rPr>
        <w:t xml:space="preserve"> </w:t>
      </w:r>
      <w:bookmarkStart w:id="4" w:name="_Toc363199517"/>
      <w:r w:rsidR="009C12A0" w:rsidRPr="00CE4987">
        <w:rPr>
          <w:rFonts w:ascii="Century Gothic" w:hAnsi="Century Gothic"/>
          <w:color w:val="5F497A" w:themeColor="accent4" w:themeShade="BF"/>
          <w:sz w:val="36"/>
          <w:szCs w:val="36"/>
        </w:rPr>
        <w:t>Background</w:t>
      </w:r>
      <w:bookmarkEnd w:id="4"/>
    </w:p>
    <w:p w:rsidR="00D9671C" w:rsidRPr="00CE4987" w:rsidRDefault="00D9671C" w:rsidP="00D9671C">
      <w:pPr>
        <w:pStyle w:val="Para0"/>
        <w:spacing w:after="240" w:line="240" w:lineRule="auto"/>
        <w:jc w:val="left"/>
        <w:rPr>
          <w:rFonts w:ascii="Century Gothic" w:hAnsi="Century Gothic"/>
        </w:rPr>
      </w:pPr>
      <w:r w:rsidRPr="00CE4987">
        <w:rPr>
          <w:rFonts w:ascii="Century Gothic" w:hAnsi="Century Gothic"/>
        </w:rPr>
        <w:t xml:space="preserve">Under the </w:t>
      </w:r>
      <w:r w:rsidRPr="00CE4987">
        <w:rPr>
          <w:rFonts w:ascii="Century Gothic" w:hAnsi="Century Gothic"/>
          <w:i/>
        </w:rPr>
        <w:t>Water Act 2007</w:t>
      </w:r>
      <w:r w:rsidRPr="00CE4987">
        <w:rPr>
          <w:rFonts w:ascii="Century Gothic" w:hAnsi="Century Gothic"/>
        </w:rPr>
        <w:t xml:space="preserve">, Commonwealth environmental water is used to protect and restore environmental assets in the Murray-Darling Basin. </w:t>
      </w:r>
    </w:p>
    <w:p w:rsidR="00C65146" w:rsidRDefault="00D9671C" w:rsidP="00D9671C">
      <w:pPr>
        <w:pStyle w:val="Para0"/>
        <w:spacing w:after="240" w:line="240" w:lineRule="auto"/>
        <w:jc w:val="left"/>
        <w:rPr>
          <w:rFonts w:ascii="Century Gothic" w:hAnsi="Century Gothic"/>
        </w:rPr>
      </w:pPr>
      <w:r w:rsidRPr="00CE4987">
        <w:rPr>
          <w:rFonts w:ascii="Century Gothic" w:hAnsi="Century Gothic"/>
        </w:rPr>
        <w:t>The Commonwealth owns water entitlements</w:t>
      </w:r>
      <w:r w:rsidR="002B6E39" w:rsidRPr="00CE4987">
        <w:rPr>
          <w:rFonts w:ascii="Century Gothic" w:hAnsi="Century Gothic"/>
        </w:rPr>
        <w:t xml:space="preserve"> in the Basin</w:t>
      </w:r>
      <w:r w:rsidRPr="00CE4987">
        <w:rPr>
          <w:rFonts w:ascii="Century Gothic" w:hAnsi="Century Gothic"/>
        </w:rPr>
        <w:t xml:space="preserve">, and receives water allocations against them, in the same way that other entitlement holders do. The rules associated with the water entitlements and allocations are set by </w:t>
      </w:r>
      <w:r w:rsidR="002B6E39" w:rsidRPr="00CE4987">
        <w:rPr>
          <w:rFonts w:ascii="Century Gothic" w:hAnsi="Century Gothic"/>
        </w:rPr>
        <w:t xml:space="preserve">the Basin </w:t>
      </w:r>
      <w:r w:rsidRPr="00CE4987">
        <w:rPr>
          <w:rFonts w:ascii="Century Gothic" w:hAnsi="Century Gothic"/>
        </w:rPr>
        <w:t xml:space="preserve">States and apply to all entitlement holders. </w:t>
      </w:r>
    </w:p>
    <w:p w:rsidR="00D9671C" w:rsidRPr="00CE4987" w:rsidRDefault="00D9671C" w:rsidP="00D9671C">
      <w:pPr>
        <w:pStyle w:val="Para0"/>
        <w:spacing w:after="240" w:line="240" w:lineRule="auto"/>
        <w:jc w:val="left"/>
        <w:rPr>
          <w:rFonts w:ascii="Century Gothic" w:hAnsi="Century Gothic"/>
        </w:rPr>
      </w:pPr>
      <w:r w:rsidRPr="00CE4987">
        <w:rPr>
          <w:rFonts w:ascii="Century Gothic" w:hAnsi="Century Gothic"/>
        </w:rPr>
        <w:t xml:space="preserve">Some of the rules associated with water entitlements relate to carryover. Carryover rules vary markedly for different entitlements and in different water plan areas across the Basin. The carryover limits, account limits and use limits apply to all entitlement holders including the Commonwealth. Carryover provides flexibility in the timing of water delivery across years to all entitlement holders. For environmental water holders, this flexibility can be important when meeting environmental needs. For example, for an environmental manager, carryover provides the opportunity to water wetlands or river red gums in late winter and early spring </w:t>
      </w:r>
      <w:r w:rsidR="00C65146">
        <w:rPr>
          <w:rFonts w:ascii="Century Gothic" w:hAnsi="Century Gothic"/>
        </w:rPr>
        <w:t>before</w:t>
      </w:r>
      <w:r w:rsidRPr="00CE4987">
        <w:rPr>
          <w:rFonts w:ascii="Century Gothic" w:hAnsi="Century Gothic"/>
        </w:rPr>
        <w:t xml:space="preserve"> most of the seasonal allocations for many entitlement types. </w:t>
      </w:r>
    </w:p>
    <w:p w:rsidR="00C65146" w:rsidRDefault="00D9671C" w:rsidP="00C65146">
      <w:pPr>
        <w:spacing w:after="240"/>
        <w:jc w:val="left"/>
        <w:rPr>
          <w:rFonts w:ascii="Century Gothic" w:hAnsi="Century Gothic"/>
        </w:rPr>
      </w:pPr>
      <w:r w:rsidRPr="00CE4987">
        <w:rPr>
          <w:rFonts w:ascii="Century Gothic" w:hAnsi="Century Gothic"/>
        </w:rPr>
        <w:t xml:space="preserve">The same choices to manage water are available to the Commonwealth as other entitlement holders, and these choices are to use, to carryover, or to trade. Like any other entitlement holder, the Commonwealth will use the carryover available to it to efficiently manage its water holdings and produce better outcomes from the water available to it. </w:t>
      </w:r>
    </w:p>
    <w:p w:rsidR="00CE4987" w:rsidRDefault="00C65146" w:rsidP="00CE4987">
      <w:pPr>
        <w:spacing w:after="0"/>
        <w:jc w:val="left"/>
        <w:rPr>
          <w:rFonts w:ascii="Century Gothic" w:hAnsi="Century Gothic"/>
        </w:rPr>
      </w:pPr>
      <w:r w:rsidRPr="00CE4987">
        <w:rPr>
          <w:rFonts w:ascii="Century Gothic" w:hAnsi="Century Gothic"/>
        </w:rPr>
        <w:t xml:space="preserve">As a result of the rules and having carryover limits in various forms, no water holder (including the Commonwealth) can fill up dams to the exclusion of other water </w:t>
      </w:r>
      <w:proofErr w:type="gramStart"/>
      <w:r w:rsidRPr="00CE4987">
        <w:rPr>
          <w:rFonts w:ascii="Century Gothic" w:hAnsi="Century Gothic"/>
        </w:rPr>
        <w:t>users</w:t>
      </w:r>
      <w:r>
        <w:rPr>
          <w:rFonts w:ascii="Century Gothic" w:hAnsi="Century Gothic"/>
        </w:rPr>
        <w:t xml:space="preserve"> </w:t>
      </w:r>
      <w:proofErr w:type="gramEnd"/>
      <w:r w:rsidRPr="00574519">
        <w:rPr>
          <w:rFonts w:ascii="Century Gothic" w:hAnsi="Century Gothic"/>
          <w:vertAlign w:val="superscript"/>
        </w:rPr>
        <w:footnoteReference w:id="1"/>
      </w:r>
      <w:r w:rsidRPr="00D9671C">
        <w:rPr>
          <w:rFonts w:ascii="Century Gothic" w:hAnsi="Century Gothic"/>
          <w:sz w:val="24"/>
          <w:szCs w:val="24"/>
        </w:rPr>
        <w:t>.</w:t>
      </w:r>
    </w:p>
    <w:p w:rsidR="00CE4987" w:rsidRPr="00D9671C" w:rsidRDefault="00CE4987" w:rsidP="00CE4987">
      <w:pPr>
        <w:spacing w:after="0"/>
        <w:jc w:val="left"/>
        <w:rPr>
          <w:rFonts w:ascii="Century Gothic" w:hAnsi="Century Gothic"/>
          <w:sz w:val="24"/>
          <w:szCs w:val="24"/>
        </w:rPr>
      </w:pPr>
      <w:r>
        <w:rPr>
          <w:rFonts w:ascii="Century Gothic" w:hAnsi="Century Gothic"/>
          <w:sz w:val="24"/>
          <w:szCs w:val="24"/>
        </w:rPr>
        <w:br w:type="page"/>
      </w:r>
    </w:p>
    <w:p w:rsidR="00557140" w:rsidRPr="00CE4987" w:rsidRDefault="00BC44CA" w:rsidP="00BC44CA">
      <w:pPr>
        <w:pStyle w:val="Heading1"/>
        <w:ind w:left="360" w:hanging="357"/>
        <w:jc w:val="left"/>
        <w:rPr>
          <w:rFonts w:ascii="Century Gothic" w:hAnsi="Century Gothic"/>
          <w:color w:val="5F497A" w:themeColor="accent4" w:themeShade="BF"/>
          <w:sz w:val="36"/>
          <w:szCs w:val="36"/>
        </w:rPr>
      </w:pPr>
      <w:bookmarkStart w:id="5" w:name="_Toc363199518"/>
      <w:bookmarkEnd w:id="5"/>
      <w:r w:rsidRPr="00CE4987">
        <w:rPr>
          <w:rFonts w:ascii="Century Gothic" w:hAnsi="Century Gothic"/>
          <w:color w:val="5F497A" w:themeColor="accent4" w:themeShade="BF"/>
          <w:sz w:val="36"/>
          <w:szCs w:val="36"/>
        </w:rPr>
        <w:t xml:space="preserve"> </w:t>
      </w:r>
      <w:bookmarkStart w:id="6" w:name="_Toc363199519"/>
      <w:r w:rsidR="00557140" w:rsidRPr="00CE4987">
        <w:rPr>
          <w:rFonts w:ascii="Century Gothic" w:hAnsi="Century Gothic"/>
          <w:color w:val="5F497A" w:themeColor="accent4" w:themeShade="BF"/>
          <w:sz w:val="36"/>
          <w:szCs w:val="36"/>
        </w:rPr>
        <w:t>Co</w:t>
      </w:r>
      <w:r w:rsidR="00D9671C" w:rsidRPr="00CE4987">
        <w:rPr>
          <w:rFonts w:ascii="Century Gothic" w:hAnsi="Century Gothic"/>
          <w:color w:val="5F497A" w:themeColor="accent4" w:themeShade="BF"/>
          <w:sz w:val="36"/>
          <w:szCs w:val="36"/>
        </w:rPr>
        <w:t>mmonwealth carryover</w:t>
      </w:r>
      <w:bookmarkEnd w:id="6"/>
    </w:p>
    <w:p w:rsidR="00D9671C" w:rsidRPr="00CE4987" w:rsidRDefault="00D9671C" w:rsidP="00D9671C">
      <w:pPr>
        <w:pStyle w:val="Para0"/>
        <w:spacing w:after="240" w:line="240" w:lineRule="auto"/>
        <w:jc w:val="left"/>
        <w:rPr>
          <w:rFonts w:ascii="Century Gothic" w:hAnsi="Century Gothic"/>
        </w:rPr>
      </w:pPr>
      <w:r w:rsidRPr="00CE4987">
        <w:rPr>
          <w:rFonts w:ascii="Century Gothic" w:hAnsi="Century Gothic"/>
        </w:rPr>
        <w:t xml:space="preserve">Across the Basin, on a proportional basis, the Commonwealth used more and carried over less of its available water than other water users (on average) for the five years between 2008-09 and 2012-13. </w:t>
      </w:r>
    </w:p>
    <w:p w:rsidR="00D9671C" w:rsidRPr="00CE4987" w:rsidRDefault="00D9671C" w:rsidP="00D9671C">
      <w:pPr>
        <w:pStyle w:val="Para0"/>
        <w:spacing w:after="240" w:line="240" w:lineRule="auto"/>
        <w:jc w:val="left"/>
        <w:rPr>
          <w:rFonts w:ascii="Century Gothic" w:hAnsi="Century Gothic"/>
        </w:rPr>
      </w:pPr>
      <w:r w:rsidRPr="00CE4987">
        <w:rPr>
          <w:rFonts w:ascii="Century Gothic" w:hAnsi="Century Gothic"/>
        </w:rPr>
        <w:t xml:space="preserve">Commonwealth carryover on 1 July 2013 was 393 GL (compared to a storage volume across the Basin of over 22,000 GL). Carryover of Commonwealth environmental water in the north of the Basin was 225 GL, and carryover in the south of the Basin was 169 GL. The </w:t>
      </w:r>
      <w:proofErr w:type="gramStart"/>
      <w:r w:rsidRPr="00CE4987">
        <w:rPr>
          <w:rFonts w:ascii="Century Gothic" w:hAnsi="Century Gothic"/>
        </w:rPr>
        <w:t>distribution of carryover across catchments, and the distribution of entitlements on 1 July 2013, are</w:t>
      </w:r>
      <w:proofErr w:type="gramEnd"/>
      <w:r w:rsidRPr="00CE4987">
        <w:rPr>
          <w:rFonts w:ascii="Century Gothic" w:hAnsi="Century Gothic"/>
        </w:rPr>
        <w:t xml:space="preserve"> shown in </w:t>
      </w:r>
      <w:r w:rsidR="001E48FF" w:rsidRPr="00CE4987">
        <w:rPr>
          <w:rFonts w:ascii="Century Gothic" w:hAnsi="Century Gothic"/>
        </w:rPr>
        <w:t>t</w:t>
      </w:r>
      <w:r w:rsidRPr="00CE4987">
        <w:rPr>
          <w:rFonts w:ascii="Century Gothic" w:hAnsi="Century Gothic"/>
        </w:rPr>
        <w:t xml:space="preserve">able 1.  Carryover from 1 July 2012 to 1 July 2013 decreased in all catchments with the exception of the </w:t>
      </w:r>
      <w:proofErr w:type="spellStart"/>
      <w:r w:rsidRPr="00CE4987">
        <w:rPr>
          <w:rFonts w:ascii="Century Gothic" w:hAnsi="Century Gothic"/>
        </w:rPr>
        <w:t>Goulburn</w:t>
      </w:r>
      <w:proofErr w:type="spellEnd"/>
      <w:r w:rsidRPr="00CE4987">
        <w:rPr>
          <w:rFonts w:ascii="Century Gothic" w:hAnsi="Century Gothic"/>
        </w:rPr>
        <w:t xml:space="preserve"> and the </w:t>
      </w:r>
      <w:proofErr w:type="spellStart"/>
      <w:r w:rsidRPr="00CE4987">
        <w:rPr>
          <w:rFonts w:ascii="Century Gothic" w:hAnsi="Century Gothic"/>
        </w:rPr>
        <w:t>Murrumbidgee</w:t>
      </w:r>
      <w:proofErr w:type="spellEnd"/>
      <w:r w:rsidRPr="00CE4987">
        <w:rPr>
          <w:rFonts w:ascii="Century Gothic" w:hAnsi="Century Gothic"/>
        </w:rPr>
        <w:t xml:space="preserve"> catchments, where it increased by about 4 GL in each.</w:t>
      </w:r>
    </w:p>
    <w:p w:rsidR="00D9671C" w:rsidRPr="00CE4987" w:rsidRDefault="00D9671C" w:rsidP="00C03E3D">
      <w:pPr>
        <w:ind w:left="908" w:hanging="908"/>
        <w:jc w:val="left"/>
        <w:rPr>
          <w:rFonts w:ascii="Century Gothic" w:hAnsi="Century Gothic"/>
          <w:b/>
        </w:rPr>
      </w:pPr>
      <w:proofErr w:type="gramStart"/>
      <w:r w:rsidRPr="00CE4987">
        <w:rPr>
          <w:rFonts w:ascii="Century Gothic" w:hAnsi="Century Gothic"/>
          <w:b/>
        </w:rPr>
        <w:t>Table 1</w:t>
      </w:r>
      <w:r w:rsidR="00C03E3D" w:rsidRPr="00CE4987">
        <w:rPr>
          <w:rFonts w:ascii="Century Gothic" w:hAnsi="Century Gothic"/>
          <w:b/>
        </w:rPr>
        <w:t>.</w:t>
      </w:r>
      <w:proofErr w:type="gramEnd"/>
      <w:r w:rsidR="00C03E3D" w:rsidRPr="00CE4987">
        <w:rPr>
          <w:rFonts w:ascii="Century Gothic" w:hAnsi="Century Gothic"/>
          <w:b/>
        </w:rPr>
        <w:tab/>
      </w:r>
      <w:r w:rsidR="00C65146">
        <w:rPr>
          <w:rFonts w:ascii="Century Gothic" w:hAnsi="Century Gothic"/>
          <w:b/>
        </w:rPr>
        <w:t>C</w:t>
      </w:r>
      <w:r w:rsidRPr="00CE4987">
        <w:rPr>
          <w:rFonts w:ascii="Century Gothic" w:hAnsi="Century Gothic"/>
          <w:b/>
        </w:rPr>
        <w:t>arryover of Commonwealth environmental water (as at 1 July 2013)</w:t>
      </w:r>
    </w:p>
    <w:tbl>
      <w:tblPr>
        <w:tblW w:w="9058" w:type="dxa"/>
        <w:jc w:val="center"/>
        <w:tblInd w:w="-3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2166"/>
        <w:gridCol w:w="2126"/>
        <w:gridCol w:w="1275"/>
        <w:gridCol w:w="1560"/>
        <w:gridCol w:w="1931"/>
      </w:tblGrid>
      <w:tr w:rsidR="00D9671C" w:rsidRPr="00E26D53" w:rsidTr="005A1F57">
        <w:trPr>
          <w:trHeight w:val="1008"/>
          <w:jc w:val="center"/>
        </w:trPr>
        <w:tc>
          <w:tcPr>
            <w:tcW w:w="2166" w:type="dxa"/>
            <w:tcBorders>
              <w:bottom w:val="single" w:sz="4" w:space="0" w:color="auto"/>
            </w:tcBorders>
            <w:shd w:val="clear" w:color="auto" w:fill="B2A1C7" w:themeFill="accent4" w:themeFillTint="99"/>
            <w:tcMar>
              <w:top w:w="0" w:type="dxa"/>
              <w:left w:w="108" w:type="dxa"/>
              <w:bottom w:w="0" w:type="dxa"/>
              <w:right w:w="108" w:type="dxa"/>
            </w:tcMar>
            <w:vAlign w:val="center"/>
            <w:hideMark/>
          </w:tcPr>
          <w:p w:rsidR="00D9671C" w:rsidRPr="00E26D53" w:rsidRDefault="00D9671C" w:rsidP="00D9671C">
            <w:pPr>
              <w:pStyle w:val="PlainText"/>
              <w:spacing w:before="60" w:after="60"/>
              <w:jc w:val="center"/>
              <w:rPr>
                <w:rFonts w:ascii="Century Gothic" w:hAnsi="Century Gothic" w:cs="Arial"/>
                <w:b/>
                <w:bCs/>
                <w:sz w:val="20"/>
                <w:szCs w:val="20"/>
              </w:rPr>
            </w:pPr>
            <w:r w:rsidRPr="00E26D53">
              <w:rPr>
                <w:rFonts w:ascii="Century Gothic" w:hAnsi="Century Gothic" w:cs="Arial"/>
                <w:b/>
                <w:bCs/>
                <w:sz w:val="20"/>
                <w:szCs w:val="20"/>
              </w:rPr>
              <w:t>Catchment</w:t>
            </w:r>
          </w:p>
        </w:tc>
        <w:tc>
          <w:tcPr>
            <w:tcW w:w="2126" w:type="dxa"/>
            <w:tcBorders>
              <w:bottom w:val="single" w:sz="4" w:space="0" w:color="auto"/>
            </w:tcBorders>
            <w:shd w:val="clear" w:color="auto" w:fill="B2A1C7" w:themeFill="accent4" w:themeFillTint="99"/>
            <w:vAlign w:val="center"/>
          </w:tcPr>
          <w:p w:rsidR="00D9671C" w:rsidRPr="00E26D53" w:rsidRDefault="00D9671C" w:rsidP="00D9671C">
            <w:pPr>
              <w:pStyle w:val="PlainText"/>
              <w:spacing w:before="60" w:after="60"/>
              <w:jc w:val="center"/>
              <w:rPr>
                <w:rFonts w:ascii="Century Gothic" w:hAnsi="Century Gothic" w:cs="Arial"/>
                <w:b/>
                <w:bCs/>
                <w:sz w:val="20"/>
                <w:szCs w:val="20"/>
              </w:rPr>
            </w:pPr>
            <w:r w:rsidRPr="00E26D53">
              <w:rPr>
                <w:rFonts w:ascii="Century Gothic" w:hAnsi="Century Gothic" w:cs="Arial"/>
                <w:b/>
                <w:bCs/>
                <w:sz w:val="20"/>
                <w:szCs w:val="20"/>
              </w:rPr>
              <w:t xml:space="preserve">Entitlement holding in catchment as at 1 July 2013 </w:t>
            </w:r>
            <w:r w:rsidR="0079284B">
              <w:rPr>
                <w:rFonts w:ascii="Century Gothic" w:eastAsiaTheme="minorHAnsi" w:hAnsi="Century Gothic" w:cs="Arial"/>
                <w:b/>
                <w:sz w:val="20"/>
                <w:szCs w:val="20"/>
                <w:vertAlign w:val="superscript"/>
              </w:rPr>
              <w:t>a</w:t>
            </w:r>
          </w:p>
          <w:p w:rsidR="00D9671C" w:rsidRPr="00E26D53" w:rsidRDefault="00D9671C" w:rsidP="00D9671C">
            <w:pPr>
              <w:pStyle w:val="PlainText"/>
              <w:spacing w:before="60" w:after="60"/>
              <w:jc w:val="center"/>
              <w:rPr>
                <w:rFonts w:ascii="Century Gothic" w:hAnsi="Century Gothic" w:cs="Arial"/>
                <w:b/>
                <w:bCs/>
                <w:sz w:val="20"/>
                <w:szCs w:val="20"/>
              </w:rPr>
            </w:pPr>
            <w:r w:rsidRPr="00E26D53">
              <w:rPr>
                <w:rFonts w:ascii="Century Gothic" w:hAnsi="Century Gothic" w:cs="Arial"/>
                <w:b/>
                <w:bCs/>
                <w:sz w:val="20"/>
                <w:szCs w:val="20"/>
              </w:rPr>
              <w:t xml:space="preserve">(GL) </w:t>
            </w:r>
          </w:p>
        </w:tc>
        <w:tc>
          <w:tcPr>
            <w:tcW w:w="1275" w:type="dxa"/>
            <w:tcBorders>
              <w:bottom w:val="single" w:sz="4" w:space="0" w:color="auto"/>
            </w:tcBorders>
            <w:shd w:val="clear" w:color="auto" w:fill="B2A1C7" w:themeFill="accent4" w:themeFillTint="99"/>
            <w:vAlign w:val="center"/>
          </w:tcPr>
          <w:p w:rsidR="00D9671C" w:rsidRPr="00E26D53" w:rsidRDefault="00D9671C" w:rsidP="00D9671C">
            <w:pPr>
              <w:pStyle w:val="PlainText"/>
              <w:spacing w:before="60" w:after="60"/>
              <w:jc w:val="center"/>
              <w:rPr>
                <w:rFonts w:ascii="Century Gothic" w:hAnsi="Century Gothic" w:cs="Arial"/>
                <w:b/>
                <w:bCs/>
                <w:sz w:val="20"/>
                <w:szCs w:val="20"/>
              </w:rPr>
            </w:pPr>
            <w:r w:rsidRPr="00E26D53">
              <w:rPr>
                <w:rFonts w:ascii="Century Gothic" w:hAnsi="Century Gothic" w:cs="Arial"/>
                <w:b/>
                <w:bCs/>
                <w:sz w:val="20"/>
                <w:szCs w:val="20"/>
              </w:rPr>
              <w:t xml:space="preserve">Carryover total as at 1 July 2013 (GL) </w:t>
            </w:r>
          </w:p>
        </w:tc>
        <w:tc>
          <w:tcPr>
            <w:tcW w:w="1560" w:type="dxa"/>
            <w:tcBorders>
              <w:bottom w:val="single" w:sz="4" w:space="0" w:color="auto"/>
            </w:tcBorders>
            <w:shd w:val="clear" w:color="auto" w:fill="CCC0D9" w:themeFill="accent4" w:themeFillTint="66"/>
            <w:vAlign w:val="center"/>
          </w:tcPr>
          <w:p w:rsidR="00D9671C" w:rsidRPr="00E26D53" w:rsidRDefault="00D9671C" w:rsidP="0079284B">
            <w:pPr>
              <w:pStyle w:val="PlainText"/>
              <w:spacing w:before="60" w:after="60"/>
              <w:jc w:val="center"/>
              <w:rPr>
                <w:rFonts w:ascii="Century Gothic" w:hAnsi="Century Gothic" w:cs="Arial"/>
                <w:b/>
                <w:bCs/>
                <w:sz w:val="20"/>
                <w:szCs w:val="20"/>
              </w:rPr>
            </w:pPr>
            <w:r w:rsidRPr="00E26D53">
              <w:rPr>
                <w:rFonts w:ascii="Century Gothic" w:hAnsi="Century Gothic" w:cs="Arial"/>
                <w:b/>
                <w:bCs/>
                <w:sz w:val="20"/>
                <w:szCs w:val="20"/>
              </w:rPr>
              <w:t xml:space="preserve">Carryover total as at 1 July 2012 (GL) </w:t>
            </w:r>
            <w:r w:rsidR="0079284B">
              <w:rPr>
                <w:rFonts w:ascii="Century Gothic" w:eastAsiaTheme="minorHAnsi" w:hAnsi="Century Gothic" w:cs="Arial"/>
                <w:b/>
                <w:sz w:val="20"/>
                <w:szCs w:val="20"/>
                <w:vertAlign w:val="superscript"/>
              </w:rPr>
              <w:t>b</w:t>
            </w:r>
            <w:r w:rsidRPr="00E26D53">
              <w:rPr>
                <w:rFonts w:ascii="Century Gothic" w:hAnsi="Century Gothic" w:cs="Arial"/>
                <w:b/>
                <w:bCs/>
                <w:sz w:val="20"/>
                <w:szCs w:val="20"/>
              </w:rPr>
              <w:t xml:space="preserve"> </w:t>
            </w:r>
          </w:p>
        </w:tc>
        <w:tc>
          <w:tcPr>
            <w:tcW w:w="1931" w:type="dxa"/>
            <w:tcBorders>
              <w:bottom w:val="single" w:sz="4" w:space="0" w:color="auto"/>
            </w:tcBorders>
            <w:shd w:val="clear" w:color="auto" w:fill="B2A1C7" w:themeFill="accent4" w:themeFillTint="99"/>
            <w:vAlign w:val="center"/>
          </w:tcPr>
          <w:p w:rsidR="00D9671C" w:rsidRPr="00E26D53" w:rsidRDefault="00D9671C" w:rsidP="00D9671C">
            <w:pPr>
              <w:pStyle w:val="PlainText"/>
              <w:spacing w:before="60" w:after="60"/>
              <w:jc w:val="center"/>
              <w:rPr>
                <w:rFonts w:ascii="Century Gothic" w:hAnsi="Century Gothic" w:cs="Arial"/>
                <w:b/>
                <w:bCs/>
                <w:sz w:val="20"/>
                <w:szCs w:val="20"/>
              </w:rPr>
            </w:pPr>
            <w:r w:rsidRPr="00E26D53">
              <w:rPr>
                <w:rFonts w:ascii="Century Gothic" w:hAnsi="Century Gothic" w:cs="Arial"/>
                <w:b/>
                <w:bCs/>
                <w:sz w:val="20"/>
                <w:szCs w:val="20"/>
              </w:rPr>
              <w:t>Carryover limit</w:t>
            </w:r>
          </w:p>
          <w:p w:rsidR="00D9671C" w:rsidRPr="00E26D53" w:rsidRDefault="00D9671C" w:rsidP="00D9671C">
            <w:pPr>
              <w:pStyle w:val="PlainText"/>
              <w:spacing w:before="60" w:after="60"/>
              <w:jc w:val="center"/>
              <w:rPr>
                <w:rFonts w:ascii="Century Gothic" w:hAnsi="Century Gothic" w:cs="Arial"/>
                <w:b/>
                <w:bCs/>
                <w:sz w:val="20"/>
                <w:szCs w:val="20"/>
              </w:rPr>
            </w:pPr>
            <w:r w:rsidRPr="00E26D53">
              <w:rPr>
                <w:rFonts w:ascii="Century Gothic" w:hAnsi="Century Gothic" w:cs="Arial"/>
                <w:b/>
                <w:bCs/>
                <w:sz w:val="20"/>
                <w:szCs w:val="20"/>
              </w:rPr>
              <w:t>(%)</w:t>
            </w:r>
          </w:p>
        </w:tc>
      </w:tr>
      <w:tr w:rsidR="00D9671C" w:rsidRPr="005A1F57" w:rsidTr="005A1F57">
        <w:trPr>
          <w:jc w:val="center"/>
        </w:trPr>
        <w:tc>
          <w:tcPr>
            <w:tcW w:w="21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9671C" w:rsidRPr="005A1F57" w:rsidRDefault="00D9671C" w:rsidP="00D9671C">
            <w:pPr>
              <w:pStyle w:val="PlainText"/>
              <w:spacing w:before="60" w:after="60"/>
              <w:jc w:val="center"/>
              <w:rPr>
                <w:rFonts w:ascii="Century Gothic" w:hAnsi="Century Gothic" w:cs="Arial"/>
                <w:sz w:val="20"/>
                <w:szCs w:val="20"/>
              </w:rPr>
            </w:pPr>
            <w:r w:rsidRPr="005A1F57">
              <w:rPr>
                <w:rFonts w:ascii="Century Gothic" w:hAnsi="Century Gothic" w:cs="Arial"/>
                <w:sz w:val="20"/>
                <w:szCs w:val="20"/>
              </w:rPr>
              <w:t>Border Rivers (NSW and Queensland)</w:t>
            </w:r>
          </w:p>
        </w:tc>
        <w:tc>
          <w:tcPr>
            <w:tcW w:w="2126" w:type="dxa"/>
            <w:tcBorders>
              <w:top w:val="single" w:sz="4" w:space="0" w:color="auto"/>
              <w:left w:val="single" w:sz="4" w:space="0" w:color="auto"/>
              <w:bottom w:val="single" w:sz="4" w:space="0" w:color="auto"/>
              <w:right w:val="single" w:sz="4" w:space="0" w:color="auto"/>
            </w:tcBorders>
            <w:vAlign w:val="center"/>
          </w:tcPr>
          <w:p w:rsidR="00D9671C" w:rsidRPr="005A1F57" w:rsidRDefault="00D9671C" w:rsidP="00D9671C">
            <w:pPr>
              <w:spacing w:before="60" w:after="60"/>
              <w:jc w:val="center"/>
              <w:rPr>
                <w:rFonts w:ascii="Century Gothic" w:eastAsiaTheme="minorHAnsi" w:hAnsi="Century Gothic" w:cs="Arial"/>
              </w:rPr>
            </w:pPr>
            <w:r w:rsidRPr="005A1F57">
              <w:rPr>
                <w:rFonts w:ascii="Century Gothic" w:eastAsiaTheme="minorHAnsi" w:hAnsi="Century Gothic" w:cs="Arial"/>
              </w:rPr>
              <w:t>12</w:t>
            </w:r>
          </w:p>
        </w:tc>
        <w:tc>
          <w:tcPr>
            <w:tcW w:w="1275" w:type="dxa"/>
            <w:tcBorders>
              <w:top w:val="single" w:sz="4" w:space="0" w:color="auto"/>
              <w:left w:val="single" w:sz="4" w:space="0" w:color="auto"/>
              <w:bottom w:val="single" w:sz="4" w:space="0" w:color="auto"/>
              <w:right w:val="single" w:sz="4" w:space="0" w:color="auto"/>
            </w:tcBorders>
            <w:vAlign w:val="center"/>
          </w:tcPr>
          <w:p w:rsidR="00D9671C" w:rsidRPr="005A1F57" w:rsidRDefault="00D9671C" w:rsidP="00D9671C">
            <w:pPr>
              <w:spacing w:before="60" w:after="60"/>
              <w:jc w:val="center"/>
              <w:rPr>
                <w:rFonts w:ascii="Century Gothic" w:eastAsiaTheme="minorHAnsi" w:hAnsi="Century Gothic" w:cs="Arial"/>
              </w:rPr>
            </w:pPr>
            <w:r w:rsidRPr="005A1F57">
              <w:rPr>
                <w:rFonts w:ascii="Century Gothic" w:eastAsiaTheme="minorHAnsi" w:hAnsi="Century Gothic" w:cs="Arial"/>
              </w:rPr>
              <w:t>8.7</w:t>
            </w:r>
          </w:p>
        </w:tc>
        <w:tc>
          <w:tcPr>
            <w:tcW w:w="156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D9671C" w:rsidRPr="005A1F57" w:rsidRDefault="00D9671C" w:rsidP="00D9671C">
            <w:pPr>
              <w:spacing w:before="60" w:after="60"/>
              <w:jc w:val="center"/>
              <w:rPr>
                <w:rFonts w:ascii="Century Gothic" w:eastAsiaTheme="minorHAnsi" w:hAnsi="Century Gothic" w:cs="Arial"/>
              </w:rPr>
            </w:pPr>
            <w:r w:rsidRPr="005A1F57">
              <w:rPr>
                <w:rFonts w:ascii="Century Gothic" w:eastAsiaTheme="minorHAnsi" w:hAnsi="Century Gothic" w:cs="Arial"/>
              </w:rPr>
              <w:t>9</w:t>
            </w: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rsidR="00D9671C" w:rsidRPr="005A1F57" w:rsidRDefault="00D9671C" w:rsidP="00D9671C">
            <w:pPr>
              <w:spacing w:before="60" w:after="60"/>
              <w:jc w:val="center"/>
              <w:rPr>
                <w:rFonts w:ascii="Century Gothic" w:eastAsiaTheme="minorHAnsi" w:hAnsi="Century Gothic" w:cs="Arial"/>
              </w:rPr>
            </w:pPr>
            <w:r w:rsidRPr="005A1F57">
              <w:rPr>
                <w:rFonts w:ascii="Century Gothic" w:eastAsiaTheme="minorHAnsi" w:hAnsi="Century Gothic" w:cs="Arial"/>
              </w:rPr>
              <w:t>85 (Queensland)</w:t>
            </w:r>
          </w:p>
          <w:p w:rsidR="00D9671C" w:rsidRPr="005A1F57" w:rsidRDefault="00D9671C" w:rsidP="00D9671C">
            <w:pPr>
              <w:spacing w:before="60" w:after="60"/>
              <w:jc w:val="center"/>
              <w:rPr>
                <w:rFonts w:ascii="Century Gothic" w:eastAsiaTheme="minorHAnsi" w:hAnsi="Century Gothic" w:cs="Arial"/>
              </w:rPr>
            </w:pPr>
            <w:r w:rsidRPr="005A1F57">
              <w:rPr>
                <w:rFonts w:ascii="Century Gothic" w:eastAsiaTheme="minorHAnsi" w:hAnsi="Century Gothic" w:cs="Arial"/>
              </w:rPr>
              <w:t>100 (NSW)</w:t>
            </w:r>
          </w:p>
        </w:tc>
      </w:tr>
      <w:tr w:rsidR="00D9671C" w:rsidRPr="005A1F57" w:rsidTr="005A1F57">
        <w:trPr>
          <w:jc w:val="center"/>
        </w:trPr>
        <w:tc>
          <w:tcPr>
            <w:tcW w:w="21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9671C" w:rsidRPr="005A1F57" w:rsidRDefault="00D9671C" w:rsidP="00D9671C">
            <w:pPr>
              <w:pStyle w:val="PlainText"/>
              <w:spacing w:before="60" w:after="60"/>
              <w:jc w:val="center"/>
              <w:rPr>
                <w:rFonts w:ascii="Century Gothic" w:hAnsi="Century Gothic" w:cs="Arial"/>
                <w:sz w:val="20"/>
                <w:szCs w:val="20"/>
              </w:rPr>
            </w:pPr>
            <w:r w:rsidRPr="005A1F57">
              <w:rPr>
                <w:rFonts w:ascii="Century Gothic" w:hAnsi="Century Gothic" w:cs="Arial"/>
                <w:sz w:val="20"/>
                <w:szCs w:val="20"/>
              </w:rPr>
              <w:t>Gwydir (NSW)</w:t>
            </w:r>
          </w:p>
        </w:tc>
        <w:tc>
          <w:tcPr>
            <w:tcW w:w="2126" w:type="dxa"/>
            <w:tcBorders>
              <w:top w:val="single" w:sz="4" w:space="0" w:color="auto"/>
              <w:left w:val="single" w:sz="4" w:space="0" w:color="auto"/>
              <w:bottom w:val="single" w:sz="4" w:space="0" w:color="auto"/>
              <w:right w:val="single" w:sz="4" w:space="0" w:color="auto"/>
            </w:tcBorders>
            <w:vAlign w:val="center"/>
          </w:tcPr>
          <w:p w:rsidR="00D9671C" w:rsidRPr="005A1F57" w:rsidRDefault="00D9671C" w:rsidP="00D9671C">
            <w:pPr>
              <w:spacing w:before="60" w:after="60"/>
              <w:jc w:val="center"/>
              <w:rPr>
                <w:rFonts w:ascii="Century Gothic" w:eastAsiaTheme="minorHAnsi" w:hAnsi="Century Gothic" w:cs="Arial"/>
              </w:rPr>
            </w:pPr>
            <w:r w:rsidRPr="005A1F57">
              <w:rPr>
                <w:rFonts w:ascii="Century Gothic" w:eastAsiaTheme="minorHAnsi" w:hAnsi="Century Gothic" w:cs="Arial"/>
              </w:rPr>
              <w:t>89.9</w:t>
            </w:r>
          </w:p>
        </w:tc>
        <w:tc>
          <w:tcPr>
            <w:tcW w:w="1275" w:type="dxa"/>
            <w:tcBorders>
              <w:top w:val="single" w:sz="4" w:space="0" w:color="auto"/>
              <w:left w:val="single" w:sz="4" w:space="0" w:color="auto"/>
              <w:bottom w:val="single" w:sz="4" w:space="0" w:color="auto"/>
              <w:right w:val="single" w:sz="4" w:space="0" w:color="auto"/>
            </w:tcBorders>
            <w:vAlign w:val="center"/>
          </w:tcPr>
          <w:p w:rsidR="00D9671C" w:rsidRPr="005A1F57" w:rsidRDefault="00D9671C" w:rsidP="00D9671C">
            <w:pPr>
              <w:spacing w:before="60" w:after="60"/>
              <w:jc w:val="center"/>
              <w:rPr>
                <w:rFonts w:ascii="Century Gothic" w:eastAsiaTheme="minorHAnsi" w:hAnsi="Century Gothic" w:cs="Arial"/>
              </w:rPr>
            </w:pPr>
            <w:r w:rsidRPr="005A1F57">
              <w:rPr>
                <w:rFonts w:ascii="Century Gothic" w:eastAsiaTheme="minorHAnsi" w:hAnsi="Century Gothic" w:cs="Arial"/>
              </w:rPr>
              <w:t>121.6</w:t>
            </w:r>
          </w:p>
        </w:tc>
        <w:tc>
          <w:tcPr>
            <w:tcW w:w="156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D9671C" w:rsidRPr="005A1F57" w:rsidRDefault="00D9671C" w:rsidP="00D9671C">
            <w:pPr>
              <w:spacing w:before="60" w:after="60"/>
              <w:jc w:val="center"/>
              <w:rPr>
                <w:rFonts w:ascii="Century Gothic" w:eastAsiaTheme="minorHAnsi" w:hAnsi="Century Gothic" w:cs="Arial"/>
              </w:rPr>
            </w:pPr>
            <w:r w:rsidRPr="005A1F57">
              <w:rPr>
                <w:rFonts w:ascii="Century Gothic" w:eastAsiaTheme="minorHAnsi" w:hAnsi="Century Gothic" w:cs="Arial"/>
              </w:rPr>
              <w:t>134</w:t>
            </w:r>
          </w:p>
        </w:tc>
        <w:tc>
          <w:tcPr>
            <w:tcW w:w="1931" w:type="dxa"/>
            <w:tcBorders>
              <w:top w:val="single" w:sz="4" w:space="0" w:color="auto"/>
              <w:left w:val="single" w:sz="4" w:space="0" w:color="auto"/>
              <w:bottom w:val="single" w:sz="4" w:space="0" w:color="auto"/>
              <w:right w:val="single" w:sz="4" w:space="0" w:color="auto"/>
            </w:tcBorders>
            <w:vAlign w:val="center"/>
          </w:tcPr>
          <w:p w:rsidR="00D9671C" w:rsidRPr="005A1F57" w:rsidRDefault="00D9671C" w:rsidP="00D9671C">
            <w:pPr>
              <w:spacing w:before="60" w:after="60"/>
              <w:jc w:val="center"/>
              <w:rPr>
                <w:rFonts w:ascii="Century Gothic" w:eastAsiaTheme="minorHAnsi" w:hAnsi="Century Gothic" w:cs="Arial"/>
              </w:rPr>
            </w:pPr>
            <w:r w:rsidRPr="005A1F57">
              <w:rPr>
                <w:rFonts w:ascii="Century Gothic" w:eastAsiaTheme="minorHAnsi" w:hAnsi="Century Gothic" w:cs="Arial"/>
              </w:rPr>
              <w:t>150</w:t>
            </w:r>
          </w:p>
        </w:tc>
      </w:tr>
      <w:tr w:rsidR="00D9671C" w:rsidRPr="005A1F57" w:rsidTr="005A1F57">
        <w:trPr>
          <w:jc w:val="center"/>
        </w:trPr>
        <w:tc>
          <w:tcPr>
            <w:tcW w:w="21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9671C" w:rsidRPr="005A1F57" w:rsidRDefault="00D9671C" w:rsidP="00D9671C">
            <w:pPr>
              <w:pStyle w:val="PlainText"/>
              <w:spacing w:before="60" w:after="60"/>
              <w:jc w:val="center"/>
              <w:rPr>
                <w:rFonts w:ascii="Century Gothic" w:hAnsi="Century Gothic" w:cs="Arial"/>
                <w:sz w:val="20"/>
                <w:szCs w:val="20"/>
              </w:rPr>
            </w:pPr>
            <w:r w:rsidRPr="005A1F57">
              <w:rPr>
                <w:rFonts w:ascii="Century Gothic" w:hAnsi="Century Gothic" w:cs="Arial"/>
                <w:sz w:val="20"/>
                <w:szCs w:val="20"/>
              </w:rPr>
              <w:t>Namoi (NSW)</w:t>
            </w:r>
          </w:p>
        </w:tc>
        <w:tc>
          <w:tcPr>
            <w:tcW w:w="2126" w:type="dxa"/>
            <w:tcBorders>
              <w:top w:val="single" w:sz="4" w:space="0" w:color="auto"/>
              <w:left w:val="single" w:sz="4" w:space="0" w:color="auto"/>
              <w:bottom w:val="single" w:sz="4" w:space="0" w:color="auto"/>
              <w:right w:val="single" w:sz="4" w:space="0" w:color="auto"/>
            </w:tcBorders>
            <w:vAlign w:val="center"/>
          </w:tcPr>
          <w:p w:rsidR="00D9671C" w:rsidRPr="005A1F57" w:rsidRDefault="00D9671C" w:rsidP="00D9671C">
            <w:pPr>
              <w:spacing w:before="60" w:after="60"/>
              <w:jc w:val="center"/>
              <w:rPr>
                <w:rFonts w:ascii="Century Gothic" w:eastAsiaTheme="minorHAnsi" w:hAnsi="Century Gothic" w:cs="Arial"/>
              </w:rPr>
            </w:pPr>
            <w:r w:rsidRPr="005A1F57">
              <w:rPr>
                <w:rFonts w:ascii="Century Gothic" w:eastAsiaTheme="minorHAnsi" w:hAnsi="Century Gothic" w:cs="Arial"/>
              </w:rPr>
              <w:t>6.3</w:t>
            </w:r>
          </w:p>
        </w:tc>
        <w:tc>
          <w:tcPr>
            <w:tcW w:w="1275" w:type="dxa"/>
            <w:tcBorders>
              <w:top w:val="single" w:sz="4" w:space="0" w:color="auto"/>
              <w:left w:val="single" w:sz="4" w:space="0" w:color="auto"/>
              <w:bottom w:val="single" w:sz="4" w:space="0" w:color="auto"/>
              <w:right w:val="single" w:sz="4" w:space="0" w:color="auto"/>
            </w:tcBorders>
            <w:vAlign w:val="center"/>
          </w:tcPr>
          <w:p w:rsidR="00D9671C" w:rsidRPr="005A1F57" w:rsidRDefault="00D9671C" w:rsidP="00D9671C">
            <w:pPr>
              <w:spacing w:before="60" w:after="60"/>
              <w:jc w:val="center"/>
              <w:rPr>
                <w:rFonts w:ascii="Century Gothic" w:eastAsiaTheme="minorHAnsi" w:hAnsi="Century Gothic" w:cs="Arial"/>
              </w:rPr>
            </w:pPr>
            <w:r w:rsidRPr="005A1F57">
              <w:rPr>
                <w:rFonts w:ascii="Century Gothic" w:eastAsiaTheme="minorHAnsi" w:hAnsi="Century Gothic" w:cs="Arial"/>
              </w:rPr>
              <w:t>5.5</w:t>
            </w:r>
          </w:p>
        </w:tc>
        <w:tc>
          <w:tcPr>
            <w:tcW w:w="156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D9671C" w:rsidRPr="005A1F57" w:rsidRDefault="00D9671C" w:rsidP="00D9671C">
            <w:pPr>
              <w:spacing w:before="60" w:after="60"/>
              <w:jc w:val="center"/>
              <w:rPr>
                <w:rFonts w:ascii="Century Gothic" w:eastAsiaTheme="minorHAnsi" w:hAnsi="Century Gothic" w:cs="Arial"/>
              </w:rPr>
            </w:pPr>
            <w:r w:rsidRPr="005A1F57">
              <w:rPr>
                <w:rFonts w:ascii="Century Gothic" w:eastAsiaTheme="minorHAnsi" w:hAnsi="Century Gothic" w:cs="Arial"/>
              </w:rPr>
              <w:t>12</w:t>
            </w: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rsidR="00D9671C" w:rsidRPr="005A1F57" w:rsidRDefault="00D9671C" w:rsidP="00D9671C">
            <w:pPr>
              <w:spacing w:before="60" w:after="60"/>
              <w:jc w:val="center"/>
              <w:rPr>
                <w:rFonts w:ascii="Century Gothic" w:eastAsiaTheme="minorHAnsi" w:hAnsi="Century Gothic" w:cs="Arial"/>
              </w:rPr>
            </w:pPr>
            <w:r w:rsidRPr="005A1F57">
              <w:rPr>
                <w:rFonts w:ascii="Century Gothic" w:eastAsiaTheme="minorHAnsi" w:hAnsi="Century Gothic" w:cs="Arial"/>
              </w:rPr>
              <w:t>100 (Upper Namoi)</w:t>
            </w:r>
          </w:p>
          <w:p w:rsidR="00D9671C" w:rsidRPr="005A1F57" w:rsidRDefault="00D9671C" w:rsidP="00D9671C">
            <w:pPr>
              <w:spacing w:before="60" w:after="60"/>
              <w:jc w:val="center"/>
              <w:rPr>
                <w:rFonts w:ascii="Century Gothic" w:eastAsiaTheme="minorHAnsi" w:hAnsi="Century Gothic" w:cs="Arial"/>
              </w:rPr>
            </w:pPr>
            <w:r w:rsidRPr="005A1F57">
              <w:rPr>
                <w:rFonts w:ascii="Century Gothic" w:eastAsiaTheme="minorHAnsi" w:hAnsi="Century Gothic" w:cs="Arial"/>
              </w:rPr>
              <w:t>200 (Lower Namoi)</w:t>
            </w:r>
          </w:p>
        </w:tc>
      </w:tr>
      <w:tr w:rsidR="00D9671C" w:rsidRPr="005A1F57" w:rsidTr="005A1F57">
        <w:trPr>
          <w:jc w:val="center"/>
        </w:trPr>
        <w:tc>
          <w:tcPr>
            <w:tcW w:w="21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9671C" w:rsidRPr="005A1F57" w:rsidRDefault="00D9671C" w:rsidP="00D9671C">
            <w:pPr>
              <w:pStyle w:val="PlainText"/>
              <w:spacing w:before="60" w:after="60"/>
              <w:jc w:val="center"/>
              <w:rPr>
                <w:rFonts w:ascii="Century Gothic" w:hAnsi="Century Gothic" w:cs="Arial"/>
                <w:sz w:val="20"/>
                <w:szCs w:val="20"/>
              </w:rPr>
            </w:pPr>
            <w:r w:rsidRPr="005A1F57">
              <w:rPr>
                <w:rFonts w:ascii="Century Gothic" w:hAnsi="Century Gothic" w:cs="Arial"/>
                <w:sz w:val="20"/>
                <w:szCs w:val="20"/>
              </w:rPr>
              <w:t>Macquarie and Cudgegong (NSW)</w:t>
            </w:r>
          </w:p>
        </w:tc>
        <w:tc>
          <w:tcPr>
            <w:tcW w:w="2126" w:type="dxa"/>
            <w:tcBorders>
              <w:top w:val="single" w:sz="4" w:space="0" w:color="auto"/>
              <w:left w:val="single" w:sz="4" w:space="0" w:color="auto"/>
              <w:bottom w:val="single" w:sz="4" w:space="0" w:color="auto"/>
              <w:right w:val="single" w:sz="4" w:space="0" w:color="auto"/>
            </w:tcBorders>
            <w:vAlign w:val="center"/>
          </w:tcPr>
          <w:p w:rsidR="00D9671C" w:rsidRPr="005A1F57" w:rsidRDefault="00D9671C" w:rsidP="00D9671C">
            <w:pPr>
              <w:spacing w:before="60" w:after="60"/>
              <w:jc w:val="center"/>
              <w:rPr>
                <w:rFonts w:ascii="Century Gothic" w:eastAsiaTheme="minorHAnsi" w:hAnsi="Century Gothic" w:cs="Arial"/>
              </w:rPr>
            </w:pPr>
            <w:r w:rsidRPr="005A1F57">
              <w:rPr>
                <w:rFonts w:ascii="Century Gothic" w:eastAsiaTheme="minorHAnsi" w:hAnsi="Century Gothic" w:cs="Arial"/>
              </w:rPr>
              <w:t>116.1</w:t>
            </w:r>
          </w:p>
        </w:tc>
        <w:tc>
          <w:tcPr>
            <w:tcW w:w="1275" w:type="dxa"/>
            <w:tcBorders>
              <w:top w:val="single" w:sz="4" w:space="0" w:color="auto"/>
              <w:left w:val="single" w:sz="4" w:space="0" w:color="auto"/>
              <w:bottom w:val="single" w:sz="4" w:space="0" w:color="auto"/>
              <w:right w:val="single" w:sz="4" w:space="0" w:color="auto"/>
            </w:tcBorders>
            <w:vAlign w:val="center"/>
          </w:tcPr>
          <w:p w:rsidR="00D9671C" w:rsidRPr="005A1F57" w:rsidRDefault="00D9671C" w:rsidP="00D9671C">
            <w:pPr>
              <w:spacing w:before="60" w:after="60"/>
              <w:jc w:val="center"/>
              <w:rPr>
                <w:rFonts w:ascii="Century Gothic" w:eastAsiaTheme="minorHAnsi" w:hAnsi="Century Gothic" w:cs="Arial"/>
              </w:rPr>
            </w:pPr>
            <w:r w:rsidRPr="005A1F57">
              <w:rPr>
                <w:rFonts w:ascii="Century Gothic" w:eastAsiaTheme="minorHAnsi" w:hAnsi="Century Gothic" w:cs="Arial"/>
              </w:rPr>
              <w:t>23.1</w:t>
            </w:r>
          </w:p>
        </w:tc>
        <w:tc>
          <w:tcPr>
            <w:tcW w:w="156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D9671C" w:rsidRPr="005A1F57" w:rsidRDefault="00D9671C" w:rsidP="00D9671C">
            <w:pPr>
              <w:spacing w:before="60" w:after="60"/>
              <w:jc w:val="center"/>
              <w:rPr>
                <w:rFonts w:ascii="Century Gothic" w:eastAsiaTheme="minorHAnsi" w:hAnsi="Century Gothic" w:cs="Arial"/>
              </w:rPr>
            </w:pPr>
            <w:r w:rsidRPr="005A1F57">
              <w:rPr>
                <w:rFonts w:ascii="Century Gothic" w:eastAsiaTheme="minorHAnsi" w:hAnsi="Century Gothic" w:cs="Arial"/>
              </w:rPr>
              <w:t>94</w:t>
            </w:r>
          </w:p>
        </w:tc>
        <w:tc>
          <w:tcPr>
            <w:tcW w:w="1931" w:type="dxa"/>
            <w:tcBorders>
              <w:top w:val="single" w:sz="4" w:space="0" w:color="auto"/>
              <w:left w:val="single" w:sz="4" w:space="0" w:color="auto"/>
              <w:bottom w:val="single" w:sz="4" w:space="0" w:color="auto"/>
              <w:right w:val="single" w:sz="4" w:space="0" w:color="auto"/>
            </w:tcBorders>
            <w:vAlign w:val="center"/>
          </w:tcPr>
          <w:p w:rsidR="00D9671C" w:rsidRPr="005A1F57" w:rsidRDefault="00D9671C" w:rsidP="00D9671C">
            <w:pPr>
              <w:spacing w:before="60" w:after="60"/>
              <w:jc w:val="center"/>
              <w:rPr>
                <w:rFonts w:ascii="Century Gothic" w:eastAsiaTheme="minorHAnsi" w:hAnsi="Century Gothic" w:cs="Arial"/>
              </w:rPr>
            </w:pPr>
            <w:r w:rsidRPr="005A1F57">
              <w:rPr>
                <w:rFonts w:ascii="Century Gothic" w:eastAsiaTheme="minorHAnsi" w:hAnsi="Century Gothic" w:cs="Arial"/>
              </w:rPr>
              <w:t>100</w:t>
            </w:r>
          </w:p>
        </w:tc>
      </w:tr>
      <w:tr w:rsidR="00D9671C" w:rsidRPr="005A1F57" w:rsidTr="005A1F57">
        <w:trPr>
          <w:jc w:val="center"/>
        </w:trPr>
        <w:tc>
          <w:tcPr>
            <w:tcW w:w="21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9671C" w:rsidRPr="005A1F57" w:rsidRDefault="00D9671C" w:rsidP="00D9671C">
            <w:pPr>
              <w:pStyle w:val="PlainText"/>
              <w:spacing w:before="60" w:after="60"/>
              <w:jc w:val="center"/>
              <w:rPr>
                <w:rFonts w:ascii="Century Gothic" w:hAnsi="Century Gothic" w:cs="Arial"/>
                <w:sz w:val="20"/>
                <w:szCs w:val="20"/>
              </w:rPr>
            </w:pPr>
            <w:r w:rsidRPr="005A1F57">
              <w:rPr>
                <w:rFonts w:ascii="Century Gothic" w:hAnsi="Century Gothic" w:cs="Arial"/>
                <w:sz w:val="20"/>
                <w:szCs w:val="20"/>
              </w:rPr>
              <w:t>Lachlan (NSW)</w:t>
            </w:r>
          </w:p>
        </w:tc>
        <w:tc>
          <w:tcPr>
            <w:tcW w:w="2126" w:type="dxa"/>
            <w:tcBorders>
              <w:top w:val="single" w:sz="4" w:space="0" w:color="auto"/>
              <w:left w:val="single" w:sz="4" w:space="0" w:color="auto"/>
              <w:bottom w:val="single" w:sz="4" w:space="0" w:color="auto"/>
              <w:right w:val="single" w:sz="4" w:space="0" w:color="auto"/>
            </w:tcBorders>
            <w:vAlign w:val="center"/>
          </w:tcPr>
          <w:p w:rsidR="00D9671C" w:rsidRPr="005A1F57" w:rsidRDefault="00D9671C" w:rsidP="00D9671C">
            <w:pPr>
              <w:spacing w:before="60" w:after="60"/>
              <w:jc w:val="center"/>
              <w:rPr>
                <w:rFonts w:ascii="Century Gothic" w:eastAsiaTheme="minorHAnsi" w:hAnsi="Century Gothic" w:cs="Arial"/>
              </w:rPr>
            </w:pPr>
            <w:r w:rsidRPr="005A1F57">
              <w:rPr>
                <w:rFonts w:ascii="Century Gothic" w:eastAsiaTheme="minorHAnsi" w:hAnsi="Century Gothic" w:cs="Arial"/>
              </w:rPr>
              <w:t>87.9</w:t>
            </w:r>
          </w:p>
        </w:tc>
        <w:tc>
          <w:tcPr>
            <w:tcW w:w="1275" w:type="dxa"/>
            <w:tcBorders>
              <w:top w:val="single" w:sz="4" w:space="0" w:color="auto"/>
              <w:left w:val="single" w:sz="4" w:space="0" w:color="auto"/>
              <w:bottom w:val="single" w:sz="4" w:space="0" w:color="auto"/>
              <w:right w:val="single" w:sz="4" w:space="0" w:color="auto"/>
            </w:tcBorders>
            <w:vAlign w:val="center"/>
          </w:tcPr>
          <w:p w:rsidR="00D9671C" w:rsidRPr="005A1F57" w:rsidRDefault="00D9671C" w:rsidP="00D9671C">
            <w:pPr>
              <w:spacing w:before="60" w:after="60"/>
              <w:jc w:val="center"/>
              <w:rPr>
                <w:rFonts w:ascii="Century Gothic" w:eastAsiaTheme="minorHAnsi" w:hAnsi="Century Gothic" w:cs="Arial"/>
              </w:rPr>
            </w:pPr>
            <w:r w:rsidRPr="005A1F57">
              <w:rPr>
                <w:rFonts w:ascii="Century Gothic" w:eastAsiaTheme="minorHAnsi" w:hAnsi="Century Gothic" w:cs="Arial"/>
              </w:rPr>
              <w:t>65.6</w:t>
            </w:r>
          </w:p>
        </w:tc>
        <w:tc>
          <w:tcPr>
            <w:tcW w:w="156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D9671C" w:rsidRPr="005A1F57" w:rsidRDefault="00D9671C" w:rsidP="00D9671C">
            <w:pPr>
              <w:spacing w:before="60" w:after="60"/>
              <w:jc w:val="center"/>
              <w:rPr>
                <w:rFonts w:ascii="Century Gothic" w:eastAsiaTheme="minorHAnsi" w:hAnsi="Century Gothic" w:cs="Arial"/>
              </w:rPr>
            </w:pPr>
            <w:r w:rsidRPr="005A1F57">
              <w:rPr>
                <w:rFonts w:ascii="Century Gothic" w:eastAsiaTheme="minorHAnsi" w:hAnsi="Century Gothic" w:cs="Arial"/>
              </w:rPr>
              <w:t>116</w:t>
            </w:r>
          </w:p>
        </w:tc>
        <w:tc>
          <w:tcPr>
            <w:tcW w:w="1931" w:type="dxa"/>
            <w:tcBorders>
              <w:top w:val="single" w:sz="4" w:space="0" w:color="auto"/>
              <w:left w:val="single" w:sz="4" w:space="0" w:color="auto"/>
              <w:bottom w:val="single" w:sz="4" w:space="0" w:color="auto"/>
              <w:right w:val="single" w:sz="4" w:space="0" w:color="auto"/>
            </w:tcBorders>
            <w:vAlign w:val="center"/>
          </w:tcPr>
          <w:p w:rsidR="00D9671C" w:rsidRPr="005A1F57" w:rsidRDefault="00D9671C" w:rsidP="00D9671C">
            <w:pPr>
              <w:spacing w:before="60" w:after="60"/>
              <w:jc w:val="center"/>
              <w:rPr>
                <w:rFonts w:ascii="Century Gothic" w:eastAsiaTheme="minorHAnsi" w:hAnsi="Century Gothic" w:cs="Arial"/>
              </w:rPr>
            </w:pPr>
            <w:r w:rsidRPr="005A1F57">
              <w:rPr>
                <w:rFonts w:ascii="Century Gothic" w:eastAsiaTheme="minorHAnsi" w:hAnsi="Century Gothic" w:cs="Arial"/>
              </w:rPr>
              <w:t>200</w:t>
            </w:r>
          </w:p>
        </w:tc>
      </w:tr>
      <w:tr w:rsidR="00D9671C" w:rsidRPr="005A1F57" w:rsidTr="005A1F57">
        <w:trPr>
          <w:jc w:val="center"/>
        </w:trPr>
        <w:tc>
          <w:tcPr>
            <w:tcW w:w="21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9671C" w:rsidRPr="005A1F57" w:rsidRDefault="00D9671C" w:rsidP="00D9671C">
            <w:pPr>
              <w:pStyle w:val="PlainText"/>
              <w:spacing w:before="60" w:after="60"/>
              <w:jc w:val="center"/>
              <w:rPr>
                <w:rFonts w:ascii="Century Gothic" w:hAnsi="Century Gothic" w:cs="Arial"/>
                <w:sz w:val="20"/>
                <w:szCs w:val="20"/>
              </w:rPr>
            </w:pPr>
            <w:r w:rsidRPr="005A1F57">
              <w:rPr>
                <w:rFonts w:ascii="Century Gothic" w:hAnsi="Century Gothic" w:cs="Arial"/>
                <w:sz w:val="20"/>
                <w:szCs w:val="20"/>
              </w:rPr>
              <w:t>Murrumbidgee (NSW)</w:t>
            </w:r>
          </w:p>
        </w:tc>
        <w:tc>
          <w:tcPr>
            <w:tcW w:w="2126" w:type="dxa"/>
            <w:tcBorders>
              <w:left w:val="single" w:sz="4" w:space="0" w:color="auto"/>
              <w:bottom w:val="single" w:sz="4" w:space="0" w:color="auto"/>
              <w:right w:val="single" w:sz="4" w:space="0" w:color="auto"/>
            </w:tcBorders>
            <w:vAlign w:val="center"/>
          </w:tcPr>
          <w:p w:rsidR="00D9671C" w:rsidRPr="005A1F57" w:rsidRDefault="00D9671C" w:rsidP="00D9671C">
            <w:pPr>
              <w:spacing w:before="60" w:after="60"/>
              <w:jc w:val="center"/>
              <w:rPr>
                <w:rFonts w:ascii="Century Gothic" w:hAnsi="Century Gothic" w:cs="Arial"/>
              </w:rPr>
            </w:pPr>
            <w:r w:rsidRPr="005A1F57">
              <w:rPr>
                <w:rFonts w:ascii="Century Gothic" w:hAnsi="Century Gothic" w:cs="Arial"/>
              </w:rPr>
              <w:t>213.2</w:t>
            </w:r>
          </w:p>
        </w:tc>
        <w:tc>
          <w:tcPr>
            <w:tcW w:w="1275" w:type="dxa"/>
            <w:tcBorders>
              <w:left w:val="single" w:sz="4" w:space="0" w:color="auto"/>
              <w:bottom w:val="single" w:sz="4" w:space="0" w:color="auto"/>
              <w:right w:val="single" w:sz="4" w:space="0" w:color="auto"/>
            </w:tcBorders>
            <w:vAlign w:val="center"/>
          </w:tcPr>
          <w:p w:rsidR="00D9671C" w:rsidRPr="005A1F57" w:rsidRDefault="00D9671C" w:rsidP="00D9671C">
            <w:pPr>
              <w:spacing w:before="60" w:after="60"/>
              <w:jc w:val="center"/>
              <w:rPr>
                <w:rFonts w:ascii="Century Gothic" w:hAnsi="Century Gothic" w:cs="Arial"/>
              </w:rPr>
            </w:pPr>
            <w:r w:rsidRPr="005A1F57">
              <w:rPr>
                <w:rFonts w:ascii="Century Gothic" w:hAnsi="Century Gothic" w:cs="Arial"/>
              </w:rPr>
              <w:t>45.5</w:t>
            </w:r>
          </w:p>
        </w:tc>
        <w:tc>
          <w:tcPr>
            <w:tcW w:w="1560" w:type="dxa"/>
            <w:tcBorders>
              <w:left w:val="single" w:sz="4" w:space="0" w:color="auto"/>
              <w:bottom w:val="single" w:sz="4" w:space="0" w:color="auto"/>
              <w:right w:val="single" w:sz="4" w:space="0" w:color="auto"/>
            </w:tcBorders>
            <w:shd w:val="clear" w:color="auto" w:fill="CCC0D9" w:themeFill="accent4" w:themeFillTint="66"/>
            <w:vAlign w:val="center"/>
          </w:tcPr>
          <w:p w:rsidR="00D9671C" w:rsidRPr="005A1F57" w:rsidRDefault="00D9671C" w:rsidP="00D9671C">
            <w:pPr>
              <w:spacing w:before="60" w:after="60"/>
              <w:jc w:val="center"/>
              <w:rPr>
                <w:rFonts w:ascii="Century Gothic" w:hAnsi="Century Gothic" w:cs="Arial"/>
              </w:rPr>
            </w:pPr>
            <w:r w:rsidRPr="005A1F57">
              <w:rPr>
                <w:rFonts w:ascii="Century Gothic" w:hAnsi="Century Gothic" w:cs="Arial"/>
              </w:rPr>
              <w:t>42</w:t>
            </w:r>
          </w:p>
        </w:tc>
        <w:tc>
          <w:tcPr>
            <w:tcW w:w="1931" w:type="dxa"/>
            <w:tcBorders>
              <w:top w:val="single" w:sz="4" w:space="0" w:color="auto"/>
              <w:left w:val="single" w:sz="4" w:space="0" w:color="auto"/>
              <w:bottom w:val="single" w:sz="4" w:space="0" w:color="auto"/>
              <w:right w:val="single" w:sz="4" w:space="0" w:color="auto"/>
            </w:tcBorders>
            <w:vAlign w:val="center"/>
          </w:tcPr>
          <w:p w:rsidR="00D9671C" w:rsidRPr="005A1F57" w:rsidRDefault="00D9671C" w:rsidP="00D9671C">
            <w:pPr>
              <w:spacing w:before="60" w:after="60"/>
              <w:jc w:val="center"/>
              <w:rPr>
                <w:rFonts w:ascii="Century Gothic" w:hAnsi="Century Gothic" w:cs="Arial"/>
              </w:rPr>
            </w:pPr>
            <w:r w:rsidRPr="005A1F57">
              <w:rPr>
                <w:rFonts w:ascii="Century Gothic" w:hAnsi="Century Gothic" w:cs="Arial"/>
              </w:rPr>
              <w:t>30</w:t>
            </w:r>
          </w:p>
        </w:tc>
      </w:tr>
      <w:tr w:rsidR="00D9671C" w:rsidRPr="005A1F57" w:rsidTr="005A1F57">
        <w:trPr>
          <w:jc w:val="center"/>
        </w:trPr>
        <w:tc>
          <w:tcPr>
            <w:tcW w:w="21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9671C" w:rsidRPr="005A1F57" w:rsidRDefault="00D9671C" w:rsidP="00D9671C">
            <w:pPr>
              <w:pStyle w:val="PlainText"/>
              <w:spacing w:before="60" w:after="60"/>
              <w:jc w:val="center"/>
              <w:rPr>
                <w:rFonts w:ascii="Century Gothic" w:hAnsi="Century Gothic" w:cs="Arial"/>
                <w:sz w:val="20"/>
                <w:szCs w:val="20"/>
              </w:rPr>
            </w:pPr>
            <w:r w:rsidRPr="005A1F57">
              <w:rPr>
                <w:rFonts w:ascii="Century Gothic" w:hAnsi="Century Gothic" w:cs="Arial"/>
                <w:sz w:val="20"/>
                <w:szCs w:val="20"/>
              </w:rPr>
              <w:t>Murray (NSW)</w:t>
            </w:r>
          </w:p>
        </w:tc>
        <w:tc>
          <w:tcPr>
            <w:tcW w:w="2126" w:type="dxa"/>
            <w:tcBorders>
              <w:left w:val="single" w:sz="4" w:space="0" w:color="auto"/>
              <w:right w:val="single" w:sz="4" w:space="0" w:color="auto"/>
            </w:tcBorders>
            <w:vAlign w:val="center"/>
          </w:tcPr>
          <w:p w:rsidR="00D9671C" w:rsidRPr="005A1F57" w:rsidRDefault="00D9671C" w:rsidP="00D9671C">
            <w:pPr>
              <w:spacing w:before="60" w:after="60"/>
              <w:jc w:val="center"/>
              <w:rPr>
                <w:rFonts w:ascii="Century Gothic" w:hAnsi="Century Gothic" w:cs="Arial"/>
              </w:rPr>
            </w:pPr>
            <w:r w:rsidRPr="005A1F57">
              <w:rPr>
                <w:rFonts w:ascii="Century Gothic" w:hAnsi="Century Gothic" w:cs="Arial"/>
              </w:rPr>
              <w:t>328.0</w:t>
            </w:r>
          </w:p>
        </w:tc>
        <w:tc>
          <w:tcPr>
            <w:tcW w:w="1275" w:type="dxa"/>
            <w:tcBorders>
              <w:left w:val="single" w:sz="4" w:space="0" w:color="auto"/>
              <w:right w:val="single" w:sz="4" w:space="0" w:color="auto"/>
            </w:tcBorders>
            <w:vAlign w:val="center"/>
          </w:tcPr>
          <w:p w:rsidR="00D9671C" w:rsidRPr="005A1F57" w:rsidRDefault="00D9671C" w:rsidP="00D9671C">
            <w:pPr>
              <w:spacing w:before="60" w:after="60"/>
              <w:jc w:val="center"/>
              <w:rPr>
                <w:rFonts w:ascii="Century Gothic" w:hAnsi="Century Gothic" w:cs="Arial"/>
              </w:rPr>
            </w:pPr>
            <w:r w:rsidRPr="005A1F57">
              <w:rPr>
                <w:rFonts w:ascii="Century Gothic" w:hAnsi="Century Gothic" w:cs="Arial"/>
              </w:rPr>
              <w:t>20.1</w:t>
            </w:r>
          </w:p>
        </w:tc>
        <w:tc>
          <w:tcPr>
            <w:tcW w:w="1560" w:type="dxa"/>
            <w:tcBorders>
              <w:left w:val="single" w:sz="4" w:space="0" w:color="auto"/>
              <w:right w:val="single" w:sz="4" w:space="0" w:color="auto"/>
            </w:tcBorders>
            <w:shd w:val="clear" w:color="auto" w:fill="CCC0D9" w:themeFill="accent4" w:themeFillTint="66"/>
            <w:vAlign w:val="center"/>
          </w:tcPr>
          <w:p w:rsidR="00D9671C" w:rsidRPr="005A1F57" w:rsidRDefault="00D9671C" w:rsidP="00D9671C">
            <w:pPr>
              <w:spacing w:before="60" w:after="60"/>
              <w:jc w:val="center"/>
              <w:rPr>
                <w:rFonts w:ascii="Century Gothic" w:hAnsi="Century Gothic" w:cs="Arial"/>
              </w:rPr>
            </w:pPr>
            <w:r w:rsidRPr="005A1F57">
              <w:rPr>
                <w:rFonts w:ascii="Century Gothic" w:hAnsi="Century Gothic" w:cs="Arial"/>
              </w:rPr>
              <w:t>33</w:t>
            </w:r>
          </w:p>
        </w:tc>
        <w:tc>
          <w:tcPr>
            <w:tcW w:w="1931" w:type="dxa"/>
            <w:tcBorders>
              <w:top w:val="single" w:sz="4" w:space="0" w:color="auto"/>
              <w:left w:val="single" w:sz="4" w:space="0" w:color="auto"/>
              <w:bottom w:val="single" w:sz="4" w:space="0" w:color="auto"/>
              <w:right w:val="single" w:sz="4" w:space="0" w:color="auto"/>
            </w:tcBorders>
            <w:vAlign w:val="center"/>
          </w:tcPr>
          <w:p w:rsidR="00D9671C" w:rsidRPr="005A1F57" w:rsidRDefault="00D9671C" w:rsidP="00D9671C">
            <w:pPr>
              <w:spacing w:before="60" w:after="60"/>
              <w:jc w:val="center"/>
              <w:rPr>
                <w:rFonts w:ascii="Century Gothic" w:hAnsi="Century Gothic" w:cs="Arial"/>
              </w:rPr>
            </w:pPr>
            <w:r w:rsidRPr="005A1F57">
              <w:rPr>
                <w:rFonts w:ascii="Century Gothic" w:hAnsi="Century Gothic" w:cs="Arial"/>
              </w:rPr>
              <w:t>50</w:t>
            </w:r>
          </w:p>
        </w:tc>
      </w:tr>
      <w:tr w:rsidR="00D9671C" w:rsidRPr="005A1F57" w:rsidTr="005A1F57">
        <w:trPr>
          <w:jc w:val="center"/>
        </w:trPr>
        <w:tc>
          <w:tcPr>
            <w:tcW w:w="21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9671C" w:rsidRPr="005A1F57" w:rsidRDefault="00D9671C" w:rsidP="00D9671C">
            <w:pPr>
              <w:pStyle w:val="PlainText"/>
              <w:spacing w:before="60" w:after="60"/>
              <w:jc w:val="center"/>
              <w:rPr>
                <w:rFonts w:ascii="Century Gothic" w:hAnsi="Century Gothic" w:cs="Arial"/>
                <w:sz w:val="20"/>
                <w:szCs w:val="20"/>
              </w:rPr>
            </w:pPr>
            <w:r w:rsidRPr="005A1F57">
              <w:rPr>
                <w:rFonts w:ascii="Century Gothic" w:hAnsi="Century Gothic" w:cs="Arial"/>
                <w:sz w:val="20"/>
                <w:szCs w:val="20"/>
              </w:rPr>
              <w:t>Murray (Victoria)</w:t>
            </w:r>
          </w:p>
        </w:tc>
        <w:tc>
          <w:tcPr>
            <w:tcW w:w="2126" w:type="dxa"/>
            <w:tcBorders>
              <w:top w:val="single" w:sz="4" w:space="0" w:color="auto"/>
              <w:left w:val="single" w:sz="4" w:space="0" w:color="auto"/>
              <w:right w:val="single" w:sz="4" w:space="0" w:color="auto"/>
            </w:tcBorders>
            <w:vAlign w:val="center"/>
          </w:tcPr>
          <w:p w:rsidR="00D9671C" w:rsidRPr="005A1F57" w:rsidRDefault="00D9671C" w:rsidP="00D9671C">
            <w:pPr>
              <w:spacing w:before="60" w:after="60"/>
              <w:jc w:val="center"/>
              <w:rPr>
                <w:rFonts w:ascii="Century Gothic" w:eastAsiaTheme="minorHAnsi" w:hAnsi="Century Gothic" w:cs="Arial"/>
              </w:rPr>
            </w:pPr>
            <w:r w:rsidRPr="005A1F57">
              <w:rPr>
                <w:rFonts w:ascii="Century Gothic" w:eastAsiaTheme="minorHAnsi" w:hAnsi="Century Gothic" w:cs="Arial"/>
              </w:rPr>
              <w:t>255.3</w:t>
            </w:r>
          </w:p>
        </w:tc>
        <w:tc>
          <w:tcPr>
            <w:tcW w:w="1275" w:type="dxa"/>
            <w:tcBorders>
              <w:top w:val="single" w:sz="4" w:space="0" w:color="auto"/>
              <w:left w:val="single" w:sz="4" w:space="0" w:color="auto"/>
              <w:right w:val="single" w:sz="4" w:space="0" w:color="auto"/>
            </w:tcBorders>
            <w:vAlign w:val="center"/>
          </w:tcPr>
          <w:p w:rsidR="00D9671C" w:rsidRPr="005A1F57" w:rsidRDefault="00D9671C" w:rsidP="00D9671C">
            <w:pPr>
              <w:spacing w:before="60" w:after="60"/>
              <w:jc w:val="center"/>
              <w:rPr>
                <w:rFonts w:ascii="Century Gothic" w:eastAsiaTheme="minorHAnsi" w:hAnsi="Century Gothic" w:cs="Arial"/>
              </w:rPr>
            </w:pPr>
            <w:r w:rsidRPr="005A1F57">
              <w:rPr>
                <w:rFonts w:ascii="Century Gothic" w:eastAsiaTheme="minorHAnsi" w:hAnsi="Century Gothic" w:cs="Arial"/>
              </w:rPr>
              <w:t>87.6</w:t>
            </w:r>
          </w:p>
        </w:tc>
        <w:tc>
          <w:tcPr>
            <w:tcW w:w="1560" w:type="dxa"/>
            <w:tcBorders>
              <w:top w:val="single" w:sz="4" w:space="0" w:color="auto"/>
              <w:left w:val="single" w:sz="4" w:space="0" w:color="auto"/>
              <w:right w:val="single" w:sz="4" w:space="0" w:color="auto"/>
            </w:tcBorders>
            <w:shd w:val="clear" w:color="auto" w:fill="CCC0D9" w:themeFill="accent4" w:themeFillTint="66"/>
            <w:vAlign w:val="center"/>
          </w:tcPr>
          <w:p w:rsidR="00D9671C" w:rsidRPr="005A1F57" w:rsidRDefault="00D9671C" w:rsidP="00D9671C">
            <w:pPr>
              <w:spacing w:before="60" w:after="60"/>
              <w:jc w:val="center"/>
              <w:rPr>
                <w:rFonts w:ascii="Century Gothic" w:eastAsiaTheme="minorHAnsi" w:hAnsi="Century Gothic" w:cs="Arial"/>
              </w:rPr>
            </w:pPr>
            <w:r w:rsidRPr="005A1F57">
              <w:rPr>
                <w:rFonts w:ascii="Century Gothic" w:eastAsiaTheme="minorHAnsi" w:hAnsi="Century Gothic" w:cs="Arial"/>
              </w:rPr>
              <w:t>163</w:t>
            </w:r>
          </w:p>
        </w:tc>
        <w:tc>
          <w:tcPr>
            <w:tcW w:w="1931" w:type="dxa"/>
            <w:tcBorders>
              <w:top w:val="single" w:sz="4" w:space="0" w:color="auto"/>
              <w:left w:val="single" w:sz="4" w:space="0" w:color="auto"/>
              <w:bottom w:val="single" w:sz="4" w:space="0" w:color="auto"/>
              <w:right w:val="single" w:sz="4" w:space="0" w:color="auto"/>
            </w:tcBorders>
            <w:vAlign w:val="center"/>
          </w:tcPr>
          <w:p w:rsidR="00D9671C" w:rsidRPr="005A1F57" w:rsidRDefault="00D9671C" w:rsidP="0079284B">
            <w:pPr>
              <w:spacing w:before="60" w:after="60"/>
              <w:jc w:val="center"/>
              <w:rPr>
                <w:rFonts w:ascii="Century Gothic" w:eastAsiaTheme="minorHAnsi" w:hAnsi="Century Gothic" w:cs="Arial"/>
              </w:rPr>
            </w:pPr>
            <w:r w:rsidRPr="005A1F57">
              <w:rPr>
                <w:rFonts w:ascii="Century Gothic" w:eastAsiaTheme="minorHAnsi" w:hAnsi="Century Gothic" w:cs="Arial"/>
              </w:rPr>
              <w:t xml:space="preserve">100 + </w:t>
            </w:r>
            <w:proofErr w:type="spellStart"/>
            <w:r w:rsidRPr="005A1F57">
              <w:rPr>
                <w:rFonts w:ascii="Century Gothic" w:eastAsiaTheme="minorHAnsi" w:hAnsi="Century Gothic" w:cs="Arial"/>
              </w:rPr>
              <w:t>spillable</w:t>
            </w:r>
            <w:proofErr w:type="spellEnd"/>
            <w:r w:rsidRPr="005A1F57">
              <w:rPr>
                <w:rFonts w:ascii="Century Gothic" w:eastAsiaTheme="minorHAnsi" w:hAnsi="Century Gothic" w:cs="Arial"/>
              </w:rPr>
              <w:t xml:space="preserve"> </w:t>
            </w:r>
            <w:r w:rsidR="0079284B">
              <w:rPr>
                <w:rFonts w:ascii="Century Gothic" w:eastAsiaTheme="minorHAnsi" w:hAnsi="Century Gothic" w:cs="Arial"/>
                <w:vertAlign w:val="superscript"/>
              </w:rPr>
              <w:t>c</w:t>
            </w:r>
          </w:p>
        </w:tc>
      </w:tr>
      <w:tr w:rsidR="00D9671C" w:rsidRPr="005A1F57" w:rsidTr="005A1F57">
        <w:trPr>
          <w:jc w:val="center"/>
        </w:trPr>
        <w:tc>
          <w:tcPr>
            <w:tcW w:w="21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9671C" w:rsidRPr="005A1F57" w:rsidRDefault="00D9671C" w:rsidP="00D9671C">
            <w:pPr>
              <w:pStyle w:val="PlainText"/>
              <w:spacing w:before="60" w:after="60"/>
              <w:jc w:val="center"/>
              <w:rPr>
                <w:rFonts w:ascii="Century Gothic" w:hAnsi="Century Gothic" w:cs="Arial"/>
                <w:sz w:val="20"/>
                <w:szCs w:val="20"/>
              </w:rPr>
            </w:pPr>
            <w:r w:rsidRPr="005A1F57">
              <w:rPr>
                <w:rFonts w:ascii="Century Gothic" w:hAnsi="Century Gothic" w:cs="Arial"/>
                <w:sz w:val="20"/>
                <w:szCs w:val="20"/>
              </w:rPr>
              <w:t>Goulburn (Victoria)</w:t>
            </w:r>
          </w:p>
        </w:tc>
        <w:tc>
          <w:tcPr>
            <w:tcW w:w="2126" w:type="dxa"/>
            <w:tcBorders>
              <w:left w:val="single" w:sz="4" w:space="0" w:color="auto"/>
              <w:bottom w:val="single" w:sz="4" w:space="0" w:color="auto"/>
              <w:right w:val="single" w:sz="4" w:space="0" w:color="auto"/>
            </w:tcBorders>
            <w:vAlign w:val="center"/>
          </w:tcPr>
          <w:p w:rsidR="00D9671C" w:rsidRPr="005A1F57" w:rsidRDefault="00D9671C" w:rsidP="00D9671C">
            <w:pPr>
              <w:spacing w:before="60" w:after="60"/>
              <w:jc w:val="center"/>
              <w:rPr>
                <w:rFonts w:ascii="Century Gothic" w:eastAsiaTheme="minorHAnsi" w:hAnsi="Century Gothic" w:cs="Arial"/>
              </w:rPr>
            </w:pPr>
            <w:r w:rsidRPr="005A1F57">
              <w:rPr>
                <w:rFonts w:ascii="Century Gothic" w:eastAsiaTheme="minorHAnsi" w:hAnsi="Century Gothic" w:cs="Arial"/>
              </w:rPr>
              <w:t>216.5</w:t>
            </w:r>
          </w:p>
        </w:tc>
        <w:tc>
          <w:tcPr>
            <w:tcW w:w="1275" w:type="dxa"/>
            <w:tcBorders>
              <w:left w:val="single" w:sz="4" w:space="0" w:color="auto"/>
              <w:bottom w:val="single" w:sz="4" w:space="0" w:color="auto"/>
              <w:right w:val="single" w:sz="4" w:space="0" w:color="auto"/>
            </w:tcBorders>
            <w:vAlign w:val="center"/>
          </w:tcPr>
          <w:p w:rsidR="00D9671C" w:rsidRPr="005A1F57" w:rsidRDefault="00D9671C" w:rsidP="00D9671C">
            <w:pPr>
              <w:spacing w:before="60" w:after="60"/>
              <w:jc w:val="center"/>
              <w:rPr>
                <w:rFonts w:ascii="Century Gothic" w:eastAsiaTheme="minorHAnsi" w:hAnsi="Century Gothic" w:cs="Arial"/>
              </w:rPr>
            </w:pPr>
            <w:r w:rsidRPr="005A1F57">
              <w:rPr>
                <w:rFonts w:ascii="Century Gothic" w:eastAsiaTheme="minorHAnsi" w:hAnsi="Century Gothic" w:cs="Arial"/>
              </w:rPr>
              <w:t>15.3</w:t>
            </w:r>
          </w:p>
        </w:tc>
        <w:tc>
          <w:tcPr>
            <w:tcW w:w="1560" w:type="dxa"/>
            <w:tcBorders>
              <w:left w:val="single" w:sz="4" w:space="0" w:color="auto"/>
              <w:bottom w:val="single" w:sz="4" w:space="0" w:color="auto"/>
              <w:right w:val="single" w:sz="4" w:space="0" w:color="auto"/>
            </w:tcBorders>
            <w:shd w:val="clear" w:color="auto" w:fill="CCC0D9" w:themeFill="accent4" w:themeFillTint="66"/>
            <w:vAlign w:val="center"/>
          </w:tcPr>
          <w:p w:rsidR="00D9671C" w:rsidRPr="005A1F57" w:rsidRDefault="00D9671C" w:rsidP="00D9671C">
            <w:pPr>
              <w:spacing w:before="60" w:after="60"/>
              <w:jc w:val="center"/>
              <w:rPr>
                <w:rFonts w:ascii="Century Gothic" w:eastAsiaTheme="minorHAnsi" w:hAnsi="Century Gothic" w:cs="Arial"/>
              </w:rPr>
            </w:pPr>
            <w:r w:rsidRPr="005A1F57">
              <w:rPr>
                <w:rFonts w:ascii="Century Gothic" w:eastAsiaTheme="minorHAnsi" w:hAnsi="Century Gothic" w:cs="Arial"/>
              </w:rPr>
              <w:t>11</w:t>
            </w:r>
          </w:p>
        </w:tc>
        <w:tc>
          <w:tcPr>
            <w:tcW w:w="1931" w:type="dxa"/>
            <w:tcBorders>
              <w:top w:val="single" w:sz="4" w:space="0" w:color="auto"/>
              <w:left w:val="single" w:sz="4" w:space="0" w:color="auto"/>
              <w:bottom w:val="single" w:sz="4" w:space="0" w:color="auto"/>
              <w:right w:val="single" w:sz="4" w:space="0" w:color="auto"/>
            </w:tcBorders>
            <w:vAlign w:val="center"/>
          </w:tcPr>
          <w:p w:rsidR="00D9671C" w:rsidRPr="005A1F57" w:rsidRDefault="00D9671C" w:rsidP="00D9671C">
            <w:pPr>
              <w:spacing w:before="60" w:after="60"/>
              <w:jc w:val="center"/>
              <w:rPr>
                <w:rFonts w:ascii="Century Gothic" w:eastAsiaTheme="minorHAnsi" w:hAnsi="Century Gothic" w:cs="Arial"/>
              </w:rPr>
            </w:pPr>
            <w:r w:rsidRPr="005A1F57">
              <w:rPr>
                <w:rFonts w:ascii="Century Gothic" w:eastAsiaTheme="minorHAnsi" w:hAnsi="Century Gothic" w:cs="Arial"/>
              </w:rPr>
              <w:t>100</w:t>
            </w:r>
          </w:p>
        </w:tc>
      </w:tr>
      <w:tr w:rsidR="00D9671C" w:rsidRPr="005A1F57" w:rsidTr="005A1F57">
        <w:trPr>
          <w:jc w:val="center"/>
        </w:trPr>
        <w:tc>
          <w:tcPr>
            <w:tcW w:w="21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9671C" w:rsidRPr="005A1F57" w:rsidRDefault="00D9671C" w:rsidP="00D9671C">
            <w:pPr>
              <w:pStyle w:val="PlainText"/>
              <w:spacing w:before="60" w:after="60"/>
              <w:jc w:val="center"/>
              <w:rPr>
                <w:rFonts w:ascii="Century Gothic" w:hAnsi="Century Gothic" w:cs="Arial"/>
                <w:b/>
                <w:sz w:val="20"/>
                <w:szCs w:val="20"/>
              </w:rPr>
            </w:pPr>
            <w:r w:rsidRPr="005A1F57">
              <w:rPr>
                <w:rFonts w:ascii="Century Gothic" w:hAnsi="Century Gothic" w:cs="Arial"/>
                <w:b/>
                <w:sz w:val="20"/>
                <w:szCs w:val="20"/>
              </w:rPr>
              <w:t>Total</w:t>
            </w:r>
          </w:p>
        </w:tc>
        <w:tc>
          <w:tcPr>
            <w:tcW w:w="2126" w:type="dxa"/>
            <w:tcBorders>
              <w:top w:val="single" w:sz="4" w:space="0" w:color="auto"/>
              <w:left w:val="single" w:sz="4" w:space="0" w:color="auto"/>
              <w:bottom w:val="single" w:sz="4" w:space="0" w:color="auto"/>
              <w:right w:val="single" w:sz="4" w:space="0" w:color="auto"/>
            </w:tcBorders>
            <w:vAlign w:val="center"/>
          </w:tcPr>
          <w:p w:rsidR="00D9671C" w:rsidRPr="005A1F57" w:rsidRDefault="00D9671C" w:rsidP="00D9671C">
            <w:pPr>
              <w:spacing w:before="60" w:after="60"/>
              <w:jc w:val="center"/>
              <w:rPr>
                <w:rFonts w:ascii="Century Gothic" w:eastAsiaTheme="minorHAnsi" w:hAnsi="Century Gothic" w:cs="Arial"/>
                <w:b/>
                <w:bCs/>
              </w:rPr>
            </w:pPr>
            <w:r w:rsidRPr="005A1F57">
              <w:rPr>
                <w:rFonts w:ascii="Century Gothic" w:eastAsiaTheme="minorHAnsi" w:hAnsi="Century Gothic" w:cs="Arial"/>
                <w:b/>
                <w:bCs/>
              </w:rPr>
              <w:t>1,325.2</w:t>
            </w:r>
          </w:p>
        </w:tc>
        <w:tc>
          <w:tcPr>
            <w:tcW w:w="1275" w:type="dxa"/>
            <w:tcBorders>
              <w:top w:val="single" w:sz="4" w:space="0" w:color="auto"/>
              <w:left w:val="single" w:sz="4" w:space="0" w:color="auto"/>
              <w:bottom w:val="single" w:sz="4" w:space="0" w:color="auto"/>
              <w:right w:val="single" w:sz="4" w:space="0" w:color="auto"/>
            </w:tcBorders>
            <w:vAlign w:val="center"/>
          </w:tcPr>
          <w:p w:rsidR="00D9671C" w:rsidRPr="005A1F57" w:rsidRDefault="00D9671C" w:rsidP="00D9671C">
            <w:pPr>
              <w:spacing w:before="60" w:after="60"/>
              <w:jc w:val="center"/>
              <w:rPr>
                <w:rFonts w:ascii="Century Gothic" w:eastAsiaTheme="minorHAnsi" w:hAnsi="Century Gothic" w:cs="Arial"/>
                <w:b/>
                <w:bCs/>
              </w:rPr>
            </w:pPr>
            <w:r w:rsidRPr="005A1F57">
              <w:rPr>
                <w:rFonts w:ascii="Century Gothic" w:eastAsiaTheme="minorHAnsi" w:hAnsi="Century Gothic" w:cs="Arial"/>
                <w:b/>
                <w:bCs/>
              </w:rPr>
              <w:t>393.3</w:t>
            </w:r>
          </w:p>
        </w:tc>
        <w:tc>
          <w:tcPr>
            <w:tcW w:w="156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D9671C" w:rsidRPr="005A1F57" w:rsidRDefault="00D9671C" w:rsidP="00D9671C">
            <w:pPr>
              <w:spacing w:before="60" w:after="60"/>
              <w:jc w:val="center"/>
              <w:rPr>
                <w:rFonts w:ascii="Century Gothic" w:eastAsiaTheme="minorHAnsi" w:hAnsi="Century Gothic" w:cs="Arial"/>
                <w:b/>
                <w:bCs/>
              </w:rPr>
            </w:pPr>
            <w:r w:rsidRPr="005A1F57">
              <w:rPr>
                <w:rFonts w:ascii="Century Gothic" w:eastAsiaTheme="minorHAnsi" w:hAnsi="Century Gothic" w:cs="Arial"/>
                <w:b/>
                <w:bCs/>
              </w:rPr>
              <w:t>615</w:t>
            </w:r>
          </w:p>
        </w:tc>
        <w:tc>
          <w:tcPr>
            <w:tcW w:w="1931" w:type="dxa"/>
            <w:tcBorders>
              <w:top w:val="single" w:sz="4" w:space="0" w:color="auto"/>
              <w:left w:val="single" w:sz="4" w:space="0" w:color="auto"/>
              <w:bottom w:val="nil"/>
              <w:right w:val="nil"/>
            </w:tcBorders>
            <w:vAlign w:val="center"/>
          </w:tcPr>
          <w:p w:rsidR="00D9671C" w:rsidRPr="005A1F57" w:rsidRDefault="00D9671C" w:rsidP="00D9671C">
            <w:pPr>
              <w:spacing w:before="60" w:after="60"/>
              <w:jc w:val="center"/>
              <w:rPr>
                <w:rFonts w:ascii="Century Gothic" w:eastAsiaTheme="minorHAnsi" w:hAnsi="Century Gothic" w:cs="Arial"/>
                <w:b/>
                <w:bCs/>
              </w:rPr>
            </w:pPr>
          </w:p>
        </w:tc>
      </w:tr>
    </w:tbl>
    <w:p w:rsidR="00C03E3D" w:rsidRDefault="00C03E3D" w:rsidP="00C03E3D">
      <w:pPr>
        <w:spacing w:after="0"/>
        <w:ind w:left="360"/>
        <w:jc w:val="left"/>
        <w:rPr>
          <w:rFonts w:ascii="Century Gothic" w:hAnsi="Century Gothic"/>
        </w:rPr>
      </w:pPr>
    </w:p>
    <w:p w:rsidR="00C03E3D" w:rsidRPr="00C03E3D" w:rsidRDefault="00C03E3D" w:rsidP="00C03E3D">
      <w:pPr>
        <w:spacing w:after="0"/>
        <w:ind w:left="360"/>
        <w:jc w:val="left"/>
        <w:rPr>
          <w:rFonts w:ascii="Century Gothic" w:hAnsi="Century Gothic"/>
        </w:rPr>
      </w:pPr>
      <w:r w:rsidRPr="00C03E3D">
        <w:rPr>
          <w:rFonts w:ascii="Century Gothic" w:hAnsi="Century Gothic"/>
        </w:rPr>
        <w:t>Notes:</w:t>
      </w:r>
    </w:p>
    <w:p w:rsidR="00D9671C" w:rsidRPr="00C03E3D" w:rsidRDefault="00D9671C" w:rsidP="0079284B">
      <w:pPr>
        <w:pStyle w:val="ListParagraph"/>
        <w:numPr>
          <w:ilvl w:val="0"/>
          <w:numId w:val="12"/>
        </w:numPr>
        <w:spacing w:after="0"/>
        <w:contextualSpacing w:val="0"/>
        <w:jc w:val="left"/>
        <w:rPr>
          <w:rFonts w:ascii="Century Gothic" w:hAnsi="Century Gothic"/>
        </w:rPr>
      </w:pPr>
      <w:r w:rsidRPr="00C03E3D">
        <w:rPr>
          <w:rFonts w:ascii="Century Gothic" w:hAnsi="Century Gothic"/>
        </w:rPr>
        <w:t xml:space="preserve">Excluding supplementary entitlements </w:t>
      </w:r>
    </w:p>
    <w:p w:rsidR="00D9671C" w:rsidRPr="00C03E3D" w:rsidRDefault="00D9671C" w:rsidP="0079284B">
      <w:pPr>
        <w:pStyle w:val="ListParagraph"/>
        <w:numPr>
          <w:ilvl w:val="0"/>
          <w:numId w:val="12"/>
        </w:numPr>
        <w:spacing w:after="0"/>
        <w:contextualSpacing w:val="0"/>
        <w:jc w:val="left"/>
        <w:rPr>
          <w:rFonts w:ascii="Century Gothic" w:hAnsi="Century Gothic"/>
        </w:rPr>
      </w:pPr>
      <w:r w:rsidRPr="00C03E3D">
        <w:rPr>
          <w:rFonts w:ascii="Century Gothic" w:hAnsi="Century Gothic"/>
        </w:rPr>
        <w:t xml:space="preserve">Some accounting adjustments were made during 2012-13. This resulted in some water accounted as carryover in the Murrumbidgee catchment being subsequently accounted as new allocations. </w:t>
      </w:r>
    </w:p>
    <w:p w:rsidR="00D9671C" w:rsidRPr="00C03E3D" w:rsidRDefault="00D9671C" w:rsidP="0079284B">
      <w:pPr>
        <w:pStyle w:val="ListParagraph"/>
        <w:numPr>
          <w:ilvl w:val="0"/>
          <w:numId w:val="12"/>
        </w:numPr>
        <w:spacing w:after="0"/>
        <w:contextualSpacing w:val="0"/>
        <w:jc w:val="left"/>
        <w:rPr>
          <w:rFonts w:ascii="Century Gothic" w:hAnsi="Century Gothic"/>
        </w:rPr>
      </w:pPr>
      <w:proofErr w:type="spellStart"/>
      <w:r w:rsidRPr="00C03E3D">
        <w:rPr>
          <w:rFonts w:ascii="Century Gothic" w:hAnsi="Century Gothic"/>
        </w:rPr>
        <w:t>Spillable</w:t>
      </w:r>
      <w:proofErr w:type="spellEnd"/>
      <w:r w:rsidRPr="00C03E3D">
        <w:rPr>
          <w:rFonts w:ascii="Century Gothic" w:hAnsi="Century Gothic"/>
        </w:rPr>
        <w:t xml:space="preserve"> Water Account</w:t>
      </w:r>
    </w:p>
    <w:p w:rsidR="002D2B56" w:rsidRDefault="002D2B56">
      <w:pPr>
        <w:spacing w:after="0"/>
        <w:jc w:val="left"/>
        <w:rPr>
          <w:rFonts w:ascii="Century Gothic" w:hAnsi="Century Gothic"/>
          <w:sz w:val="24"/>
          <w:szCs w:val="24"/>
        </w:rPr>
      </w:pPr>
      <w:r>
        <w:rPr>
          <w:rFonts w:ascii="Century Gothic" w:hAnsi="Century Gothic"/>
          <w:sz w:val="24"/>
          <w:szCs w:val="24"/>
        </w:rPr>
        <w:br w:type="page"/>
      </w:r>
    </w:p>
    <w:p w:rsidR="00E26D53" w:rsidRPr="00CE4987" w:rsidRDefault="009609E7" w:rsidP="00E26D53">
      <w:pPr>
        <w:pStyle w:val="Para0"/>
        <w:spacing w:after="240" w:line="240" w:lineRule="auto"/>
        <w:jc w:val="left"/>
        <w:rPr>
          <w:rFonts w:ascii="Century Gothic" w:hAnsi="Century Gothic"/>
        </w:rPr>
      </w:pPr>
      <w:r>
        <w:rPr>
          <w:rFonts w:ascii="Century Gothic" w:hAnsi="Century Gothic"/>
        </w:rPr>
        <w:t xml:space="preserve">The Commonwealth used more water in 2012-13 than it received in new allocations. </w:t>
      </w:r>
      <w:r w:rsidR="00E26D53" w:rsidRPr="00CE4987">
        <w:rPr>
          <w:rFonts w:ascii="Century Gothic" w:hAnsi="Century Gothic"/>
        </w:rPr>
        <w:t xml:space="preserve">The Commonwealth used some of its carryover reserves, in addition to new allocations, in 2012-13 to achieve environmental </w:t>
      </w:r>
      <w:proofErr w:type="gramStart"/>
      <w:r w:rsidR="00E26D53" w:rsidRPr="00CE4987">
        <w:rPr>
          <w:rFonts w:ascii="Century Gothic" w:hAnsi="Century Gothic"/>
        </w:rPr>
        <w:t>outcomes</w:t>
      </w:r>
      <w:r w:rsidR="008E12DD">
        <w:rPr>
          <w:rFonts w:ascii="Century Gothic" w:hAnsi="Century Gothic"/>
        </w:rPr>
        <w:t xml:space="preserve"> </w:t>
      </w:r>
      <w:proofErr w:type="gramEnd"/>
      <w:r w:rsidR="008E12DD" w:rsidRPr="00574519">
        <w:rPr>
          <w:rStyle w:val="FootnoteReference"/>
          <w:rFonts w:ascii="Century Gothic" w:hAnsi="Century Gothic"/>
          <w:bCs/>
        </w:rPr>
        <w:footnoteReference w:id="2"/>
      </w:r>
      <w:r w:rsidR="00E26D53" w:rsidRPr="00CE4987">
        <w:rPr>
          <w:rFonts w:ascii="Century Gothic" w:hAnsi="Century Gothic"/>
        </w:rPr>
        <w:t xml:space="preserve">. </w:t>
      </w:r>
      <w:r w:rsidRPr="00CE4987">
        <w:rPr>
          <w:rFonts w:ascii="Century Gothic" w:hAnsi="Century Gothic"/>
        </w:rPr>
        <w:t xml:space="preserve">This </w:t>
      </w:r>
      <w:r>
        <w:rPr>
          <w:rFonts w:ascii="Century Gothic" w:hAnsi="Century Gothic"/>
        </w:rPr>
        <w:t>led to</w:t>
      </w:r>
      <w:r w:rsidRPr="00CE4987">
        <w:rPr>
          <w:rFonts w:ascii="Century Gothic" w:hAnsi="Century Gothic"/>
        </w:rPr>
        <w:t xml:space="preserve"> a reduction in carryover between 1 July 2013 and 1 July 2012, from 615 GL to 393 GL, despite Commonwealth holdings of entitlements increasing.</w:t>
      </w:r>
    </w:p>
    <w:p w:rsidR="00E26D53" w:rsidRPr="00CE4987" w:rsidRDefault="00E26D53" w:rsidP="00E26D53">
      <w:pPr>
        <w:pStyle w:val="Para0"/>
        <w:spacing w:after="240" w:line="240" w:lineRule="auto"/>
        <w:jc w:val="left"/>
        <w:rPr>
          <w:rFonts w:ascii="Century Gothic" w:hAnsi="Century Gothic"/>
        </w:rPr>
      </w:pPr>
      <w:r w:rsidRPr="00CE4987">
        <w:rPr>
          <w:rFonts w:ascii="Century Gothic" w:hAnsi="Century Gothic"/>
        </w:rPr>
        <w:t xml:space="preserve">In 2012-13, the Commonwealth used 79 per cent of its available water </w:t>
      </w:r>
      <w:r w:rsidR="009609E7">
        <w:rPr>
          <w:rFonts w:ascii="Century Gothic" w:hAnsi="Century Gothic"/>
        </w:rPr>
        <w:t>(</w:t>
      </w:r>
      <w:r w:rsidRPr="00CE4987">
        <w:rPr>
          <w:rFonts w:ascii="Century Gothic" w:hAnsi="Century Gothic"/>
        </w:rPr>
        <w:t>84 per cent in the southern connected Basin</w:t>
      </w:r>
      <w:r w:rsidR="009609E7">
        <w:rPr>
          <w:rFonts w:ascii="Century Gothic" w:hAnsi="Century Gothic"/>
        </w:rPr>
        <w:t>)</w:t>
      </w:r>
      <w:r w:rsidRPr="00CE4987">
        <w:rPr>
          <w:rFonts w:ascii="Century Gothic" w:hAnsi="Century Gothic"/>
        </w:rPr>
        <w:t xml:space="preserve">. Based on preliminary figures, the use in New South Wales and Victoria in the Murray-Darling Basin by all entitlement holders is likely to be around 67 and 75 per cent respectively. A higher proportion of Commonwealth environmental water was used in the first five years of operations than most other water users as shown on </w:t>
      </w:r>
      <w:r>
        <w:rPr>
          <w:rFonts w:ascii="Century Gothic" w:hAnsi="Century Gothic"/>
        </w:rPr>
        <w:t>f</w:t>
      </w:r>
      <w:r w:rsidRPr="00CE4987">
        <w:rPr>
          <w:rFonts w:ascii="Century Gothic" w:hAnsi="Century Gothic"/>
        </w:rPr>
        <w:t xml:space="preserve">igure 1. </w:t>
      </w:r>
    </w:p>
    <w:p w:rsidR="00E26D53" w:rsidRPr="00CE4987" w:rsidRDefault="00E26D53" w:rsidP="00E26D53">
      <w:pPr>
        <w:pStyle w:val="Para0"/>
        <w:spacing w:after="240" w:line="240" w:lineRule="auto"/>
        <w:jc w:val="left"/>
        <w:rPr>
          <w:rFonts w:ascii="Century Gothic" w:hAnsi="Century Gothic"/>
        </w:rPr>
      </w:pPr>
      <w:r w:rsidRPr="00CE4987">
        <w:rPr>
          <w:rFonts w:ascii="Century Gothic" w:hAnsi="Century Gothic"/>
        </w:rPr>
        <w:t xml:space="preserve">At 30 June 2013, the Commonwealth held 0.2 GL in accounts for which carryover was unavailable, and this water was re-allocated under State rules in the </w:t>
      </w:r>
      <w:proofErr w:type="spellStart"/>
      <w:r w:rsidRPr="00CE4987">
        <w:rPr>
          <w:rFonts w:ascii="Century Gothic" w:hAnsi="Century Gothic"/>
        </w:rPr>
        <w:t>Murrumbidgee</w:t>
      </w:r>
      <w:proofErr w:type="spellEnd"/>
      <w:r w:rsidRPr="00CE4987">
        <w:rPr>
          <w:rFonts w:ascii="Century Gothic" w:hAnsi="Century Gothic"/>
        </w:rPr>
        <w:t xml:space="preserve">, </w:t>
      </w:r>
      <w:proofErr w:type="spellStart"/>
      <w:r w:rsidRPr="00CE4987">
        <w:rPr>
          <w:rFonts w:ascii="Century Gothic" w:hAnsi="Century Gothic"/>
        </w:rPr>
        <w:t>Campaspe</w:t>
      </w:r>
      <w:proofErr w:type="spellEnd"/>
      <w:r w:rsidRPr="00CE4987">
        <w:rPr>
          <w:rFonts w:ascii="Century Gothic" w:hAnsi="Century Gothic"/>
        </w:rPr>
        <w:t xml:space="preserve"> and Ovens catchments. This corresponds to 0.01 per cent of Commonwealth environmental water available for management. Whilst a decision was taken to deliver some of this water</w:t>
      </w:r>
      <w:r w:rsidR="009609E7">
        <w:rPr>
          <w:rFonts w:ascii="Century Gothic" w:hAnsi="Century Gothic"/>
        </w:rPr>
        <w:t xml:space="preserve"> in the Ovens catchment</w:t>
      </w:r>
      <w:r w:rsidRPr="00CE4987">
        <w:rPr>
          <w:rFonts w:ascii="Century Gothic" w:hAnsi="Century Gothic"/>
        </w:rPr>
        <w:t xml:space="preserve">, it was not possible under current rules given the circumstances of the year (that is, releases from Lake William </w:t>
      </w:r>
      <w:proofErr w:type="spellStart"/>
      <w:r w:rsidRPr="00CE4987">
        <w:rPr>
          <w:rFonts w:ascii="Century Gothic" w:hAnsi="Century Gothic"/>
        </w:rPr>
        <w:t>Hovell</w:t>
      </w:r>
      <w:proofErr w:type="spellEnd"/>
      <w:r w:rsidRPr="00CE4987">
        <w:rPr>
          <w:rFonts w:ascii="Century Gothic" w:hAnsi="Century Gothic"/>
        </w:rPr>
        <w:t xml:space="preserve"> in May and June 2013 were not permitted whilst the lake was spilling). </w:t>
      </w:r>
    </w:p>
    <w:p w:rsidR="00E26D53" w:rsidRPr="00CE4987" w:rsidRDefault="00E26D53" w:rsidP="00E26D53">
      <w:pPr>
        <w:pStyle w:val="Para0"/>
        <w:spacing w:after="240" w:line="240" w:lineRule="auto"/>
        <w:jc w:val="left"/>
        <w:rPr>
          <w:rFonts w:ascii="Century Gothic" w:hAnsi="Century Gothic"/>
        </w:rPr>
      </w:pPr>
      <w:r w:rsidRPr="00CE4987">
        <w:rPr>
          <w:rFonts w:ascii="Century Gothic" w:hAnsi="Century Gothic"/>
        </w:rPr>
        <w:t>The Commonwealth carr</w:t>
      </w:r>
      <w:r w:rsidR="009609E7">
        <w:rPr>
          <w:rFonts w:ascii="Century Gothic" w:hAnsi="Century Gothic"/>
        </w:rPr>
        <w:t>y</w:t>
      </w:r>
      <w:r w:rsidRPr="00CE4987">
        <w:rPr>
          <w:rFonts w:ascii="Century Gothic" w:hAnsi="Century Gothic"/>
        </w:rPr>
        <w:t xml:space="preserve">over is equivalent to 1.8 per cent of the public storage capacity across the Basin, compared to 2.8 per cent on 1 July 2012. Whilst this gives a sense of proportion, it is a simplification that overstates the amount of Commonwealth environmental water in storage, because water orders can be supplied by river operators from storages or from tributary inflows downstream of storages. </w:t>
      </w:r>
    </w:p>
    <w:p w:rsidR="00E26D53" w:rsidRDefault="00E26D53">
      <w:pPr>
        <w:spacing w:after="0"/>
        <w:jc w:val="left"/>
        <w:rPr>
          <w:rFonts w:ascii="Century Gothic" w:hAnsi="Century Gothic"/>
          <w:sz w:val="24"/>
          <w:szCs w:val="24"/>
        </w:rPr>
      </w:pPr>
    </w:p>
    <w:p w:rsidR="003E4A91" w:rsidRDefault="003E4A91" w:rsidP="003E4A91">
      <w:pPr>
        <w:jc w:val="center"/>
      </w:pPr>
      <w:r w:rsidRPr="002B0A15">
        <w:rPr>
          <w:noProof/>
        </w:rPr>
        <w:drawing>
          <wp:inline distT="0" distB="0" distL="0" distR="0">
            <wp:extent cx="4321834" cy="2757452"/>
            <wp:effectExtent l="0" t="0" r="2516"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screen"/>
                    <a:srcRect/>
                    <a:stretch>
                      <a:fillRect/>
                    </a:stretch>
                  </pic:blipFill>
                  <pic:spPr bwMode="auto">
                    <a:xfrm>
                      <a:off x="0" y="0"/>
                      <a:ext cx="4329824" cy="2762550"/>
                    </a:xfrm>
                    <a:prstGeom prst="rect">
                      <a:avLst/>
                    </a:prstGeom>
                    <a:noFill/>
                    <a:ln w="9525">
                      <a:noFill/>
                      <a:miter lim="800000"/>
                      <a:headEnd/>
                      <a:tailEnd/>
                    </a:ln>
                  </pic:spPr>
                </pic:pic>
              </a:graphicData>
            </a:graphic>
          </wp:inline>
        </w:drawing>
      </w:r>
    </w:p>
    <w:p w:rsidR="003E4A91" w:rsidRPr="00977B54" w:rsidRDefault="003E4A91" w:rsidP="003E4A91">
      <w:pPr>
        <w:ind w:left="1135" w:hanging="1135"/>
        <w:jc w:val="left"/>
        <w:rPr>
          <w:rFonts w:ascii="Century Gothic" w:hAnsi="Century Gothic"/>
          <w:b/>
        </w:rPr>
      </w:pPr>
      <w:r w:rsidRPr="00977B54">
        <w:rPr>
          <w:rFonts w:ascii="Century Gothic" w:hAnsi="Century Gothic"/>
          <w:b/>
        </w:rPr>
        <w:t>Figure 1:</w:t>
      </w:r>
      <w:r w:rsidRPr="00977B54">
        <w:rPr>
          <w:rFonts w:ascii="Century Gothic" w:hAnsi="Century Gothic"/>
          <w:b/>
        </w:rPr>
        <w:tab/>
        <w:t>Utilisation of allocated water as a percentage of the available volume</w:t>
      </w:r>
      <w:r w:rsidR="0079284B" w:rsidRPr="0079284B">
        <w:rPr>
          <w:rFonts w:ascii="Century Gothic" w:eastAsiaTheme="minorHAnsi" w:hAnsi="Century Gothic" w:cs="Arial"/>
          <w:b/>
          <w:vertAlign w:val="superscript"/>
        </w:rPr>
        <w:t xml:space="preserve"> </w:t>
      </w:r>
      <w:r w:rsidR="0079284B">
        <w:rPr>
          <w:rFonts w:ascii="Century Gothic" w:eastAsiaTheme="minorHAnsi" w:hAnsi="Century Gothic" w:cs="Arial"/>
          <w:b/>
          <w:vertAlign w:val="superscript"/>
        </w:rPr>
        <w:t>d</w:t>
      </w:r>
    </w:p>
    <w:p w:rsidR="003E4A91" w:rsidRDefault="0079284B" w:rsidP="006772F6">
      <w:pPr>
        <w:pStyle w:val="NormalWeb"/>
        <w:spacing w:after="0" w:afterAutospacing="0"/>
        <w:ind w:left="680" w:hanging="396"/>
        <w:rPr>
          <w:rFonts w:ascii="Century Gothic" w:hAnsi="Century Gothic" w:cs="Arial"/>
        </w:rPr>
      </w:pPr>
      <w:r>
        <w:rPr>
          <w:rFonts w:ascii="Century Gothic" w:hAnsi="Century Gothic" w:cs="Arial"/>
        </w:rPr>
        <w:t>Note</w:t>
      </w:r>
      <w:r w:rsidR="003E4A91">
        <w:rPr>
          <w:rFonts w:ascii="Century Gothic" w:hAnsi="Century Gothic" w:cs="Arial"/>
        </w:rPr>
        <w:t>:</w:t>
      </w:r>
      <w:r w:rsidR="003E4A91">
        <w:rPr>
          <w:rFonts w:ascii="Century Gothic" w:hAnsi="Century Gothic" w:cs="Arial"/>
        </w:rPr>
        <w:tab/>
      </w:r>
    </w:p>
    <w:p w:rsidR="003E4A91" w:rsidRPr="003E4A91" w:rsidRDefault="0079284B" w:rsidP="0079284B">
      <w:pPr>
        <w:pStyle w:val="NormalWeb"/>
        <w:spacing w:before="0" w:beforeAutospacing="0" w:after="0" w:afterAutospacing="0"/>
        <w:ind w:left="680" w:hanging="396"/>
        <w:rPr>
          <w:rFonts w:ascii="Century Gothic" w:hAnsi="Century Gothic" w:cs="Arial"/>
        </w:rPr>
      </w:pPr>
      <w:r>
        <w:rPr>
          <w:rFonts w:ascii="Century Gothic" w:hAnsi="Century Gothic" w:cs="Arial"/>
        </w:rPr>
        <w:t xml:space="preserve">d - </w:t>
      </w:r>
      <w:r w:rsidR="003E4A91" w:rsidRPr="003E4A91">
        <w:rPr>
          <w:rFonts w:ascii="Century Gothic" w:hAnsi="Century Gothic" w:cs="Arial"/>
        </w:rPr>
        <w:t>Data for NSW and Victoria for 2008-09 to 2010-11 are from the MDBA Water Audit Monitoring Report 2010-11. Use in 2011-12 and 2012-13 in NSW and Victoria are estimated based on operational data.</w:t>
      </w:r>
    </w:p>
    <w:p w:rsidR="00C03E3D" w:rsidRPr="00CE4987" w:rsidRDefault="00C03E3D" w:rsidP="00C03E3D">
      <w:pPr>
        <w:pStyle w:val="Heading1"/>
        <w:ind w:left="360"/>
        <w:jc w:val="left"/>
        <w:rPr>
          <w:rFonts w:ascii="Century Gothic" w:hAnsi="Century Gothic"/>
          <w:color w:val="5F497A" w:themeColor="accent4" w:themeShade="BF"/>
          <w:sz w:val="36"/>
          <w:szCs w:val="36"/>
        </w:rPr>
      </w:pPr>
      <w:bookmarkStart w:id="7" w:name="_Toc363199520"/>
      <w:r w:rsidRPr="00CE4987">
        <w:rPr>
          <w:rFonts w:ascii="Century Gothic" w:hAnsi="Century Gothic"/>
          <w:color w:val="5F497A" w:themeColor="accent4" w:themeShade="BF"/>
          <w:sz w:val="36"/>
          <w:szCs w:val="36"/>
        </w:rPr>
        <w:t>Future outlook</w:t>
      </w:r>
      <w:bookmarkEnd w:id="7"/>
    </w:p>
    <w:p w:rsidR="00C03E3D" w:rsidRPr="00977B54" w:rsidRDefault="00C03E3D" w:rsidP="00C03E3D">
      <w:pPr>
        <w:pStyle w:val="Para0"/>
        <w:spacing w:after="240" w:line="240" w:lineRule="auto"/>
        <w:jc w:val="left"/>
        <w:rPr>
          <w:rFonts w:ascii="Century Gothic" w:hAnsi="Century Gothic"/>
        </w:rPr>
      </w:pPr>
      <w:r w:rsidRPr="00977B54">
        <w:rPr>
          <w:rFonts w:ascii="Century Gothic" w:hAnsi="Century Gothic"/>
        </w:rPr>
        <w:t xml:space="preserve">Over the longer term it is expected that the percentage of Commonwealth environmental water that is carried over will be similar to other water users - although like all water users it will vary from year to year. Use in some years will be higher than others, and peak use by the Commonwealth or other environmental water holders may not necessarily occur in the same years as peak use by irrigators. </w:t>
      </w:r>
    </w:p>
    <w:p w:rsidR="00C03E3D" w:rsidRPr="00977B54" w:rsidRDefault="00C03E3D" w:rsidP="00C03E3D">
      <w:pPr>
        <w:pStyle w:val="Para0"/>
        <w:spacing w:after="240" w:line="240" w:lineRule="auto"/>
        <w:jc w:val="left"/>
        <w:rPr>
          <w:rFonts w:ascii="Century Gothic" w:hAnsi="Century Gothic"/>
        </w:rPr>
      </w:pPr>
      <w:r w:rsidRPr="00977B54">
        <w:rPr>
          <w:rFonts w:ascii="Century Gothic" w:hAnsi="Century Gothic"/>
        </w:rPr>
        <w:t xml:space="preserve">The Commonwealth Environmental Water Holder will continue to make decisions on water use in accordance with annual plans and taking account of environmental opportunities from time to time. Carryover provides flexibility to respond to these opportunities. </w:t>
      </w:r>
      <w:r w:rsidR="006772F6" w:rsidRPr="00977B54">
        <w:rPr>
          <w:rFonts w:ascii="Century Gothic" w:hAnsi="Century Gothic"/>
        </w:rPr>
        <w:t>T</w:t>
      </w:r>
      <w:r w:rsidRPr="00977B54">
        <w:rPr>
          <w:rFonts w:ascii="Century Gothic" w:hAnsi="Century Gothic"/>
        </w:rPr>
        <w:t xml:space="preserve">his carryover water could be used in 2013-14 </w:t>
      </w:r>
      <w:r w:rsidR="006772F6" w:rsidRPr="00977B54">
        <w:rPr>
          <w:rFonts w:ascii="Century Gothic" w:hAnsi="Century Gothic"/>
        </w:rPr>
        <w:t xml:space="preserve">for </w:t>
      </w:r>
      <w:r w:rsidR="00C65146">
        <w:rPr>
          <w:rFonts w:ascii="Century Gothic" w:hAnsi="Century Gothic"/>
        </w:rPr>
        <w:t>watering</w:t>
      </w:r>
      <w:r w:rsidR="00A927CC" w:rsidRPr="00977B54">
        <w:rPr>
          <w:rFonts w:ascii="Century Gothic" w:hAnsi="Century Gothic"/>
        </w:rPr>
        <w:t xml:space="preserve"> actions </w:t>
      </w:r>
      <w:r w:rsidRPr="00977B54">
        <w:rPr>
          <w:rFonts w:ascii="Century Gothic" w:hAnsi="Century Gothic"/>
        </w:rPr>
        <w:t>includ</w:t>
      </w:r>
      <w:r w:rsidR="00A927CC" w:rsidRPr="00977B54">
        <w:rPr>
          <w:rFonts w:ascii="Century Gothic" w:hAnsi="Century Gothic"/>
        </w:rPr>
        <w:t>ing</w:t>
      </w:r>
      <w:r w:rsidRPr="00977B54">
        <w:rPr>
          <w:rFonts w:ascii="Century Gothic" w:hAnsi="Century Gothic"/>
        </w:rPr>
        <w:t xml:space="preserve"> environmental flows in rivers</w:t>
      </w:r>
      <w:r w:rsidR="00A00276" w:rsidRPr="00977B54">
        <w:rPr>
          <w:rFonts w:ascii="Century Gothic" w:hAnsi="Century Gothic"/>
        </w:rPr>
        <w:t xml:space="preserve">, </w:t>
      </w:r>
      <w:r w:rsidR="00A00276">
        <w:rPr>
          <w:rFonts w:ascii="Century Gothic" w:hAnsi="Century Gothic"/>
        </w:rPr>
        <w:t>and</w:t>
      </w:r>
      <w:r w:rsidR="0079284B">
        <w:rPr>
          <w:rFonts w:ascii="Century Gothic" w:hAnsi="Century Gothic"/>
        </w:rPr>
        <w:t xml:space="preserve"> </w:t>
      </w:r>
      <w:r w:rsidRPr="00977B54">
        <w:rPr>
          <w:rFonts w:ascii="Century Gothic" w:hAnsi="Century Gothic"/>
        </w:rPr>
        <w:t>wetland</w:t>
      </w:r>
      <w:r w:rsidR="0079284B">
        <w:rPr>
          <w:rFonts w:ascii="Century Gothic" w:hAnsi="Century Gothic"/>
        </w:rPr>
        <w:t>s and</w:t>
      </w:r>
      <w:r w:rsidRPr="00977B54">
        <w:rPr>
          <w:rFonts w:ascii="Century Gothic" w:hAnsi="Century Gothic"/>
        </w:rPr>
        <w:t xml:space="preserve"> floodplain</w:t>
      </w:r>
      <w:r w:rsidR="00A927CC" w:rsidRPr="00977B54">
        <w:rPr>
          <w:rFonts w:ascii="Century Gothic" w:hAnsi="Century Gothic"/>
        </w:rPr>
        <w:t>s</w:t>
      </w:r>
      <w:r w:rsidR="00A00276">
        <w:rPr>
          <w:rFonts w:ascii="Century Gothic" w:hAnsi="Century Gothic"/>
        </w:rPr>
        <w:t>,</w:t>
      </w:r>
      <w:r w:rsidR="00A00276" w:rsidRPr="00977B54">
        <w:rPr>
          <w:rFonts w:ascii="Century Gothic" w:hAnsi="Century Gothic"/>
        </w:rPr>
        <w:t xml:space="preserve"> including</w:t>
      </w:r>
      <w:r w:rsidRPr="00977B54">
        <w:rPr>
          <w:rFonts w:ascii="Century Gothic" w:hAnsi="Century Gothic"/>
        </w:rPr>
        <w:t xml:space="preserve"> </w:t>
      </w:r>
      <w:proofErr w:type="spellStart"/>
      <w:r w:rsidR="0079284B">
        <w:rPr>
          <w:rFonts w:ascii="Century Gothic" w:hAnsi="Century Gothic"/>
        </w:rPr>
        <w:t>Ramsar</w:t>
      </w:r>
      <w:proofErr w:type="spellEnd"/>
      <w:r w:rsidR="0079284B">
        <w:rPr>
          <w:rFonts w:ascii="Century Gothic" w:hAnsi="Century Gothic"/>
        </w:rPr>
        <w:t xml:space="preserve"> sites across the Basin, and </w:t>
      </w:r>
      <w:r w:rsidR="00A927CC" w:rsidRPr="00977B54">
        <w:rPr>
          <w:rFonts w:ascii="Century Gothic" w:hAnsi="Century Gothic"/>
        </w:rPr>
        <w:t>the River Murray,</w:t>
      </w:r>
      <w:r w:rsidRPr="00977B54">
        <w:rPr>
          <w:rFonts w:ascii="Century Gothic" w:hAnsi="Century Gothic"/>
        </w:rPr>
        <w:t xml:space="preserve"> Coorong, </w:t>
      </w:r>
      <w:r w:rsidR="00C65146">
        <w:rPr>
          <w:rFonts w:ascii="Century Gothic" w:hAnsi="Century Gothic"/>
        </w:rPr>
        <w:t xml:space="preserve">Lower Lakes, and Murray mouth. Information about the Commonwealth’s </w:t>
      </w:r>
      <w:r w:rsidR="005629E6">
        <w:rPr>
          <w:rFonts w:ascii="Century Gothic" w:hAnsi="Century Gothic"/>
        </w:rPr>
        <w:t xml:space="preserve">environmental </w:t>
      </w:r>
      <w:r w:rsidR="00C65146">
        <w:rPr>
          <w:rFonts w:ascii="Century Gothic" w:hAnsi="Century Gothic"/>
        </w:rPr>
        <w:t xml:space="preserve">water use options in 2013-14 is available from: </w:t>
      </w:r>
      <w:hyperlink r:id="rId13" w:anchor="annual-use-plans" w:history="1">
        <w:r w:rsidR="005629E6" w:rsidRPr="009D42BD">
          <w:rPr>
            <w:rStyle w:val="Hyperlink"/>
            <w:rFonts w:ascii="Century Gothic" w:hAnsi="Century Gothic"/>
          </w:rPr>
          <w:t>http://www.environment.gov.au/ewater/publications/index.html#annual-use-plans</w:t>
        </w:r>
      </w:hyperlink>
      <w:r w:rsidR="005629E6">
        <w:rPr>
          <w:rFonts w:ascii="Century Gothic" w:hAnsi="Century Gothic"/>
        </w:rPr>
        <w:t>.</w:t>
      </w:r>
    </w:p>
    <w:p w:rsidR="00831C18" w:rsidRPr="00977B54" w:rsidRDefault="006772F6" w:rsidP="006772F6">
      <w:pPr>
        <w:spacing w:after="240"/>
        <w:jc w:val="left"/>
        <w:rPr>
          <w:rFonts w:ascii="Century Gothic" w:hAnsi="Century Gothic"/>
        </w:rPr>
      </w:pPr>
      <w:bookmarkStart w:id="8" w:name="_Ref325106442"/>
      <w:r w:rsidRPr="00977B54">
        <w:rPr>
          <w:rFonts w:ascii="Century Gothic" w:hAnsi="Century Gothic"/>
        </w:rPr>
        <w:t xml:space="preserve">The office welcomes information from the community on how environmental water can best be used and managed. If you have any comments or suggestions, please call 1800 218 478 or send an email to: </w:t>
      </w:r>
      <w:hyperlink r:id="rId14" w:history="1">
        <w:r w:rsidRPr="00977B54">
          <w:rPr>
            <w:rFonts w:ascii="Century Gothic" w:hAnsi="Century Gothic"/>
            <w:color w:val="0000FF"/>
            <w:u w:val="single"/>
          </w:rPr>
          <w:t>ewater@environment.gov.au</w:t>
        </w:r>
      </w:hyperlink>
      <w:r w:rsidRPr="00977B54">
        <w:rPr>
          <w:rFonts w:ascii="Century Gothic" w:hAnsi="Century Gothic"/>
          <w:color w:val="0000FF"/>
          <w:u w:val="single"/>
        </w:rPr>
        <w:t>.</w:t>
      </w:r>
      <w:r w:rsidRPr="00977B54">
        <w:rPr>
          <w:rFonts w:ascii="Century Gothic" w:hAnsi="Century Gothic"/>
        </w:rPr>
        <w:t xml:space="preserve"> </w:t>
      </w:r>
      <w:bookmarkEnd w:id="8"/>
    </w:p>
    <w:sectPr w:rsidR="00831C18" w:rsidRPr="00977B54" w:rsidSect="007809D9">
      <w:headerReference w:type="even" r:id="rId15"/>
      <w:headerReference w:type="default" r:id="rId16"/>
      <w:footerReference w:type="even" r:id="rId17"/>
      <w:footerReference w:type="default" r:id="rId18"/>
      <w:headerReference w:type="first" r:id="rId19"/>
      <w:footerReference w:type="first" r:id="rId20"/>
      <w:pgSz w:w="11906" w:h="16838"/>
      <w:pgMar w:top="1134" w:right="1418" w:bottom="1134" w:left="1276" w:header="709"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5146" w:rsidRDefault="00C65146">
      <w:r>
        <w:separator/>
      </w:r>
    </w:p>
  </w:endnote>
  <w:endnote w:type="continuationSeparator" w:id="0">
    <w:p w:rsidR="00C65146" w:rsidRDefault="00C6514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46D" w:rsidRDefault="0081346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68844"/>
      <w:docPartObj>
        <w:docPartGallery w:val="Page Numbers (Bottom of Page)"/>
        <w:docPartUnique/>
      </w:docPartObj>
    </w:sdtPr>
    <w:sdtContent>
      <w:p w:rsidR="00C65146" w:rsidRDefault="005468DA">
        <w:pPr>
          <w:pStyle w:val="Footer"/>
          <w:jc w:val="right"/>
        </w:pPr>
        <w:fldSimple w:instr=" PAGE   \* MERGEFORMAT ">
          <w:r w:rsidR="0081346D">
            <w:rPr>
              <w:noProof/>
            </w:rPr>
            <w:t>1</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46D" w:rsidRDefault="0081346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5146" w:rsidRDefault="00C65146">
      <w:r>
        <w:separator/>
      </w:r>
    </w:p>
  </w:footnote>
  <w:footnote w:type="continuationSeparator" w:id="0">
    <w:p w:rsidR="00C65146" w:rsidRDefault="00C65146">
      <w:r>
        <w:continuationSeparator/>
      </w:r>
    </w:p>
  </w:footnote>
  <w:footnote w:id="1">
    <w:p w:rsidR="00C65146" w:rsidRDefault="00C65146" w:rsidP="00C65146">
      <w:pPr>
        <w:pStyle w:val="FootnoteText"/>
        <w:jc w:val="left"/>
        <w:rPr>
          <w:rFonts w:ascii="Century Gothic" w:hAnsi="Century Gothic"/>
          <w:sz w:val="18"/>
          <w:szCs w:val="18"/>
        </w:rPr>
      </w:pPr>
      <w:r w:rsidRPr="00CA3EFC">
        <w:rPr>
          <w:rStyle w:val="FootnoteReference"/>
          <w:rFonts w:ascii="Century Gothic" w:hAnsi="Century Gothic"/>
          <w:sz w:val="18"/>
          <w:szCs w:val="18"/>
        </w:rPr>
        <w:footnoteRef/>
      </w:r>
      <w:r w:rsidRPr="00CA3EFC">
        <w:rPr>
          <w:rFonts w:ascii="Century Gothic" w:hAnsi="Century Gothic"/>
          <w:sz w:val="18"/>
          <w:szCs w:val="18"/>
        </w:rPr>
        <w:t xml:space="preserve"> Whether a year is wet or dry is a much more important determinant of whether a dam spills or not rather than the choices of any individual entitlement holder including the Commonwealth.</w:t>
      </w:r>
    </w:p>
    <w:p w:rsidR="00C65146" w:rsidRDefault="00C65146" w:rsidP="00C65146">
      <w:pPr>
        <w:pStyle w:val="FootnoteText"/>
        <w:jc w:val="left"/>
      </w:pPr>
    </w:p>
  </w:footnote>
  <w:footnote w:id="2">
    <w:p w:rsidR="00C65146" w:rsidRPr="00CA3EFC" w:rsidRDefault="00C65146" w:rsidP="00E37005">
      <w:pPr>
        <w:pStyle w:val="FootnoteText"/>
        <w:jc w:val="left"/>
        <w:rPr>
          <w:rFonts w:ascii="Century Gothic" w:hAnsi="Century Gothic"/>
          <w:sz w:val="18"/>
          <w:szCs w:val="18"/>
        </w:rPr>
      </w:pPr>
      <w:r>
        <w:rPr>
          <w:rStyle w:val="FootnoteReference"/>
        </w:rPr>
        <w:footnoteRef/>
      </w:r>
      <w:r>
        <w:t xml:space="preserve"> </w:t>
      </w:r>
      <w:r w:rsidRPr="00CA3EFC">
        <w:rPr>
          <w:rFonts w:ascii="Century Gothic" w:hAnsi="Century Gothic"/>
          <w:sz w:val="18"/>
          <w:szCs w:val="18"/>
        </w:rPr>
        <w:t xml:space="preserve">Additionally, there was an accounting adjustment in the Murrumbidgee catchment resulting in some water that was accounted as carryover on 1 July 2012 being subsequently accounted as new allocations, and some carryover spilled in the Macquarie catchment when </w:t>
      </w:r>
      <w:proofErr w:type="spellStart"/>
      <w:r w:rsidRPr="00CA3EFC">
        <w:rPr>
          <w:rFonts w:ascii="Century Gothic" w:hAnsi="Century Gothic"/>
          <w:sz w:val="18"/>
          <w:szCs w:val="18"/>
        </w:rPr>
        <w:t>Burrendong</w:t>
      </w:r>
      <w:proofErr w:type="spellEnd"/>
      <w:r w:rsidRPr="00CA3EFC">
        <w:rPr>
          <w:rFonts w:ascii="Century Gothic" w:hAnsi="Century Gothic"/>
          <w:sz w:val="18"/>
          <w:szCs w:val="18"/>
        </w:rPr>
        <w:t xml:space="preserve"> Dam spilled. The remaining carryover on 30 June 2013 was 564 GL.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46D" w:rsidRDefault="0081346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46D" w:rsidRDefault="0081346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46D" w:rsidRDefault="0081346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
    <w:nsid w:val="02CE4F49"/>
    <w:multiLevelType w:val="multilevel"/>
    <w:tmpl w:val="D98AFEB0"/>
    <w:lvl w:ilvl="0">
      <w:start w:val="1"/>
      <w:numFmt w:val="bullet"/>
      <w:pStyle w:val="Bullet"/>
      <w:lvlText w:val="•"/>
      <w:lvlJc w:val="left"/>
      <w:pPr>
        <w:tabs>
          <w:tab w:val="num" w:pos="747"/>
        </w:tabs>
        <w:ind w:left="747" w:hanging="567"/>
      </w:pPr>
      <w:rPr>
        <w:rFonts w:ascii="Times New Roman" w:hAnsi="Times New Roman"/>
      </w:rPr>
    </w:lvl>
    <w:lvl w:ilvl="1">
      <w:start w:val="1"/>
      <w:numFmt w:val="bullet"/>
      <w:pStyle w:val="Dash"/>
      <w:lvlText w:val="–"/>
      <w:lvlJc w:val="left"/>
      <w:pPr>
        <w:tabs>
          <w:tab w:val="num" w:pos="1134"/>
        </w:tabs>
        <w:ind w:left="1134" w:hanging="567"/>
      </w:pPr>
      <w:rPr>
        <w:rFonts w:ascii="Times New Roman" w:hAnsi="Times New Roman"/>
      </w:rPr>
    </w:lvl>
    <w:lvl w:ilvl="2">
      <w:start w:val="1"/>
      <w:numFmt w:val="bullet"/>
      <w:pStyle w:val="DoubleDot"/>
      <w:lvlText w:val=":"/>
      <w:lvlJc w:val="left"/>
      <w:pPr>
        <w:tabs>
          <w:tab w:val="num" w:pos="1701"/>
        </w:tabs>
        <w:ind w:left="1701" w:hanging="567"/>
      </w:pPr>
      <w:rPr>
        <w:rFonts w:ascii="Times New Roman" w:hAnsi="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
    <w:nsid w:val="0857313D"/>
    <w:multiLevelType w:val="hybridMultilevel"/>
    <w:tmpl w:val="4274BC0C"/>
    <w:name w:val="StandardBulletedList"/>
    <w:lvl w:ilvl="0" w:tplc="96F265D0">
      <w:start w:val="1"/>
      <w:numFmt w:val="bullet"/>
      <w:lvlText w:val=""/>
      <w:lvlJc w:val="left"/>
      <w:pPr>
        <w:ind w:left="720" w:hanging="360"/>
      </w:pPr>
      <w:rPr>
        <w:rFonts w:ascii="Symbol" w:hAnsi="Symbol" w:hint="default"/>
        <w:color w:val="auto"/>
      </w:rPr>
    </w:lvl>
    <w:lvl w:ilvl="1" w:tplc="D372385E">
      <w:start w:val="1"/>
      <w:numFmt w:val="bullet"/>
      <w:lvlText w:val="o"/>
      <w:lvlJc w:val="left"/>
      <w:pPr>
        <w:ind w:left="1440" w:hanging="360"/>
      </w:pPr>
      <w:rPr>
        <w:rFonts w:ascii="Courier New" w:hAnsi="Courier New" w:hint="default"/>
      </w:rPr>
    </w:lvl>
    <w:lvl w:ilvl="2" w:tplc="C6CC3982">
      <w:start w:val="1"/>
      <w:numFmt w:val="bullet"/>
      <w:lvlText w:val=""/>
      <w:lvlJc w:val="left"/>
      <w:pPr>
        <w:ind w:left="2160" w:hanging="360"/>
      </w:pPr>
      <w:rPr>
        <w:rFonts w:ascii="Wingdings" w:hAnsi="Wingdings" w:hint="default"/>
      </w:rPr>
    </w:lvl>
    <w:lvl w:ilvl="3" w:tplc="ADE4BA7A" w:tentative="1">
      <w:start w:val="1"/>
      <w:numFmt w:val="bullet"/>
      <w:lvlText w:val=""/>
      <w:lvlJc w:val="left"/>
      <w:pPr>
        <w:ind w:left="2880" w:hanging="360"/>
      </w:pPr>
      <w:rPr>
        <w:rFonts w:ascii="Symbol" w:hAnsi="Symbol" w:hint="default"/>
      </w:rPr>
    </w:lvl>
    <w:lvl w:ilvl="4" w:tplc="5B869E8C" w:tentative="1">
      <w:start w:val="1"/>
      <w:numFmt w:val="bullet"/>
      <w:lvlText w:val="o"/>
      <w:lvlJc w:val="left"/>
      <w:pPr>
        <w:ind w:left="3600" w:hanging="360"/>
      </w:pPr>
      <w:rPr>
        <w:rFonts w:ascii="Courier New" w:hAnsi="Courier New" w:hint="default"/>
      </w:rPr>
    </w:lvl>
    <w:lvl w:ilvl="5" w:tplc="F2DA44E2" w:tentative="1">
      <w:start w:val="1"/>
      <w:numFmt w:val="bullet"/>
      <w:lvlText w:val=""/>
      <w:lvlJc w:val="left"/>
      <w:pPr>
        <w:ind w:left="4320" w:hanging="360"/>
      </w:pPr>
      <w:rPr>
        <w:rFonts w:ascii="Wingdings" w:hAnsi="Wingdings" w:hint="default"/>
      </w:rPr>
    </w:lvl>
    <w:lvl w:ilvl="6" w:tplc="F5E641F4" w:tentative="1">
      <w:start w:val="1"/>
      <w:numFmt w:val="bullet"/>
      <w:lvlText w:val=""/>
      <w:lvlJc w:val="left"/>
      <w:pPr>
        <w:ind w:left="5040" w:hanging="360"/>
      </w:pPr>
      <w:rPr>
        <w:rFonts w:ascii="Symbol" w:hAnsi="Symbol" w:hint="default"/>
      </w:rPr>
    </w:lvl>
    <w:lvl w:ilvl="7" w:tplc="86782F98" w:tentative="1">
      <w:start w:val="1"/>
      <w:numFmt w:val="bullet"/>
      <w:lvlText w:val="o"/>
      <w:lvlJc w:val="left"/>
      <w:pPr>
        <w:ind w:left="5760" w:hanging="360"/>
      </w:pPr>
      <w:rPr>
        <w:rFonts w:ascii="Courier New" w:hAnsi="Courier New" w:hint="default"/>
      </w:rPr>
    </w:lvl>
    <w:lvl w:ilvl="8" w:tplc="4B1AB3A4" w:tentative="1">
      <w:start w:val="1"/>
      <w:numFmt w:val="bullet"/>
      <w:lvlText w:val=""/>
      <w:lvlJc w:val="left"/>
      <w:pPr>
        <w:ind w:left="6480" w:hanging="360"/>
      </w:pPr>
      <w:rPr>
        <w:rFonts w:ascii="Wingdings" w:hAnsi="Wingdings" w:hint="default"/>
      </w:rPr>
    </w:lvl>
  </w:abstractNum>
  <w:abstractNum w:abstractNumId="3">
    <w:nsid w:val="0A020D15"/>
    <w:multiLevelType w:val="multilevel"/>
    <w:tmpl w:val="32623526"/>
    <w:lvl w:ilvl="0">
      <w:start w:val="1"/>
      <w:numFmt w:val="decimal"/>
      <w:pStyle w:val="Heading1"/>
      <w:lvlText w:val="%1."/>
      <w:lvlJc w:val="left"/>
      <w:pPr>
        <w:ind w:left="644" w:hanging="360"/>
      </w:pPr>
      <w:rPr>
        <w:rFonts w:cs="Times New Roman"/>
      </w:rPr>
    </w:lvl>
    <w:lvl w:ilvl="1">
      <w:start w:val="1"/>
      <w:numFmt w:val="decimal"/>
      <w:pStyle w:val="Heading2"/>
      <w:lvlText w:val="%1.%2."/>
      <w:lvlJc w:val="left"/>
      <w:pPr>
        <w:ind w:left="792" w:hanging="432"/>
      </w:pPr>
      <w:rPr>
        <w:rFonts w:cs="Times New Roman"/>
      </w:rPr>
    </w:lvl>
    <w:lvl w:ilvl="2">
      <w:start w:val="1"/>
      <w:numFmt w:val="decimal"/>
      <w:pStyle w:val="Heading3"/>
      <w:lvlText w:val="%1.%2.%3."/>
      <w:lvlJc w:val="left"/>
      <w:pPr>
        <w:ind w:left="1224" w:hanging="504"/>
      </w:pPr>
      <w:rPr>
        <w:rFonts w:cs="Times New Roman"/>
      </w:rPr>
    </w:lvl>
    <w:lvl w:ilvl="3">
      <w:start w:val="1"/>
      <w:numFmt w:val="decimal"/>
      <w:pStyle w:val="Heading4"/>
      <w:lvlText w:val="%1.%2.%3.%4."/>
      <w:lvlJc w:val="left"/>
      <w:pPr>
        <w:ind w:left="1728" w:hanging="648"/>
      </w:pPr>
      <w:rPr>
        <w:rFonts w:cs="Times New Roman"/>
      </w:rPr>
    </w:lvl>
    <w:lvl w:ilvl="4">
      <w:start w:val="1"/>
      <w:numFmt w:val="decimal"/>
      <w:pStyle w:val="Heading5"/>
      <w:lvlText w:val="%1.%2.%3.%4.%5."/>
      <w:lvlJc w:val="left"/>
      <w:pPr>
        <w:ind w:left="2232" w:hanging="792"/>
      </w:pPr>
      <w:rPr>
        <w:rFonts w:cs="Times New Roman"/>
      </w:rPr>
    </w:lvl>
    <w:lvl w:ilvl="5">
      <w:start w:val="1"/>
      <w:numFmt w:val="decimal"/>
      <w:pStyle w:val="Heading6"/>
      <w:lvlText w:val="%1.%2.%3.%4.%5.%6."/>
      <w:lvlJc w:val="left"/>
      <w:pPr>
        <w:ind w:left="2736" w:hanging="936"/>
      </w:pPr>
      <w:rPr>
        <w:rFonts w:cs="Times New Roman"/>
      </w:rPr>
    </w:lvl>
    <w:lvl w:ilvl="6">
      <w:start w:val="1"/>
      <w:numFmt w:val="decimal"/>
      <w:pStyle w:val="Heading7"/>
      <w:lvlText w:val="%1.%2.%3.%4.%5.%6.%7."/>
      <w:lvlJc w:val="left"/>
      <w:pPr>
        <w:ind w:left="3240" w:hanging="1080"/>
      </w:pPr>
      <w:rPr>
        <w:rFonts w:cs="Times New Roman"/>
      </w:rPr>
    </w:lvl>
    <w:lvl w:ilvl="7">
      <w:start w:val="1"/>
      <w:numFmt w:val="decimal"/>
      <w:pStyle w:val="Heading8"/>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nsid w:val="0CC76AA1"/>
    <w:multiLevelType w:val="hybridMultilevel"/>
    <w:tmpl w:val="C18A7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6097DE7"/>
    <w:multiLevelType w:val="singleLevel"/>
    <w:tmpl w:val="9B94E4FC"/>
    <w:lvl w:ilvl="0">
      <w:start w:val="1"/>
      <w:numFmt w:val="bullet"/>
      <w:pStyle w:val="Para0bullet"/>
      <w:lvlText w:val=""/>
      <w:lvlJc w:val="left"/>
      <w:pPr>
        <w:tabs>
          <w:tab w:val="num" w:pos="430"/>
        </w:tabs>
        <w:ind w:left="430" w:hanging="397"/>
      </w:pPr>
      <w:rPr>
        <w:rFonts w:ascii="Wingdings" w:hAnsi="Wingdings" w:hint="default"/>
        <w:sz w:val="12"/>
      </w:rPr>
    </w:lvl>
  </w:abstractNum>
  <w:abstractNum w:abstractNumId="6">
    <w:nsid w:val="19A27EB3"/>
    <w:multiLevelType w:val="multilevel"/>
    <w:tmpl w:val="E76C9AB8"/>
    <w:lvl w:ilvl="0">
      <w:start w:val="1"/>
      <w:numFmt w:val="bullet"/>
      <w:pStyle w:val="StyleStylePara12Arial11ptAfter0pt10ptAuto"/>
      <w:lvlText w:val=""/>
      <w:lvlJc w:val="left"/>
      <w:pPr>
        <w:tabs>
          <w:tab w:val="num" w:pos="284"/>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nsid w:val="273F45FE"/>
    <w:multiLevelType w:val="hybridMultilevel"/>
    <w:tmpl w:val="F864D268"/>
    <w:lvl w:ilvl="0" w:tplc="0C090003">
      <w:start w:val="1"/>
      <w:numFmt w:val="decimal"/>
      <w:pStyle w:val="Para1number"/>
      <w:lvlText w:val="%1)"/>
      <w:lvlJc w:val="left"/>
      <w:pPr>
        <w:tabs>
          <w:tab w:val="num" w:pos="794"/>
        </w:tabs>
        <w:ind w:left="794" w:hanging="397"/>
      </w:pPr>
      <w:rPr>
        <w:rFonts w:cs="Times New Roman" w:hint="default"/>
      </w:rPr>
    </w:lvl>
    <w:lvl w:ilvl="1" w:tplc="7E146750" w:tentative="1">
      <w:start w:val="1"/>
      <w:numFmt w:val="lowerLetter"/>
      <w:lvlText w:val="%2."/>
      <w:lvlJc w:val="left"/>
      <w:pPr>
        <w:tabs>
          <w:tab w:val="num" w:pos="1440"/>
        </w:tabs>
        <w:ind w:left="1440" w:hanging="360"/>
      </w:pPr>
      <w:rPr>
        <w:rFonts w:cs="Times New Roman"/>
      </w:rPr>
    </w:lvl>
    <w:lvl w:ilvl="2" w:tplc="F7B45F32" w:tentative="1">
      <w:start w:val="1"/>
      <w:numFmt w:val="lowerRoman"/>
      <w:lvlText w:val="%3."/>
      <w:lvlJc w:val="right"/>
      <w:pPr>
        <w:tabs>
          <w:tab w:val="num" w:pos="2160"/>
        </w:tabs>
        <w:ind w:left="2160" w:hanging="180"/>
      </w:pPr>
      <w:rPr>
        <w:rFonts w:cs="Times New Roman"/>
      </w:rPr>
    </w:lvl>
    <w:lvl w:ilvl="3" w:tplc="827658C6" w:tentative="1">
      <w:start w:val="1"/>
      <w:numFmt w:val="decimal"/>
      <w:lvlText w:val="%4."/>
      <w:lvlJc w:val="left"/>
      <w:pPr>
        <w:tabs>
          <w:tab w:val="num" w:pos="2880"/>
        </w:tabs>
        <w:ind w:left="2880" w:hanging="360"/>
      </w:pPr>
      <w:rPr>
        <w:rFonts w:cs="Times New Roman"/>
      </w:rPr>
    </w:lvl>
    <w:lvl w:ilvl="4" w:tplc="1BD299A8" w:tentative="1">
      <w:start w:val="1"/>
      <w:numFmt w:val="lowerLetter"/>
      <w:lvlText w:val="%5."/>
      <w:lvlJc w:val="left"/>
      <w:pPr>
        <w:tabs>
          <w:tab w:val="num" w:pos="3600"/>
        </w:tabs>
        <w:ind w:left="3600" w:hanging="360"/>
      </w:pPr>
      <w:rPr>
        <w:rFonts w:cs="Times New Roman"/>
      </w:rPr>
    </w:lvl>
    <w:lvl w:ilvl="5" w:tplc="6142B4D0" w:tentative="1">
      <w:start w:val="1"/>
      <w:numFmt w:val="lowerRoman"/>
      <w:lvlText w:val="%6."/>
      <w:lvlJc w:val="right"/>
      <w:pPr>
        <w:tabs>
          <w:tab w:val="num" w:pos="4320"/>
        </w:tabs>
        <w:ind w:left="4320" w:hanging="180"/>
      </w:pPr>
      <w:rPr>
        <w:rFonts w:cs="Times New Roman"/>
      </w:rPr>
    </w:lvl>
    <w:lvl w:ilvl="6" w:tplc="266C4BD6" w:tentative="1">
      <w:start w:val="1"/>
      <w:numFmt w:val="decimal"/>
      <w:lvlText w:val="%7."/>
      <w:lvlJc w:val="left"/>
      <w:pPr>
        <w:tabs>
          <w:tab w:val="num" w:pos="5040"/>
        </w:tabs>
        <w:ind w:left="5040" w:hanging="360"/>
      </w:pPr>
      <w:rPr>
        <w:rFonts w:cs="Times New Roman"/>
      </w:rPr>
    </w:lvl>
    <w:lvl w:ilvl="7" w:tplc="DBF843B4" w:tentative="1">
      <w:start w:val="1"/>
      <w:numFmt w:val="lowerLetter"/>
      <w:lvlText w:val="%8."/>
      <w:lvlJc w:val="left"/>
      <w:pPr>
        <w:tabs>
          <w:tab w:val="num" w:pos="5760"/>
        </w:tabs>
        <w:ind w:left="5760" w:hanging="360"/>
      </w:pPr>
      <w:rPr>
        <w:rFonts w:cs="Times New Roman"/>
      </w:rPr>
    </w:lvl>
    <w:lvl w:ilvl="8" w:tplc="AE22F7E2" w:tentative="1">
      <w:start w:val="1"/>
      <w:numFmt w:val="lowerRoman"/>
      <w:lvlText w:val="%9."/>
      <w:lvlJc w:val="right"/>
      <w:pPr>
        <w:tabs>
          <w:tab w:val="num" w:pos="6480"/>
        </w:tabs>
        <w:ind w:left="6480" w:hanging="180"/>
      </w:pPr>
      <w:rPr>
        <w:rFonts w:cs="Times New Roman"/>
      </w:rPr>
    </w:lvl>
  </w:abstractNum>
  <w:abstractNum w:abstractNumId="8">
    <w:nsid w:val="43C107DA"/>
    <w:multiLevelType w:val="multilevel"/>
    <w:tmpl w:val="FE943B62"/>
    <w:lvl w:ilvl="0">
      <w:start w:val="1"/>
      <w:numFmt w:val="upperLetter"/>
      <w:pStyle w:val="Appendix1"/>
      <w:lvlText w:val="Appendix %1"/>
      <w:lvlJc w:val="left"/>
      <w:pPr>
        <w:tabs>
          <w:tab w:val="num" w:pos="2268"/>
        </w:tabs>
        <w:ind w:left="2268" w:hanging="2268"/>
      </w:pPr>
      <w:rPr>
        <w:rFonts w:ascii="Calibri" w:hAnsi="Calibri" w:cs="Arial" w:hint="default"/>
        <w:b/>
        <w:i w:val="0"/>
        <w:color w:val="auto"/>
        <w:sz w:val="36"/>
      </w:rPr>
    </w:lvl>
    <w:lvl w:ilvl="1">
      <w:start w:val="1"/>
      <w:numFmt w:val="decimal"/>
      <w:pStyle w:val="Appendix2"/>
      <w:lvlText w:val="%1.%2"/>
      <w:lvlJc w:val="left"/>
      <w:pPr>
        <w:tabs>
          <w:tab w:val="num" w:pos="851"/>
        </w:tabs>
        <w:ind w:left="851" w:hanging="851"/>
      </w:pPr>
      <w:rPr>
        <w:rFonts w:ascii="Arial" w:hAnsi="Arial" w:cs="Times New Roman" w:hint="default"/>
        <w:b/>
        <w:i w:val="0"/>
        <w:sz w:val="22"/>
      </w:rPr>
    </w:lvl>
    <w:lvl w:ilvl="2">
      <w:start w:val="1"/>
      <w:numFmt w:val="decimal"/>
      <w:pStyle w:val="Appendix3"/>
      <w:lvlText w:val="%1.%2.%3"/>
      <w:lvlJc w:val="left"/>
      <w:pPr>
        <w:tabs>
          <w:tab w:val="num" w:pos="851"/>
        </w:tabs>
        <w:ind w:left="851" w:hanging="851"/>
      </w:pPr>
      <w:rPr>
        <w:rFonts w:ascii="Arial" w:hAnsi="Arial" w:cs="Times New Roman" w:hint="default"/>
        <w:b/>
        <w:i w:val="0"/>
        <w:sz w:val="22"/>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
    <w:nsid w:val="5BB27A70"/>
    <w:multiLevelType w:val="hybridMultilevel"/>
    <w:tmpl w:val="DE64329E"/>
    <w:lvl w:ilvl="0" w:tplc="0C090019">
      <w:start w:val="1"/>
      <w:numFmt w:val="lowerLetter"/>
      <w:lvlText w:val="%1."/>
      <w:lvlJc w:val="left"/>
      <w:pPr>
        <w:ind w:left="720" w:hanging="360"/>
      </w:pPr>
      <w:rPr>
        <w:rFonts w:hint="default"/>
      </w:rPr>
    </w:lvl>
    <w:lvl w:ilvl="1" w:tplc="E03E3F80" w:tentative="1">
      <w:start w:val="1"/>
      <w:numFmt w:val="lowerLetter"/>
      <w:lvlText w:val="%2."/>
      <w:lvlJc w:val="left"/>
      <w:pPr>
        <w:ind w:left="1440" w:hanging="360"/>
      </w:pPr>
    </w:lvl>
    <w:lvl w:ilvl="2" w:tplc="6FFE0060" w:tentative="1">
      <w:start w:val="1"/>
      <w:numFmt w:val="lowerRoman"/>
      <w:lvlText w:val="%3."/>
      <w:lvlJc w:val="right"/>
      <w:pPr>
        <w:ind w:left="2160" w:hanging="180"/>
      </w:pPr>
    </w:lvl>
    <w:lvl w:ilvl="3" w:tplc="DE04CEBA" w:tentative="1">
      <w:start w:val="1"/>
      <w:numFmt w:val="decimal"/>
      <w:lvlText w:val="%4."/>
      <w:lvlJc w:val="left"/>
      <w:pPr>
        <w:ind w:left="2880" w:hanging="360"/>
      </w:pPr>
    </w:lvl>
    <w:lvl w:ilvl="4" w:tplc="70DE53F6" w:tentative="1">
      <w:start w:val="1"/>
      <w:numFmt w:val="lowerLetter"/>
      <w:lvlText w:val="%5."/>
      <w:lvlJc w:val="left"/>
      <w:pPr>
        <w:ind w:left="3600" w:hanging="360"/>
      </w:pPr>
    </w:lvl>
    <w:lvl w:ilvl="5" w:tplc="6F86E448" w:tentative="1">
      <w:start w:val="1"/>
      <w:numFmt w:val="lowerRoman"/>
      <w:lvlText w:val="%6."/>
      <w:lvlJc w:val="right"/>
      <w:pPr>
        <w:ind w:left="4320" w:hanging="180"/>
      </w:pPr>
    </w:lvl>
    <w:lvl w:ilvl="6" w:tplc="2440F8DE" w:tentative="1">
      <w:start w:val="1"/>
      <w:numFmt w:val="decimal"/>
      <w:lvlText w:val="%7."/>
      <w:lvlJc w:val="left"/>
      <w:pPr>
        <w:ind w:left="5040" w:hanging="360"/>
      </w:pPr>
    </w:lvl>
    <w:lvl w:ilvl="7" w:tplc="0EE22FEC" w:tentative="1">
      <w:start w:val="1"/>
      <w:numFmt w:val="lowerLetter"/>
      <w:lvlText w:val="%8."/>
      <w:lvlJc w:val="left"/>
      <w:pPr>
        <w:ind w:left="5760" w:hanging="360"/>
      </w:pPr>
    </w:lvl>
    <w:lvl w:ilvl="8" w:tplc="BB8EF07C" w:tentative="1">
      <w:start w:val="1"/>
      <w:numFmt w:val="lowerRoman"/>
      <w:lvlText w:val="%9."/>
      <w:lvlJc w:val="right"/>
      <w:pPr>
        <w:ind w:left="6480" w:hanging="180"/>
      </w:pPr>
    </w:lvl>
  </w:abstractNum>
  <w:abstractNum w:abstractNumId="10">
    <w:nsid w:val="74D01D58"/>
    <w:multiLevelType w:val="singleLevel"/>
    <w:tmpl w:val="5978BFA0"/>
    <w:lvl w:ilvl="0">
      <w:start w:val="1"/>
      <w:numFmt w:val="decimal"/>
      <w:pStyle w:val="Para0number"/>
      <w:lvlText w:val="%1)"/>
      <w:lvlJc w:val="left"/>
      <w:pPr>
        <w:tabs>
          <w:tab w:val="num" w:pos="397"/>
        </w:tabs>
        <w:ind w:left="397" w:hanging="397"/>
      </w:pPr>
      <w:rPr>
        <w:rFonts w:cs="Times New Roman" w:hint="default"/>
      </w:rPr>
    </w:lvl>
  </w:abstractNum>
  <w:abstractNum w:abstractNumId="11">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2">
    <w:nsid w:val="7D0A4452"/>
    <w:multiLevelType w:val="multilevel"/>
    <w:tmpl w:val="F642CA2E"/>
    <w:lvl w:ilvl="0">
      <w:start w:val="1"/>
      <w:numFmt w:val="decimal"/>
      <w:pStyle w:val="ListNumber"/>
      <w:lvlText w:val="%1."/>
      <w:lvlJc w:val="left"/>
      <w:pPr>
        <w:ind w:left="587" w:hanging="360"/>
      </w:pPr>
      <w:rPr>
        <w:rFonts w:cs="Times New Roman" w:hint="default"/>
      </w:rPr>
    </w:lvl>
    <w:lvl w:ilvl="1">
      <w:start w:val="1"/>
      <w:numFmt w:val="decimal"/>
      <w:lvlText w:val="2.%2"/>
      <w:lvlJc w:val="left"/>
      <w:pPr>
        <w:ind w:left="1019" w:hanging="432"/>
      </w:pPr>
      <w:rPr>
        <w:rFonts w:cs="Times New Roman" w:hint="default"/>
      </w:rPr>
    </w:lvl>
    <w:lvl w:ilvl="2">
      <w:start w:val="1"/>
      <w:numFmt w:val="decimal"/>
      <w:lvlText w:val="%1.%2.%3."/>
      <w:lvlJc w:val="left"/>
      <w:pPr>
        <w:ind w:left="1451" w:hanging="504"/>
      </w:pPr>
      <w:rPr>
        <w:rFonts w:cs="Times New Roman" w:hint="default"/>
      </w:rPr>
    </w:lvl>
    <w:lvl w:ilvl="3">
      <w:start w:val="1"/>
      <w:numFmt w:val="decimal"/>
      <w:lvlText w:val="%1.%2.%3.%4."/>
      <w:lvlJc w:val="left"/>
      <w:pPr>
        <w:ind w:left="1955" w:hanging="648"/>
      </w:pPr>
      <w:rPr>
        <w:rFonts w:cs="Times New Roman" w:hint="default"/>
      </w:rPr>
    </w:lvl>
    <w:lvl w:ilvl="4">
      <w:start w:val="1"/>
      <w:numFmt w:val="decimal"/>
      <w:lvlText w:val="%1.%2.%3.%4.%5."/>
      <w:lvlJc w:val="left"/>
      <w:pPr>
        <w:ind w:left="2459" w:hanging="792"/>
      </w:pPr>
      <w:rPr>
        <w:rFonts w:cs="Times New Roman" w:hint="default"/>
      </w:rPr>
    </w:lvl>
    <w:lvl w:ilvl="5">
      <w:start w:val="1"/>
      <w:numFmt w:val="decimal"/>
      <w:lvlText w:val="%1.%2.%3.%4.%5.%6."/>
      <w:lvlJc w:val="left"/>
      <w:pPr>
        <w:ind w:left="2963" w:hanging="936"/>
      </w:pPr>
      <w:rPr>
        <w:rFonts w:cs="Times New Roman" w:hint="default"/>
      </w:rPr>
    </w:lvl>
    <w:lvl w:ilvl="6">
      <w:start w:val="1"/>
      <w:numFmt w:val="decimal"/>
      <w:lvlText w:val="%1.%2.%3.%4.%5.%6.%7."/>
      <w:lvlJc w:val="left"/>
      <w:pPr>
        <w:ind w:left="3467" w:hanging="1080"/>
      </w:pPr>
      <w:rPr>
        <w:rFonts w:cs="Times New Roman" w:hint="default"/>
      </w:rPr>
    </w:lvl>
    <w:lvl w:ilvl="7">
      <w:start w:val="1"/>
      <w:numFmt w:val="decimal"/>
      <w:lvlText w:val="%1.%2.%3.%4.%5.%6.%7.%8."/>
      <w:lvlJc w:val="left"/>
      <w:pPr>
        <w:ind w:left="3971" w:hanging="1224"/>
      </w:pPr>
      <w:rPr>
        <w:rFonts w:cs="Times New Roman" w:hint="default"/>
      </w:rPr>
    </w:lvl>
    <w:lvl w:ilvl="8">
      <w:start w:val="1"/>
      <w:numFmt w:val="decimal"/>
      <w:lvlText w:val="%1.%2.%3.%4.%5.%6.%7.%8.%9."/>
      <w:lvlJc w:val="left"/>
      <w:pPr>
        <w:ind w:left="4547" w:hanging="1440"/>
      </w:pPr>
      <w:rPr>
        <w:rFonts w:cs="Times New Roman" w:hint="default"/>
      </w:rPr>
    </w:lvl>
  </w:abstractNum>
  <w:num w:numId="1">
    <w:abstractNumId w:val="5"/>
  </w:num>
  <w:num w:numId="2">
    <w:abstractNumId w:val="3"/>
  </w:num>
  <w:num w:numId="3">
    <w:abstractNumId w:val="7"/>
  </w:num>
  <w:num w:numId="4">
    <w:abstractNumId w:val="8"/>
  </w:num>
  <w:num w:numId="5">
    <w:abstractNumId w:val="10"/>
  </w:num>
  <w:num w:numId="6">
    <w:abstractNumId w:val="6"/>
  </w:num>
  <w:num w:numId="7">
    <w:abstractNumId w:val="12"/>
  </w:num>
  <w:num w:numId="8">
    <w:abstractNumId w:val="1"/>
  </w:num>
  <w:num w:numId="9">
    <w:abstractNumId w:val="0"/>
  </w:num>
  <w:num w:numId="10">
    <w:abstractNumId w:val="11"/>
  </w:num>
  <w:num w:numId="11">
    <w:abstractNumId w:val="4"/>
  </w:num>
  <w:num w:numId="12">
    <w:abstractNumId w:val="9"/>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removePersonalInformation/>
  <w:removeDateAndTime/>
  <w:hideSpellingErrors/>
  <w:hideGrammaticalErrors/>
  <w:proofState w:spelling="clean" w:grammar="clean"/>
  <w:stylePaneFormatFilter w:val="3F01"/>
  <w:defaultTabStop w:val="227"/>
  <w:drawingGridHorizontalSpacing w:val="100"/>
  <w:displayHorizontalDrawingGridEvery w:val="2"/>
  <w:characterSpacingControl w:val="doNotCompress"/>
  <w:hdrShapeDefaults>
    <o:shapedefaults v:ext="edit" spidmax="174081">
      <o:colormenu v:ext="edit" fillcolor="none [1951]" strokecolor="none [3204]"/>
    </o:shapedefaults>
  </w:hdrShapeDefaults>
  <w:footnotePr>
    <w:footnote w:id="-1"/>
    <w:footnote w:id="0"/>
  </w:footnotePr>
  <w:endnotePr>
    <w:endnote w:id="-1"/>
    <w:endnote w:id="0"/>
  </w:endnotePr>
  <w:compat/>
  <w:rsids>
    <w:rsidRoot w:val="0056742F"/>
    <w:rsid w:val="00000381"/>
    <w:rsid w:val="00002099"/>
    <w:rsid w:val="00002378"/>
    <w:rsid w:val="000024EA"/>
    <w:rsid w:val="000028D9"/>
    <w:rsid w:val="00004AE1"/>
    <w:rsid w:val="000056E2"/>
    <w:rsid w:val="00005AB2"/>
    <w:rsid w:val="00005BEC"/>
    <w:rsid w:val="00006681"/>
    <w:rsid w:val="00007E25"/>
    <w:rsid w:val="00007FDD"/>
    <w:rsid w:val="00016616"/>
    <w:rsid w:val="0001743F"/>
    <w:rsid w:val="000200A4"/>
    <w:rsid w:val="0002261E"/>
    <w:rsid w:val="00023638"/>
    <w:rsid w:val="0002400B"/>
    <w:rsid w:val="000253A5"/>
    <w:rsid w:val="00033967"/>
    <w:rsid w:val="00034107"/>
    <w:rsid w:val="00036335"/>
    <w:rsid w:val="000376C3"/>
    <w:rsid w:val="00037DC7"/>
    <w:rsid w:val="00041C25"/>
    <w:rsid w:val="000436E2"/>
    <w:rsid w:val="000444F5"/>
    <w:rsid w:val="00044722"/>
    <w:rsid w:val="00045C6E"/>
    <w:rsid w:val="00046984"/>
    <w:rsid w:val="000474D4"/>
    <w:rsid w:val="00050097"/>
    <w:rsid w:val="0005121E"/>
    <w:rsid w:val="00051F70"/>
    <w:rsid w:val="00052416"/>
    <w:rsid w:val="000538A0"/>
    <w:rsid w:val="00055578"/>
    <w:rsid w:val="000556D7"/>
    <w:rsid w:val="0005674C"/>
    <w:rsid w:val="00056FAD"/>
    <w:rsid w:val="000615D2"/>
    <w:rsid w:val="00061E6F"/>
    <w:rsid w:val="00062B00"/>
    <w:rsid w:val="00063869"/>
    <w:rsid w:val="00064D8C"/>
    <w:rsid w:val="0006675F"/>
    <w:rsid w:val="00066AF3"/>
    <w:rsid w:val="00071D3B"/>
    <w:rsid w:val="0007212E"/>
    <w:rsid w:val="000763A2"/>
    <w:rsid w:val="00076F5C"/>
    <w:rsid w:val="000801F7"/>
    <w:rsid w:val="00084E55"/>
    <w:rsid w:val="0008555D"/>
    <w:rsid w:val="00085B95"/>
    <w:rsid w:val="00085CE7"/>
    <w:rsid w:val="000871AC"/>
    <w:rsid w:val="0008722B"/>
    <w:rsid w:val="00091DE7"/>
    <w:rsid w:val="00093447"/>
    <w:rsid w:val="00093553"/>
    <w:rsid w:val="00093D3C"/>
    <w:rsid w:val="00094EF2"/>
    <w:rsid w:val="000A0D14"/>
    <w:rsid w:val="000A1A4E"/>
    <w:rsid w:val="000A2292"/>
    <w:rsid w:val="000A2409"/>
    <w:rsid w:val="000A3AF3"/>
    <w:rsid w:val="000A4CEF"/>
    <w:rsid w:val="000A5FB7"/>
    <w:rsid w:val="000A707B"/>
    <w:rsid w:val="000B0A77"/>
    <w:rsid w:val="000B1365"/>
    <w:rsid w:val="000B187A"/>
    <w:rsid w:val="000B2A70"/>
    <w:rsid w:val="000B363A"/>
    <w:rsid w:val="000B5111"/>
    <w:rsid w:val="000B6786"/>
    <w:rsid w:val="000C00BE"/>
    <w:rsid w:val="000C0E21"/>
    <w:rsid w:val="000C140C"/>
    <w:rsid w:val="000C152E"/>
    <w:rsid w:val="000C239F"/>
    <w:rsid w:val="000C45B2"/>
    <w:rsid w:val="000C6B5F"/>
    <w:rsid w:val="000C7B6B"/>
    <w:rsid w:val="000D0B16"/>
    <w:rsid w:val="000D3600"/>
    <w:rsid w:val="000D3A09"/>
    <w:rsid w:val="000D437F"/>
    <w:rsid w:val="000D4EED"/>
    <w:rsid w:val="000D5A18"/>
    <w:rsid w:val="000D5B9F"/>
    <w:rsid w:val="000D6050"/>
    <w:rsid w:val="000D7E1E"/>
    <w:rsid w:val="000E0755"/>
    <w:rsid w:val="000E0CA0"/>
    <w:rsid w:val="000E1DBC"/>
    <w:rsid w:val="000E5398"/>
    <w:rsid w:val="000E7714"/>
    <w:rsid w:val="000F047E"/>
    <w:rsid w:val="000F0BD7"/>
    <w:rsid w:val="000F1AAB"/>
    <w:rsid w:val="000F3757"/>
    <w:rsid w:val="000F6DC4"/>
    <w:rsid w:val="00100776"/>
    <w:rsid w:val="0010118E"/>
    <w:rsid w:val="00102059"/>
    <w:rsid w:val="0010273F"/>
    <w:rsid w:val="00103FF7"/>
    <w:rsid w:val="00105DA6"/>
    <w:rsid w:val="001110FE"/>
    <w:rsid w:val="001131A9"/>
    <w:rsid w:val="00113476"/>
    <w:rsid w:val="0011372A"/>
    <w:rsid w:val="00115763"/>
    <w:rsid w:val="001157B5"/>
    <w:rsid w:val="00116A5F"/>
    <w:rsid w:val="00116CF3"/>
    <w:rsid w:val="00121AB9"/>
    <w:rsid w:val="00124914"/>
    <w:rsid w:val="001265D0"/>
    <w:rsid w:val="00126D38"/>
    <w:rsid w:val="0013062C"/>
    <w:rsid w:val="0013193C"/>
    <w:rsid w:val="001322DF"/>
    <w:rsid w:val="001327EC"/>
    <w:rsid w:val="00132975"/>
    <w:rsid w:val="001352F3"/>
    <w:rsid w:val="00141941"/>
    <w:rsid w:val="00147BBF"/>
    <w:rsid w:val="00147BF7"/>
    <w:rsid w:val="0015153C"/>
    <w:rsid w:val="00152AD6"/>
    <w:rsid w:val="00154217"/>
    <w:rsid w:val="00155313"/>
    <w:rsid w:val="00155E0E"/>
    <w:rsid w:val="00156815"/>
    <w:rsid w:val="001602C4"/>
    <w:rsid w:val="001612AF"/>
    <w:rsid w:val="00161636"/>
    <w:rsid w:val="0016505C"/>
    <w:rsid w:val="00166982"/>
    <w:rsid w:val="00170491"/>
    <w:rsid w:val="001725E2"/>
    <w:rsid w:val="001731D7"/>
    <w:rsid w:val="00173FCC"/>
    <w:rsid w:val="00174E33"/>
    <w:rsid w:val="00177D8E"/>
    <w:rsid w:val="00181D22"/>
    <w:rsid w:val="001828A2"/>
    <w:rsid w:val="001851C3"/>
    <w:rsid w:val="001925DB"/>
    <w:rsid w:val="001928F4"/>
    <w:rsid w:val="0019343A"/>
    <w:rsid w:val="001943C7"/>
    <w:rsid w:val="00194583"/>
    <w:rsid w:val="001947CF"/>
    <w:rsid w:val="00195C4E"/>
    <w:rsid w:val="001975DD"/>
    <w:rsid w:val="001A05CF"/>
    <w:rsid w:val="001A0685"/>
    <w:rsid w:val="001A41CD"/>
    <w:rsid w:val="001A5059"/>
    <w:rsid w:val="001A61C7"/>
    <w:rsid w:val="001A7414"/>
    <w:rsid w:val="001B2250"/>
    <w:rsid w:val="001B2EBB"/>
    <w:rsid w:val="001B6746"/>
    <w:rsid w:val="001B6D4A"/>
    <w:rsid w:val="001C1C3D"/>
    <w:rsid w:val="001C4139"/>
    <w:rsid w:val="001C54C2"/>
    <w:rsid w:val="001C6B08"/>
    <w:rsid w:val="001D1D5C"/>
    <w:rsid w:val="001D2C22"/>
    <w:rsid w:val="001D7325"/>
    <w:rsid w:val="001D7780"/>
    <w:rsid w:val="001E1642"/>
    <w:rsid w:val="001E27AB"/>
    <w:rsid w:val="001E320B"/>
    <w:rsid w:val="001E369E"/>
    <w:rsid w:val="001E48FF"/>
    <w:rsid w:val="001E5571"/>
    <w:rsid w:val="001F3B7D"/>
    <w:rsid w:val="001F6C3C"/>
    <w:rsid w:val="0020276B"/>
    <w:rsid w:val="002034DF"/>
    <w:rsid w:val="00205099"/>
    <w:rsid w:val="002064B0"/>
    <w:rsid w:val="00207883"/>
    <w:rsid w:val="00210EAC"/>
    <w:rsid w:val="00211040"/>
    <w:rsid w:val="00212D84"/>
    <w:rsid w:val="00222D78"/>
    <w:rsid w:val="00227BFE"/>
    <w:rsid w:val="0023178A"/>
    <w:rsid w:val="00231C59"/>
    <w:rsid w:val="002333F8"/>
    <w:rsid w:val="00240EA8"/>
    <w:rsid w:val="00244287"/>
    <w:rsid w:val="002451D1"/>
    <w:rsid w:val="0024585E"/>
    <w:rsid w:val="00245BC9"/>
    <w:rsid w:val="002475B7"/>
    <w:rsid w:val="00250AE3"/>
    <w:rsid w:val="00250C5F"/>
    <w:rsid w:val="002526EC"/>
    <w:rsid w:val="00252B55"/>
    <w:rsid w:val="00254991"/>
    <w:rsid w:val="00256042"/>
    <w:rsid w:val="00260DAF"/>
    <w:rsid w:val="0026162F"/>
    <w:rsid w:val="0026302A"/>
    <w:rsid w:val="002651C6"/>
    <w:rsid w:val="00265F66"/>
    <w:rsid w:val="00266756"/>
    <w:rsid w:val="00266A9C"/>
    <w:rsid w:val="0027031C"/>
    <w:rsid w:val="002715DA"/>
    <w:rsid w:val="00274DF6"/>
    <w:rsid w:val="00275A95"/>
    <w:rsid w:val="00276AD7"/>
    <w:rsid w:val="00277E76"/>
    <w:rsid w:val="002800CB"/>
    <w:rsid w:val="00280787"/>
    <w:rsid w:val="00280D26"/>
    <w:rsid w:val="002814F8"/>
    <w:rsid w:val="0028523F"/>
    <w:rsid w:val="00285B0E"/>
    <w:rsid w:val="002872D2"/>
    <w:rsid w:val="00287C9A"/>
    <w:rsid w:val="00287F3B"/>
    <w:rsid w:val="002902DF"/>
    <w:rsid w:val="00296785"/>
    <w:rsid w:val="00297221"/>
    <w:rsid w:val="002A50C9"/>
    <w:rsid w:val="002B218B"/>
    <w:rsid w:val="002B2968"/>
    <w:rsid w:val="002B2B24"/>
    <w:rsid w:val="002B383D"/>
    <w:rsid w:val="002B40CB"/>
    <w:rsid w:val="002B4D8A"/>
    <w:rsid w:val="002B6E39"/>
    <w:rsid w:val="002C2ADD"/>
    <w:rsid w:val="002C2FCB"/>
    <w:rsid w:val="002C4547"/>
    <w:rsid w:val="002C4690"/>
    <w:rsid w:val="002C5B07"/>
    <w:rsid w:val="002C65EB"/>
    <w:rsid w:val="002C7EDD"/>
    <w:rsid w:val="002D0E7F"/>
    <w:rsid w:val="002D162F"/>
    <w:rsid w:val="002D18B5"/>
    <w:rsid w:val="002D2262"/>
    <w:rsid w:val="002D2B56"/>
    <w:rsid w:val="002D57BA"/>
    <w:rsid w:val="002D647C"/>
    <w:rsid w:val="002D7187"/>
    <w:rsid w:val="002D7487"/>
    <w:rsid w:val="002D7929"/>
    <w:rsid w:val="002D7B19"/>
    <w:rsid w:val="002E002F"/>
    <w:rsid w:val="002E366B"/>
    <w:rsid w:val="002E538C"/>
    <w:rsid w:val="002F0C43"/>
    <w:rsid w:val="002F274C"/>
    <w:rsid w:val="00300AFD"/>
    <w:rsid w:val="0030485D"/>
    <w:rsid w:val="00305BFC"/>
    <w:rsid w:val="00307490"/>
    <w:rsid w:val="00312939"/>
    <w:rsid w:val="00313D58"/>
    <w:rsid w:val="00314684"/>
    <w:rsid w:val="00315490"/>
    <w:rsid w:val="003154BF"/>
    <w:rsid w:val="003219DD"/>
    <w:rsid w:val="003223CE"/>
    <w:rsid w:val="0032343B"/>
    <w:rsid w:val="00324B26"/>
    <w:rsid w:val="00326902"/>
    <w:rsid w:val="00326979"/>
    <w:rsid w:val="003327EA"/>
    <w:rsid w:val="003358AC"/>
    <w:rsid w:val="00336652"/>
    <w:rsid w:val="0034312A"/>
    <w:rsid w:val="00346EBD"/>
    <w:rsid w:val="003515A4"/>
    <w:rsid w:val="00357986"/>
    <w:rsid w:val="0036244A"/>
    <w:rsid w:val="00362AB3"/>
    <w:rsid w:val="00365816"/>
    <w:rsid w:val="00365AED"/>
    <w:rsid w:val="003750A3"/>
    <w:rsid w:val="00380625"/>
    <w:rsid w:val="003810EF"/>
    <w:rsid w:val="00382172"/>
    <w:rsid w:val="00385B91"/>
    <w:rsid w:val="00390B75"/>
    <w:rsid w:val="00390BB8"/>
    <w:rsid w:val="00392EE1"/>
    <w:rsid w:val="003933BD"/>
    <w:rsid w:val="00393DA2"/>
    <w:rsid w:val="00394D96"/>
    <w:rsid w:val="0039750E"/>
    <w:rsid w:val="003A0EC8"/>
    <w:rsid w:val="003A1019"/>
    <w:rsid w:val="003A2E15"/>
    <w:rsid w:val="003A4CA1"/>
    <w:rsid w:val="003A60EC"/>
    <w:rsid w:val="003A6C68"/>
    <w:rsid w:val="003A7748"/>
    <w:rsid w:val="003A7986"/>
    <w:rsid w:val="003B0FF6"/>
    <w:rsid w:val="003B1F01"/>
    <w:rsid w:val="003B2367"/>
    <w:rsid w:val="003B24E5"/>
    <w:rsid w:val="003B2B74"/>
    <w:rsid w:val="003B4D86"/>
    <w:rsid w:val="003B51AD"/>
    <w:rsid w:val="003B6ABC"/>
    <w:rsid w:val="003B6E1C"/>
    <w:rsid w:val="003C0592"/>
    <w:rsid w:val="003C0E8A"/>
    <w:rsid w:val="003C180B"/>
    <w:rsid w:val="003C1D2C"/>
    <w:rsid w:val="003C21EA"/>
    <w:rsid w:val="003C3A54"/>
    <w:rsid w:val="003C4371"/>
    <w:rsid w:val="003C4682"/>
    <w:rsid w:val="003C5701"/>
    <w:rsid w:val="003D3881"/>
    <w:rsid w:val="003D6016"/>
    <w:rsid w:val="003D6DC7"/>
    <w:rsid w:val="003D7C37"/>
    <w:rsid w:val="003E1600"/>
    <w:rsid w:val="003E19C7"/>
    <w:rsid w:val="003E4A91"/>
    <w:rsid w:val="003E737F"/>
    <w:rsid w:val="003F3FF1"/>
    <w:rsid w:val="003F5AB4"/>
    <w:rsid w:val="003F65D1"/>
    <w:rsid w:val="003F6FCF"/>
    <w:rsid w:val="0040281C"/>
    <w:rsid w:val="00402B3D"/>
    <w:rsid w:val="00403163"/>
    <w:rsid w:val="00404110"/>
    <w:rsid w:val="0040477C"/>
    <w:rsid w:val="00404F55"/>
    <w:rsid w:val="004061C4"/>
    <w:rsid w:val="004112F8"/>
    <w:rsid w:val="004117E3"/>
    <w:rsid w:val="00411EAE"/>
    <w:rsid w:val="00412FE7"/>
    <w:rsid w:val="004140A1"/>
    <w:rsid w:val="004147EA"/>
    <w:rsid w:val="004158B2"/>
    <w:rsid w:val="00417AEB"/>
    <w:rsid w:val="00420CE8"/>
    <w:rsid w:val="00421323"/>
    <w:rsid w:val="00422D78"/>
    <w:rsid w:val="00422E6B"/>
    <w:rsid w:val="004259A9"/>
    <w:rsid w:val="00427CF1"/>
    <w:rsid w:val="00427D45"/>
    <w:rsid w:val="00427E7B"/>
    <w:rsid w:val="00430B48"/>
    <w:rsid w:val="0043328A"/>
    <w:rsid w:val="0043466F"/>
    <w:rsid w:val="004351F4"/>
    <w:rsid w:val="0043561E"/>
    <w:rsid w:val="00440924"/>
    <w:rsid w:val="00441667"/>
    <w:rsid w:val="00444C4A"/>
    <w:rsid w:val="004529EB"/>
    <w:rsid w:val="0045458B"/>
    <w:rsid w:val="0045472D"/>
    <w:rsid w:val="004565E4"/>
    <w:rsid w:val="00461BDF"/>
    <w:rsid w:val="00463B72"/>
    <w:rsid w:val="0046407A"/>
    <w:rsid w:val="0046553F"/>
    <w:rsid w:val="00465D86"/>
    <w:rsid w:val="00467928"/>
    <w:rsid w:val="00470C03"/>
    <w:rsid w:val="00470DB4"/>
    <w:rsid w:val="00471BA1"/>
    <w:rsid w:val="00473159"/>
    <w:rsid w:val="00473AFD"/>
    <w:rsid w:val="00473D82"/>
    <w:rsid w:val="00474381"/>
    <w:rsid w:val="00475501"/>
    <w:rsid w:val="00477F7D"/>
    <w:rsid w:val="00483CE1"/>
    <w:rsid w:val="0048501E"/>
    <w:rsid w:val="00485E78"/>
    <w:rsid w:val="00490736"/>
    <w:rsid w:val="004917F3"/>
    <w:rsid w:val="0049567E"/>
    <w:rsid w:val="004959DF"/>
    <w:rsid w:val="004968E0"/>
    <w:rsid w:val="00497AA7"/>
    <w:rsid w:val="004A42A8"/>
    <w:rsid w:val="004A4AF9"/>
    <w:rsid w:val="004B048C"/>
    <w:rsid w:val="004B1CD1"/>
    <w:rsid w:val="004B35FF"/>
    <w:rsid w:val="004B5B88"/>
    <w:rsid w:val="004B5DBD"/>
    <w:rsid w:val="004B6EFE"/>
    <w:rsid w:val="004B7A5A"/>
    <w:rsid w:val="004C2463"/>
    <w:rsid w:val="004C48D4"/>
    <w:rsid w:val="004D05C4"/>
    <w:rsid w:val="004D07C2"/>
    <w:rsid w:val="004D119A"/>
    <w:rsid w:val="004D17D1"/>
    <w:rsid w:val="004D2C17"/>
    <w:rsid w:val="004D304B"/>
    <w:rsid w:val="004D7AF0"/>
    <w:rsid w:val="004D7B61"/>
    <w:rsid w:val="004E27F4"/>
    <w:rsid w:val="004E42E3"/>
    <w:rsid w:val="004E747F"/>
    <w:rsid w:val="004F1530"/>
    <w:rsid w:val="004F36E9"/>
    <w:rsid w:val="004F6A5E"/>
    <w:rsid w:val="00501899"/>
    <w:rsid w:val="00502A3A"/>
    <w:rsid w:val="0050724E"/>
    <w:rsid w:val="005105F3"/>
    <w:rsid w:val="00511C7B"/>
    <w:rsid w:val="00512501"/>
    <w:rsid w:val="0051430B"/>
    <w:rsid w:val="00515ECB"/>
    <w:rsid w:val="00516078"/>
    <w:rsid w:val="00517D7B"/>
    <w:rsid w:val="00520D3F"/>
    <w:rsid w:val="005216F3"/>
    <w:rsid w:val="00523245"/>
    <w:rsid w:val="00525A38"/>
    <w:rsid w:val="005262A7"/>
    <w:rsid w:val="00533D61"/>
    <w:rsid w:val="00534908"/>
    <w:rsid w:val="005431FD"/>
    <w:rsid w:val="005454D1"/>
    <w:rsid w:val="005468DA"/>
    <w:rsid w:val="00547386"/>
    <w:rsid w:val="00547BFC"/>
    <w:rsid w:val="00547DF3"/>
    <w:rsid w:val="00551F23"/>
    <w:rsid w:val="00553F52"/>
    <w:rsid w:val="00554B9D"/>
    <w:rsid w:val="00555F6A"/>
    <w:rsid w:val="00557140"/>
    <w:rsid w:val="005629E6"/>
    <w:rsid w:val="005638B2"/>
    <w:rsid w:val="00564328"/>
    <w:rsid w:val="00564BFD"/>
    <w:rsid w:val="005650CB"/>
    <w:rsid w:val="00566C7E"/>
    <w:rsid w:val="00566E6C"/>
    <w:rsid w:val="0056742F"/>
    <w:rsid w:val="00570050"/>
    <w:rsid w:val="00571D38"/>
    <w:rsid w:val="00573AEF"/>
    <w:rsid w:val="00574519"/>
    <w:rsid w:val="0057560D"/>
    <w:rsid w:val="005806B7"/>
    <w:rsid w:val="00581CC6"/>
    <w:rsid w:val="005828D5"/>
    <w:rsid w:val="0058608E"/>
    <w:rsid w:val="00587ED0"/>
    <w:rsid w:val="00590190"/>
    <w:rsid w:val="00590833"/>
    <w:rsid w:val="005917AA"/>
    <w:rsid w:val="00593D98"/>
    <w:rsid w:val="005963F1"/>
    <w:rsid w:val="005963F5"/>
    <w:rsid w:val="005A1E9F"/>
    <w:rsid w:val="005A1F57"/>
    <w:rsid w:val="005A2923"/>
    <w:rsid w:val="005A32DB"/>
    <w:rsid w:val="005A3794"/>
    <w:rsid w:val="005A7C82"/>
    <w:rsid w:val="005B05A4"/>
    <w:rsid w:val="005B0C65"/>
    <w:rsid w:val="005B102C"/>
    <w:rsid w:val="005B242E"/>
    <w:rsid w:val="005B316B"/>
    <w:rsid w:val="005B4124"/>
    <w:rsid w:val="005B4797"/>
    <w:rsid w:val="005B6206"/>
    <w:rsid w:val="005B7A2D"/>
    <w:rsid w:val="005C1140"/>
    <w:rsid w:val="005C2927"/>
    <w:rsid w:val="005C2BFB"/>
    <w:rsid w:val="005C4164"/>
    <w:rsid w:val="005C42C1"/>
    <w:rsid w:val="005C4655"/>
    <w:rsid w:val="005C625E"/>
    <w:rsid w:val="005C64F7"/>
    <w:rsid w:val="005D0194"/>
    <w:rsid w:val="005D033B"/>
    <w:rsid w:val="005D0509"/>
    <w:rsid w:val="005D0A16"/>
    <w:rsid w:val="005D3145"/>
    <w:rsid w:val="005D3CF5"/>
    <w:rsid w:val="005D46FA"/>
    <w:rsid w:val="005E0ED5"/>
    <w:rsid w:val="005E2FDD"/>
    <w:rsid w:val="005E4815"/>
    <w:rsid w:val="005E5E34"/>
    <w:rsid w:val="005E682C"/>
    <w:rsid w:val="005E79C2"/>
    <w:rsid w:val="005F0570"/>
    <w:rsid w:val="005F0F35"/>
    <w:rsid w:val="005F11D6"/>
    <w:rsid w:val="005F2650"/>
    <w:rsid w:val="005F294E"/>
    <w:rsid w:val="005F67BC"/>
    <w:rsid w:val="005F6E89"/>
    <w:rsid w:val="005F72C2"/>
    <w:rsid w:val="005F77B5"/>
    <w:rsid w:val="005F7EB5"/>
    <w:rsid w:val="0060453B"/>
    <w:rsid w:val="00604ED6"/>
    <w:rsid w:val="006051DB"/>
    <w:rsid w:val="00611A50"/>
    <w:rsid w:val="006136C3"/>
    <w:rsid w:val="00613914"/>
    <w:rsid w:val="00613D61"/>
    <w:rsid w:val="00615797"/>
    <w:rsid w:val="006205AA"/>
    <w:rsid w:val="00620EC5"/>
    <w:rsid w:val="00624298"/>
    <w:rsid w:val="00625E5B"/>
    <w:rsid w:val="00626005"/>
    <w:rsid w:val="00626C4C"/>
    <w:rsid w:val="0062747A"/>
    <w:rsid w:val="00627647"/>
    <w:rsid w:val="00630B6B"/>
    <w:rsid w:val="00631C58"/>
    <w:rsid w:val="00631E28"/>
    <w:rsid w:val="0063387B"/>
    <w:rsid w:val="00635525"/>
    <w:rsid w:val="00635F03"/>
    <w:rsid w:val="00636874"/>
    <w:rsid w:val="0064028C"/>
    <w:rsid w:val="006412EF"/>
    <w:rsid w:val="006428FE"/>
    <w:rsid w:val="00646F5B"/>
    <w:rsid w:val="00647630"/>
    <w:rsid w:val="00654D62"/>
    <w:rsid w:val="0065636E"/>
    <w:rsid w:val="00656BCF"/>
    <w:rsid w:val="006574E2"/>
    <w:rsid w:val="0066002C"/>
    <w:rsid w:val="006625CF"/>
    <w:rsid w:val="00662E69"/>
    <w:rsid w:val="00663741"/>
    <w:rsid w:val="0066470C"/>
    <w:rsid w:val="00665F4E"/>
    <w:rsid w:val="0066601F"/>
    <w:rsid w:val="00666D16"/>
    <w:rsid w:val="006739DE"/>
    <w:rsid w:val="006772F6"/>
    <w:rsid w:val="00677906"/>
    <w:rsid w:val="006831EE"/>
    <w:rsid w:val="00683B2A"/>
    <w:rsid w:val="00687FDF"/>
    <w:rsid w:val="006903DF"/>
    <w:rsid w:val="006927CF"/>
    <w:rsid w:val="00692A2D"/>
    <w:rsid w:val="00692B8E"/>
    <w:rsid w:val="00693E5A"/>
    <w:rsid w:val="0069423D"/>
    <w:rsid w:val="00694B46"/>
    <w:rsid w:val="006953F6"/>
    <w:rsid w:val="00696844"/>
    <w:rsid w:val="006A0402"/>
    <w:rsid w:val="006A26F5"/>
    <w:rsid w:val="006A2B0E"/>
    <w:rsid w:val="006A3530"/>
    <w:rsid w:val="006A3984"/>
    <w:rsid w:val="006A51C2"/>
    <w:rsid w:val="006A76CD"/>
    <w:rsid w:val="006B142B"/>
    <w:rsid w:val="006B1676"/>
    <w:rsid w:val="006B25FF"/>
    <w:rsid w:val="006B7D1A"/>
    <w:rsid w:val="006C00FB"/>
    <w:rsid w:val="006C24C5"/>
    <w:rsid w:val="006C2E2A"/>
    <w:rsid w:val="006D1A1F"/>
    <w:rsid w:val="006D2C58"/>
    <w:rsid w:val="006D3ACB"/>
    <w:rsid w:val="006D58AF"/>
    <w:rsid w:val="006E00F5"/>
    <w:rsid w:val="006E043B"/>
    <w:rsid w:val="006E277A"/>
    <w:rsid w:val="006E327D"/>
    <w:rsid w:val="006E32E9"/>
    <w:rsid w:val="006E645B"/>
    <w:rsid w:val="006F0FAB"/>
    <w:rsid w:val="006F29E2"/>
    <w:rsid w:val="006F2E73"/>
    <w:rsid w:val="006F6A2C"/>
    <w:rsid w:val="006F755B"/>
    <w:rsid w:val="006F795B"/>
    <w:rsid w:val="00701F5B"/>
    <w:rsid w:val="00702ABC"/>
    <w:rsid w:val="0070378D"/>
    <w:rsid w:val="0070434E"/>
    <w:rsid w:val="00704D7E"/>
    <w:rsid w:val="007060C9"/>
    <w:rsid w:val="0070647E"/>
    <w:rsid w:val="007070AA"/>
    <w:rsid w:val="007104C6"/>
    <w:rsid w:val="007104DC"/>
    <w:rsid w:val="007118D7"/>
    <w:rsid w:val="00711986"/>
    <w:rsid w:val="007120A6"/>
    <w:rsid w:val="00712B86"/>
    <w:rsid w:val="00713C4D"/>
    <w:rsid w:val="0071506E"/>
    <w:rsid w:val="00716BB2"/>
    <w:rsid w:val="0072066B"/>
    <w:rsid w:val="007212AA"/>
    <w:rsid w:val="00723DD6"/>
    <w:rsid w:val="00725413"/>
    <w:rsid w:val="007269D5"/>
    <w:rsid w:val="007271EF"/>
    <w:rsid w:val="0072749E"/>
    <w:rsid w:val="007276B6"/>
    <w:rsid w:val="0073019C"/>
    <w:rsid w:val="00730BE4"/>
    <w:rsid w:val="00731236"/>
    <w:rsid w:val="007312DE"/>
    <w:rsid w:val="00731EEA"/>
    <w:rsid w:val="00733582"/>
    <w:rsid w:val="00740F75"/>
    <w:rsid w:val="00741B12"/>
    <w:rsid w:val="00741E4B"/>
    <w:rsid w:val="00742329"/>
    <w:rsid w:val="007439CE"/>
    <w:rsid w:val="00747BDD"/>
    <w:rsid w:val="00747D14"/>
    <w:rsid w:val="007538A2"/>
    <w:rsid w:val="00755A9C"/>
    <w:rsid w:val="007568E3"/>
    <w:rsid w:val="00756A12"/>
    <w:rsid w:val="007604F6"/>
    <w:rsid w:val="00761817"/>
    <w:rsid w:val="00764CF1"/>
    <w:rsid w:val="00764FBD"/>
    <w:rsid w:val="00767BA7"/>
    <w:rsid w:val="007724BD"/>
    <w:rsid w:val="00774D10"/>
    <w:rsid w:val="007809D9"/>
    <w:rsid w:val="00784651"/>
    <w:rsid w:val="00786E42"/>
    <w:rsid w:val="007870F3"/>
    <w:rsid w:val="00790834"/>
    <w:rsid w:val="00790CDE"/>
    <w:rsid w:val="0079284B"/>
    <w:rsid w:val="00792D25"/>
    <w:rsid w:val="00795651"/>
    <w:rsid w:val="007A058E"/>
    <w:rsid w:val="007A31D8"/>
    <w:rsid w:val="007A323C"/>
    <w:rsid w:val="007A6753"/>
    <w:rsid w:val="007A6877"/>
    <w:rsid w:val="007A6EB2"/>
    <w:rsid w:val="007A7DC5"/>
    <w:rsid w:val="007B2120"/>
    <w:rsid w:val="007B2855"/>
    <w:rsid w:val="007B29D4"/>
    <w:rsid w:val="007B320E"/>
    <w:rsid w:val="007B36EB"/>
    <w:rsid w:val="007B46B8"/>
    <w:rsid w:val="007B5238"/>
    <w:rsid w:val="007C39FD"/>
    <w:rsid w:val="007C4212"/>
    <w:rsid w:val="007C5DF6"/>
    <w:rsid w:val="007C6ED1"/>
    <w:rsid w:val="007D0A58"/>
    <w:rsid w:val="007D123D"/>
    <w:rsid w:val="007D2787"/>
    <w:rsid w:val="007D3219"/>
    <w:rsid w:val="007D40F5"/>
    <w:rsid w:val="007E73F9"/>
    <w:rsid w:val="007F046F"/>
    <w:rsid w:val="007F0F3F"/>
    <w:rsid w:val="007F2CA2"/>
    <w:rsid w:val="007F62E2"/>
    <w:rsid w:val="007F72FF"/>
    <w:rsid w:val="007F7361"/>
    <w:rsid w:val="00800A5A"/>
    <w:rsid w:val="00801A63"/>
    <w:rsid w:val="00802D31"/>
    <w:rsid w:val="008048B8"/>
    <w:rsid w:val="008048D4"/>
    <w:rsid w:val="008058D5"/>
    <w:rsid w:val="008060E6"/>
    <w:rsid w:val="00806D63"/>
    <w:rsid w:val="00811598"/>
    <w:rsid w:val="008117A5"/>
    <w:rsid w:val="0081180D"/>
    <w:rsid w:val="0081346D"/>
    <w:rsid w:val="00813848"/>
    <w:rsid w:val="00813D11"/>
    <w:rsid w:val="00815233"/>
    <w:rsid w:val="00815711"/>
    <w:rsid w:val="00815D8D"/>
    <w:rsid w:val="0081619E"/>
    <w:rsid w:val="0081636D"/>
    <w:rsid w:val="00822022"/>
    <w:rsid w:val="00823170"/>
    <w:rsid w:val="00824FD7"/>
    <w:rsid w:val="008268DF"/>
    <w:rsid w:val="00826ADA"/>
    <w:rsid w:val="00831C18"/>
    <w:rsid w:val="00833585"/>
    <w:rsid w:val="00834BAB"/>
    <w:rsid w:val="00841533"/>
    <w:rsid w:val="008417D1"/>
    <w:rsid w:val="00841965"/>
    <w:rsid w:val="00843C2B"/>
    <w:rsid w:val="00843FA9"/>
    <w:rsid w:val="00845FD6"/>
    <w:rsid w:val="008468B2"/>
    <w:rsid w:val="008477D0"/>
    <w:rsid w:val="00847E6F"/>
    <w:rsid w:val="00855023"/>
    <w:rsid w:val="008565DC"/>
    <w:rsid w:val="008565E0"/>
    <w:rsid w:val="00860A5F"/>
    <w:rsid w:val="00861E08"/>
    <w:rsid w:val="00862002"/>
    <w:rsid w:val="00862166"/>
    <w:rsid w:val="00862179"/>
    <w:rsid w:val="0086272D"/>
    <w:rsid w:val="008639A5"/>
    <w:rsid w:val="00864243"/>
    <w:rsid w:val="00864C25"/>
    <w:rsid w:val="0086753F"/>
    <w:rsid w:val="0087190C"/>
    <w:rsid w:val="00872009"/>
    <w:rsid w:val="008735D1"/>
    <w:rsid w:val="00875655"/>
    <w:rsid w:val="00884395"/>
    <w:rsid w:val="008854D6"/>
    <w:rsid w:val="00887A00"/>
    <w:rsid w:val="00887A47"/>
    <w:rsid w:val="00887EE4"/>
    <w:rsid w:val="00892438"/>
    <w:rsid w:val="008948E9"/>
    <w:rsid w:val="00894F45"/>
    <w:rsid w:val="00895899"/>
    <w:rsid w:val="00897000"/>
    <w:rsid w:val="008A26D2"/>
    <w:rsid w:val="008A4E6E"/>
    <w:rsid w:val="008B1B6D"/>
    <w:rsid w:val="008B24CE"/>
    <w:rsid w:val="008B4DAD"/>
    <w:rsid w:val="008B710A"/>
    <w:rsid w:val="008C126C"/>
    <w:rsid w:val="008C2326"/>
    <w:rsid w:val="008C28C6"/>
    <w:rsid w:val="008C2AF6"/>
    <w:rsid w:val="008C70C1"/>
    <w:rsid w:val="008D0470"/>
    <w:rsid w:val="008D04B8"/>
    <w:rsid w:val="008D0671"/>
    <w:rsid w:val="008D0A9C"/>
    <w:rsid w:val="008D1B7F"/>
    <w:rsid w:val="008D21CE"/>
    <w:rsid w:val="008D2C41"/>
    <w:rsid w:val="008D2E70"/>
    <w:rsid w:val="008D5DF3"/>
    <w:rsid w:val="008E0739"/>
    <w:rsid w:val="008E12DD"/>
    <w:rsid w:val="008E53A7"/>
    <w:rsid w:val="008E7376"/>
    <w:rsid w:val="008F45F2"/>
    <w:rsid w:val="008F728F"/>
    <w:rsid w:val="008F77BE"/>
    <w:rsid w:val="009013ED"/>
    <w:rsid w:val="00903D36"/>
    <w:rsid w:val="009056E8"/>
    <w:rsid w:val="0091052B"/>
    <w:rsid w:val="0091250C"/>
    <w:rsid w:val="00912956"/>
    <w:rsid w:val="0091390D"/>
    <w:rsid w:val="00916C5A"/>
    <w:rsid w:val="00916FB9"/>
    <w:rsid w:val="009211DC"/>
    <w:rsid w:val="00923013"/>
    <w:rsid w:val="00931D80"/>
    <w:rsid w:val="00934074"/>
    <w:rsid w:val="009350A4"/>
    <w:rsid w:val="009415B1"/>
    <w:rsid w:val="009419EE"/>
    <w:rsid w:val="0094218A"/>
    <w:rsid w:val="009425E6"/>
    <w:rsid w:val="00943E3C"/>
    <w:rsid w:val="00944CD9"/>
    <w:rsid w:val="00950944"/>
    <w:rsid w:val="00953E12"/>
    <w:rsid w:val="00954F31"/>
    <w:rsid w:val="00957AF7"/>
    <w:rsid w:val="009609E7"/>
    <w:rsid w:val="0096234F"/>
    <w:rsid w:val="00963060"/>
    <w:rsid w:val="00964285"/>
    <w:rsid w:val="009653A9"/>
    <w:rsid w:val="00966C16"/>
    <w:rsid w:val="00967800"/>
    <w:rsid w:val="009711B1"/>
    <w:rsid w:val="009724D3"/>
    <w:rsid w:val="00972D06"/>
    <w:rsid w:val="00973F86"/>
    <w:rsid w:val="00974413"/>
    <w:rsid w:val="009764C7"/>
    <w:rsid w:val="00977341"/>
    <w:rsid w:val="00977B54"/>
    <w:rsid w:val="00981E3B"/>
    <w:rsid w:val="009826FB"/>
    <w:rsid w:val="00982C26"/>
    <w:rsid w:val="00983E64"/>
    <w:rsid w:val="00984E06"/>
    <w:rsid w:val="00985B12"/>
    <w:rsid w:val="0098669C"/>
    <w:rsid w:val="009900E6"/>
    <w:rsid w:val="00991FAB"/>
    <w:rsid w:val="00992FB5"/>
    <w:rsid w:val="0099518C"/>
    <w:rsid w:val="009956D6"/>
    <w:rsid w:val="009958E4"/>
    <w:rsid w:val="009966F3"/>
    <w:rsid w:val="00997D88"/>
    <w:rsid w:val="009A4FC5"/>
    <w:rsid w:val="009A7D3C"/>
    <w:rsid w:val="009B2203"/>
    <w:rsid w:val="009B35E1"/>
    <w:rsid w:val="009B3E18"/>
    <w:rsid w:val="009B3F16"/>
    <w:rsid w:val="009B43E1"/>
    <w:rsid w:val="009B4A0B"/>
    <w:rsid w:val="009B5379"/>
    <w:rsid w:val="009B5A37"/>
    <w:rsid w:val="009B6ADC"/>
    <w:rsid w:val="009B7599"/>
    <w:rsid w:val="009C08A4"/>
    <w:rsid w:val="009C12A0"/>
    <w:rsid w:val="009C179A"/>
    <w:rsid w:val="009C1E4E"/>
    <w:rsid w:val="009C1EE0"/>
    <w:rsid w:val="009C3DD6"/>
    <w:rsid w:val="009C6883"/>
    <w:rsid w:val="009C780E"/>
    <w:rsid w:val="009C7A38"/>
    <w:rsid w:val="009D1CAA"/>
    <w:rsid w:val="009D2F0F"/>
    <w:rsid w:val="009D567E"/>
    <w:rsid w:val="009D58C8"/>
    <w:rsid w:val="009E0B22"/>
    <w:rsid w:val="009E274B"/>
    <w:rsid w:val="009E2BA8"/>
    <w:rsid w:val="009E3446"/>
    <w:rsid w:val="009E762E"/>
    <w:rsid w:val="009F05E3"/>
    <w:rsid w:val="009F0783"/>
    <w:rsid w:val="009F17F1"/>
    <w:rsid w:val="009F5B09"/>
    <w:rsid w:val="009F6262"/>
    <w:rsid w:val="00A00276"/>
    <w:rsid w:val="00A004A5"/>
    <w:rsid w:val="00A00A1F"/>
    <w:rsid w:val="00A00D79"/>
    <w:rsid w:val="00A00EB4"/>
    <w:rsid w:val="00A015CF"/>
    <w:rsid w:val="00A02228"/>
    <w:rsid w:val="00A042B4"/>
    <w:rsid w:val="00A049AD"/>
    <w:rsid w:val="00A059E0"/>
    <w:rsid w:val="00A0687A"/>
    <w:rsid w:val="00A06F53"/>
    <w:rsid w:val="00A11F7B"/>
    <w:rsid w:val="00A14961"/>
    <w:rsid w:val="00A1542F"/>
    <w:rsid w:val="00A1605D"/>
    <w:rsid w:val="00A1610E"/>
    <w:rsid w:val="00A163CD"/>
    <w:rsid w:val="00A21731"/>
    <w:rsid w:val="00A2175F"/>
    <w:rsid w:val="00A21CFA"/>
    <w:rsid w:val="00A2211C"/>
    <w:rsid w:val="00A22C69"/>
    <w:rsid w:val="00A2365C"/>
    <w:rsid w:val="00A24590"/>
    <w:rsid w:val="00A35E0F"/>
    <w:rsid w:val="00A42059"/>
    <w:rsid w:val="00A439A5"/>
    <w:rsid w:val="00A45974"/>
    <w:rsid w:val="00A54577"/>
    <w:rsid w:val="00A5471D"/>
    <w:rsid w:val="00A577B5"/>
    <w:rsid w:val="00A60F0F"/>
    <w:rsid w:val="00A63D6A"/>
    <w:rsid w:val="00A64BCC"/>
    <w:rsid w:val="00A65C4B"/>
    <w:rsid w:val="00A66D04"/>
    <w:rsid w:val="00A70457"/>
    <w:rsid w:val="00A70F13"/>
    <w:rsid w:val="00A71F90"/>
    <w:rsid w:val="00A74835"/>
    <w:rsid w:val="00A75BFE"/>
    <w:rsid w:val="00A77AF9"/>
    <w:rsid w:val="00A8111F"/>
    <w:rsid w:val="00A8396C"/>
    <w:rsid w:val="00A90587"/>
    <w:rsid w:val="00A9068E"/>
    <w:rsid w:val="00A909DA"/>
    <w:rsid w:val="00A91C6B"/>
    <w:rsid w:val="00A925C6"/>
    <w:rsid w:val="00A927CC"/>
    <w:rsid w:val="00A945AC"/>
    <w:rsid w:val="00A95CEE"/>
    <w:rsid w:val="00A966D4"/>
    <w:rsid w:val="00AA0464"/>
    <w:rsid w:val="00AA0C06"/>
    <w:rsid w:val="00AA1428"/>
    <w:rsid w:val="00AA482B"/>
    <w:rsid w:val="00AA6229"/>
    <w:rsid w:val="00AA6617"/>
    <w:rsid w:val="00AA7AD6"/>
    <w:rsid w:val="00AB008F"/>
    <w:rsid w:val="00AB082A"/>
    <w:rsid w:val="00AB19E1"/>
    <w:rsid w:val="00AB1BB2"/>
    <w:rsid w:val="00AB1C10"/>
    <w:rsid w:val="00AB5A12"/>
    <w:rsid w:val="00AB657B"/>
    <w:rsid w:val="00AB6B3E"/>
    <w:rsid w:val="00AC20A4"/>
    <w:rsid w:val="00AC38C6"/>
    <w:rsid w:val="00AC4FD0"/>
    <w:rsid w:val="00AC6592"/>
    <w:rsid w:val="00AC66C4"/>
    <w:rsid w:val="00AC7B56"/>
    <w:rsid w:val="00AD0184"/>
    <w:rsid w:val="00AD0883"/>
    <w:rsid w:val="00AD0951"/>
    <w:rsid w:val="00AD1AFF"/>
    <w:rsid w:val="00AD407E"/>
    <w:rsid w:val="00AD5E28"/>
    <w:rsid w:val="00AD6485"/>
    <w:rsid w:val="00AD7A09"/>
    <w:rsid w:val="00AD7F4F"/>
    <w:rsid w:val="00AE36A0"/>
    <w:rsid w:val="00AE470C"/>
    <w:rsid w:val="00AE4CB5"/>
    <w:rsid w:val="00AE6007"/>
    <w:rsid w:val="00AE70C5"/>
    <w:rsid w:val="00AE7B2B"/>
    <w:rsid w:val="00AF0193"/>
    <w:rsid w:val="00AF0701"/>
    <w:rsid w:val="00AF2563"/>
    <w:rsid w:val="00AF5274"/>
    <w:rsid w:val="00B00BAE"/>
    <w:rsid w:val="00B0162A"/>
    <w:rsid w:val="00B018FF"/>
    <w:rsid w:val="00B019F8"/>
    <w:rsid w:val="00B03084"/>
    <w:rsid w:val="00B031CE"/>
    <w:rsid w:val="00B10897"/>
    <w:rsid w:val="00B12D77"/>
    <w:rsid w:val="00B13BED"/>
    <w:rsid w:val="00B16179"/>
    <w:rsid w:val="00B168A7"/>
    <w:rsid w:val="00B16EDA"/>
    <w:rsid w:val="00B23D78"/>
    <w:rsid w:val="00B30DAB"/>
    <w:rsid w:val="00B335D6"/>
    <w:rsid w:val="00B3445F"/>
    <w:rsid w:val="00B36D64"/>
    <w:rsid w:val="00B37B23"/>
    <w:rsid w:val="00B37F63"/>
    <w:rsid w:val="00B40C48"/>
    <w:rsid w:val="00B41E32"/>
    <w:rsid w:val="00B43000"/>
    <w:rsid w:val="00B43286"/>
    <w:rsid w:val="00B45878"/>
    <w:rsid w:val="00B46BB0"/>
    <w:rsid w:val="00B473CB"/>
    <w:rsid w:val="00B50484"/>
    <w:rsid w:val="00B52695"/>
    <w:rsid w:val="00B5312A"/>
    <w:rsid w:val="00B61A29"/>
    <w:rsid w:val="00B61A33"/>
    <w:rsid w:val="00B631B8"/>
    <w:rsid w:val="00B647A3"/>
    <w:rsid w:val="00B66AB0"/>
    <w:rsid w:val="00B70881"/>
    <w:rsid w:val="00B714DD"/>
    <w:rsid w:val="00B728CD"/>
    <w:rsid w:val="00B731F9"/>
    <w:rsid w:val="00B73525"/>
    <w:rsid w:val="00B74709"/>
    <w:rsid w:val="00B75DCA"/>
    <w:rsid w:val="00B75E0B"/>
    <w:rsid w:val="00B768E5"/>
    <w:rsid w:val="00B77E22"/>
    <w:rsid w:val="00B80481"/>
    <w:rsid w:val="00B808B3"/>
    <w:rsid w:val="00B80E4E"/>
    <w:rsid w:val="00B82937"/>
    <w:rsid w:val="00B82D40"/>
    <w:rsid w:val="00B85E5D"/>
    <w:rsid w:val="00B87C0C"/>
    <w:rsid w:val="00B93EB5"/>
    <w:rsid w:val="00B94898"/>
    <w:rsid w:val="00B94AB4"/>
    <w:rsid w:val="00B951F4"/>
    <w:rsid w:val="00B97629"/>
    <w:rsid w:val="00BA2E31"/>
    <w:rsid w:val="00BA5DDC"/>
    <w:rsid w:val="00BB07ED"/>
    <w:rsid w:val="00BB0D75"/>
    <w:rsid w:val="00BB11C5"/>
    <w:rsid w:val="00BB2BB9"/>
    <w:rsid w:val="00BB3301"/>
    <w:rsid w:val="00BB4327"/>
    <w:rsid w:val="00BB474F"/>
    <w:rsid w:val="00BB4FED"/>
    <w:rsid w:val="00BB6AFA"/>
    <w:rsid w:val="00BC162E"/>
    <w:rsid w:val="00BC31DF"/>
    <w:rsid w:val="00BC3C47"/>
    <w:rsid w:val="00BC44CA"/>
    <w:rsid w:val="00BD01E5"/>
    <w:rsid w:val="00BD08B9"/>
    <w:rsid w:val="00BD19D7"/>
    <w:rsid w:val="00BD4518"/>
    <w:rsid w:val="00BD6203"/>
    <w:rsid w:val="00BD679E"/>
    <w:rsid w:val="00BD7404"/>
    <w:rsid w:val="00BD7DF0"/>
    <w:rsid w:val="00BE41AB"/>
    <w:rsid w:val="00BE4FF5"/>
    <w:rsid w:val="00BE574C"/>
    <w:rsid w:val="00BE7C8D"/>
    <w:rsid w:val="00BF1227"/>
    <w:rsid w:val="00BF2806"/>
    <w:rsid w:val="00BF2A40"/>
    <w:rsid w:val="00BF503F"/>
    <w:rsid w:val="00BF71BD"/>
    <w:rsid w:val="00C02705"/>
    <w:rsid w:val="00C037F0"/>
    <w:rsid w:val="00C03E3D"/>
    <w:rsid w:val="00C05015"/>
    <w:rsid w:val="00C06A24"/>
    <w:rsid w:val="00C06AF0"/>
    <w:rsid w:val="00C07F09"/>
    <w:rsid w:val="00C07FA5"/>
    <w:rsid w:val="00C12420"/>
    <w:rsid w:val="00C136A6"/>
    <w:rsid w:val="00C14010"/>
    <w:rsid w:val="00C14FAB"/>
    <w:rsid w:val="00C17ACA"/>
    <w:rsid w:val="00C2278B"/>
    <w:rsid w:val="00C30EBC"/>
    <w:rsid w:val="00C31674"/>
    <w:rsid w:val="00C32BB9"/>
    <w:rsid w:val="00C356A1"/>
    <w:rsid w:val="00C368BD"/>
    <w:rsid w:val="00C41EB5"/>
    <w:rsid w:val="00C41F08"/>
    <w:rsid w:val="00C43590"/>
    <w:rsid w:val="00C451A4"/>
    <w:rsid w:val="00C4724A"/>
    <w:rsid w:val="00C506C6"/>
    <w:rsid w:val="00C52615"/>
    <w:rsid w:val="00C53B1A"/>
    <w:rsid w:val="00C53FAB"/>
    <w:rsid w:val="00C54236"/>
    <w:rsid w:val="00C56C61"/>
    <w:rsid w:val="00C61587"/>
    <w:rsid w:val="00C65146"/>
    <w:rsid w:val="00C6618D"/>
    <w:rsid w:val="00C67667"/>
    <w:rsid w:val="00C7146D"/>
    <w:rsid w:val="00C714EF"/>
    <w:rsid w:val="00C77211"/>
    <w:rsid w:val="00C77695"/>
    <w:rsid w:val="00C81F6E"/>
    <w:rsid w:val="00C82C70"/>
    <w:rsid w:val="00C832CC"/>
    <w:rsid w:val="00C84304"/>
    <w:rsid w:val="00C8536B"/>
    <w:rsid w:val="00C85AA2"/>
    <w:rsid w:val="00C9208F"/>
    <w:rsid w:val="00C93C1A"/>
    <w:rsid w:val="00C95AFB"/>
    <w:rsid w:val="00C97735"/>
    <w:rsid w:val="00CA126E"/>
    <w:rsid w:val="00CA220A"/>
    <w:rsid w:val="00CA3EFC"/>
    <w:rsid w:val="00CA3F57"/>
    <w:rsid w:val="00CA4AC4"/>
    <w:rsid w:val="00CA5247"/>
    <w:rsid w:val="00CA5E2B"/>
    <w:rsid w:val="00CA7DFE"/>
    <w:rsid w:val="00CB3462"/>
    <w:rsid w:val="00CB36A0"/>
    <w:rsid w:val="00CB3BF3"/>
    <w:rsid w:val="00CB49B9"/>
    <w:rsid w:val="00CB53C6"/>
    <w:rsid w:val="00CB5CCE"/>
    <w:rsid w:val="00CB7BEB"/>
    <w:rsid w:val="00CC019A"/>
    <w:rsid w:val="00CC18A6"/>
    <w:rsid w:val="00CC1B70"/>
    <w:rsid w:val="00CC3EC7"/>
    <w:rsid w:val="00CC5C6A"/>
    <w:rsid w:val="00CC6D1B"/>
    <w:rsid w:val="00CD0BE3"/>
    <w:rsid w:val="00CD2B06"/>
    <w:rsid w:val="00CD6E98"/>
    <w:rsid w:val="00CE4987"/>
    <w:rsid w:val="00CE614F"/>
    <w:rsid w:val="00CF1217"/>
    <w:rsid w:val="00CF22D8"/>
    <w:rsid w:val="00CF235C"/>
    <w:rsid w:val="00CF273B"/>
    <w:rsid w:val="00CF2987"/>
    <w:rsid w:val="00CF3314"/>
    <w:rsid w:val="00CF723B"/>
    <w:rsid w:val="00D0089B"/>
    <w:rsid w:val="00D00C35"/>
    <w:rsid w:val="00D020E7"/>
    <w:rsid w:val="00D0267D"/>
    <w:rsid w:val="00D05ABC"/>
    <w:rsid w:val="00D0751D"/>
    <w:rsid w:val="00D07F24"/>
    <w:rsid w:val="00D11089"/>
    <w:rsid w:val="00D151E7"/>
    <w:rsid w:val="00D16B83"/>
    <w:rsid w:val="00D17961"/>
    <w:rsid w:val="00D21ED9"/>
    <w:rsid w:val="00D24301"/>
    <w:rsid w:val="00D316C1"/>
    <w:rsid w:val="00D316E4"/>
    <w:rsid w:val="00D32F7B"/>
    <w:rsid w:val="00D33227"/>
    <w:rsid w:val="00D33AFD"/>
    <w:rsid w:val="00D34793"/>
    <w:rsid w:val="00D3570F"/>
    <w:rsid w:val="00D364C5"/>
    <w:rsid w:val="00D37477"/>
    <w:rsid w:val="00D40576"/>
    <w:rsid w:val="00D4186C"/>
    <w:rsid w:val="00D4187F"/>
    <w:rsid w:val="00D41BEC"/>
    <w:rsid w:val="00D41CD3"/>
    <w:rsid w:val="00D4375E"/>
    <w:rsid w:val="00D5274C"/>
    <w:rsid w:val="00D53906"/>
    <w:rsid w:val="00D54800"/>
    <w:rsid w:val="00D570E4"/>
    <w:rsid w:val="00D57B05"/>
    <w:rsid w:val="00D61409"/>
    <w:rsid w:val="00D61D71"/>
    <w:rsid w:val="00D626D4"/>
    <w:rsid w:val="00D64152"/>
    <w:rsid w:val="00D64DA7"/>
    <w:rsid w:val="00D658F3"/>
    <w:rsid w:val="00D6627D"/>
    <w:rsid w:val="00D66CFC"/>
    <w:rsid w:val="00D740BA"/>
    <w:rsid w:val="00D744D9"/>
    <w:rsid w:val="00D76374"/>
    <w:rsid w:val="00D77B14"/>
    <w:rsid w:val="00D80927"/>
    <w:rsid w:val="00D85679"/>
    <w:rsid w:val="00D9090B"/>
    <w:rsid w:val="00D90D5D"/>
    <w:rsid w:val="00D911E5"/>
    <w:rsid w:val="00D9160D"/>
    <w:rsid w:val="00D9429C"/>
    <w:rsid w:val="00D9671C"/>
    <w:rsid w:val="00D969DE"/>
    <w:rsid w:val="00D96F35"/>
    <w:rsid w:val="00D97E2D"/>
    <w:rsid w:val="00D97EF3"/>
    <w:rsid w:val="00DA3393"/>
    <w:rsid w:val="00DB0315"/>
    <w:rsid w:val="00DB076F"/>
    <w:rsid w:val="00DB0CBB"/>
    <w:rsid w:val="00DB1736"/>
    <w:rsid w:val="00DB227A"/>
    <w:rsid w:val="00DB2A5F"/>
    <w:rsid w:val="00DB6E63"/>
    <w:rsid w:val="00DB79DE"/>
    <w:rsid w:val="00DC2D94"/>
    <w:rsid w:val="00DC3019"/>
    <w:rsid w:val="00DC36B8"/>
    <w:rsid w:val="00DC4D5D"/>
    <w:rsid w:val="00DC4EB4"/>
    <w:rsid w:val="00DC537D"/>
    <w:rsid w:val="00DC543E"/>
    <w:rsid w:val="00DC5939"/>
    <w:rsid w:val="00DC6406"/>
    <w:rsid w:val="00DD037F"/>
    <w:rsid w:val="00DD292B"/>
    <w:rsid w:val="00DD33D9"/>
    <w:rsid w:val="00DE1440"/>
    <w:rsid w:val="00DE1EEC"/>
    <w:rsid w:val="00DE29B3"/>
    <w:rsid w:val="00DF2B2C"/>
    <w:rsid w:val="00DF3CD3"/>
    <w:rsid w:val="00DF5055"/>
    <w:rsid w:val="00DF658D"/>
    <w:rsid w:val="00DF7932"/>
    <w:rsid w:val="00E01F6B"/>
    <w:rsid w:val="00E05464"/>
    <w:rsid w:val="00E1145D"/>
    <w:rsid w:val="00E121E9"/>
    <w:rsid w:val="00E12850"/>
    <w:rsid w:val="00E13BEE"/>
    <w:rsid w:val="00E14733"/>
    <w:rsid w:val="00E157BC"/>
    <w:rsid w:val="00E162DD"/>
    <w:rsid w:val="00E16C17"/>
    <w:rsid w:val="00E200BC"/>
    <w:rsid w:val="00E20F1B"/>
    <w:rsid w:val="00E23F78"/>
    <w:rsid w:val="00E24E9A"/>
    <w:rsid w:val="00E26D53"/>
    <w:rsid w:val="00E27028"/>
    <w:rsid w:val="00E27048"/>
    <w:rsid w:val="00E304C2"/>
    <w:rsid w:val="00E30C76"/>
    <w:rsid w:val="00E337EF"/>
    <w:rsid w:val="00E37005"/>
    <w:rsid w:val="00E37BB2"/>
    <w:rsid w:val="00E40318"/>
    <w:rsid w:val="00E41B69"/>
    <w:rsid w:val="00E41BA3"/>
    <w:rsid w:val="00E43335"/>
    <w:rsid w:val="00E4426A"/>
    <w:rsid w:val="00E44B43"/>
    <w:rsid w:val="00E4768F"/>
    <w:rsid w:val="00E50464"/>
    <w:rsid w:val="00E5176E"/>
    <w:rsid w:val="00E53411"/>
    <w:rsid w:val="00E56DC5"/>
    <w:rsid w:val="00E5787D"/>
    <w:rsid w:val="00E6014F"/>
    <w:rsid w:val="00E61CE4"/>
    <w:rsid w:val="00E64E18"/>
    <w:rsid w:val="00E67844"/>
    <w:rsid w:val="00E704F1"/>
    <w:rsid w:val="00E7173B"/>
    <w:rsid w:val="00E74085"/>
    <w:rsid w:val="00E745B1"/>
    <w:rsid w:val="00E74D91"/>
    <w:rsid w:val="00E74E68"/>
    <w:rsid w:val="00E76AA5"/>
    <w:rsid w:val="00E76AB6"/>
    <w:rsid w:val="00E818C2"/>
    <w:rsid w:val="00E83519"/>
    <w:rsid w:val="00E85359"/>
    <w:rsid w:val="00E8580B"/>
    <w:rsid w:val="00E85A81"/>
    <w:rsid w:val="00E91B47"/>
    <w:rsid w:val="00E928A2"/>
    <w:rsid w:val="00E930D0"/>
    <w:rsid w:val="00E948B0"/>
    <w:rsid w:val="00E964E5"/>
    <w:rsid w:val="00EA0C44"/>
    <w:rsid w:val="00EA1365"/>
    <w:rsid w:val="00EA1FD4"/>
    <w:rsid w:val="00EA202C"/>
    <w:rsid w:val="00EA3217"/>
    <w:rsid w:val="00EA333A"/>
    <w:rsid w:val="00EA46F3"/>
    <w:rsid w:val="00EA4DD4"/>
    <w:rsid w:val="00EA4F92"/>
    <w:rsid w:val="00EA56E8"/>
    <w:rsid w:val="00EB018F"/>
    <w:rsid w:val="00EB3256"/>
    <w:rsid w:val="00EB4111"/>
    <w:rsid w:val="00EB72FA"/>
    <w:rsid w:val="00EB74E9"/>
    <w:rsid w:val="00EB7608"/>
    <w:rsid w:val="00EC1082"/>
    <w:rsid w:val="00EC281A"/>
    <w:rsid w:val="00EC4440"/>
    <w:rsid w:val="00EC6443"/>
    <w:rsid w:val="00EC64D1"/>
    <w:rsid w:val="00ED55AA"/>
    <w:rsid w:val="00ED5A21"/>
    <w:rsid w:val="00ED5A75"/>
    <w:rsid w:val="00EE0303"/>
    <w:rsid w:val="00EE0397"/>
    <w:rsid w:val="00EE0F6C"/>
    <w:rsid w:val="00EE11DA"/>
    <w:rsid w:val="00EF01F3"/>
    <w:rsid w:val="00EF0591"/>
    <w:rsid w:val="00EF4083"/>
    <w:rsid w:val="00EF432E"/>
    <w:rsid w:val="00EF4558"/>
    <w:rsid w:val="00EF59D9"/>
    <w:rsid w:val="00EF6D91"/>
    <w:rsid w:val="00EF7FD6"/>
    <w:rsid w:val="00F01269"/>
    <w:rsid w:val="00F0137F"/>
    <w:rsid w:val="00F07E05"/>
    <w:rsid w:val="00F121F0"/>
    <w:rsid w:val="00F14BC8"/>
    <w:rsid w:val="00F20032"/>
    <w:rsid w:val="00F21AA1"/>
    <w:rsid w:val="00F25336"/>
    <w:rsid w:val="00F30212"/>
    <w:rsid w:val="00F33DF0"/>
    <w:rsid w:val="00F347D7"/>
    <w:rsid w:val="00F34F3D"/>
    <w:rsid w:val="00F3519D"/>
    <w:rsid w:val="00F3608E"/>
    <w:rsid w:val="00F45AB6"/>
    <w:rsid w:val="00F45F3E"/>
    <w:rsid w:val="00F46348"/>
    <w:rsid w:val="00F50891"/>
    <w:rsid w:val="00F50A30"/>
    <w:rsid w:val="00F5470E"/>
    <w:rsid w:val="00F561A2"/>
    <w:rsid w:val="00F56CB9"/>
    <w:rsid w:val="00F60C8A"/>
    <w:rsid w:val="00F619CC"/>
    <w:rsid w:val="00F65CD4"/>
    <w:rsid w:val="00F672FE"/>
    <w:rsid w:val="00F67883"/>
    <w:rsid w:val="00F700DC"/>
    <w:rsid w:val="00F70643"/>
    <w:rsid w:val="00F70703"/>
    <w:rsid w:val="00F714DA"/>
    <w:rsid w:val="00F719EA"/>
    <w:rsid w:val="00F71ECD"/>
    <w:rsid w:val="00F732D1"/>
    <w:rsid w:val="00F74886"/>
    <w:rsid w:val="00F75338"/>
    <w:rsid w:val="00F75D35"/>
    <w:rsid w:val="00F765E9"/>
    <w:rsid w:val="00F77C39"/>
    <w:rsid w:val="00F77E53"/>
    <w:rsid w:val="00F80033"/>
    <w:rsid w:val="00F80C83"/>
    <w:rsid w:val="00F81A1D"/>
    <w:rsid w:val="00F82717"/>
    <w:rsid w:val="00F83904"/>
    <w:rsid w:val="00F87261"/>
    <w:rsid w:val="00F8755F"/>
    <w:rsid w:val="00F90B5A"/>
    <w:rsid w:val="00F9140D"/>
    <w:rsid w:val="00F92A73"/>
    <w:rsid w:val="00F92E79"/>
    <w:rsid w:val="00F9368B"/>
    <w:rsid w:val="00F95497"/>
    <w:rsid w:val="00F95A50"/>
    <w:rsid w:val="00F97211"/>
    <w:rsid w:val="00FA01A9"/>
    <w:rsid w:val="00FA10EC"/>
    <w:rsid w:val="00FA70A5"/>
    <w:rsid w:val="00FB2176"/>
    <w:rsid w:val="00FB2185"/>
    <w:rsid w:val="00FB24FE"/>
    <w:rsid w:val="00FB45A7"/>
    <w:rsid w:val="00FB7928"/>
    <w:rsid w:val="00FC264E"/>
    <w:rsid w:val="00FC4F6E"/>
    <w:rsid w:val="00FC619B"/>
    <w:rsid w:val="00FC6370"/>
    <w:rsid w:val="00FD0BFB"/>
    <w:rsid w:val="00FD2006"/>
    <w:rsid w:val="00FD219A"/>
    <w:rsid w:val="00FD2D85"/>
    <w:rsid w:val="00FD337C"/>
    <w:rsid w:val="00FD5D82"/>
    <w:rsid w:val="00FD6C45"/>
    <w:rsid w:val="00FE2436"/>
    <w:rsid w:val="00FE31CF"/>
    <w:rsid w:val="00FE4CB9"/>
    <w:rsid w:val="00FE65CB"/>
    <w:rsid w:val="00FE6667"/>
    <w:rsid w:val="00FE799E"/>
    <w:rsid w:val="00FF06CB"/>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081">
      <o:colormenu v:ext="edit" fillcolor="none [1951]" strokecolor="none [320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lsdException w:name="annotation text" w:locked="1"/>
    <w:lsdException w:name="header" w:locked="1" w:uiPriority="0"/>
    <w:lsdException w:name="footer" w:locked="1"/>
    <w:lsdException w:name="index heading" w:semiHidden="1" w:unhideWhenUsed="1"/>
    <w:lsdException w:name="caption" w:locked="1" w:qFormat="1"/>
    <w:lsdException w:name="table of figures" w:semiHidden="1" w:unhideWhenUsed="1" w:qFormat="1"/>
    <w:lsdException w:name="envelope address" w:semiHidden="1" w:unhideWhenUsed="1"/>
    <w:lsdException w:name="envelope return" w:semiHidden="1" w:unhideWhenUsed="1"/>
    <w:lsdException w:name="footnote reference" w:lock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locked="1"/>
    <w:lsdException w:name="HTML Acronym" w:locked="1" w:uiPriority="0"/>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3F65D1"/>
    <w:pPr>
      <w:spacing w:after="220"/>
      <w:jc w:val="both"/>
    </w:pPr>
    <w:rPr>
      <w:rFonts w:ascii="Calibri" w:hAnsi="Calibri"/>
    </w:rPr>
  </w:style>
  <w:style w:type="paragraph" w:styleId="Heading1">
    <w:name w:val="heading 1"/>
    <w:basedOn w:val="Para0"/>
    <w:next w:val="Para0"/>
    <w:link w:val="Heading1Char"/>
    <w:qFormat/>
    <w:rsid w:val="0065636E"/>
    <w:pPr>
      <w:keepNext/>
      <w:numPr>
        <w:numId w:val="2"/>
      </w:numPr>
      <w:spacing w:before="240" w:after="240" w:line="240" w:lineRule="auto"/>
      <w:outlineLvl w:val="0"/>
    </w:pPr>
    <w:rPr>
      <w:rFonts w:ascii="Calibri" w:hAnsi="Calibri"/>
      <w:b/>
      <w:color w:val="auto"/>
      <w:sz w:val="42"/>
    </w:rPr>
  </w:style>
  <w:style w:type="paragraph" w:styleId="Heading2">
    <w:name w:val="heading 2"/>
    <w:basedOn w:val="Heading1"/>
    <w:next w:val="Para0"/>
    <w:link w:val="Heading2Char"/>
    <w:qFormat/>
    <w:rsid w:val="003F65D1"/>
    <w:pPr>
      <w:numPr>
        <w:ilvl w:val="1"/>
      </w:numPr>
      <w:jc w:val="left"/>
      <w:outlineLvl w:val="1"/>
    </w:pPr>
    <w:rPr>
      <w:rFonts w:cs="Calibri"/>
      <w:sz w:val="24"/>
      <w:szCs w:val="24"/>
    </w:rPr>
  </w:style>
  <w:style w:type="paragraph" w:styleId="Heading3">
    <w:name w:val="heading 3"/>
    <w:basedOn w:val="Heading2"/>
    <w:next w:val="Para0"/>
    <w:link w:val="Heading3Char"/>
    <w:qFormat/>
    <w:rsid w:val="003F65D1"/>
    <w:pPr>
      <w:numPr>
        <w:ilvl w:val="2"/>
      </w:numPr>
      <w:spacing w:after="120"/>
      <w:ind w:left="360" w:hanging="360"/>
      <w:outlineLvl w:val="2"/>
    </w:pPr>
    <w:rPr>
      <w:szCs w:val="22"/>
    </w:rPr>
  </w:style>
  <w:style w:type="paragraph" w:styleId="Heading4">
    <w:name w:val="heading 4"/>
    <w:basedOn w:val="Heading3"/>
    <w:next w:val="Para0"/>
    <w:link w:val="Heading4Char"/>
    <w:qFormat/>
    <w:rsid w:val="003F65D1"/>
    <w:pPr>
      <w:numPr>
        <w:ilvl w:val="3"/>
      </w:numPr>
      <w:ind w:left="993" w:hanging="993"/>
      <w:outlineLvl w:val="3"/>
    </w:pPr>
  </w:style>
  <w:style w:type="paragraph" w:styleId="Heading5">
    <w:name w:val="heading 5"/>
    <w:basedOn w:val="Heading4"/>
    <w:next w:val="Para0"/>
    <w:link w:val="Heading5Char"/>
    <w:qFormat/>
    <w:rsid w:val="003F65D1"/>
    <w:pPr>
      <w:numPr>
        <w:ilvl w:val="4"/>
      </w:numPr>
      <w:ind w:left="1134" w:hanging="1134"/>
      <w:outlineLvl w:val="4"/>
    </w:pPr>
  </w:style>
  <w:style w:type="paragraph" w:styleId="Heading6">
    <w:name w:val="heading 6"/>
    <w:basedOn w:val="Heading5"/>
    <w:next w:val="Para0"/>
    <w:link w:val="Heading6Char"/>
    <w:qFormat/>
    <w:rsid w:val="003F65D1"/>
    <w:pPr>
      <w:numPr>
        <w:ilvl w:val="5"/>
      </w:numPr>
      <w:tabs>
        <w:tab w:val="left" w:pos="1276"/>
      </w:tabs>
      <w:ind w:left="1276" w:hanging="1276"/>
      <w:outlineLvl w:val="5"/>
    </w:pPr>
  </w:style>
  <w:style w:type="paragraph" w:styleId="Heading7">
    <w:name w:val="heading 7"/>
    <w:basedOn w:val="Heading6"/>
    <w:next w:val="Para0"/>
    <w:link w:val="Heading7Char"/>
    <w:qFormat/>
    <w:rsid w:val="003F65D1"/>
    <w:pPr>
      <w:numPr>
        <w:ilvl w:val="6"/>
      </w:numPr>
      <w:tabs>
        <w:tab w:val="clear" w:pos="1276"/>
        <w:tab w:val="left" w:pos="1418"/>
      </w:tabs>
      <w:ind w:left="1418" w:hanging="1418"/>
      <w:outlineLvl w:val="6"/>
    </w:pPr>
  </w:style>
  <w:style w:type="paragraph" w:styleId="Heading8">
    <w:name w:val="heading 8"/>
    <w:basedOn w:val="Heading7"/>
    <w:next w:val="Para0"/>
    <w:link w:val="Heading8Char"/>
    <w:qFormat/>
    <w:rsid w:val="003F65D1"/>
    <w:pPr>
      <w:numPr>
        <w:ilvl w:val="7"/>
      </w:numPr>
      <w:tabs>
        <w:tab w:val="clear" w:pos="1418"/>
        <w:tab w:val="left" w:pos="1560"/>
      </w:tabs>
      <w:ind w:left="1560" w:hanging="1560"/>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65636E"/>
    <w:rPr>
      <w:rFonts w:ascii="Calibri" w:hAnsi="Calibri"/>
      <w:b/>
      <w:sz w:val="42"/>
      <w:lang w:val="en-GB" w:eastAsia="en-US"/>
    </w:rPr>
  </w:style>
  <w:style w:type="character" w:customStyle="1" w:styleId="Heading2Char">
    <w:name w:val="Heading 2 Char"/>
    <w:basedOn w:val="DefaultParagraphFont"/>
    <w:link w:val="Heading2"/>
    <w:locked/>
    <w:rsid w:val="003F65D1"/>
    <w:rPr>
      <w:rFonts w:ascii="Calibri" w:hAnsi="Calibri" w:cs="Calibri"/>
      <w:b/>
      <w:sz w:val="24"/>
      <w:szCs w:val="24"/>
      <w:lang w:val="en-GB" w:eastAsia="en-US"/>
    </w:rPr>
  </w:style>
  <w:style w:type="character" w:customStyle="1" w:styleId="Heading3Char">
    <w:name w:val="Heading 3 Char"/>
    <w:basedOn w:val="DefaultParagraphFont"/>
    <w:link w:val="Heading3"/>
    <w:locked/>
    <w:rsid w:val="003F65D1"/>
    <w:rPr>
      <w:rFonts w:ascii="Calibri" w:hAnsi="Calibri" w:cs="Calibri"/>
      <w:b/>
      <w:sz w:val="24"/>
      <w:szCs w:val="22"/>
      <w:lang w:val="en-GB" w:eastAsia="en-US"/>
    </w:rPr>
  </w:style>
  <w:style w:type="character" w:customStyle="1" w:styleId="Heading4Char">
    <w:name w:val="Heading 4 Char"/>
    <w:basedOn w:val="DefaultParagraphFont"/>
    <w:link w:val="Heading4"/>
    <w:locked/>
    <w:rsid w:val="003F65D1"/>
    <w:rPr>
      <w:rFonts w:ascii="Calibri" w:hAnsi="Calibri" w:cs="Calibri"/>
      <w:b/>
      <w:sz w:val="24"/>
      <w:szCs w:val="22"/>
      <w:lang w:val="en-GB" w:eastAsia="en-US"/>
    </w:rPr>
  </w:style>
  <w:style w:type="character" w:customStyle="1" w:styleId="Heading5Char">
    <w:name w:val="Heading 5 Char"/>
    <w:basedOn w:val="DefaultParagraphFont"/>
    <w:link w:val="Heading5"/>
    <w:locked/>
    <w:rsid w:val="003F65D1"/>
    <w:rPr>
      <w:rFonts w:ascii="Calibri" w:hAnsi="Calibri" w:cs="Calibri"/>
      <w:b/>
      <w:sz w:val="24"/>
      <w:szCs w:val="22"/>
      <w:lang w:val="en-GB" w:eastAsia="en-US"/>
    </w:rPr>
  </w:style>
  <w:style w:type="character" w:customStyle="1" w:styleId="Heading6Char">
    <w:name w:val="Heading 6 Char"/>
    <w:basedOn w:val="DefaultParagraphFont"/>
    <w:link w:val="Heading6"/>
    <w:locked/>
    <w:rsid w:val="003F65D1"/>
    <w:rPr>
      <w:rFonts w:ascii="Calibri" w:hAnsi="Calibri" w:cs="Calibri"/>
      <w:b/>
      <w:sz w:val="24"/>
      <w:szCs w:val="22"/>
      <w:lang w:val="en-GB" w:eastAsia="en-US"/>
    </w:rPr>
  </w:style>
  <w:style w:type="character" w:customStyle="1" w:styleId="Heading7Char">
    <w:name w:val="Heading 7 Char"/>
    <w:basedOn w:val="DefaultParagraphFont"/>
    <w:link w:val="Heading7"/>
    <w:locked/>
    <w:rsid w:val="003F65D1"/>
    <w:rPr>
      <w:rFonts w:ascii="Calibri" w:hAnsi="Calibri" w:cs="Calibri"/>
      <w:b/>
      <w:sz w:val="24"/>
      <w:szCs w:val="22"/>
      <w:lang w:val="en-GB" w:eastAsia="en-US"/>
    </w:rPr>
  </w:style>
  <w:style w:type="character" w:customStyle="1" w:styleId="Heading8Char">
    <w:name w:val="Heading 8 Char"/>
    <w:basedOn w:val="DefaultParagraphFont"/>
    <w:link w:val="Heading8"/>
    <w:locked/>
    <w:rsid w:val="003F65D1"/>
    <w:rPr>
      <w:rFonts w:ascii="Calibri" w:hAnsi="Calibri" w:cs="Calibri"/>
      <w:b/>
      <w:sz w:val="24"/>
      <w:szCs w:val="22"/>
      <w:lang w:val="en-GB" w:eastAsia="en-US"/>
    </w:rPr>
  </w:style>
  <w:style w:type="table" w:styleId="TableGrid">
    <w:name w:val="Table Grid"/>
    <w:basedOn w:val="TableNormal"/>
    <w:uiPriority w:val="59"/>
    <w:rsid w:val="003F65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structionText">
    <w:name w:val="Instruction Text"/>
    <w:uiPriority w:val="99"/>
    <w:rsid w:val="003F65D1"/>
    <w:rPr>
      <w:i/>
      <w:color w:val="0070C0"/>
    </w:rPr>
  </w:style>
  <w:style w:type="paragraph" w:styleId="Footer">
    <w:name w:val="footer"/>
    <w:basedOn w:val="Normal"/>
    <w:link w:val="FooterChar"/>
    <w:uiPriority w:val="99"/>
    <w:rsid w:val="003F65D1"/>
    <w:pPr>
      <w:tabs>
        <w:tab w:val="center" w:pos="4153"/>
        <w:tab w:val="right" w:pos="8306"/>
      </w:tabs>
    </w:pPr>
  </w:style>
  <w:style w:type="character" w:customStyle="1" w:styleId="FooterChar">
    <w:name w:val="Footer Char"/>
    <w:basedOn w:val="DefaultParagraphFont"/>
    <w:link w:val="Footer"/>
    <w:uiPriority w:val="99"/>
    <w:locked/>
    <w:rsid w:val="003F65D1"/>
    <w:rPr>
      <w:rFonts w:ascii="Calibri" w:hAnsi="Calibri" w:cs="Times New Roman"/>
      <w:sz w:val="22"/>
      <w:szCs w:val="22"/>
    </w:rPr>
  </w:style>
  <w:style w:type="character" w:styleId="PageNumber">
    <w:name w:val="page number"/>
    <w:basedOn w:val="DefaultParagraphFont"/>
    <w:uiPriority w:val="99"/>
    <w:rsid w:val="003F65D1"/>
    <w:rPr>
      <w:rFonts w:cs="Times New Roman"/>
    </w:rPr>
  </w:style>
  <w:style w:type="paragraph" w:styleId="Header">
    <w:name w:val="header"/>
    <w:basedOn w:val="Normal"/>
    <w:link w:val="HeaderChar"/>
    <w:rsid w:val="003F65D1"/>
    <w:pPr>
      <w:tabs>
        <w:tab w:val="center" w:pos="4513"/>
        <w:tab w:val="right" w:pos="9026"/>
      </w:tabs>
    </w:pPr>
    <w:rPr>
      <w:rFonts w:ascii="Times New Roman" w:hAnsi="Times New Roman"/>
      <w:sz w:val="24"/>
      <w:szCs w:val="24"/>
    </w:rPr>
  </w:style>
  <w:style w:type="character" w:customStyle="1" w:styleId="HeaderChar">
    <w:name w:val="Header Char"/>
    <w:basedOn w:val="DefaultParagraphFont"/>
    <w:link w:val="Header"/>
    <w:uiPriority w:val="99"/>
    <w:locked/>
    <w:rsid w:val="003F65D1"/>
    <w:rPr>
      <w:sz w:val="24"/>
    </w:rPr>
  </w:style>
  <w:style w:type="paragraph" w:styleId="DocumentMap">
    <w:name w:val="Document Map"/>
    <w:basedOn w:val="Normal"/>
    <w:link w:val="DocumentMapChar"/>
    <w:uiPriority w:val="99"/>
    <w:semiHidden/>
    <w:rsid w:val="003F65D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6742F"/>
    <w:rPr>
      <w:sz w:val="0"/>
      <w:szCs w:val="0"/>
    </w:rPr>
  </w:style>
  <w:style w:type="character" w:styleId="CommentReference">
    <w:name w:val="annotation reference"/>
    <w:basedOn w:val="DefaultParagraphFont"/>
    <w:uiPriority w:val="99"/>
    <w:rsid w:val="003F65D1"/>
    <w:rPr>
      <w:rFonts w:cs="Times New Roman"/>
      <w:sz w:val="16"/>
    </w:rPr>
  </w:style>
  <w:style w:type="paragraph" w:styleId="CommentText">
    <w:name w:val="annotation text"/>
    <w:basedOn w:val="Normal"/>
    <w:link w:val="CommentTextChar"/>
    <w:uiPriority w:val="99"/>
    <w:rsid w:val="003F65D1"/>
  </w:style>
  <w:style w:type="character" w:customStyle="1" w:styleId="CommentTextChar">
    <w:name w:val="Comment Text Char"/>
    <w:basedOn w:val="DefaultParagraphFont"/>
    <w:link w:val="CommentText"/>
    <w:uiPriority w:val="99"/>
    <w:locked/>
    <w:rsid w:val="003F65D1"/>
  </w:style>
  <w:style w:type="paragraph" w:styleId="CommentSubject">
    <w:name w:val="annotation subject"/>
    <w:basedOn w:val="CommentText"/>
    <w:next w:val="CommentText"/>
    <w:link w:val="CommentSubjectChar"/>
    <w:uiPriority w:val="99"/>
    <w:semiHidden/>
    <w:rsid w:val="003F65D1"/>
    <w:rPr>
      <w:b/>
      <w:bCs/>
    </w:rPr>
  </w:style>
  <w:style w:type="character" w:customStyle="1" w:styleId="CommentSubjectChar">
    <w:name w:val="Comment Subject Char"/>
    <w:basedOn w:val="CommentTextChar"/>
    <w:link w:val="CommentSubject"/>
    <w:uiPriority w:val="99"/>
    <w:semiHidden/>
    <w:rsid w:val="0056742F"/>
    <w:rPr>
      <w:rFonts w:ascii="Calibri" w:hAnsi="Calibri"/>
      <w:b/>
      <w:bCs/>
      <w:sz w:val="20"/>
      <w:szCs w:val="20"/>
    </w:rPr>
  </w:style>
  <w:style w:type="paragraph" w:styleId="BalloonText">
    <w:name w:val="Balloon Text"/>
    <w:basedOn w:val="Normal"/>
    <w:link w:val="BalloonTextChar"/>
    <w:uiPriority w:val="99"/>
    <w:semiHidden/>
    <w:rsid w:val="003F65D1"/>
    <w:rPr>
      <w:rFonts w:ascii="Tahoma" w:hAnsi="Tahoma" w:cs="Tahoma"/>
      <w:sz w:val="16"/>
      <w:szCs w:val="16"/>
    </w:rPr>
  </w:style>
  <w:style w:type="character" w:customStyle="1" w:styleId="BalloonTextChar">
    <w:name w:val="Balloon Text Char"/>
    <w:basedOn w:val="DefaultParagraphFont"/>
    <w:link w:val="BalloonText"/>
    <w:uiPriority w:val="99"/>
    <w:semiHidden/>
    <w:rsid w:val="0056742F"/>
    <w:rPr>
      <w:sz w:val="0"/>
      <w:szCs w:val="0"/>
    </w:rPr>
  </w:style>
  <w:style w:type="paragraph" w:styleId="FootnoteText">
    <w:name w:val="footnote text"/>
    <w:basedOn w:val="Normal"/>
    <w:link w:val="FootnoteTextChar"/>
    <w:uiPriority w:val="99"/>
    <w:rsid w:val="003F65D1"/>
  </w:style>
  <w:style w:type="character" w:customStyle="1" w:styleId="FootnoteTextChar">
    <w:name w:val="Footnote Text Char"/>
    <w:basedOn w:val="DefaultParagraphFont"/>
    <w:link w:val="FootnoteText"/>
    <w:uiPriority w:val="99"/>
    <w:locked/>
    <w:rsid w:val="003F65D1"/>
    <w:rPr>
      <w:rFonts w:cs="Times New Roman"/>
    </w:rPr>
  </w:style>
  <w:style w:type="character" w:styleId="FootnoteReference">
    <w:name w:val="footnote reference"/>
    <w:basedOn w:val="DefaultParagraphFont"/>
    <w:uiPriority w:val="99"/>
    <w:rsid w:val="003F65D1"/>
    <w:rPr>
      <w:rFonts w:cs="Times New Roman"/>
      <w:vertAlign w:val="superscript"/>
    </w:rPr>
  </w:style>
  <w:style w:type="paragraph" w:customStyle="1" w:styleId="Para0">
    <w:name w:val="Para 0"/>
    <w:basedOn w:val="Normal"/>
    <w:link w:val="Para0Char"/>
    <w:qFormat/>
    <w:rsid w:val="003F65D1"/>
    <w:pPr>
      <w:spacing w:line="300" w:lineRule="auto"/>
    </w:pPr>
    <w:rPr>
      <w:rFonts w:ascii="Arial" w:hAnsi="Arial"/>
      <w:color w:val="000000"/>
      <w:lang w:val="en-GB" w:eastAsia="en-US"/>
    </w:rPr>
  </w:style>
  <w:style w:type="character" w:customStyle="1" w:styleId="Para0Char">
    <w:name w:val="Para 0 Char"/>
    <w:basedOn w:val="DefaultParagraphFont"/>
    <w:link w:val="Para0"/>
    <w:locked/>
    <w:rsid w:val="003F65D1"/>
    <w:rPr>
      <w:rFonts w:ascii="Arial" w:hAnsi="Arial" w:cs="Times New Roman"/>
      <w:color w:val="000000"/>
      <w:sz w:val="22"/>
      <w:lang w:val="en-GB" w:eastAsia="en-US"/>
    </w:rPr>
  </w:style>
  <w:style w:type="paragraph" w:customStyle="1" w:styleId="Para0bullet">
    <w:name w:val="Para 0 bullet"/>
    <w:basedOn w:val="Para0"/>
    <w:link w:val="Para0bulletChar"/>
    <w:uiPriority w:val="99"/>
    <w:rsid w:val="003F65D1"/>
    <w:pPr>
      <w:numPr>
        <w:numId w:val="1"/>
      </w:numPr>
      <w:spacing w:after="60"/>
    </w:pPr>
    <w:rPr>
      <w:rFonts w:ascii="Calibri" w:hAnsi="Calibri"/>
    </w:rPr>
  </w:style>
  <w:style w:type="character" w:customStyle="1" w:styleId="Para0bulletChar">
    <w:name w:val="Para 0 bullet Char"/>
    <w:basedOn w:val="DefaultParagraphFont"/>
    <w:link w:val="Para0bullet"/>
    <w:uiPriority w:val="99"/>
    <w:locked/>
    <w:rsid w:val="003F65D1"/>
    <w:rPr>
      <w:rFonts w:ascii="Calibri" w:hAnsi="Calibri"/>
      <w:color w:val="000000"/>
      <w:lang w:val="en-GB" w:eastAsia="en-US"/>
    </w:rPr>
  </w:style>
  <w:style w:type="paragraph" w:customStyle="1" w:styleId="Para1number">
    <w:name w:val="Para 1 number"/>
    <w:basedOn w:val="Normal"/>
    <w:uiPriority w:val="99"/>
    <w:rsid w:val="003F65D1"/>
    <w:pPr>
      <w:numPr>
        <w:numId w:val="3"/>
      </w:numPr>
      <w:spacing w:after="60" w:line="300" w:lineRule="auto"/>
    </w:pPr>
    <w:rPr>
      <w:rFonts w:ascii="Arial" w:hAnsi="Arial"/>
      <w:color w:val="000000"/>
      <w:lang w:val="en-GB" w:eastAsia="en-US"/>
    </w:rPr>
  </w:style>
  <w:style w:type="paragraph" w:customStyle="1" w:styleId="prodtitlesub">
    <w:name w:val="prodtitlesub"/>
    <w:basedOn w:val="Normal"/>
    <w:uiPriority w:val="99"/>
    <w:rsid w:val="003F65D1"/>
    <w:rPr>
      <w:rFonts w:ascii="Verdana" w:hAnsi="Verdana"/>
      <w:b/>
      <w:bCs/>
      <w:color w:val="006699"/>
      <w:sz w:val="26"/>
      <w:szCs w:val="26"/>
      <w:lang w:val="en-US" w:eastAsia="en-US"/>
    </w:rPr>
  </w:style>
  <w:style w:type="paragraph" w:styleId="ListParagraph">
    <w:name w:val="List Paragraph"/>
    <w:basedOn w:val="Normal"/>
    <w:link w:val="ListParagraphChar"/>
    <w:uiPriority w:val="34"/>
    <w:qFormat/>
    <w:rsid w:val="003F65D1"/>
    <w:pPr>
      <w:ind w:left="720"/>
      <w:contextualSpacing/>
    </w:pPr>
  </w:style>
  <w:style w:type="paragraph" w:styleId="NormalWeb">
    <w:name w:val="Normal (Web)"/>
    <w:basedOn w:val="Normal"/>
    <w:uiPriority w:val="99"/>
    <w:rsid w:val="003F65D1"/>
    <w:pPr>
      <w:spacing w:before="100" w:beforeAutospacing="1" w:after="100" w:afterAutospacing="1"/>
    </w:pPr>
    <w:rPr>
      <w:lang w:val="en-US" w:eastAsia="en-US"/>
    </w:rPr>
  </w:style>
  <w:style w:type="paragraph" w:styleId="Caption">
    <w:name w:val="caption"/>
    <w:aliases w:val="Figure,CDM B/Caption,Table Caption,TABLE,Char,Item"/>
    <w:basedOn w:val="Normal"/>
    <w:next w:val="Normal"/>
    <w:link w:val="CaptionChar"/>
    <w:uiPriority w:val="99"/>
    <w:qFormat/>
    <w:rsid w:val="003F65D1"/>
    <w:rPr>
      <w:b/>
      <w:bCs/>
    </w:rPr>
  </w:style>
  <w:style w:type="character" w:styleId="Hyperlink">
    <w:name w:val="Hyperlink"/>
    <w:basedOn w:val="DefaultParagraphFont"/>
    <w:uiPriority w:val="99"/>
    <w:rsid w:val="003F65D1"/>
    <w:rPr>
      <w:rFonts w:cs="Times New Roman"/>
      <w:color w:val="0000FF"/>
      <w:u w:val="single"/>
    </w:rPr>
  </w:style>
  <w:style w:type="character" w:styleId="Emphasis">
    <w:name w:val="Emphasis"/>
    <w:basedOn w:val="DefaultParagraphFont"/>
    <w:uiPriority w:val="99"/>
    <w:qFormat/>
    <w:rsid w:val="003F65D1"/>
    <w:rPr>
      <w:rFonts w:cs="Times New Roman"/>
      <w:i/>
      <w:iCs/>
    </w:rPr>
  </w:style>
  <w:style w:type="character" w:customStyle="1" w:styleId="external">
    <w:name w:val="external"/>
    <w:basedOn w:val="DefaultParagraphFont"/>
    <w:uiPriority w:val="99"/>
    <w:rsid w:val="003F65D1"/>
    <w:rPr>
      <w:rFonts w:cs="Times New Roman"/>
    </w:rPr>
  </w:style>
  <w:style w:type="character" w:styleId="HTMLAcronym">
    <w:name w:val="HTML Acronym"/>
    <w:basedOn w:val="DefaultParagraphFont"/>
    <w:uiPriority w:val="99"/>
    <w:rsid w:val="003F65D1"/>
    <w:rPr>
      <w:rFonts w:cs="Times New Roman"/>
    </w:rPr>
  </w:style>
  <w:style w:type="character" w:customStyle="1" w:styleId="CaptionChar">
    <w:name w:val="Caption Char"/>
    <w:aliases w:val="Figure Char,CDM B/Caption Char,Table Caption Char,TABLE Char,Char Char,Item Char"/>
    <w:basedOn w:val="DefaultParagraphFont"/>
    <w:link w:val="Caption"/>
    <w:uiPriority w:val="99"/>
    <w:locked/>
    <w:rsid w:val="003F65D1"/>
    <w:rPr>
      <w:rFonts w:ascii="Calibri" w:hAnsi="Calibri" w:cs="Times New Roman"/>
      <w:b/>
      <w:bCs/>
    </w:rPr>
  </w:style>
  <w:style w:type="paragraph" w:customStyle="1" w:styleId="Appendix1">
    <w:name w:val="Appendix 1"/>
    <w:basedOn w:val="Heading1"/>
    <w:next w:val="Para0"/>
    <w:uiPriority w:val="99"/>
    <w:rsid w:val="003F65D1"/>
    <w:pPr>
      <w:numPr>
        <w:numId w:val="4"/>
      </w:numPr>
      <w:spacing w:before="0"/>
    </w:pPr>
    <w:rPr>
      <w:rFonts w:ascii="Times New Roman" w:hAnsi="Times New Roman"/>
      <w:color w:val="6CB9DC"/>
    </w:rPr>
  </w:style>
  <w:style w:type="paragraph" w:customStyle="1" w:styleId="Appendix2">
    <w:name w:val="Appendix 2"/>
    <w:basedOn w:val="Appendix1"/>
    <w:next w:val="Para0"/>
    <w:uiPriority w:val="99"/>
    <w:rsid w:val="003F65D1"/>
    <w:pPr>
      <w:numPr>
        <w:ilvl w:val="1"/>
      </w:numPr>
      <w:spacing w:before="120" w:after="40"/>
      <w:outlineLvl w:val="1"/>
    </w:pPr>
    <w:rPr>
      <w:sz w:val="22"/>
    </w:rPr>
  </w:style>
  <w:style w:type="paragraph" w:customStyle="1" w:styleId="Appendix3">
    <w:name w:val="Appendix 3"/>
    <w:basedOn w:val="Appendix1"/>
    <w:next w:val="Para0"/>
    <w:uiPriority w:val="99"/>
    <w:rsid w:val="003F65D1"/>
    <w:pPr>
      <w:numPr>
        <w:ilvl w:val="2"/>
      </w:numPr>
      <w:spacing w:before="120" w:after="40"/>
      <w:outlineLvl w:val="2"/>
    </w:pPr>
    <w:rPr>
      <w:sz w:val="22"/>
    </w:rPr>
  </w:style>
  <w:style w:type="paragraph" w:customStyle="1" w:styleId="Head2manual">
    <w:name w:val="Head 2 manual"/>
    <w:basedOn w:val="Normal"/>
    <w:next w:val="Para0"/>
    <w:uiPriority w:val="99"/>
    <w:rsid w:val="003F65D1"/>
    <w:pPr>
      <w:keepNext/>
      <w:spacing w:before="120" w:after="120" w:line="360" w:lineRule="auto"/>
    </w:pPr>
    <w:rPr>
      <w:b/>
      <w:sz w:val="24"/>
      <w:lang w:val="en-GB" w:eastAsia="en-US"/>
    </w:rPr>
  </w:style>
  <w:style w:type="paragraph" w:customStyle="1" w:styleId="Para0number">
    <w:name w:val="Para 0 number"/>
    <w:basedOn w:val="Para0"/>
    <w:uiPriority w:val="99"/>
    <w:rsid w:val="003F65D1"/>
    <w:pPr>
      <w:numPr>
        <w:numId w:val="5"/>
      </w:numPr>
      <w:spacing w:after="60"/>
    </w:pPr>
  </w:style>
  <w:style w:type="character" w:styleId="Strong">
    <w:name w:val="Strong"/>
    <w:basedOn w:val="DefaultParagraphFont"/>
    <w:qFormat/>
    <w:rsid w:val="003F65D1"/>
    <w:rPr>
      <w:rFonts w:cs="Times New Roman"/>
      <w:b/>
      <w:bCs/>
    </w:rPr>
  </w:style>
  <w:style w:type="paragraph" w:customStyle="1" w:styleId="para0bullet0">
    <w:name w:val="para0bullet"/>
    <w:basedOn w:val="Normal"/>
    <w:uiPriority w:val="99"/>
    <w:rsid w:val="003F65D1"/>
    <w:pPr>
      <w:spacing w:before="100" w:beforeAutospacing="1" w:after="100" w:afterAutospacing="1"/>
      <w:jc w:val="left"/>
    </w:pPr>
    <w:rPr>
      <w:rFonts w:ascii="Times New Roman" w:hAnsi="Times New Roman"/>
      <w:sz w:val="24"/>
      <w:szCs w:val="24"/>
    </w:rPr>
  </w:style>
  <w:style w:type="character" w:styleId="FollowedHyperlink">
    <w:name w:val="FollowedHyperlink"/>
    <w:basedOn w:val="DefaultParagraphFont"/>
    <w:uiPriority w:val="99"/>
    <w:rsid w:val="003F65D1"/>
    <w:rPr>
      <w:rFonts w:cs="Times New Roman"/>
      <w:color w:val="800080"/>
      <w:u w:val="single"/>
    </w:rPr>
  </w:style>
  <w:style w:type="paragraph" w:styleId="PlainText">
    <w:name w:val="Plain Text"/>
    <w:basedOn w:val="Normal"/>
    <w:link w:val="PlainTextChar"/>
    <w:uiPriority w:val="99"/>
    <w:rsid w:val="003F65D1"/>
    <w:pPr>
      <w:spacing w:after="0"/>
      <w:jc w:val="left"/>
    </w:pPr>
    <w:rPr>
      <w:rFonts w:ascii="Consolas" w:hAnsi="Consolas"/>
      <w:sz w:val="21"/>
      <w:szCs w:val="21"/>
      <w:lang w:eastAsia="en-US"/>
    </w:rPr>
  </w:style>
  <w:style w:type="character" w:customStyle="1" w:styleId="PlainTextChar">
    <w:name w:val="Plain Text Char"/>
    <w:basedOn w:val="DefaultParagraphFont"/>
    <w:link w:val="PlainText"/>
    <w:uiPriority w:val="99"/>
    <w:locked/>
    <w:rsid w:val="003F65D1"/>
    <w:rPr>
      <w:rFonts w:ascii="Consolas" w:eastAsia="Times New Roman" w:hAnsi="Consolas" w:cs="Times New Roman"/>
      <w:sz w:val="21"/>
      <w:szCs w:val="21"/>
      <w:lang w:eastAsia="en-US"/>
    </w:rPr>
  </w:style>
  <w:style w:type="paragraph" w:customStyle="1" w:styleId="StyleStylePara12Arial11ptAfter0pt10ptAuto">
    <w:name w:val="Style Style Para 12 + Arial 11 pt After:  0 pt + 10 pt Auto"/>
    <w:basedOn w:val="Normal"/>
    <w:uiPriority w:val="99"/>
    <w:rsid w:val="003F65D1"/>
    <w:pPr>
      <w:numPr>
        <w:numId w:val="6"/>
      </w:numPr>
      <w:spacing w:after="0"/>
      <w:jc w:val="left"/>
    </w:pPr>
    <w:rPr>
      <w:rFonts w:ascii="Times New Roman" w:hAnsi="Times New Roman"/>
      <w:sz w:val="24"/>
      <w:lang w:eastAsia="en-US"/>
    </w:rPr>
  </w:style>
  <w:style w:type="paragraph" w:customStyle="1" w:styleId="Default">
    <w:name w:val="Default"/>
    <w:rsid w:val="003F65D1"/>
    <w:pPr>
      <w:autoSpaceDE w:val="0"/>
      <w:autoSpaceDN w:val="0"/>
      <w:adjustRightInd w:val="0"/>
    </w:pPr>
    <w:rPr>
      <w:color w:val="000000"/>
      <w:sz w:val="24"/>
      <w:szCs w:val="24"/>
    </w:rPr>
  </w:style>
  <w:style w:type="character" w:styleId="PlaceholderText">
    <w:name w:val="Placeholder Text"/>
    <w:basedOn w:val="DefaultParagraphFont"/>
    <w:uiPriority w:val="99"/>
    <w:semiHidden/>
    <w:rsid w:val="003F65D1"/>
    <w:rPr>
      <w:rFonts w:cs="Times New Roman"/>
      <w:color w:val="808080"/>
    </w:rPr>
  </w:style>
  <w:style w:type="paragraph" w:styleId="ListBullet">
    <w:name w:val="List Bullet"/>
    <w:basedOn w:val="Normal"/>
    <w:uiPriority w:val="99"/>
    <w:qFormat/>
    <w:rsid w:val="003F65D1"/>
    <w:pPr>
      <w:contextualSpacing/>
    </w:pPr>
  </w:style>
  <w:style w:type="paragraph" w:styleId="ListNumber">
    <w:name w:val="List Number"/>
    <w:basedOn w:val="Normal"/>
    <w:uiPriority w:val="99"/>
    <w:qFormat/>
    <w:rsid w:val="003F65D1"/>
    <w:pPr>
      <w:numPr>
        <w:numId w:val="7"/>
      </w:numPr>
      <w:tabs>
        <w:tab w:val="num" w:pos="360"/>
      </w:tabs>
      <w:contextualSpacing/>
    </w:pPr>
  </w:style>
  <w:style w:type="paragraph" w:styleId="TOCHeading">
    <w:name w:val="TOC Heading"/>
    <w:basedOn w:val="Heading1"/>
    <w:next w:val="Normal"/>
    <w:uiPriority w:val="99"/>
    <w:qFormat/>
    <w:rsid w:val="003F65D1"/>
    <w:pPr>
      <w:keepLines/>
      <w:numPr>
        <w:numId w:val="0"/>
      </w:numPr>
      <w:spacing w:before="480" w:after="0" w:line="276" w:lineRule="auto"/>
      <w:jc w:val="left"/>
      <w:outlineLvl w:val="9"/>
    </w:pPr>
    <w:rPr>
      <w:rFonts w:ascii="Cambria" w:hAnsi="Cambria"/>
      <w:bCs/>
      <w:color w:val="365F91"/>
      <w:sz w:val="28"/>
      <w:szCs w:val="28"/>
      <w:lang w:val="en-US"/>
    </w:rPr>
  </w:style>
  <w:style w:type="paragraph" w:styleId="TOC1">
    <w:name w:val="toc 1"/>
    <w:basedOn w:val="Normal"/>
    <w:next w:val="Normal"/>
    <w:autoRedefine/>
    <w:uiPriority w:val="39"/>
    <w:rsid w:val="002B2968"/>
    <w:pPr>
      <w:tabs>
        <w:tab w:val="left" w:pos="440"/>
        <w:tab w:val="right" w:leader="dot" w:pos="9017"/>
      </w:tabs>
      <w:spacing w:after="100"/>
      <w:ind w:left="440" w:hanging="440"/>
      <w:jc w:val="left"/>
    </w:pPr>
    <w:rPr>
      <w:rFonts w:ascii="Century Gothic" w:hAnsi="Century Gothic"/>
      <w:b/>
      <w:noProof/>
      <w:sz w:val="24"/>
      <w:szCs w:val="24"/>
    </w:rPr>
  </w:style>
  <w:style w:type="paragraph" w:styleId="TOC2">
    <w:name w:val="toc 2"/>
    <w:basedOn w:val="Normal"/>
    <w:next w:val="Normal"/>
    <w:autoRedefine/>
    <w:uiPriority w:val="39"/>
    <w:rsid w:val="00FC6370"/>
    <w:pPr>
      <w:tabs>
        <w:tab w:val="left" w:pos="880"/>
        <w:tab w:val="right" w:leader="dot" w:pos="9017"/>
      </w:tabs>
      <w:spacing w:after="100"/>
      <w:ind w:left="880" w:hanging="660"/>
      <w:jc w:val="left"/>
    </w:pPr>
    <w:rPr>
      <w:rFonts w:ascii="Century Gothic" w:hAnsi="Century Gothic"/>
      <w:noProof/>
    </w:rPr>
  </w:style>
  <w:style w:type="paragraph" w:styleId="TOC3">
    <w:name w:val="toc 3"/>
    <w:basedOn w:val="Normal"/>
    <w:next w:val="Normal"/>
    <w:autoRedefine/>
    <w:uiPriority w:val="99"/>
    <w:rsid w:val="003F65D1"/>
    <w:pPr>
      <w:spacing w:after="100"/>
      <w:ind w:left="440"/>
    </w:pPr>
  </w:style>
  <w:style w:type="paragraph" w:styleId="Revision">
    <w:name w:val="Revision"/>
    <w:hidden/>
    <w:uiPriority w:val="99"/>
    <w:semiHidden/>
    <w:rsid w:val="003F65D1"/>
    <w:rPr>
      <w:rFonts w:ascii="Calibri" w:hAnsi="Calibri"/>
    </w:rPr>
  </w:style>
  <w:style w:type="paragraph" w:customStyle="1" w:styleId="Bullet">
    <w:name w:val="Bullet"/>
    <w:basedOn w:val="Normal"/>
    <w:link w:val="BulletChar"/>
    <w:qFormat/>
    <w:rsid w:val="00AB008F"/>
    <w:pPr>
      <w:numPr>
        <w:numId w:val="8"/>
      </w:numPr>
      <w:spacing w:after="240"/>
      <w:jc w:val="left"/>
    </w:pPr>
    <w:rPr>
      <w:rFonts w:ascii="Times New Roman" w:hAnsi="Times New Roman"/>
      <w:sz w:val="24"/>
      <w:szCs w:val="24"/>
      <w:lang w:eastAsia="en-US"/>
    </w:rPr>
  </w:style>
  <w:style w:type="paragraph" w:customStyle="1" w:styleId="Dash">
    <w:name w:val="Dash"/>
    <w:basedOn w:val="Normal"/>
    <w:uiPriority w:val="99"/>
    <w:rsid w:val="00AB008F"/>
    <w:pPr>
      <w:numPr>
        <w:ilvl w:val="1"/>
        <w:numId w:val="8"/>
      </w:numPr>
      <w:spacing w:after="240"/>
      <w:jc w:val="left"/>
    </w:pPr>
    <w:rPr>
      <w:rFonts w:ascii="Times New Roman" w:hAnsi="Times New Roman"/>
      <w:sz w:val="24"/>
      <w:szCs w:val="24"/>
      <w:lang w:eastAsia="en-US"/>
    </w:rPr>
  </w:style>
  <w:style w:type="paragraph" w:customStyle="1" w:styleId="DoubleDot">
    <w:name w:val="Double Dot"/>
    <w:basedOn w:val="Normal"/>
    <w:uiPriority w:val="99"/>
    <w:rsid w:val="00AB008F"/>
    <w:pPr>
      <w:numPr>
        <w:ilvl w:val="2"/>
        <w:numId w:val="8"/>
      </w:numPr>
      <w:spacing w:after="240"/>
      <w:jc w:val="left"/>
    </w:pPr>
    <w:rPr>
      <w:rFonts w:ascii="Times New Roman" w:hAnsi="Times New Roman"/>
      <w:sz w:val="24"/>
      <w:szCs w:val="24"/>
      <w:lang w:eastAsia="en-US"/>
    </w:rPr>
  </w:style>
  <w:style w:type="paragraph" w:styleId="BodyText">
    <w:name w:val="Body Text"/>
    <w:link w:val="BodyTextChar"/>
    <w:rsid w:val="00444C4A"/>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after="120"/>
    </w:pPr>
    <w:rPr>
      <w:rFonts w:ascii="Arial" w:hAnsi="Arial"/>
      <w:sz w:val="22"/>
      <w:szCs w:val="22"/>
    </w:rPr>
  </w:style>
  <w:style w:type="character" w:customStyle="1" w:styleId="BodyTextChar">
    <w:name w:val="Body Text Char"/>
    <w:basedOn w:val="DefaultParagraphFont"/>
    <w:link w:val="BodyText"/>
    <w:rsid w:val="00444C4A"/>
    <w:rPr>
      <w:rFonts w:ascii="Arial" w:hAnsi="Arial"/>
      <w:sz w:val="22"/>
      <w:szCs w:val="22"/>
    </w:rPr>
  </w:style>
  <w:style w:type="table" w:customStyle="1" w:styleId="TableGrid1">
    <w:name w:val="Table Grid1"/>
    <w:basedOn w:val="TableNormal"/>
    <w:uiPriority w:val="59"/>
    <w:rsid w:val="001020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12">
    <w:name w:val="Para 12"/>
    <w:basedOn w:val="Para0"/>
    <w:link w:val="Para12Char"/>
    <w:rsid w:val="00E91B47"/>
    <w:pPr>
      <w:spacing w:after="240" w:line="240" w:lineRule="auto"/>
      <w:jc w:val="left"/>
    </w:pPr>
    <w:rPr>
      <w:rFonts w:ascii="Times New Roman" w:hAnsi="Times New Roman"/>
      <w:sz w:val="24"/>
      <w:lang w:val="en-AU"/>
    </w:rPr>
  </w:style>
  <w:style w:type="character" w:customStyle="1" w:styleId="Para12Char">
    <w:name w:val="Para 12 Char"/>
    <w:basedOn w:val="DefaultParagraphFont"/>
    <w:link w:val="Para12"/>
    <w:rsid w:val="00E91B47"/>
    <w:rPr>
      <w:color w:val="000000"/>
      <w:sz w:val="24"/>
      <w:lang w:eastAsia="en-US"/>
    </w:rPr>
  </w:style>
  <w:style w:type="numbering" w:customStyle="1" w:styleId="BulletList">
    <w:name w:val="Bullet List"/>
    <w:uiPriority w:val="99"/>
    <w:rsid w:val="00BD7404"/>
    <w:pPr>
      <w:numPr>
        <w:numId w:val="9"/>
      </w:numPr>
    </w:pPr>
  </w:style>
  <w:style w:type="numbering" w:customStyle="1" w:styleId="KeyPoints">
    <w:name w:val="Key Points"/>
    <w:basedOn w:val="NoList"/>
    <w:uiPriority w:val="99"/>
    <w:rsid w:val="00B768E5"/>
    <w:pPr>
      <w:numPr>
        <w:numId w:val="10"/>
      </w:numPr>
    </w:pPr>
  </w:style>
  <w:style w:type="paragraph" w:styleId="ListNumber2">
    <w:name w:val="List Number 2"/>
    <w:basedOn w:val="Normal"/>
    <w:uiPriority w:val="99"/>
    <w:rsid w:val="00B768E5"/>
    <w:pPr>
      <w:spacing w:after="200" w:line="276" w:lineRule="auto"/>
      <w:ind w:left="738" w:hanging="369"/>
      <w:jc w:val="left"/>
    </w:pPr>
    <w:rPr>
      <w:rFonts w:ascii="Arial" w:eastAsia="Calibri" w:hAnsi="Arial"/>
      <w:sz w:val="22"/>
      <w:szCs w:val="22"/>
      <w:lang w:eastAsia="en-US"/>
    </w:rPr>
  </w:style>
  <w:style w:type="paragraph" w:styleId="ListNumber3">
    <w:name w:val="List Number 3"/>
    <w:basedOn w:val="Normal"/>
    <w:uiPriority w:val="99"/>
    <w:rsid w:val="00B768E5"/>
    <w:pPr>
      <w:spacing w:after="200" w:line="276" w:lineRule="auto"/>
      <w:ind w:left="1107" w:hanging="369"/>
      <w:jc w:val="left"/>
    </w:pPr>
    <w:rPr>
      <w:rFonts w:ascii="Arial" w:eastAsia="Calibri" w:hAnsi="Arial"/>
      <w:sz w:val="22"/>
      <w:szCs w:val="22"/>
      <w:lang w:eastAsia="en-US"/>
    </w:rPr>
  </w:style>
  <w:style w:type="paragraph" w:styleId="ListNumber4">
    <w:name w:val="List Number 4"/>
    <w:basedOn w:val="Normal"/>
    <w:uiPriority w:val="99"/>
    <w:rsid w:val="00B768E5"/>
    <w:pPr>
      <w:spacing w:after="200" w:line="276" w:lineRule="auto"/>
      <w:ind w:left="1476" w:hanging="369"/>
      <w:jc w:val="left"/>
    </w:pPr>
    <w:rPr>
      <w:rFonts w:ascii="Arial" w:eastAsia="Calibri" w:hAnsi="Arial"/>
      <w:sz w:val="22"/>
      <w:szCs w:val="22"/>
      <w:lang w:eastAsia="en-US"/>
    </w:rPr>
  </w:style>
  <w:style w:type="paragraph" w:styleId="ListNumber5">
    <w:name w:val="List Number 5"/>
    <w:basedOn w:val="Normal"/>
    <w:uiPriority w:val="99"/>
    <w:rsid w:val="00B768E5"/>
    <w:pPr>
      <w:spacing w:after="200" w:line="276" w:lineRule="auto"/>
      <w:ind w:left="1845" w:hanging="369"/>
      <w:jc w:val="left"/>
    </w:pPr>
    <w:rPr>
      <w:rFonts w:ascii="Arial" w:eastAsia="Calibri" w:hAnsi="Arial"/>
      <w:sz w:val="22"/>
      <w:szCs w:val="22"/>
      <w:lang w:eastAsia="en-US"/>
    </w:rPr>
  </w:style>
  <w:style w:type="paragraph" w:styleId="EndnoteText">
    <w:name w:val="endnote text"/>
    <w:basedOn w:val="Normal"/>
    <w:link w:val="EndnoteTextChar"/>
    <w:unhideWhenUsed/>
    <w:rsid w:val="006A76CD"/>
    <w:pPr>
      <w:spacing w:after="0"/>
    </w:pPr>
  </w:style>
  <w:style w:type="character" w:customStyle="1" w:styleId="EndnoteTextChar">
    <w:name w:val="Endnote Text Char"/>
    <w:basedOn w:val="DefaultParagraphFont"/>
    <w:link w:val="EndnoteText"/>
    <w:rsid w:val="006A76CD"/>
    <w:rPr>
      <w:rFonts w:ascii="Calibri" w:hAnsi="Calibri"/>
    </w:rPr>
  </w:style>
  <w:style w:type="character" w:styleId="EndnoteReference">
    <w:name w:val="endnote reference"/>
    <w:basedOn w:val="DefaultParagraphFont"/>
    <w:uiPriority w:val="99"/>
    <w:semiHidden/>
    <w:unhideWhenUsed/>
    <w:rsid w:val="006A76CD"/>
    <w:rPr>
      <w:vertAlign w:val="superscript"/>
    </w:rPr>
  </w:style>
  <w:style w:type="paragraph" w:customStyle="1" w:styleId="style2">
    <w:name w:val="style2"/>
    <w:basedOn w:val="Normal"/>
    <w:rsid w:val="00847E6F"/>
    <w:pPr>
      <w:spacing w:before="100" w:beforeAutospacing="1" w:after="100" w:afterAutospacing="1"/>
      <w:jc w:val="left"/>
    </w:pPr>
    <w:rPr>
      <w:rFonts w:ascii="Times New Roman" w:eastAsia="Calibri" w:hAnsi="Times New Roman"/>
      <w:sz w:val="24"/>
      <w:szCs w:val="24"/>
    </w:rPr>
  </w:style>
  <w:style w:type="paragraph" w:styleId="TableofFigures">
    <w:name w:val="table of figures"/>
    <w:aliases w:val="List of Tables"/>
    <w:basedOn w:val="Normal"/>
    <w:next w:val="Normal"/>
    <w:link w:val="TableofFiguresChar"/>
    <w:uiPriority w:val="99"/>
    <w:unhideWhenUsed/>
    <w:qFormat/>
    <w:rsid w:val="00517D7B"/>
    <w:pPr>
      <w:spacing w:after="0"/>
    </w:pPr>
  </w:style>
  <w:style w:type="character" w:customStyle="1" w:styleId="TableofFiguresChar">
    <w:name w:val="Table of Figures Char"/>
    <w:aliases w:val="List of Tables Char"/>
    <w:basedOn w:val="DefaultParagraphFont"/>
    <w:link w:val="TableofFigures"/>
    <w:uiPriority w:val="99"/>
    <w:rsid w:val="004B35FF"/>
    <w:rPr>
      <w:rFonts w:ascii="Calibri" w:hAnsi="Calibri"/>
    </w:rPr>
  </w:style>
  <w:style w:type="character" w:customStyle="1" w:styleId="ListParagraphChar">
    <w:name w:val="List Paragraph Char"/>
    <w:basedOn w:val="DefaultParagraphFont"/>
    <w:link w:val="ListParagraph"/>
    <w:uiPriority w:val="99"/>
    <w:locked/>
    <w:rsid w:val="007118D7"/>
    <w:rPr>
      <w:rFonts w:ascii="Calibri" w:hAnsi="Calibri"/>
    </w:rPr>
  </w:style>
  <w:style w:type="paragraph" w:styleId="ListBullet2">
    <w:name w:val="List Bullet 2"/>
    <w:basedOn w:val="Normal"/>
    <w:uiPriority w:val="99"/>
    <w:unhideWhenUsed/>
    <w:rsid w:val="00571D38"/>
    <w:pPr>
      <w:spacing w:after="200" w:line="276" w:lineRule="auto"/>
      <w:ind w:left="737" w:hanging="368"/>
      <w:jc w:val="left"/>
    </w:pPr>
    <w:rPr>
      <w:rFonts w:asciiTheme="minorHAnsi" w:eastAsiaTheme="minorEastAsia" w:hAnsiTheme="minorHAnsi" w:cstheme="minorBidi"/>
      <w:sz w:val="22"/>
      <w:szCs w:val="22"/>
      <w:lang w:val="en-US" w:eastAsia="en-US" w:bidi="en-US"/>
    </w:rPr>
  </w:style>
  <w:style w:type="paragraph" w:styleId="ListBullet3">
    <w:name w:val="List Bullet 3"/>
    <w:basedOn w:val="Normal"/>
    <w:uiPriority w:val="99"/>
    <w:unhideWhenUsed/>
    <w:rsid w:val="00571D38"/>
    <w:pPr>
      <w:spacing w:after="200" w:line="276" w:lineRule="auto"/>
      <w:ind w:left="1106" w:hanging="369"/>
      <w:jc w:val="left"/>
    </w:pPr>
    <w:rPr>
      <w:rFonts w:asciiTheme="minorHAnsi" w:eastAsiaTheme="minorEastAsia" w:hAnsiTheme="minorHAnsi" w:cstheme="minorBidi"/>
      <w:sz w:val="22"/>
      <w:szCs w:val="22"/>
      <w:lang w:val="en-US" w:eastAsia="en-US" w:bidi="en-US"/>
    </w:rPr>
  </w:style>
  <w:style w:type="paragraph" w:styleId="ListBullet4">
    <w:name w:val="List Bullet 4"/>
    <w:basedOn w:val="Normal"/>
    <w:uiPriority w:val="99"/>
    <w:unhideWhenUsed/>
    <w:rsid w:val="00571D38"/>
    <w:pPr>
      <w:spacing w:after="200" w:line="276" w:lineRule="auto"/>
      <w:ind w:left="1474" w:hanging="368"/>
      <w:jc w:val="left"/>
    </w:pPr>
    <w:rPr>
      <w:rFonts w:asciiTheme="minorHAnsi" w:eastAsiaTheme="minorEastAsia" w:hAnsiTheme="minorHAnsi" w:cstheme="minorBidi"/>
      <w:sz w:val="22"/>
      <w:szCs w:val="22"/>
      <w:lang w:val="en-US" w:eastAsia="en-US" w:bidi="en-US"/>
    </w:rPr>
  </w:style>
  <w:style w:type="paragraph" w:styleId="ListBullet5">
    <w:name w:val="List Bullet 5"/>
    <w:basedOn w:val="Normal"/>
    <w:uiPriority w:val="99"/>
    <w:unhideWhenUsed/>
    <w:rsid w:val="00571D38"/>
    <w:pPr>
      <w:spacing w:after="200" w:line="276" w:lineRule="auto"/>
      <w:ind w:left="1800" w:hanging="360"/>
      <w:jc w:val="left"/>
    </w:pPr>
    <w:rPr>
      <w:rFonts w:asciiTheme="minorHAnsi" w:eastAsiaTheme="minorEastAsia" w:hAnsiTheme="minorHAnsi" w:cstheme="minorBidi"/>
      <w:sz w:val="22"/>
      <w:szCs w:val="22"/>
      <w:lang w:val="en-US" w:eastAsia="en-US" w:bidi="en-US"/>
    </w:rPr>
  </w:style>
  <w:style w:type="paragraph" w:styleId="NoSpacing">
    <w:name w:val="No Spacing"/>
    <w:uiPriority w:val="1"/>
    <w:qFormat/>
    <w:rsid w:val="00571D38"/>
    <w:rPr>
      <w:rFonts w:asciiTheme="minorHAnsi" w:eastAsiaTheme="minorEastAsia" w:hAnsiTheme="minorHAnsi" w:cstheme="minorBidi"/>
      <w:sz w:val="22"/>
      <w:szCs w:val="22"/>
      <w:lang w:val="en-US" w:eastAsia="en-US" w:bidi="en-US"/>
    </w:rPr>
  </w:style>
  <w:style w:type="character" w:customStyle="1" w:styleId="BulletChar">
    <w:name w:val="Bullet Char"/>
    <w:basedOn w:val="DefaultParagraphFont"/>
    <w:link w:val="Bullet"/>
    <w:locked/>
    <w:rsid w:val="00124914"/>
    <w:rPr>
      <w:sz w:val="24"/>
      <w:szCs w:val="24"/>
      <w:lang w:eastAsia="en-US"/>
    </w:rPr>
  </w:style>
</w:styles>
</file>

<file path=word/webSettings.xml><?xml version="1.0" encoding="utf-8"?>
<w:webSettings xmlns:r="http://schemas.openxmlformats.org/officeDocument/2006/relationships" xmlns:w="http://schemas.openxmlformats.org/wordprocessingml/2006/main">
  <w:divs>
    <w:div w:id="93938739">
      <w:marLeft w:val="0"/>
      <w:marRight w:val="0"/>
      <w:marTop w:val="0"/>
      <w:marBottom w:val="0"/>
      <w:divBdr>
        <w:top w:val="none" w:sz="0" w:space="0" w:color="auto"/>
        <w:left w:val="none" w:sz="0" w:space="0" w:color="auto"/>
        <w:bottom w:val="none" w:sz="0" w:space="0" w:color="auto"/>
        <w:right w:val="none" w:sz="0" w:space="0" w:color="auto"/>
      </w:divBdr>
    </w:div>
    <w:div w:id="93938740">
      <w:marLeft w:val="0"/>
      <w:marRight w:val="0"/>
      <w:marTop w:val="0"/>
      <w:marBottom w:val="0"/>
      <w:divBdr>
        <w:top w:val="none" w:sz="0" w:space="0" w:color="auto"/>
        <w:left w:val="none" w:sz="0" w:space="0" w:color="auto"/>
        <w:bottom w:val="none" w:sz="0" w:space="0" w:color="auto"/>
        <w:right w:val="none" w:sz="0" w:space="0" w:color="auto"/>
      </w:divBdr>
    </w:div>
    <w:div w:id="93938741">
      <w:marLeft w:val="0"/>
      <w:marRight w:val="0"/>
      <w:marTop w:val="0"/>
      <w:marBottom w:val="0"/>
      <w:divBdr>
        <w:top w:val="none" w:sz="0" w:space="0" w:color="auto"/>
        <w:left w:val="none" w:sz="0" w:space="0" w:color="auto"/>
        <w:bottom w:val="none" w:sz="0" w:space="0" w:color="auto"/>
        <w:right w:val="none" w:sz="0" w:space="0" w:color="auto"/>
      </w:divBdr>
    </w:div>
    <w:div w:id="93938742">
      <w:marLeft w:val="0"/>
      <w:marRight w:val="0"/>
      <w:marTop w:val="0"/>
      <w:marBottom w:val="0"/>
      <w:divBdr>
        <w:top w:val="none" w:sz="0" w:space="0" w:color="auto"/>
        <w:left w:val="none" w:sz="0" w:space="0" w:color="auto"/>
        <w:bottom w:val="none" w:sz="0" w:space="0" w:color="auto"/>
        <w:right w:val="none" w:sz="0" w:space="0" w:color="auto"/>
      </w:divBdr>
    </w:div>
    <w:div w:id="93938743">
      <w:marLeft w:val="0"/>
      <w:marRight w:val="0"/>
      <w:marTop w:val="0"/>
      <w:marBottom w:val="0"/>
      <w:divBdr>
        <w:top w:val="none" w:sz="0" w:space="0" w:color="auto"/>
        <w:left w:val="none" w:sz="0" w:space="0" w:color="auto"/>
        <w:bottom w:val="none" w:sz="0" w:space="0" w:color="auto"/>
        <w:right w:val="none" w:sz="0" w:space="0" w:color="auto"/>
      </w:divBdr>
    </w:div>
    <w:div w:id="93938745">
      <w:marLeft w:val="0"/>
      <w:marRight w:val="0"/>
      <w:marTop w:val="0"/>
      <w:marBottom w:val="0"/>
      <w:divBdr>
        <w:top w:val="none" w:sz="0" w:space="0" w:color="auto"/>
        <w:left w:val="none" w:sz="0" w:space="0" w:color="auto"/>
        <w:bottom w:val="none" w:sz="0" w:space="0" w:color="auto"/>
        <w:right w:val="none" w:sz="0" w:space="0" w:color="auto"/>
      </w:divBdr>
    </w:div>
    <w:div w:id="93938746">
      <w:marLeft w:val="0"/>
      <w:marRight w:val="0"/>
      <w:marTop w:val="0"/>
      <w:marBottom w:val="0"/>
      <w:divBdr>
        <w:top w:val="none" w:sz="0" w:space="0" w:color="auto"/>
        <w:left w:val="none" w:sz="0" w:space="0" w:color="auto"/>
        <w:bottom w:val="none" w:sz="0" w:space="0" w:color="auto"/>
        <w:right w:val="none" w:sz="0" w:space="0" w:color="auto"/>
      </w:divBdr>
    </w:div>
    <w:div w:id="93938747">
      <w:marLeft w:val="0"/>
      <w:marRight w:val="0"/>
      <w:marTop w:val="0"/>
      <w:marBottom w:val="0"/>
      <w:divBdr>
        <w:top w:val="none" w:sz="0" w:space="0" w:color="auto"/>
        <w:left w:val="none" w:sz="0" w:space="0" w:color="auto"/>
        <w:bottom w:val="none" w:sz="0" w:space="0" w:color="auto"/>
        <w:right w:val="none" w:sz="0" w:space="0" w:color="auto"/>
      </w:divBdr>
    </w:div>
    <w:div w:id="93938748">
      <w:marLeft w:val="0"/>
      <w:marRight w:val="0"/>
      <w:marTop w:val="0"/>
      <w:marBottom w:val="0"/>
      <w:divBdr>
        <w:top w:val="none" w:sz="0" w:space="0" w:color="auto"/>
        <w:left w:val="none" w:sz="0" w:space="0" w:color="auto"/>
        <w:bottom w:val="none" w:sz="0" w:space="0" w:color="auto"/>
        <w:right w:val="none" w:sz="0" w:space="0" w:color="auto"/>
      </w:divBdr>
      <w:divsChild>
        <w:div w:id="93938762">
          <w:marLeft w:val="0"/>
          <w:marRight w:val="0"/>
          <w:marTop w:val="0"/>
          <w:marBottom w:val="0"/>
          <w:divBdr>
            <w:top w:val="none" w:sz="0" w:space="0" w:color="auto"/>
            <w:left w:val="none" w:sz="0" w:space="0" w:color="auto"/>
            <w:bottom w:val="none" w:sz="0" w:space="0" w:color="auto"/>
            <w:right w:val="none" w:sz="0" w:space="0" w:color="auto"/>
          </w:divBdr>
        </w:div>
      </w:divsChild>
    </w:div>
    <w:div w:id="93938750">
      <w:marLeft w:val="0"/>
      <w:marRight w:val="0"/>
      <w:marTop w:val="0"/>
      <w:marBottom w:val="0"/>
      <w:divBdr>
        <w:top w:val="none" w:sz="0" w:space="0" w:color="auto"/>
        <w:left w:val="none" w:sz="0" w:space="0" w:color="auto"/>
        <w:bottom w:val="none" w:sz="0" w:space="0" w:color="auto"/>
        <w:right w:val="none" w:sz="0" w:space="0" w:color="auto"/>
      </w:divBdr>
    </w:div>
    <w:div w:id="93938751">
      <w:marLeft w:val="0"/>
      <w:marRight w:val="0"/>
      <w:marTop w:val="0"/>
      <w:marBottom w:val="0"/>
      <w:divBdr>
        <w:top w:val="none" w:sz="0" w:space="0" w:color="auto"/>
        <w:left w:val="none" w:sz="0" w:space="0" w:color="auto"/>
        <w:bottom w:val="none" w:sz="0" w:space="0" w:color="auto"/>
        <w:right w:val="none" w:sz="0" w:space="0" w:color="auto"/>
      </w:divBdr>
      <w:divsChild>
        <w:div w:id="93938769">
          <w:marLeft w:val="0"/>
          <w:marRight w:val="0"/>
          <w:marTop w:val="0"/>
          <w:marBottom w:val="0"/>
          <w:divBdr>
            <w:top w:val="none" w:sz="0" w:space="0" w:color="auto"/>
            <w:left w:val="none" w:sz="0" w:space="0" w:color="auto"/>
            <w:bottom w:val="none" w:sz="0" w:space="0" w:color="auto"/>
            <w:right w:val="none" w:sz="0" w:space="0" w:color="auto"/>
          </w:divBdr>
          <w:divsChild>
            <w:div w:id="93938760">
              <w:marLeft w:val="0"/>
              <w:marRight w:val="0"/>
              <w:marTop w:val="0"/>
              <w:marBottom w:val="0"/>
              <w:divBdr>
                <w:top w:val="none" w:sz="0" w:space="0" w:color="auto"/>
                <w:left w:val="none" w:sz="0" w:space="0" w:color="auto"/>
                <w:bottom w:val="none" w:sz="0" w:space="0" w:color="auto"/>
                <w:right w:val="none" w:sz="0" w:space="0" w:color="auto"/>
              </w:divBdr>
              <w:divsChild>
                <w:div w:id="93938752">
                  <w:marLeft w:val="0"/>
                  <w:marRight w:val="0"/>
                  <w:marTop w:val="0"/>
                  <w:marBottom w:val="0"/>
                  <w:divBdr>
                    <w:top w:val="none" w:sz="0" w:space="0" w:color="auto"/>
                    <w:left w:val="none" w:sz="0" w:space="0" w:color="auto"/>
                    <w:bottom w:val="none" w:sz="0" w:space="0" w:color="auto"/>
                    <w:right w:val="none" w:sz="0" w:space="0" w:color="auto"/>
                  </w:divBdr>
                  <w:divsChild>
                    <w:div w:id="93938753">
                      <w:marLeft w:val="0"/>
                      <w:marRight w:val="0"/>
                      <w:marTop w:val="0"/>
                      <w:marBottom w:val="0"/>
                      <w:divBdr>
                        <w:top w:val="none" w:sz="0" w:space="0" w:color="auto"/>
                        <w:left w:val="none" w:sz="0" w:space="0" w:color="auto"/>
                        <w:bottom w:val="none" w:sz="0" w:space="0" w:color="auto"/>
                        <w:right w:val="none" w:sz="0" w:space="0" w:color="auto"/>
                      </w:divBdr>
                      <w:divsChild>
                        <w:div w:id="93938758">
                          <w:marLeft w:val="0"/>
                          <w:marRight w:val="0"/>
                          <w:marTop w:val="0"/>
                          <w:marBottom w:val="0"/>
                          <w:divBdr>
                            <w:top w:val="none" w:sz="0" w:space="0" w:color="auto"/>
                            <w:left w:val="none" w:sz="0" w:space="0" w:color="auto"/>
                            <w:bottom w:val="none" w:sz="0" w:space="0" w:color="auto"/>
                            <w:right w:val="none" w:sz="0" w:space="0" w:color="auto"/>
                          </w:divBdr>
                          <w:divsChild>
                            <w:div w:id="93938755">
                              <w:marLeft w:val="-225"/>
                              <w:marRight w:val="0"/>
                              <w:marTop w:val="0"/>
                              <w:marBottom w:val="0"/>
                              <w:divBdr>
                                <w:top w:val="none" w:sz="0" w:space="0" w:color="auto"/>
                                <w:left w:val="none" w:sz="0" w:space="0" w:color="auto"/>
                                <w:bottom w:val="none" w:sz="0" w:space="0" w:color="auto"/>
                                <w:right w:val="none" w:sz="0" w:space="0" w:color="auto"/>
                              </w:divBdr>
                              <w:divsChild>
                                <w:div w:id="93938759">
                                  <w:marLeft w:val="0"/>
                                  <w:marRight w:val="0"/>
                                  <w:marTop w:val="0"/>
                                  <w:marBottom w:val="0"/>
                                  <w:divBdr>
                                    <w:top w:val="none" w:sz="0" w:space="0" w:color="auto"/>
                                    <w:left w:val="none" w:sz="0" w:space="0" w:color="auto"/>
                                    <w:bottom w:val="none" w:sz="0" w:space="0" w:color="auto"/>
                                    <w:right w:val="none" w:sz="0" w:space="0" w:color="auto"/>
                                  </w:divBdr>
                                  <w:divsChild>
                                    <w:div w:id="93938749">
                                      <w:marLeft w:val="0"/>
                                      <w:marRight w:val="0"/>
                                      <w:marTop w:val="0"/>
                                      <w:marBottom w:val="0"/>
                                      <w:divBdr>
                                        <w:top w:val="none" w:sz="0" w:space="0" w:color="auto"/>
                                        <w:left w:val="none" w:sz="0" w:space="0" w:color="auto"/>
                                        <w:bottom w:val="none" w:sz="0" w:space="0" w:color="auto"/>
                                        <w:right w:val="none" w:sz="0" w:space="0" w:color="auto"/>
                                      </w:divBdr>
                                      <w:divsChild>
                                        <w:div w:id="93938744">
                                          <w:marLeft w:val="0"/>
                                          <w:marRight w:val="0"/>
                                          <w:marTop w:val="0"/>
                                          <w:marBottom w:val="0"/>
                                          <w:divBdr>
                                            <w:top w:val="none" w:sz="0" w:space="0" w:color="auto"/>
                                            <w:left w:val="none" w:sz="0" w:space="0" w:color="auto"/>
                                            <w:bottom w:val="none" w:sz="0" w:space="0" w:color="auto"/>
                                            <w:right w:val="none" w:sz="0" w:space="0" w:color="auto"/>
                                          </w:divBdr>
                                          <w:divsChild>
                                            <w:div w:id="93938761">
                                              <w:marLeft w:val="0"/>
                                              <w:marRight w:val="0"/>
                                              <w:marTop w:val="0"/>
                                              <w:marBottom w:val="0"/>
                                              <w:divBdr>
                                                <w:top w:val="none" w:sz="0" w:space="0" w:color="auto"/>
                                                <w:left w:val="none" w:sz="0" w:space="0" w:color="auto"/>
                                                <w:bottom w:val="none" w:sz="0" w:space="0" w:color="auto"/>
                                                <w:right w:val="none" w:sz="0" w:space="0" w:color="auto"/>
                                              </w:divBdr>
                                              <w:divsChild>
                                                <w:div w:id="9393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938754">
      <w:marLeft w:val="0"/>
      <w:marRight w:val="0"/>
      <w:marTop w:val="0"/>
      <w:marBottom w:val="0"/>
      <w:divBdr>
        <w:top w:val="none" w:sz="0" w:space="0" w:color="auto"/>
        <w:left w:val="none" w:sz="0" w:space="0" w:color="auto"/>
        <w:bottom w:val="none" w:sz="0" w:space="0" w:color="auto"/>
        <w:right w:val="none" w:sz="0" w:space="0" w:color="auto"/>
      </w:divBdr>
    </w:div>
    <w:div w:id="93938756">
      <w:marLeft w:val="0"/>
      <w:marRight w:val="0"/>
      <w:marTop w:val="0"/>
      <w:marBottom w:val="0"/>
      <w:divBdr>
        <w:top w:val="none" w:sz="0" w:space="0" w:color="auto"/>
        <w:left w:val="none" w:sz="0" w:space="0" w:color="auto"/>
        <w:bottom w:val="none" w:sz="0" w:space="0" w:color="auto"/>
        <w:right w:val="none" w:sz="0" w:space="0" w:color="auto"/>
      </w:divBdr>
    </w:div>
    <w:div w:id="93938757">
      <w:marLeft w:val="0"/>
      <w:marRight w:val="0"/>
      <w:marTop w:val="0"/>
      <w:marBottom w:val="0"/>
      <w:divBdr>
        <w:top w:val="none" w:sz="0" w:space="0" w:color="auto"/>
        <w:left w:val="none" w:sz="0" w:space="0" w:color="auto"/>
        <w:bottom w:val="none" w:sz="0" w:space="0" w:color="auto"/>
        <w:right w:val="none" w:sz="0" w:space="0" w:color="auto"/>
      </w:divBdr>
    </w:div>
    <w:div w:id="93938763">
      <w:marLeft w:val="0"/>
      <w:marRight w:val="0"/>
      <w:marTop w:val="0"/>
      <w:marBottom w:val="0"/>
      <w:divBdr>
        <w:top w:val="none" w:sz="0" w:space="0" w:color="auto"/>
        <w:left w:val="none" w:sz="0" w:space="0" w:color="auto"/>
        <w:bottom w:val="none" w:sz="0" w:space="0" w:color="auto"/>
        <w:right w:val="none" w:sz="0" w:space="0" w:color="auto"/>
      </w:divBdr>
    </w:div>
    <w:div w:id="93938764">
      <w:marLeft w:val="0"/>
      <w:marRight w:val="0"/>
      <w:marTop w:val="0"/>
      <w:marBottom w:val="0"/>
      <w:divBdr>
        <w:top w:val="none" w:sz="0" w:space="0" w:color="auto"/>
        <w:left w:val="none" w:sz="0" w:space="0" w:color="auto"/>
        <w:bottom w:val="none" w:sz="0" w:space="0" w:color="auto"/>
        <w:right w:val="none" w:sz="0" w:space="0" w:color="auto"/>
      </w:divBdr>
    </w:div>
    <w:div w:id="93938765">
      <w:marLeft w:val="0"/>
      <w:marRight w:val="0"/>
      <w:marTop w:val="0"/>
      <w:marBottom w:val="0"/>
      <w:divBdr>
        <w:top w:val="none" w:sz="0" w:space="0" w:color="auto"/>
        <w:left w:val="none" w:sz="0" w:space="0" w:color="auto"/>
        <w:bottom w:val="none" w:sz="0" w:space="0" w:color="auto"/>
        <w:right w:val="none" w:sz="0" w:space="0" w:color="auto"/>
      </w:divBdr>
    </w:div>
    <w:div w:id="93938766">
      <w:marLeft w:val="0"/>
      <w:marRight w:val="0"/>
      <w:marTop w:val="0"/>
      <w:marBottom w:val="0"/>
      <w:divBdr>
        <w:top w:val="none" w:sz="0" w:space="0" w:color="auto"/>
        <w:left w:val="none" w:sz="0" w:space="0" w:color="auto"/>
        <w:bottom w:val="none" w:sz="0" w:space="0" w:color="auto"/>
        <w:right w:val="none" w:sz="0" w:space="0" w:color="auto"/>
      </w:divBdr>
    </w:div>
    <w:div w:id="93938767">
      <w:marLeft w:val="0"/>
      <w:marRight w:val="0"/>
      <w:marTop w:val="0"/>
      <w:marBottom w:val="0"/>
      <w:divBdr>
        <w:top w:val="none" w:sz="0" w:space="0" w:color="auto"/>
        <w:left w:val="none" w:sz="0" w:space="0" w:color="auto"/>
        <w:bottom w:val="none" w:sz="0" w:space="0" w:color="auto"/>
        <w:right w:val="none" w:sz="0" w:space="0" w:color="auto"/>
      </w:divBdr>
    </w:div>
    <w:div w:id="219441289">
      <w:bodyDiv w:val="1"/>
      <w:marLeft w:val="0"/>
      <w:marRight w:val="0"/>
      <w:marTop w:val="0"/>
      <w:marBottom w:val="0"/>
      <w:divBdr>
        <w:top w:val="none" w:sz="0" w:space="0" w:color="auto"/>
        <w:left w:val="none" w:sz="0" w:space="0" w:color="auto"/>
        <w:bottom w:val="none" w:sz="0" w:space="0" w:color="auto"/>
        <w:right w:val="none" w:sz="0" w:space="0" w:color="auto"/>
      </w:divBdr>
    </w:div>
    <w:div w:id="410082174">
      <w:bodyDiv w:val="1"/>
      <w:marLeft w:val="0"/>
      <w:marRight w:val="0"/>
      <w:marTop w:val="0"/>
      <w:marBottom w:val="0"/>
      <w:divBdr>
        <w:top w:val="none" w:sz="0" w:space="0" w:color="auto"/>
        <w:left w:val="none" w:sz="0" w:space="0" w:color="auto"/>
        <w:bottom w:val="none" w:sz="0" w:space="0" w:color="auto"/>
        <w:right w:val="none" w:sz="0" w:space="0" w:color="auto"/>
      </w:divBdr>
    </w:div>
    <w:div w:id="442310229">
      <w:bodyDiv w:val="1"/>
      <w:marLeft w:val="0"/>
      <w:marRight w:val="0"/>
      <w:marTop w:val="0"/>
      <w:marBottom w:val="0"/>
      <w:divBdr>
        <w:top w:val="none" w:sz="0" w:space="0" w:color="auto"/>
        <w:left w:val="none" w:sz="0" w:space="0" w:color="auto"/>
        <w:bottom w:val="none" w:sz="0" w:space="0" w:color="auto"/>
        <w:right w:val="none" w:sz="0" w:space="0" w:color="auto"/>
      </w:divBdr>
    </w:div>
    <w:div w:id="695079248">
      <w:bodyDiv w:val="1"/>
      <w:marLeft w:val="0"/>
      <w:marRight w:val="0"/>
      <w:marTop w:val="0"/>
      <w:marBottom w:val="0"/>
      <w:divBdr>
        <w:top w:val="none" w:sz="0" w:space="0" w:color="auto"/>
        <w:left w:val="none" w:sz="0" w:space="0" w:color="auto"/>
        <w:bottom w:val="none" w:sz="0" w:space="0" w:color="auto"/>
        <w:right w:val="none" w:sz="0" w:space="0" w:color="auto"/>
      </w:divBdr>
    </w:div>
    <w:div w:id="776484491">
      <w:bodyDiv w:val="1"/>
      <w:marLeft w:val="0"/>
      <w:marRight w:val="0"/>
      <w:marTop w:val="0"/>
      <w:marBottom w:val="0"/>
      <w:divBdr>
        <w:top w:val="none" w:sz="0" w:space="0" w:color="auto"/>
        <w:left w:val="none" w:sz="0" w:space="0" w:color="auto"/>
        <w:bottom w:val="none" w:sz="0" w:space="0" w:color="auto"/>
        <w:right w:val="none" w:sz="0" w:space="0" w:color="auto"/>
      </w:divBdr>
    </w:div>
    <w:div w:id="795217761">
      <w:bodyDiv w:val="1"/>
      <w:marLeft w:val="0"/>
      <w:marRight w:val="0"/>
      <w:marTop w:val="0"/>
      <w:marBottom w:val="0"/>
      <w:divBdr>
        <w:top w:val="none" w:sz="0" w:space="0" w:color="auto"/>
        <w:left w:val="none" w:sz="0" w:space="0" w:color="auto"/>
        <w:bottom w:val="none" w:sz="0" w:space="0" w:color="auto"/>
        <w:right w:val="none" w:sz="0" w:space="0" w:color="auto"/>
      </w:divBdr>
    </w:div>
    <w:div w:id="1030646820">
      <w:bodyDiv w:val="1"/>
      <w:marLeft w:val="0"/>
      <w:marRight w:val="0"/>
      <w:marTop w:val="0"/>
      <w:marBottom w:val="0"/>
      <w:divBdr>
        <w:top w:val="none" w:sz="0" w:space="0" w:color="auto"/>
        <w:left w:val="none" w:sz="0" w:space="0" w:color="auto"/>
        <w:bottom w:val="none" w:sz="0" w:space="0" w:color="auto"/>
        <w:right w:val="none" w:sz="0" w:space="0" w:color="auto"/>
      </w:divBdr>
      <w:divsChild>
        <w:div w:id="2092044658">
          <w:marLeft w:val="0"/>
          <w:marRight w:val="0"/>
          <w:marTop w:val="0"/>
          <w:marBottom w:val="0"/>
          <w:divBdr>
            <w:top w:val="none" w:sz="0" w:space="0" w:color="auto"/>
            <w:left w:val="none" w:sz="0" w:space="0" w:color="auto"/>
            <w:bottom w:val="none" w:sz="0" w:space="0" w:color="auto"/>
            <w:right w:val="none" w:sz="0" w:space="0" w:color="auto"/>
          </w:divBdr>
          <w:divsChild>
            <w:div w:id="1102187677">
              <w:marLeft w:val="0"/>
              <w:marRight w:val="0"/>
              <w:marTop w:val="0"/>
              <w:marBottom w:val="0"/>
              <w:divBdr>
                <w:top w:val="none" w:sz="0" w:space="0" w:color="auto"/>
                <w:left w:val="none" w:sz="0" w:space="0" w:color="auto"/>
                <w:bottom w:val="none" w:sz="0" w:space="0" w:color="auto"/>
                <w:right w:val="none" w:sz="0" w:space="0" w:color="auto"/>
              </w:divBdr>
              <w:divsChild>
                <w:div w:id="476149219">
                  <w:marLeft w:val="0"/>
                  <w:marRight w:val="0"/>
                  <w:marTop w:val="0"/>
                  <w:marBottom w:val="0"/>
                  <w:divBdr>
                    <w:top w:val="none" w:sz="0" w:space="0" w:color="auto"/>
                    <w:left w:val="single" w:sz="4" w:space="0" w:color="999999"/>
                    <w:bottom w:val="none" w:sz="0" w:space="0" w:color="auto"/>
                    <w:right w:val="single" w:sz="4" w:space="0" w:color="999999"/>
                  </w:divBdr>
                  <w:divsChild>
                    <w:div w:id="1656567769">
                      <w:marLeft w:val="0"/>
                      <w:marRight w:val="0"/>
                      <w:marTop w:val="0"/>
                      <w:marBottom w:val="0"/>
                      <w:divBdr>
                        <w:top w:val="none" w:sz="0" w:space="0" w:color="auto"/>
                        <w:left w:val="none" w:sz="0" w:space="0" w:color="auto"/>
                        <w:bottom w:val="none" w:sz="0" w:space="0" w:color="auto"/>
                        <w:right w:val="none" w:sz="0" w:space="0" w:color="auto"/>
                      </w:divBdr>
                      <w:divsChild>
                        <w:div w:id="351954056">
                          <w:marLeft w:val="0"/>
                          <w:marRight w:val="0"/>
                          <w:marTop w:val="0"/>
                          <w:marBottom w:val="0"/>
                          <w:divBdr>
                            <w:top w:val="none" w:sz="0" w:space="0" w:color="auto"/>
                            <w:left w:val="none" w:sz="0" w:space="0" w:color="auto"/>
                            <w:bottom w:val="none" w:sz="0" w:space="0" w:color="auto"/>
                            <w:right w:val="none" w:sz="0" w:space="0" w:color="auto"/>
                          </w:divBdr>
                          <w:divsChild>
                            <w:div w:id="1730886347">
                              <w:marLeft w:val="0"/>
                              <w:marRight w:val="25"/>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93676">
      <w:bodyDiv w:val="1"/>
      <w:marLeft w:val="0"/>
      <w:marRight w:val="0"/>
      <w:marTop w:val="0"/>
      <w:marBottom w:val="0"/>
      <w:divBdr>
        <w:top w:val="none" w:sz="0" w:space="0" w:color="auto"/>
        <w:left w:val="none" w:sz="0" w:space="0" w:color="auto"/>
        <w:bottom w:val="none" w:sz="0" w:space="0" w:color="auto"/>
        <w:right w:val="none" w:sz="0" w:space="0" w:color="auto"/>
      </w:divBdr>
    </w:div>
    <w:div w:id="1123498794">
      <w:bodyDiv w:val="1"/>
      <w:marLeft w:val="0"/>
      <w:marRight w:val="0"/>
      <w:marTop w:val="0"/>
      <w:marBottom w:val="0"/>
      <w:divBdr>
        <w:top w:val="none" w:sz="0" w:space="0" w:color="auto"/>
        <w:left w:val="none" w:sz="0" w:space="0" w:color="auto"/>
        <w:bottom w:val="none" w:sz="0" w:space="0" w:color="auto"/>
        <w:right w:val="none" w:sz="0" w:space="0" w:color="auto"/>
      </w:divBdr>
    </w:div>
    <w:div w:id="1601721944">
      <w:bodyDiv w:val="1"/>
      <w:marLeft w:val="0"/>
      <w:marRight w:val="0"/>
      <w:marTop w:val="0"/>
      <w:marBottom w:val="0"/>
      <w:divBdr>
        <w:top w:val="none" w:sz="0" w:space="0" w:color="auto"/>
        <w:left w:val="none" w:sz="0" w:space="0" w:color="auto"/>
        <w:bottom w:val="none" w:sz="0" w:space="0" w:color="auto"/>
        <w:right w:val="none" w:sz="0" w:space="0" w:color="auto"/>
      </w:divBdr>
    </w:div>
    <w:div w:id="1635527489">
      <w:bodyDiv w:val="1"/>
      <w:marLeft w:val="0"/>
      <w:marRight w:val="0"/>
      <w:marTop w:val="0"/>
      <w:marBottom w:val="0"/>
      <w:divBdr>
        <w:top w:val="none" w:sz="0" w:space="0" w:color="auto"/>
        <w:left w:val="none" w:sz="0" w:space="0" w:color="auto"/>
        <w:bottom w:val="none" w:sz="0" w:space="0" w:color="auto"/>
        <w:right w:val="none" w:sz="0" w:space="0" w:color="auto"/>
      </w:divBdr>
    </w:div>
    <w:div w:id="1687949009">
      <w:bodyDiv w:val="1"/>
      <w:marLeft w:val="0"/>
      <w:marRight w:val="0"/>
      <w:marTop w:val="0"/>
      <w:marBottom w:val="0"/>
      <w:divBdr>
        <w:top w:val="none" w:sz="0" w:space="0" w:color="auto"/>
        <w:left w:val="none" w:sz="0" w:space="0" w:color="auto"/>
        <w:bottom w:val="none" w:sz="0" w:space="0" w:color="auto"/>
        <w:right w:val="none" w:sz="0" w:space="0" w:color="auto"/>
      </w:divBdr>
    </w:div>
    <w:div w:id="1814832654">
      <w:bodyDiv w:val="1"/>
      <w:marLeft w:val="0"/>
      <w:marRight w:val="0"/>
      <w:marTop w:val="0"/>
      <w:marBottom w:val="0"/>
      <w:divBdr>
        <w:top w:val="none" w:sz="0" w:space="0" w:color="auto"/>
        <w:left w:val="none" w:sz="0" w:space="0" w:color="auto"/>
        <w:bottom w:val="none" w:sz="0" w:space="0" w:color="auto"/>
        <w:right w:val="none" w:sz="0" w:space="0" w:color="auto"/>
      </w:divBdr>
      <w:divsChild>
        <w:div w:id="1765105210">
          <w:marLeft w:val="0"/>
          <w:marRight w:val="0"/>
          <w:marTop w:val="0"/>
          <w:marBottom w:val="0"/>
          <w:divBdr>
            <w:top w:val="none" w:sz="0" w:space="0" w:color="auto"/>
            <w:left w:val="none" w:sz="0" w:space="0" w:color="auto"/>
            <w:bottom w:val="none" w:sz="0" w:space="0" w:color="auto"/>
            <w:right w:val="none" w:sz="0" w:space="0" w:color="auto"/>
          </w:divBdr>
          <w:divsChild>
            <w:div w:id="748312341">
              <w:marLeft w:val="0"/>
              <w:marRight w:val="0"/>
              <w:marTop w:val="0"/>
              <w:marBottom w:val="0"/>
              <w:divBdr>
                <w:top w:val="none" w:sz="0" w:space="0" w:color="auto"/>
                <w:left w:val="none" w:sz="0" w:space="0" w:color="auto"/>
                <w:bottom w:val="none" w:sz="0" w:space="0" w:color="auto"/>
                <w:right w:val="none" w:sz="0" w:space="0" w:color="auto"/>
              </w:divBdr>
              <w:divsChild>
                <w:div w:id="349992993">
                  <w:marLeft w:val="0"/>
                  <w:marRight w:val="0"/>
                  <w:marTop w:val="0"/>
                  <w:marBottom w:val="0"/>
                  <w:divBdr>
                    <w:top w:val="none" w:sz="0" w:space="0" w:color="auto"/>
                    <w:left w:val="single" w:sz="4" w:space="0" w:color="999999"/>
                    <w:bottom w:val="none" w:sz="0" w:space="0" w:color="auto"/>
                    <w:right w:val="single" w:sz="4" w:space="0" w:color="999999"/>
                  </w:divBdr>
                  <w:divsChild>
                    <w:div w:id="2026858097">
                      <w:marLeft w:val="0"/>
                      <w:marRight w:val="0"/>
                      <w:marTop w:val="0"/>
                      <w:marBottom w:val="0"/>
                      <w:divBdr>
                        <w:top w:val="none" w:sz="0" w:space="0" w:color="auto"/>
                        <w:left w:val="none" w:sz="0" w:space="0" w:color="auto"/>
                        <w:bottom w:val="none" w:sz="0" w:space="0" w:color="auto"/>
                        <w:right w:val="none" w:sz="0" w:space="0" w:color="auto"/>
                      </w:divBdr>
                      <w:divsChild>
                        <w:div w:id="35591823">
                          <w:marLeft w:val="0"/>
                          <w:marRight w:val="0"/>
                          <w:marTop w:val="0"/>
                          <w:marBottom w:val="0"/>
                          <w:divBdr>
                            <w:top w:val="none" w:sz="0" w:space="0" w:color="auto"/>
                            <w:left w:val="none" w:sz="0" w:space="0" w:color="auto"/>
                            <w:bottom w:val="none" w:sz="0" w:space="0" w:color="auto"/>
                            <w:right w:val="none" w:sz="0" w:space="0" w:color="auto"/>
                          </w:divBdr>
                          <w:divsChild>
                            <w:div w:id="2110080702">
                              <w:marLeft w:val="0"/>
                              <w:marRight w:val="25"/>
                              <w:marTop w:val="72"/>
                              <w:marBottom w:val="0"/>
                              <w:divBdr>
                                <w:top w:val="none" w:sz="0" w:space="0" w:color="auto"/>
                                <w:left w:val="none" w:sz="0" w:space="0" w:color="auto"/>
                                <w:bottom w:val="none" w:sz="0" w:space="0" w:color="auto"/>
                                <w:right w:val="none" w:sz="0" w:space="0" w:color="auto"/>
                              </w:divBdr>
                              <w:divsChild>
                                <w:div w:id="1978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9097974">
      <w:bodyDiv w:val="1"/>
      <w:marLeft w:val="0"/>
      <w:marRight w:val="0"/>
      <w:marTop w:val="0"/>
      <w:marBottom w:val="0"/>
      <w:divBdr>
        <w:top w:val="none" w:sz="0" w:space="0" w:color="auto"/>
        <w:left w:val="none" w:sz="0" w:space="0" w:color="auto"/>
        <w:bottom w:val="none" w:sz="0" w:space="0" w:color="auto"/>
        <w:right w:val="none" w:sz="0" w:space="0" w:color="auto"/>
      </w:divBdr>
      <w:divsChild>
        <w:div w:id="291904156">
          <w:marLeft w:val="0"/>
          <w:marRight w:val="465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nvironment.gov.au/ewater/publications/index.html"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ublic.affairs@environment.gov.a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ewater@environment.gov.au"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1DD1BD-4623-4101-B387-3D5679709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1555</Words>
  <Characters>8856</Characters>
  <Application>Microsoft Office Word</Application>
  <DocSecurity>4</DocSecurity>
  <Lines>73</Lines>
  <Paragraphs>20</Paragraphs>
  <ScaleCrop>false</ScaleCrop>
  <LinksUpToDate>false</LinksUpToDate>
  <CharactersWithSpaces>10391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carryover from 2012-13 into 2013-14</dc:title>
  <dc:creator/>
  <cp:lastModifiedBy/>
  <cp:revision>1</cp:revision>
  <dcterms:created xsi:type="dcterms:W3CDTF">2013-09-16T05:48:00Z</dcterms:created>
  <dcterms:modified xsi:type="dcterms:W3CDTF">2013-09-16T05:48:00Z</dcterms:modified>
</cp:coreProperties>
</file>