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8DF" w:rsidRPr="00EF7FD6" w:rsidRDefault="00FA10EC">
      <w:pPr>
        <w:spacing w:after="0"/>
        <w:jc w:val="left"/>
        <w:rPr>
          <w:rFonts w:ascii="Century Gothic" w:hAnsi="Century Gothic"/>
          <w:b/>
          <w:sz w:val="36"/>
          <w:szCs w:val="36"/>
        </w:rPr>
      </w:pPr>
      <w:bookmarkStart w:id="0" w:name="_Toc319068435"/>
      <w:bookmarkStart w:id="1" w:name="_Toc319068756"/>
      <w:r>
        <w:rPr>
          <w:rFonts w:ascii="Century Gothic" w:hAnsi="Century Gothic"/>
          <w:b/>
          <w:noProof/>
          <w:sz w:val="36"/>
          <w:szCs w:val="36"/>
        </w:rPr>
        <w:drawing>
          <wp:anchor distT="0" distB="0" distL="114300" distR="114300" simplePos="0" relativeHeight="251764736" behindDoc="1" locked="0" layoutInCell="1" allowOverlap="1">
            <wp:simplePos x="0" y="0"/>
            <wp:positionH relativeFrom="column">
              <wp:posOffset>-950392</wp:posOffset>
            </wp:positionH>
            <wp:positionV relativeFrom="paragraph">
              <wp:posOffset>-1038453</wp:posOffset>
            </wp:positionV>
            <wp:extent cx="7692966" cy="11542144"/>
            <wp:effectExtent l="19050" t="0" r="3234" b="0"/>
            <wp:wrapNone/>
            <wp:docPr id="2" name="Picture 1" descr="\\pvac01file02\water$\Environment\Environmental Water\CEWH\Photos\20130502 Macquarie Marshes (David Straccione CEWO)\Monkeygar Wetland Swamphen 1 Ma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water$\Environment\Environmental Water\CEWH\Photos\20130502 Macquarie Marshes (David Straccione CEWO)\Monkeygar Wetland Swamphen 1 May 13.jpg"/>
                    <pic:cNvPicPr>
                      <a:picLocks noChangeAspect="1" noChangeArrowheads="1"/>
                    </pic:cNvPicPr>
                  </pic:nvPicPr>
                  <pic:blipFill>
                    <a:blip r:embed="rId7" cstate="email"/>
                    <a:stretch>
                      <a:fillRect/>
                    </a:stretch>
                  </pic:blipFill>
                  <pic:spPr bwMode="auto">
                    <a:xfrm>
                      <a:off x="0" y="0"/>
                      <a:ext cx="7692966" cy="11542144"/>
                    </a:xfrm>
                    <a:prstGeom prst="rect">
                      <a:avLst/>
                    </a:prstGeom>
                    <a:noFill/>
                    <a:ln w="9525">
                      <a:noFill/>
                      <a:miter lim="800000"/>
                      <a:headEnd/>
                      <a:tailEnd/>
                    </a:ln>
                  </pic:spPr>
                </pic:pic>
              </a:graphicData>
            </a:graphic>
          </wp:anchor>
        </w:drawing>
      </w:r>
      <w:r w:rsidR="00917613">
        <w:rPr>
          <w:rFonts w:ascii="Century Gothic" w:hAnsi="Century Gothic"/>
          <w:b/>
          <w:noProof/>
          <w:sz w:val="36"/>
          <w:szCs w:val="36"/>
        </w:rPr>
        <w:pict>
          <v:roundrect id="_x0000_s1413" style="position:absolute;margin-left:-155pt;margin-top:47.8pt;width:625.7pt;height:148.35pt;z-index:251750400;mso-position-horizontal-relative:text;mso-position-vertical-relative:text" arcsize="5246f" stroked="f"/>
        </w:pict>
      </w:r>
    </w:p>
    <w:p w:rsidR="008268DF" w:rsidRPr="00EF7FD6" w:rsidRDefault="008268DF">
      <w:pPr>
        <w:spacing w:after="0"/>
        <w:jc w:val="left"/>
        <w:rPr>
          <w:rFonts w:ascii="Century Gothic" w:hAnsi="Century Gothic"/>
          <w:b/>
          <w:sz w:val="36"/>
          <w:szCs w:val="36"/>
        </w:rPr>
      </w:pPr>
    </w:p>
    <w:p w:rsidR="008268DF" w:rsidRPr="00EF7FD6" w:rsidRDefault="00917613">
      <w:pPr>
        <w:spacing w:after="0"/>
        <w:jc w:val="left"/>
        <w:rPr>
          <w:rFonts w:ascii="Century Gothic" w:hAnsi="Century Gothic"/>
          <w:b/>
          <w:sz w:val="36"/>
          <w:szCs w:val="36"/>
        </w:rPr>
      </w:pPr>
      <w:r>
        <w:rPr>
          <w:rFonts w:ascii="Century Gothic" w:hAnsi="Century Gothic"/>
          <w:b/>
          <w:noProof/>
          <w:sz w:val="36"/>
          <w:szCs w:val="36"/>
        </w:rPr>
        <w:pict>
          <v:shapetype id="_x0000_t202" coordsize="21600,21600" o:spt="202" path="m,l,21600r21600,l21600,xe">
            <v:stroke joinstyle="miter"/>
            <v:path gradientshapeok="t" o:connecttype="rect"/>
          </v:shapetype>
          <v:shape id="_x0000_s1414" type="#_x0000_t202" style="position:absolute;margin-left:104.1pt;margin-top:14.35pt;width:342.85pt;height:94.2pt;z-index:251753472;mso-position-horizontal-relative:text;mso-position-vertical-relative:text;mso-width-relative:margin;mso-height-relative:margin" filled="f" stroked="f">
            <v:textbox style="mso-next-textbox:#_x0000_s1414">
              <w:txbxContent>
                <w:p w:rsidR="00091E43" w:rsidRPr="00AA02BA" w:rsidRDefault="00091E43" w:rsidP="006574E2">
                  <w:pPr>
                    <w:pStyle w:val="Para0"/>
                    <w:spacing w:after="120" w:line="240" w:lineRule="auto"/>
                    <w:ind w:left="-142" w:right="-81"/>
                    <w:jc w:val="right"/>
                    <w:rPr>
                      <w:rFonts w:ascii="Calibri" w:hAnsi="Calibri" w:cs="Calibri"/>
                      <w:b/>
                      <w:color w:val="5F497A" w:themeColor="accent4" w:themeShade="BF"/>
                      <w:sz w:val="42"/>
                      <w:szCs w:val="42"/>
                    </w:rPr>
                  </w:pPr>
                  <w:bookmarkStart w:id="2" w:name="OLE_LINK1"/>
                  <w:bookmarkStart w:id="3" w:name="OLE_LINK2"/>
                  <w:r w:rsidRPr="00AA02BA">
                    <w:rPr>
                      <w:rFonts w:ascii="Calibri" w:hAnsi="Calibri" w:cs="Calibri"/>
                      <w:b/>
                      <w:color w:val="5F497A" w:themeColor="accent4" w:themeShade="BF"/>
                      <w:sz w:val="42"/>
                      <w:szCs w:val="42"/>
                    </w:rPr>
                    <w:t>Commonwealth environmental water carryover from 2013–14 into 2014–15</w:t>
                  </w:r>
                </w:p>
                <w:bookmarkEnd w:id="2"/>
                <w:bookmarkEnd w:id="3"/>
                <w:p w:rsidR="00091E43" w:rsidRPr="009425E6" w:rsidRDefault="00091E43" w:rsidP="006574E2">
                  <w:pPr>
                    <w:pStyle w:val="Para0"/>
                    <w:spacing w:after="120" w:line="240" w:lineRule="auto"/>
                    <w:ind w:left="-142" w:right="-81"/>
                    <w:jc w:val="right"/>
                    <w:rPr>
                      <w:rFonts w:asciiTheme="minorHAnsi" w:hAnsiTheme="minorHAnsi" w:cstheme="minorHAnsi"/>
                      <w:sz w:val="36"/>
                      <w:szCs w:val="36"/>
                    </w:rPr>
                  </w:pPr>
                </w:p>
              </w:txbxContent>
            </v:textbox>
          </v:shape>
        </w:pict>
      </w:r>
      <w:r w:rsidR="00D61409" w:rsidRPr="00EF7FD6">
        <w:rPr>
          <w:rFonts w:ascii="Century Gothic" w:hAnsi="Century Gothic"/>
          <w:b/>
          <w:noProof/>
          <w:sz w:val="36"/>
          <w:szCs w:val="36"/>
        </w:rPr>
        <w:drawing>
          <wp:anchor distT="0" distB="0" distL="114300" distR="114300" simplePos="0" relativeHeight="251763712" behindDoc="0" locked="0" layoutInCell="1" allowOverlap="1">
            <wp:simplePos x="0" y="0"/>
            <wp:positionH relativeFrom="column">
              <wp:posOffset>-709323</wp:posOffset>
            </wp:positionH>
            <wp:positionV relativeFrom="paragraph">
              <wp:posOffset>844114</wp:posOffset>
            </wp:positionV>
            <wp:extent cx="2243938" cy="887104"/>
            <wp:effectExtent l="19050" t="0" r="3962" b="0"/>
            <wp:wrapNone/>
            <wp:docPr id="35"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8" cstate="email"/>
                    <a:stretch>
                      <a:fillRect/>
                    </a:stretch>
                  </pic:blipFill>
                  <pic:spPr>
                    <a:xfrm>
                      <a:off x="0" y="0"/>
                      <a:ext cx="2243938" cy="887104"/>
                    </a:xfrm>
                    <a:prstGeom prst="rect">
                      <a:avLst/>
                    </a:prstGeom>
                  </pic:spPr>
                </pic:pic>
              </a:graphicData>
            </a:graphic>
          </wp:anchor>
        </w:drawing>
      </w:r>
      <w:r w:rsidR="0045458B" w:rsidRPr="00EF7FD6">
        <w:rPr>
          <w:rFonts w:ascii="Century Gothic" w:hAnsi="Century Gothic"/>
          <w:b/>
          <w:noProof/>
          <w:sz w:val="36"/>
          <w:szCs w:val="36"/>
        </w:rPr>
        <w:drawing>
          <wp:anchor distT="0" distB="0" distL="114300" distR="114300" simplePos="0" relativeHeight="251755520" behindDoc="0" locked="0" layoutInCell="1" allowOverlap="1">
            <wp:simplePos x="0" y="0"/>
            <wp:positionH relativeFrom="column">
              <wp:posOffset>2305416</wp:posOffset>
            </wp:positionH>
            <wp:positionV relativeFrom="paragraph">
              <wp:posOffset>1379220</wp:posOffset>
            </wp:positionV>
            <wp:extent cx="3371484" cy="254000"/>
            <wp:effectExtent l="19050" t="0" r="366" b="0"/>
            <wp:wrapNone/>
            <wp:docPr id="8" name="Picture 13" descr="CEW_squ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squares.png"/>
                    <pic:cNvPicPr/>
                  </pic:nvPicPr>
                  <pic:blipFill>
                    <a:blip r:embed="rId9" cstate="email"/>
                    <a:stretch>
                      <a:fillRect/>
                    </a:stretch>
                  </pic:blipFill>
                  <pic:spPr>
                    <a:xfrm>
                      <a:off x="0" y="0"/>
                      <a:ext cx="3373727" cy="254169"/>
                    </a:xfrm>
                    <a:prstGeom prst="rect">
                      <a:avLst/>
                    </a:prstGeom>
                  </pic:spPr>
                </pic:pic>
              </a:graphicData>
            </a:graphic>
          </wp:anchor>
        </w:drawing>
      </w:r>
      <w:r w:rsidR="008268DF" w:rsidRPr="00EF7FD6">
        <w:rPr>
          <w:rFonts w:ascii="Century Gothic" w:hAnsi="Century Gothic"/>
          <w:b/>
          <w:sz w:val="36"/>
          <w:szCs w:val="36"/>
        </w:rPr>
        <w:br w:type="page"/>
      </w:r>
    </w:p>
    <w:p w:rsidR="0056742F" w:rsidRPr="00AA02BA" w:rsidRDefault="00977B54" w:rsidP="00977B54">
      <w:pPr>
        <w:pStyle w:val="Para0"/>
        <w:spacing w:after="120" w:line="240" w:lineRule="auto"/>
        <w:ind w:left="-142" w:right="-81"/>
        <w:jc w:val="center"/>
        <w:rPr>
          <w:rFonts w:ascii="Century Gothic" w:hAnsi="Century Gothic" w:cstheme="minorHAnsi"/>
          <w:b/>
          <w:color w:val="5F497A" w:themeColor="accent4" w:themeShade="BF"/>
          <w:sz w:val="36"/>
          <w:szCs w:val="36"/>
        </w:rPr>
      </w:pPr>
      <w:r w:rsidRPr="00AA02BA">
        <w:rPr>
          <w:rFonts w:ascii="Calibri" w:hAnsi="Calibri" w:cs="Calibri"/>
          <w:b/>
          <w:color w:val="5F497A" w:themeColor="accent4" w:themeShade="BF"/>
          <w:sz w:val="42"/>
          <w:szCs w:val="42"/>
        </w:rPr>
        <w:lastRenderedPageBreak/>
        <w:t>Commonwealth environmental water carryover from 201</w:t>
      </w:r>
      <w:r w:rsidR="00E322A5" w:rsidRPr="00AA02BA">
        <w:rPr>
          <w:rFonts w:ascii="Calibri" w:hAnsi="Calibri" w:cs="Calibri"/>
          <w:b/>
          <w:color w:val="5F497A" w:themeColor="accent4" w:themeShade="BF"/>
          <w:sz w:val="42"/>
          <w:szCs w:val="42"/>
        </w:rPr>
        <w:t>3–</w:t>
      </w:r>
      <w:r w:rsidRPr="00AA02BA">
        <w:rPr>
          <w:rFonts w:ascii="Calibri" w:hAnsi="Calibri" w:cs="Calibri"/>
          <w:b/>
          <w:color w:val="5F497A" w:themeColor="accent4" w:themeShade="BF"/>
          <w:sz w:val="42"/>
          <w:szCs w:val="42"/>
        </w:rPr>
        <w:t>1</w:t>
      </w:r>
      <w:r w:rsidR="00E322A5" w:rsidRPr="00AA02BA">
        <w:rPr>
          <w:rFonts w:ascii="Calibri" w:hAnsi="Calibri" w:cs="Calibri"/>
          <w:b/>
          <w:color w:val="5F497A" w:themeColor="accent4" w:themeShade="BF"/>
          <w:sz w:val="42"/>
          <w:szCs w:val="42"/>
        </w:rPr>
        <w:t>4</w:t>
      </w:r>
      <w:r w:rsidRPr="00AA02BA">
        <w:rPr>
          <w:rFonts w:ascii="Calibri" w:hAnsi="Calibri" w:cs="Calibri"/>
          <w:b/>
          <w:color w:val="5F497A" w:themeColor="accent4" w:themeShade="BF"/>
          <w:sz w:val="42"/>
          <w:szCs w:val="42"/>
        </w:rPr>
        <w:t xml:space="preserve"> into 201</w:t>
      </w:r>
      <w:r w:rsidR="00E322A5" w:rsidRPr="00AA02BA">
        <w:rPr>
          <w:rFonts w:ascii="Calibri" w:hAnsi="Calibri" w:cs="Calibri"/>
          <w:b/>
          <w:color w:val="5F497A" w:themeColor="accent4" w:themeShade="BF"/>
          <w:sz w:val="42"/>
          <w:szCs w:val="42"/>
        </w:rPr>
        <w:t>4–</w:t>
      </w:r>
      <w:r w:rsidRPr="00AA02BA">
        <w:rPr>
          <w:rFonts w:ascii="Calibri" w:hAnsi="Calibri" w:cs="Calibri"/>
          <w:b/>
          <w:color w:val="5F497A" w:themeColor="accent4" w:themeShade="BF"/>
          <w:sz w:val="42"/>
          <w:szCs w:val="42"/>
        </w:rPr>
        <w:t>1</w:t>
      </w:r>
      <w:bookmarkEnd w:id="0"/>
      <w:bookmarkEnd w:id="1"/>
      <w:r w:rsidR="00E322A5" w:rsidRPr="00AA02BA">
        <w:rPr>
          <w:rFonts w:ascii="Calibri" w:hAnsi="Calibri" w:cs="Calibri"/>
          <w:b/>
          <w:color w:val="5F497A" w:themeColor="accent4" w:themeShade="BF"/>
          <w:sz w:val="42"/>
          <w:szCs w:val="42"/>
        </w:rPr>
        <w:t>5</w:t>
      </w:r>
    </w:p>
    <w:p w:rsidR="007269D5" w:rsidRDefault="007269D5" w:rsidP="002B2968">
      <w:pPr>
        <w:pStyle w:val="TOC1"/>
      </w:pPr>
    </w:p>
    <w:p w:rsidR="0056742F" w:rsidRPr="00EF7FD6" w:rsidRDefault="0056742F" w:rsidP="002B2968">
      <w:pPr>
        <w:pStyle w:val="TOC1"/>
      </w:pPr>
      <w:r w:rsidRPr="00EF7FD6">
        <w:t>Table of contents</w:t>
      </w:r>
    </w:p>
    <w:p w:rsidR="001C0BC0" w:rsidRDefault="00917613">
      <w:pPr>
        <w:pStyle w:val="TOC1"/>
        <w:rPr>
          <w:rFonts w:asciiTheme="minorHAnsi" w:eastAsiaTheme="minorEastAsia" w:hAnsiTheme="minorHAnsi" w:cstheme="minorBidi"/>
          <w:b w:val="0"/>
          <w:sz w:val="22"/>
          <w:szCs w:val="22"/>
        </w:rPr>
      </w:pPr>
      <w:r w:rsidRPr="00EF7FD6">
        <w:fldChar w:fldCharType="begin"/>
      </w:r>
      <w:r w:rsidR="0056742F" w:rsidRPr="00EF7FD6">
        <w:instrText xml:space="preserve"> TOC \o "1-1" \h \z \t "Heading 2,2,Heading 3,3,Appendix 2,1" </w:instrText>
      </w:r>
      <w:r w:rsidRPr="00EF7FD6">
        <w:fldChar w:fldCharType="separate"/>
      </w:r>
      <w:hyperlink w:anchor="_Toc396996783" w:history="1">
        <w:r w:rsidR="001C0BC0" w:rsidRPr="004D1AD0">
          <w:rPr>
            <w:rStyle w:val="Hyperlink"/>
          </w:rPr>
          <w:t>1.</w:t>
        </w:r>
        <w:r w:rsidR="001C0BC0">
          <w:rPr>
            <w:rFonts w:asciiTheme="minorHAnsi" w:eastAsiaTheme="minorEastAsia" w:hAnsiTheme="minorHAnsi" w:cstheme="minorBidi"/>
            <w:b w:val="0"/>
            <w:sz w:val="22"/>
            <w:szCs w:val="22"/>
          </w:rPr>
          <w:tab/>
        </w:r>
        <w:r w:rsidR="001C0BC0" w:rsidRPr="004D1AD0">
          <w:rPr>
            <w:rStyle w:val="Hyperlink"/>
          </w:rPr>
          <w:t>Key points</w:t>
        </w:r>
        <w:r w:rsidR="001C0BC0">
          <w:rPr>
            <w:webHidden/>
          </w:rPr>
          <w:tab/>
        </w:r>
        <w:r>
          <w:rPr>
            <w:webHidden/>
          </w:rPr>
          <w:fldChar w:fldCharType="begin"/>
        </w:r>
        <w:r w:rsidR="001C0BC0">
          <w:rPr>
            <w:webHidden/>
          </w:rPr>
          <w:instrText xml:space="preserve"> PAGEREF _Toc396996783 \h </w:instrText>
        </w:r>
        <w:r>
          <w:rPr>
            <w:webHidden/>
          </w:rPr>
        </w:r>
        <w:r>
          <w:rPr>
            <w:webHidden/>
          </w:rPr>
          <w:fldChar w:fldCharType="separate"/>
        </w:r>
        <w:r w:rsidR="00B53E84">
          <w:rPr>
            <w:webHidden/>
          </w:rPr>
          <w:t>3</w:t>
        </w:r>
        <w:r>
          <w:rPr>
            <w:webHidden/>
          </w:rPr>
          <w:fldChar w:fldCharType="end"/>
        </w:r>
      </w:hyperlink>
    </w:p>
    <w:p w:rsidR="001C0BC0" w:rsidRDefault="00917613">
      <w:pPr>
        <w:pStyle w:val="TOC1"/>
        <w:rPr>
          <w:rFonts w:asciiTheme="minorHAnsi" w:eastAsiaTheme="minorEastAsia" w:hAnsiTheme="minorHAnsi" w:cstheme="minorBidi"/>
          <w:b w:val="0"/>
          <w:sz w:val="22"/>
          <w:szCs w:val="22"/>
        </w:rPr>
      </w:pPr>
      <w:hyperlink w:anchor="_Toc396996784" w:history="1">
        <w:r w:rsidR="001C0BC0" w:rsidRPr="004D1AD0">
          <w:rPr>
            <w:rStyle w:val="Hyperlink"/>
          </w:rPr>
          <w:t>2.</w:t>
        </w:r>
        <w:r w:rsidR="001C0BC0">
          <w:rPr>
            <w:rFonts w:asciiTheme="minorHAnsi" w:eastAsiaTheme="minorEastAsia" w:hAnsiTheme="minorHAnsi" w:cstheme="minorBidi"/>
            <w:b w:val="0"/>
            <w:sz w:val="22"/>
            <w:szCs w:val="22"/>
          </w:rPr>
          <w:tab/>
        </w:r>
        <w:r w:rsidR="001C0BC0" w:rsidRPr="004D1AD0">
          <w:rPr>
            <w:rStyle w:val="Hyperlink"/>
          </w:rPr>
          <w:t>Commonwealth environmental water carryover 2013–14 into 2014–15</w:t>
        </w:r>
        <w:r w:rsidR="001C0BC0">
          <w:rPr>
            <w:webHidden/>
          </w:rPr>
          <w:tab/>
        </w:r>
        <w:r>
          <w:rPr>
            <w:webHidden/>
          </w:rPr>
          <w:fldChar w:fldCharType="begin"/>
        </w:r>
        <w:r w:rsidR="001C0BC0">
          <w:rPr>
            <w:webHidden/>
          </w:rPr>
          <w:instrText xml:space="preserve"> PAGEREF _Toc396996784 \h </w:instrText>
        </w:r>
        <w:r>
          <w:rPr>
            <w:webHidden/>
          </w:rPr>
        </w:r>
        <w:r>
          <w:rPr>
            <w:webHidden/>
          </w:rPr>
          <w:fldChar w:fldCharType="separate"/>
        </w:r>
        <w:r w:rsidR="00B53E84">
          <w:rPr>
            <w:webHidden/>
          </w:rPr>
          <w:t>3</w:t>
        </w:r>
        <w:r>
          <w:rPr>
            <w:webHidden/>
          </w:rPr>
          <w:fldChar w:fldCharType="end"/>
        </w:r>
      </w:hyperlink>
    </w:p>
    <w:p w:rsidR="001C0BC0" w:rsidRDefault="00917613">
      <w:pPr>
        <w:pStyle w:val="TOC1"/>
        <w:rPr>
          <w:rFonts w:asciiTheme="minorHAnsi" w:eastAsiaTheme="minorEastAsia" w:hAnsiTheme="minorHAnsi" w:cstheme="minorBidi"/>
          <w:b w:val="0"/>
          <w:sz w:val="22"/>
          <w:szCs w:val="22"/>
        </w:rPr>
      </w:pPr>
      <w:hyperlink w:anchor="_Toc396996785" w:history="1">
        <w:r w:rsidR="001C0BC0" w:rsidRPr="004D1AD0">
          <w:rPr>
            <w:rStyle w:val="Hyperlink"/>
          </w:rPr>
          <w:t>3.</w:t>
        </w:r>
        <w:r w:rsidR="001C0BC0">
          <w:rPr>
            <w:rFonts w:asciiTheme="minorHAnsi" w:eastAsiaTheme="minorEastAsia" w:hAnsiTheme="minorHAnsi" w:cstheme="minorBidi"/>
            <w:b w:val="0"/>
            <w:sz w:val="22"/>
            <w:szCs w:val="22"/>
          </w:rPr>
          <w:tab/>
        </w:r>
        <w:r w:rsidR="001C0BC0" w:rsidRPr="004D1AD0">
          <w:rPr>
            <w:rStyle w:val="Hyperlink"/>
          </w:rPr>
          <w:t>Utilisation of Commonwealth environmental water</w:t>
        </w:r>
        <w:r w:rsidR="001C0BC0">
          <w:rPr>
            <w:webHidden/>
          </w:rPr>
          <w:tab/>
        </w:r>
        <w:r>
          <w:rPr>
            <w:webHidden/>
          </w:rPr>
          <w:fldChar w:fldCharType="begin"/>
        </w:r>
        <w:r w:rsidR="001C0BC0">
          <w:rPr>
            <w:webHidden/>
          </w:rPr>
          <w:instrText xml:space="preserve"> PAGEREF _Toc396996785 \h </w:instrText>
        </w:r>
        <w:r>
          <w:rPr>
            <w:webHidden/>
          </w:rPr>
        </w:r>
        <w:r>
          <w:rPr>
            <w:webHidden/>
          </w:rPr>
          <w:fldChar w:fldCharType="separate"/>
        </w:r>
        <w:r w:rsidR="00B53E84">
          <w:rPr>
            <w:webHidden/>
          </w:rPr>
          <w:t>5</w:t>
        </w:r>
        <w:r>
          <w:rPr>
            <w:webHidden/>
          </w:rPr>
          <w:fldChar w:fldCharType="end"/>
        </w:r>
      </w:hyperlink>
    </w:p>
    <w:p w:rsidR="001C0BC0" w:rsidRDefault="00917613">
      <w:pPr>
        <w:pStyle w:val="TOC1"/>
        <w:rPr>
          <w:rFonts w:asciiTheme="minorHAnsi" w:eastAsiaTheme="minorEastAsia" w:hAnsiTheme="minorHAnsi" w:cstheme="minorBidi"/>
          <w:b w:val="0"/>
          <w:sz w:val="22"/>
          <w:szCs w:val="22"/>
        </w:rPr>
      </w:pPr>
      <w:hyperlink w:anchor="_Toc396996786" w:history="1">
        <w:r w:rsidR="001C0BC0" w:rsidRPr="004D1AD0">
          <w:rPr>
            <w:rStyle w:val="Hyperlink"/>
          </w:rPr>
          <w:t>4.</w:t>
        </w:r>
        <w:r w:rsidR="001C0BC0">
          <w:rPr>
            <w:rFonts w:asciiTheme="minorHAnsi" w:eastAsiaTheme="minorEastAsia" w:hAnsiTheme="minorHAnsi" w:cstheme="minorBidi"/>
            <w:b w:val="0"/>
            <w:sz w:val="22"/>
            <w:szCs w:val="22"/>
          </w:rPr>
          <w:tab/>
        </w:r>
        <w:r w:rsidR="001C0BC0" w:rsidRPr="004D1AD0">
          <w:rPr>
            <w:rStyle w:val="Hyperlink"/>
          </w:rPr>
          <w:t>Background to Commonwealth environmental water carryover</w:t>
        </w:r>
        <w:r w:rsidR="001C0BC0">
          <w:rPr>
            <w:webHidden/>
          </w:rPr>
          <w:tab/>
        </w:r>
        <w:r>
          <w:rPr>
            <w:webHidden/>
          </w:rPr>
          <w:fldChar w:fldCharType="begin"/>
        </w:r>
        <w:r w:rsidR="001C0BC0">
          <w:rPr>
            <w:webHidden/>
          </w:rPr>
          <w:instrText xml:space="preserve"> PAGEREF _Toc396996786 \h </w:instrText>
        </w:r>
        <w:r>
          <w:rPr>
            <w:webHidden/>
          </w:rPr>
        </w:r>
        <w:r>
          <w:rPr>
            <w:webHidden/>
          </w:rPr>
          <w:fldChar w:fldCharType="separate"/>
        </w:r>
        <w:r w:rsidR="00B53E84">
          <w:rPr>
            <w:webHidden/>
          </w:rPr>
          <w:t>6</w:t>
        </w:r>
        <w:r>
          <w:rPr>
            <w:webHidden/>
          </w:rPr>
          <w:fldChar w:fldCharType="end"/>
        </w:r>
      </w:hyperlink>
    </w:p>
    <w:p w:rsidR="001851C3" w:rsidRPr="00287F3B" w:rsidRDefault="00917613" w:rsidP="002B2968">
      <w:pPr>
        <w:pStyle w:val="TOC1"/>
      </w:pPr>
      <w:r w:rsidRPr="00EF7FD6">
        <w:fldChar w:fldCharType="end"/>
      </w:r>
      <w:bookmarkStart w:id="4" w:name="_Toc329248318"/>
    </w:p>
    <w:p w:rsidR="00404110" w:rsidRDefault="00404110" w:rsidP="002D2B56">
      <w:pPr>
        <w:rPr>
          <w:rFonts w:ascii="Century Gothic" w:hAnsi="Century Gothic"/>
        </w:rPr>
      </w:pPr>
    </w:p>
    <w:p w:rsidR="00404110" w:rsidRPr="00FC6370" w:rsidRDefault="00404110" w:rsidP="00404110">
      <w:pPr>
        <w:rPr>
          <w:rFonts w:ascii="Century Gothic" w:hAnsi="Century Gothic"/>
        </w:rPr>
      </w:pPr>
    </w:p>
    <w:p w:rsidR="00404110" w:rsidRPr="00FC6370" w:rsidRDefault="00404110" w:rsidP="00404110">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sidR="00F056AA">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sidR="00F056AA">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Murray-Darling Basin</w:t>
      </w:r>
    </w:p>
    <w:p w:rsidR="00404110" w:rsidRPr="00F056AA" w:rsidRDefault="00F056AA" w:rsidP="00404110">
      <w:pPr>
        <w:jc w:val="left"/>
        <w:rPr>
          <w:rFonts w:ascii="Century Gothic" w:hAnsi="Century Gothic"/>
        </w:rPr>
      </w:pPr>
      <w:r w:rsidRPr="00F056AA">
        <w:rPr>
          <w:rFonts w:ascii="Century Gothic" w:hAnsi="Century Gothic"/>
          <w:iCs/>
          <w:color w:val="000000"/>
        </w:rPr>
        <w:t xml:space="preserve">The </w:t>
      </w:r>
      <w:r>
        <w:rPr>
          <w:rFonts w:ascii="Century Gothic" w:hAnsi="Century Gothic"/>
          <w:iCs/>
          <w:color w:val="000000"/>
        </w:rPr>
        <w:t>Co</w:t>
      </w:r>
      <w:r w:rsidR="00C44EC8">
        <w:rPr>
          <w:rFonts w:ascii="Century Gothic" w:hAnsi="Century Gothic"/>
          <w:iCs/>
          <w:color w:val="000000"/>
        </w:rPr>
        <w:t>mmonwealth Environmental Water Office</w:t>
      </w:r>
      <w:r w:rsidR="008B1B74">
        <w:rPr>
          <w:rFonts w:ascii="Century Gothic" w:hAnsi="Century Gothic"/>
          <w:iCs/>
          <w:color w:val="000000"/>
        </w:rPr>
        <w:t>, part of the De</w:t>
      </w:r>
      <w:r w:rsidR="004D6EB4">
        <w:rPr>
          <w:rFonts w:ascii="Century Gothic" w:hAnsi="Century Gothic"/>
          <w:iCs/>
          <w:color w:val="000000"/>
        </w:rPr>
        <w:t>p</w:t>
      </w:r>
      <w:r w:rsidR="008B1B74">
        <w:rPr>
          <w:rFonts w:ascii="Century Gothic" w:hAnsi="Century Gothic"/>
          <w:iCs/>
          <w:color w:val="000000"/>
        </w:rPr>
        <w:t>a</w:t>
      </w:r>
      <w:r w:rsidR="004D6EB4">
        <w:rPr>
          <w:rFonts w:ascii="Century Gothic" w:hAnsi="Century Gothic"/>
          <w:iCs/>
          <w:color w:val="000000"/>
        </w:rPr>
        <w:t>rtment of the Environment,</w:t>
      </w:r>
      <w:r w:rsidR="00C44EC8">
        <w:rPr>
          <w:rFonts w:ascii="Century Gothic" w:hAnsi="Century Gothic"/>
          <w:iCs/>
          <w:color w:val="000000"/>
        </w:rPr>
        <w:t xml:space="preserve"> </w:t>
      </w:r>
      <w:r w:rsidRPr="00F056AA">
        <w:rPr>
          <w:rFonts w:ascii="Century Gothic" w:hAnsi="Century Gothic"/>
          <w:iCs/>
          <w:color w:val="000000"/>
        </w:rPr>
        <w:t>acknowledges the traditional owners of country throughout Australia and their continuing connection to land, sea and community. We pay our respects to them and their cultures and to their elders both past and present.</w:t>
      </w:r>
    </w:p>
    <w:p w:rsidR="00404110" w:rsidRPr="00FC6370" w:rsidRDefault="00404110" w:rsidP="00404110">
      <w:pPr>
        <w:rPr>
          <w:rFonts w:ascii="Century Gothic" w:hAnsi="Century Gothic"/>
        </w:rPr>
      </w:pPr>
    </w:p>
    <w:p w:rsidR="00404110" w:rsidRDefault="00404110">
      <w:pPr>
        <w:spacing w:after="0"/>
        <w:jc w:val="left"/>
        <w:rPr>
          <w:rFonts w:ascii="Century Gothic" w:hAnsi="Century Gothic"/>
        </w:rPr>
      </w:pPr>
    </w:p>
    <w:p w:rsidR="002D2B56" w:rsidRPr="00FC6370" w:rsidRDefault="002D2B56" w:rsidP="002D2B56">
      <w:pPr>
        <w:ind w:left="2127" w:hanging="2127"/>
        <w:jc w:val="left"/>
        <w:rPr>
          <w:rFonts w:ascii="Century Gothic" w:hAnsi="Century Gothic"/>
          <w:color w:val="5F497A" w:themeColor="accent4" w:themeShade="BF"/>
        </w:rPr>
      </w:pPr>
      <w:r w:rsidRPr="007F7361">
        <w:rPr>
          <w:rFonts w:ascii="Century Gothic" w:hAnsi="Century Gothic"/>
          <w:color w:val="5F497A" w:themeColor="accent4" w:themeShade="BF"/>
        </w:rPr>
        <w:t>Cover image credit:</w:t>
      </w:r>
      <w:r>
        <w:rPr>
          <w:rFonts w:ascii="Century Gothic" w:hAnsi="Century Gothic"/>
          <w:color w:val="5F497A" w:themeColor="accent4" w:themeShade="BF"/>
        </w:rPr>
        <w:tab/>
      </w:r>
      <w:proofErr w:type="spellStart"/>
      <w:r w:rsidR="00E322A5">
        <w:rPr>
          <w:rFonts w:ascii="Century Gothic" w:hAnsi="Century Gothic"/>
          <w:color w:val="5F497A" w:themeColor="accent4" w:themeShade="BF"/>
        </w:rPr>
        <w:t>Buckiinguy</w:t>
      </w:r>
      <w:proofErr w:type="spellEnd"/>
      <w:r w:rsidR="00E322A5">
        <w:rPr>
          <w:rFonts w:ascii="Century Gothic" w:hAnsi="Century Gothic"/>
          <w:color w:val="5F497A" w:themeColor="accent4" w:themeShade="BF"/>
        </w:rPr>
        <w:t xml:space="preserve"> Swamp,</w:t>
      </w:r>
      <w:r>
        <w:rPr>
          <w:rFonts w:ascii="Century Gothic" w:hAnsi="Century Gothic"/>
          <w:color w:val="5F497A" w:themeColor="accent4" w:themeShade="BF"/>
        </w:rPr>
        <w:t xml:space="preserve"> </w:t>
      </w:r>
      <w:r w:rsidR="00A00276">
        <w:rPr>
          <w:rFonts w:ascii="Century Gothic" w:hAnsi="Century Gothic"/>
          <w:color w:val="5F497A" w:themeColor="accent4" w:themeShade="BF"/>
        </w:rPr>
        <w:t>Macquarie</w:t>
      </w:r>
      <w:r>
        <w:rPr>
          <w:rFonts w:ascii="Century Gothic" w:hAnsi="Century Gothic"/>
          <w:color w:val="5F497A" w:themeColor="accent4" w:themeShade="BF"/>
        </w:rPr>
        <w:t xml:space="preserve"> Marshes, 201</w:t>
      </w:r>
      <w:r w:rsidR="00E322A5">
        <w:rPr>
          <w:rFonts w:ascii="Century Gothic" w:hAnsi="Century Gothic"/>
          <w:color w:val="5F497A" w:themeColor="accent4" w:themeShade="BF"/>
        </w:rPr>
        <w:t>4</w:t>
      </w:r>
      <w:r w:rsidRPr="00FC6370">
        <w:rPr>
          <w:rFonts w:ascii="Century Gothic" w:hAnsi="Century Gothic"/>
          <w:color w:val="5F497A" w:themeColor="accent4" w:themeShade="BF"/>
        </w:rPr>
        <w:t xml:space="preserve">. </w:t>
      </w:r>
      <w:r>
        <w:rPr>
          <w:rFonts w:ascii="Century Gothic" w:hAnsi="Century Gothic"/>
          <w:color w:val="5F497A" w:themeColor="accent4" w:themeShade="BF"/>
        </w:rPr>
        <w:br/>
      </w:r>
      <w:r w:rsidRPr="00FC6370">
        <w:rPr>
          <w:rFonts w:ascii="Century Gothic" w:hAnsi="Century Gothic"/>
          <w:color w:val="5F497A" w:themeColor="accent4" w:themeShade="BF"/>
        </w:rPr>
        <w:t xml:space="preserve">Photo by </w:t>
      </w:r>
      <w:r w:rsidR="00E322A5">
        <w:rPr>
          <w:rFonts w:ascii="Century Gothic" w:hAnsi="Century Gothic"/>
          <w:color w:val="5F497A" w:themeColor="accent4" w:themeShade="BF"/>
        </w:rPr>
        <w:t>Hayley Behnke</w:t>
      </w:r>
      <w:r w:rsidRPr="00FC6370">
        <w:rPr>
          <w:rFonts w:ascii="Century Gothic" w:hAnsi="Century Gothic"/>
          <w:color w:val="5F497A" w:themeColor="accent4" w:themeShade="BF"/>
        </w:rPr>
        <w:t xml:space="preserve"> © CEWO </w:t>
      </w:r>
    </w:p>
    <w:p w:rsidR="00404110" w:rsidRDefault="00404110" w:rsidP="002D2B56">
      <w:pPr>
        <w:rPr>
          <w:rFonts w:ascii="Century Gothic" w:hAnsi="Century Gothic"/>
        </w:rPr>
      </w:pPr>
    </w:p>
    <w:p w:rsidR="00404110" w:rsidRDefault="00404110" w:rsidP="00404110">
      <w:pPr>
        <w:rPr>
          <w:rFonts w:ascii="Century Gothic" w:hAnsi="Century Gothic"/>
        </w:rPr>
      </w:pPr>
    </w:p>
    <w:p w:rsidR="002D2B56" w:rsidRDefault="002D2B56" w:rsidP="00404110">
      <w:pPr>
        <w:rPr>
          <w:rFonts w:ascii="Century Gothic" w:hAnsi="Century Gothic"/>
        </w:rPr>
      </w:pPr>
    </w:p>
    <w:p w:rsidR="002D2B56" w:rsidRDefault="002D2B56" w:rsidP="00404110">
      <w:pPr>
        <w:rPr>
          <w:rFonts w:ascii="Century Gothic" w:hAnsi="Century Gothic"/>
        </w:rPr>
      </w:pPr>
    </w:p>
    <w:p w:rsidR="00C44EC8" w:rsidRPr="00C3172B" w:rsidRDefault="00C44EC8" w:rsidP="00C44EC8">
      <w:pPr>
        <w:spacing w:after="0"/>
        <w:jc w:val="left"/>
        <w:rPr>
          <w:rFonts w:ascii="Century Gothic" w:hAnsi="Century Gothic"/>
          <w:color w:val="404040" w:themeColor="text1" w:themeTint="BF"/>
          <w:sz w:val="16"/>
          <w:szCs w:val="17"/>
        </w:rPr>
      </w:pPr>
      <w:r w:rsidRPr="00C3172B">
        <w:rPr>
          <w:rFonts w:ascii="Century Gothic" w:hAnsi="Century Gothic"/>
          <w:color w:val="404040" w:themeColor="text1" w:themeTint="BF"/>
          <w:sz w:val="16"/>
          <w:szCs w:val="17"/>
        </w:rPr>
        <w:t>© Copyright Commonwealth of Australia, 2014.</w:t>
      </w:r>
    </w:p>
    <w:p w:rsidR="00C44EC8" w:rsidRPr="00C3172B" w:rsidRDefault="00C44EC8" w:rsidP="00C44EC8">
      <w:pPr>
        <w:spacing w:after="0"/>
        <w:jc w:val="left"/>
        <w:rPr>
          <w:rFonts w:ascii="Century Gothic" w:hAnsi="Century Gothic"/>
          <w:color w:val="404040" w:themeColor="text1" w:themeTint="BF"/>
          <w:sz w:val="16"/>
          <w:szCs w:val="17"/>
        </w:rPr>
      </w:pPr>
    </w:p>
    <w:p w:rsidR="00C44EC8" w:rsidRPr="00C3172B" w:rsidRDefault="00C44EC8" w:rsidP="00C44EC8">
      <w:pPr>
        <w:spacing w:after="0"/>
        <w:jc w:val="left"/>
        <w:rPr>
          <w:rFonts w:ascii="Century Gothic" w:hAnsi="Century Gothic"/>
          <w:color w:val="404040" w:themeColor="text1" w:themeTint="BF"/>
          <w:sz w:val="16"/>
          <w:szCs w:val="17"/>
        </w:rPr>
      </w:pPr>
      <w:r>
        <w:rPr>
          <w:rFonts w:ascii="Century Gothic" w:hAnsi="Century Gothic"/>
          <w:noProof/>
          <w:color w:val="404040" w:themeColor="text1" w:themeTint="BF"/>
          <w:sz w:val="16"/>
          <w:szCs w:val="17"/>
        </w:rPr>
        <w:drawing>
          <wp:inline distT="0" distB="0" distL="0" distR="0">
            <wp:extent cx="1807845" cy="457200"/>
            <wp:effectExtent l="19050" t="0" r="1905" b="0"/>
            <wp:docPr id="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0" cstate="email"/>
                    <a:srcRect/>
                    <a:stretch>
                      <a:fillRect/>
                    </a:stretch>
                  </pic:blipFill>
                  <pic:spPr bwMode="auto">
                    <a:xfrm>
                      <a:off x="0" y="0"/>
                      <a:ext cx="1807845" cy="457200"/>
                    </a:xfrm>
                    <a:prstGeom prst="rect">
                      <a:avLst/>
                    </a:prstGeom>
                    <a:noFill/>
                    <a:ln w="9525">
                      <a:noFill/>
                      <a:miter lim="800000"/>
                      <a:headEnd/>
                      <a:tailEnd/>
                    </a:ln>
                  </pic:spPr>
                </pic:pic>
              </a:graphicData>
            </a:graphic>
          </wp:inline>
        </w:drawing>
      </w:r>
      <w:r w:rsidRPr="00C3172B">
        <w:rPr>
          <w:rFonts w:ascii="Century Gothic" w:hAnsi="Century Gothic"/>
          <w:color w:val="404040" w:themeColor="text1" w:themeTint="BF"/>
          <w:sz w:val="16"/>
          <w:szCs w:val="17"/>
        </w:rPr>
        <w:br/>
      </w:r>
    </w:p>
    <w:p w:rsidR="00C44EC8" w:rsidRPr="00C3172B" w:rsidRDefault="00C44EC8" w:rsidP="00C44EC8">
      <w:pPr>
        <w:autoSpaceDE w:val="0"/>
        <w:autoSpaceDN w:val="0"/>
        <w:jc w:val="left"/>
        <w:rPr>
          <w:rFonts w:ascii="Century Gothic" w:hAnsi="Century Gothic"/>
          <w:color w:val="404040" w:themeColor="text1" w:themeTint="BF"/>
          <w:sz w:val="16"/>
          <w:szCs w:val="17"/>
        </w:rPr>
      </w:pPr>
      <w:r>
        <w:rPr>
          <w:rFonts w:ascii="Century Gothic" w:hAnsi="Century Gothic"/>
          <w:i/>
          <w:iCs/>
          <w:color w:val="414142"/>
          <w:sz w:val="16"/>
          <w:szCs w:val="16"/>
          <w:lang w:val="en-GB"/>
        </w:rPr>
        <w:t xml:space="preserve">Commonwealth environmental water </w:t>
      </w:r>
      <w:r w:rsidRPr="00967800">
        <w:rPr>
          <w:rFonts w:ascii="Century Gothic" w:hAnsi="Century Gothic"/>
          <w:i/>
          <w:iCs/>
          <w:color w:val="414142"/>
          <w:sz w:val="16"/>
          <w:szCs w:val="16"/>
          <w:lang w:val="en-GB"/>
        </w:rPr>
        <w:t>carryover from 201</w:t>
      </w:r>
      <w:r>
        <w:rPr>
          <w:rFonts w:ascii="Century Gothic" w:hAnsi="Century Gothic"/>
          <w:i/>
          <w:iCs/>
          <w:color w:val="414142"/>
          <w:sz w:val="16"/>
          <w:szCs w:val="16"/>
          <w:lang w:val="en-GB"/>
        </w:rPr>
        <w:t>3–</w:t>
      </w:r>
      <w:r w:rsidRPr="00967800">
        <w:rPr>
          <w:rFonts w:ascii="Century Gothic" w:hAnsi="Century Gothic"/>
          <w:i/>
          <w:iCs/>
          <w:color w:val="414142"/>
          <w:sz w:val="16"/>
          <w:szCs w:val="16"/>
          <w:lang w:val="en-GB"/>
        </w:rPr>
        <w:t>1</w:t>
      </w:r>
      <w:r>
        <w:rPr>
          <w:rFonts w:ascii="Century Gothic" w:hAnsi="Century Gothic"/>
          <w:i/>
          <w:iCs/>
          <w:color w:val="414142"/>
          <w:sz w:val="16"/>
          <w:szCs w:val="16"/>
          <w:lang w:val="en-GB"/>
        </w:rPr>
        <w:t>4</w:t>
      </w:r>
      <w:r w:rsidRPr="00967800">
        <w:rPr>
          <w:rFonts w:ascii="Century Gothic" w:hAnsi="Century Gothic"/>
          <w:i/>
          <w:iCs/>
          <w:color w:val="414142"/>
          <w:sz w:val="16"/>
          <w:szCs w:val="16"/>
          <w:lang w:val="en-GB"/>
        </w:rPr>
        <w:t xml:space="preserve"> into 201</w:t>
      </w:r>
      <w:r>
        <w:rPr>
          <w:rFonts w:ascii="Century Gothic" w:hAnsi="Century Gothic"/>
          <w:i/>
          <w:iCs/>
          <w:color w:val="414142"/>
          <w:sz w:val="16"/>
          <w:szCs w:val="16"/>
          <w:lang w:val="en-GB"/>
        </w:rPr>
        <w:t>4–</w:t>
      </w:r>
      <w:r w:rsidRPr="00967800">
        <w:rPr>
          <w:rFonts w:ascii="Century Gothic" w:hAnsi="Century Gothic"/>
          <w:i/>
          <w:iCs/>
          <w:color w:val="414142"/>
          <w:sz w:val="16"/>
          <w:szCs w:val="16"/>
          <w:lang w:val="en-GB"/>
        </w:rPr>
        <w:t>1</w:t>
      </w:r>
      <w:r>
        <w:rPr>
          <w:rFonts w:ascii="Century Gothic" w:hAnsi="Century Gothic"/>
          <w:i/>
          <w:iCs/>
          <w:color w:val="414142"/>
          <w:sz w:val="16"/>
          <w:szCs w:val="16"/>
          <w:lang w:val="en-GB"/>
        </w:rPr>
        <w:t>5</w:t>
      </w:r>
      <w:r w:rsidRPr="00C3172B">
        <w:rPr>
          <w:rFonts w:ascii="Century Gothic" w:hAnsi="Century Gothic"/>
          <w:color w:val="404040" w:themeColor="text1" w:themeTint="BF"/>
          <w:sz w:val="16"/>
          <w:szCs w:val="17"/>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1" w:history="1">
        <w:r w:rsidRPr="00C3172B">
          <w:rPr>
            <w:rFonts w:ascii="Century Gothic" w:hAnsi="Century Gothic"/>
            <w:color w:val="404040" w:themeColor="text1" w:themeTint="BF"/>
            <w:sz w:val="16"/>
            <w:szCs w:val="17"/>
          </w:rPr>
          <w:t>http://creativecommons.org/licenses/by/3.0/au/</w:t>
        </w:r>
      </w:hyperlink>
      <w:r>
        <w:t xml:space="preserve"> </w:t>
      </w:r>
      <w:r w:rsidRPr="00C3172B">
        <w:rPr>
          <w:rFonts w:ascii="Century Gothic" w:hAnsi="Century Gothic"/>
          <w:color w:val="404040" w:themeColor="text1" w:themeTint="BF"/>
          <w:sz w:val="16"/>
          <w:szCs w:val="17"/>
        </w:rPr>
        <w:t xml:space="preserve"> </w:t>
      </w:r>
    </w:p>
    <w:p w:rsidR="00C44EC8" w:rsidRPr="00C44EC8" w:rsidRDefault="00C44EC8" w:rsidP="00C44EC8">
      <w:pPr>
        <w:spacing w:after="0"/>
        <w:jc w:val="left"/>
        <w:rPr>
          <w:rFonts w:ascii="Century Gothic" w:hAnsi="Century Gothic"/>
          <w:color w:val="404040" w:themeColor="text1" w:themeTint="BF"/>
          <w:sz w:val="16"/>
          <w:szCs w:val="16"/>
        </w:rPr>
      </w:pPr>
      <w:r w:rsidRPr="00C44EC8">
        <w:rPr>
          <w:rFonts w:ascii="Century Gothic" w:hAnsi="Century Gothic"/>
          <w:color w:val="404040" w:themeColor="text1" w:themeTint="BF"/>
          <w:sz w:val="16"/>
          <w:szCs w:val="16"/>
        </w:rPr>
        <w:t>This report should be attributed as ‘</w:t>
      </w:r>
      <w:r w:rsidRPr="00C44EC8">
        <w:rPr>
          <w:rFonts w:ascii="Century Gothic" w:hAnsi="Century Gothic"/>
          <w:iCs/>
          <w:color w:val="414142"/>
          <w:sz w:val="16"/>
          <w:szCs w:val="16"/>
          <w:lang w:val="en-GB"/>
        </w:rPr>
        <w:t>Commonwealth environmental water carryover from 2013–14 into 2014–15</w:t>
      </w:r>
      <w:r w:rsidRPr="00C44EC8">
        <w:rPr>
          <w:rFonts w:ascii="Century Gothic" w:hAnsi="Century Gothic"/>
          <w:color w:val="404040" w:themeColor="text1" w:themeTint="BF"/>
          <w:sz w:val="16"/>
          <w:szCs w:val="16"/>
        </w:rPr>
        <w:t>’.</w:t>
      </w:r>
    </w:p>
    <w:p w:rsidR="00C44EC8" w:rsidRDefault="00C44EC8" w:rsidP="00C44EC8">
      <w:pPr>
        <w:spacing w:after="0"/>
        <w:jc w:val="left"/>
        <w:rPr>
          <w:rFonts w:ascii="Century Gothic" w:hAnsi="Century Gothic"/>
          <w:color w:val="404040" w:themeColor="text1" w:themeTint="BF"/>
          <w:sz w:val="16"/>
          <w:szCs w:val="17"/>
        </w:rPr>
      </w:pPr>
    </w:p>
    <w:p w:rsidR="00C44EC8" w:rsidRPr="00EF3350" w:rsidRDefault="00C44EC8" w:rsidP="00C44EC8">
      <w:pPr>
        <w:spacing w:after="0"/>
        <w:jc w:val="left"/>
        <w:rPr>
          <w:rFonts w:ascii="Century Gothic" w:hAnsi="Century Gothic"/>
          <w:color w:val="414142"/>
          <w:sz w:val="16"/>
          <w:szCs w:val="16"/>
        </w:rPr>
      </w:pPr>
      <w:r w:rsidRPr="00EF7FD6">
        <w:rPr>
          <w:rFonts w:ascii="Century Gothic" w:hAnsi="Century Gothic"/>
          <w:color w:val="414142"/>
          <w:sz w:val="16"/>
          <w:szCs w:val="16"/>
        </w:rPr>
        <w:t xml:space="preserve">The views and opinions expressed in this publication are those of the authors and do not necessarily reflect those of the Australian Government or the Minister for </w:t>
      </w:r>
      <w:r>
        <w:rPr>
          <w:rFonts w:ascii="Century Gothic" w:hAnsi="Century Gothic"/>
          <w:color w:val="414142"/>
          <w:sz w:val="16"/>
          <w:szCs w:val="16"/>
        </w:rPr>
        <w:t>the</w:t>
      </w:r>
      <w:r w:rsidRPr="00EF7FD6">
        <w:rPr>
          <w:rFonts w:ascii="Century Gothic" w:hAnsi="Century Gothic"/>
          <w:color w:val="414142"/>
          <w:sz w:val="16"/>
          <w:szCs w:val="16"/>
        </w:rPr>
        <w:t xml:space="preserv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ascii="Century Gothic" w:hAnsi="Century Gothic"/>
          <w:color w:val="414142"/>
          <w:sz w:val="16"/>
          <w:szCs w:val="16"/>
        </w:rPr>
        <w:t>.</w:t>
      </w:r>
    </w:p>
    <w:p w:rsidR="001851C3" w:rsidRPr="00EF7FD6" w:rsidRDefault="001851C3">
      <w:pPr>
        <w:spacing w:after="0"/>
        <w:jc w:val="left"/>
        <w:rPr>
          <w:rFonts w:ascii="Century Gothic" w:hAnsi="Century Gothic"/>
        </w:rPr>
      </w:pPr>
      <w:r w:rsidRPr="00EF7FD6">
        <w:rPr>
          <w:rFonts w:ascii="Century Gothic" w:hAnsi="Century Gothic"/>
        </w:rPr>
        <w:br w:type="page"/>
      </w:r>
    </w:p>
    <w:p w:rsidR="002B40CB" w:rsidRPr="00CE4987" w:rsidRDefault="00917613" w:rsidP="00EA1FD4">
      <w:pPr>
        <w:pStyle w:val="Heading1"/>
        <w:jc w:val="left"/>
        <w:rPr>
          <w:rFonts w:ascii="Century Gothic" w:hAnsi="Century Gothic"/>
          <w:color w:val="5F497A" w:themeColor="accent4" w:themeShade="BF"/>
          <w:sz w:val="36"/>
          <w:szCs w:val="36"/>
        </w:rPr>
      </w:pPr>
      <w:r>
        <w:rPr>
          <w:rFonts w:ascii="Century Gothic" w:hAnsi="Century Gothic"/>
          <w:noProof/>
          <w:color w:val="5F497A" w:themeColor="accent4" w:themeShade="BF"/>
          <w:sz w:val="36"/>
          <w:szCs w:val="36"/>
          <w:lang w:val="en-AU" w:eastAsia="en-AU"/>
        </w:rPr>
        <w:lastRenderedPageBreak/>
        <w:pict>
          <v:roundrect id="_x0000_s1444" style="position:absolute;left:0;text-align:left;margin-left:-12.8pt;margin-top:-19.2pt;width:486pt;height:366.05pt;z-index:-251567105" arcsize="10923f" strokecolor="#4a2683">
            <v:fill opacity="0"/>
          </v:roundrect>
        </w:pict>
      </w:r>
      <w:bookmarkStart w:id="5" w:name="_Toc396996783"/>
      <w:r w:rsidR="00967800" w:rsidRPr="00CE4987">
        <w:rPr>
          <w:rFonts w:ascii="Century Gothic" w:hAnsi="Century Gothic"/>
          <w:color w:val="5F497A" w:themeColor="accent4" w:themeShade="BF"/>
          <w:sz w:val="36"/>
          <w:szCs w:val="36"/>
        </w:rPr>
        <w:t>Key points</w:t>
      </w:r>
      <w:bookmarkEnd w:id="4"/>
      <w:bookmarkEnd w:id="5"/>
    </w:p>
    <w:p w:rsidR="00E11D2E" w:rsidRDefault="00DD3023" w:rsidP="00E70538">
      <w:pPr>
        <w:pStyle w:val="ListNumber"/>
        <w:numPr>
          <w:ilvl w:val="0"/>
          <w:numId w:val="13"/>
        </w:numPr>
        <w:spacing w:after="120"/>
        <w:jc w:val="left"/>
        <w:rPr>
          <w:rFonts w:ascii="Century Gothic" w:hAnsi="Century Gothic"/>
        </w:rPr>
      </w:pPr>
      <w:r w:rsidRPr="00E70538">
        <w:rPr>
          <w:rFonts w:ascii="Century Gothic" w:hAnsi="Century Gothic"/>
        </w:rPr>
        <w:t>On 1 July 2014, the Commonwealth carried over a total of 449.9 GL of water. This included 448.6 GL in regulated surface water accounts and 1.3 GL in groundwater accounts. The 448.6 GL of surface water carryover is equivalent to 2 per cent of public storage capacity across the Murray-Darling Basin. The 449.9 GL carried over into 2014</w:t>
      </w:r>
      <w:r w:rsidR="004D3D43">
        <w:rPr>
          <w:rFonts w:ascii="Century Gothic" w:hAnsi="Century Gothic"/>
        </w:rPr>
        <w:t>–</w:t>
      </w:r>
      <w:r w:rsidRPr="00E70538">
        <w:rPr>
          <w:rFonts w:ascii="Century Gothic" w:hAnsi="Century Gothic"/>
        </w:rPr>
        <w:t>15 was greater than the 393.7 GL carried over into 2013</w:t>
      </w:r>
      <w:r w:rsidR="004D3D43">
        <w:rPr>
          <w:rFonts w:ascii="Century Gothic" w:hAnsi="Century Gothic"/>
        </w:rPr>
        <w:t>–</w:t>
      </w:r>
      <w:r w:rsidRPr="00E70538">
        <w:rPr>
          <w:rFonts w:ascii="Century Gothic" w:hAnsi="Century Gothic"/>
        </w:rPr>
        <w:t xml:space="preserve">14, predominately due to the increased volume carried over in the NSW and Victorian Murray systems. </w:t>
      </w:r>
    </w:p>
    <w:p w:rsidR="00E11D2E" w:rsidRDefault="00E11D2E" w:rsidP="00E11D2E">
      <w:pPr>
        <w:pStyle w:val="ListNumber"/>
        <w:numPr>
          <w:ilvl w:val="0"/>
          <w:numId w:val="0"/>
        </w:numPr>
        <w:spacing w:after="120"/>
        <w:ind w:left="947"/>
        <w:jc w:val="left"/>
        <w:rPr>
          <w:rFonts w:ascii="Century Gothic" w:hAnsi="Century Gothic"/>
        </w:rPr>
      </w:pPr>
    </w:p>
    <w:p w:rsidR="00DD3023" w:rsidRPr="00E70538" w:rsidRDefault="00E11D2E" w:rsidP="00E70538">
      <w:pPr>
        <w:pStyle w:val="ListNumber"/>
        <w:numPr>
          <w:ilvl w:val="0"/>
          <w:numId w:val="13"/>
        </w:numPr>
        <w:spacing w:after="120"/>
        <w:jc w:val="left"/>
        <w:rPr>
          <w:rFonts w:ascii="Century Gothic" w:hAnsi="Century Gothic"/>
        </w:rPr>
      </w:pPr>
      <w:r w:rsidRPr="00E70538">
        <w:rPr>
          <w:rFonts w:ascii="Century Gothic" w:hAnsi="Century Gothic"/>
        </w:rPr>
        <w:t>Lower use in 2013</w:t>
      </w:r>
      <w:r>
        <w:rPr>
          <w:rFonts w:ascii="Century Gothic" w:hAnsi="Century Gothic"/>
        </w:rPr>
        <w:t>–</w:t>
      </w:r>
      <w:r w:rsidRPr="00E70538">
        <w:rPr>
          <w:rFonts w:ascii="Century Gothic" w:hAnsi="Century Gothic"/>
        </w:rPr>
        <w:t>14 was primarily due to delivery constraints in the south of the basin associated with works at Lake Victoria and the relatively dry outlook warranting a more conservative approach to ensure future environmental needs can be met. The water carried over in the southern connected Basin is planned to be used to supply early season demands in the Goulburn and Murrumbidgee catchments.</w:t>
      </w:r>
      <w:r w:rsidR="00E70538" w:rsidRPr="00E70538">
        <w:rPr>
          <w:rFonts w:ascii="Century Gothic" w:hAnsi="Century Gothic"/>
        </w:rPr>
        <w:br/>
      </w:r>
    </w:p>
    <w:p w:rsidR="00DD3023" w:rsidRPr="008B1B74" w:rsidRDefault="00DD3023" w:rsidP="008B1B74">
      <w:pPr>
        <w:pStyle w:val="ListNumber"/>
        <w:numPr>
          <w:ilvl w:val="0"/>
          <w:numId w:val="13"/>
        </w:numPr>
        <w:spacing w:after="120"/>
        <w:jc w:val="left"/>
        <w:rPr>
          <w:rFonts w:ascii="Century Gothic" w:hAnsi="Century Gothic"/>
        </w:rPr>
      </w:pPr>
      <w:r w:rsidRPr="00E70538">
        <w:rPr>
          <w:rFonts w:ascii="Century Gothic" w:hAnsi="Century Gothic"/>
        </w:rPr>
        <w:t>The Commonwealth owns water entitlements which retain their original characteristics and are managed in accordance with State government rules that apply to equivalent entitlement holders, including the rules governing carryover and the accrual of annual water allocation. Like any other water user, the Commonwealth is not able to disproportionately fill up dams relative to its entitlement holdings.</w:t>
      </w:r>
      <w:r w:rsidR="00E70538" w:rsidRPr="00E70538">
        <w:rPr>
          <w:rFonts w:ascii="Century Gothic" w:hAnsi="Century Gothic"/>
        </w:rPr>
        <w:br/>
      </w:r>
    </w:p>
    <w:p w:rsidR="00DD3023" w:rsidRPr="00E70538" w:rsidRDefault="00DD3023" w:rsidP="00E70538">
      <w:pPr>
        <w:pStyle w:val="ListNumber"/>
        <w:numPr>
          <w:ilvl w:val="0"/>
          <w:numId w:val="13"/>
        </w:numPr>
        <w:spacing w:after="120"/>
        <w:jc w:val="left"/>
        <w:rPr>
          <w:rFonts w:ascii="Century Gothic" w:hAnsi="Century Gothic"/>
        </w:rPr>
      </w:pPr>
      <w:r w:rsidRPr="00E70538">
        <w:rPr>
          <w:rFonts w:ascii="Century Gothic" w:hAnsi="Century Gothic"/>
        </w:rPr>
        <w:t>Across the Murray-Darling Basin, on a proportional basis, the</w:t>
      </w:r>
      <w:r w:rsidR="00E11D2E">
        <w:rPr>
          <w:rFonts w:ascii="Century Gothic" w:hAnsi="Century Gothic"/>
        </w:rPr>
        <w:t xml:space="preserve"> Commonwealth had</w:t>
      </w:r>
      <w:r w:rsidRPr="00E70538">
        <w:rPr>
          <w:rFonts w:ascii="Century Gothic" w:hAnsi="Century Gothic"/>
        </w:rPr>
        <w:t xml:space="preserve"> used more and carried over less of its available water since commencing operations in 2008</w:t>
      </w:r>
      <w:r w:rsidR="004D3D43">
        <w:rPr>
          <w:rFonts w:ascii="Century Gothic" w:hAnsi="Century Gothic"/>
        </w:rPr>
        <w:t>–</w:t>
      </w:r>
      <w:r w:rsidRPr="00E70538">
        <w:rPr>
          <w:rFonts w:ascii="Century Gothic" w:hAnsi="Century Gothic"/>
        </w:rPr>
        <w:t>09</w:t>
      </w:r>
      <w:r w:rsidR="00E11D2E">
        <w:rPr>
          <w:rFonts w:ascii="Century Gothic" w:hAnsi="Century Gothic"/>
        </w:rPr>
        <w:t>.</w:t>
      </w:r>
      <w:r w:rsidRPr="00E70538">
        <w:rPr>
          <w:rFonts w:ascii="Century Gothic" w:hAnsi="Century Gothic"/>
        </w:rPr>
        <w:t xml:space="preserve"> </w:t>
      </w:r>
      <w:r w:rsidR="00E11D2E">
        <w:rPr>
          <w:rFonts w:ascii="Century Gothic" w:hAnsi="Century Gothic"/>
        </w:rPr>
        <w:t>H</w:t>
      </w:r>
      <w:r w:rsidRPr="00E70538">
        <w:rPr>
          <w:rFonts w:ascii="Century Gothic" w:hAnsi="Century Gothic"/>
        </w:rPr>
        <w:t xml:space="preserve">owever, this year the Commonwealth has used a slightly lower proportion than other water users. </w:t>
      </w:r>
      <w:r w:rsidR="00E70538" w:rsidRPr="00E70538">
        <w:rPr>
          <w:rFonts w:ascii="Century Gothic" w:hAnsi="Century Gothic"/>
        </w:rPr>
        <w:br/>
      </w:r>
    </w:p>
    <w:p w:rsidR="002526EC" w:rsidRDefault="004D3D43" w:rsidP="00E11D2E">
      <w:pPr>
        <w:pStyle w:val="ListNumber"/>
        <w:numPr>
          <w:ilvl w:val="0"/>
          <w:numId w:val="0"/>
        </w:numPr>
        <w:spacing w:after="120"/>
        <w:ind w:left="947"/>
        <w:jc w:val="left"/>
        <w:rPr>
          <w:rFonts w:ascii="Century Gothic" w:hAnsi="Century Gothic"/>
        </w:rPr>
      </w:pPr>
      <w:r>
        <w:rPr>
          <w:rFonts w:ascii="Century Gothic" w:hAnsi="Century Gothic"/>
        </w:rPr>
        <w:br/>
      </w:r>
    </w:p>
    <w:p w:rsidR="00E70538" w:rsidRPr="00E70538" w:rsidRDefault="00E70538" w:rsidP="00E70538">
      <w:pPr>
        <w:pStyle w:val="ListNumber"/>
        <w:numPr>
          <w:ilvl w:val="0"/>
          <w:numId w:val="0"/>
        </w:numPr>
        <w:spacing w:after="120"/>
        <w:ind w:left="947"/>
        <w:jc w:val="left"/>
        <w:rPr>
          <w:rFonts w:ascii="Century Gothic" w:hAnsi="Century Gothic"/>
        </w:rPr>
      </w:pPr>
    </w:p>
    <w:p w:rsidR="009C12A0" w:rsidRPr="00CE4987" w:rsidRDefault="004D3D43" w:rsidP="009C12A0">
      <w:pPr>
        <w:pStyle w:val="Heading1"/>
        <w:ind w:left="360"/>
        <w:jc w:val="left"/>
        <w:rPr>
          <w:rFonts w:ascii="Century Gothic" w:hAnsi="Century Gothic"/>
          <w:color w:val="5F497A" w:themeColor="accent4" w:themeShade="BF"/>
          <w:sz w:val="36"/>
          <w:szCs w:val="36"/>
        </w:rPr>
      </w:pPr>
      <w:bookmarkStart w:id="6" w:name="_Toc396996784"/>
      <w:r>
        <w:rPr>
          <w:rFonts w:ascii="Century Gothic" w:hAnsi="Century Gothic"/>
          <w:color w:val="5F497A" w:themeColor="accent4" w:themeShade="BF"/>
          <w:sz w:val="36"/>
          <w:szCs w:val="36"/>
        </w:rPr>
        <w:t>Commonwealth environmental water carryover from 2013–14 into 2014–15</w:t>
      </w:r>
      <w:bookmarkEnd w:id="6"/>
    </w:p>
    <w:p w:rsidR="004D3D43" w:rsidRPr="004D3D43" w:rsidRDefault="004D3D43" w:rsidP="004D3D43">
      <w:pPr>
        <w:jc w:val="left"/>
        <w:rPr>
          <w:rFonts w:ascii="Century Gothic" w:hAnsi="Century Gothic"/>
        </w:rPr>
      </w:pPr>
      <w:r w:rsidRPr="004D3D43">
        <w:rPr>
          <w:rFonts w:ascii="Century Gothic" w:hAnsi="Century Gothic"/>
        </w:rPr>
        <w:t>Commonwealth carryover on 1 July 2014 was 449.9 GL. This included 448.6 GL carried over in regulated surface water accounts (compared to a storage volume across the Basin of over 22,000 GL) and 1.3 GL in groundwater accounts. The volume of surface water carried over by the Commonwealth in to 2014</w:t>
      </w:r>
      <w:r>
        <w:rPr>
          <w:rFonts w:ascii="Century Gothic" w:hAnsi="Century Gothic"/>
        </w:rPr>
        <w:t>–</w:t>
      </w:r>
      <w:r w:rsidRPr="004D3D43">
        <w:rPr>
          <w:rFonts w:ascii="Century Gothic" w:hAnsi="Century Gothic"/>
        </w:rPr>
        <w:t>15 is equivalent to 2 per cent of the public storage capacity across the Basin. This compares to 1.8 per cent on 1 July 2013</w:t>
      </w:r>
      <w:r w:rsidRPr="004D3D43">
        <w:rPr>
          <w:rStyle w:val="FootnoteReference"/>
          <w:rFonts w:ascii="Century Gothic" w:hAnsi="Century Gothic"/>
        </w:rPr>
        <w:footnoteReference w:id="1"/>
      </w:r>
      <w:r w:rsidRPr="004D3D43">
        <w:rPr>
          <w:rFonts w:ascii="Century Gothic" w:hAnsi="Century Gothic"/>
        </w:rPr>
        <w:t>.</w:t>
      </w:r>
    </w:p>
    <w:p w:rsidR="004D3D43" w:rsidRPr="004D3D43" w:rsidRDefault="004D3D43" w:rsidP="004D3D43">
      <w:pPr>
        <w:jc w:val="left"/>
        <w:rPr>
          <w:rFonts w:ascii="Century Gothic" w:hAnsi="Century Gothic"/>
        </w:rPr>
        <w:sectPr w:rsidR="004D3D43" w:rsidRPr="004D3D43" w:rsidSect="0034534D">
          <w:headerReference w:type="even" r:id="rId12"/>
          <w:footerReference w:type="default" r:id="rId13"/>
          <w:headerReference w:type="first" r:id="rId14"/>
          <w:pgSz w:w="11906" w:h="16838"/>
          <w:pgMar w:top="1418" w:right="1276" w:bottom="567" w:left="1418" w:header="425" w:footer="425" w:gutter="0"/>
          <w:pgNumType w:start="1"/>
          <w:cols w:space="708"/>
          <w:titlePg/>
          <w:docGrid w:linePitch="360"/>
        </w:sectPr>
      </w:pPr>
      <w:r w:rsidRPr="004D3D43">
        <w:rPr>
          <w:rFonts w:ascii="Century Gothic" w:hAnsi="Century Gothic"/>
        </w:rPr>
        <w:t xml:space="preserve">Carryover of Commonwealth surface water in the north of the Basin was 155.3 GL, and carryover in the southern connected Basin was 293.4 GL. The distribution of carryover across catchments, and the distribution of entitlements on 1 July 2014, is shown in Table 1 and Attachment A.  </w:t>
      </w:r>
    </w:p>
    <w:p w:rsidR="0034534D" w:rsidRPr="005C01F2" w:rsidRDefault="0034534D" w:rsidP="0034534D">
      <w:pPr>
        <w:ind w:left="908" w:hanging="908"/>
        <w:jc w:val="left"/>
        <w:rPr>
          <w:rFonts w:ascii="Century Gothic" w:hAnsi="Century Gothic"/>
          <w:b/>
        </w:rPr>
      </w:pPr>
      <w:proofErr w:type="gramStart"/>
      <w:r w:rsidRPr="005C01F2">
        <w:rPr>
          <w:rFonts w:ascii="Century Gothic" w:hAnsi="Century Gothic"/>
          <w:b/>
        </w:rPr>
        <w:t>Table 1.</w:t>
      </w:r>
      <w:proofErr w:type="gramEnd"/>
      <w:r w:rsidRPr="005C01F2">
        <w:rPr>
          <w:rFonts w:ascii="Century Gothic" w:hAnsi="Century Gothic"/>
          <w:b/>
        </w:rPr>
        <w:tab/>
      </w:r>
      <w:r w:rsidR="005C01F2" w:rsidRPr="005C01F2">
        <w:rPr>
          <w:rFonts w:ascii="Century Gothic" w:hAnsi="Century Gothic"/>
          <w:b/>
          <w:iCs/>
        </w:rPr>
        <w:t>Selected holdings and carryover of Commonwealth environmental water</w:t>
      </w:r>
    </w:p>
    <w:tbl>
      <w:tblPr>
        <w:tblW w:w="94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127"/>
        <w:gridCol w:w="1772"/>
        <w:gridCol w:w="1382"/>
        <w:gridCol w:w="1560"/>
        <w:gridCol w:w="1612"/>
      </w:tblGrid>
      <w:tr w:rsidR="00B42504" w:rsidRPr="00867ED8" w:rsidTr="00B42504">
        <w:trPr>
          <w:cantSplit/>
          <w:trHeight w:val="1008"/>
          <w:tblHeader/>
          <w:jc w:val="center"/>
        </w:trPr>
        <w:tc>
          <w:tcPr>
            <w:tcW w:w="3127" w:type="dxa"/>
            <w:tcBorders>
              <w:bottom w:val="single" w:sz="4" w:space="0" w:color="auto"/>
            </w:tcBorders>
            <w:shd w:val="clear" w:color="auto" w:fill="B2A1C7" w:themeFill="accent4" w:themeFillTint="99"/>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b/>
                <w:bCs/>
                <w:sz w:val="22"/>
                <w:szCs w:val="22"/>
              </w:rPr>
            </w:pPr>
            <w:r w:rsidRPr="00B42504">
              <w:rPr>
                <w:rFonts w:ascii="Century Gothic" w:hAnsi="Century Gothic" w:cs="Arial"/>
                <w:b/>
                <w:bCs/>
                <w:sz w:val="22"/>
                <w:szCs w:val="22"/>
              </w:rPr>
              <w:t>Catchment</w:t>
            </w:r>
          </w:p>
        </w:tc>
        <w:tc>
          <w:tcPr>
            <w:tcW w:w="1772" w:type="dxa"/>
            <w:tcBorders>
              <w:bottom w:val="single" w:sz="4" w:space="0" w:color="auto"/>
            </w:tcBorders>
            <w:shd w:val="clear" w:color="auto" w:fill="B2A1C7" w:themeFill="accent4" w:themeFillTint="99"/>
            <w:vAlign w:val="center"/>
          </w:tcPr>
          <w:p w:rsidR="00B42504" w:rsidRPr="00B42504" w:rsidRDefault="00B42504" w:rsidP="00DD3A0B">
            <w:pPr>
              <w:pStyle w:val="PlainText"/>
              <w:spacing w:before="60" w:after="60"/>
              <w:jc w:val="center"/>
              <w:rPr>
                <w:rFonts w:ascii="Century Gothic" w:hAnsi="Century Gothic" w:cs="Arial"/>
                <w:b/>
                <w:bCs/>
                <w:sz w:val="22"/>
                <w:szCs w:val="22"/>
              </w:rPr>
            </w:pPr>
            <w:r w:rsidRPr="00B42504">
              <w:rPr>
                <w:rFonts w:ascii="Century Gothic" w:hAnsi="Century Gothic" w:cs="Arial"/>
                <w:b/>
                <w:bCs/>
                <w:sz w:val="22"/>
                <w:szCs w:val="22"/>
              </w:rPr>
              <w:t xml:space="preserve">Entitlement holding in catchment as at 30 June 2014 </w:t>
            </w:r>
            <w:r w:rsidRPr="00B42504">
              <w:rPr>
                <w:rFonts w:ascii="Century Gothic" w:eastAsiaTheme="minorHAnsi" w:hAnsi="Century Gothic" w:cs="Arial"/>
                <w:vertAlign w:val="superscript"/>
              </w:rPr>
              <w:t>1</w:t>
            </w:r>
          </w:p>
          <w:p w:rsidR="00B42504" w:rsidRPr="00B42504" w:rsidRDefault="00B42504" w:rsidP="00DD3A0B">
            <w:pPr>
              <w:pStyle w:val="PlainText"/>
              <w:spacing w:before="60" w:after="60"/>
              <w:jc w:val="center"/>
              <w:rPr>
                <w:rFonts w:ascii="Century Gothic" w:hAnsi="Century Gothic" w:cs="Arial"/>
                <w:b/>
                <w:bCs/>
                <w:sz w:val="22"/>
                <w:szCs w:val="22"/>
              </w:rPr>
            </w:pPr>
            <w:r w:rsidRPr="00B42504">
              <w:rPr>
                <w:rFonts w:ascii="Century Gothic" w:hAnsi="Century Gothic" w:cs="Arial"/>
                <w:bCs/>
                <w:sz w:val="22"/>
                <w:szCs w:val="22"/>
              </w:rPr>
              <w:t>(GL)</w:t>
            </w:r>
            <w:r w:rsidRPr="00B42504">
              <w:rPr>
                <w:rFonts w:ascii="Century Gothic" w:hAnsi="Century Gothic" w:cs="Arial"/>
                <w:b/>
                <w:bCs/>
                <w:sz w:val="22"/>
                <w:szCs w:val="22"/>
              </w:rPr>
              <w:t xml:space="preserve"> </w:t>
            </w:r>
          </w:p>
        </w:tc>
        <w:tc>
          <w:tcPr>
            <w:tcW w:w="1382" w:type="dxa"/>
            <w:tcBorders>
              <w:bottom w:val="single" w:sz="4" w:space="0" w:color="auto"/>
            </w:tcBorders>
            <w:shd w:val="clear" w:color="auto" w:fill="B2A1C7" w:themeFill="accent4" w:themeFillTint="99"/>
            <w:vAlign w:val="center"/>
          </w:tcPr>
          <w:p w:rsidR="00B42504" w:rsidRPr="00B42504" w:rsidRDefault="00B42504" w:rsidP="00DD3A0B">
            <w:pPr>
              <w:pStyle w:val="PlainText"/>
              <w:spacing w:before="60" w:after="60"/>
              <w:jc w:val="center"/>
              <w:rPr>
                <w:rFonts w:ascii="Century Gothic" w:hAnsi="Century Gothic" w:cs="Arial"/>
                <w:b/>
                <w:bCs/>
                <w:sz w:val="22"/>
                <w:szCs w:val="22"/>
              </w:rPr>
            </w:pPr>
            <w:r w:rsidRPr="00B42504">
              <w:rPr>
                <w:rFonts w:ascii="Century Gothic" w:hAnsi="Century Gothic" w:cs="Arial"/>
                <w:b/>
                <w:bCs/>
                <w:sz w:val="22"/>
                <w:szCs w:val="22"/>
              </w:rPr>
              <w:t xml:space="preserve">Carryover total as at 1 July 2014 </w:t>
            </w:r>
            <w:r w:rsidRPr="00B42504">
              <w:rPr>
                <w:rFonts w:ascii="Century Gothic" w:hAnsi="Century Gothic" w:cs="Arial"/>
                <w:bCs/>
                <w:sz w:val="22"/>
                <w:szCs w:val="22"/>
              </w:rPr>
              <w:t>(GL)</w:t>
            </w:r>
            <w:r w:rsidRPr="00B42504">
              <w:rPr>
                <w:rFonts w:ascii="Century Gothic" w:hAnsi="Century Gothic" w:cs="Arial"/>
                <w:b/>
                <w:bCs/>
                <w:sz w:val="22"/>
                <w:szCs w:val="22"/>
              </w:rPr>
              <w:t xml:space="preserve"> </w:t>
            </w:r>
          </w:p>
        </w:tc>
        <w:tc>
          <w:tcPr>
            <w:tcW w:w="1560" w:type="dxa"/>
            <w:tcBorders>
              <w:bottom w:val="single" w:sz="4" w:space="0" w:color="auto"/>
            </w:tcBorders>
            <w:shd w:val="clear" w:color="auto" w:fill="CCC0D9" w:themeFill="accent4" w:themeFillTint="66"/>
            <w:vAlign w:val="center"/>
          </w:tcPr>
          <w:p w:rsidR="00B42504" w:rsidRPr="00B42504" w:rsidRDefault="00B42504" w:rsidP="00DD3A0B">
            <w:pPr>
              <w:pStyle w:val="PlainText"/>
              <w:spacing w:before="60" w:after="60"/>
              <w:jc w:val="center"/>
              <w:rPr>
                <w:rFonts w:ascii="Century Gothic" w:hAnsi="Century Gothic" w:cs="Arial"/>
                <w:b/>
                <w:bCs/>
                <w:sz w:val="20"/>
                <w:szCs w:val="20"/>
              </w:rPr>
            </w:pPr>
            <w:r w:rsidRPr="00B42504">
              <w:rPr>
                <w:rFonts w:ascii="Century Gothic" w:hAnsi="Century Gothic" w:cs="Arial"/>
                <w:b/>
                <w:bCs/>
                <w:sz w:val="22"/>
                <w:szCs w:val="22"/>
              </w:rPr>
              <w:t xml:space="preserve">Carryover total as at 1 July 2013 </w:t>
            </w:r>
            <w:r w:rsidRPr="00B42504">
              <w:rPr>
                <w:rFonts w:ascii="Century Gothic" w:hAnsi="Century Gothic" w:cs="Arial"/>
                <w:bCs/>
                <w:sz w:val="22"/>
                <w:szCs w:val="22"/>
              </w:rPr>
              <w:t>(GL)</w:t>
            </w:r>
            <w:r w:rsidRPr="00B42504">
              <w:rPr>
                <w:rFonts w:ascii="Century Gothic" w:hAnsi="Century Gothic" w:cs="Arial"/>
                <w:bCs/>
                <w:sz w:val="20"/>
                <w:szCs w:val="20"/>
              </w:rPr>
              <w:t xml:space="preserve"> </w:t>
            </w:r>
            <w:r w:rsidRPr="00B42504">
              <w:rPr>
                <w:rFonts w:ascii="Century Gothic" w:hAnsi="Century Gothic" w:cs="Arial"/>
                <w:b/>
                <w:bCs/>
                <w:sz w:val="20"/>
                <w:szCs w:val="20"/>
              </w:rPr>
              <w:t xml:space="preserve"> </w:t>
            </w:r>
          </w:p>
        </w:tc>
        <w:tc>
          <w:tcPr>
            <w:tcW w:w="1612" w:type="dxa"/>
            <w:tcBorders>
              <w:bottom w:val="single" w:sz="4" w:space="0" w:color="auto"/>
            </w:tcBorders>
            <w:shd w:val="clear" w:color="auto" w:fill="B2A1C7" w:themeFill="accent4" w:themeFillTint="99"/>
            <w:vAlign w:val="center"/>
          </w:tcPr>
          <w:p w:rsidR="00B42504" w:rsidRPr="00B42504" w:rsidRDefault="00B42504" w:rsidP="00DD3A0B">
            <w:pPr>
              <w:pStyle w:val="PlainText"/>
              <w:spacing w:before="60" w:after="60"/>
              <w:jc w:val="center"/>
              <w:rPr>
                <w:rFonts w:ascii="Century Gothic" w:hAnsi="Century Gothic" w:cs="Arial"/>
                <w:b/>
                <w:bCs/>
                <w:sz w:val="22"/>
                <w:szCs w:val="22"/>
              </w:rPr>
            </w:pPr>
            <w:r w:rsidRPr="00B42504">
              <w:rPr>
                <w:rFonts w:ascii="Century Gothic" w:hAnsi="Century Gothic" w:cs="Arial"/>
                <w:b/>
                <w:bCs/>
                <w:sz w:val="22"/>
                <w:szCs w:val="22"/>
              </w:rPr>
              <w:t>Carryover limit</w:t>
            </w:r>
          </w:p>
          <w:p w:rsidR="00B42504" w:rsidRPr="00B42504" w:rsidRDefault="00B42504" w:rsidP="00DD3A0B">
            <w:pPr>
              <w:pStyle w:val="PlainText"/>
              <w:spacing w:before="60" w:after="60"/>
              <w:jc w:val="center"/>
              <w:rPr>
                <w:rFonts w:ascii="Century Gothic" w:hAnsi="Century Gothic" w:cs="Arial"/>
                <w:b/>
                <w:bCs/>
                <w:sz w:val="22"/>
                <w:szCs w:val="22"/>
              </w:rPr>
            </w:pPr>
            <w:r w:rsidRPr="00B42504">
              <w:rPr>
                <w:rFonts w:ascii="Century Gothic" w:hAnsi="Century Gothic" w:cs="Arial"/>
                <w:bCs/>
                <w:sz w:val="22"/>
                <w:szCs w:val="22"/>
              </w:rPr>
              <w:t>(%)</w:t>
            </w:r>
          </w:p>
        </w:tc>
      </w:tr>
      <w:tr w:rsidR="00B42504" w:rsidRPr="00867ED8" w:rsidTr="00DD3A0B">
        <w:trPr>
          <w:cantSplit/>
          <w:trHeight w:val="294"/>
          <w:tblHeader/>
          <w:jc w:val="center"/>
        </w:trPr>
        <w:tc>
          <w:tcPr>
            <w:tcW w:w="9453" w:type="dxa"/>
            <w:gridSpan w:val="5"/>
            <w:tcBorders>
              <w:bottom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b/>
                <w:bCs/>
                <w:sz w:val="22"/>
                <w:szCs w:val="22"/>
              </w:rPr>
            </w:pPr>
            <w:r w:rsidRPr="00B42504">
              <w:rPr>
                <w:rFonts w:ascii="Century Gothic" w:hAnsi="Century Gothic" w:cs="Arial"/>
                <w:b/>
                <w:bCs/>
                <w:sz w:val="22"/>
                <w:szCs w:val="22"/>
              </w:rPr>
              <w:t>Surface Water</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Border Rivers</w:t>
            </w:r>
            <w:r w:rsidRPr="00B42504">
              <w:rPr>
                <w:rFonts w:ascii="Century Gothic" w:hAnsi="Century Gothic" w:cs="Arial"/>
                <w:sz w:val="22"/>
                <w:szCs w:val="22"/>
              </w:rPr>
              <w:br/>
              <w:t>(NSW and Queensland)</w:t>
            </w:r>
          </w:p>
        </w:tc>
        <w:tc>
          <w:tcPr>
            <w:tcW w:w="177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14.2</w:t>
            </w:r>
          </w:p>
        </w:tc>
        <w:tc>
          <w:tcPr>
            <w:tcW w:w="138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6.6</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9.9</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85</w:t>
            </w:r>
            <w:r w:rsidRPr="00B42504">
              <w:rPr>
                <w:rFonts w:ascii="Century Gothic" w:eastAsiaTheme="minorHAnsi" w:hAnsi="Century Gothic" w:cs="Arial"/>
              </w:rPr>
              <w:br/>
              <w:t>(Queensland)</w:t>
            </w:r>
          </w:p>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100</w:t>
            </w:r>
            <w:r w:rsidRPr="00B42504">
              <w:rPr>
                <w:rFonts w:ascii="Century Gothic" w:eastAsiaTheme="minorHAnsi" w:hAnsi="Century Gothic" w:cs="Arial"/>
              </w:rPr>
              <w:br/>
              <w:t>(NSW)</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Gwydir (NSW)</w:t>
            </w:r>
          </w:p>
        </w:tc>
        <w:tc>
          <w:tcPr>
            <w:tcW w:w="177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89.9</w:t>
            </w:r>
          </w:p>
        </w:tc>
        <w:tc>
          <w:tcPr>
            <w:tcW w:w="138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79.7</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121.6</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150</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Namoi (NSW)</w:t>
            </w:r>
          </w:p>
        </w:tc>
        <w:tc>
          <w:tcPr>
            <w:tcW w:w="177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7.0</w:t>
            </w:r>
          </w:p>
        </w:tc>
        <w:tc>
          <w:tcPr>
            <w:tcW w:w="138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6.1</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5.6</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100</w:t>
            </w:r>
            <w:r w:rsidRPr="00B42504">
              <w:rPr>
                <w:rFonts w:ascii="Century Gothic" w:eastAsiaTheme="minorHAnsi" w:hAnsi="Century Gothic" w:cs="Arial"/>
              </w:rPr>
              <w:br/>
              <w:t>(Upper Namoi)</w:t>
            </w:r>
          </w:p>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200</w:t>
            </w:r>
            <w:r w:rsidRPr="00B42504">
              <w:rPr>
                <w:rFonts w:ascii="Century Gothic" w:eastAsiaTheme="minorHAnsi" w:hAnsi="Century Gothic" w:cs="Arial"/>
              </w:rPr>
              <w:br/>
              <w:t>(Lower Namoi)</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Macquarie and Cudgegong (NSW)</w:t>
            </w:r>
          </w:p>
        </w:tc>
        <w:tc>
          <w:tcPr>
            <w:tcW w:w="177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122.1</w:t>
            </w:r>
          </w:p>
        </w:tc>
        <w:tc>
          <w:tcPr>
            <w:tcW w:w="138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19.3</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22.3</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100</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Lachlan (NSW)</w:t>
            </w:r>
          </w:p>
        </w:tc>
        <w:tc>
          <w:tcPr>
            <w:tcW w:w="177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87.9</w:t>
            </w:r>
          </w:p>
        </w:tc>
        <w:tc>
          <w:tcPr>
            <w:tcW w:w="138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43.5</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65.6</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200</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rPr>
                <w:rFonts w:ascii="Century Gothic" w:hAnsi="Century Gothic" w:cs="Arial"/>
                <w:b/>
                <w:i/>
                <w:sz w:val="22"/>
                <w:szCs w:val="22"/>
              </w:rPr>
            </w:pPr>
            <w:r w:rsidRPr="00B42504">
              <w:rPr>
                <w:rFonts w:ascii="Century Gothic" w:hAnsi="Century Gothic" w:cs="Arial"/>
                <w:b/>
                <w:i/>
                <w:sz w:val="22"/>
                <w:szCs w:val="22"/>
              </w:rPr>
              <w:t>Total Northern Basin</w:t>
            </w:r>
          </w:p>
        </w:tc>
        <w:tc>
          <w:tcPr>
            <w:tcW w:w="177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i/>
              </w:rPr>
            </w:pPr>
            <w:r w:rsidRPr="00B42504">
              <w:rPr>
                <w:rFonts w:ascii="Century Gothic" w:eastAsiaTheme="minorHAnsi" w:hAnsi="Century Gothic" w:cs="Arial"/>
                <w:b/>
                <w:i/>
              </w:rPr>
              <w:t>321.0</w:t>
            </w:r>
          </w:p>
        </w:tc>
        <w:tc>
          <w:tcPr>
            <w:tcW w:w="138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i/>
              </w:rPr>
            </w:pPr>
            <w:r w:rsidRPr="00B42504">
              <w:rPr>
                <w:rFonts w:ascii="Century Gothic" w:eastAsiaTheme="minorHAnsi" w:hAnsi="Century Gothic" w:cs="Arial"/>
                <w:b/>
                <w:i/>
              </w:rPr>
              <w:t>155.3</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b/>
                <w:i/>
              </w:rPr>
            </w:pPr>
            <w:r w:rsidRPr="00B42504">
              <w:rPr>
                <w:rFonts w:ascii="Century Gothic" w:eastAsiaTheme="minorHAnsi" w:hAnsi="Century Gothic" w:cs="Arial"/>
                <w:b/>
                <w:i/>
              </w:rPr>
              <w:t>225.0</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i/>
              </w:rPr>
            </w:pP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Murrumbidgee (NSW)</w:t>
            </w:r>
          </w:p>
        </w:tc>
        <w:tc>
          <w:tcPr>
            <w:tcW w:w="177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228.4</w:t>
            </w:r>
          </w:p>
        </w:tc>
        <w:tc>
          <w:tcPr>
            <w:tcW w:w="138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56.2</w:t>
            </w:r>
          </w:p>
        </w:tc>
        <w:tc>
          <w:tcPr>
            <w:tcW w:w="1560" w:type="dxa"/>
            <w:tcBorders>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45.5</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30</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Murray and Lower Darling (NSW)</w:t>
            </w:r>
          </w:p>
        </w:tc>
        <w:tc>
          <w:tcPr>
            <w:tcW w:w="1772" w:type="dxa"/>
            <w:tcBorders>
              <w:left w:val="single" w:sz="4" w:space="0" w:color="auto"/>
              <w:right w:val="single" w:sz="4" w:space="0" w:color="auto"/>
            </w:tcBorders>
            <w:vAlign w:val="center"/>
          </w:tcPr>
          <w:p w:rsidR="00B42504" w:rsidRPr="00B42504" w:rsidRDefault="00B42504" w:rsidP="00DD3A0B">
            <w:pPr>
              <w:spacing w:before="60" w:after="60"/>
              <w:jc w:val="center"/>
              <w:rPr>
                <w:rFonts w:ascii="Century Gothic" w:hAnsi="Century Gothic" w:cs="Arial"/>
              </w:rPr>
            </w:pPr>
            <w:r w:rsidRPr="00B42504">
              <w:rPr>
                <w:rFonts w:ascii="Century Gothic" w:eastAsiaTheme="minorHAnsi" w:hAnsi="Century Gothic" w:cs="Arial"/>
              </w:rPr>
              <w:t>345.1</w:t>
            </w:r>
          </w:p>
        </w:tc>
        <w:tc>
          <w:tcPr>
            <w:tcW w:w="1382" w:type="dxa"/>
            <w:tcBorders>
              <w:left w:val="single" w:sz="4" w:space="0" w:color="auto"/>
              <w:right w:val="single" w:sz="4" w:space="0" w:color="auto"/>
            </w:tcBorders>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104.0</w:t>
            </w:r>
          </w:p>
        </w:tc>
        <w:tc>
          <w:tcPr>
            <w:tcW w:w="1560" w:type="dxa"/>
            <w:tcBorders>
              <w:left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20.3</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50</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Murray (Victoria)</w:t>
            </w:r>
          </w:p>
        </w:tc>
        <w:tc>
          <w:tcPr>
            <w:tcW w:w="1772" w:type="dxa"/>
            <w:tcBorders>
              <w:top w:val="single" w:sz="4" w:space="0" w:color="auto"/>
              <w:left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280.4</w:t>
            </w:r>
          </w:p>
        </w:tc>
        <w:tc>
          <w:tcPr>
            <w:tcW w:w="1382" w:type="dxa"/>
            <w:tcBorders>
              <w:top w:val="single" w:sz="4" w:space="0" w:color="auto"/>
              <w:left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117.9</w:t>
            </w:r>
          </w:p>
        </w:tc>
        <w:tc>
          <w:tcPr>
            <w:tcW w:w="1560" w:type="dxa"/>
            <w:tcBorders>
              <w:top w:val="single" w:sz="4" w:space="0" w:color="auto"/>
              <w:left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87.6</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 xml:space="preserve">100 </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Goulburn (Victoria)</w:t>
            </w:r>
          </w:p>
        </w:tc>
        <w:tc>
          <w:tcPr>
            <w:tcW w:w="177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238.3</w:t>
            </w:r>
          </w:p>
        </w:tc>
        <w:tc>
          <w:tcPr>
            <w:tcW w:w="138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15</w:t>
            </w:r>
          </w:p>
        </w:tc>
        <w:tc>
          <w:tcPr>
            <w:tcW w:w="1560" w:type="dxa"/>
            <w:tcBorders>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15.3</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100</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Campaspe (Victoria)</w:t>
            </w:r>
          </w:p>
        </w:tc>
        <w:tc>
          <w:tcPr>
            <w:tcW w:w="177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6.9</w:t>
            </w:r>
          </w:p>
        </w:tc>
        <w:tc>
          <w:tcPr>
            <w:tcW w:w="138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0.2</w:t>
            </w:r>
          </w:p>
        </w:tc>
        <w:tc>
          <w:tcPr>
            <w:tcW w:w="1560" w:type="dxa"/>
            <w:tcBorders>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0</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rPr>
            </w:pPr>
            <w:r w:rsidRPr="00B42504">
              <w:rPr>
                <w:rFonts w:ascii="Century Gothic" w:eastAsiaTheme="minorHAnsi" w:hAnsi="Century Gothic" w:cs="Arial"/>
              </w:rPr>
              <w:t>100</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rPr>
                <w:rFonts w:ascii="Century Gothic" w:hAnsi="Century Gothic" w:cs="Arial"/>
                <w:b/>
                <w:i/>
                <w:sz w:val="22"/>
                <w:szCs w:val="22"/>
              </w:rPr>
            </w:pPr>
            <w:r w:rsidRPr="00B42504">
              <w:rPr>
                <w:rFonts w:ascii="Century Gothic" w:hAnsi="Century Gothic" w:cs="Arial"/>
                <w:b/>
                <w:i/>
                <w:sz w:val="22"/>
                <w:szCs w:val="22"/>
              </w:rPr>
              <w:t>Total Southern Basin</w:t>
            </w:r>
          </w:p>
        </w:tc>
        <w:tc>
          <w:tcPr>
            <w:tcW w:w="177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i/>
              </w:rPr>
            </w:pPr>
            <w:r w:rsidRPr="00B42504">
              <w:rPr>
                <w:rFonts w:ascii="Century Gothic" w:eastAsiaTheme="minorHAnsi" w:hAnsi="Century Gothic" w:cs="Arial"/>
                <w:b/>
                <w:i/>
              </w:rPr>
              <w:t>1,099.2</w:t>
            </w:r>
          </w:p>
        </w:tc>
        <w:tc>
          <w:tcPr>
            <w:tcW w:w="138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i/>
              </w:rPr>
            </w:pPr>
            <w:r w:rsidRPr="00B42504">
              <w:rPr>
                <w:rFonts w:ascii="Century Gothic" w:eastAsiaTheme="minorHAnsi" w:hAnsi="Century Gothic" w:cs="Arial"/>
                <w:b/>
                <w:i/>
              </w:rPr>
              <w:t>293.4</w:t>
            </w:r>
          </w:p>
        </w:tc>
        <w:tc>
          <w:tcPr>
            <w:tcW w:w="1560" w:type="dxa"/>
            <w:tcBorders>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b/>
                <w:i/>
              </w:rPr>
            </w:pPr>
            <w:r w:rsidRPr="00B42504">
              <w:rPr>
                <w:rFonts w:ascii="Century Gothic" w:eastAsiaTheme="minorHAnsi" w:hAnsi="Century Gothic" w:cs="Arial"/>
                <w:b/>
                <w:i/>
              </w:rPr>
              <w:t>168.7</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i/>
              </w:rPr>
            </w:pP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rPr>
                <w:rFonts w:ascii="Century Gothic" w:hAnsi="Century Gothic" w:cs="Arial"/>
                <w:b/>
                <w:sz w:val="22"/>
                <w:szCs w:val="22"/>
              </w:rPr>
            </w:pPr>
            <w:r w:rsidRPr="00B42504">
              <w:rPr>
                <w:rFonts w:ascii="Century Gothic" w:hAnsi="Century Gothic" w:cs="Arial"/>
                <w:b/>
                <w:sz w:val="22"/>
                <w:szCs w:val="22"/>
              </w:rPr>
              <w:t>Total Surface Water</w:t>
            </w:r>
          </w:p>
        </w:tc>
        <w:tc>
          <w:tcPr>
            <w:tcW w:w="177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bCs/>
              </w:rPr>
            </w:pPr>
            <w:r w:rsidRPr="00B42504">
              <w:rPr>
                <w:rFonts w:ascii="Century Gothic" w:eastAsiaTheme="minorHAnsi" w:hAnsi="Century Gothic" w:cs="Arial"/>
                <w:b/>
                <w:bCs/>
              </w:rPr>
              <w:t>1,420.2</w:t>
            </w:r>
          </w:p>
        </w:tc>
        <w:tc>
          <w:tcPr>
            <w:tcW w:w="138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bCs/>
              </w:rPr>
            </w:pPr>
            <w:r w:rsidRPr="00B42504">
              <w:rPr>
                <w:rFonts w:ascii="Century Gothic" w:eastAsiaTheme="minorHAnsi" w:hAnsi="Century Gothic" w:cs="Arial"/>
                <w:b/>
                <w:bCs/>
              </w:rPr>
              <w:t>448.6</w:t>
            </w:r>
          </w:p>
        </w:tc>
        <w:tc>
          <w:tcPr>
            <w:tcW w:w="1560" w:type="dxa"/>
            <w:tcBorders>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b/>
                <w:bCs/>
              </w:rPr>
            </w:pPr>
            <w:r w:rsidRPr="00B42504">
              <w:rPr>
                <w:rFonts w:ascii="Century Gothic" w:eastAsiaTheme="minorHAnsi" w:hAnsi="Century Gothic" w:cs="Arial"/>
                <w:b/>
                <w:bCs/>
              </w:rPr>
              <w:t>393.7</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rPr>
            </w:pPr>
          </w:p>
        </w:tc>
      </w:tr>
      <w:tr w:rsidR="00B42504" w:rsidRPr="00867ED8" w:rsidTr="00DD3A0B">
        <w:trPr>
          <w:cantSplit/>
          <w:tblHeader/>
          <w:jc w:val="center"/>
        </w:trPr>
        <w:tc>
          <w:tcPr>
            <w:tcW w:w="9453"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spacing w:before="60" w:after="60"/>
              <w:jc w:val="center"/>
              <w:rPr>
                <w:rFonts w:ascii="Century Gothic" w:eastAsiaTheme="minorHAnsi" w:hAnsi="Century Gothic" w:cs="Arial"/>
                <w:b/>
              </w:rPr>
            </w:pPr>
            <w:r w:rsidRPr="00B42504">
              <w:rPr>
                <w:rFonts w:ascii="Century Gothic" w:hAnsi="Century Gothic" w:cs="Arial"/>
                <w:b/>
              </w:rPr>
              <w:t>Groundwater</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jc w:val="center"/>
              <w:rPr>
                <w:rFonts w:ascii="Century Gothic" w:hAnsi="Century Gothic" w:cs="Arial"/>
                <w:sz w:val="22"/>
                <w:szCs w:val="22"/>
              </w:rPr>
            </w:pPr>
            <w:r w:rsidRPr="00B42504">
              <w:rPr>
                <w:rFonts w:ascii="Century Gothic" w:hAnsi="Century Gothic" w:cs="Arial"/>
                <w:sz w:val="22"/>
                <w:szCs w:val="22"/>
              </w:rPr>
              <w:t>Murray (NSW)</w:t>
            </w:r>
          </w:p>
        </w:tc>
        <w:tc>
          <w:tcPr>
            <w:tcW w:w="177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1.2</w:t>
            </w:r>
          </w:p>
        </w:tc>
        <w:tc>
          <w:tcPr>
            <w:tcW w:w="1382" w:type="dxa"/>
            <w:tcBorders>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1.3</w:t>
            </w:r>
          </w:p>
        </w:tc>
        <w:tc>
          <w:tcPr>
            <w:tcW w:w="1560" w:type="dxa"/>
            <w:tcBorders>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0.0</w:t>
            </w:r>
          </w:p>
        </w:tc>
        <w:tc>
          <w:tcPr>
            <w:tcW w:w="161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hAnsi="Century Gothic" w:cs="Arial"/>
              </w:rPr>
            </w:pPr>
            <w:r w:rsidRPr="00B42504">
              <w:rPr>
                <w:rFonts w:ascii="Century Gothic" w:hAnsi="Century Gothic" w:cs="Arial"/>
              </w:rPr>
              <w:t>Various</w:t>
            </w:r>
          </w:p>
        </w:tc>
      </w:tr>
      <w:tr w:rsidR="00B42504" w:rsidRPr="00867ED8" w:rsidTr="00B42504">
        <w:trPr>
          <w:cantSplit/>
          <w:tblHeader/>
          <w:jc w:val="center"/>
        </w:trPr>
        <w:tc>
          <w:tcPr>
            <w:tcW w:w="3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42504" w:rsidRPr="00B42504" w:rsidRDefault="00B42504" w:rsidP="00DD3A0B">
            <w:pPr>
              <w:pStyle w:val="PlainText"/>
              <w:spacing w:before="60" w:after="60"/>
              <w:rPr>
                <w:rFonts w:ascii="Century Gothic" w:hAnsi="Century Gothic" w:cs="Arial"/>
                <w:b/>
                <w:sz w:val="22"/>
                <w:szCs w:val="22"/>
              </w:rPr>
            </w:pPr>
            <w:r w:rsidRPr="00B42504">
              <w:rPr>
                <w:rFonts w:ascii="Century Gothic" w:hAnsi="Century Gothic" w:cs="Arial"/>
                <w:b/>
                <w:sz w:val="22"/>
                <w:szCs w:val="22"/>
              </w:rPr>
              <w:t>Grand Total</w:t>
            </w:r>
          </w:p>
        </w:tc>
        <w:tc>
          <w:tcPr>
            <w:tcW w:w="177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bCs/>
              </w:rPr>
            </w:pPr>
            <w:r w:rsidRPr="00B42504">
              <w:rPr>
                <w:rFonts w:ascii="Century Gothic" w:eastAsiaTheme="minorHAnsi" w:hAnsi="Century Gothic" w:cs="Arial"/>
                <w:b/>
                <w:bCs/>
              </w:rPr>
              <w:t>1,421.4</w:t>
            </w:r>
          </w:p>
        </w:tc>
        <w:tc>
          <w:tcPr>
            <w:tcW w:w="1382" w:type="dxa"/>
            <w:tcBorders>
              <w:top w:val="single" w:sz="4" w:space="0" w:color="auto"/>
              <w:left w:val="single" w:sz="4" w:space="0" w:color="auto"/>
              <w:bottom w:val="single" w:sz="4" w:space="0" w:color="auto"/>
              <w:right w:val="single" w:sz="4" w:space="0" w:color="auto"/>
            </w:tcBorders>
            <w:vAlign w:val="center"/>
          </w:tcPr>
          <w:p w:rsidR="00B42504" w:rsidRPr="00B42504" w:rsidRDefault="00B42504" w:rsidP="00DD3A0B">
            <w:pPr>
              <w:spacing w:before="60" w:after="60"/>
              <w:jc w:val="center"/>
              <w:rPr>
                <w:rFonts w:ascii="Century Gothic" w:eastAsiaTheme="minorHAnsi" w:hAnsi="Century Gothic" w:cs="Arial"/>
                <w:b/>
                <w:bCs/>
              </w:rPr>
            </w:pPr>
            <w:r w:rsidRPr="00B42504">
              <w:rPr>
                <w:rFonts w:ascii="Century Gothic" w:eastAsiaTheme="minorHAnsi" w:hAnsi="Century Gothic" w:cs="Arial"/>
                <w:b/>
                <w:bCs/>
              </w:rPr>
              <w:t>449.9</w:t>
            </w: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2504" w:rsidRPr="00B42504" w:rsidRDefault="00B42504" w:rsidP="00DD3A0B">
            <w:pPr>
              <w:spacing w:before="60" w:after="60"/>
              <w:jc w:val="center"/>
              <w:rPr>
                <w:rFonts w:ascii="Century Gothic" w:eastAsiaTheme="minorHAnsi" w:hAnsi="Century Gothic" w:cs="Arial"/>
                <w:b/>
                <w:bCs/>
              </w:rPr>
            </w:pPr>
            <w:r w:rsidRPr="00B42504">
              <w:rPr>
                <w:rFonts w:ascii="Century Gothic" w:eastAsiaTheme="minorHAnsi" w:hAnsi="Century Gothic" w:cs="Arial"/>
                <w:b/>
                <w:bCs/>
              </w:rPr>
              <w:t>393.7</w:t>
            </w:r>
          </w:p>
        </w:tc>
        <w:tc>
          <w:tcPr>
            <w:tcW w:w="1612" w:type="dxa"/>
            <w:tcBorders>
              <w:top w:val="single" w:sz="4" w:space="0" w:color="auto"/>
              <w:left w:val="single" w:sz="4" w:space="0" w:color="auto"/>
              <w:bottom w:val="nil"/>
              <w:right w:val="nil"/>
            </w:tcBorders>
            <w:vAlign w:val="center"/>
          </w:tcPr>
          <w:p w:rsidR="00B42504" w:rsidRPr="00B42504" w:rsidRDefault="00B42504" w:rsidP="00DD3A0B">
            <w:pPr>
              <w:spacing w:before="60" w:after="60"/>
              <w:jc w:val="center"/>
              <w:rPr>
                <w:rFonts w:ascii="Century Gothic" w:eastAsiaTheme="minorHAnsi" w:hAnsi="Century Gothic" w:cs="Arial"/>
                <w:b/>
                <w:bCs/>
              </w:rPr>
            </w:pPr>
          </w:p>
        </w:tc>
      </w:tr>
    </w:tbl>
    <w:p w:rsidR="009C04D3" w:rsidRPr="009C04D3" w:rsidRDefault="009C04D3" w:rsidP="009C04D3">
      <w:pPr>
        <w:spacing w:after="0"/>
        <w:rPr>
          <w:rFonts w:ascii="Century Gothic" w:hAnsi="Century Gothic"/>
        </w:rPr>
      </w:pPr>
      <w:r w:rsidRPr="009C04D3">
        <w:rPr>
          <w:rFonts w:ascii="Century Gothic" w:hAnsi="Century Gothic"/>
          <w:b/>
          <w:i/>
        </w:rPr>
        <w:t>Note 1</w:t>
      </w:r>
      <w:r w:rsidRPr="009C04D3">
        <w:rPr>
          <w:rFonts w:ascii="Century Gothic" w:hAnsi="Century Gothic"/>
        </w:rPr>
        <w:t>:</w:t>
      </w:r>
      <w:r w:rsidRPr="009C04D3">
        <w:rPr>
          <w:rFonts w:ascii="Century Gothic" w:hAnsi="Century Gothic"/>
        </w:rPr>
        <w:tab/>
        <w:t>Excluding supplementary and unregulated entitlements.</w:t>
      </w:r>
    </w:p>
    <w:p w:rsidR="00CE4987" w:rsidRDefault="00CE4987" w:rsidP="00CE4987">
      <w:pPr>
        <w:spacing w:after="0"/>
        <w:jc w:val="left"/>
        <w:rPr>
          <w:rFonts w:ascii="Century Gothic" w:hAnsi="Century Gothic"/>
          <w:sz w:val="24"/>
          <w:szCs w:val="24"/>
        </w:rPr>
      </w:pPr>
    </w:p>
    <w:p w:rsidR="00DD3A0B" w:rsidRPr="00DD3A0B" w:rsidRDefault="00DD3A0B" w:rsidP="00DD3A0B">
      <w:pPr>
        <w:rPr>
          <w:rFonts w:ascii="Century Gothic" w:hAnsi="Century Gothic"/>
        </w:rPr>
      </w:pPr>
      <w:r w:rsidRPr="00DD3A0B">
        <w:rPr>
          <w:rFonts w:ascii="Century Gothic" w:hAnsi="Century Gothic"/>
        </w:rPr>
        <w:t>In 2014-15, the 449.9 GL carried over was an increase on the 393.7 GL carried over into 2013</w:t>
      </w:r>
      <w:r>
        <w:rPr>
          <w:rFonts w:ascii="Century Gothic" w:hAnsi="Century Gothic"/>
        </w:rPr>
        <w:t>–</w:t>
      </w:r>
      <w:r w:rsidRPr="00DD3A0B">
        <w:rPr>
          <w:rFonts w:ascii="Century Gothic" w:hAnsi="Century Gothic"/>
        </w:rPr>
        <w:t xml:space="preserve">14. Carryover from 1 July 2013 to 1 July 2014 decreased in the northern catchments (with the exception of a small increase in the Namoi) and increased in the southern catchments (with the exception of a small decrease in the Goulburn). The water carried over in the southern connected Basin is planned to be used to supply early season demands in the Goulburn and Murrumbidgee catchments. </w:t>
      </w:r>
    </w:p>
    <w:p w:rsidR="009C04D3" w:rsidRPr="00DD3A0B" w:rsidRDefault="00DD3A0B" w:rsidP="00DD3A0B">
      <w:pPr>
        <w:spacing w:after="0"/>
        <w:jc w:val="left"/>
        <w:rPr>
          <w:rFonts w:ascii="Century Gothic" w:hAnsi="Century Gothic"/>
          <w:sz w:val="24"/>
          <w:szCs w:val="24"/>
        </w:rPr>
      </w:pPr>
      <w:r w:rsidRPr="00DD3A0B">
        <w:rPr>
          <w:rFonts w:ascii="Century Gothic" w:hAnsi="Century Gothic"/>
        </w:rPr>
        <w:t>At 30 June 2014, the Commonwealth held 0.2 GL in accounts in the NSW Murray (Groundwater), Peel and Campaspe catchments for which carryover provisions were either unavailable or insufficient to allow for the full carryover of water held in those accounts. This water was re-allocated under State rules. The reallocation corresponds to 0.01 per cent of Commonwealth environmental water available for management in 2013</w:t>
      </w:r>
      <w:r>
        <w:rPr>
          <w:rFonts w:ascii="Century Gothic" w:hAnsi="Century Gothic"/>
        </w:rPr>
        <w:t>–</w:t>
      </w:r>
      <w:r w:rsidRPr="00DD3A0B">
        <w:rPr>
          <w:rFonts w:ascii="Century Gothic" w:hAnsi="Century Gothic"/>
        </w:rPr>
        <w:t>14.</w:t>
      </w:r>
    </w:p>
    <w:p w:rsidR="00557140" w:rsidRPr="00CE4987" w:rsidRDefault="00DD3A0B" w:rsidP="00BC44CA">
      <w:pPr>
        <w:pStyle w:val="Heading1"/>
        <w:ind w:left="360" w:hanging="357"/>
        <w:jc w:val="left"/>
        <w:rPr>
          <w:rFonts w:ascii="Century Gothic" w:hAnsi="Century Gothic"/>
          <w:color w:val="5F497A" w:themeColor="accent4" w:themeShade="BF"/>
          <w:sz w:val="36"/>
          <w:szCs w:val="36"/>
        </w:rPr>
      </w:pPr>
      <w:bookmarkStart w:id="7" w:name="_Toc363199518"/>
      <w:bookmarkStart w:id="8" w:name="_Toc396996785"/>
      <w:bookmarkEnd w:id="7"/>
      <w:r>
        <w:rPr>
          <w:rFonts w:ascii="Century Gothic" w:hAnsi="Century Gothic"/>
          <w:color w:val="5F497A" w:themeColor="accent4" w:themeShade="BF"/>
          <w:sz w:val="36"/>
          <w:szCs w:val="36"/>
        </w:rPr>
        <w:t>Utilisation of Commonwealth environmental water</w:t>
      </w:r>
      <w:bookmarkEnd w:id="8"/>
    </w:p>
    <w:p w:rsidR="00DD3A0B" w:rsidRDefault="00DD3A0B" w:rsidP="00DD3A0B">
      <w:pPr>
        <w:rPr>
          <w:rFonts w:ascii="Century Gothic" w:hAnsi="Century Gothic"/>
        </w:rPr>
      </w:pPr>
      <w:r w:rsidRPr="00DD3A0B">
        <w:rPr>
          <w:rFonts w:ascii="Century Gothic" w:hAnsi="Century Gothic"/>
        </w:rPr>
        <w:t xml:space="preserve">In 2013-14, the Commonwealth used 68 per cent of its held surface water across the Murray-Darling Basin (including the trade of allocation in the Gwydir and Peel systems), and 72 per cent of its available surface water in the southern connected Basin. Based on operational data provided by New South Wales and Victoria, utilisation across the Murray-Darling Basin by all entitlement holders is likely to be higher, at around 70 and 76 per cent across those two States respectively. </w:t>
      </w:r>
    </w:p>
    <w:p w:rsidR="00D9671C" w:rsidRDefault="00DD3A0B" w:rsidP="00DD3A0B">
      <w:pPr>
        <w:rPr>
          <w:rFonts w:ascii="Century Gothic" w:hAnsi="Century Gothic"/>
        </w:rPr>
      </w:pPr>
      <w:r w:rsidRPr="00DD3A0B">
        <w:rPr>
          <w:rFonts w:ascii="Century Gothic" w:hAnsi="Century Gothic"/>
        </w:rPr>
        <w:t>A higher proportion of Commonwealth environmental water was used in the first five years of operations when compared to other water users, as shown on Figure 1, while a slightly lower proportion was used in 2013</w:t>
      </w:r>
      <w:r w:rsidR="00F867E2">
        <w:rPr>
          <w:rFonts w:ascii="Century Gothic" w:hAnsi="Century Gothic"/>
        </w:rPr>
        <w:t>–</w:t>
      </w:r>
      <w:r w:rsidRPr="00DD3A0B">
        <w:rPr>
          <w:rFonts w:ascii="Century Gothic" w:hAnsi="Century Gothic"/>
        </w:rPr>
        <w:t>14. Lower use in 2013</w:t>
      </w:r>
      <w:r w:rsidR="00F867E2">
        <w:rPr>
          <w:rFonts w:ascii="Century Gothic" w:hAnsi="Century Gothic"/>
        </w:rPr>
        <w:t>–</w:t>
      </w:r>
      <w:r w:rsidRPr="00DD3A0B">
        <w:rPr>
          <w:rFonts w:ascii="Century Gothic" w:hAnsi="Century Gothic"/>
        </w:rPr>
        <w:t>14 was primarily due to a constrained delivery environment in the south of the basin associated with works at Lake Victoria and the relatively dry outlook warranting a more conservative approach to ensure future environmental needs can be met.</w:t>
      </w:r>
    </w:p>
    <w:p w:rsidR="00F867E2" w:rsidRPr="00CE4987" w:rsidRDefault="00F867E2" w:rsidP="00DD3A0B">
      <w:pPr>
        <w:rPr>
          <w:rFonts w:ascii="Century Gothic" w:hAnsi="Century Gothic"/>
          <w:b/>
        </w:rPr>
      </w:pPr>
      <w:r w:rsidRPr="00F867E2">
        <w:rPr>
          <w:rFonts w:ascii="Century Gothic" w:hAnsi="Century Gothic"/>
          <w:noProof/>
        </w:rPr>
        <w:drawing>
          <wp:inline distT="0" distB="0" distL="0" distR="0">
            <wp:extent cx="5457825" cy="362902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67E2" w:rsidRPr="00F867E2" w:rsidRDefault="00F867E2" w:rsidP="00F867E2">
      <w:pPr>
        <w:pStyle w:val="NormalWeb"/>
        <w:jc w:val="center"/>
        <w:rPr>
          <w:rFonts w:ascii="Century Gothic" w:hAnsi="Century Gothic" w:cs="Arial"/>
          <w:b/>
        </w:rPr>
      </w:pPr>
      <w:r w:rsidRPr="00F867E2">
        <w:rPr>
          <w:rFonts w:ascii="Century Gothic" w:hAnsi="Century Gothic" w:cs="Arial"/>
          <w:b/>
        </w:rPr>
        <w:t>Figure 1</w:t>
      </w:r>
      <w:r w:rsidRPr="00F867E2">
        <w:rPr>
          <w:rFonts w:ascii="Century Gothic" w:hAnsi="Century Gothic" w:cs="Arial"/>
        </w:rPr>
        <w:t xml:space="preserve"> </w:t>
      </w:r>
      <w:r w:rsidRPr="00F867E2">
        <w:rPr>
          <w:rFonts w:ascii="Century Gothic" w:hAnsi="Century Gothic" w:cs="Arial"/>
          <w:b/>
        </w:rPr>
        <w:t xml:space="preserve">– </w:t>
      </w:r>
      <w:proofErr w:type="spellStart"/>
      <w:r w:rsidRPr="00F867E2">
        <w:rPr>
          <w:rFonts w:ascii="Century Gothic" w:hAnsi="Century Gothic" w:cs="Arial"/>
          <w:b/>
        </w:rPr>
        <w:t>Utilisation</w:t>
      </w:r>
      <w:proofErr w:type="spellEnd"/>
      <w:r w:rsidRPr="00F867E2">
        <w:rPr>
          <w:rFonts w:ascii="Century Gothic" w:hAnsi="Century Gothic" w:cs="Arial"/>
          <w:b/>
        </w:rPr>
        <w:t xml:space="preserve"> of allocated water as a percentage of the available volume.</w:t>
      </w:r>
    </w:p>
    <w:p w:rsidR="00F867E2" w:rsidRPr="00F867E2" w:rsidRDefault="00F867E2" w:rsidP="00F867E2">
      <w:pPr>
        <w:pStyle w:val="NormalWeb"/>
        <w:ind w:left="709" w:hanging="709"/>
        <w:rPr>
          <w:rFonts w:ascii="Century Gothic" w:hAnsi="Century Gothic" w:cs="Arial"/>
        </w:rPr>
      </w:pPr>
      <w:r w:rsidRPr="00F867E2">
        <w:rPr>
          <w:rFonts w:ascii="Century Gothic" w:hAnsi="Century Gothic" w:cs="Arial"/>
          <w:b/>
          <w:i/>
        </w:rPr>
        <w:t>Note</w:t>
      </w:r>
      <w:r w:rsidRPr="00F867E2">
        <w:rPr>
          <w:rFonts w:ascii="Century Gothic" w:hAnsi="Century Gothic" w:cs="Arial"/>
          <w:b/>
        </w:rPr>
        <w:t>:</w:t>
      </w:r>
      <w:r w:rsidRPr="00F867E2">
        <w:rPr>
          <w:rFonts w:ascii="Century Gothic" w:hAnsi="Century Gothic" w:cs="Arial"/>
        </w:rPr>
        <w:tab/>
        <w:t>Dat</w:t>
      </w:r>
      <w:r>
        <w:rPr>
          <w:rFonts w:ascii="Century Gothic" w:hAnsi="Century Gothic" w:cs="Arial"/>
        </w:rPr>
        <w:t>a for NSW and Victoria for 2008–</w:t>
      </w:r>
      <w:r w:rsidRPr="00F867E2">
        <w:rPr>
          <w:rFonts w:ascii="Century Gothic" w:hAnsi="Century Gothic" w:cs="Arial"/>
        </w:rPr>
        <w:t>09 to 2010</w:t>
      </w:r>
      <w:r w:rsidR="00E11D2E" w:rsidRPr="00E11D2E">
        <w:rPr>
          <w:rFonts w:ascii="Century Gothic" w:hAnsi="Century Gothic" w:cs="Arial"/>
          <w:sz w:val="8"/>
          <w:szCs w:val="8"/>
        </w:rPr>
        <w:t xml:space="preserve"> </w:t>
      </w:r>
      <w:r>
        <w:rPr>
          <w:rFonts w:ascii="Century Gothic" w:hAnsi="Century Gothic" w:cs="Arial"/>
        </w:rPr>
        <w:t>–</w:t>
      </w:r>
      <w:r w:rsidRPr="00F867E2">
        <w:rPr>
          <w:rFonts w:ascii="Century Gothic" w:hAnsi="Century Gothic" w:cs="Arial"/>
        </w:rPr>
        <w:t>11 are from the MDBA Water Audit Monitoring Report 2010</w:t>
      </w:r>
      <w:r w:rsidR="00E11D2E" w:rsidRPr="00E11D2E">
        <w:rPr>
          <w:rFonts w:ascii="Century Gothic" w:hAnsi="Century Gothic" w:cs="Arial"/>
          <w:sz w:val="8"/>
          <w:szCs w:val="8"/>
        </w:rPr>
        <w:t xml:space="preserve"> </w:t>
      </w:r>
      <w:r>
        <w:rPr>
          <w:rFonts w:ascii="Century Gothic" w:hAnsi="Century Gothic" w:cs="Arial"/>
        </w:rPr>
        <w:t>–</w:t>
      </w:r>
      <w:r w:rsidRPr="00F867E2">
        <w:rPr>
          <w:rFonts w:ascii="Century Gothic" w:hAnsi="Century Gothic" w:cs="Arial"/>
        </w:rPr>
        <w:t>11, use in 2011</w:t>
      </w:r>
      <w:r>
        <w:rPr>
          <w:rFonts w:ascii="Century Gothic" w:hAnsi="Century Gothic" w:cs="Arial"/>
        </w:rPr>
        <w:t>–</w:t>
      </w:r>
      <w:r w:rsidRPr="00F867E2">
        <w:rPr>
          <w:rFonts w:ascii="Century Gothic" w:hAnsi="Century Gothic" w:cs="Arial"/>
        </w:rPr>
        <w:t>12, 2012</w:t>
      </w:r>
      <w:r>
        <w:rPr>
          <w:rFonts w:ascii="Century Gothic" w:hAnsi="Century Gothic" w:cs="Arial"/>
        </w:rPr>
        <w:t>–</w:t>
      </w:r>
      <w:r w:rsidRPr="00F867E2">
        <w:rPr>
          <w:rFonts w:ascii="Century Gothic" w:hAnsi="Century Gothic" w:cs="Arial"/>
        </w:rPr>
        <w:t>13 and 2013</w:t>
      </w:r>
      <w:r>
        <w:rPr>
          <w:rFonts w:ascii="Century Gothic" w:hAnsi="Century Gothic" w:cs="Arial"/>
        </w:rPr>
        <w:t>–</w:t>
      </w:r>
      <w:r w:rsidRPr="00F867E2">
        <w:rPr>
          <w:rFonts w:ascii="Century Gothic" w:hAnsi="Century Gothic" w:cs="Arial"/>
        </w:rPr>
        <w:t>14 in NSW and Victoria are estimated based on operational data.</w:t>
      </w:r>
    </w:p>
    <w:p w:rsidR="00F867E2" w:rsidRDefault="00F867E2" w:rsidP="00E26D53">
      <w:pPr>
        <w:pStyle w:val="Para0"/>
        <w:spacing w:after="240" w:line="240" w:lineRule="auto"/>
        <w:jc w:val="left"/>
        <w:rPr>
          <w:rFonts w:ascii="Century Gothic" w:hAnsi="Century Gothic"/>
        </w:rPr>
      </w:pPr>
    </w:p>
    <w:p w:rsidR="00403E3F" w:rsidRDefault="00403E3F" w:rsidP="00E26D53">
      <w:pPr>
        <w:pStyle w:val="Para0"/>
        <w:spacing w:after="240" w:line="240" w:lineRule="auto"/>
        <w:jc w:val="left"/>
        <w:rPr>
          <w:rFonts w:ascii="Century Gothic" w:hAnsi="Century Gothic"/>
        </w:rPr>
      </w:pPr>
    </w:p>
    <w:p w:rsidR="00403E3F" w:rsidRPr="00F867E2" w:rsidRDefault="00403E3F" w:rsidP="00E26D53">
      <w:pPr>
        <w:pStyle w:val="Para0"/>
        <w:spacing w:after="240" w:line="240" w:lineRule="auto"/>
        <w:jc w:val="left"/>
        <w:rPr>
          <w:rFonts w:ascii="Century Gothic" w:hAnsi="Century Gothic"/>
        </w:rPr>
      </w:pPr>
    </w:p>
    <w:p w:rsidR="00C03E3D" w:rsidRPr="00CE4987" w:rsidRDefault="00F867E2" w:rsidP="00C03E3D">
      <w:pPr>
        <w:pStyle w:val="Heading1"/>
        <w:ind w:left="360"/>
        <w:jc w:val="left"/>
        <w:rPr>
          <w:rFonts w:ascii="Century Gothic" w:hAnsi="Century Gothic"/>
          <w:color w:val="5F497A" w:themeColor="accent4" w:themeShade="BF"/>
          <w:sz w:val="36"/>
          <w:szCs w:val="36"/>
        </w:rPr>
      </w:pPr>
      <w:bookmarkStart w:id="9" w:name="_Toc396996786"/>
      <w:r>
        <w:rPr>
          <w:rFonts w:ascii="Century Gothic" w:hAnsi="Century Gothic"/>
          <w:color w:val="5F497A" w:themeColor="accent4" w:themeShade="BF"/>
          <w:sz w:val="36"/>
          <w:szCs w:val="36"/>
        </w:rPr>
        <w:t>Background to Commonwealth environmental water carryover</w:t>
      </w:r>
      <w:bookmarkEnd w:id="9"/>
    </w:p>
    <w:p w:rsidR="00F867E2" w:rsidRPr="00F867E2" w:rsidRDefault="00F867E2" w:rsidP="00F867E2">
      <w:pPr>
        <w:rPr>
          <w:rFonts w:ascii="Century Gothic" w:hAnsi="Century Gothic"/>
        </w:rPr>
      </w:pPr>
      <w:r w:rsidRPr="00F867E2">
        <w:rPr>
          <w:rFonts w:ascii="Century Gothic" w:hAnsi="Century Gothic"/>
        </w:rPr>
        <w:t xml:space="preserve">Under the </w:t>
      </w:r>
      <w:r w:rsidRPr="00F867E2">
        <w:rPr>
          <w:rFonts w:ascii="Century Gothic" w:hAnsi="Century Gothic"/>
          <w:i/>
        </w:rPr>
        <w:t>Water Act 2007</w:t>
      </w:r>
      <w:r w:rsidRPr="00F867E2">
        <w:rPr>
          <w:rFonts w:ascii="Century Gothic" w:hAnsi="Century Gothic"/>
        </w:rPr>
        <w:t xml:space="preserve">, Commonwealth environmental water is used to protect and restore environmental assets in the Murray-Darling Basin. </w:t>
      </w:r>
    </w:p>
    <w:p w:rsidR="00F867E2" w:rsidRPr="00F867E2" w:rsidRDefault="00F867E2" w:rsidP="00F867E2">
      <w:pPr>
        <w:rPr>
          <w:rFonts w:ascii="Century Gothic" w:hAnsi="Century Gothic"/>
        </w:rPr>
      </w:pPr>
      <w:r w:rsidRPr="00F867E2">
        <w:rPr>
          <w:rFonts w:ascii="Century Gothic" w:hAnsi="Century Gothic"/>
        </w:rPr>
        <w:t>The Commonwealth owns water entitlements, and receives water allocations against them, in the same way that other entitlement holders do. The rules associated with the water entitlements and allocations are set by States and apply to all entitlement holders.  If States change these rules, then the changed rules apply to the Commonwealth environmental water holdings in the same way that they apply to the water holdings of others. As a result of the rules and having carryover limits in various forms, no water holder (including the Commonwealth) can fill up dams to the exclusion of other water users</w:t>
      </w:r>
      <w:r w:rsidRPr="00F867E2">
        <w:rPr>
          <w:rStyle w:val="FootnoteReference"/>
          <w:rFonts w:ascii="Century Gothic" w:hAnsi="Century Gothic"/>
        </w:rPr>
        <w:footnoteReference w:id="2"/>
      </w:r>
      <w:r w:rsidRPr="00F867E2">
        <w:rPr>
          <w:rFonts w:ascii="Century Gothic" w:hAnsi="Century Gothic"/>
        </w:rPr>
        <w:t xml:space="preserve">.  </w:t>
      </w:r>
    </w:p>
    <w:p w:rsidR="00F867E2" w:rsidRPr="00F867E2" w:rsidRDefault="00F867E2" w:rsidP="00F867E2">
      <w:pPr>
        <w:rPr>
          <w:rFonts w:ascii="Century Gothic" w:hAnsi="Century Gothic"/>
        </w:rPr>
      </w:pPr>
      <w:r w:rsidRPr="00F867E2">
        <w:rPr>
          <w:rFonts w:ascii="Century Gothic" w:hAnsi="Century Gothic"/>
        </w:rPr>
        <w:t xml:space="preserve">Some of the rules associated with water entitlements relate to carryover. Carryover rules vary markedly for different entitlements and in different water plan areas across the Murray-Darling Basin. The carryover limits, account limits and use limits apply to all entitlement holders including the Commonwealth. Carryover provides flexibility in the timing of water delivery across years to all entitlement holders. For environmental water holders, this flexibility can be important when meeting environmental needs. For example, for an environmental manager, carryover provides the opportunity to water wetlands or river red gums in late winter and early spring ahead of most of the increases to seasonal allocations for many entitlement types. </w:t>
      </w:r>
    </w:p>
    <w:p w:rsidR="00F867E2" w:rsidRPr="00F867E2" w:rsidRDefault="00F867E2" w:rsidP="00F867E2">
      <w:pPr>
        <w:rPr>
          <w:rFonts w:ascii="Century Gothic" w:hAnsi="Century Gothic"/>
        </w:rPr>
      </w:pPr>
      <w:r w:rsidRPr="00F867E2">
        <w:rPr>
          <w:rFonts w:ascii="Century Gothic" w:hAnsi="Century Gothic"/>
        </w:rPr>
        <w:t xml:space="preserve">The same choices to manage water are available to the Commonwealth as other entitlement holders, and these choices are to use, to carryover, or to trade. Like any other entitlement holder, the Commonwealth will use the carryover available to it to efficiently manage its water holdings and produce better outcomes from the water available to it. </w:t>
      </w:r>
    </w:p>
    <w:p w:rsidR="00831C18" w:rsidRDefault="00F867E2" w:rsidP="00F867E2">
      <w:pPr>
        <w:pStyle w:val="Para0"/>
        <w:spacing w:after="240" w:line="240" w:lineRule="auto"/>
        <w:jc w:val="left"/>
        <w:rPr>
          <w:rFonts w:ascii="Century Gothic" w:hAnsi="Century Gothic"/>
        </w:rPr>
      </w:pPr>
      <w:r w:rsidRPr="00F867E2">
        <w:rPr>
          <w:rFonts w:ascii="Century Gothic" w:hAnsi="Century Gothic"/>
        </w:rPr>
        <w:t>Across the Murray-Darling Basin, on a proportional basis, the Commonwealth has generally used more and carried over less of its available water than other water users (on average) since commencing operations in 2008</w:t>
      </w:r>
      <w:r>
        <w:rPr>
          <w:rFonts w:ascii="Century Gothic" w:hAnsi="Century Gothic"/>
        </w:rPr>
        <w:t>–</w:t>
      </w:r>
      <w:r w:rsidRPr="00F867E2">
        <w:rPr>
          <w:rFonts w:ascii="Century Gothic" w:hAnsi="Century Gothic"/>
        </w:rPr>
        <w:t>09.</w:t>
      </w: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Default="00F867E2" w:rsidP="00F867E2">
      <w:pPr>
        <w:pStyle w:val="Para0"/>
        <w:spacing w:after="240" w:line="240" w:lineRule="auto"/>
        <w:jc w:val="left"/>
        <w:rPr>
          <w:rFonts w:ascii="Century Gothic" w:hAnsi="Century Gothic"/>
        </w:rPr>
      </w:pPr>
    </w:p>
    <w:p w:rsidR="00F867E2" w:rsidRPr="00F867E2" w:rsidRDefault="00593FAB" w:rsidP="00F867E2">
      <w:pPr>
        <w:pStyle w:val="Para0"/>
        <w:spacing w:after="240" w:line="240" w:lineRule="auto"/>
        <w:jc w:val="left"/>
        <w:rPr>
          <w:rFonts w:ascii="Century Gothic" w:hAnsi="Century Gothic"/>
        </w:rPr>
      </w:pPr>
      <w:r w:rsidRPr="00593FAB">
        <w:rPr>
          <w:rFonts w:ascii="Century Gothic" w:hAnsi="Century Gothic"/>
          <w:noProof/>
          <w:lang w:val="en-AU" w:eastAsia="en-AU"/>
        </w:rPr>
        <w:drawing>
          <wp:anchor distT="0" distB="0" distL="114300" distR="114300" simplePos="0" relativeHeight="251766784" behindDoc="0" locked="0" layoutInCell="1" allowOverlap="1">
            <wp:simplePos x="0" y="0"/>
            <wp:positionH relativeFrom="margin">
              <wp:posOffset>-2155981</wp:posOffset>
            </wp:positionH>
            <wp:positionV relativeFrom="margin">
              <wp:posOffset>951841</wp:posOffset>
            </wp:positionV>
            <wp:extent cx="10041147" cy="7115595"/>
            <wp:effectExtent l="0" t="1466850" r="0" b="1437855"/>
            <wp:wrapNone/>
            <wp:docPr id="5" name="Picture 1" descr="\\pvac01file02\user$\A15395\Profile\Desktop\140701 - Carryover End of Year Map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5395\Profile\Desktop\140701 - Carryover End of Year Mapv2.jpg"/>
                    <pic:cNvPicPr>
                      <a:picLocks noChangeAspect="1" noChangeArrowheads="1"/>
                    </pic:cNvPicPr>
                  </pic:nvPicPr>
                  <pic:blipFill>
                    <a:blip r:embed="rId16" cstate="email"/>
                    <a:srcRect/>
                    <a:stretch>
                      <a:fillRect/>
                    </a:stretch>
                  </pic:blipFill>
                  <pic:spPr bwMode="auto">
                    <a:xfrm rot="16200000">
                      <a:off x="0" y="0"/>
                      <a:ext cx="10041147" cy="7115595"/>
                    </a:xfrm>
                    <a:prstGeom prst="rect">
                      <a:avLst/>
                    </a:prstGeom>
                    <a:noFill/>
                    <a:ln w="9525">
                      <a:noFill/>
                      <a:miter lim="800000"/>
                      <a:headEnd/>
                      <a:tailEnd/>
                    </a:ln>
                  </pic:spPr>
                </pic:pic>
              </a:graphicData>
            </a:graphic>
          </wp:anchor>
        </w:drawing>
      </w:r>
    </w:p>
    <w:sectPr w:rsidR="00F867E2" w:rsidRPr="00F867E2" w:rsidSect="007809D9">
      <w:headerReference w:type="even" r:id="rId17"/>
      <w:headerReference w:type="default" r:id="rId18"/>
      <w:footerReference w:type="even" r:id="rId19"/>
      <w:footerReference w:type="default" r:id="rId20"/>
      <w:headerReference w:type="first" r:id="rId21"/>
      <w:footerReference w:type="first" r:id="rId22"/>
      <w:pgSz w:w="11906" w:h="16838"/>
      <w:pgMar w:top="1134" w:right="1418" w:bottom="1134" w:left="1276"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E43" w:rsidRDefault="00091E43">
      <w:r>
        <w:separator/>
      </w:r>
    </w:p>
  </w:endnote>
  <w:endnote w:type="continuationSeparator" w:id="0">
    <w:p w:rsidR="00091E43" w:rsidRDefault="00091E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091E43" w:rsidRDefault="00917613">
        <w:pPr>
          <w:pStyle w:val="Footer"/>
          <w:jc w:val="center"/>
        </w:pPr>
        <w:fldSimple w:instr=" PAGE   \* MERGEFORMAT ">
          <w:r w:rsidR="000A10E1">
            <w:rPr>
              <w:noProof/>
            </w:rPr>
            <w:t>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43" w:rsidRDefault="00091E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8844"/>
      <w:docPartObj>
        <w:docPartGallery w:val="Page Numbers (Bottom of Page)"/>
        <w:docPartUnique/>
      </w:docPartObj>
    </w:sdtPr>
    <w:sdtContent>
      <w:p w:rsidR="00091E43" w:rsidRDefault="00917613">
        <w:pPr>
          <w:pStyle w:val="Footer"/>
          <w:jc w:val="right"/>
        </w:pPr>
        <w:fldSimple w:instr=" PAGE   \* MERGEFORMAT ">
          <w:r w:rsidR="000A10E1">
            <w:rPr>
              <w:noProof/>
            </w:rPr>
            <w:t>7</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43" w:rsidRDefault="00091E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E43" w:rsidRDefault="00091E43">
      <w:r>
        <w:separator/>
      </w:r>
    </w:p>
  </w:footnote>
  <w:footnote w:type="continuationSeparator" w:id="0">
    <w:p w:rsidR="00091E43" w:rsidRDefault="00091E43">
      <w:r>
        <w:continuationSeparator/>
      </w:r>
    </w:p>
  </w:footnote>
  <w:footnote w:id="1">
    <w:p w:rsidR="00091E43" w:rsidRPr="004D3D43" w:rsidRDefault="00091E43" w:rsidP="004D3D43">
      <w:pPr>
        <w:rPr>
          <w:rFonts w:ascii="Century Gothic" w:hAnsi="Century Gothic"/>
          <w:sz w:val="16"/>
          <w:szCs w:val="16"/>
        </w:rPr>
      </w:pPr>
      <w:r w:rsidRPr="004D3D43">
        <w:rPr>
          <w:rStyle w:val="FootnoteReference"/>
          <w:rFonts w:ascii="Century Gothic" w:hAnsi="Century Gothic"/>
          <w:sz w:val="16"/>
          <w:szCs w:val="16"/>
        </w:rPr>
        <w:footnoteRef/>
      </w:r>
      <w:r w:rsidRPr="004D3D43">
        <w:rPr>
          <w:rFonts w:ascii="Century Gothic" w:hAnsi="Century Gothic"/>
          <w:sz w:val="16"/>
          <w:szCs w:val="16"/>
        </w:rPr>
        <w:t xml:space="preserve"> Whilst this gives a sense of proportion, it is a simplification that overstates the amount of Commonwealth environmental water in storage, because water orders can be supplied by river operators from storages or from tributary inflows downstream of storages.</w:t>
      </w:r>
    </w:p>
    <w:p w:rsidR="00091E43" w:rsidRDefault="00091E43" w:rsidP="004D3D43">
      <w:pPr>
        <w:pStyle w:val="FootnoteText"/>
      </w:pPr>
    </w:p>
  </w:footnote>
  <w:footnote w:id="2">
    <w:p w:rsidR="00091E43" w:rsidRPr="00F867E2" w:rsidRDefault="00091E43" w:rsidP="00F867E2">
      <w:pPr>
        <w:pStyle w:val="FootnoteText"/>
        <w:rPr>
          <w:rFonts w:ascii="Century Gothic" w:hAnsi="Century Gothic"/>
          <w:sz w:val="16"/>
          <w:szCs w:val="16"/>
        </w:rPr>
      </w:pPr>
      <w:r w:rsidRPr="00F867E2">
        <w:rPr>
          <w:rStyle w:val="FootnoteReference"/>
          <w:rFonts w:ascii="Century Gothic" w:hAnsi="Century Gothic"/>
          <w:sz w:val="16"/>
          <w:szCs w:val="16"/>
        </w:rPr>
        <w:footnoteRef/>
      </w:r>
      <w:r w:rsidRPr="00F867E2">
        <w:rPr>
          <w:rFonts w:ascii="Century Gothic" w:hAnsi="Century Gothic"/>
          <w:sz w:val="16"/>
          <w:szCs w:val="16"/>
        </w:rPr>
        <w:t xml:space="preserve"> Whether a year is wet or dry is a much more important determinant of whether a dam spills or not rather than the choices of any individual entitlement holder including the Commonwealth.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43" w:rsidRDefault="00917613" w:rsidP="0034534D">
    <w:pPr>
      <w:pStyle w:val="Classification"/>
    </w:pPr>
    <w:r>
      <w:fldChar w:fldCharType="begin"/>
    </w:r>
    <w:r w:rsidR="00091E43">
      <w:instrText xml:space="preserve"> DOCPROPERTY SecurityClassification \* MERGEFORMAT </w:instrText>
    </w:r>
    <w:r>
      <w:fldChar w:fldCharType="separate"/>
    </w:r>
    <w:r w:rsidR="00B53E84">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83813"/>
      <w:docPartObj>
        <w:docPartGallery w:val="Watermarks"/>
        <w:docPartUnique/>
      </w:docPartObj>
    </w:sdtPr>
    <w:sdtContent>
      <w:p w:rsidR="00091E43" w:rsidRDefault="00917613">
        <w:pPr>
          <w:pStyle w:val="Header"/>
        </w:pPr>
        <w:r w:rsidRPr="00917613">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7612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43" w:rsidRDefault="00091E4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43" w:rsidRDefault="00091E4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43" w:rsidRDefault="00091E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69418D9"/>
    <w:multiLevelType w:val="hybridMultilevel"/>
    <w:tmpl w:val="D1D0998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nsid w:val="0857313D"/>
    <w:multiLevelType w:val="hybridMultilevel"/>
    <w:tmpl w:val="4274BC0C"/>
    <w:name w:val="StandardBulletedList"/>
    <w:lvl w:ilvl="0" w:tplc="96F265D0">
      <w:start w:val="1"/>
      <w:numFmt w:val="bullet"/>
      <w:lvlText w:val=""/>
      <w:lvlJc w:val="left"/>
      <w:pPr>
        <w:ind w:left="720" w:hanging="360"/>
      </w:pPr>
      <w:rPr>
        <w:rFonts w:ascii="Symbol" w:hAnsi="Symbol" w:hint="default"/>
        <w:color w:val="auto"/>
      </w:rPr>
    </w:lvl>
    <w:lvl w:ilvl="1" w:tplc="D372385E">
      <w:start w:val="1"/>
      <w:numFmt w:val="bullet"/>
      <w:lvlText w:val="o"/>
      <w:lvlJc w:val="left"/>
      <w:pPr>
        <w:ind w:left="1440" w:hanging="360"/>
      </w:pPr>
      <w:rPr>
        <w:rFonts w:ascii="Courier New" w:hAnsi="Courier New" w:hint="default"/>
      </w:rPr>
    </w:lvl>
    <w:lvl w:ilvl="2" w:tplc="C6CC3982">
      <w:start w:val="1"/>
      <w:numFmt w:val="bullet"/>
      <w:lvlText w:val=""/>
      <w:lvlJc w:val="left"/>
      <w:pPr>
        <w:ind w:left="2160" w:hanging="360"/>
      </w:pPr>
      <w:rPr>
        <w:rFonts w:ascii="Wingdings" w:hAnsi="Wingdings" w:hint="default"/>
      </w:rPr>
    </w:lvl>
    <w:lvl w:ilvl="3" w:tplc="ADE4BA7A" w:tentative="1">
      <w:start w:val="1"/>
      <w:numFmt w:val="bullet"/>
      <w:lvlText w:val=""/>
      <w:lvlJc w:val="left"/>
      <w:pPr>
        <w:ind w:left="2880" w:hanging="360"/>
      </w:pPr>
      <w:rPr>
        <w:rFonts w:ascii="Symbol" w:hAnsi="Symbol" w:hint="default"/>
      </w:rPr>
    </w:lvl>
    <w:lvl w:ilvl="4" w:tplc="5B869E8C" w:tentative="1">
      <w:start w:val="1"/>
      <w:numFmt w:val="bullet"/>
      <w:lvlText w:val="o"/>
      <w:lvlJc w:val="left"/>
      <w:pPr>
        <w:ind w:left="3600" w:hanging="360"/>
      </w:pPr>
      <w:rPr>
        <w:rFonts w:ascii="Courier New" w:hAnsi="Courier New" w:hint="default"/>
      </w:rPr>
    </w:lvl>
    <w:lvl w:ilvl="5" w:tplc="F2DA44E2" w:tentative="1">
      <w:start w:val="1"/>
      <w:numFmt w:val="bullet"/>
      <w:lvlText w:val=""/>
      <w:lvlJc w:val="left"/>
      <w:pPr>
        <w:ind w:left="4320" w:hanging="360"/>
      </w:pPr>
      <w:rPr>
        <w:rFonts w:ascii="Wingdings" w:hAnsi="Wingdings" w:hint="default"/>
      </w:rPr>
    </w:lvl>
    <w:lvl w:ilvl="6" w:tplc="F5E641F4" w:tentative="1">
      <w:start w:val="1"/>
      <w:numFmt w:val="bullet"/>
      <w:lvlText w:val=""/>
      <w:lvlJc w:val="left"/>
      <w:pPr>
        <w:ind w:left="5040" w:hanging="360"/>
      </w:pPr>
      <w:rPr>
        <w:rFonts w:ascii="Symbol" w:hAnsi="Symbol" w:hint="default"/>
      </w:rPr>
    </w:lvl>
    <w:lvl w:ilvl="7" w:tplc="86782F98" w:tentative="1">
      <w:start w:val="1"/>
      <w:numFmt w:val="bullet"/>
      <w:lvlText w:val="o"/>
      <w:lvlJc w:val="left"/>
      <w:pPr>
        <w:ind w:left="5760" w:hanging="360"/>
      </w:pPr>
      <w:rPr>
        <w:rFonts w:ascii="Courier New" w:hAnsi="Courier New" w:hint="default"/>
      </w:rPr>
    </w:lvl>
    <w:lvl w:ilvl="8" w:tplc="4B1AB3A4" w:tentative="1">
      <w:start w:val="1"/>
      <w:numFmt w:val="bullet"/>
      <w:lvlText w:val=""/>
      <w:lvlJc w:val="left"/>
      <w:pPr>
        <w:ind w:left="6480" w:hanging="360"/>
      </w:pPr>
      <w:rPr>
        <w:rFonts w:ascii="Wingdings" w:hAnsi="Wingdings" w:hint="default"/>
      </w:rPr>
    </w:lvl>
  </w:abstractNum>
  <w:abstractNum w:abstractNumId="4">
    <w:nsid w:val="0A020D15"/>
    <w:multiLevelType w:val="multilevel"/>
    <w:tmpl w:val="32623526"/>
    <w:lvl w:ilvl="0">
      <w:start w:val="1"/>
      <w:numFmt w:val="decimal"/>
      <w:pStyle w:val="Heading1"/>
      <w:lvlText w:val="%1."/>
      <w:lvlJc w:val="left"/>
      <w:pPr>
        <w:ind w:left="644" w:hanging="360"/>
      </w:pPr>
      <w:rPr>
        <w:rFonts w:cs="Times New Roman"/>
      </w:rPr>
    </w:lvl>
    <w:lvl w:ilvl="1">
      <w:start w:val="1"/>
      <w:numFmt w:val="decimal"/>
      <w:pStyle w:val="Heading2"/>
      <w:lvlText w:val="%1.%2."/>
      <w:lvlJc w:val="left"/>
      <w:pPr>
        <w:ind w:left="792" w:hanging="432"/>
      </w:pPr>
      <w:rPr>
        <w:rFonts w:cs="Times New Roman"/>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0CC76AA1"/>
    <w:multiLevelType w:val="hybridMultilevel"/>
    <w:tmpl w:val="C18A7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7">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73F45FE"/>
    <w:multiLevelType w:val="hybridMultilevel"/>
    <w:tmpl w:val="F864D268"/>
    <w:lvl w:ilvl="0" w:tplc="9DCE5974">
      <w:start w:val="1"/>
      <w:numFmt w:val="decimal"/>
      <w:pStyle w:val="Para1number"/>
      <w:lvlText w:val="%1)"/>
      <w:lvlJc w:val="left"/>
      <w:pPr>
        <w:tabs>
          <w:tab w:val="num" w:pos="794"/>
        </w:tabs>
        <w:ind w:left="794" w:hanging="397"/>
      </w:pPr>
      <w:rPr>
        <w:rFonts w:cs="Times New Roman" w:hint="default"/>
      </w:rPr>
    </w:lvl>
    <w:lvl w:ilvl="1" w:tplc="0FBC150A" w:tentative="1">
      <w:start w:val="1"/>
      <w:numFmt w:val="lowerLetter"/>
      <w:lvlText w:val="%2."/>
      <w:lvlJc w:val="left"/>
      <w:pPr>
        <w:tabs>
          <w:tab w:val="num" w:pos="1440"/>
        </w:tabs>
        <w:ind w:left="1440" w:hanging="360"/>
      </w:pPr>
      <w:rPr>
        <w:rFonts w:cs="Times New Roman"/>
      </w:rPr>
    </w:lvl>
    <w:lvl w:ilvl="2" w:tplc="8982BA6E" w:tentative="1">
      <w:start w:val="1"/>
      <w:numFmt w:val="lowerRoman"/>
      <w:lvlText w:val="%3."/>
      <w:lvlJc w:val="right"/>
      <w:pPr>
        <w:tabs>
          <w:tab w:val="num" w:pos="2160"/>
        </w:tabs>
        <w:ind w:left="2160" w:hanging="180"/>
      </w:pPr>
      <w:rPr>
        <w:rFonts w:cs="Times New Roman"/>
      </w:rPr>
    </w:lvl>
    <w:lvl w:ilvl="3" w:tplc="AAA61FAC" w:tentative="1">
      <w:start w:val="1"/>
      <w:numFmt w:val="decimal"/>
      <w:lvlText w:val="%4."/>
      <w:lvlJc w:val="left"/>
      <w:pPr>
        <w:tabs>
          <w:tab w:val="num" w:pos="2880"/>
        </w:tabs>
        <w:ind w:left="2880" w:hanging="360"/>
      </w:pPr>
      <w:rPr>
        <w:rFonts w:cs="Times New Roman"/>
      </w:rPr>
    </w:lvl>
    <w:lvl w:ilvl="4" w:tplc="50180BDE" w:tentative="1">
      <w:start w:val="1"/>
      <w:numFmt w:val="lowerLetter"/>
      <w:lvlText w:val="%5."/>
      <w:lvlJc w:val="left"/>
      <w:pPr>
        <w:tabs>
          <w:tab w:val="num" w:pos="3600"/>
        </w:tabs>
        <w:ind w:left="3600" w:hanging="360"/>
      </w:pPr>
      <w:rPr>
        <w:rFonts w:cs="Times New Roman"/>
      </w:rPr>
    </w:lvl>
    <w:lvl w:ilvl="5" w:tplc="A594AE12" w:tentative="1">
      <w:start w:val="1"/>
      <w:numFmt w:val="lowerRoman"/>
      <w:lvlText w:val="%6."/>
      <w:lvlJc w:val="right"/>
      <w:pPr>
        <w:tabs>
          <w:tab w:val="num" w:pos="4320"/>
        </w:tabs>
        <w:ind w:left="4320" w:hanging="180"/>
      </w:pPr>
      <w:rPr>
        <w:rFonts w:cs="Times New Roman"/>
      </w:rPr>
    </w:lvl>
    <w:lvl w:ilvl="6" w:tplc="936E61A4" w:tentative="1">
      <w:start w:val="1"/>
      <w:numFmt w:val="decimal"/>
      <w:lvlText w:val="%7."/>
      <w:lvlJc w:val="left"/>
      <w:pPr>
        <w:tabs>
          <w:tab w:val="num" w:pos="5040"/>
        </w:tabs>
        <w:ind w:left="5040" w:hanging="360"/>
      </w:pPr>
      <w:rPr>
        <w:rFonts w:cs="Times New Roman"/>
      </w:rPr>
    </w:lvl>
    <w:lvl w:ilvl="7" w:tplc="32E25126" w:tentative="1">
      <w:start w:val="1"/>
      <w:numFmt w:val="lowerLetter"/>
      <w:lvlText w:val="%8."/>
      <w:lvlJc w:val="left"/>
      <w:pPr>
        <w:tabs>
          <w:tab w:val="num" w:pos="5760"/>
        </w:tabs>
        <w:ind w:left="5760" w:hanging="360"/>
      </w:pPr>
      <w:rPr>
        <w:rFonts w:cs="Times New Roman"/>
      </w:rPr>
    </w:lvl>
    <w:lvl w:ilvl="8" w:tplc="8ED60F68" w:tentative="1">
      <w:start w:val="1"/>
      <w:numFmt w:val="lowerRoman"/>
      <w:lvlText w:val="%9."/>
      <w:lvlJc w:val="right"/>
      <w:pPr>
        <w:tabs>
          <w:tab w:val="num" w:pos="6480"/>
        </w:tabs>
        <w:ind w:left="6480" w:hanging="180"/>
      </w:pPr>
      <w:rPr>
        <w:rFonts w:cs="Times New Roman"/>
      </w:rPr>
    </w:lvl>
  </w:abstractNum>
  <w:abstractNum w:abstractNumId="9">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48B871CF"/>
    <w:multiLevelType w:val="multilevel"/>
    <w:tmpl w:val="E5E89F92"/>
    <w:numStyleLink w:val="BulletList"/>
  </w:abstractNum>
  <w:abstractNum w:abstractNumId="11">
    <w:nsid w:val="5BB27A70"/>
    <w:multiLevelType w:val="hybridMultilevel"/>
    <w:tmpl w:val="DE64329E"/>
    <w:lvl w:ilvl="0" w:tplc="F40E714A">
      <w:start w:val="1"/>
      <w:numFmt w:val="lowerLetter"/>
      <w:lvlText w:val="%1."/>
      <w:lvlJc w:val="left"/>
      <w:pPr>
        <w:ind w:left="720" w:hanging="360"/>
      </w:pPr>
      <w:rPr>
        <w:rFonts w:hint="default"/>
      </w:rPr>
    </w:lvl>
    <w:lvl w:ilvl="1" w:tplc="C18E0D36" w:tentative="1">
      <w:start w:val="1"/>
      <w:numFmt w:val="lowerLetter"/>
      <w:lvlText w:val="%2."/>
      <w:lvlJc w:val="left"/>
      <w:pPr>
        <w:ind w:left="1440" w:hanging="360"/>
      </w:pPr>
    </w:lvl>
    <w:lvl w:ilvl="2" w:tplc="2E5AB40A" w:tentative="1">
      <w:start w:val="1"/>
      <w:numFmt w:val="lowerRoman"/>
      <w:lvlText w:val="%3."/>
      <w:lvlJc w:val="right"/>
      <w:pPr>
        <w:ind w:left="2160" w:hanging="180"/>
      </w:pPr>
    </w:lvl>
    <w:lvl w:ilvl="3" w:tplc="9BD6E392" w:tentative="1">
      <w:start w:val="1"/>
      <w:numFmt w:val="decimal"/>
      <w:lvlText w:val="%4."/>
      <w:lvlJc w:val="left"/>
      <w:pPr>
        <w:ind w:left="2880" w:hanging="360"/>
      </w:pPr>
    </w:lvl>
    <w:lvl w:ilvl="4" w:tplc="F886C9EE" w:tentative="1">
      <w:start w:val="1"/>
      <w:numFmt w:val="lowerLetter"/>
      <w:lvlText w:val="%5."/>
      <w:lvlJc w:val="left"/>
      <w:pPr>
        <w:ind w:left="3600" w:hanging="360"/>
      </w:pPr>
    </w:lvl>
    <w:lvl w:ilvl="5" w:tplc="6540D874" w:tentative="1">
      <w:start w:val="1"/>
      <w:numFmt w:val="lowerRoman"/>
      <w:lvlText w:val="%6."/>
      <w:lvlJc w:val="right"/>
      <w:pPr>
        <w:ind w:left="4320" w:hanging="180"/>
      </w:pPr>
    </w:lvl>
    <w:lvl w:ilvl="6" w:tplc="69E264BA" w:tentative="1">
      <w:start w:val="1"/>
      <w:numFmt w:val="decimal"/>
      <w:lvlText w:val="%7."/>
      <w:lvlJc w:val="left"/>
      <w:pPr>
        <w:ind w:left="5040" w:hanging="360"/>
      </w:pPr>
    </w:lvl>
    <w:lvl w:ilvl="7" w:tplc="94EC8766" w:tentative="1">
      <w:start w:val="1"/>
      <w:numFmt w:val="lowerLetter"/>
      <w:lvlText w:val="%8."/>
      <w:lvlJc w:val="left"/>
      <w:pPr>
        <w:ind w:left="5760" w:hanging="360"/>
      </w:pPr>
    </w:lvl>
    <w:lvl w:ilvl="8" w:tplc="B4F22DDC" w:tentative="1">
      <w:start w:val="1"/>
      <w:numFmt w:val="lowerRoman"/>
      <w:lvlText w:val="%9."/>
      <w:lvlJc w:val="right"/>
      <w:pPr>
        <w:ind w:left="6480" w:hanging="180"/>
      </w:pPr>
    </w:lvl>
  </w:abstractNum>
  <w:abstractNum w:abstractNumId="12">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13">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nsid w:val="7D0A4452"/>
    <w:multiLevelType w:val="multilevel"/>
    <w:tmpl w:val="F642CA2E"/>
    <w:lvl w:ilvl="0">
      <w:start w:val="1"/>
      <w:numFmt w:val="decimal"/>
      <w:pStyle w:val="ListNumber"/>
      <w:lvlText w:val="%1."/>
      <w:lvlJc w:val="left"/>
      <w:pPr>
        <w:ind w:left="587" w:hanging="360"/>
      </w:pPr>
      <w:rPr>
        <w:rFonts w:cs="Times New Roman" w:hint="default"/>
      </w:rPr>
    </w:lvl>
    <w:lvl w:ilvl="1">
      <w:start w:val="1"/>
      <w:numFmt w:val="decimal"/>
      <w:lvlText w:val="2.%2"/>
      <w:lvlJc w:val="left"/>
      <w:pPr>
        <w:ind w:left="1019" w:hanging="432"/>
      </w:pPr>
      <w:rPr>
        <w:rFonts w:cs="Times New Roman" w:hint="default"/>
      </w:rPr>
    </w:lvl>
    <w:lvl w:ilvl="2">
      <w:start w:val="1"/>
      <w:numFmt w:val="decimal"/>
      <w:lvlText w:val="%1.%2.%3."/>
      <w:lvlJc w:val="left"/>
      <w:pPr>
        <w:ind w:left="1451" w:hanging="504"/>
      </w:pPr>
      <w:rPr>
        <w:rFonts w:cs="Times New Roman" w:hint="default"/>
      </w:rPr>
    </w:lvl>
    <w:lvl w:ilvl="3">
      <w:start w:val="1"/>
      <w:numFmt w:val="decimal"/>
      <w:lvlText w:val="%1.%2.%3.%4."/>
      <w:lvlJc w:val="left"/>
      <w:pPr>
        <w:ind w:left="1955" w:hanging="648"/>
      </w:pPr>
      <w:rPr>
        <w:rFonts w:cs="Times New Roman" w:hint="default"/>
      </w:rPr>
    </w:lvl>
    <w:lvl w:ilvl="4">
      <w:start w:val="1"/>
      <w:numFmt w:val="decimal"/>
      <w:lvlText w:val="%1.%2.%3.%4.%5."/>
      <w:lvlJc w:val="left"/>
      <w:pPr>
        <w:ind w:left="2459" w:hanging="792"/>
      </w:pPr>
      <w:rPr>
        <w:rFonts w:cs="Times New Roman" w:hint="default"/>
      </w:rPr>
    </w:lvl>
    <w:lvl w:ilvl="5">
      <w:start w:val="1"/>
      <w:numFmt w:val="decimal"/>
      <w:lvlText w:val="%1.%2.%3.%4.%5.%6."/>
      <w:lvlJc w:val="left"/>
      <w:pPr>
        <w:ind w:left="2963" w:hanging="936"/>
      </w:pPr>
      <w:rPr>
        <w:rFonts w:cs="Times New Roman" w:hint="default"/>
      </w:rPr>
    </w:lvl>
    <w:lvl w:ilvl="6">
      <w:start w:val="1"/>
      <w:numFmt w:val="decimal"/>
      <w:lvlText w:val="%1.%2.%3.%4.%5.%6.%7."/>
      <w:lvlJc w:val="left"/>
      <w:pPr>
        <w:ind w:left="3467" w:hanging="1080"/>
      </w:pPr>
      <w:rPr>
        <w:rFonts w:cs="Times New Roman" w:hint="default"/>
      </w:rPr>
    </w:lvl>
    <w:lvl w:ilvl="7">
      <w:start w:val="1"/>
      <w:numFmt w:val="decimal"/>
      <w:lvlText w:val="%1.%2.%3.%4.%5.%6.%7.%8."/>
      <w:lvlJc w:val="left"/>
      <w:pPr>
        <w:ind w:left="3971" w:hanging="1224"/>
      </w:pPr>
      <w:rPr>
        <w:rFonts w:cs="Times New Roman" w:hint="default"/>
      </w:rPr>
    </w:lvl>
    <w:lvl w:ilvl="8">
      <w:start w:val="1"/>
      <w:numFmt w:val="decimal"/>
      <w:lvlText w:val="%1.%2.%3.%4.%5.%6.%7.%8.%9."/>
      <w:lvlJc w:val="left"/>
      <w:pPr>
        <w:ind w:left="4547" w:hanging="1440"/>
      </w:pPr>
      <w:rPr>
        <w:rFonts w:cs="Times New Roman" w:hint="default"/>
      </w:rPr>
    </w:lvl>
  </w:abstractNum>
  <w:num w:numId="1">
    <w:abstractNumId w:val="6"/>
  </w:num>
  <w:num w:numId="2">
    <w:abstractNumId w:val="4"/>
  </w:num>
  <w:num w:numId="3">
    <w:abstractNumId w:val="8"/>
  </w:num>
  <w:num w:numId="4">
    <w:abstractNumId w:val="9"/>
  </w:num>
  <w:num w:numId="5">
    <w:abstractNumId w:val="12"/>
  </w:num>
  <w:num w:numId="6">
    <w:abstractNumId w:val="7"/>
  </w:num>
  <w:num w:numId="7">
    <w:abstractNumId w:val="14"/>
  </w:num>
  <w:num w:numId="8">
    <w:abstractNumId w:val="1"/>
  </w:num>
  <w:num w:numId="9">
    <w:abstractNumId w:val="0"/>
  </w:num>
  <w:num w:numId="10">
    <w:abstractNumId w:val="13"/>
  </w:num>
  <w:num w:numId="11">
    <w:abstractNumId w:val="5"/>
  </w:num>
  <w:num w:numId="12">
    <w:abstractNumId w:val="11"/>
  </w:num>
  <w:num w:numId="13">
    <w:abstractNumId w:val="2"/>
  </w:num>
  <w:num w:numId="14">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grammar="clean"/>
  <w:stylePaneFormatFilter w:val="3F01"/>
  <w:defaultTabStop w:val="227"/>
  <w:drawingGridHorizontalSpacing w:val="100"/>
  <w:displayHorizontalDrawingGridEvery w:val="2"/>
  <w:characterSpacingControl w:val="doNotCompress"/>
  <w:hdrShapeDefaults>
    <o:shapedefaults v:ext="edit" spidmax="176130">
      <o:colormenu v:ext="edit" fillcolor="none [1951]" strokecolor="none [3204]"/>
    </o:shapedefaults>
    <o:shapelayout v:ext="edit">
      <o:idmap v:ext="edit" data="172"/>
    </o:shapelayout>
  </w:hdrShapeDefaults>
  <w:footnotePr>
    <w:footnote w:id="-1"/>
    <w:footnote w:id="0"/>
  </w:footnotePr>
  <w:endnotePr>
    <w:endnote w:id="-1"/>
    <w:endnote w:id="0"/>
  </w:endnotePr>
  <w:compat/>
  <w:rsids>
    <w:rsidRoot w:val="0056742F"/>
    <w:rsid w:val="00000381"/>
    <w:rsid w:val="00002099"/>
    <w:rsid w:val="00002378"/>
    <w:rsid w:val="000024EA"/>
    <w:rsid w:val="000028D9"/>
    <w:rsid w:val="00004AE1"/>
    <w:rsid w:val="000056E2"/>
    <w:rsid w:val="00005AB2"/>
    <w:rsid w:val="00005BEC"/>
    <w:rsid w:val="00006681"/>
    <w:rsid w:val="00007E25"/>
    <w:rsid w:val="00007FDD"/>
    <w:rsid w:val="00016616"/>
    <w:rsid w:val="0001743F"/>
    <w:rsid w:val="000200A4"/>
    <w:rsid w:val="0002261E"/>
    <w:rsid w:val="00023638"/>
    <w:rsid w:val="0002400B"/>
    <w:rsid w:val="000253A5"/>
    <w:rsid w:val="00033967"/>
    <w:rsid w:val="00034107"/>
    <w:rsid w:val="00036335"/>
    <w:rsid w:val="000376C3"/>
    <w:rsid w:val="00037DC7"/>
    <w:rsid w:val="00041C25"/>
    <w:rsid w:val="000436E2"/>
    <w:rsid w:val="000444F5"/>
    <w:rsid w:val="00044722"/>
    <w:rsid w:val="00045C6E"/>
    <w:rsid w:val="00046984"/>
    <w:rsid w:val="000474D4"/>
    <w:rsid w:val="00050097"/>
    <w:rsid w:val="0005121E"/>
    <w:rsid w:val="00051F70"/>
    <w:rsid w:val="00052416"/>
    <w:rsid w:val="000538A0"/>
    <w:rsid w:val="00055578"/>
    <w:rsid w:val="000556D7"/>
    <w:rsid w:val="0005674C"/>
    <w:rsid w:val="00056FAD"/>
    <w:rsid w:val="000615D2"/>
    <w:rsid w:val="00061E6F"/>
    <w:rsid w:val="00062B00"/>
    <w:rsid w:val="00063869"/>
    <w:rsid w:val="00064D8C"/>
    <w:rsid w:val="0006675F"/>
    <w:rsid w:val="00066AF3"/>
    <w:rsid w:val="00071D3B"/>
    <w:rsid w:val="0007212E"/>
    <w:rsid w:val="000763A2"/>
    <w:rsid w:val="00076F5C"/>
    <w:rsid w:val="000801F7"/>
    <w:rsid w:val="00084E55"/>
    <w:rsid w:val="0008555D"/>
    <w:rsid w:val="00085B95"/>
    <w:rsid w:val="00085CE7"/>
    <w:rsid w:val="000871AC"/>
    <w:rsid w:val="0008722B"/>
    <w:rsid w:val="00091DE7"/>
    <w:rsid w:val="00091E43"/>
    <w:rsid w:val="00093447"/>
    <w:rsid w:val="00093553"/>
    <w:rsid w:val="00093D3C"/>
    <w:rsid w:val="00094EF2"/>
    <w:rsid w:val="000A0D14"/>
    <w:rsid w:val="000A10E1"/>
    <w:rsid w:val="000A1A4E"/>
    <w:rsid w:val="000A2292"/>
    <w:rsid w:val="000A2409"/>
    <w:rsid w:val="000A3AF3"/>
    <w:rsid w:val="000A4CEF"/>
    <w:rsid w:val="000A5FB7"/>
    <w:rsid w:val="000A707B"/>
    <w:rsid w:val="000B0A77"/>
    <w:rsid w:val="000B1365"/>
    <w:rsid w:val="000B187A"/>
    <w:rsid w:val="000B2A70"/>
    <w:rsid w:val="000B363A"/>
    <w:rsid w:val="000B5111"/>
    <w:rsid w:val="000B6786"/>
    <w:rsid w:val="000C00BE"/>
    <w:rsid w:val="000C0E21"/>
    <w:rsid w:val="000C140C"/>
    <w:rsid w:val="000C152E"/>
    <w:rsid w:val="000C239F"/>
    <w:rsid w:val="000C45B2"/>
    <w:rsid w:val="000C6B5F"/>
    <w:rsid w:val="000C7B6B"/>
    <w:rsid w:val="000D0B16"/>
    <w:rsid w:val="000D3600"/>
    <w:rsid w:val="000D3A09"/>
    <w:rsid w:val="000D437F"/>
    <w:rsid w:val="000D4EED"/>
    <w:rsid w:val="000D5A18"/>
    <w:rsid w:val="000D5B9F"/>
    <w:rsid w:val="000D6050"/>
    <w:rsid w:val="000D7E1E"/>
    <w:rsid w:val="000E0755"/>
    <w:rsid w:val="000E0CA0"/>
    <w:rsid w:val="000E1DBC"/>
    <w:rsid w:val="000E5398"/>
    <w:rsid w:val="000E7714"/>
    <w:rsid w:val="000F047E"/>
    <w:rsid w:val="000F0BD7"/>
    <w:rsid w:val="000F1AAB"/>
    <w:rsid w:val="000F3757"/>
    <w:rsid w:val="000F6DC4"/>
    <w:rsid w:val="00100776"/>
    <w:rsid w:val="0010118E"/>
    <w:rsid w:val="00102059"/>
    <w:rsid w:val="0010273F"/>
    <w:rsid w:val="00103FF7"/>
    <w:rsid w:val="00105DA6"/>
    <w:rsid w:val="001110FE"/>
    <w:rsid w:val="001131A9"/>
    <w:rsid w:val="00113476"/>
    <w:rsid w:val="0011372A"/>
    <w:rsid w:val="00115763"/>
    <w:rsid w:val="001157B5"/>
    <w:rsid w:val="00116A5F"/>
    <w:rsid w:val="00116CF3"/>
    <w:rsid w:val="00121AB9"/>
    <w:rsid w:val="00124914"/>
    <w:rsid w:val="001265D0"/>
    <w:rsid w:val="00126D38"/>
    <w:rsid w:val="0013062C"/>
    <w:rsid w:val="0013193C"/>
    <w:rsid w:val="001322DF"/>
    <w:rsid w:val="001327EC"/>
    <w:rsid w:val="00132975"/>
    <w:rsid w:val="001352F3"/>
    <w:rsid w:val="00141941"/>
    <w:rsid w:val="00147BBF"/>
    <w:rsid w:val="00147BF7"/>
    <w:rsid w:val="0015153C"/>
    <w:rsid w:val="00152AD6"/>
    <w:rsid w:val="00154217"/>
    <w:rsid w:val="00155313"/>
    <w:rsid w:val="00155E0E"/>
    <w:rsid w:val="00156815"/>
    <w:rsid w:val="001602C4"/>
    <w:rsid w:val="001612AF"/>
    <w:rsid w:val="00161636"/>
    <w:rsid w:val="001622E4"/>
    <w:rsid w:val="0016505C"/>
    <w:rsid w:val="00166982"/>
    <w:rsid w:val="00170491"/>
    <w:rsid w:val="001725E2"/>
    <w:rsid w:val="001731D7"/>
    <w:rsid w:val="00173FCC"/>
    <w:rsid w:val="00174E33"/>
    <w:rsid w:val="00177D8E"/>
    <w:rsid w:val="00181D22"/>
    <w:rsid w:val="001828A2"/>
    <w:rsid w:val="001851C3"/>
    <w:rsid w:val="001925DB"/>
    <w:rsid w:val="001928F4"/>
    <w:rsid w:val="0019343A"/>
    <w:rsid w:val="001943C7"/>
    <w:rsid w:val="00194583"/>
    <w:rsid w:val="001947CF"/>
    <w:rsid w:val="00195C4E"/>
    <w:rsid w:val="001975DD"/>
    <w:rsid w:val="001A05CF"/>
    <w:rsid w:val="001A0685"/>
    <w:rsid w:val="001A41CD"/>
    <w:rsid w:val="001A5059"/>
    <w:rsid w:val="001A61C7"/>
    <w:rsid w:val="001A7414"/>
    <w:rsid w:val="001B2250"/>
    <w:rsid w:val="001B2EBB"/>
    <w:rsid w:val="001B6746"/>
    <w:rsid w:val="001B6D4A"/>
    <w:rsid w:val="001C0BC0"/>
    <w:rsid w:val="001C1C3D"/>
    <w:rsid w:val="001C4139"/>
    <w:rsid w:val="001C54C2"/>
    <w:rsid w:val="001C6B08"/>
    <w:rsid w:val="001D1D5C"/>
    <w:rsid w:val="001D2C22"/>
    <w:rsid w:val="001D7325"/>
    <w:rsid w:val="001D7780"/>
    <w:rsid w:val="001E1642"/>
    <w:rsid w:val="001E27AB"/>
    <w:rsid w:val="001E320B"/>
    <w:rsid w:val="001E369E"/>
    <w:rsid w:val="001E48FF"/>
    <w:rsid w:val="001E5571"/>
    <w:rsid w:val="001F3B7D"/>
    <w:rsid w:val="001F6C3C"/>
    <w:rsid w:val="0020276B"/>
    <w:rsid w:val="002034DF"/>
    <w:rsid w:val="00205099"/>
    <w:rsid w:val="002064B0"/>
    <w:rsid w:val="00207883"/>
    <w:rsid w:val="00210EAC"/>
    <w:rsid w:val="00211040"/>
    <w:rsid w:val="00212D84"/>
    <w:rsid w:val="00222D78"/>
    <w:rsid w:val="0022648C"/>
    <w:rsid w:val="00227BFE"/>
    <w:rsid w:val="0023178A"/>
    <w:rsid w:val="00231C59"/>
    <w:rsid w:val="002333F8"/>
    <w:rsid w:val="00240EA8"/>
    <w:rsid w:val="00244287"/>
    <w:rsid w:val="002451D1"/>
    <w:rsid w:val="0024585E"/>
    <w:rsid w:val="00245BC9"/>
    <w:rsid w:val="002475B7"/>
    <w:rsid w:val="00250AE3"/>
    <w:rsid w:val="00250C5F"/>
    <w:rsid w:val="002526EC"/>
    <w:rsid w:val="00252B55"/>
    <w:rsid w:val="00254991"/>
    <w:rsid w:val="00256042"/>
    <w:rsid w:val="00260DAF"/>
    <w:rsid w:val="0026162F"/>
    <w:rsid w:val="0026302A"/>
    <w:rsid w:val="002651C6"/>
    <w:rsid w:val="00265F66"/>
    <w:rsid w:val="00266756"/>
    <w:rsid w:val="00266A9C"/>
    <w:rsid w:val="0027031C"/>
    <w:rsid w:val="002715DA"/>
    <w:rsid w:val="00274DF6"/>
    <w:rsid w:val="00275A95"/>
    <w:rsid w:val="00276AD7"/>
    <w:rsid w:val="00277E76"/>
    <w:rsid w:val="002800CB"/>
    <w:rsid w:val="00280787"/>
    <w:rsid w:val="00280D26"/>
    <w:rsid w:val="002814F8"/>
    <w:rsid w:val="0028523F"/>
    <w:rsid w:val="00285B0E"/>
    <w:rsid w:val="002872D2"/>
    <w:rsid w:val="00287C9A"/>
    <w:rsid w:val="00287F3B"/>
    <w:rsid w:val="002902DF"/>
    <w:rsid w:val="00296785"/>
    <w:rsid w:val="00297221"/>
    <w:rsid w:val="002A50C9"/>
    <w:rsid w:val="002B218B"/>
    <w:rsid w:val="002B2968"/>
    <w:rsid w:val="002B2B24"/>
    <w:rsid w:val="002B383D"/>
    <w:rsid w:val="002B40CB"/>
    <w:rsid w:val="002B4D8A"/>
    <w:rsid w:val="002B6E39"/>
    <w:rsid w:val="002C2ADD"/>
    <w:rsid w:val="002C2FCB"/>
    <w:rsid w:val="002C4547"/>
    <w:rsid w:val="002C4690"/>
    <w:rsid w:val="002C5B07"/>
    <w:rsid w:val="002C65EB"/>
    <w:rsid w:val="002C7EDD"/>
    <w:rsid w:val="002D0E7F"/>
    <w:rsid w:val="002D162F"/>
    <w:rsid w:val="002D18B5"/>
    <w:rsid w:val="002D2262"/>
    <w:rsid w:val="002D2B56"/>
    <w:rsid w:val="002D57BA"/>
    <w:rsid w:val="002D647C"/>
    <w:rsid w:val="002D7187"/>
    <w:rsid w:val="002D7487"/>
    <w:rsid w:val="002D7929"/>
    <w:rsid w:val="002D7B19"/>
    <w:rsid w:val="002E002F"/>
    <w:rsid w:val="002E366B"/>
    <w:rsid w:val="002E538C"/>
    <w:rsid w:val="002F0C43"/>
    <w:rsid w:val="002F274C"/>
    <w:rsid w:val="00300AFD"/>
    <w:rsid w:val="0030485D"/>
    <w:rsid w:val="00305BFC"/>
    <w:rsid w:val="00307490"/>
    <w:rsid w:val="00312939"/>
    <w:rsid w:val="00313D58"/>
    <w:rsid w:val="00314684"/>
    <w:rsid w:val="00315490"/>
    <w:rsid w:val="003154BF"/>
    <w:rsid w:val="003219DD"/>
    <w:rsid w:val="003223CE"/>
    <w:rsid w:val="0032343B"/>
    <w:rsid w:val="00324B26"/>
    <w:rsid w:val="00326902"/>
    <w:rsid w:val="00326979"/>
    <w:rsid w:val="003327EA"/>
    <w:rsid w:val="003358AC"/>
    <w:rsid w:val="00336652"/>
    <w:rsid w:val="0034312A"/>
    <w:rsid w:val="0034534D"/>
    <w:rsid w:val="00346EBD"/>
    <w:rsid w:val="003515A4"/>
    <w:rsid w:val="00357986"/>
    <w:rsid w:val="0036244A"/>
    <w:rsid w:val="00362AB3"/>
    <w:rsid w:val="00365816"/>
    <w:rsid w:val="00365AED"/>
    <w:rsid w:val="003750A3"/>
    <w:rsid w:val="00380625"/>
    <w:rsid w:val="003810EF"/>
    <w:rsid w:val="00382172"/>
    <w:rsid w:val="00385B91"/>
    <w:rsid w:val="00390B75"/>
    <w:rsid w:val="00390BB8"/>
    <w:rsid w:val="00392EE1"/>
    <w:rsid w:val="003933BD"/>
    <w:rsid w:val="00393DA2"/>
    <w:rsid w:val="00394D96"/>
    <w:rsid w:val="0039750E"/>
    <w:rsid w:val="003A0EC8"/>
    <w:rsid w:val="003A1019"/>
    <w:rsid w:val="003A2E15"/>
    <w:rsid w:val="003A4CA1"/>
    <w:rsid w:val="003A60EC"/>
    <w:rsid w:val="003A6C68"/>
    <w:rsid w:val="003A7748"/>
    <w:rsid w:val="003A7986"/>
    <w:rsid w:val="003B0FF6"/>
    <w:rsid w:val="003B1F01"/>
    <w:rsid w:val="003B2367"/>
    <w:rsid w:val="003B24E5"/>
    <w:rsid w:val="003B2B74"/>
    <w:rsid w:val="003B4D86"/>
    <w:rsid w:val="003B51AD"/>
    <w:rsid w:val="003B6ABC"/>
    <w:rsid w:val="003B6E1C"/>
    <w:rsid w:val="003C0592"/>
    <w:rsid w:val="003C0E8A"/>
    <w:rsid w:val="003C180B"/>
    <w:rsid w:val="003C1D2C"/>
    <w:rsid w:val="003C21EA"/>
    <w:rsid w:val="003C3A54"/>
    <w:rsid w:val="003C4371"/>
    <w:rsid w:val="003C4682"/>
    <w:rsid w:val="003C5701"/>
    <w:rsid w:val="003D3881"/>
    <w:rsid w:val="003D6016"/>
    <w:rsid w:val="003D6DC7"/>
    <w:rsid w:val="003D7C37"/>
    <w:rsid w:val="003E1600"/>
    <w:rsid w:val="003E19C7"/>
    <w:rsid w:val="003E4A91"/>
    <w:rsid w:val="003E737F"/>
    <w:rsid w:val="003F3FF1"/>
    <w:rsid w:val="003F5AB4"/>
    <w:rsid w:val="003F65D1"/>
    <w:rsid w:val="003F6FCF"/>
    <w:rsid w:val="003F7373"/>
    <w:rsid w:val="0040281C"/>
    <w:rsid w:val="00402B3D"/>
    <w:rsid w:val="00403163"/>
    <w:rsid w:val="00403E3F"/>
    <w:rsid w:val="00404110"/>
    <w:rsid w:val="0040477C"/>
    <w:rsid w:val="00404F55"/>
    <w:rsid w:val="004061C4"/>
    <w:rsid w:val="004112F8"/>
    <w:rsid w:val="004117E3"/>
    <w:rsid w:val="00411EAE"/>
    <w:rsid w:val="00412FE7"/>
    <w:rsid w:val="004140A1"/>
    <w:rsid w:val="004147EA"/>
    <w:rsid w:val="004158B2"/>
    <w:rsid w:val="00417AEB"/>
    <w:rsid w:val="00420CE8"/>
    <w:rsid w:val="00421323"/>
    <w:rsid w:val="00422D78"/>
    <w:rsid w:val="00422E6B"/>
    <w:rsid w:val="004259A9"/>
    <w:rsid w:val="00427CF1"/>
    <w:rsid w:val="00427D45"/>
    <w:rsid w:val="00427E7B"/>
    <w:rsid w:val="00430B48"/>
    <w:rsid w:val="0043328A"/>
    <w:rsid w:val="0043466F"/>
    <w:rsid w:val="004351F4"/>
    <w:rsid w:val="0043561E"/>
    <w:rsid w:val="00440924"/>
    <w:rsid w:val="00441667"/>
    <w:rsid w:val="00444C4A"/>
    <w:rsid w:val="004529EB"/>
    <w:rsid w:val="0045458B"/>
    <w:rsid w:val="0045472D"/>
    <w:rsid w:val="004565E4"/>
    <w:rsid w:val="00461BDF"/>
    <w:rsid w:val="00463B72"/>
    <w:rsid w:val="0046407A"/>
    <w:rsid w:val="0046553F"/>
    <w:rsid w:val="00465D86"/>
    <w:rsid w:val="00467928"/>
    <w:rsid w:val="00470C03"/>
    <w:rsid w:val="00470DB4"/>
    <w:rsid w:val="00471BA1"/>
    <w:rsid w:val="00473159"/>
    <w:rsid w:val="00473AFD"/>
    <w:rsid w:val="00473D82"/>
    <w:rsid w:val="00474381"/>
    <w:rsid w:val="00475501"/>
    <w:rsid w:val="00477F7D"/>
    <w:rsid w:val="00483CE1"/>
    <w:rsid w:val="0048501E"/>
    <w:rsid w:val="00485E78"/>
    <w:rsid w:val="00490736"/>
    <w:rsid w:val="004917F3"/>
    <w:rsid w:val="0049567E"/>
    <w:rsid w:val="004959DF"/>
    <w:rsid w:val="004968E0"/>
    <w:rsid w:val="00497AA7"/>
    <w:rsid w:val="004A42A8"/>
    <w:rsid w:val="004A4AF9"/>
    <w:rsid w:val="004B048C"/>
    <w:rsid w:val="004B1CD1"/>
    <w:rsid w:val="004B35FF"/>
    <w:rsid w:val="004B5B88"/>
    <w:rsid w:val="004B5DBD"/>
    <w:rsid w:val="004B6EFE"/>
    <w:rsid w:val="004B7A5A"/>
    <w:rsid w:val="004C2463"/>
    <w:rsid w:val="004C48D4"/>
    <w:rsid w:val="004D05C4"/>
    <w:rsid w:val="004D07C2"/>
    <w:rsid w:val="004D119A"/>
    <w:rsid w:val="004D17D1"/>
    <w:rsid w:val="004D2C17"/>
    <w:rsid w:val="004D304B"/>
    <w:rsid w:val="004D3D43"/>
    <w:rsid w:val="004D6EB4"/>
    <w:rsid w:val="004D7AF0"/>
    <w:rsid w:val="004D7B61"/>
    <w:rsid w:val="004E27F4"/>
    <w:rsid w:val="004E42E3"/>
    <w:rsid w:val="004E747F"/>
    <w:rsid w:val="004F1530"/>
    <w:rsid w:val="004F36E9"/>
    <w:rsid w:val="004F6A5E"/>
    <w:rsid w:val="00501899"/>
    <w:rsid w:val="00502A3A"/>
    <w:rsid w:val="0050724E"/>
    <w:rsid w:val="005105F3"/>
    <w:rsid w:val="00511C7B"/>
    <w:rsid w:val="00512501"/>
    <w:rsid w:val="0051430B"/>
    <w:rsid w:val="00515ECB"/>
    <w:rsid w:val="00516078"/>
    <w:rsid w:val="00517D7B"/>
    <w:rsid w:val="00520D3F"/>
    <w:rsid w:val="005216F3"/>
    <w:rsid w:val="00523245"/>
    <w:rsid w:val="00525A38"/>
    <w:rsid w:val="005262A7"/>
    <w:rsid w:val="00533D61"/>
    <w:rsid w:val="00534908"/>
    <w:rsid w:val="005431FD"/>
    <w:rsid w:val="005454D1"/>
    <w:rsid w:val="005468DA"/>
    <w:rsid w:val="00547386"/>
    <w:rsid w:val="00547BFC"/>
    <w:rsid w:val="00547DF3"/>
    <w:rsid w:val="00551F23"/>
    <w:rsid w:val="00553F52"/>
    <w:rsid w:val="00554B9D"/>
    <w:rsid w:val="0055516F"/>
    <w:rsid w:val="00555F6A"/>
    <w:rsid w:val="00557140"/>
    <w:rsid w:val="005629E6"/>
    <w:rsid w:val="005638B2"/>
    <w:rsid w:val="00564328"/>
    <w:rsid w:val="00564BFD"/>
    <w:rsid w:val="005650CB"/>
    <w:rsid w:val="00566C7E"/>
    <w:rsid w:val="00566E6C"/>
    <w:rsid w:val="0056742F"/>
    <w:rsid w:val="00570050"/>
    <w:rsid w:val="00571D38"/>
    <w:rsid w:val="00573288"/>
    <w:rsid w:val="00573AEF"/>
    <w:rsid w:val="00574519"/>
    <w:rsid w:val="0057560D"/>
    <w:rsid w:val="005806B7"/>
    <w:rsid w:val="00581CC6"/>
    <w:rsid w:val="005828D5"/>
    <w:rsid w:val="0058608E"/>
    <w:rsid w:val="00587ED0"/>
    <w:rsid w:val="00590190"/>
    <w:rsid w:val="00590833"/>
    <w:rsid w:val="005917AA"/>
    <w:rsid w:val="00593D98"/>
    <w:rsid w:val="00593FAB"/>
    <w:rsid w:val="005963F1"/>
    <w:rsid w:val="005963F5"/>
    <w:rsid w:val="005A1E9F"/>
    <w:rsid w:val="005A1F57"/>
    <w:rsid w:val="005A2923"/>
    <w:rsid w:val="005A32DB"/>
    <w:rsid w:val="005A3794"/>
    <w:rsid w:val="005A7C82"/>
    <w:rsid w:val="005B05A4"/>
    <w:rsid w:val="005B0C65"/>
    <w:rsid w:val="005B102C"/>
    <w:rsid w:val="005B242E"/>
    <w:rsid w:val="005B316B"/>
    <w:rsid w:val="005B4124"/>
    <w:rsid w:val="005B4797"/>
    <w:rsid w:val="005B6206"/>
    <w:rsid w:val="005B7A2D"/>
    <w:rsid w:val="005C01F2"/>
    <w:rsid w:val="005C1140"/>
    <w:rsid w:val="005C18DC"/>
    <w:rsid w:val="005C2927"/>
    <w:rsid w:val="005C2BFB"/>
    <w:rsid w:val="005C4164"/>
    <w:rsid w:val="005C42C1"/>
    <w:rsid w:val="005C4655"/>
    <w:rsid w:val="005C625E"/>
    <w:rsid w:val="005C64F7"/>
    <w:rsid w:val="005D0194"/>
    <w:rsid w:val="005D033B"/>
    <w:rsid w:val="005D0509"/>
    <w:rsid w:val="005D0A16"/>
    <w:rsid w:val="005D3145"/>
    <w:rsid w:val="005D3CF5"/>
    <w:rsid w:val="005D46FA"/>
    <w:rsid w:val="005E0ED5"/>
    <w:rsid w:val="005E2FDD"/>
    <w:rsid w:val="005E4815"/>
    <w:rsid w:val="005E5E34"/>
    <w:rsid w:val="005E682C"/>
    <w:rsid w:val="005E79C2"/>
    <w:rsid w:val="005F0570"/>
    <w:rsid w:val="005F0F35"/>
    <w:rsid w:val="005F11D6"/>
    <w:rsid w:val="005F2650"/>
    <w:rsid w:val="005F294E"/>
    <w:rsid w:val="005F67BC"/>
    <w:rsid w:val="005F6E89"/>
    <w:rsid w:val="005F72C2"/>
    <w:rsid w:val="005F77B5"/>
    <w:rsid w:val="005F7EB5"/>
    <w:rsid w:val="0060453B"/>
    <w:rsid w:val="00604ED6"/>
    <w:rsid w:val="006051DB"/>
    <w:rsid w:val="00611A50"/>
    <w:rsid w:val="006136C3"/>
    <w:rsid w:val="00613914"/>
    <w:rsid w:val="00613D61"/>
    <w:rsid w:val="00615797"/>
    <w:rsid w:val="006205AA"/>
    <w:rsid w:val="00620EC5"/>
    <w:rsid w:val="00624298"/>
    <w:rsid w:val="00625E5B"/>
    <w:rsid w:val="00626005"/>
    <w:rsid w:val="00626C4C"/>
    <w:rsid w:val="0062747A"/>
    <w:rsid w:val="00627647"/>
    <w:rsid w:val="00630B6B"/>
    <w:rsid w:val="00631C58"/>
    <w:rsid w:val="00631E28"/>
    <w:rsid w:val="0063387B"/>
    <w:rsid w:val="00635525"/>
    <w:rsid w:val="00635F03"/>
    <w:rsid w:val="00636874"/>
    <w:rsid w:val="0064028C"/>
    <w:rsid w:val="006412EF"/>
    <w:rsid w:val="006428FE"/>
    <w:rsid w:val="00646F5B"/>
    <w:rsid w:val="00647630"/>
    <w:rsid w:val="00654D62"/>
    <w:rsid w:val="0065636E"/>
    <w:rsid w:val="00656BCF"/>
    <w:rsid w:val="006574E2"/>
    <w:rsid w:val="0066002C"/>
    <w:rsid w:val="006625CF"/>
    <w:rsid w:val="00662E69"/>
    <w:rsid w:val="00663741"/>
    <w:rsid w:val="0066470C"/>
    <w:rsid w:val="00665F4E"/>
    <w:rsid w:val="0066601F"/>
    <w:rsid w:val="00666D16"/>
    <w:rsid w:val="006739DE"/>
    <w:rsid w:val="006772F6"/>
    <w:rsid w:val="00677906"/>
    <w:rsid w:val="006831EE"/>
    <w:rsid w:val="00683B2A"/>
    <w:rsid w:val="00687FDF"/>
    <w:rsid w:val="006903DF"/>
    <w:rsid w:val="006927CF"/>
    <w:rsid w:val="00692A2D"/>
    <w:rsid w:val="00692B8E"/>
    <w:rsid w:val="00693E5A"/>
    <w:rsid w:val="0069423D"/>
    <w:rsid w:val="00694B46"/>
    <w:rsid w:val="006953F6"/>
    <w:rsid w:val="00696844"/>
    <w:rsid w:val="006A0402"/>
    <w:rsid w:val="006A26F5"/>
    <w:rsid w:val="006A2B0E"/>
    <w:rsid w:val="006A3530"/>
    <w:rsid w:val="006A3984"/>
    <w:rsid w:val="006A51C2"/>
    <w:rsid w:val="006A76CD"/>
    <w:rsid w:val="006B142B"/>
    <w:rsid w:val="006B1676"/>
    <w:rsid w:val="006B25FF"/>
    <w:rsid w:val="006B7D1A"/>
    <w:rsid w:val="006C00FB"/>
    <w:rsid w:val="006C24C5"/>
    <w:rsid w:val="006C2E2A"/>
    <w:rsid w:val="006D1A1F"/>
    <w:rsid w:val="006D2C58"/>
    <w:rsid w:val="006D3ACB"/>
    <w:rsid w:val="006D58AF"/>
    <w:rsid w:val="006E00F5"/>
    <w:rsid w:val="006E043B"/>
    <w:rsid w:val="006E277A"/>
    <w:rsid w:val="006E327D"/>
    <w:rsid w:val="006E32E9"/>
    <w:rsid w:val="006E645B"/>
    <w:rsid w:val="006F0FAB"/>
    <w:rsid w:val="006F29E2"/>
    <w:rsid w:val="006F2E73"/>
    <w:rsid w:val="006F6A2C"/>
    <w:rsid w:val="006F755B"/>
    <w:rsid w:val="006F795B"/>
    <w:rsid w:val="00701F5B"/>
    <w:rsid w:val="00702ABC"/>
    <w:rsid w:val="0070378D"/>
    <w:rsid w:val="0070434E"/>
    <w:rsid w:val="00704D7E"/>
    <w:rsid w:val="007060C9"/>
    <w:rsid w:val="0070647E"/>
    <w:rsid w:val="007070AA"/>
    <w:rsid w:val="007104C6"/>
    <w:rsid w:val="007104DC"/>
    <w:rsid w:val="007118D7"/>
    <w:rsid w:val="00711986"/>
    <w:rsid w:val="007120A6"/>
    <w:rsid w:val="00712B86"/>
    <w:rsid w:val="00713C4D"/>
    <w:rsid w:val="0071506E"/>
    <w:rsid w:val="00716BB2"/>
    <w:rsid w:val="0072066B"/>
    <w:rsid w:val="007212AA"/>
    <w:rsid w:val="00723DD6"/>
    <w:rsid w:val="00725413"/>
    <w:rsid w:val="007269D5"/>
    <w:rsid w:val="007271EF"/>
    <w:rsid w:val="0072749E"/>
    <w:rsid w:val="007276B6"/>
    <w:rsid w:val="0073019C"/>
    <w:rsid w:val="00730BE4"/>
    <w:rsid w:val="00731236"/>
    <w:rsid w:val="007312DE"/>
    <w:rsid w:val="00731EEA"/>
    <w:rsid w:val="00733582"/>
    <w:rsid w:val="00740F75"/>
    <w:rsid w:val="00741B12"/>
    <w:rsid w:val="00741E4B"/>
    <w:rsid w:val="00742329"/>
    <w:rsid w:val="007439CE"/>
    <w:rsid w:val="00747BDD"/>
    <w:rsid w:val="00747D14"/>
    <w:rsid w:val="007538A2"/>
    <w:rsid w:val="00755A9C"/>
    <w:rsid w:val="007568E3"/>
    <w:rsid w:val="00756A12"/>
    <w:rsid w:val="007604F6"/>
    <w:rsid w:val="00761817"/>
    <w:rsid w:val="00764CF1"/>
    <w:rsid w:val="00764FBD"/>
    <w:rsid w:val="00767BA7"/>
    <w:rsid w:val="007724BD"/>
    <w:rsid w:val="00774D10"/>
    <w:rsid w:val="007809D9"/>
    <w:rsid w:val="00784651"/>
    <w:rsid w:val="00786E42"/>
    <w:rsid w:val="007870F3"/>
    <w:rsid w:val="00790834"/>
    <w:rsid w:val="00790CDE"/>
    <w:rsid w:val="0079284B"/>
    <w:rsid w:val="00792D25"/>
    <w:rsid w:val="00795651"/>
    <w:rsid w:val="007A058E"/>
    <w:rsid w:val="007A31D8"/>
    <w:rsid w:val="007A323C"/>
    <w:rsid w:val="007A6753"/>
    <w:rsid w:val="007A6877"/>
    <w:rsid w:val="007A6EB2"/>
    <w:rsid w:val="007A7DC5"/>
    <w:rsid w:val="007B2120"/>
    <w:rsid w:val="007B2855"/>
    <w:rsid w:val="007B29D4"/>
    <w:rsid w:val="007B320E"/>
    <w:rsid w:val="007B36EB"/>
    <w:rsid w:val="007B46B8"/>
    <w:rsid w:val="007B5238"/>
    <w:rsid w:val="007C39FD"/>
    <w:rsid w:val="007C4212"/>
    <w:rsid w:val="007C5DF6"/>
    <w:rsid w:val="007C6ED1"/>
    <w:rsid w:val="007D0A58"/>
    <w:rsid w:val="007D123D"/>
    <w:rsid w:val="007D2787"/>
    <w:rsid w:val="007D3219"/>
    <w:rsid w:val="007D40F5"/>
    <w:rsid w:val="007E73F9"/>
    <w:rsid w:val="007F046F"/>
    <w:rsid w:val="007F0F3F"/>
    <w:rsid w:val="007F2CA2"/>
    <w:rsid w:val="007F62E2"/>
    <w:rsid w:val="007F72FF"/>
    <w:rsid w:val="007F7361"/>
    <w:rsid w:val="00800A5A"/>
    <w:rsid w:val="00801A63"/>
    <w:rsid w:val="00802D31"/>
    <w:rsid w:val="008048B8"/>
    <w:rsid w:val="008048D4"/>
    <w:rsid w:val="008058D5"/>
    <w:rsid w:val="008060E6"/>
    <w:rsid w:val="00806D63"/>
    <w:rsid w:val="00811598"/>
    <w:rsid w:val="008117A5"/>
    <w:rsid w:val="0081180D"/>
    <w:rsid w:val="0081346D"/>
    <w:rsid w:val="00813848"/>
    <w:rsid w:val="00813D11"/>
    <w:rsid w:val="00815233"/>
    <w:rsid w:val="00815711"/>
    <w:rsid w:val="00815D8D"/>
    <w:rsid w:val="0081619E"/>
    <w:rsid w:val="0081636D"/>
    <w:rsid w:val="00822022"/>
    <w:rsid w:val="00823170"/>
    <w:rsid w:val="00824FD7"/>
    <w:rsid w:val="008268DF"/>
    <w:rsid w:val="00826ADA"/>
    <w:rsid w:val="00831C18"/>
    <w:rsid w:val="00833585"/>
    <w:rsid w:val="00834BAB"/>
    <w:rsid w:val="00841533"/>
    <w:rsid w:val="008417D1"/>
    <w:rsid w:val="00841965"/>
    <w:rsid w:val="00843C2B"/>
    <w:rsid w:val="00843FA9"/>
    <w:rsid w:val="00845FD6"/>
    <w:rsid w:val="008468B2"/>
    <w:rsid w:val="008477D0"/>
    <w:rsid w:val="00847E6F"/>
    <w:rsid w:val="00855023"/>
    <w:rsid w:val="008565DC"/>
    <w:rsid w:val="008565E0"/>
    <w:rsid w:val="00860A5F"/>
    <w:rsid w:val="00861E08"/>
    <w:rsid w:val="00862002"/>
    <w:rsid w:val="00862166"/>
    <w:rsid w:val="00862179"/>
    <w:rsid w:val="0086272D"/>
    <w:rsid w:val="008639A5"/>
    <w:rsid w:val="00864243"/>
    <w:rsid w:val="00864C25"/>
    <w:rsid w:val="0086753F"/>
    <w:rsid w:val="0087190C"/>
    <w:rsid w:val="00872009"/>
    <w:rsid w:val="008735D1"/>
    <w:rsid w:val="00875655"/>
    <w:rsid w:val="00884395"/>
    <w:rsid w:val="008854D6"/>
    <w:rsid w:val="00887A00"/>
    <w:rsid w:val="00887A47"/>
    <w:rsid w:val="00887EE4"/>
    <w:rsid w:val="00892438"/>
    <w:rsid w:val="008948E9"/>
    <w:rsid w:val="00894F45"/>
    <w:rsid w:val="00895899"/>
    <w:rsid w:val="00897000"/>
    <w:rsid w:val="008A26D2"/>
    <w:rsid w:val="008A4E6E"/>
    <w:rsid w:val="008B1B6D"/>
    <w:rsid w:val="008B1B74"/>
    <w:rsid w:val="008B24CE"/>
    <w:rsid w:val="008B4DAD"/>
    <w:rsid w:val="008B710A"/>
    <w:rsid w:val="008C126C"/>
    <w:rsid w:val="008C2326"/>
    <w:rsid w:val="008C28C6"/>
    <w:rsid w:val="008C2AF6"/>
    <w:rsid w:val="008C70C1"/>
    <w:rsid w:val="008D0470"/>
    <w:rsid w:val="008D04B8"/>
    <w:rsid w:val="008D0671"/>
    <w:rsid w:val="008D0A9C"/>
    <w:rsid w:val="008D1B7F"/>
    <w:rsid w:val="008D21CE"/>
    <w:rsid w:val="008D2C41"/>
    <w:rsid w:val="008D2E70"/>
    <w:rsid w:val="008D5DF3"/>
    <w:rsid w:val="008E0739"/>
    <w:rsid w:val="008E12DD"/>
    <w:rsid w:val="008E53A7"/>
    <w:rsid w:val="008E7376"/>
    <w:rsid w:val="008F45F2"/>
    <w:rsid w:val="008F728F"/>
    <w:rsid w:val="008F77BE"/>
    <w:rsid w:val="009013ED"/>
    <w:rsid w:val="00903D36"/>
    <w:rsid w:val="009056E8"/>
    <w:rsid w:val="0091052B"/>
    <w:rsid w:val="0091250C"/>
    <w:rsid w:val="00912956"/>
    <w:rsid w:val="0091390D"/>
    <w:rsid w:val="00916C5A"/>
    <w:rsid w:val="00916FB9"/>
    <w:rsid w:val="00917613"/>
    <w:rsid w:val="009211DC"/>
    <w:rsid w:val="00923013"/>
    <w:rsid w:val="00931D80"/>
    <w:rsid w:val="00934074"/>
    <w:rsid w:val="009350A4"/>
    <w:rsid w:val="00936B17"/>
    <w:rsid w:val="009415B1"/>
    <w:rsid w:val="009419EE"/>
    <w:rsid w:val="0094218A"/>
    <w:rsid w:val="009425E6"/>
    <w:rsid w:val="00943E3C"/>
    <w:rsid w:val="00944CD9"/>
    <w:rsid w:val="00950944"/>
    <w:rsid w:val="00953E12"/>
    <w:rsid w:val="00954F31"/>
    <w:rsid w:val="00957AF7"/>
    <w:rsid w:val="009609E7"/>
    <w:rsid w:val="0096234F"/>
    <w:rsid w:val="00963060"/>
    <w:rsid w:val="00964285"/>
    <w:rsid w:val="009653A9"/>
    <w:rsid w:val="00966C16"/>
    <w:rsid w:val="00967800"/>
    <w:rsid w:val="009711B1"/>
    <w:rsid w:val="009724D3"/>
    <w:rsid w:val="00972D06"/>
    <w:rsid w:val="00973F86"/>
    <w:rsid w:val="00974413"/>
    <w:rsid w:val="009764C7"/>
    <w:rsid w:val="00977341"/>
    <w:rsid w:val="00977B54"/>
    <w:rsid w:val="00981E3B"/>
    <w:rsid w:val="009826FB"/>
    <w:rsid w:val="00982C26"/>
    <w:rsid w:val="00983E64"/>
    <w:rsid w:val="00984E06"/>
    <w:rsid w:val="00985B12"/>
    <w:rsid w:val="0098669C"/>
    <w:rsid w:val="009900E6"/>
    <w:rsid w:val="00991FAB"/>
    <w:rsid w:val="00992FB5"/>
    <w:rsid w:val="0099518C"/>
    <w:rsid w:val="009956D6"/>
    <w:rsid w:val="009958E4"/>
    <w:rsid w:val="009966F3"/>
    <w:rsid w:val="00997D88"/>
    <w:rsid w:val="009A4FC5"/>
    <w:rsid w:val="009A7D3C"/>
    <w:rsid w:val="009B2203"/>
    <w:rsid w:val="009B35E1"/>
    <w:rsid w:val="009B3E18"/>
    <w:rsid w:val="009B3F16"/>
    <w:rsid w:val="009B43E1"/>
    <w:rsid w:val="009B4A0B"/>
    <w:rsid w:val="009B5379"/>
    <w:rsid w:val="009B5A37"/>
    <w:rsid w:val="009B6ADC"/>
    <w:rsid w:val="009B7599"/>
    <w:rsid w:val="009C049C"/>
    <w:rsid w:val="009C04D3"/>
    <w:rsid w:val="009C08A4"/>
    <w:rsid w:val="009C12A0"/>
    <w:rsid w:val="009C179A"/>
    <w:rsid w:val="009C1E4E"/>
    <w:rsid w:val="009C1EE0"/>
    <w:rsid w:val="009C3DD6"/>
    <w:rsid w:val="009C6883"/>
    <w:rsid w:val="009C780E"/>
    <w:rsid w:val="009C7A38"/>
    <w:rsid w:val="009D1CAA"/>
    <w:rsid w:val="009D2F0F"/>
    <w:rsid w:val="009D567E"/>
    <w:rsid w:val="009D58C8"/>
    <w:rsid w:val="009E0B22"/>
    <w:rsid w:val="009E274B"/>
    <w:rsid w:val="009E2BA8"/>
    <w:rsid w:val="009E3446"/>
    <w:rsid w:val="009E762E"/>
    <w:rsid w:val="009F05E3"/>
    <w:rsid w:val="009F0783"/>
    <w:rsid w:val="009F17F1"/>
    <w:rsid w:val="009F5B09"/>
    <w:rsid w:val="009F6262"/>
    <w:rsid w:val="00A00276"/>
    <w:rsid w:val="00A004A5"/>
    <w:rsid w:val="00A00A1F"/>
    <w:rsid w:val="00A00D79"/>
    <w:rsid w:val="00A00EB4"/>
    <w:rsid w:val="00A015CF"/>
    <w:rsid w:val="00A02228"/>
    <w:rsid w:val="00A042B4"/>
    <w:rsid w:val="00A049AD"/>
    <w:rsid w:val="00A059E0"/>
    <w:rsid w:val="00A066C7"/>
    <w:rsid w:val="00A0687A"/>
    <w:rsid w:val="00A06F53"/>
    <w:rsid w:val="00A11F7B"/>
    <w:rsid w:val="00A14961"/>
    <w:rsid w:val="00A1542F"/>
    <w:rsid w:val="00A1605D"/>
    <w:rsid w:val="00A1610E"/>
    <w:rsid w:val="00A163CD"/>
    <w:rsid w:val="00A21731"/>
    <w:rsid w:val="00A2175F"/>
    <w:rsid w:val="00A21CFA"/>
    <w:rsid w:val="00A2211C"/>
    <w:rsid w:val="00A22C69"/>
    <w:rsid w:val="00A2365C"/>
    <w:rsid w:val="00A24590"/>
    <w:rsid w:val="00A35E0F"/>
    <w:rsid w:val="00A42059"/>
    <w:rsid w:val="00A439A5"/>
    <w:rsid w:val="00A45974"/>
    <w:rsid w:val="00A54577"/>
    <w:rsid w:val="00A5471D"/>
    <w:rsid w:val="00A577B5"/>
    <w:rsid w:val="00A60F0F"/>
    <w:rsid w:val="00A63D6A"/>
    <w:rsid w:val="00A64BCC"/>
    <w:rsid w:val="00A65C4B"/>
    <w:rsid w:val="00A66D04"/>
    <w:rsid w:val="00A70457"/>
    <w:rsid w:val="00A70F13"/>
    <w:rsid w:val="00A71F90"/>
    <w:rsid w:val="00A74835"/>
    <w:rsid w:val="00A75BFE"/>
    <w:rsid w:val="00A77AF9"/>
    <w:rsid w:val="00A8111F"/>
    <w:rsid w:val="00A8396C"/>
    <w:rsid w:val="00A90587"/>
    <w:rsid w:val="00A9068E"/>
    <w:rsid w:val="00A909DA"/>
    <w:rsid w:val="00A91C6B"/>
    <w:rsid w:val="00A925C6"/>
    <w:rsid w:val="00A927CC"/>
    <w:rsid w:val="00A945AC"/>
    <w:rsid w:val="00A95CEE"/>
    <w:rsid w:val="00A966D4"/>
    <w:rsid w:val="00AA02BA"/>
    <w:rsid w:val="00AA0464"/>
    <w:rsid w:val="00AA0C06"/>
    <w:rsid w:val="00AA1428"/>
    <w:rsid w:val="00AA482B"/>
    <w:rsid w:val="00AA6229"/>
    <w:rsid w:val="00AA6617"/>
    <w:rsid w:val="00AA7AD6"/>
    <w:rsid w:val="00AB008F"/>
    <w:rsid w:val="00AB082A"/>
    <w:rsid w:val="00AB19E1"/>
    <w:rsid w:val="00AB1BB2"/>
    <w:rsid w:val="00AB1C10"/>
    <w:rsid w:val="00AB5A12"/>
    <w:rsid w:val="00AB657B"/>
    <w:rsid w:val="00AB6B3E"/>
    <w:rsid w:val="00AC20A4"/>
    <w:rsid w:val="00AC38C6"/>
    <w:rsid w:val="00AC4FD0"/>
    <w:rsid w:val="00AC6592"/>
    <w:rsid w:val="00AC66C4"/>
    <w:rsid w:val="00AC7B56"/>
    <w:rsid w:val="00AD0184"/>
    <w:rsid w:val="00AD0883"/>
    <w:rsid w:val="00AD0951"/>
    <w:rsid w:val="00AD1AFF"/>
    <w:rsid w:val="00AD407E"/>
    <w:rsid w:val="00AD5E28"/>
    <w:rsid w:val="00AD6485"/>
    <w:rsid w:val="00AD7A09"/>
    <w:rsid w:val="00AD7F4F"/>
    <w:rsid w:val="00AE36A0"/>
    <w:rsid w:val="00AE470C"/>
    <w:rsid w:val="00AE4CB5"/>
    <w:rsid w:val="00AE6007"/>
    <w:rsid w:val="00AE70C5"/>
    <w:rsid w:val="00AE7B2B"/>
    <w:rsid w:val="00AF0193"/>
    <w:rsid w:val="00AF0701"/>
    <w:rsid w:val="00AF2563"/>
    <w:rsid w:val="00AF5274"/>
    <w:rsid w:val="00B00BAE"/>
    <w:rsid w:val="00B0162A"/>
    <w:rsid w:val="00B018FF"/>
    <w:rsid w:val="00B019F8"/>
    <w:rsid w:val="00B03084"/>
    <w:rsid w:val="00B031CE"/>
    <w:rsid w:val="00B10897"/>
    <w:rsid w:val="00B12D77"/>
    <w:rsid w:val="00B13BED"/>
    <w:rsid w:val="00B16179"/>
    <w:rsid w:val="00B168A7"/>
    <w:rsid w:val="00B16EDA"/>
    <w:rsid w:val="00B23D78"/>
    <w:rsid w:val="00B30DAB"/>
    <w:rsid w:val="00B335D6"/>
    <w:rsid w:val="00B3445F"/>
    <w:rsid w:val="00B36D64"/>
    <w:rsid w:val="00B37B23"/>
    <w:rsid w:val="00B37F63"/>
    <w:rsid w:val="00B40C48"/>
    <w:rsid w:val="00B41E32"/>
    <w:rsid w:val="00B42504"/>
    <w:rsid w:val="00B43000"/>
    <w:rsid w:val="00B43286"/>
    <w:rsid w:val="00B44FF1"/>
    <w:rsid w:val="00B45878"/>
    <w:rsid w:val="00B46BB0"/>
    <w:rsid w:val="00B473CB"/>
    <w:rsid w:val="00B50484"/>
    <w:rsid w:val="00B52695"/>
    <w:rsid w:val="00B5312A"/>
    <w:rsid w:val="00B53E84"/>
    <w:rsid w:val="00B61A29"/>
    <w:rsid w:val="00B61A33"/>
    <w:rsid w:val="00B631B8"/>
    <w:rsid w:val="00B647A3"/>
    <w:rsid w:val="00B66AB0"/>
    <w:rsid w:val="00B70881"/>
    <w:rsid w:val="00B714DD"/>
    <w:rsid w:val="00B728CD"/>
    <w:rsid w:val="00B731F9"/>
    <w:rsid w:val="00B73525"/>
    <w:rsid w:val="00B74709"/>
    <w:rsid w:val="00B75DCA"/>
    <w:rsid w:val="00B75E0B"/>
    <w:rsid w:val="00B768E5"/>
    <w:rsid w:val="00B77E22"/>
    <w:rsid w:val="00B80481"/>
    <w:rsid w:val="00B808B3"/>
    <w:rsid w:val="00B80E4E"/>
    <w:rsid w:val="00B82937"/>
    <w:rsid w:val="00B82D40"/>
    <w:rsid w:val="00B85E5D"/>
    <w:rsid w:val="00B87C0C"/>
    <w:rsid w:val="00B93EB5"/>
    <w:rsid w:val="00B94898"/>
    <w:rsid w:val="00B94AB4"/>
    <w:rsid w:val="00B951F4"/>
    <w:rsid w:val="00B97629"/>
    <w:rsid w:val="00BA2E31"/>
    <w:rsid w:val="00BA5DDC"/>
    <w:rsid w:val="00BB07ED"/>
    <w:rsid w:val="00BB0D75"/>
    <w:rsid w:val="00BB11C5"/>
    <w:rsid w:val="00BB2BB9"/>
    <w:rsid w:val="00BB3301"/>
    <w:rsid w:val="00BB4327"/>
    <w:rsid w:val="00BB474F"/>
    <w:rsid w:val="00BB4FED"/>
    <w:rsid w:val="00BB6AFA"/>
    <w:rsid w:val="00BC162E"/>
    <w:rsid w:val="00BC31DF"/>
    <w:rsid w:val="00BC3C47"/>
    <w:rsid w:val="00BC44CA"/>
    <w:rsid w:val="00BD01E5"/>
    <w:rsid w:val="00BD08B9"/>
    <w:rsid w:val="00BD19D7"/>
    <w:rsid w:val="00BD4518"/>
    <w:rsid w:val="00BD6203"/>
    <w:rsid w:val="00BD679E"/>
    <w:rsid w:val="00BD7404"/>
    <w:rsid w:val="00BD7DF0"/>
    <w:rsid w:val="00BE41AB"/>
    <w:rsid w:val="00BE4FF5"/>
    <w:rsid w:val="00BE574C"/>
    <w:rsid w:val="00BE7C8D"/>
    <w:rsid w:val="00BF1227"/>
    <w:rsid w:val="00BF2806"/>
    <w:rsid w:val="00BF2A40"/>
    <w:rsid w:val="00BF503F"/>
    <w:rsid w:val="00BF71BD"/>
    <w:rsid w:val="00C02705"/>
    <w:rsid w:val="00C037F0"/>
    <w:rsid w:val="00C03E3D"/>
    <w:rsid w:val="00C05015"/>
    <w:rsid w:val="00C06A24"/>
    <w:rsid w:val="00C06AF0"/>
    <w:rsid w:val="00C07F09"/>
    <w:rsid w:val="00C07FA5"/>
    <w:rsid w:val="00C12420"/>
    <w:rsid w:val="00C136A6"/>
    <w:rsid w:val="00C14010"/>
    <w:rsid w:val="00C14FAB"/>
    <w:rsid w:val="00C17ACA"/>
    <w:rsid w:val="00C2278B"/>
    <w:rsid w:val="00C30EBC"/>
    <w:rsid w:val="00C31674"/>
    <w:rsid w:val="00C32BB9"/>
    <w:rsid w:val="00C356A1"/>
    <w:rsid w:val="00C368BD"/>
    <w:rsid w:val="00C41EB5"/>
    <w:rsid w:val="00C41F08"/>
    <w:rsid w:val="00C43590"/>
    <w:rsid w:val="00C44EC8"/>
    <w:rsid w:val="00C451A4"/>
    <w:rsid w:val="00C4724A"/>
    <w:rsid w:val="00C506C6"/>
    <w:rsid w:val="00C52615"/>
    <w:rsid w:val="00C53B1A"/>
    <w:rsid w:val="00C53FAB"/>
    <w:rsid w:val="00C54236"/>
    <w:rsid w:val="00C56C61"/>
    <w:rsid w:val="00C61587"/>
    <w:rsid w:val="00C65146"/>
    <w:rsid w:val="00C6618D"/>
    <w:rsid w:val="00C67667"/>
    <w:rsid w:val="00C7146D"/>
    <w:rsid w:val="00C714EF"/>
    <w:rsid w:val="00C77211"/>
    <w:rsid w:val="00C77695"/>
    <w:rsid w:val="00C81F6E"/>
    <w:rsid w:val="00C82C70"/>
    <w:rsid w:val="00C832CC"/>
    <w:rsid w:val="00C84304"/>
    <w:rsid w:val="00C8536B"/>
    <w:rsid w:val="00C85AA2"/>
    <w:rsid w:val="00C9208F"/>
    <w:rsid w:val="00C93C1A"/>
    <w:rsid w:val="00C95AFB"/>
    <w:rsid w:val="00C97735"/>
    <w:rsid w:val="00CA126E"/>
    <w:rsid w:val="00CA220A"/>
    <w:rsid w:val="00CA3EFC"/>
    <w:rsid w:val="00CA3F57"/>
    <w:rsid w:val="00CA4AC4"/>
    <w:rsid w:val="00CA5247"/>
    <w:rsid w:val="00CA5E2B"/>
    <w:rsid w:val="00CA7DFE"/>
    <w:rsid w:val="00CB3462"/>
    <w:rsid w:val="00CB36A0"/>
    <w:rsid w:val="00CB3BF3"/>
    <w:rsid w:val="00CB49B9"/>
    <w:rsid w:val="00CB53C6"/>
    <w:rsid w:val="00CB5CCE"/>
    <w:rsid w:val="00CB7BEB"/>
    <w:rsid w:val="00CC019A"/>
    <w:rsid w:val="00CC18A6"/>
    <w:rsid w:val="00CC1B70"/>
    <w:rsid w:val="00CC3EC7"/>
    <w:rsid w:val="00CC5C6A"/>
    <w:rsid w:val="00CC6D1B"/>
    <w:rsid w:val="00CD0BE3"/>
    <w:rsid w:val="00CD1F2C"/>
    <w:rsid w:val="00CD2B06"/>
    <w:rsid w:val="00CD6E98"/>
    <w:rsid w:val="00CE4987"/>
    <w:rsid w:val="00CE614F"/>
    <w:rsid w:val="00CF1217"/>
    <w:rsid w:val="00CF22D8"/>
    <w:rsid w:val="00CF235C"/>
    <w:rsid w:val="00CF273B"/>
    <w:rsid w:val="00CF2987"/>
    <w:rsid w:val="00CF3314"/>
    <w:rsid w:val="00CF723B"/>
    <w:rsid w:val="00D0089B"/>
    <w:rsid w:val="00D00C35"/>
    <w:rsid w:val="00D020E7"/>
    <w:rsid w:val="00D0267D"/>
    <w:rsid w:val="00D05ABC"/>
    <w:rsid w:val="00D0751D"/>
    <w:rsid w:val="00D07F24"/>
    <w:rsid w:val="00D11089"/>
    <w:rsid w:val="00D151E7"/>
    <w:rsid w:val="00D16B83"/>
    <w:rsid w:val="00D17961"/>
    <w:rsid w:val="00D21ED9"/>
    <w:rsid w:val="00D24301"/>
    <w:rsid w:val="00D316C1"/>
    <w:rsid w:val="00D316E4"/>
    <w:rsid w:val="00D32F7B"/>
    <w:rsid w:val="00D33227"/>
    <w:rsid w:val="00D33AFD"/>
    <w:rsid w:val="00D34793"/>
    <w:rsid w:val="00D3570F"/>
    <w:rsid w:val="00D364C5"/>
    <w:rsid w:val="00D37477"/>
    <w:rsid w:val="00D40576"/>
    <w:rsid w:val="00D4186C"/>
    <w:rsid w:val="00D4187F"/>
    <w:rsid w:val="00D41BEC"/>
    <w:rsid w:val="00D41CD3"/>
    <w:rsid w:val="00D4375E"/>
    <w:rsid w:val="00D5274C"/>
    <w:rsid w:val="00D53906"/>
    <w:rsid w:val="00D54800"/>
    <w:rsid w:val="00D570E4"/>
    <w:rsid w:val="00D57B05"/>
    <w:rsid w:val="00D61409"/>
    <w:rsid w:val="00D61D71"/>
    <w:rsid w:val="00D626D4"/>
    <w:rsid w:val="00D64152"/>
    <w:rsid w:val="00D64DA7"/>
    <w:rsid w:val="00D658F3"/>
    <w:rsid w:val="00D6627D"/>
    <w:rsid w:val="00D66CFC"/>
    <w:rsid w:val="00D740BA"/>
    <w:rsid w:val="00D744D9"/>
    <w:rsid w:val="00D76374"/>
    <w:rsid w:val="00D77B14"/>
    <w:rsid w:val="00D80927"/>
    <w:rsid w:val="00D85679"/>
    <w:rsid w:val="00D9090B"/>
    <w:rsid w:val="00D90D5D"/>
    <w:rsid w:val="00D911E5"/>
    <w:rsid w:val="00D9160D"/>
    <w:rsid w:val="00D9429C"/>
    <w:rsid w:val="00D9671C"/>
    <w:rsid w:val="00D969DE"/>
    <w:rsid w:val="00D96F35"/>
    <w:rsid w:val="00D97E2D"/>
    <w:rsid w:val="00D97EF3"/>
    <w:rsid w:val="00DA3393"/>
    <w:rsid w:val="00DB0315"/>
    <w:rsid w:val="00DB076F"/>
    <w:rsid w:val="00DB0CBB"/>
    <w:rsid w:val="00DB1736"/>
    <w:rsid w:val="00DB227A"/>
    <w:rsid w:val="00DB2A5F"/>
    <w:rsid w:val="00DB6E63"/>
    <w:rsid w:val="00DB79DE"/>
    <w:rsid w:val="00DC2D94"/>
    <w:rsid w:val="00DC3019"/>
    <w:rsid w:val="00DC36B8"/>
    <w:rsid w:val="00DC4D5D"/>
    <w:rsid w:val="00DC4EB4"/>
    <w:rsid w:val="00DC537D"/>
    <w:rsid w:val="00DC543E"/>
    <w:rsid w:val="00DC5939"/>
    <w:rsid w:val="00DC6406"/>
    <w:rsid w:val="00DD037F"/>
    <w:rsid w:val="00DD292B"/>
    <w:rsid w:val="00DD3023"/>
    <w:rsid w:val="00DD33D9"/>
    <w:rsid w:val="00DD3A0B"/>
    <w:rsid w:val="00DE1440"/>
    <w:rsid w:val="00DE1EEC"/>
    <w:rsid w:val="00DE29B3"/>
    <w:rsid w:val="00DF2B2C"/>
    <w:rsid w:val="00DF3CD3"/>
    <w:rsid w:val="00DF5055"/>
    <w:rsid w:val="00DF658D"/>
    <w:rsid w:val="00DF7932"/>
    <w:rsid w:val="00E01F6B"/>
    <w:rsid w:val="00E05464"/>
    <w:rsid w:val="00E1145D"/>
    <w:rsid w:val="00E11D2E"/>
    <w:rsid w:val="00E121E9"/>
    <w:rsid w:val="00E12850"/>
    <w:rsid w:val="00E13BEE"/>
    <w:rsid w:val="00E14733"/>
    <w:rsid w:val="00E157BC"/>
    <w:rsid w:val="00E162DD"/>
    <w:rsid w:val="00E16C17"/>
    <w:rsid w:val="00E200BC"/>
    <w:rsid w:val="00E20F1B"/>
    <w:rsid w:val="00E23F78"/>
    <w:rsid w:val="00E24E9A"/>
    <w:rsid w:val="00E26D53"/>
    <w:rsid w:val="00E27028"/>
    <w:rsid w:val="00E27048"/>
    <w:rsid w:val="00E304C2"/>
    <w:rsid w:val="00E30C76"/>
    <w:rsid w:val="00E322A5"/>
    <w:rsid w:val="00E337EF"/>
    <w:rsid w:val="00E37005"/>
    <w:rsid w:val="00E37BB2"/>
    <w:rsid w:val="00E40318"/>
    <w:rsid w:val="00E41B69"/>
    <w:rsid w:val="00E41BA3"/>
    <w:rsid w:val="00E43335"/>
    <w:rsid w:val="00E4426A"/>
    <w:rsid w:val="00E44B43"/>
    <w:rsid w:val="00E4768F"/>
    <w:rsid w:val="00E50464"/>
    <w:rsid w:val="00E5176E"/>
    <w:rsid w:val="00E53411"/>
    <w:rsid w:val="00E56DC5"/>
    <w:rsid w:val="00E5787D"/>
    <w:rsid w:val="00E6014F"/>
    <w:rsid w:val="00E61CE4"/>
    <w:rsid w:val="00E64E18"/>
    <w:rsid w:val="00E67844"/>
    <w:rsid w:val="00E704F1"/>
    <w:rsid w:val="00E70538"/>
    <w:rsid w:val="00E7173B"/>
    <w:rsid w:val="00E74085"/>
    <w:rsid w:val="00E745B1"/>
    <w:rsid w:val="00E74D91"/>
    <w:rsid w:val="00E74E68"/>
    <w:rsid w:val="00E76AA5"/>
    <w:rsid w:val="00E76AB6"/>
    <w:rsid w:val="00E818C2"/>
    <w:rsid w:val="00E83519"/>
    <w:rsid w:val="00E85359"/>
    <w:rsid w:val="00E8580B"/>
    <w:rsid w:val="00E85A81"/>
    <w:rsid w:val="00E91B47"/>
    <w:rsid w:val="00E928A2"/>
    <w:rsid w:val="00E930D0"/>
    <w:rsid w:val="00E948B0"/>
    <w:rsid w:val="00E964E5"/>
    <w:rsid w:val="00EA0C44"/>
    <w:rsid w:val="00EA1365"/>
    <w:rsid w:val="00EA1FD4"/>
    <w:rsid w:val="00EA202C"/>
    <w:rsid w:val="00EA3217"/>
    <w:rsid w:val="00EA333A"/>
    <w:rsid w:val="00EA46F3"/>
    <w:rsid w:val="00EA4DD4"/>
    <w:rsid w:val="00EA4F92"/>
    <w:rsid w:val="00EA56E8"/>
    <w:rsid w:val="00EB018F"/>
    <w:rsid w:val="00EB3256"/>
    <w:rsid w:val="00EB4111"/>
    <w:rsid w:val="00EB72FA"/>
    <w:rsid w:val="00EB74E9"/>
    <w:rsid w:val="00EB7608"/>
    <w:rsid w:val="00EC1082"/>
    <w:rsid w:val="00EC281A"/>
    <w:rsid w:val="00EC4440"/>
    <w:rsid w:val="00EC6443"/>
    <w:rsid w:val="00EC64D1"/>
    <w:rsid w:val="00ED55AA"/>
    <w:rsid w:val="00ED5A21"/>
    <w:rsid w:val="00ED5A75"/>
    <w:rsid w:val="00EE0303"/>
    <w:rsid w:val="00EE0397"/>
    <w:rsid w:val="00EE0F6C"/>
    <w:rsid w:val="00EE11DA"/>
    <w:rsid w:val="00EF01F3"/>
    <w:rsid w:val="00EF0591"/>
    <w:rsid w:val="00EF4083"/>
    <w:rsid w:val="00EF432E"/>
    <w:rsid w:val="00EF4558"/>
    <w:rsid w:val="00EF59D9"/>
    <w:rsid w:val="00EF6D91"/>
    <w:rsid w:val="00EF7FD6"/>
    <w:rsid w:val="00F01269"/>
    <w:rsid w:val="00F0137F"/>
    <w:rsid w:val="00F056AA"/>
    <w:rsid w:val="00F07E05"/>
    <w:rsid w:val="00F121F0"/>
    <w:rsid w:val="00F14BC8"/>
    <w:rsid w:val="00F20032"/>
    <w:rsid w:val="00F21AA1"/>
    <w:rsid w:val="00F25336"/>
    <w:rsid w:val="00F30212"/>
    <w:rsid w:val="00F33DF0"/>
    <w:rsid w:val="00F347D7"/>
    <w:rsid w:val="00F34F3D"/>
    <w:rsid w:val="00F3519D"/>
    <w:rsid w:val="00F3608E"/>
    <w:rsid w:val="00F45AB6"/>
    <w:rsid w:val="00F45F3E"/>
    <w:rsid w:val="00F46348"/>
    <w:rsid w:val="00F50891"/>
    <w:rsid w:val="00F50A30"/>
    <w:rsid w:val="00F5470E"/>
    <w:rsid w:val="00F561A2"/>
    <w:rsid w:val="00F56CB9"/>
    <w:rsid w:val="00F60C8A"/>
    <w:rsid w:val="00F619CC"/>
    <w:rsid w:val="00F65CD4"/>
    <w:rsid w:val="00F672FE"/>
    <w:rsid w:val="00F67883"/>
    <w:rsid w:val="00F700DC"/>
    <w:rsid w:val="00F70643"/>
    <w:rsid w:val="00F70703"/>
    <w:rsid w:val="00F714DA"/>
    <w:rsid w:val="00F719EA"/>
    <w:rsid w:val="00F71ECD"/>
    <w:rsid w:val="00F732D1"/>
    <w:rsid w:val="00F74886"/>
    <w:rsid w:val="00F75338"/>
    <w:rsid w:val="00F75D35"/>
    <w:rsid w:val="00F765E9"/>
    <w:rsid w:val="00F77C39"/>
    <w:rsid w:val="00F77E53"/>
    <w:rsid w:val="00F80033"/>
    <w:rsid w:val="00F80C83"/>
    <w:rsid w:val="00F81A1D"/>
    <w:rsid w:val="00F82717"/>
    <w:rsid w:val="00F83904"/>
    <w:rsid w:val="00F867E2"/>
    <w:rsid w:val="00F87261"/>
    <w:rsid w:val="00F8755F"/>
    <w:rsid w:val="00F90B5A"/>
    <w:rsid w:val="00F9140D"/>
    <w:rsid w:val="00F92A73"/>
    <w:rsid w:val="00F92E79"/>
    <w:rsid w:val="00F9368B"/>
    <w:rsid w:val="00F95497"/>
    <w:rsid w:val="00F95A50"/>
    <w:rsid w:val="00F97211"/>
    <w:rsid w:val="00FA01A9"/>
    <w:rsid w:val="00FA10EC"/>
    <w:rsid w:val="00FA70A5"/>
    <w:rsid w:val="00FB2176"/>
    <w:rsid w:val="00FB2185"/>
    <w:rsid w:val="00FB24FE"/>
    <w:rsid w:val="00FB45A7"/>
    <w:rsid w:val="00FB7928"/>
    <w:rsid w:val="00FC264E"/>
    <w:rsid w:val="00FC4F6E"/>
    <w:rsid w:val="00FC619B"/>
    <w:rsid w:val="00FC6370"/>
    <w:rsid w:val="00FD0BFB"/>
    <w:rsid w:val="00FD2006"/>
    <w:rsid w:val="00FD219A"/>
    <w:rsid w:val="00FD2D85"/>
    <w:rsid w:val="00FD337C"/>
    <w:rsid w:val="00FD5D82"/>
    <w:rsid w:val="00FD6C45"/>
    <w:rsid w:val="00FE2436"/>
    <w:rsid w:val="00FE31CF"/>
    <w:rsid w:val="00FE4CB9"/>
    <w:rsid w:val="00FE65CB"/>
    <w:rsid w:val="00FE6667"/>
    <w:rsid w:val="00FE799E"/>
    <w:rsid w:val="00FF06C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6130">
      <o:colormenu v:ext="edit" fillcolor="none [1951]" stroke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uiPriority="0"/>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65636E"/>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ind w:left="360" w:hanging="36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5636E"/>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contextualSpacing/>
    </w:pPr>
  </w:style>
  <w:style w:type="paragraph" w:styleId="ListNumber">
    <w:name w:val="List Number"/>
    <w:basedOn w:val="Normal"/>
    <w:uiPriority w:val="99"/>
    <w:qFormat/>
    <w:rsid w:val="003F65D1"/>
    <w:pPr>
      <w:numPr>
        <w:numId w:val="7"/>
      </w:numPr>
      <w:tabs>
        <w:tab w:val="num" w:pos="360"/>
      </w:tabs>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2B2968"/>
    <w:pPr>
      <w:tabs>
        <w:tab w:val="left" w:pos="440"/>
        <w:tab w:val="right" w:leader="dot" w:pos="9017"/>
      </w:tabs>
      <w:spacing w:after="100"/>
      <w:ind w:left="440" w:hanging="440"/>
      <w:jc w:val="left"/>
    </w:pPr>
    <w:rPr>
      <w:rFonts w:ascii="Century Gothic" w:hAnsi="Century Gothic"/>
      <w:b/>
      <w:noProof/>
      <w:sz w:val="24"/>
      <w:szCs w:val="24"/>
    </w:rPr>
  </w:style>
  <w:style w:type="paragraph" w:styleId="TOC2">
    <w:name w:val="toc 2"/>
    <w:basedOn w:val="Normal"/>
    <w:next w:val="Normal"/>
    <w:autoRedefine/>
    <w:uiPriority w:val="39"/>
    <w:rsid w:val="00FC6370"/>
    <w:pPr>
      <w:tabs>
        <w:tab w:val="left" w:pos="880"/>
        <w:tab w:val="right" w:leader="dot" w:pos="9017"/>
      </w:tabs>
      <w:spacing w:after="100"/>
      <w:ind w:left="880" w:hanging="660"/>
      <w:jc w:val="left"/>
    </w:pPr>
    <w:rPr>
      <w:rFonts w:ascii="Century Gothic" w:hAnsi="Century Gothic"/>
      <w:noProof/>
    </w:rPr>
  </w:style>
  <w:style w:type="paragraph" w:styleId="TOC3">
    <w:name w:val="toc 3"/>
    <w:basedOn w:val="Normal"/>
    <w:next w:val="Normal"/>
    <w:autoRedefine/>
    <w:uiPriority w:val="99"/>
    <w:rsid w:val="003F65D1"/>
    <w:pPr>
      <w:spacing w:after="100"/>
      <w:ind w:left="440"/>
    </w:pPr>
  </w:style>
  <w:style w:type="paragraph" w:styleId="Revision">
    <w:name w:val="Revision"/>
    <w:hidden/>
    <w:uiPriority w:val="99"/>
    <w:semiHidden/>
    <w:rsid w:val="003F65D1"/>
    <w:rPr>
      <w:rFonts w:ascii="Calibri" w:hAnsi="Calibri"/>
    </w:rPr>
  </w:style>
  <w:style w:type="paragraph" w:customStyle="1" w:styleId="Bullet">
    <w:name w:val="Bullet"/>
    <w:basedOn w:val="Normal"/>
    <w:link w:val="BulletChar"/>
    <w:qFormat/>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uiPriority w:val="99"/>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nhideWhenUsed/>
    <w:rsid w:val="006A76CD"/>
    <w:pPr>
      <w:spacing w:after="0"/>
    </w:pPr>
  </w:style>
  <w:style w:type="character" w:customStyle="1" w:styleId="EndnoteTextChar">
    <w:name w:val="Endnote Text Char"/>
    <w:basedOn w:val="DefaultParagraphFont"/>
    <w:link w:val="EndnoteText"/>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character" w:customStyle="1" w:styleId="ListParagraphChar">
    <w:name w:val="List Paragraph Char"/>
    <w:basedOn w:val="DefaultParagraphFont"/>
    <w:link w:val="ListParagraph"/>
    <w:uiPriority w:val="99"/>
    <w:locked/>
    <w:rsid w:val="007118D7"/>
    <w:rPr>
      <w:rFonts w:ascii="Calibri" w:hAnsi="Calibri"/>
    </w:rPr>
  </w:style>
  <w:style w:type="paragraph" w:styleId="ListBullet2">
    <w:name w:val="List Bullet 2"/>
    <w:basedOn w:val="Normal"/>
    <w:uiPriority w:val="99"/>
    <w:unhideWhenUsed/>
    <w:rsid w:val="00571D38"/>
    <w:pPr>
      <w:spacing w:after="200" w:line="276" w:lineRule="auto"/>
      <w:ind w:left="737" w:hanging="368"/>
      <w:jc w:val="left"/>
    </w:pPr>
    <w:rPr>
      <w:rFonts w:asciiTheme="minorHAnsi" w:eastAsiaTheme="minorEastAsia" w:hAnsiTheme="minorHAnsi" w:cstheme="minorBidi"/>
      <w:sz w:val="22"/>
      <w:szCs w:val="22"/>
      <w:lang w:val="en-US" w:eastAsia="en-US" w:bidi="en-US"/>
    </w:rPr>
  </w:style>
  <w:style w:type="paragraph" w:styleId="ListBullet3">
    <w:name w:val="List Bullet 3"/>
    <w:basedOn w:val="Normal"/>
    <w:uiPriority w:val="99"/>
    <w:unhideWhenUsed/>
    <w:rsid w:val="00571D38"/>
    <w:pPr>
      <w:spacing w:after="200" w:line="276" w:lineRule="auto"/>
      <w:ind w:left="1106" w:hanging="369"/>
      <w:jc w:val="left"/>
    </w:pPr>
    <w:rPr>
      <w:rFonts w:asciiTheme="minorHAnsi" w:eastAsiaTheme="minorEastAsia" w:hAnsiTheme="minorHAnsi" w:cstheme="minorBidi"/>
      <w:sz w:val="22"/>
      <w:szCs w:val="22"/>
      <w:lang w:val="en-US" w:eastAsia="en-US" w:bidi="en-US"/>
    </w:rPr>
  </w:style>
  <w:style w:type="paragraph" w:styleId="ListBullet4">
    <w:name w:val="List Bullet 4"/>
    <w:basedOn w:val="Normal"/>
    <w:uiPriority w:val="99"/>
    <w:unhideWhenUsed/>
    <w:rsid w:val="00571D38"/>
    <w:pPr>
      <w:spacing w:after="200" w:line="276" w:lineRule="auto"/>
      <w:ind w:left="1474" w:hanging="368"/>
      <w:jc w:val="left"/>
    </w:pPr>
    <w:rPr>
      <w:rFonts w:asciiTheme="minorHAnsi" w:eastAsiaTheme="minorEastAsia" w:hAnsiTheme="minorHAnsi" w:cstheme="minorBidi"/>
      <w:sz w:val="22"/>
      <w:szCs w:val="22"/>
      <w:lang w:val="en-US" w:eastAsia="en-US" w:bidi="en-US"/>
    </w:rPr>
  </w:style>
  <w:style w:type="paragraph" w:styleId="ListBullet5">
    <w:name w:val="List Bullet 5"/>
    <w:basedOn w:val="Normal"/>
    <w:uiPriority w:val="99"/>
    <w:unhideWhenUsed/>
    <w:rsid w:val="00571D38"/>
    <w:pPr>
      <w:spacing w:after="200" w:line="276" w:lineRule="auto"/>
      <w:ind w:left="1800" w:hanging="360"/>
      <w:jc w:val="left"/>
    </w:pPr>
    <w:rPr>
      <w:rFonts w:asciiTheme="minorHAnsi" w:eastAsiaTheme="minorEastAsia" w:hAnsiTheme="minorHAnsi" w:cstheme="minorBidi"/>
      <w:sz w:val="22"/>
      <w:szCs w:val="22"/>
      <w:lang w:val="en-US" w:eastAsia="en-US" w:bidi="en-US"/>
    </w:rPr>
  </w:style>
  <w:style w:type="paragraph" w:styleId="NoSpacing">
    <w:name w:val="No Spacing"/>
    <w:uiPriority w:val="1"/>
    <w:qFormat/>
    <w:rsid w:val="00571D38"/>
    <w:rPr>
      <w:rFonts w:asciiTheme="minorHAnsi" w:eastAsiaTheme="minorEastAsia" w:hAnsiTheme="minorHAnsi" w:cstheme="minorBidi"/>
      <w:sz w:val="22"/>
      <w:szCs w:val="22"/>
      <w:lang w:val="en-US" w:eastAsia="en-US" w:bidi="en-US"/>
    </w:rPr>
  </w:style>
  <w:style w:type="character" w:customStyle="1" w:styleId="BulletChar">
    <w:name w:val="Bullet Char"/>
    <w:basedOn w:val="DefaultParagraphFont"/>
    <w:link w:val="Bullet"/>
    <w:locked/>
    <w:rsid w:val="00124914"/>
    <w:rPr>
      <w:sz w:val="24"/>
      <w:szCs w:val="24"/>
      <w:lang w:eastAsia="en-US"/>
    </w:rPr>
  </w:style>
  <w:style w:type="paragraph" w:customStyle="1" w:styleId="Classification">
    <w:name w:val="Classification"/>
    <w:basedOn w:val="Normal"/>
    <w:uiPriority w:val="10"/>
    <w:qFormat/>
    <w:rsid w:val="004D3D43"/>
    <w:pPr>
      <w:tabs>
        <w:tab w:val="center" w:pos="4536"/>
        <w:tab w:val="center" w:pos="4819"/>
        <w:tab w:val="right" w:pos="9356"/>
      </w:tabs>
      <w:spacing w:after="240" w:line="276" w:lineRule="auto"/>
      <w:jc w:val="center"/>
    </w:pPr>
    <w:rPr>
      <w:rFonts w:ascii="Arial" w:hAnsi="Arial" w:cs="Arial"/>
      <w:color w:val="FF0000"/>
      <w:sz w:val="28"/>
      <w:szCs w:val="28"/>
    </w:rPr>
  </w:style>
</w:styles>
</file>

<file path=word/webSettings.xml><?xml version="1.0" encoding="utf-8"?>
<w:webSettings xmlns:r="http://schemas.openxmlformats.org/officeDocument/2006/relationships" xmlns:w="http://schemas.openxmlformats.org/wordprocessingml/2006/main">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42310229">
      <w:bodyDiv w:val="1"/>
      <w:marLeft w:val="0"/>
      <w:marRight w:val="0"/>
      <w:marTop w:val="0"/>
      <w:marBottom w:val="0"/>
      <w:divBdr>
        <w:top w:val="none" w:sz="0" w:space="0" w:color="auto"/>
        <w:left w:val="none" w:sz="0" w:space="0" w:color="auto"/>
        <w:bottom w:val="none" w:sz="0" w:space="0" w:color="auto"/>
        <w:right w:val="none" w:sz="0" w:space="0" w:color="auto"/>
      </w:divBdr>
    </w:div>
    <w:div w:id="695079248">
      <w:bodyDiv w:val="1"/>
      <w:marLeft w:val="0"/>
      <w:marRight w:val="0"/>
      <w:marTop w:val="0"/>
      <w:marBottom w:val="0"/>
      <w:divBdr>
        <w:top w:val="none" w:sz="0" w:space="0" w:color="auto"/>
        <w:left w:val="none" w:sz="0" w:space="0" w:color="auto"/>
        <w:bottom w:val="none" w:sz="0" w:space="0" w:color="auto"/>
        <w:right w:val="none" w:sz="0" w:space="0" w:color="auto"/>
      </w:divBdr>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3.0/a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pvac01file02\user$\A06210\Profile\Desktop\UTE%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lgn="ctr">
              <a:defRPr sz="1200"/>
            </a:pPr>
            <a:r>
              <a:rPr lang="en-AU" sz="1200"/>
              <a:t>Comparitive Utilisation of Water</a:t>
            </a:r>
          </a:p>
        </c:rich>
      </c:tx>
      <c:layout>
        <c:manualLayout>
          <c:xMode val="edge"/>
          <c:yMode val="edge"/>
          <c:x val="0.31358938771397155"/>
          <c:y val="4.4985912194046782E-2"/>
        </c:manualLayout>
      </c:layout>
    </c:title>
    <c:plotArea>
      <c:layout>
        <c:manualLayout>
          <c:layoutTarget val="inner"/>
          <c:xMode val="edge"/>
          <c:yMode val="edge"/>
          <c:x val="0.11761571688355722"/>
          <c:y val="0.15455485419694498"/>
          <c:w val="0.83858130299157663"/>
          <c:h val="0.64449101342647552"/>
        </c:manualLayout>
      </c:layout>
      <c:lineChart>
        <c:grouping val="standard"/>
        <c:ser>
          <c:idx val="0"/>
          <c:order val="0"/>
          <c:tx>
            <c:strRef>
              <c:f>Sheet4!$A$2</c:f>
              <c:strCache>
                <c:ptCount val="1"/>
                <c:pt idx="0">
                  <c:v>Victorian MDB </c:v>
                </c:pt>
              </c:strCache>
            </c:strRef>
          </c:tx>
          <c:cat>
            <c:strRef>
              <c:f>Sheet4!$B$1:$G$1</c:f>
              <c:strCache>
                <c:ptCount val="6"/>
                <c:pt idx="0">
                  <c:v>2008-09</c:v>
                </c:pt>
                <c:pt idx="1">
                  <c:v>2009-10</c:v>
                </c:pt>
                <c:pt idx="2">
                  <c:v>2010-11</c:v>
                </c:pt>
                <c:pt idx="3">
                  <c:v>2011-12</c:v>
                </c:pt>
                <c:pt idx="4">
                  <c:v>2012-13</c:v>
                </c:pt>
                <c:pt idx="5">
                  <c:v>2013-14</c:v>
                </c:pt>
              </c:strCache>
            </c:strRef>
          </c:cat>
          <c:val>
            <c:numRef>
              <c:f>Sheet4!$B$2:$G$2</c:f>
              <c:numCache>
                <c:formatCode>General</c:formatCode>
                <c:ptCount val="6"/>
                <c:pt idx="0">
                  <c:v>70</c:v>
                </c:pt>
                <c:pt idx="1">
                  <c:v>66</c:v>
                </c:pt>
                <c:pt idx="2">
                  <c:v>27</c:v>
                </c:pt>
                <c:pt idx="3">
                  <c:v>43</c:v>
                </c:pt>
                <c:pt idx="4">
                  <c:v>67</c:v>
                </c:pt>
                <c:pt idx="5" formatCode="0">
                  <c:v>75.900000000000006</c:v>
                </c:pt>
              </c:numCache>
            </c:numRef>
          </c:val>
        </c:ser>
        <c:ser>
          <c:idx val="1"/>
          <c:order val="1"/>
          <c:tx>
            <c:strRef>
              <c:f>Sheet4!$A$3</c:f>
              <c:strCache>
                <c:ptCount val="1"/>
                <c:pt idx="0">
                  <c:v>NSW MDB</c:v>
                </c:pt>
              </c:strCache>
            </c:strRef>
          </c:tx>
          <c:cat>
            <c:strRef>
              <c:f>Sheet4!$B$1:$G$1</c:f>
              <c:strCache>
                <c:ptCount val="6"/>
                <c:pt idx="0">
                  <c:v>2008-09</c:v>
                </c:pt>
                <c:pt idx="1">
                  <c:v>2009-10</c:v>
                </c:pt>
                <c:pt idx="2">
                  <c:v>2010-11</c:v>
                </c:pt>
                <c:pt idx="3">
                  <c:v>2011-12</c:v>
                </c:pt>
                <c:pt idx="4">
                  <c:v>2012-13</c:v>
                </c:pt>
                <c:pt idx="5">
                  <c:v>2013-14</c:v>
                </c:pt>
              </c:strCache>
            </c:strRef>
          </c:cat>
          <c:val>
            <c:numRef>
              <c:f>Sheet4!$B$3:$G$3</c:f>
              <c:numCache>
                <c:formatCode>General</c:formatCode>
                <c:ptCount val="6"/>
                <c:pt idx="0">
                  <c:v>68</c:v>
                </c:pt>
                <c:pt idx="1">
                  <c:v>52</c:v>
                </c:pt>
                <c:pt idx="2">
                  <c:v>26</c:v>
                </c:pt>
                <c:pt idx="3">
                  <c:v>41</c:v>
                </c:pt>
                <c:pt idx="4">
                  <c:v>75</c:v>
                </c:pt>
                <c:pt idx="5" formatCode="0">
                  <c:v>69.5</c:v>
                </c:pt>
              </c:numCache>
            </c:numRef>
          </c:val>
        </c:ser>
        <c:ser>
          <c:idx val="2"/>
          <c:order val="2"/>
          <c:tx>
            <c:strRef>
              <c:f>Sheet4!$A$4</c:f>
              <c:strCache>
                <c:ptCount val="1"/>
                <c:pt idx="0">
                  <c:v>CEWO MDB</c:v>
                </c:pt>
              </c:strCache>
            </c:strRef>
          </c:tx>
          <c:cat>
            <c:strRef>
              <c:f>Sheet4!$B$1:$G$1</c:f>
              <c:strCache>
                <c:ptCount val="6"/>
                <c:pt idx="0">
                  <c:v>2008-09</c:v>
                </c:pt>
                <c:pt idx="1">
                  <c:v>2009-10</c:v>
                </c:pt>
                <c:pt idx="2">
                  <c:v>2010-11</c:v>
                </c:pt>
                <c:pt idx="3">
                  <c:v>2011-12</c:v>
                </c:pt>
                <c:pt idx="4">
                  <c:v>2012-13</c:v>
                </c:pt>
                <c:pt idx="5">
                  <c:v>2013-14</c:v>
                </c:pt>
              </c:strCache>
            </c:strRef>
          </c:cat>
          <c:val>
            <c:numRef>
              <c:f>Sheet4!$B$4:$G$4</c:f>
              <c:numCache>
                <c:formatCode>General</c:formatCode>
                <c:ptCount val="6"/>
                <c:pt idx="0">
                  <c:v>93</c:v>
                </c:pt>
                <c:pt idx="1">
                  <c:v>82</c:v>
                </c:pt>
                <c:pt idx="2">
                  <c:v>53</c:v>
                </c:pt>
                <c:pt idx="3">
                  <c:v>52</c:v>
                </c:pt>
                <c:pt idx="4">
                  <c:v>79</c:v>
                </c:pt>
                <c:pt idx="5" formatCode="0">
                  <c:v>67.5</c:v>
                </c:pt>
              </c:numCache>
            </c:numRef>
          </c:val>
        </c:ser>
        <c:marker val="1"/>
        <c:axId val="265397376"/>
        <c:axId val="265399680"/>
      </c:lineChart>
      <c:catAx>
        <c:axId val="265397376"/>
        <c:scaling>
          <c:orientation val="minMax"/>
        </c:scaling>
        <c:axPos val="b"/>
        <c:title>
          <c:tx>
            <c:rich>
              <a:bodyPr/>
              <a:lstStyle/>
              <a:p>
                <a:pPr algn="ctr" rtl="0">
                  <a:defRPr lang="en-AU" sz="1000" b="1" i="0" u="none" strike="noStrike" kern="1200" baseline="0">
                    <a:solidFill>
                      <a:sysClr val="windowText" lastClr="000000"/>
                    </a:solidFill>
                    <a:latin typeface="+mn-lt"/>
                    <a:ea typeface="+mn-ea"/>
                    <a:cs typeface="+mn-cs"/>
                  </a:defRPr>
                </a:pPr>
                <a:r>
                  <a:rPr lang="en-AU" sz="1000" b="1" i="0" u="none" strike="noStrike" kern="1200" baseline="0">
                    <a:solidFill>
                      <a:sysClr val="windowText" lastClr="000000"/>
                    </a:solidFill>
                    <a:latin typeface="+mn-lt"/>
                    <a:ea typeface="+mn-ea"/>
                    <a:cs typeface="+mn-cs"/>
                  </a:rPr>
                  <a:t>Water Year</a:t>
                </a:r>
              </a:p>
            </c:rich>
          </c:tx>
          <c:layout/>
        </c:title>
        <c:numFmt formatCode="General" sourceLinked="1"/>
        <c:tickLblPos val="nextTo"/>
        <c:txPr>
          <a:bodyPr rot="0"/>
          <a:lstStyle/>
          <a:p>
            <a:pPr>
              <a:defRPr/>
            </a:pPr>
            <a:endParaRPr lang="en-US"/>
          </a:p>
        </c:txPr>
        <c:crossAx val="265399680"/>
        <c:crosses val="autoZero"/>
        <c:auto val="1"/>
        <c:lblAlgn val="ctr"/>
        <c:lblOffset val="100"/>
      </c:catAx>
      <c:valAx>
        <c:axId val="265399680"/>
        <c:scaling>
          <c:orientation val="minMax"/>
        </c:scaling>
        <c:axPos val="l"/>
        <c:majorGridlines/>
        <c:title>
          <c:tx>
            <c:rich>
              <a:bodyPr rot="-5400000" vert="horz"/>
              <a:lstStyle/>
              <a:p>
                <a:pPr algn="ctr" rtl="0">
                  <a:defRPr lang="en-AU" sz="1000" b="1" i="0" u="none" strike="noStrike" kern="1200" baseline="0">
                    <a:solidFill>
                      <a:sysClr val="windowText" lastClr="000000"/>
                    </a:solidFill>
                    <a:latin typeface="+mn-lt"/>
                    <a:ea typeface="+mn-ea"/>
                    <a:cs typeface="+mn-cs"/>
                  </a:defRPr>
                </a:pPr>
                <a:r>
                  <a:rPr lang="en-AU" sz="1000" b="1" i="0" u="none" strike="noStrike" kern="1200" baseline="0">
                    <a:solidFill>
                      <a:sysClr val="windowText" lastClr="000000"/>
                    </a:solidFill>
                    <a:latin typeface="+mn-lt"/>
                    <a:ea typeface="+mn-ea"/>
                    <a:cs typeface="+mn-cs"/>
                  </a:rPr>
                  <a:t>Percent Utilisation</a:t>
                </a:r>
              </a:p>
            </c:rich>
          </c:tx>
          <c:layout/>
        </c:title>
        <c:numFmt formatCode="General" sourceLinked="1"/>
        <c:tickLblPos val="nextTo"/>
        <c:crossAx val="265397376"/>
        <c:crosses val="autoZero"/>
        <c:crossBetween val="between"/>
      </c:valAx>
    </c:plotArea>
    <c:legend>
      <c:legendPos val="b"/>
      <c:layout>
        <c:manualLayout>
          <c:xMode val="edge"/>
          <c:yMode val="edge"/>
          <c:x val="0.20617553695840377"/>
          <c:y val="0.92271946321670462"/>
          <c:w val="0.62487969108573693"/>
          <c:h val="6.3282286564573131E-2"/>
        </c:manualLayout>
      </c:layout>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1531</Words>
  <Characters>8495</Characters>
  <Application>Microsoft Office Word</Application>
  <DocSecurity>0</DocSecurity>
  <Lines>70</Lines>
  <Paragraphs>20</Paragraphs>
  <ScaleCrop>false</ScaleCrop>
  <LinksUpToDate>false</LinksUpToDate>
  <CharactersWithSpaces>10006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carryover from 2013–14 into 2014–15</dc:title>
  <dc:creator/>
  <cp:lastModifiedBy/>
  <cp:revision>1</cp:revision>
  <dcterms:created xsi:type="dcterms:W3CDTF">2014-09-10T02:49:00Z</dcterms:created>
  <dcterms:modified xsi:type="dcterms:W3CDTF">2014-09-10T02:50:00Z</dcterms:modified>
</cp:coreProperties>
</file>