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7330B0" w:rsidTr="00F93749">
        <w:tc>
          <w:tcPr>
            <w:tcW w:w="9854" w:type="dxa"/>
            <w:shd w:val="clear" w:color="auto" w:fill="000000" w:themeFill="text1"/>
          </w:tcPr>
          <w:p w:rsidR="00F50C38" w:rsidRPr="00F50C38" w:rsidRDefault="00F50C38" w:rsidP="001058D6">
            <w:pPr>
              <w:pStyle w:val="body"/>
              <w:rPr>
                <w:rFonts w:ascii="Arial" w:hAnsi="Arial" w:cs="Arial"/>
                <w:b/>
                <w:color w:val="FFFFFF" w:themeColor="background1"/>
                <w:sz w:val="36"/>
                <w:szCs w:val="36"/>
              </w:rPr>
            </w:pPr>
          </w:p>
          <w:p w:rsidR="007330B0" w:rsidRPr="00F50C38" w:rsidRDefault="007330B0" w:rsidP="001058D6">
            <w:pPr>
              <w:pStyle w:val="body"/>
              <w:rPr>
                <w:rFonts w:ascii="Arial" w:hAnsi="Arial" w:cs="Arial"/>
                <w:b/>
                <w:color w:val="FFFFFF" w:themeColor="background1"/>
                <w:sz w:val="48"/>
                <w:szCs w:val="48"/>
              </w:rPr>
            </w:pPr>
            <w:r w:rsidRPr="00F50C38">
              <w:rPr>
                <w:rFonts w:ascii="Arial" w:hAnsi="Arial" w:cs="Arial"/>
                <w:b/>
                <w:color w:val="FFFFFF" w:themeColor="background1"/>
                <w:sz w:val="48"/>
                <w:szCs w:val="48"/>
              </w:rPr>
              <w:t>ANNUAL REPORT 2012-13</w:t>
            </w:r>
          </w:p>
          <w:p w:rsidR="00F50C38" w:rsidRPr="00F50C38" w:rsidRDefault="00F50C38" w:rsidP="00F50C38">
            <w:pPr>
              <w:pStyle w:val="NoParagraphStyle"/>
              <w:rPr>
                <w:color w:val="FFFFFF" w:themeColor="background1"/>
              </w:rPr>
            </w:pPr>
          </w:p>
          <w:p w:rsidR="007330B0" w:rsidRPr="00F50C38" w:rsidRDefault="007330B0" w:rsidP="00F50C38">
            <w:pPr>
              <w:pStyle w:val="NoParagraphStyle"/>
              <w:rPr>
                <w:rFonts w:ascii="Arial" w:hAnsi="Arial" w:cs="Arial"/>
                <w:b/>
                <w:color w:val="FFFFFF" w:themeColor="background1"/>
                <w:sz w:val="44"/>
                <w:szCs w:val="44"/>
              </w:rPr>
            </w:pPr>
            <w:r w:rsidRPr="00F50C38">
              <w:rPr>
                <w:rFonts w:ascii="Arial" w:hAnsi="Arial" w:cs="Arial"/>
                <w:b/>
                <w:color w:val="FFFFFF" w:themeColor="background1"/>
                <w:sz w:val="44"/>
                <w:szCs w:val="44"/>
              </w:rPr>
              <w:t>COMMONWEALTH</w:t>
            </w:r>
            <w:r w:rsidR="00F50C38" w:rsidRPr="00F50C38">
              <w:rPr>
                <w:rFonts w:ascii="Arial" w:hAnsi="Arial" w:cs="Arial"/>
                <w:b/>
                <w:color w:val="FFFFFF" w:themeColor="background1"/>
                <w:sz w:val="44"/>
                <w:szCs w:val="44"/>
              </w:rPr>
              <w:t xml:space="preserve"> </w:t>
            </w:r>
            <w:r w:rsidRPr="00F50C38">
              <w:rPr>
                <w:rFonts w:ascii="Arial" w:hAnsi="Arial" w:cs="Arial"/>
                <w:b/>
                <w:color w:val="FFFFFF" w:themeColor="background1"/>
                <w:sz w:val="44"/>
                <w:szCs w:val="44"/>
              </w:rPr>
              <w:t>ENVIRONM</w:t>
            </w:r>
            <w:r w:rsidR="00FF08D0">
              <w:rPr>
                <w:rFonts w:ascii="Arial" w:hAnsi="Arial" w:cs="Arial"/>
                <w:b/>
                <w:color w:val="FFFFFF" w:themeColor="background1"/>
                <w:sz w:val="44"/>
                <w:szCs w:val="44"/>
              </w:rPr>
              <w:t>E</w:t>
            </w:r>
            <w:r w:rsidRPr="00F50C38">
              <w:rPr>
                <w:rFonts w:ascii="Arial" w:hAnsi="Arial" w:cs="Arial"/>
                <w:b/>
                <w:color w:val="FFFFFF" w:themeColor="background1"/>
                <w:sz w:val="44"/>
                <w:szCs w:val="44"/>
              </w:rPr>
              <w:t>NTAL WATER</w:t>
            </w:r>
          </w:p>
          <w:p w:rsidR="00F50C38" w:rsidRPr="007330B0" w:rsidRDefault="00F50C38" w:rsidP="00F50C38">
            <w:pPr>
              <w:pStyle w:val="NoParagraphStyle"/>
            </w:pPr>
          </w:p>
        </w:tc>
      </w:tr>
      <w:tr w:rsidR="007330B0" w:rsidTr="00F93749">
        <w:tc>
          <w:tcPr>
            <w:tcW w:w="9854" w:type="dxa"/>
          </w:tcPr>
          <w:p w:rsidR="007330B0" w:rsidRDefault="007330B0" w:rsidP="001058D6">
            <w:pPr>
              <w:pStyle w:val="body"/>
            </w:pPr>
          </w:p>
          <w:p w:rsidR="00F50C38" w:rsidRPr="00F50C38" w:rsidRDefault="00F93749" w:rsidP="00F93749">
            <w:pPr>
              <w:pStyle w:val="NoParagraphStyle"/>
              <w:ind w:left="-142"/>
            </w:pPr>
            <w:r>
              <w:rPr>
                <w:noProof/>
                <w:lang w:val="en-AU"/>
              </w:rPr>
              <w:drawing>
                <wp:inline distT="0" distB="0" distL="0" distR="0">
                  <wp:extent cx="6542478" cy="6699952"/>
                  <wp:effectExtent l="19050" t="0" r="0" b="0"/>
                  <wp:docPr id="1" name="Picture 1" descr="\\pvac01file02\water$\Environment\Environmental Water\CEWH\SER Section\(SPIRE) Publications\Reporting 12-13\Images\Macquarie\DSCN0573 Wilgara Daniel Rothenfluh CE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water$\Environment\Environmental Water\CEWH\SER Section\(SPIRE) Publications\Reporting 12-13\Images\Macquarie\DSCN0573 Wilgara Daniel Rothenfluh CEWO.JPG"/>
                          <pic:cNvPicPr>
                            <a:picLocks noChangeAspect="1" noChangeArrowheads="1"/>
                          </pic:cNvPicPr>
                        </pic:nvPicPr>
                        <pic:blipFill>
                          <a:blip r:embed="rId8" cstate="screen">
                            <a:grayscl/>
                          </a:blip>
                          <a:srcRect/>
                          <a:stretch>
                            <a:fillRect/>
                          </a:stretch>
                        </pic:blipFill>
                        <pic:spPr bwMode="auto">
                          <a:xfrm>
                            <a:off x="0" y="0"/>
                            <a:ext cx="6546746" cy="6704323"/>
                          </a:xfrm>
                          <a:prstGeom prst="rect">
                            <a:avLst/>
                          </a:prstGeom>
                          <a:noFill/>
                          <a:ln w="9525">
                            <a:noFill/>
                            <a:miter lim="800000"/>
                            <a:headEnd/>
                            <a:tailEnd/>
                          </a:ln>
                        </pic:spPr>
                      </pic:pic>
                    </a:graphicData>
                  </a:graphic>
                </wp:inline>
              </w:drawing>
            </w:r>
          </w:p>
        </w:tc>
      </w:tr>
    </w:tbl>
    <w:p w:rsidR="001058D6" w:rsidRDefault="001058D6" w:rsidP="001058D6">
      <w:pPr>
        <w:pStyle w:val="body"/>
      </w:pPr>
      <w:r>
        <w:br w:type="page"/>
      </w:r>
    </w:p>
    <w:p w:rsidR="001058D6" w:rsidRPr="00287BF0" w:rsidRDefault="001058D6" w:rsidP="00D06805">
      <w:pPr>
        <w:pStyle w:val="Heading2"/>
        <w:ind w:left="2160" w:hanging="2160"/>
      </w:pPr>
      <w:r w:rsidRPr="00287BF0">
        <w:lastRenderedPageBreak/>
        <w:t>Outcome 6:</w:t>
      </w:r>
      <w:r w:rsidR="00D06805">
        <w:tab/>
      </w:r>
      <w:r w:rsidRPr="00287BF0">
        <w:t>COMMONWEALTH ENVIRONMENTAL WATER</w:t>
      </w:r>
    </w:p>
    <w:p w:rsidR="00D06805" w:rsidRDefault="00D06805" w:rsidP="001058D6">
      <w:pPr>
        <w:pStyle w:val="bodyintro"/>
        <w:rPr>
          <w:rStyle w:val="Strong"/>
        </w:rPr>
      </w:pPr>
    </w:p>
    <w:p w:rsidR="001058D6" w:rsidRPr="000856D1" w:rsidRDefault="001058D6" w:rsidP="001058D6">
      <w:pPr>
        <w:pStyle w:val="bodyintro"/>
        <w:rPr>
          <w:rStyle w:val="Strong"/>
        </w:rPr>
      </w:pPr>
      <w:proofErr w:type="gramStart"/>
      <w:r w:rsidRPr="000856D1">
        <w:rPr>
          <w:rStyle w:val="Strong"/>
        </w:rPr>
        <w:t>Protection and restoration of environmental assets through the management and use of Commonwealth environmental water.</w:t>
      </w:r>
      <w:proofErr w:type="gramEnd"/>
    </w:p>
    <w:p w:rsidR="001058D6" w:rsidRPr="00287BF0" w:rsidRDefault="001058D6" w:rsidP="001058D6">
      <w:pPr>
        <w:pStyle w:val="Heading3"/>
        <w:rPr>
          <w:rStyle w:val="TextBold"/>
          <w:bCs w:val="0"/>
        </w:rPr>
      </w:pPr>
      <w:r w:rsidRPr="00287BF0">
        <w:rPr>
          <w:rStyle w:val="TextBold"/>
          <w:b/>
        </w:rPr>
        <w:t>Contents</w:t>
      </w:r>
    </w:p>
    <w:p w:rsidR="001058D6" w:rsidRPr="00EC045C" w:rsidRDefault="00CF316A" w:rsidP="001058D6">
      <w:pPr>
        <w:pStyle w:val="ContentsH1"/>
        <w:tabs>
          <w:tab w:val="clear" w:pos="7257"/>
          <w:tab w:val="right" w:pos="9214"/>
        </w:tabs>
        <w:rPr>
          <w:rStyle w:val="TextBold"/>
          <w:rFonts w:ascii="Arial" w:hAnsi="Arial" w:cs="Arial"/>
          <w:color w:val="auto"/>
        </w:rPr>
      </w:pPr>
      <w:hyperlink w:anchor="_Summary" w:history="1">
        <w:r w:rsidR="001058D6" w:rsidRPr="00EC045C">
          <w:rPr>
            <w:rStyle w:val="Hyperlink"/>
            <w:rFonts w:ascii="Arial" w:hAnsi="Arial" w:cs="Arial"/>
          </w:rPr>
          <w:t>Summary</w:t>
        </w:r>
      </w:hyperlink>
    </w:p>
    <w:p w:rsidR="001058D6" w:rsidRPr="00EC045C" w:rsidRDefault="00CF316A" w:rsidP="001058D6">
      <w:pPr>
        <w:pStyle w:val="ContentsH1"/>
        <w:tabs>
          <w:tab w:val="clear" w:pos="7257"/>
          <w:tab w:val="right" w:pos="9214"/>
        </w:tabs>
        <w:rPr>
          <w:rStyle w:val="TextBold"/>
          <w:rFonts w:ascii="Arial" w:hAnsi="Arial" w:cs="Arial"/>
          <w:color w:val="auto"/>
        </w:rPr>
      </w:pPr>
      <w:hyperlink w:anchor="_Progress_against_priorities" w:history="1">
        <w:r w:rsidR="001058D6" w:rsidRPr="00023FA1">
          <w:rPr>
            <w:rStyle w:val="Hyperlink"/>
            <w:rFonts w:ascii="Arial" w:hAnsi="Arial" w:cs="Arial"/>
          </w:rPr>
          <w:t>Progress against priorities for 2012–13</w:t>
        </w:r>
      </w:hyperlink>
    </w:p>
    <w:p w:rsidR="001058D6" w:rsidRPr="00287BF0" w:rsidRDefault="00023FA1" w:rsidP="001058D6">
      <w:pPr>
        <w:pStyle w:val="Contentsbody"/>
        <w:tabs>
          <w:tab w:val="clear" w:pos="7257"/>
          <w:tab w:val="left" w:pos="340"/>
          <w:tab w:val="right" w:pos="9214"/>
        </w:tabs>
        <w:rPr>
          <w:rFonts w:ascii="Arial" w:hAnsi="Arial" w:cs="Arial"/>
          <w:color w:val="auto"/>
        </w:rPr>
      </w:pPr>
      <w:r w:rsidRPr="00287BF0">
        <w:rPr>
          <w:rStyle w:val="Textitalic"/>
          <w:rFonts w:ascii="Arial" w:hAnsi="Arial" w:cs="Arial"/>
          <w:iCs/>
          <w:color w:val="auto"/>
        </w:rPr>
        <w:tab/>
      </w:r>
      <w:r w:rsidR="001058D6" w:rsidRPr="00023FA1">
        <w:rPr>
          <w:rStyle w:val="Textitalic"/>
          <w:iCs/>
        </w:rPr>
        <w:t>2012–13 Portfolio Budget Statement key performance indicators</w:t>
      </w:r>
    </w:p>
    <w:p w:rsidR="001058D6" w:rsidRPr="00287BF0" w:rsidRDefault="00023FA1" w:rsidP="001058D6">
      <w:pPr>
        <w:pStyle w:val="Contentsbody"/>
        <w:tabs>
          <w:tab w:val="clear" w:pos="7257"/>
          <w:tab w:val="left" w:pos="340"/>
          <w:tab w:val="right" w:pos="9214"/>
        </w:tabs>
        <w:rPr>
          <w:rFonts w:ascii="Arial" w:hAnsi="Arial" w:cs="Arial"/>
          <w:color w:val="auto"/>
        </w:rPr>
      </w:pPr>
      <w:r w:rsidRPr="00287BF0">
        <w:rPr>
          <w:rStyle w:val="Textitalic"/>
          <w:rFonts w:ascii="Arial" w:hAnsi="Arial" w:cs="Arial"/>
          <w:iCs/>
          <w:color w:val="auto"/>
        </w:rPr>
        <w:tab/>
      </w:r>
      <w:r w:rsidR="001058D6" w:rsidRPr="00023FA1">
        <w:rPr>
          <w:rStyle w:val="Textitalic"/>
          <w:iCs/>
        </w:rPr>
        <w:t>Priorities for 2012–13</w:t>
      </w:r>
    </w:p>
    <w:p w:rsidR="001058D6" w:rsidRPr="00287BF0" w:rsidRDefault="00CF316A" w:rsidP="001058D6">
      <w:pPr>
        <w:pStyle w:val="Contentsbody"/>
        <w:tabs>
          <w:tab w:val="clear" w:pos="7257"/>
          <w:tab w:val="left" w:pos="340"/>
          <w:tab w:val="right" w:pos="9214"/>
        </w:tabs>
        <w:rPr>
          <w:rFonts w:ascii="Arial" w:hAnsi="Arial" w:cs="Arial"/>
          <w:color w:val="auto"/>
        </w:rPr>
      </w:pPr>
      <w:hyperlink w:anchor="_Management_of_Commonwealth" w:history="1">
        <w:r w:rsidR="001058D6" w:rsidRPr="00023FA1">
          <w:rPr>
            <w:rStyle w:val="Hyperlink"/>
            <w:rFonts w:ascii="Arial" w:hAnsi="Arial" w:cs="Arial"/>
          </w:rPr>
          <w:t>Management of Commonwealth environmental water in 2012–13</w:t>
        </w:r>
      </w:hyperlink>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Commonwealth environmental water made available for use</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Catchment summaries</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Carryover of Commonwealth environmental water in 2012–13</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Trade of Commonwealth environmental water</w:t>
      </w:r>
    </w:p>
    <w:p w:rsidR="001058D6" w:rsidRPr="00287BF0" w:rsidRDefault="00CF316A" w:rsidP="001058D6">
      <w:pPr>
        <w:pStyle w:val="Contentsbody"/>
        <w:tabs>
          <w:tab w:val="clear" w:pos="7257"/>
          <w:tab w:val="left" w:pos="340"/>
          <w:tab w:val="right" w:pos="9214"/>
        </w:tabs>
        <w:rPr>
          <w:rFonts w:ascii="Arial" w:hAnsi="Arial" w:cs="Arial"/>
          <w:color w:val="auto"/>
        </w:rPr>
      </w:pPr>
      <w:hyperlink w:anchor="_Administration_of_Commonwealth" w:history="1">
        <w:r w:rsidR="001058D6" w:rsidRPr="00023FA1">
          <w:rPr>
            <w:rStyle w:val="Hyperlink"/>
            <w:rFonts w:ascii="Arial" w:hAnsi="Arial" w:cs="Arial"/>
          </w:rPr>
          <w:t>Administration of Commonwealth environmental water</w:t>
        </w:r>
      </w:hyperlink>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Directions given to the Commonwealth Environmental Water Holder</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Australian National Audit Office report</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Management of the portfolio of Commonwealth environmental water</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Risk management for Commonwealth environmental water</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Environmental water shepherding</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Providing information</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Working with and obtaining advice from others</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Business and information systems</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Monitoring and evaluating the use of Commonwealth environmental water</w:t>
      </w:r>
    </w:p>
    <w:p w:rsidR="001058D6" w:rsidRPr="00287BF0" w:rsidRDefault="001058D6" w:rsidP="001058D6">
      <w:pPr>
        <w:pStyle w:val="Contentsbody"/>
        <w:tabs>
          <w:tab w:val="clear" w:pos="7257"/>
          <w:tab w:val="left" w:pos="340"/>
          <w:tab w:val="right" w:pos="9214"/>
        </w:tabs>
        <w:rPr>
          <w:rStyle w:val="Textitalic"/>
          <w:rFonts w:ascii="Arial" w:hAnsi="Arial" w:cs="Arial"/>
          <w:iCs/>
          <w:color w:val="auto"/>
        </w:rPr>
      </w:pPr>
      <w:r w:rsidRPr="00287BF0">
        <w:rPr>
          <w:rStyle w:val="Textitalic"/>
          <w:rFonts w:ascii="Arial" w:hAnsi="Arial" w:cs="Arial"/>
          <w:iCs/>
          <w:color w:val="auto"/>
        </w:rPr>
        <w:tab/>
        <w:t>Environmental water holdings special account 2012–13</w:t>
      </w:r>
    </w:p>
    <w:p w:rsidR="001058D6" w:rsidRPr="00287BF0" w:rsidRDefault="00CF316A" w:rsidP="001058D6">
      <w:pPr>
        <w:pStyle w:val="Contentsbody"/>
        <w:tabs>
          <w:tab w:val="clear" w:pos="7257"/>
          <w:tab w:val="right" w:pos="9214"/>
        </w:tabs>
        <w:rPr>
          <w:rFonts w:ascii="Arial" w:hAnsi="Arial" w:cs="Arial"/>
          <w:color w:val="auto"/>
        </w:rPr>
      </w:pPr>
      <w:hyperlink w:anchor="_Appendix_A—Commonwealth_Environment" w:history="1">
        <w:r w:rsidR="001058D6" w:rsidRPr="00023FA1">
          <w:rPr>
            <w:rStyle w:val="Hyperlink"/>
            <w:rFonts w:ascii="Arial" w:hAnsi="Arial" w:cs="Arial"/>
          </w:rPr>
          <w:t>Appendix A—Commonwealth Environmental Water Office holdings in the Murray–Darling Basin</w:t>
        </w:r>
      </w:hyperlink>
    </w:p>
    <w:p w:rsidR="001058D6" w:rsidRPr="00287BF0" w:rsidRDefault="00CF316A" w:rsidP="001058D6">
      <w:pPr>
        <w:pStyle w:val="Contentsbody"/>
        <w:tabs>
          <w:tab w:val="clear" w:pos="7257"/>
          <w:tab w:val="left" w:pos="340"/>
          <w:tab w:val="right" w:pos="9214"/>
        </w:tabs>
        <w:rPr>
          <w:rFonts w:ascii="Arial" w:hAnsi="Arial" w:cs="Arial"/>
          <w:color w:val="auto"/>
        </w:rPr>
      </w:pPr>
      <w:hyperlink w:anchor="_Appendix_B—Commonwealth_environment" w:history="1">
        <w:r w:rsidR="001058D6" w:rsidRPr="00023FA1">
          <w:rPr>
            <w:rStyle w:val="Hyperlink"/>
            <w:rFonts w:ascii="Arial" w:hAnsi="Arial" w:cs="Arial"/>
          </w:rPr>
          <w:t>Appendix B—Commonwealth environmental water delivered in the Murray–Darling Basin in 2012–13</w:t>
        </w:r>
      </w:hyperlink>
    </w:p>
    <w:p w:rsidR="001058D6" w:rsidRPr="00287BF0" w:rsidRDefault="00CF316A" w:rsidP="001058D6">
      <w:pPr>
        <w:pStyle w:val="Contentsbody"/>
        <w:tabs>
          <w:tab w:val="clear" w:pos="7257"/>
          <w:tab w:val="left" w:pos="340"/>
          <w:tab w:val="right" w:pos="9214"/>
        </w:tabs>
        <w:rPr>
          <w:rFonts w:ascii="Arial" w:hAnsi="Arial" w:cs="Arial"/>
          <w:color w:val="auto"/>
        </w:rPr>
      </w:pPr>
      <w:hyperlink w:anchor="_Appendix_C—Basin_catchment" w:history="1">
        <w:r w:rsidR="001058D6" w:rsidRPr="00023FA1">
          <w:rPr>
            <w:rStyle w:val="Hyperlink"/>
            <w:rFonts w:ascii="Arial" w:hAnsi="Arial" w:cs="Arial"/>
          </w:rPr>
          <w:t>Appendix C—Basin catchment summaries of Commonwealth environmental water use in 2012–13</w:t>
        </w:r>
      </w:hyperlink>
    </w:p>
    <w:p w:rsidR="001058D6" w:rsidRPr="00287BF0" w:rsidRDefault="00CF316A" w:rsidP="001058D6">
      <w:pPr>
        <w:pStyle w:val="Contentsbody"/>
        <w:tabs>
          <w:tab w:val="clear" w:pos="7257"/>
          <w:tab w:val="left" w:pos="340"/>
          <w:tab w:val="right" w:pos="9214"/>
        </w:tabs>
        <w:rPr>
          <w:rFonts w:ascii="Arial" w:hAnsi="Arial" w:cs="Arial"/>
          <w:color w:val="auto"/>
        </w:rPr>
      </w:pPr>
      <w:hyperlink w:anchor="_Appendix_D—Commonwealth_environment" w:history="1">
        <w:r w:rsidR="001058D6" w:rsidRPr="00023FA1">
          <w:rPr>
            <w:rStyle w:val="Hyperlink"/>
            <w:rFonts w:ascii="Arial" w:hAnsi="Arial" w:cs="Arial"/>
          </w:rPr>
          <w:t>Appendix D—Commonwealth environmental water carryover into 2013–14</w:t>
        </w:r>
      </w:hyperlink>
    </w:p>
    <w:p w:rsidR="001058D6" w:rsidRPr="00287BF0" w:rsidRDefault="001058D6" w:rsidP="001058D6">
      <w:pPr>
        <w:pStyle w:val="body"/>
        <w:rPr>
          <w:rFonts w:ascii="Arial" w:hAnsi="Arial" w:cs="Arial"/>
          <w:color w:val="auto"/>
        </w:rPr>
      </w:pPr>
    </w:p>
    <w:p w:rsidR="001058D6" w:rsidRPr="00287BF0" w:rsidRDefault="00DD58E5" w:rsidP="00DD58E5">
      <w:pPr>
        <w:pStyle w:val="body"/>
        <w:ind w:left="1440" w:hanging="1440"/>
        <w:rPr>
          <w:rFonts w:ascii="Arial" w:hAnsi="Arial" w:cs="Arial"/>
          <w:color w:val="auto"/>
        </w:rPr>
      </w:pPr>
      <w:r>
        <w:rPr>
          <w:rFonts w:ascii="Arial" w:hAnsi="Arial" w:cs="Arial"/>
          <w:color w:val="auto"/>
        </w:rPr>
        <w:t>Cover image:</w:t>
      </w:r>
      <w:r>
        <w:rPr>
          <w:rFonts w:ascii="Arial" w:hAnsi="Arial" w:cs="Arial"/>
          <w:color w:val="auto"/>
        </w:rPr>
        <w:tab/>
      </w:r>
      <w:proofErr w:type="spellStart"/>
      <w:r w:rsidRPr="00DD58E5">
        <w:rPr>
          <w:rFonts w:ascii="Arial" w:hAnsi="Arial" w:cs="Arial"/>
          <w:color w:val="auto"/>
        </w:rPr>
        <w:t>Wilgara</w:t>
      </w:r>
      <w:proofErr w:type="spellEnd"/>
      <w:r w:rsidR="00D06805">
        <w:rPr>
          <w:rFonts w:ascii="Arial" w:hAnsi="Arial" w:cs="Arial"/>
          <w:color w:val="auto"/>
        </w:rPr>
        <w:t xml:space="preserve"> </w:t>
      </w:r>
      <w:proofErr w:type="spellStart"/>
      <w:r w:rsidR="00D06805">
        <w:rPr>
          <w:rFonts w:ascii="Arial" w:hAnsi="Arial" w:cs="Arial"/>
          <w:color w:val="auto"/>
        </w:rPr>
        <w:t>Ramsar</w:t>
      </w:r>
      <w:proofErr w:type="spellEnd"/>
      <w:r w:rsidR="00D06805">
        <w:rPr>
          <w:rFonts w:ascii="Arial" w:hAnsi="Arial" w:cs="Arial"/>
          <w:color w:val="auto"/>
        </w:rPr>
        <w:t xml:space="preserve"> Wetlands</w:t>
      </w:r>
      <w:r w:rsidRPr="00DD58E5">
        <w:rPr>
          <w:rFonts w:ascii="Arial" w:hAnsi="Arial" w:cs="Arial"/>
          <w:color w:val="auto"/>
        </w:rPr>
        <w:t xml:space="preserve"> </w:t>
      </w:r>
      <w:r>
        <w:rPr>
          <w:rFonts w:ascii="Arial" w:hAnsi="Arial" w:cs="Arial"/>
          <w:color w:val="auto"/>
        </w:rPr>
        <w:t xml:space="preserve">within the Macquarie Marshes, New South Wales. </w:t>
      </w:r>
      <w:r w:rsidR="002E395F">
        <w:rPr>
          <w:rFonts w:ascii="Arial" w:hAnsi="Arial" w:cs="Arial"/>
          <w:color w:val="auto"/>
        </w:rPr>
        <w:br/>
      </w:r>
      <w:proofErr w:type="gramStart"/>
      <w:r>
        <w:rPr>
          <w:rFonts w:ascii="Arial" w:hAnsi="Arial" w:cs="Arial"/>
          <w:color w:val="auto"/>
        </w:rPr>
        <w:t xml:space="preserve">Image by </w:t>
      </w:r>
      <w:r w:rsidRPr="00DD58E5">
        <w:rPr>
          <w:rFonts w:ascii="Arial" w:hAnsi="Arial" w:cs="Arial"/>
          <w:color w:val="auto"/>
        </w:rPr>
        <w:t>Daniel Rothenfluh</w:t>
      </w:r>
      <w:r w:rsidR="00D06805">
        <w:rPr>
          <w:rFonts w:ascii="Arial" w:hAnsi="Arial" w:cs="Arial"/>
          <w:color w:val="auto"/>
        </w:rPr>
        <w:t>,</w:t>
      </w:r>
      <w:r w:rsidRPr="00DD58E5">
        <w:rPr>
          <w:rFonts w:ascii="Arial" w:hAnsi="Arial" w:cs="Arial"/>
          <w:color w:val="auto"/>
        </w:rPr>
        <w:t xml:space="preserve"> C</w:t>
      </w:r>
      <w:r>
        <w:rPr>
          <w:rFonts w:ascii="Arial" w:hAnsi="Arial" w:cs="Arial"/>
          <w:color w:val="auto"/>
        </w:rPr>
        <w:t xml:space="preserve">ommonwealth </w:t>
      </w:r>
      <w:r w:rsidRPr="00DD58E5">
        <w:rPr>
          <w:rFonts w:ascii="Arial" w:hAnsi="Arial" w:cs="Arial"/>
          <w:color w:val="auto"/>
        </w:rPr>
        <w:t>E</w:t>
      </w:r>
      <w:r>
        <w:rPr>
          <w:rFonts w:ascii="Arial" w:hAnsi="Arial" w:cs="Arial"/>
          <w:color w:val="auto"/>
        </w:rPr>
        <w:t xml:space="preserve">nvironmental </w:t>
      </w:r>
      <w:r w:rsidRPr="00DD58E5">
        <w:rPr>
          <w:rFonts w:ascii="Arial" w:hAnsi="Arial" w:cs="Arial"/>
          <w:color w:val="auto"/>
        </w:rPr>
        <w:t>W</w:t>
      </w:r>
      <w:r>
        <w:rPr>
          <w:rFonts w:ascii="Arial" w:hAnsi="Arial" w:cs="Arial"/>
          <w:color w:val="auto"/>
        </w:rPr>
        <w:t xml:space="preserve">ater </w:t>
      </w:r>
      <w:r w:rsidRPr="00DD58E5">
        <w:rPr>
          <w:rFonts w:ascii="Arial" w:hAnsi="Arial" w:cs="Arial"/>
          <w:color w:val="auto"/>
        </w:rPr>
        <w:t>O</w:t>
      </w:r>
      <w:r>
        <w:rPr>
          <w:rFonts w:ascii="Arial" w:hAnsi="Arial" w:cs="Arial"/>
          <w:color w:val="auto"/>
        </w:rPr>
        <w:t>ffice</w:t>
      </w:r>
      <w:r w:rsidR="00D06805">
        <w:rPr>
          <w:rFonts w:ascii="Arial" w:hAnsi="Arial" w:cs="Arial"/>
          <w:color w:val="auto"/>
        </w:rPr>
        <w:t>.</w:t>
      </w:r>
      <w:proofErr w:type="gramEnd"/>
    </w:p>
    <w:p w:rsidR="00FF08D0" w:rsidRDefault="00FF08D0" w:rsidP="001058D6">
      <w:pPr>
        <w:suppressAutoHyphens/>
        <w:rPr>
          <w:rStyle w:val="TextBold"/>
          <w:rFonts w:ascii="Arial" w:hAnsi="Arial" w:cs="Arial"/>
          <w:b w:val="0"/>
        </w:rPr>
      </w:pPr>
    </w:p>
    <w:p w:rsidR="00FF08D0" w:rsidRDefault="00FF08D0" w:rsidP="001058D6">
      <w:pPr>
        <w:suppressAutoHyphens/>
        <w:rPr>
          <w:rStyle w:val="TextBold"/>
          <w:rFonts w:ascii="Arial" w:hAnsi="Arial" w:cs="Arial"/>
          <w:b w:val="0"/>
        </w:rPr>
      </w:pPr>
    </w:p>
    <w:p w:rsidR="00FF08D0" w:rsidRDefault="00FF08D0" w:rsidP="001058D6">
      <w:pPr>
        <w:suppressAutoHyphens/>
        <w:rPr>
          <w:rStyle w:val="TextBold"/>
          <w:rFonts w:ascii="Arial" w:hAnsi="Arial" w:cs="Arial"/>
          <w:b w:val="0"/>
        </w:rPr>
        <w:sectPr w:rsidR="00FF08D0" w:rsidSect="00FF08D0">
          <w:headerReference w:type="default" r:id="rId9"/>
          <w:footerReference w:type="default" r:id="rId10"/>
          <w:pgSz w:w="11906" w:h="16838" w:code="9"/>
          <w:pgMar w:top="1134" w:right="1134" w:bottom="1134" w:left="1134" w:header="958" w:footer="737" w:gutter="0"/>
          <w:pgNumType w:start="113"/>
          <w:cols w:space="708"/>
          <w:docGrid w:linePitch="360"/>
        </w:sectPr>
      </w:pPr>
    </w:p>
    <w:p w:rsidR="001058D6" w:rsidRPr="00287BF0" w:rsidRDefault="001058D6" w:rsidP="001058D6">
      <w:pPr>
        <w:pStyle w:val="Heading3"/>
        <w:rPr>
          <w:rStyle w:val="TextBold"/>
          <w:b/>
        </w:rPr>
      </w:pPr>
      <w:bookmarkStart w:id="0" w:name="_Summary"/>
      <w:bookmarkEnd w:id="0"/>
      <w:r w:rsidRPr="00287BF0">
        <w:rPr>
          <w:rStyle w:val="TextBold"/>
          <w:b/>
        </w:rPr>
        <w:lastRenderedPageBreak/>
        <w:t>Summary</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Commonwealth Environmental Water Holder (CEWH) is a statutory position established by the </w:t>
      </w:r>
      <w:r w:rsidRPr="00287BF0">
        <w:rPr>
          <w:rStyle w:val="Textitalic"/>
          <w:rFonts w:ascii="Arial" w:hAnsi="Arial" w:cs="Arial"/>
          <w:iCs/>
          <w:color w:val="auto"/>
        </w:rPr>
        <w:t>Water Act 2007</w:t>
      </w:r>
      <w:r w:rsidRPr="00287BF0">
        <w:rPr>
          <w:rFonts w:ascii="Arial" w:hAnsi="Arial" w:cs="Arial"/>
          <w:color w:val="auto"/>
        </w:rPr>
        <w:t xml:space="preserve"> to manage the Commonwealth environmental water holdings. Commonwealth environmental water is made available to protect and restore rivers, wetlands and other environmental assets in the Murray–Darling Basin (the Basin). The CEWH leads and is supported by the Commonwealth Environmental Water Office (the office). Mr David Parker, Deputy Secretary, held the position of CEWH from May 2012 until I started in the role in December 2012. </w:t>
      </w:r>
    </w:p>
    <w:p w:rsidR="001058D6" w:rsidRPr="00287BF0" w:rsidRDefault="001058D6" w:rsidP="001058D6">
      <w:pPr>
        <w:pStyle w:val="body"/>
        <w:rPr>
          <w:rFonts w:ascii="Arial" w:hAnsi="Arial" w:cs="Arial"/>
          <w:color w:val="auto"/>
        </w:rPr>
      </w:pPr>
      <w:r w:rsidRPr="00287BF0">
        <w:rPr>
          <w:rFonts w:ascii="Arial" w:hAnsi="Arial" w:cs="Arial"/>
          <w:color w:val="auto"/>
        </w:rPr>
        <w:t>On 22 November 2012 the Murray–Darling Basin Plan (the Basin Plan) was signed into law. The CEWH must perform its functions and exercise its powers consistent with and in a manner that gives effect to the Basin Plan, and must manage the water holdings in accordance with the Basin Plan’s environmental watering plan. The office successfully commenced the transition to meet the requirements of the Basin Plan during 2012–13.</w:t>
      </w:r>
    </w:p>
    <w:p w:rsidR="001058D6" w:rsidRPr="00287BF0" w:rsidRDefault="001058D6" w:rsidP="001058D6">
      <w:pPr>
        <w:pStyle w:val="body"/>
        <w:rPr>
          <w:rFonts w:ascii="Arial" w:hAnsi="Arial" w:cs="Arial"/>
          <w:color w:val="auto"/>
        </w:rPr>
      </w:pPr>
      <w:r w:rsidRPr="00287BF0">
        <w:rPr>
          <w:rFonts w:ascii="Arial" w:hAnsi="Arial" w:cs="Arial"/>
          <w:color w:val="auto"/>
        </w:rPr>
        <w:t>The 2012–13 year saw a return to drier conditions across most of the Basin</w:t>
      </w:r>
      <w:r w:rsidRPr="00287BF0">
        <w:rPr>
          <w:rFonts w:ascii="Arial" w:hAnsi="Arial" w:cs="Arial"/>
          <w:color w:val="auto"/>
          <w:vertAlign w:val="superscript"/>
        </w:rPr>
        <w:footnoteReference w:id="1"/>
      </w:r>
      <w:r w:rsidRPr="00287BF0">
        <w:rPr>
          <w:rFonts w:ascii="Arial" w:hAnsi="Arial" w:cs="Arial"/>
          <w:color w:val="auto"/>
        </w:rPr>
        <w:t xml:space="preserve">. Commonwealth environmental watering in 2012–13 continued to build on the ecological recovery of </w:t>
      </w:r>
      <w:proofErr w:type="spellStart"/>
      <w:r w:rsidRPr="00287BF0">
        <w:rPr>
          <w:rFonts w:ascii="Arial" w:hAnsi="Arial" w:cs="Arial"/>
          <w:color w:val="auto"/>
        </w:rPr>
        <w:t>riverine</w:t>
      </w:r>
      <w:proofErr w:type="spellEnd"/>
      <w:r w:rsidRPr="00287BF0">
        <w:rPr>
          <w:rFonts w:ascii="Arial" w:hAnsi="Arial" w:cs="Arial"/>
          <w:color w:val="auto"/>
        </w:rPr>
        <w:t xml:space="preserve"> and wetland communities following the wetter conditions experienced in Basin catchments from 2010 to early 2012. </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Since 2009, 2505 </w:t>
      </w:r>
      <w:proofErr w:type="spellStart"/>
      <w:r w:rsidRPr="00287BF0">
        <w:rPr>
          <w:rFonts w:ascii="Arial" w:hAnsi="Arial" w:cs="Arial"/>
          <w:color w:val="auto"/>
        </w:rPr>
        <w:t>gigalitres</w:t>
      </w:r>
      <w:proofErr w:type="spellEnd"/>
      <w:r w:rsidRPr="00287BF0">
        <w:rPr>
          <w:rFonts w:ascii="Arial" w:hAnsi="Arial" w:cs="Arial"/>
          <w:color w:val="auto"/>
        </w:rPr>
        <w:t xml:space="preserve"> of Commonwealth environmental water has been delivered for the environment across the Basin. During 2012–13:</w:t>
      </w:r>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 xml:space="preserve">the total volume of Commonwealth environmental water in Commonwealth accounts was 1676 </w:t>
      </w:r>
      <w:proofErr w:type="spellStart"/>
      <w:r w:rsidRPr="00287BF0">
        <w:rPr>
          <w:rFonts w:ascii="Arial" w:hAnsi="Arial" w:cs="Arial"/>
          <w:color w:val="auto"/>
        </w:rPr>
        <w:t>gigalitres</w:t>
      </w:r>
      <w:proofErr w:type="spellEnd"/>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 xml:space="preserve">a total of 1272 </w:t>
      </w:r>
      <w:proofErr w:type="spellStart"/>
      <w:r w:rsidRPr="00287BF0">
        <w:rPr>
          <w:rFonts w:ascii="Arial" w:hAnsi="Arial" w:cs="Arial"/>
          <w:color w:val="auto"/>
        </w:rPr>
        <w:t>gigalitres</w:t>
      </w:r>
      <w:proofErr w:type="spellEnd"/>
      <w:r w:rsidRPr="00287BF0">
        <w:rPr>
          <w:rFonts w:ascii="Arial" w:hAnsi="Arial" w:cs="Arial"/>
          <w:color w:val="auto"/>
        </w:rPr>
        <w:t xml:space="preserve"> was delivered</w:t>
      </w:r>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 xml:space="preserve">after evaporative deductions, a total of 393 </w:t>
      </w:r>
      <w:proofErr w:type="spellStart"/>
      <w:r w:rsidRPr="00287BF0">
        <w:rPr>
          <w:rFonts w:ascii="Arial" w:hAnsi="Arial" w:cs="Arial"/>
          <w:color w:val="auto"/>
        </w:rPr>
        <w:t>gigalitres</w:t>
      </w:r>
      <w:proofErr w:type="spellEnd"/>
      <w:r w:rsidRPr="00287BF0">
        <w:rPr>
          <w:rFonts w:ascii="Arial" w:hAnsi="Arial" w:cs="Arial"/>
          <w:color w:val="auto"/>
        </w:rPr>
        <w:t xml:space="preserve"> of water (23 per cent of the total volume available in Commonwealth accounts) was carried over into 2013–14</w:t>
      </w:r>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Commonwealth environmental water contributed to 34 actions across a total of 15 catchments in the Basin</w:t>
      </w:r>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 xml:space="preserve">240 </w:t>
      </w:r>
      <w:proofErr w:type="spellStart"/>
      <w:r w:rsidRPr="00287BF0">
        <w:rPr>
          <w:rFonts w:ascii="Arial" w:hAnsi="Arial" w:cs="Arial"/>
          <w:color w:val="auto"/>
        </w:rPr>
        <w:t>gigalitres</w:t>
      </w:r>
      <w:proofErr w:type="spellEnd"/>
      <w:r w:rsidRPr="00287BF0">
        <w:rPr>
          <w:rFonts w:ascii="Arial" w:hAnsi="Arial" w:cs="Arial"/>
          <w:color w:val="auto"/>
        </w:rPr>
        <w:t xml:space="preserve"> of return flows from catchments of the Southern Connected Basin were used to achieve multi-site environmental outcomes</w:t>
      </w:r>
    </w:p>
    <w:p w:rsidR="001058D6" w:rsidRPr="00287BF0" w:rsidRDefault="001058D6" w:rsidP="00DB36E9">
      <w:pPr>
        <w:pStyle w:val="bullets"/>
        <w:numPr>
          <w:ilvl w:val="0"/>
          <w:numId w:val="8"/>
        </w:numPr>
        <w:rPr>
          <w:rFonts w:ascii="Arial" w:hAnsi="Arial" w:cs="Arial"/>
          <w:color w:val="auto"/>
        </w:rPr>
      </w:pPr>
      <w:r w:rsidRPr="00287BF0">
        <w:rPr>
          <w:rFonts w:ascii="Arial" w:hAnsi="Arial" w:cs="Arial"/>
          <w:color w:val="auto"/>
        </w:rPr>
        <w:t>watering contributed to achieving significant environmental outcomes in the Basin, including:</w:t>
      </w:r>
    </w:p>
    <w:p w:rsidR="001058D6" w:rsidRPr="00287BF0" w:rsidRDefault="001058D6" w:rsidP="00DB36E9">
      <w:pPr>
        <w:pStyle w:val="secondbulets"/>
        <w:numPr>
          <w:ilvl w:val="1"/>
          <w:numId w:val="8"/>
        </w:numPr>
        <w:rPr>
          <w:rFonts w:ascii="Arial" w:hAnsi="Arial" w:cs="Arial"/>
          <w:color w:val="auto"/>
        </w:rPr>
      </w:pPr>
      <w:r w:rsidRPr="00287BF0">
        <w:rPr>
          <w:rFonts w:ascii="Arial" w:hAnsi="Arial" w:cs="Arial"/>
          <w:color w:val="auto"/>
        </w:rPr>
        <w:t>provided river flows that supported good water quality for the environment and water users</w:t>
      </w:r>
    </w:p>
    <w:p w:rsidR="001058D6" w:rsidRPr="00287BF0" w:rsidRDefault="001058D6" w:rsidP="00DB36E9">
      <w:pPr>
        <w:pStyle w:val="secondbulets"/>
        <w:numPr>
          <w:ilvl w:val="1"/>
          <w:numId w:val="8"/>
        </w:numPr>
        <w:rPr>
          <w:rFonts w:ascii="Arial" w:hAnsi="Arial" w:cs="Arial"/>
          <w:color w:val="auto"/>
        </w:rPr>
      </w:pPr>
      <w:r w:rsidRPr="00287BF0">
        <w:rPr>
          <w:rFonts w:ascii="Arial" w:hAnsi="Arial" w:cs="Arial"/>
          <w:color w:val="auto"/>
        </w:rPr>
        <w:t>connected rivers to floodplains, which helped maintain food chains and supported fish movement</w:t>
      </w:r>
    </w:p>
    <w:p w:rsidR="001058D6" w:rsidRPr="00287BF0" w:rsidRDefault="001058D6" w:rsidP="00DB36E9">
      <w:pPr>
        <w:pStyle w:val="secondbulets"/>
        <w:numPr>
          <w:ilvl w:val="1"/>
          <w:numId w:val="8"/>
        </w:numPr>
        <w:rPr>
          <w:rFonts w:ascii="Arial" w:hAnsi="Arial" w:cs="Arial"/>
          <w:color w:val="auto"/>
        </w:rPr>
      </w:pPr>
      <w:r w:rsidRPr="00287BF0">
        <w:rPr>
          <w:rFonts w:ascii="Arial" w:hAnsi="Arial" w:cs="Arial"/>
          <w:color w:val="auto"/>
        </w:rPr>
        <w:t>filled wetlands that supported native fish, birds and other native animals</w:t>
      </w:r>
    </w:p>
    <w:p w:rsidR="001058D6" w:rsidRPr="00287BF0" w:rsidRDefault="001058D6" w:rsidP="00DB36E9">
      <w:pPr>
        <w:pStyle w:val="secondbulets"/>
        <w:numPr>
          <w:ilvl w:val="1"/>
          <w:numId w:val="8"/>
        </w:numPr>
        <w:spacing w:after="113"/>
        <w:rPr>
          <w:rFonts w:ascii="Arial" w:hAnsi="Arial" w:cs="Arial"/>
          <w:color w:val="auto"/>
        </w:rPr>
      </w:pPr>
      <w:proofErr w:type="gramStart"/>
      <w:r w:rsidRPr="00287BF0">
        <w:rPr>
          <w:rFonts w:ascii="Arial" w:hAnsi="Arial" w:cs="Arial"/>
          <w:color w:val="auto"/>
        </w:rPr>
        <w:t>supported</w:t>
      </w:r>
      <w:proofErr w:type="gramEnd"/>
      <w:r w:rsidRPr="00287BF0">
        <w:rPr>
          <w:rFonts w:ascii="Arial" w:hAnsi="Arial" w:cs="Arial"/>
          <w:color w:val="auto"/>
        </w:rPr>
        <w:t xml:space="preserve"> the recovery of the environment following the drought, as well as helped build resilience in preparation for the next drought.</w:t>
      </w:r>
    </w:p>
    <w:p w:rsidR="001058D6" w:rsidRPr="00287BF0" w:rsidRDefault="001058D6" w:rsidP="001058D6">
      <w:pPr>
        <w:pStyle w:val="body"/>
        <w:rPr>
          <w:rFonts w:ascii="Arial" w:hAnsi="Arial" w:cs="Arial"/>
          <w:color w:val="auto"/>
        </w:rPr>
      </w:pPr>
      <w:r w:rsidRPr="00287BF0">
        <w:rPr>
          <w:rFonts w:ascii="Arial" w:hAnsi="Arial" w:cs="Arial"/>
          <w:color w:val="auto"/>
        </w:rPr>
        <w:t>In 2012–13 a number of activities important to the successful implementation of Commonwealth environmental watering were completed or progressed:</w:t>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t>the first partnership agreement for the use of Commonwealth environmental water by a non-government organisation (Nature Foundation South Australia) was entered into, and watering was undertaken</w:t>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t>the Australian National Audit Office (ANAO) assessed the effectiveness of the office’s administration of environmental water holdings and found the office’s strategies for managing environmental water are generally sound</w:t>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t>water use planning documents for the ten regions of the Basin for both the 2012–13 and 2013–14 water years were developed in collaboration with the Murray–Darling Basin Authority (MDBA), state agencies and local communities and were publically released</w:t>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t>the Commonwealth Environmental Water Office 2011–12 outcomes report was released</w:t>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t>the office continued to actively participate in state and local environmental water planning and management committees across the Basin</w:t>
      </w:r>
    </w:p>
    <w:p w:rsidR="00AE7B86" w:rsidRDefault="001058D6" w:rsidP="00DB36E9">
      <w:pPr>
        <w:pStyle w:val="bullets"/>
        <w:numPr>
          <w:ilvl w:val="0"/>
          <w:numId w:val="9"/>
        </w:numPr>
        <w:rPr>
          <w:rFonts w:ascii="Arial" w:hAnsi="Arial" w:cs="Arial"/>
          <w:color w:val="auto"/>
        </w:rPr>
      </w:pPr>
      <w:r w:rsidRPr="00287BF0">
        <w:rPr>
          <w:rFonts w:ascii="Arial" w:hAnsi="Arial" w:cs="Arial"/>
          <w:color w:val="auto"/>
        </w:rPr>
        <w:t>the framework for determining Commonwealth environmental water use was updated to align with the Basin Plan</w:t>
      </w:r>
    </w:p>
    <w:p w:rsidR="00AE7B86" w:rsidRDefault="00AE7B86" w:rsidP="00AE7B86">
      <w:pPr>
        <w:pStyle w:val="NoParagraphStyle"/>
        <w:rPr>
          <w:spacing w:val="-2"/>
        </w:rPr>
      </w:pPr>
      <w:r>
        <w:br w:type="page"/>
      </w:r>
    </w:p>
    <w:p w:rsidR="001058D6" w:rsidRPr="00287BF0" w:rsidRDefault="001058D6" w:rsidP="00DB36E9">
      <w:pPr>
        <w:pStyle w:val="bullets"/>
        <w:numPr>
          <w:ilvl w:val="0"/>
          <w:numId w:val="9"/>
        </w:numPr>
        <w:rPr>
          <w:rFonts w:ascii="Arial" w:hAnsi="Arial" w:cs="Arial"/>
          <w:color w:val="auto"/>
        </w:rPr>
      </w:pPr>
      <w:r w:rsidRPr="00287BF0">
        <w:rPr>
          <w:rFonts w:ascii="Arial" w:hAnsi="Arial" w:cs="Arial"/>
          <w:color w:val="auto"/>
        </w:rPr>
        <w:lastRenderedPageBreak/>
        <w:t>hosting arrangements for placing six Commonwealth environmental water local engagement officers were determined, with recruitment expected to occur in 2013–14</w:t>
      </w:r>
    </w:p>
    <w:p w:rsidR="001058D6" w:rsidRPr="00287BF0" w:rsidRDefault="001058D6" w:rsidP="00DB36E9">
      <w:pPr>
        <w:pStyle w:val="lastbullet"/>
        <w:numPr>
          <w:ilvl w:val="0"/>
          <w:numId w:val="9"/>
        </w:numPr>
        <w:rPr>
          <w:rFonts w:ascii="Arial" w:hAnsi="Arial" w:cs="Arial"/>
          <w:color w:val="auto"/>
        </w:rPr>
      </w:pPr>
      <w:proofErr w:type="gramStart"/>
      <w:r w:rsidRPr="00287BF0">
        <w:rPr>
          <w:rFonts w:ascii="Arial" w:hAnsi="Arial" w:cs="Arial"/>
          <w:color w:val="auto"/>
        </w:rPr>
        <w:t>the</w:t>
      </w:r>
      <w:proofErr w:type="gramEnd"/>
      <w:r w:rsidRPr="00287BF0">
        <w:rPr>
          <w:rFonts w:ascii="Arial" w:hAnsi="Arial" w:cs="Arial"/>
          <w:color w:val="auto"/>
        </w:rPr>
        <w:t xml:space="preserve"> office engaged with the National Native Title Council to support the National Cultural Flows Research Project, which will inform the office as to how environmental water could be applied in partnership with Indigenous communities to help contribute to achieving mutual environmental and cultural outcomes.</w:t>
      </w:r>
    </w:p>
    <w:p w:rsidR="001058D6" w:rsidRPr="00287BF0" w:rsidRDefault="001058D6" w:rsidP="001058D6">
      <w:pPr>
        <w:pStyle w:val="body"/>
        <w:spacing w:after="454"/>
        <w:rPr>
          <w:rFonts w:ascii="Arial" w:hAnsi="Arial" w:cs="Arial"/>
          <w:color w:val="auto"/>
        </w:rPr>
      </w:pPr>
      <w:r w:rsidRPr="00287BF0">
        <w:rPr>
          <w:rFonts w:ascii="Arial" w:hAnsi="Arial" w:cs="Arial"/>
          <w:color w:val="auto"/>
        </w:rPr>
        <w:t>The office continues to progress the Commonwealth environmental water monitoring, evaluation, reporting and improvement framework, which will allow the outcomes of environmental water use to be assessed in the short, medium and long term. This work is critical to adaptive management and to ensuring that the best environmental outcomes are being achieved through the efficient and effective use of Commonwealth environmental water. The integration of the Environmental Water Management System and the Environmental Assets Database into the daily operations of the office is also expected to improve the efficiency of many of its business activities, including Basin Plan reporting requirements.</w:t>
      </w:r>
    </w:p>
    <w:p w:rsidR="001058D6" w:rsidRPr="00287BF0" w:rsidRDefault="001058D6" w:rsidP="001058D6">
      <w:pPr>
        <w:pStyle w:val="body"/>
        <w:rPr>
          <w:rFonts w:ascii="Arial" w:hAnsi="Arial" w:cs="Arial"/>
          <w:color w:val="auto"/>
        </w:rPr>
      </w:pPr>
      <w:r w:rsidRPr="00287BF0">
        <w:rPr>
          <w:rFonts w:ascii="Arial" w:hAnsi="Arial" w:cs="Arial"/>
          <w:color w:val="auto"/>
        </w:rPr>
        <w:t>David Papps</w:t>
      </w:r>
      <w:r w:rsidRPr="00287BF0">
        <w:rPr>
          <w:rFonts w:ascii="Arial" w:hAnsi="Arial" w:cs="Arial"/>
          <w:color w:val="auto"/>
        </w:rPr>
        <w:br/>
        <w:t>Commonwealth Environmental Water Holder</w:t>
      </w:r>
    </w:p>
    <w:p w:rsidR="001058D6" w:rsidRPr="00287BF0" w:rsidRDefault="001058D6" w:rsidP="001058D6">
      <w:pPr>
        <w:pStyle w:val="body"/>
        <w:rPr>
          <w:rFonts w:ascii="Arial" w:hAnsi="Arial" w:cs="Arial"/>
          <w:color w:val="auto"/>
        </w:rPr>
      </w:pPr>
      <w:r w:rsidRPr="00287BF0">
        <w:rPr>
          <w:rFonts w:ascii="Arial" w:hAnsi="Arial" w:cs="Arial"/>
          <w:color w:val="auto"/>
        </w:rPr>
        <w:t>July 2013</w:t>
      </w:r>
    </w:p>
    <w:p w:rsidR="001058D6" w:rsidRPr="00287BF0" w:rsidRDefault="001058D6" w:rsidP="001058D6">
      <w:pPr>
        <w:pStyle w:val="body"/>
        <w:rPr>
          <w:rStyle w:val="TextBold"/>
          <w:rFonts w:ascii="Arial" w:hAnsi="Arial" w:cs="Arial"/>
          <w:bCs/>
          <w:color w:val="auto"/>
        </w:rPr>
      </w:pPr>
    </w:p>
    <w:p w:rsidR="001058D6" w:rsidRDefault="001058D6" w:rsidP="001058D6">
      <w:pPr>
        <w:suppressAutoHyphens/>
        <w:rPr>
          <w:rStyle w:val="TextBold"/>
          <w:rFonts w:ascii="Arial" w:hAnsi="Arial" w:cs="Arial"/>
          <w:bCs/>
          <w:spacing w:val="-7"/>
          <w:sz w:val="34"/>
          <w:szCs w:val="34"/>
          <w:lang w:val="en-GB"/>
        </w:rPr>
      </w:pPr>
      <w:r>
        <w:rPr>
          <w:rStyle w:val="TextBold"/>
          <w:rFonts w:ascii="Arial" w:hAnsi="Arial" w:cs="Arial"/>
          <w:b w:val="0"/>
        </w:rPr>
        <w:br w:type="page"/>
      </w:r>
    </w:p>
    <w:p w:rsidR="001058D6" w:rsidRPr="00287BF0" w:rsidRDefault="001058D6" w:rsidP="001058D6">
      <w:pPr>
        <w:pStyle w:val="Heading3"/>
        <w:rPr>
          <w:rStyle w:val="TextBold"/>
          <w:b/>
        </w:rPr>
      </w:pPr>
      <w:bookmarkStart w:id="1" w:name="_Progress_against_priorities"/>
      <w:bookmarkEnd w:id="1"/>
      <w:r w:rsidRPr="00287BF0">
        <w:rPr>
          <w:rStyle w:val="TextBold"/>
          <w:b/>
        </w:rPr>
        <w:lastRenderedPageBreak/>
        <w:t>Progress against priorities for 2012–13</w:t>
      </w:r>
    </w:p>
    <w:p w:rsidR="001058D6" w:rsidRPr="00F20EC1" w:rsidRDefault="001058D6" w:rsidP="001058D6">
      <w:pPr>
        <w:pStyle w:val="Heading4"/>
        <w:rPr>
          <w:rStyle w:val="TextBold"/>
          <w:b/>
        </w:rPr>
      </w:pPr>
      <w:r w:rsidRPr="00F20EC1">
        <w:rPr>
          <w:rStyle w:val="TextBold"/>
          <w:b/>
        </w:rPr>
        <w:t>2012–13 Portfolio Budget Statements key performance indicators</w:t>
      </w:r>
    </w:p>
    <w:p w:rsidR="001058D6" w:rsidRPr="00287BF0" w:rsidRDefault="001058D6" w:rsidP="001058D6">
      <w:pPr>
        <w:pStyle w:val="body"/>
        <w:rPr>
          <w:rFonts w:ascii="Arial" w:hAnsi="Arial" w:cs="Arial"/>
          <w:color w:val="auto"/>
        </w:rPr>
      </w:pPr>
      <w:r w:rsidRPr="00287BF0">
        <w:rPr>
          <w:rFonts w:ascii="Arial" w:hAnsi="Arial" w:cs="Arial"/>
          <w:color w:val="auto"/>
        </w:rPr>
        <w:t>The office has met its key performance indicators identified in the</w:t>
      </w:r>
      <w:r w:rsidRPr="00287BF0">
        <w:rPr>
          <w:rStyle w:val="Textitalic"/>
          <w:rFonts w:ascii="Arial" w:hAnsi="Arial" w:cs="Arial"/>
          <w:iCs/>
          <w:color w:val="auto"/>
        </w:rPr>
        <w:t xml:space="preserve"> </w:t>
      </w:r>
      <w:r w:rsidRPr="00287BF0">
        <w:rPr>
          <w:rFonts w:ascii="Arial" w:hAnsi="Arial" w:cs="Arial"/>
          <w:color w:val="auto"/>
        </w:rPr>
        <w:t xml:space="preserve">2012–13 Portfolio Budget Statements for the Australian Government Department of Sustainability, Environment, Water, Population and Communities, demonstrating: </w:t>
      </w:r>
    </w:p>
    <w:p w:rsidR="001058D6" w:rsidRPr="00287BF0" w:rsidRDefault="001058D6" w:rsidP="00DB36E9">
      <w:pPr>
        <w:pStyle w:val="bullets"/>
        <w:numPr>
          <w:ilvl w:val="0"/>
          <w:numId w:val="10"/>
        </w:numPr>
        <w:rPr>
          <w:rFonts w:ascii="Arial" w:hAnsi="Arial" w:cs="Arial"/>
          <w:color w:val="auto"/>
        </w:rPr>
      </w:pPr>
      <w:proofErr w:type="gramStart"/>
      <w:r w:rsidRPr="00287BF0">
        <w:rPr>
          <w:rFonts w:ascii="Arial" w:hAnsi="Arial" w:cs="Arial"/>
          <w:color w:val="auto"/>
        </w:rPr>
        <w:t>the</w:t>
      </w:r>
      <w:proofErr w:type="gramEnd"/>
      <w:r w:rsidRPr="00287BF0">
        <w:rPr>
          <w:rFonts w:ascii="Arial" w:hAnsi="Arial" w:cs="Arial"/>
          <w:color w:val="auto"/>
        </w:rPr>
        <w:t xml:space="preserve"> effective use of Commonwealth environmental water for the protection and restoration of environmental assets as demonstrated in the Commonwealth Environmental Water Office 2011–12 Outcomes Report (published in March 2013).</w:t>
      </w:r>
    </w:p>
    <w:p w:rsidR="001058D6" w:rsidRPr="00287BF0" w:rsidRDefault="001058D6" w:rsidP="00DB36E9">
      <w:pPr>
        <w:pStyle w:val="bullets"/>
        <w:numPr>
          <w:ilvl w:val="0"/>
          <w:numId w:val="10"/>
        </w:numPr>
        <w:rPr>
          <w:rFonts w:ascii="Arial" w:hAnsi="Arial" w:cs="Arial"/>
          <w:color w:val="auto"/>
        </w:rPr>
      </w:pPr>
      <w:proofErr w:type="gramStart"/>
      <w:r w:rsidRPr="00287BF0">
        <w:rPr>
          <w:rFonts w:ascii="Arial" w:hAnsi="Arial" w:cs="Arial"/>
          <w:color w:val="auto"/>
        </w:rPr>
        <w:t>engagement</w:t>
      </w:r>
      <w:proofErr w:type="gramEnd"/>
      <w:r w:rsidRPr="00287BF0">
        <w:rPr>
          <w:rFonts w:ascii="Arial" w:hAnsi="Arial" w:cs="Arial"/>
          <w:color w:val="auto"/>
        </w:rPr>
        <w:t xml:space="preserve"> with local communities and water delivery and water holding partners, having regard to local experience, knowledge and perspectives when undertaking environmental watering. This has been demonstrated by the development of annual water use options plans, regular attendance of meetings and site visits in Basin catchments and commencing the establishment of a network of Commonwealth Environmental Water Office local engagement officers.</w:t>
      </w:r>
    </w:p>
    <w:p w:rsidR="001058D6" w:rsidRPr="00F20EC1" w:rsidRDefault="001058D6" w:rsidP="001058D6">
      <w:pPr>
        <w:pStyle w:val="Heading4"/>
        <w:rPr>
          <w:rStyle w:val="TextBold"/>
          <w:b/>
          <w:iCs w:val="0"/>
        </w:rPr>
      </w:pPr>
      <w:r w:rsidRPr="00F20EC1">
        <w:rPr>
          <w:rStyle w:val="TextBold"/>
          <w:b/>
        </w:rPr>
        <w:t>Priorities for 2012–13</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Commonwealth Environmental Water Office 2012–13 business </w:t>
      </w:r>
      <w:proofErr w:type="gramStart"/>
      <w:r w:rsidRPr="00287BF0">
        <w:rPr>
          <w:rFonts w:ascii="Arial" w:hAnsi="Arial" w:cs="Arial"/>
          <w:color w:val="auto"/>
        </w:rPr>
        <w:t>plan</w:t>
      </w:r>
      <w:proofErr w:type="gramEnd"/>
      <w:r w:rsidRPr="00287BF0">
        <w:rPr>
          <w:rStyle w:val="Textitalic"/>
          <w:rFonts w:ascii="Arial" w:hAnsi="Arial" w:cs="Arial"/>
          <w:iCs/>
          <w:color w:val="auto"/>
        </w:rPr>
        <w:t xml:space="preserve"> </w:t>
      </w:r>
      <w:r w:rsidRPr="00287BF0">
        <w:rPr>
          <w:rFonts w:ascii="Arial" w:hAnsi="Arial" w:cs="Arial"/>
          <w:color w:val="auto"/>
        </w:rPr>
        <w:t>identified the office priorities for 2012–13, which included and built upon the program deliverables outlined in the 2012–13 Portfolio Budget Statements. The progress and outcomes achieved against these priorities are outlined below.</w:t>
      </w:r>
    </w:p>
    <w:p w:rsidR="001058D6" w:rsidRPr="00287BF0" w:rsidRDefault="001058D6" w:rsidP="001058D6">
      <w:pPr>
        <w:pStyle w:val="Heading3"/>
        <w:rPr>
          <w:rStyle w:val="TextBold"/>
          <w:b/>
        </w:rPr>
      </w:pPr>
      <w:bookmarkStart w:id="2" w:name="_Management_of_Commonwealth"/>
      <w:bookmarkEnd w:id="2"/>
      <w:r w:rsidRPr="00287BF0">
        <w:rPr>
          <w:rStyle w:val="TextBold"/>
          <w:b/>
        </w:rPr>
        <w:t>Management of Commonwealth environmental water in 2012–13</w:t>
      </w:r>
    </w:p>
    <w:p w:rsidR="001058D6" w:rsidRPr="00287BF0" w:rsidRDefault="001058D6" w:rsidP="001058D6">
      <w:pPr>
        <w:pStyle w:val="Heading4"/>
        <w:rPr>
          <w:rStyle w:val="TextBold"/>
          <w:b/>
        </w:rPr>
      </w:pPr>
      <w:r w:rsidRPr="00287BF0">
        <w:t>Commonwealth environmental water made available for use</w:t>
      </w:r>
    </w:p>
    <w:p w:rsidR="001058D6" w:rsidRPr="00287BF0" w:rsidRDefault="001058D6" w:rsidP="001058D6">
      <w:pPr>
        <w:pStyle w:val="body"/>
        <w:rPr>
          <w:rFonts w:ascii="Arial" w:hAnsi="Arial" w:cs="Arial"/>
          <w:color w:val="auto"/>
        </w:rPr>
      </w:pPr>
      <w:r w:rsidRPr="00287BF0">
        <w:rPr>
          <w:rFonts w:ascii="Arial" w:hAnsi="Arial" w:cs="Arial"/>
          <w:color w:val="auto"/>
        </w:rPr>
        <w:t>During 2012–13 for Commonwealth environmental water:</w:t>
      </w:r>
    </w:p>
    <w:p w:rsidR="001058D6" w:rsidRPr="00287BF0" w:rsidRDefault="001058D6" w:rsidP="00DB36E9">
      <w:pPr>
        <w:pStyle w:val="bullets"/>
        <w:numPr>
          <w:ilvl w:val="0"/>
          <w:numId w:val="11"/>
        </w:numPr>
        <w:rPr>
          <w:rFonts w:ascii="Arial" w:hAnsi="Arial" w:cs="Arial"/>
          <w:color w:val="auto"/>
        </w:rPr>
      </w:pPr>
      <w:r w:rsidRPr="00287BF0">
        <w:rPr>
          <w:rFonts w:ascii="Arial" w:hAnsi="Arial" w:cs="Arial"/>
          <w:color w:val="auto"/>
        </w:rPr>
        <w:t xml:space="preserve">the total amount of water in Commonwealth accounts was 1676 </w:t>
      </w:r>
      <w:proofErr w:type="spellStart"/>
      <w:r w:rsidRPr="00287BF0">
        <w:rPr>
          <w:rFonts w:ascii="Arial" w:hAnsi="Arial" w:cs="Arial"/>
          <w:color w:val="auto"/>
        </w:rPr>
        <w:t>gigalitres</w:t>
      </w:r>
      <w:proofErr w:type="spellEnd"/>
    </w:p>
    <w:p w:rsidR="001058D6" w:rsidRPr="00287BF0" w:rsidRDefault="001058D6" w:rsidP="00DB36E9">
      <w:pPr>
        <w:pStyle w:val="bullets"/>
        <w:numPr>
          <w:ilvl w:val="0"/>
          <w:numId w:val="11"/>
        </w:numPr>
        <w:rPr>
          <w:rFonts w:ascii="Arial" w:hAnsi="Arial" w:cs="Arial"/>
          <w:color w:val="auto"/>
        </w:rPr>
      </w:pPr>
      <w:r w:rsidRPr="00287BF0">
        <w:rPr>
          <w:rFonts w:ascii="Arial" w:hAnsi="Arial" w:cs="Arial"/>
          <w:color w:val="auto"/>
        </w:rPr>
        <w:t xml:space="preserve">a total of 1272 </w:t>
      </w:r>
      <w:proofErr w:type="spellStart"/>
      <w:r w:rsidRPr="00287BF0">
        <w:rPr>
          <w:rFonts w:ascii="Arial" w:hAnsi="Arial" w:cs="Arial"/>
          <w:color w:val="auto"/>
        </w:rPr>
        <w:t>gigalitres</w:t>
      </w:r>
      <w:proofErr w:type="spellEnd"/>
      <w:r w:rsidRPr="00287BF0">
        <w:rPr>
          <w:rFonts w:ascii="Arial" w:hAnsi="Arial" w:cs="Arial"/>
          <w:color w:val="auto"/>
        </w:rPr>
        <w:t xml:space="preserve"> was delivered</w:t>
      </w:r>
    </w:p>
    <w:p w:rsidR="001058D6" w:rsidRPr="00287BF0" w:rsidRDefault="001058D6" w:rsidP="00DB36E9">
      <w:pPr>
        <w:pStyle w:val="lastbullet"/>
        <w:numPr>
          <w:ilvl w:val="0"/>
          <w:numId w:val="11"/>
        </w:numPr>
        <w:rPr>
          <w:rFonts w:ascii="Arial" w:hAnsi="Arial" w:cs="Arial"/>
          <w:color w:val="auto"/>
        </w:rPr>
      </w:pPr>
      <w:proofErr w:type="gramStart"/>
      <w:r w:rsidRPr="00287BF0">
        <w:rPr>
          <w:rFonts w:ascii="Arial" w:hAnsi="Arial" w:cs="Arial"/>
          <w:color w:val="auto"/>
        </w:rPr>
        <w:t>a</w:t>
      </w:r>
      <w:proofErr w:type="gramEnd"/>
      <w:r w:rsidRPr="00287BF0">
        <w:rPr>
          <w:rFonts w:ascii="Arial" w:hAnsi="Arial" w:cs="Arial"/>
          <w:color w:val="auto"/>
        </w:rPr>
        <w:t xml:space="preserve"> total of 393 </w:t>
      </w:r>
      <w:proofErr w:type="spellStart"/>
      <w:r w:rsidRPr="00287BF0">
        <w:rPr>
          <w:rFonts w:ascii="Arial" w:hAnsi="Arial" w:cs="Arial"/>
          <w:color w:val="auto"/>
        </w:rPr>
        <w:t>gigalitres</w:t>
      </w:r>
      <w:proofErr w:type="spellEnd"/>
      <w:r w:rsidRPr="00287BF0">
        <w:rPr>
          <w:rFonts w:ascii="Arial" w:hAnsi="Arial" w:cs="Arial"/>
          <w:color w:val="auto"/>
        </w:rPr>
        <w:t xml:space="preserve"> of water (23 per cent of the total volume available in Commonwealth accounts) was carried over into 2013–14—a reduction of 222 </w:t>
      </w:r>
      <w:proofErr w:type="spellStart"/>
      <w:r w:rsidRPr="00287BF0">
        <w:rPr>
          <w:rFonts w:ascii="Arial" w:hAnsi="Arial" w:cs="Arial"/>
          <w:color w:val="auto"/>
        </w:rPr>
        <w:t>gigalitres</w:t>
      </w:r>
      <w:proofErr w:type="spellEnd"/>
      <w:r w:rsidRPr="00287BF0">
        <w:rPr>
          <w:rFonts w:ascii="Arial" w:hAnsi="Arial" w:cs="Arial"/>
          <w:color w:val="auto"/>
        </w:rPr>
        <w:t xml:space="preserve"> from the carryover on 1 July 2012.</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Commonwealth environmental water availability and use since 2008–09 is shown in Figure 1. The Commonwealth environmental entitlement holdings in the Basin grew from 1368 </w:t>
      </w:r>
      <w:proofErr w:type="spellStart"/>
      <w:r w:rsidRPr="00287BF0">
        <w:rPr>
          <w:rFonts w:ascii="Arial" w:hAnsi="Arial" w:cs="Arial"/>
          <w:color w:val="auto"/>
        </w:rPr>
        <w:t>gigalitres</w:t>
      </w:r>
      <w:proofErr w:type="spellEnd"/>
      <w:r w:rsidRPr="00287BF0">
        <w:rPr>
          <w:rFonts w:ascii="Arial" w:hAnsi="Arial" w:cs="Arial"/>
          <w:color w:val="auto"/>
        </w:rPr>
        <w:t xml:space="preserve"> to 1629 </w:t>
      </w:r>
      <w:proofErr w:type="spellStart"/>
      <w:r w:rsidRPr="00287BF0">
        <w:rPr>
          <w:rFonts w:ascii="Arial" w:hAnsi="Arial" w:cs="Arial"/>
          <w:color w:val="auto"/>
        </w:rPr>
        <w:t>gigalitres</w:t>
      </w:r>
      <w:proofErr w:type="spellEnd"/>
      <w:r w:rsidRPr="00287BF0">
        <w:rPr>
          <w:rFonts w:ascii="Arial" w:hAnsi="Arial" w:cs="Arial"/>
          <w:color w:val="auto"/>
        </w:rPr>
        <w:t xml:space="preserve"> during 2012–13 (at 30 June 2013—see Appendix A). These holdings will deliver, on average, 1190 </w:t>
      </w:r>
      <w:proofErr w:type="spellStart"/>
      <w:r w:rsidRPr="00287BF0">
        <w:rPr>
          <w:rFonts w:ascii="Arial" w:hAnsi="Arial" w:cs="Arial"/>
          <w:color w:val="auto"/>
        </w:rPr>
        <w:t>gigalitres</w:t>
      </w:r>
      <w:proofErr w:type="spellEnd"/>
      <w:r w:rsidRPr="00287BF0">
        <w:rPr>
          <w:rFonts w:ascii="Arial" w:hAnsi="Arial" w:cs="Arial"/>
          <w:color w:val="auto"/>
        </w:rPr>
        <w:t xml:space="preserve"> of water to the environment each year. Subsequent to the Basin Plan being made, the office delivered Commonwealth environmental water consistent with Basin Plan obligations.</w:t>
      </w: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Default="001058D6" w:rsidP="007B2F2F">
      <w:pPr>
        <w:pStyle w:val="figureheading"/>
        <w:rPr>
          <w:rStyle w:val="TextBold"/>
          <w:rFonts w:cs="Arial"/>
          <w:b/>
          <w:color w:val="auto"/>
        </w:rPr>
      </w:pPr>
      <w:r w:rsidRPr="00287BF0">
        <w:rPr>
          <w:rStyle w:val="TextBold"/>
          <w:rFonts w:cs="Arial"/>
          <w:b/>
          <w:color w:val="auto"/>
        </w:rPr>
        <w:lastRenderedPageBreak/>
        <w:t>Figure 1: Commonwealth environmental water availability and use since 2008–09</w:t>
      </w:r>
    </w:p>
    <w:p w:rsidR="001058D6" w:rsidRPr="00287BF0" w:rsidRDefault="001058D6" w:rsidP="007B2F2F">
      <w:pPr>
        <w:pStyle w:val="figureheading"/>
        <w:rPr>
          <w:rStyle w:val="TextBold"/>
          <w:rFonts w:cs="Arial"/>
          <w:b/>
          <w:color w:val="auto"/>
        </w:rPr>
      </w:pPr>
      <w:r>
        <w:rPr>
          <w:noProof/>
          <w:lang w:val="en-AU" w:eastAsia="en-AU"/>
        </w:rPr>
        <w:drawing>
          <wp:inline distT="0" distB="0" distL="0" distR="0">
            <wp:extent cx="4828540" cy="3596005"/>
            <wp:effectExtent l="0" t="0" r="0" b="10795"/>
            <wp:docPr id="26" name="Picture 16" descr="Figure 1: Commonwealth environmental water availability and use since 2008–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828540" cy="3596005"/>
                    </a:xfrm>
                    <a:prstGeom prst="rect">
                      <a:avLst/>
                    </a:prstGeom>
                    <a:noFill/>
                    <a:ln>
                      <a:noFill/>
                    </a:ln>
                  </pic:spPr>
                </pic:pic>
              </a:graphicData>
            </a:graphic>
          </wp:inline>
        </w:drawing>
      </w:r>
    </w:p>
    <w:p w:rsidR="001058D6" w:rsidRPr="00287BF0" w:rsidRDefault="001058D6" w:rsidP="001058D6">
      <w:pPr>
        <w:pStyle w:val="Caption"/>
        <w:spacing w:after="57"/>
        <w:rPr>
          <w:rFonts w:ascii="Arial" w:hAnsi="Arial" w:cs="Arial"/>
          <w:color w:val="auto"/>
        </w:rPr>
      </w:pPr>
      <w:r w:rsidRPr="00287BF0">
        <w:rPr>
          <w:rStyle w:val="TextBold"/>
          <w:rFonts w:ascii="Arial" w:hAnsi="Arial" w:cs="Arial"/>
          <w:bCs/>
          <w:color w:val="auto"/>
        </w:rPr>
        <w:t xml:space="preserve">Note: </w:t>
      </w:r>
      <w:r w:rsidRPr="00287BF0">
        <w:rPr>
          <w:rStyle w:val="TextBold"/>
          <w:rFonts w:ascii="Arial" w:hAnsi="Arial" w:cs="Arial"/>
          <w:bCs/>
          <w:color w:val="auto"/>
        </w:rPr>
        <w:br/>
      </w:r>
      <w:r w:rsidRPr="00287BF0">
        <w:rPr>
          <w:rFonts w:ascii="Arial" w:hAnsi="Arial" w:cs="Arial"/>
          <w:color w:val="auto"/>
        </w:rPr>
        <w:t>Data have been updated since previous annual reports in accordance with revised accounting treatment of some entitlements and water use. Evaporative losses have been deducted from carryover figures.</w:t>
      </w:r>
    </w:p>
    <w:p w:rsidR="001058D6" w:rsidRPr="00287BF0" w:rsidRDefault="001058D6" w:rsidP="001058D6">
      <w:pPr>
        <w:pStyle w:val="Heading4"/>
      </w:pPr>
      <w:r w:rsidRPr="00287BF0">
        <w:t>Catchment summaries</w:t>
      </w:r>
    </w:p>
    <w:p w:rsidR="001058D6" w:rsidRPr="00287BF0" w:rsidRDefault="001058D6" w:rsidP="001058D6">
      <w:pPr>
        <w:pStyle w:val="body"/>
        <w:rPr>
          <w:rFonts w:ascii="Arial" w:hAnsi="Arial" w:cs="Arial"/>
          <w:color w:val="auto"/>
        </w:rPr>
      </w:pPr>
      <w:r w:rsidRPr="00287BF0">
        <w:rPr>
          <w:rFonts w:ascii="Arial" w:hAnsi="Arial" w:cs="Arial"/>
          <w:color w:val="auto"/>
        </w:rPr>
        <w:t>Drier conditions returned to the Basin in 2012–13</w:t>
      </w:r>
      <w:r w:rsidRPr="00287BF0">
        <w:rPr>
          <w:rFonts w:ascii="Arial" w:hAnsi="Arial" w:cs="Arial"/>
          <w:color w:val="auto"/>
          <w:vertAlign w:val="superscript"/>
        </w:rPr>
        <w:footnoteReference w:id="2"/>
      </w:r>
      <w:r w:rsidRPr="00287BF0">
        <w:rPr>
          <w:rFonts w:ascii="Arial" w:hAnsi="Arial" w:cs="Arial"/>
          <w:color w:val="auto"/>
        </w:rPr>
        <w:t xml:space="preserve">. Commonwealth environmental watering in 2012–13 continued to build on the ecological recovery of </w:t>
      </w:r>
      <w:proofErr w:type="spellStart"/>
      <w:r w:rsidRPr="00287BF0">
        <w:rPr>
          <w:rFonts w:ascii="Arial" w:hAnsi="Arial" w:cs="Arial"/>
          <w:color w:val="auto"/>
        </w:rPr>
        <w:t>riverine</w:t>
      </w:r>
      <w:proofErr w:type="spellEnd"/>
      <w:r w:rsidRPr="00287BF0">
        <w:rPr>
          <w:rFonts w:ascii="Arial" w:hAnsi="Arial" w:cs="Arial"/>
          <w:color w:val="auto"/>
        </w:rPr>
        <w:t xml:space="preserve"> and wetland communities following the wetter conditions experienced in Basin catchments from 2010 to early 2012.</w:t>
      </w:r>
    </w:p>
    <w:p w:rsidR="001058D6" w:rsidRPr="00287BF0" w:rsidRDefault="001058D6" w:rsidP="001058D6">
      <w:pPr>
        <w:pStyle w:val="body"/>
        <w:rPr>
          <w:rFonts w:ascii="Arial" w:hAnsi="Arial" w:cs="Arial"/>
          <w:color w:val="auto"/>
        </w:rPr>
      </w:pPr>
      <w:r w:rsidRPr="00287BF0">
        <w:rPr>
          <w:rFonts w:ascii="Arial" w:hAnsi="Arial" w:cs="Arial"/>
          <w:color w:val="auto"/>
        </w:rPr>
        <w:t>Watering actions throughout the Basin in 2012–13 were managed and delivered with the assistance of partners including water management authorities, local advisory groups, landholders and scientists. Commonwealth environmental water was usually delivered in conjunction with state government environmental water.</w:t>
      </w:r>
    </w:p>
    <w:p w:rsidR="001058D6" w:rsidRPr="00287BF0" w:rsidRDefault="001058D6" w:rsidP="001058D6">
      <w:pPr>
        <w:pStyle w:val="body"/>
        <w:rPr>
          <w:rFonts w:ascii="Arial" w:hAnsi="Arial" w:cs="Arial"/>
          <w:color w:val="auto"/>
        </w:rPr>
      </w:pPr>
      <w:r w:rsidRPr="00287BF0">
        <w:rPr>
          <w:rFonts w:ascii="Arial" w:hAnsi="Arial" w:cs="Arial"/>
          <w:color w:val="auto"/>
        </w:rPr>
        <w:t>During 2012–13 the office, with the assistance of its partners, contributed to the following key environmental watering achievements:</w:t>
      </w:r>
    </w:p>
    <w:p w:rsidR="001058D6" w:rsidRPr="00287BF0" w:rsidRDefault="001058D6" w:rsidP="00DB36E9">
      <w:pPr>
        <w:pStyle w:val="secondbulets"/>
        <w:numPr>
          <w:ilvl w:val="0"/>
          <w:numId w:val="12"/>
        </w:numPr>
        <w:rPr>
          <w:rFonts w:ascii="Arial" w:hAnsi="Arial" w:cs="Arial"/>
          <w:color w:val="auto"/>
        </w:rPr>
      </w:pPr>
      <w:r w:rsidRPr="00287BF0">
        <w:rPr>
          <w:rFonts w:ascii="Arial" w:hAnsi="Arial" w:cs="Arial"/>
          <w:color w:val="auto"/>
        </w:rPr>
        <w:t>coordinated environmental water planning and delivery with other state and local environmental water holders, water managers and infrastructure operators</w:t>
      </w:r>
    </w:p>
    <w:p w:rsidR="001058D6" w:rsidRPr="00287BF0" w:rsidRDefault="001058D6" w:rsidP="00DB36E9">
      <w:pPr>
        <w:pStyle w:val="secondbulets"/>
        <w:numPr>
          <w:ilvl w:val="0"/>
          <w:numId w:val="12"/>
        </w:numPr>
        <w:rPr>
          <w:rFonts w:ascii="Arial" w:hAnsi="Arial" w:cs="Arial"/>
          <w:color w:val="auto"/>
        </w:rPr>
      </w:pPr>
      <w:r w:rsidRPr="00287BF0">
        <w:rPr>
          <w:rFonts w:ascii="Arial" w:hAnsi="Arial" w:cs="Arial"/>
          <w:color w:val="auto"/>
        </w:rPr>
        <w:t>worked with local communities and advisory groups to plan for and manage Commonwealth environmental water</w:t>
      </w:r>
    </w:p>
    <w:p w:rsidR="001058D6" w:rsidRPr="00287BF0" w:rsidRDefault="001058D6" w:rsidP="00DB36E9">
      <w:pPr>
        <w:pStyle w:val="secondbulets"/>
        <w:numPr>
          <w:ilvl w:val="0"/>
          <w:numId w:val="12"/>
        </w:numPr>
        <w:spacing w:after="113"/>
        <w:rPr>
          <w:rFonts w:ascii="Arial" w:hAnsi="Arial" w:cs="Arial"/>
          <w:color w:val="auto"/>
        </w:rPr>
      </w:pPr>
      <w:proofErr w:type="gramStart"/>
      <w:r w:rsidRPr="00287BF0">
        <w:rPr>
          <w:rFonts w:ascii="Arial" w:hAnsi="Arial" w:cs="Arial"/>
          <w:color w:val="auto"/>
        </w:rPr>
        <w:t>generated</w:t>
      </w:r>
      <w:proofErr w:type="gramEnd"/>
      <w:r w:rsidRPr="00287BF0">
        <w:rPr>
          <w:rFonts w:ascii="Arial" w:hAnsi="Arial" w:cs="Arial"/>
          <w:color w:val="auto"/>
        </w:rPr>
        <w:t xml:space="preserve"> ecological outcomes in response to Commonwealth environmental watering, which were supported by observations and intervention monitoring. </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Commonwealth environmental water was used for the first time in a number of locations, including the </w:t>
      </w:r>
      <w:proofErr w:type="spellStart"/>
      <w:r w:rsidRPr="00287BF0">
        <w:rPr>
          <w:rFonts w:ascii="Arial" w:hAnsi="Arial" w:cs="Arial"/>
          <w:color w:val="auto"/>
        </w:rPr>
        <w:t>Namoi</w:t>
      </w:r>
      <w:proofErr w:type="spellEnd"/>
      <w:r w:rsidRPr="00287BF0">
        <w:rPr>
          <w:rFonts w:ascii="Arial" w:hAnsi="Arial" w:cs="Arial"/>
          <w:color w:val="auto"/>
        </w:rPr>
        <w:t xml:space="preserve"> River, the </w:t>
      </w:r>
      <w:proofErr w:type="spellStart"/>
      <w:r w:rsidRPr="00287BF0">
        <w:rPr>
          <w:rFonts w:ascii="Arial" w:hAnsi="Arial" w:cs="Arial"/>
          <w:color w:val="auto"/>
        </w:rPr>
        <w:t>Mallowa</w:t>
      </w:r>
      <w:proofErr w:type="spellEnd"/>
      <w:r w:rsidRPr="00287BF0">
        <w:rPr>
          <w:rFonts w:ascii="Arial" w:hAnsi="Arial" w:cs="Arial"/>
          <w:color w:val="auto"/>
        </w:rPr>
        <w:t xml:space="preserve"> wetlands in the </w:t>
      </w:r>
      <w:proofErr w:type="spellStart"/>
      <w:r w:rsidRPr="00287BF0">
        <w:rPr>
          <w:rFonts w:ascii="Arial" w:hAnsi="Arial" w:cs="Arial"/>
          <w:color w:val="auto"/>
        </w:rPr>
        <w:t>Gwydir</w:t>
      </w:r>
      <w:proofErr w:type="spellEnd"/>
      <w:r w:rsidRPr="00287BF0">
        <w:rPr>
          <w:rFonts w:ascii="Arial" w:hAnsi="Arial" w:cs="Arial"/>
          <w:color w:val="auto"/>
        </w:rPr>
        <w:t xml:space="preserve"> catchment, Whirlpool Corner, </w:t>
      </w:r>
      <w:proofErr w:type="spellStart"/>
      <w:r w:rsidRPr="00287BF0">
        <w:rPr>
          <w:rFonts w:ascii="Arial" w:hAnsi="Arial" w:cs="Arial"/>
          <w:color w:val="auto"/>
        </w:rPr>
        <w:t>Disher</w:t>
      </w:r>
      <w:proofErr w:type="spellEnd"/>
      <w:r w:rsidRPr="00287BF0">
        <w:rPr>
          <w:rFonts w:ascii="Arial" w:hAnsi="Arial" w:cs="Arial"/>
          <w:color w:val="auto"/>
        </w:rPr>
        <w:t xml:space="preserve"> Creek and </w:t>
      </w:r>
      <w:proofErr w:type="spellStart"/>
      <w:r w:rsidRPr="00287BF0">
        <w:rPr>
          <w:rFonts w:ascii="Arial" w:hAnsi="Arial" w:cs="Arial"/>
          <w:color w:val="auto"/>
        </w:rPr>
        <w:t>Berri</w:t>
      </w:r>
      <w:proofErr w:type="spellEnd"/>
      <w:r w:rsidRPr="00287BF0">
        <w:rPr>
          <w:rFonts w:ascii="Arial" w:hAnsi="Arial" w:cs="Arial"/>
          <w:color w:val="auto"/>
        </w:rPr>
        <w:t xml:space="preserve"> Basin in South Australia, </w:t>
      </w:r>
      <w:proofErr w:type="spellStart"/>
      <w:r w:rsidRPr="00287BF0">
        <w:rPr>
          <w:rFonts w:ascii="Arial" w:hAnsi="Arial" w:cs="Arial"/>
          <w:color w:val="auto"/>
        </w:rPr>
        <w:t>Tuppal</w:t>
      </w:r>
      <w:proofErr w:type="spellEnd"/>
      <w:r w:rsidRPr="00287BF0">
        <w:rPr>
          <w:rFonts w:ascii="Arial" w:hAnsi="Arial" w:cs="Arial"/>
          <w:color w:val="auto"/>
        </w:rPr>
        <w:t xml:space="preserve"> and </w:t>
      </w:r>
      <w:proofErr w:type="spellStart"/>
      <w:r w:rsidRPr="00287BF0">
        <w:rPr>
          <w:rFonts w:ascii="Arial" w:hAnsi="Arial" w:cs="Arial"/>
          <w:color w:val="auto"/>
        </w:rPr>
        <w:t>Gwynnes</w:t>
      </w:r>
      <w:proofErr w:type="spellEnd"/>
      <w:r w:rsidRPr="00287BF0">
        <w:rPr>
          <w:rFonts w:ascii="Arial" w:hAnsi="Arial" w:cs="Arial"/>
          <w:color w:val="auto"/>
        </w:rPr>
        <w:t xml:space="preserve"> Creeks of the Edward–</w:t>
      </w:r>
      <w:proofErr w:type="spellStart"/>
      <w:r w:rsidRPr="00287BF0">
        <w:rPr>
          <w:rFonts w:ascii="Arial" w:hAnsi="Arial" w:cs="Arial"/>
          <w:color w:val="auto"/>
        </w:rPr>
        <w:t>Wakool</w:t>
      </w:r>
      <w:proofErr w:type="spellEnd"/>
      <w:r w:rsidRPr="00287BF0">
        <w:rPr>
          <w:rFonts w:ascii="Arial" w:hAnsi="Arial" w:cs="Arial"/>
          <w:color w:val="auto"/>
        </w:rPr>
        <w:t xml:space="preserve"> catchment and wetland areas of the western lower </w:t>
      </w:r>
      <w:proofErr w:type="spellStart"/>
      <w:r w:rsidRPr="00287BF0">
        <w:rPr>
          <w:rFonts w:ascii="Arial" w:hAnsi="Arial" w:cs="Arial"/>
          <w:color w:val="auto"/>
        </w:rPr>
        <w:t>Murrumbidgee</w:t>
      </w:r>
      <w:proofErr w:type="spellEnd"/>
      <w:r w:rsidRPr="00287BF0">
        <w:rPr>
          <w:rFonts w:ascii="Arial" w:hAnsi="Arial" w:cs="Arial"/>
          <w:color w:val="auto"/>
        </w:rPr>
        <w:t xml:space="preserve"> floodplain near </w:t>
      </w:r>
      <w:proofErr w:type="spellStart"/>
      <w:r w:rsidRPr="00287BF0">
        <w:rPr>
          <w:rFonts w:ascii="Arial" w:hAnsi="Arial" w:cs="Arial"/>
          <w:color w:val="auto"/>
        </w:rPr>
        <w:t>Balranald</w:t>
      </w:r>
      <w:proofErr w:type="spellEnd"/>
      <w:r w:rsidRPr="00287BF0">
        <w:rPr>
          <w:rFonts w:ascii="Arial" w:hAnsi="Arial" w:cs="Arial"/>
          <w:color w:val="auto"/>
        </w:rPr>
        <w:t xml:space="preserve">. Return flows totalling 240 </w:t>
      </w:r>
      <w:proofErr w:type="spellStart"/>
      <w:r w:rsidRPr="00287BF0">
        <w:rPr>
          <w:rFonts w:ascii="Arial" w:hAnsi="Arial" w:cs="Arial"/>
          <w:color w:val="auto"/>
        </w:rPr>
        <w:t>gigalitres</w:t>
      </w:r>
      <w:proofErr w:type="spellEnd"/>
      <w:r w:rsidRPr="00287BF0">
        <w:rPr>
          <w:rFonts w:ascii="Arial" w:hAnsi="Arial" w:cs="Arial"/>
          <w:color w:val="auto"/>
        </w:rPr>
        <w:t xml:space="preserve"> from catchments of the Southern Connected Basin were used to achieve multi-site environmental outcomes. The office also undertook the first use of Commonwealth environmental water as part of a long-term agreement with a non-government organisation (the Nature Foundation South Australia) at Clarks Floodplain near </w:t>
      </w:r>
      <w:proofErr w:type="spellStart"/>
      <w:r w:rsidRPr="00287BF0">
        <w:rPr>
          <w:rFonts w:ascii="Arial" w:hAnsi="Arial" w:cs="Arial"/>
          <w:color w:val="auto"/>
        </w:rPr>
        <w:t>Berri</w:t>
      </w:r>
      <w:proofErr w:type="spellEnd"/>
      <w:r w:rsidRPr="00287BF0">
        <w:rPr>
          <w:rFonts w:ascii="Arial" w:hAnsi="Arial" w:cs="Arial"/>
          <w:color w:val="auto"/>
        </w:rPr>
        <w:t>.</w:t>
      </w:r>
    </w:p>
    <w:p w:rsidR="001058D6" w:rsidRPr="00287BF0" w:rsidRDefault="001058D6" w:rsidP="001058D6">
      <w:pPr>
        <w:pStyle w:val="body"/>
        <w:rPr>
          <w:rFonts w:ascii="Arial" w:hAnsi="Arial" w:cs="Arial"/>
          <w:color w:val="auto"/>
        </w:rPr>
      </w:pPr>
      <w:r w:rsidRPr="00287BF0">
        <w:rPr>
          <w:rFonts w:ascii="Arial" w:hAnsi="Arial" w:cs="Arial"/>
          <w:color w:val="auto"/>
        </w:rPr>
        <w:t>A summary of the volume of Commonwealth environmental water delivered in the Basin during 2012–13 is provided in Appendix B. More detail on each Commonwealth watering event undertaken during 2012–13 is provided in Appendix C.</w:t>
      </w:r>
    </w:p>
    <w:p w:rsidR="001058D6" w:rsidRPr="00287BF0" w:rsidRDefault="001058D6" w:rsidP="001058D6">
      <w:pPr>
        <w:pStyle w:val="Heading4"/>
      </w:pPr>
      <w:r w:rsidRPr="00287BF0">
        <w:lastRenderedPageBreak/>
        <w:t>Carryover of Commonwealth environmental water in 2012–13</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Carryover is a water management mechanism available in regulated parts of the Basin. It entitles water licence holders to defer use of some water that is available in one year until the following year, when it may be of more benefit. </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Commonwealth carried 393 </w:t>
      </w:r>
      <w:proofErr w:type="spellStart"/>
      <w:r w:rsidRPr="00287BF0">
        <w:rPr>
          <w:rFonts w:ascii="Arial" w:hAnsi="Arial" w:cs="Arial"/>
          <w:color w:val="auto"/>
        </w:rPr>
        <w:t>gigalitres</w:t>
      </w:r>
      <w:proofErr w:type="spellEnd"/>
      <w:r w:rsidRPr="00287BF0">
        <w:rPr>
          <w:rFonts w:ascii="Arial" w:hAnsi="Arial" w:cs="Arial"/>
          <w:color w:val="auto"/>
        </w:rPr>
        <w:t xml:space="preserve"> (net, or 23 per cent of the Commonwealth water available in accounts) over from 2012–13 into 2013–14, which was a smaller volume of carryover than in the prior year because water use in the year exceeded allocations (see Appendix D). This proportion of carryover is slightly lower than that of other water users. The water is held across nine</w:t>
      </w:r>
      <w:r w:rsidRPr="00287BF0">
        <w:rPr>
          <w:rStyle w:val="TextBold"/>
          <w:rFonts w:ascii="Arial" w:hAnsi="Arial" w:cs="Arial"/>
          <w:bCs/>
          <w:color w:val="auto"/>
        </w:rPr>
        <w:t xml:space="preserve"> </w:t>
      </w:r>
      <w:r w:rsidRPr="00287BF0">
        <w:rPr>
          <w:rFonts w:ascii="Arial" w:hAnsi="Arial" w:cs="Arial"/>
          <w:color w:val="auto"/>
        </w:rPr>
        <w:t>catchments</w:t>
      </w:r>
      <w:r w:rsidRPr="00287BF0">
        <w:rPr>
          <w:rStyle w:val="TextBold"/>
          <w:rFonts w:ascii="Arial" w:hAnsi="Arial" w:cs="Arial"/>
          <w:bCs/>
          <w:color w:val="auto"/>
        </w:rPr>
        <w:t xml:space="preserve"> </w:t>
      </w:r>
      <w:r w:rsidRPr="00287BF0">
        <w:rPr>
          <w:rFonts w:ascii="Arial" w:hAnsi="Arial" w:cs="Arial"/>
          <w:color w:val="auto"/>
        </w:rPr>
        <w:t xml:space="preserve">and is equivalent to about </w:t>
      </w:r>
      <w:r w:rsidRPr="00287BF0">
        <w:rPr>
          <w:rFonts w:ascii="Arial" w:hAnsi="Arial" w:cs="Arial"/>
          <w:color w:val="auto"/>
          <w:spacing w:val="-4"/>
        </w:rPr>
        <w:t>1.8 per cent of the total public storage capacity across the Basin. In 2013–14, 43 per cent</w:t>
      </w:r>
      <w:r w:rsidRPr="00287BF0">
        <w:rPr>
          <w:rFonts w:ascii="Arial" w:hAnsi="Arial" w:cs="Arial"/>
          <w:color w:val="auto"/>
        </w:rPr>
        <w:t xml:space="preserve"> of the carryover will be held in the Southern Connected Basin and 57 per cent of the carryover will be held in the Northern Basin.</w:t>
      </w:r>
    </w:p>
    <w:p w:rsidR="001058D6" w:rsidRPr="00287BF0" w:rsidRDefault="001058D6" w:rsidP="001058D6">
      <w:pPr>
        <w:pStyle w:val="Heading4"/>
      </w:pPr>
      <w:r w:rsidRPr="00287BF0">
        <w:t>Trade of Commonwealth environmental water</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No trade was conducted in 2012–13. </w:t>
      </w:r>
    </w:p>
    <w:p w:rsidR="001058D6" w:rsidRPr="00287BF0" w:rsidRDefault="001058D6" w:rsidP="001058D6">
      <w:pPr>
        <w:pStyle w:val="Heading4"/>
      </w:pPr>
      <w:r w:rsidRPr="00287BF0">
        <w:t>Monitoring of Commonwealth environmental watering</w:t>
      </w:r>
    </w:p>
    <w:p w:rsidR="001058D6" w:rsidRPr="00287BF0" w:rsidRDefault="001058D6" w:rsidP="001058D6">
      <w:pPr>
        <w:pStyle w:val="body"/>
        <w:rPr>
          <w:rStyle w:val="TextBold"/>
          <w:rFonts w:ascii="Arial" w:hAnsi="Arial" w:cs="Arial"/>
          <w:bCs/>
          <w:color w:val="auto"/>
        </w:rPr>
      </w:pPr>
      <w:r w:rsidRPr="00287BF0">
        <w:rPr>
          <w:rFonts w:ascii="Arial" w:hAnsi="Arial" w:cs="Arial"/>
          <w:color w:val="auto"/>
        </w:rPr>
        <w:t xml:space="preserve">In 2012–13 short term (one year) targeted intervention monitoring projects were commissioned by the office and undertaken in key areas across the Basin including the </w:t>
      </w:r>
      <w:proofErr w:type="spellStart"/>
      <w:r w:rsidRPr="00287BF0">
        <w:rPr>
          <w:rFonts w:ascii="Arial" w:hAnsi="Arial" w:cs="Arial"/>
          <w:color w:val="auto"/>
        </w:rPr>
        <w:t>Murrumbidgee</w:t>
      </w:r>
      <w:proofErr w:type="spellEnd"/>
      <w:r w:rsidRPr="00287BF0">
        <w:rPr>
          <w:rFonts w:ascii="Arial" w:hAnsi="Arial" w:cs="Arial"/>
          <w:color w:val="auto"/>
        </w:rPr>
        <w:t>, Edward–</w:t>
      </w:r>
      <w:proofErr w:type="spellStart"/>
      <w:r w:rsidRPr="00287BF0">
        <w:rPr>
          <w:rFonts w:ascii="Arial" w:hAnsi="Arial" w:cs="Arial"/>
          <w:color w:val="auto"/>
        </w:rPr>
        <w:t>Wakool</w:t>
      </w:r>
      <w:proofErr w:type="spellEnd"/>
      <w:r w:rsidRPr="00287BF0">
        <w:rPr>
          <w:rFonts w:ascii="Arial" w:hAnsi="Arial" w:cs="Arial"/>
          <w:color w:val="auto"/>
        </w:rPr>
        <w:t xml:space="preserve">, Lower Murray and </w:t>
      </w:r>
      <w:proofErr w:type="spellStart"/>
      <w:r w:rsidRPr="00287BF0">
        <w:rPr>
          <w:rFonts w:ascii="Arial" w:hAnsi="Arial" w:cs="Arial"/>
          <w:color w:val="auto"/>
        </w:rPr>
        <w:t>Goulburn</w:t>
      </w:r>
      <w:proofErr w:type="spellEnd"/>
      <w:r w:rsidRPr="00287BF0">
        <w:rPr>
          <w:rFonts w:ascii="Arial" w:hAnsi="Arial" w:cs="Arial"/>
          <w:color w:val="auto"/>
        </w:rPr>
        <w:t xml:space="preserve"> catchments. More detail about these projects is included in Table 1. Results of monitoring Commonwealth environmental water actions are published on the office’s website and demonstrate the environmental benefits of these actions.</w:t>
      </w:r>
    </w:p>
    <w:p w:rsidR="001058D6" w:rsidRDefault="001058D6" w:rsidP="007B2F2F">
      <w:pPr>
        <w:pStyle w:val="figureheading"/>
        <w:rPr>
          <w:rStyle w:val="TextBold"/>
          <w:rFonts w:cs="Arial"/>
          <w:b/>
          <w:color w:val="auto"/>
        </w:rPr>
        <w:sectPr w:rsidR="001058D6" w:rsidSect="00EC045C">
          <w:footerReference w:type="default" r:id="rId12"/>
          <w:pgSz w:w="11906" w:h="16838" w:code="9"/>
          <w:pgMar w:top="1134" w:right="1134" w:bottom="1134" w:left="1134" w:header="958" w:footer="737" w:gutter="0"/>
          <w:pgNumType w:start="1"/>
          <w:cols w:space="708"/>
          <w:docGrid w:linePitch="360"/>
        </w:sectPr>
      </w:pP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Table 1:</w:t>
      </w:r>
      <w:r w:rsidRPr="00287BF0">
        <w:rPr>
          <w:rStyle w:val="TextBold"/>
          <w:rFonts w:cs="Arial"/>
          <w:b/>
          <w:color w:val="auto"/>
        </w:rPr>
        <w:tab/>
        <w:t>Summary of Commonwealth environmental water short-term ecological monitoring projects commenced in 2012–13 (results expected to be published in early 2014)</w:t>
      </w:r>
    </w:p>
    <w:tbl>
      <w:tblPr>
        <w:tblStyle w:val="TableGrid1"/>
        <w:tblW w:w="5000" w:type="pct"/>
        <w:tblLook w:val="0020"/>
      </w:tblPr>
      <w:tblGrid>
        <w:gridCol w:w="2957"/>
        <w:gridCol w:w="2957"/>
        <w:gridCol w:w="2958"/>
        <w:gridCol w:w="2958"/>
        <w:gridCol w:w="2958"/>
      </w:tblGrid>
      <w:tr w:rsidR="001058D6" w:rsidRPr="00287BF0" w:rsidTr="001058D6">
        <w:trPr>
          <w:trHeight w:val="471"/>
        </w:trPr>
        <w:tc>
          <w:tcPr>
            <w:tcW w:w="1000" w:type="pct"/>
            <w:vMerge w:val="restart"/>
          </w:tcPr>
          <w:p w:rsidR="001058D6" w:rsidRPr="00287BF0" w:rsidRDefault="001058D6" w:rsidP="00154DBC">
            <w:pPr>
              <w:pStyle w:val="tablehead"/>
            </w:pPr>
            <w:r w:rsidRPr="00287BF0">
              <w:rPr>
                <w:rStyle w:val="TextBold"/>
                <w:b/>
              </w:rPr>
              <w:t>Catchment</w:t>
            </w:r>
          </w:p>
        </w:tc>
        <w:tc>
          <w:tcPr>
            <w:tcW w:w="1000" w:type="pct"/>
            <w:vMerge w:val="restart"/>
          </w:tcPr>
          <w:p w:rsidR="001058D6" w:rsidRPr="00287BF0" w:rsidRDefault="001058D6" w:rsidP="00154DBC">
            <w:pPr>
              <w:pStyle w:val="tablehead"/>
            </w:pPr>
            <w:r w:rsidRPr="00287BF0">
              <w:rPr>
                <w:rStyle w:val="TextBold"/>
                <w:b/>
              </w:rPr>
              <w:t>Site</w:t>
            </w:r>
          </w:p>
        </w:tc>
        <w:tc>
          <w:tcPr>
            <w:tcW w:w="1000" w:type="pct"/>
            <w:vMerge w:val="restart"/>
          </w:tcPr>
          <w:p w:rsidR="001058D6" w:rsidRPr="00287BF0" w:rsidRDefault="001058D6" w:rsidP="00154DBC">
            <w:pPr>
              <w:pStyle w:val="tablehead"/>
            </w:pPr>
            <w:r w:rsidRPr="00287BF0">
              <w:rPr>
                <w:rStyle w:val="TextBold"/>
                <w:b/>
              </w:rPr>
              <w:t>Indicators of ecological response to environmental water</w:t>
            </w:r>
          </w:p>
        </w:tc>
        <w:tc>
          <w:tcPr>
            <w:tcW w:w="2000" w:type="pct"/>
            <w:gridSpan w:val="2"/>
          </w:tcPr>
          <w:p w:rsidR="001058D6" w:rsidRPr="00287BF0" w:rsidRDefault="001058D6" w:rsidP="00154DBC">
            <w:pPr>
              <w:pStyle w:val="tablehead"/>
            </w:pPr>
            <w:r w:rsidRPr="00287BF0">
              <w:rPr>
                <w:rStyle w:val="TextBold"/>
                <w:b/>
              </w:rPr>
              <w:t>Organisation</w:t>
            </w:r>
          </w:p>
        </w:tc>
      </w:tr>
      <w:tr w:rsidR="001058D6" w:rsidRPr="00287BF0" w:rsidTr="001058D6">
        <w:trPr>
          <w:trHeight w:val="421"/>
        </w:trPr>
        <w:tc>
          <w:tcPr>
            <w:tcW w:w="1000"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000"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000"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000" w:type="pct"/>
          </w:tcPr>
          <w:p w:rsidR="001058D6" w:rsidRPr="00287BF0" w:rsidRDefault="001058D6" w:rsidP="00154DBC">
            <w:pPr>
              <w:pStyle w:val="tablehead"/>
            </w:pPr>
            <w:r w:rsidRPr="00287BF0">
              <w:rPr>
                <w:rStyle w:val="TextBold"/>
                <w:b/>
              </w:rPr>
              <w:t>Lead</w:t>
            </w:r>
          </w:p>
        </w:tc>
        <w:tc>
          <w:tcPr>
            <w:tcW w:w="1000" w:type="pct"/>
          </w:tcPr>
          <w:p w:rsidR="001058D6" w:rsidRPr="00287BF0" w:rsidRDefault="001058D6" w:rsidP="00154DBC">
            <w:pPr>
              <w:pStyle w:val="tablehead"/>
            </w:pPr>
            <w:r w:rsidRPr="00287BF0">
              <w:rPr>
                <w:rStyle w:val="TextBold"/>
                <w:b/>
              </w:rPr>
              <w:t>Partner</w:t>
            </w:r>
          </w:p>
        </w:tc>
      </w:tr>
      <w:tr w:rsidR="001058D6" w:rsidRPr="00287BF0" w:rsidTr="001058D6">
        <w:trPr>
          <w:trHeight w:val="887"/>
        </w:trPr>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r w:rsidRPr="00287BF0">
              <w:rPr>
                <w:rFonts w:ascii="Arial" w:hAnsi="Arial" w:cs="Arial"/>
                <w:color w:val="auto"/>
              </w:rPr>
              <w:t>-Broken</w:t>
            </w:r>
          </w:p>
        </w:tc>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r w:rsidRPr="00287BF0">
              <w:rPr>
                <w:rFonts w:ascii="Arial" w:hAnsi="Arial" w:cs="Arial"/>
                <w:color w:val="auto"/>
              </w:rPr>
              <w:t xml:space="preserve"> River and Broken Creek</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Primary productivity, fish, </w:t>
            </w:r>
            <w:proofErr w:type="spellStart"/>
            <w:r w:rsidRPr="00287BF0">
              <w:rPr>
                <w:rFonts w:ascii="Arial" w:hAnsi="Arial" w:cs="Arial"/>
                <w:color w:val="auto"/>
              </w:rPr>
              <w:t>macroinvertebrates</w:t>
            </w:r>
            <w:proofErr w:type="spellEnd"/>
            <w:r w:rsidRPr="00287BF0">
              <w:rPr>
                <w:rFonts w:ascii="Arial" w:hAnsi="Arial" w:cs="Arial"/>
                <w:color w:val="auto"/>
              </w:rPr>
              <w:t xml:space="preserve">, habitat, sediment, vegetation and water quality.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University of Melbourne (Murray–Darling Freshwater Research Centre oversight)</w:t>
            </w:r>
          </w:p>
        </w:tc>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Monash</w:t>
            </w:r>
            <w:proofErr w:type="spellEnd"/>
            <w:r w:rsidRPr="00287BF0">
              <w:rPr>
                <w:rFonts w:ascii="Arial" w:hAnsi="Arial" w:cs="Arial"/>
                <w:color w:val="auto"/>
              </w:rPr>
              <w:t xml:space="preserve"> University, Arthur </w:t>
            </w:r>
            <w:proofErr w:type="spellStart"/>
            <w:r w:rsidRPr="00287BF0">
              <w:rPr>
                <w:rFonts w:ascii="Arial" w:hAnsi="Arial" w:cs="Arial"/>
                <w:color w:val="auto"/>
              </w:rPr>
              <w:t>Rylah</w:t>
            </w:r>
            <w:proofErr w:type="spellEnd"/>
            <w:r w:rsidRPr="00287BF0">
              <w:rPr>
                <w:rFonts w:ascii="Arial" w:hAnsi="Arial" w:cs="Arial"/>
                <w:color w:val="auto"/>
              </w:rPr>
              <w:t xml:space="preserve"> Institute</w:t>
            </w:r>
          </w:p>
        </w:tc>
      </w:tr>
      <w:tr w:rsidR="001058D6" w:rsidRPr="00287BF0" w:rsidTr="001058D6">
        <w:trPr>
          <w:trHeight w:val="1265"/>
        </w:trPr>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Murray</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Edward–</w:t>
            </w:r>
            <w:proofErr w:type="spellStart"/>
            <w:r w:rsidRPr="00287BF0">
              <w:rPr>
                <w:rFonts w:ascii="Arial" w:hAnsi="Arial" w:cs="Arial"/>
                <w:color w:val="auto"/>
              </w:rPr>
              <w:t>Wakool</w:t>
            </w:r>
            <w:proofErr w:type="spellEnd"/>
            <w:r w:rsidRPr="00287BF0">
              <w:rPr>
                <w:rFonts w:ascii="Arial" w:hAnsi="Arial" w:cs="Arial"/>
                <w:color w:val="auto"/>
              </w:rPr>
              <w:t xml:space="preserve"> River system</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Water quality, organic matter, zooplankton, </w:t>
            </w:r>
            <w:proofErr w:type="spellStart"/>
            <w:r w:rsidRPr="00287BF0">
              <w:rPr>
                <w:rFonts w:ascii="Arial" w:hAnsi="Arial" w:cs="Arial"/>
                <w:color w:val="auto"/>
              </w:rPr>
              <w:t>macroinvertebrates</w:t>
            </w:r>
            <w:proofErr w:type="spellEnd"/>
            <w:r w:rsidRPr="00287BF0">
              <w:rPr>
                <w:rFonts w:ascii="Arial" w:hAnsi="Arial" w:cs="Arial"/>
                <w:color w:val="auto"/>
              </w:rPr>
              <w:t xml:space="preserve">, phytoplankton, </w:t>
            </w:r>
            <w:proofErr w:type="spellStart"/>
            <w:r w:rsidRPr="00287BF0">
              <w:rPr>
                <w:rFonts w:ascii="Arial" w:hAnsi="Arial" w:cs="Arial"/>
                <w:color w:val="auto"/>
              </w:rPr>
              <w:t>biofilms</w:t>
            </w:r>
            <w:proofErr w:type="spellEnd"/>
            <w:r w:rsidRPr="00287BF0">
              <w:rPr>
                <w:rFonts w:ascii="Arial" w:hAnsi="Arial" w:cs="Arial"/>
                <w:color w:val="auto"/>
              </w:rPr>
              <w:t xml:space="preserve">, fish and frogs.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Charles </w:t>
            </w:r>
            <w:proofErr w:type="spellStart"/>
            <w:r w:rsidRPr="00287BF0">
              <w:rPr>
                <w:rFonts w:ascii="Arial" w:hAnsi="Arial" w:cs="Arial"/>
                <w:color w:val="auto"/>
              </w:rPr>
              <w:t>Sturt</w:t>
            </w:r>
            <w:proofErr w:type="spellEnd"/>
            <w:r w:rsidRPr="00287BF0">
              <w:rPr>
                <w:rFonts w:ascii="Arial" w:hAnsi="Arial" w:cs="Arial"/>
                <w:color w:val="auto"/>
              </w:rPr>
              <w:t xml:space="preserve"> University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NSW Office of Environment and Heritage, </w:t>
            </w:r>
            <w:proofErr w:type="spellStart"/>
            <w:r w:rsidRPr="00287BF0">
              <w:rPr>
                <w:rFonts w:ascii="Arial" w:hAnsi="Arial" w:cs="Arial"/>
                <w:color w:val="auto"/>
              </w:rPr>
              <w:t>Monash</w:t>
            </w:r>
            <w:proofErr w:type="spellEnd"/>
            <w:r w:rsidRPr="00287BF0">
              <w:rPr>
                <w:rFonts w:ascii="Arial" w:hAnsi="Arial" w:cs="Arial"/>
                <w:color w:val="auto"/>
              </w:rPr>
              <w:t xml:space="preserve"> University, NSW Department of Primary Industry (DPI), Murray Catchment Management Authority (CMA), </w:t>
            </w:r>
            <w:proofErr w:type="spellStart"/>
            <w:r w:rsidRPr="00287BF0">
              <w:rPr>
                <w:rFonts w:ascii="Arial" w:hAnsi="Arial" w:cs="Arial"/>
                <w:color w:val="auto"/>
              </w:rPr>
              <w:t>Wakool</w:t>
            </w:r>
            <w:proofErr w:type="spellEnd"/>
            <w:r w:rsidRPr="00287BF0">
              <w:rPr>
                <w:rFonts w:ascii="Arial" w:hAnsi="Arial" w:cs="Arial"/>
                <w:color w:val="auto"/>
              </w:rPr>
              <w:t xml:space="preserve"> Landholders</w:t>
            </w:r>
          </w:p>
        </w:tc>
      </w:tr>
      <w:tr w:rsidR="001058D6" w:rsidRPr="00287BF0" w:rsidTr="001058D6">
        <w:trPr>
          <w:trHeight w:val="1513"/>
        </w:trPr>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Murrumbidgee</w:t>
            </w:r>
            <w:proofErr w:type="spellEnd"/>
          </w:p>
        </w:tc>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Murrumbidgee</w:t>
            </w:r>
            <w:proofErr w:type="spellEnd"/>
            <w:r w:rsidRPr="00287BF0">
              <w:rPr>
                <w:rFonts w:ascii="Arial" w:hAnsi="Arial" w:cs="Arial"/>
                <w:color w:val="auto"/>
              </w:rPr>
              <w:t xml:space="preserve"> River and adjacent wetlands</w:t>
            </w:r>
          </w:p>
        </w:tc>
        <w:tc>
          <w:tcPr>
            <w:tcW w:w="1000"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Biofilms</w:t>
            </w:r>
            <w:proofErr w:type="spellEnd"/>
            <w:r w:rsidRPr="00287BF0">
              <w:rPr>
                <w:rFonts w:ascii="Arial" w:hAnsi="Arial" w:cs="Arial"/>
                <w:color w:val="auto"/>
              </w:rPr>
              <w:t xml:space="preserve">, vegetation </w:t>
            </w:r>
            <w:proofErr w:type="spellStart"/>
            <w:r w:rsidRPr="00287BF0">
              <w:rPr>
                <w:rFonts w:ascii="Arial" w:hAnsi="Arial" w:cs="Arial"/>
                <w:color w:val="auto"/>
              </w:rPr>
              <w:t>macroinvertebrates</w:t>
            </w:r>
            <w:proofErr w:type="spellEnd"/>
            <w:r w:rsidRPr="00287BF0">
              <w:rPr>
                <w:rFonts w:ascii="Arial" w:hAnsi="Arial" w:cs="Arial"/>
                <w:color w:val="auto"/>
              </w:rPr>
              <w:t xml:space="preserve">, fish, frogs, water quality, </w:t>
            </w:r>
            <w:proofErr w:type="spellStart"/>
            <w:r w:rsidRPr="00287BF0">
              <w:rPr>
                <w:rFonts w:ascii="Arial" w:hAnsi="Arial" w:cs="Arial"/>
                <w:color w:val="auto"/>
              </w:rPr>
              <w:t>waterbirds</w:t>
            </w:r>
            <w:proofErr w:type="spellEnd"/>
            <w:r w:rsidRPr="00287BF0">
              <w:rPr>
                <w:rFonts w:ascii="Arial" w:hAnsi="Arial" w:cs="Arial"/>
                <w:color w:val="auto"/>
              </w:rPr>
              <w:t>, zooplankton and carbon/nutrients.</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Charles </w:t>
            </w:r>
            <w:proofErr w:type="spellStart"/>
            <w:r w:rsidRPr="00287BF0">
              <w:rPr>
                <w:rFonts w:ascii="Arial" w:hAnsi="Arial" w:cs="Arial"/>
                <w:color w:val="auto"/>
              </w:rPr>
              <w:t>Sturt</w:t>
            </w:r>
            <w:proofErr w:type="spellEnd"/>
            <w:r w:rsidRPr="00287BF0">
              <w:rPr>
                <w:rFonts w:ascii="Arial" w:hAnsi="Arial" w:cs="Arial"/>
                <w:color w:val="auto"/>
              </w:rPr>
              <w:t xml:space="preserve"> University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NSW Office of Environment and Heritage, University of NSW, NSW Department of Primary Industries, </w:t>
            </w:r>
            <w:proofErr w:type="spellStart"/>
            <w:r w:rsidRPr="00287BF0">
              <w:rPr>
                <w:rFonts w:ascii="Arial" w:hAnsi="Arial" w:cs="Arial"/>
                <w:color w:val="auto"/>
              </w:rPr>
              <w:t>Murrumbidgee</w:t>
            </w:r>
            <w:proofErr w:type="spellEnd"/>
            <w:r w:rsidRPr="00287BF0">
              <w:rPr>
                <w:rFonts w:ascii="Arial" w:hAnsi="Arial" w:cs="Arial"/>
                <w:color w:val="auto"/>
              </w:rPr>
              <w:t xml:space="preserve"> Catchment Management Authority</w:t>
            </w:r>
          </w:p>
        </w:tc>
      </w:tr>
      <w:tr w:rsidR="001058D6" w:rsidRPr="00287BF0" w:rsidTr="001058D6">
        <w:trPr>
          <w:trHeight w:val="300"/>
        </w:trPr>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Lower Murray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Murray River channel, Lower Lakes, Coorong</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Fish (spawning, assemblage, recruitment, movement and natal origin); water quality (salt and nutrient export); larval fish food resources; fringing wetland connectivity and frogs.</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South Australian Research and Development Institute </w:t>
            </w:r>
          </w:p>
        </w:tc>
        <w:tc>
          <w:tcPr>
            <w:tcW w:w="100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University of Adelaide, University of Western Australia, CSIRO</w:t>
            </w:r>
          </w:p>
        </w:tc>
      </w:tr>
    </w:tbl>
    <w:p w:rsidR="001058D6" w:rsidRPr="00287BF0" w:rsidRDefault="001058D6" w:rsidP="001058D6">
      <w:pPr>
        <w:pStyle w:val="body"/>
        <w:rPr>
          <w:rFonts w:ascii="Arial" w:hAnsi="Arial" w:cs="Arial"/>
          <w:color w:val="auto"/>
        </w:rPr>
      </w:pPr>
    </w:p>
    <w:p w:rsidR="001058D6" w:rsidRPr="00287BF0" w:rsidRDefault="001058D6" w:rsidP="001058D6">
      <w:pPr>
        <w:pStyle w:val="body"/>
        <w:rPr>
          <w:rFonts w:ascii="Arial" w:hAnsi="Arial" w:cs="Arial"/>
          <w:color w:val="auto"/>
        </w:rPr>
      </w:pPr>
    </w:p>
    <w:p w:rsidR="001058D6" w:rsidRDefault="001058D6" w:rsidP="001058D6">
      <w:pPr>
        <w:pStyle w:val="H2"/>
        <w:rPr>
          <w:rStyle w:val="TextBold"/>
          <w:rFonts w:ascii="Arial" w:hAnsi="Arial" w:cs="Arial"/>
          <w:b/>
          <w:color w:val="auto"/>
        </w:rPr>
        <w:sectPr w:rsidR="001058D6" w:rsidSect="001058D6">
          <w:pgSz w:w="16840" w:h="11900" w:orient="landscape" w:code="9"/>
          <w:pgMar w:top="1134" w:right="1134" w:bottom="1134" w:left="1134" w:header="958" w:footer="737" w:gutter="0"/>
          <w:cols w:space="708"/>
          <w:docGrid w:linePitch="360"/>
        </w:sectPr>
      </w:pPr>
    </w:p>
    <w:p w:rsidR="001058D6" w:rsidRPr="00287BF0" w:rsidRDefault="001058D6" w:rsidP="001058D6">
      <w:pPr>
        <w:pStyle w:val="Heading3"/>
        <w:rPr>
          <w:rStyle w:val="TextBold"/>
          <w:b/>
        </w:rPr>
      </w:pPr>
      <w:bookmarkStart w:id="3" w:name="_Administration_of_Commonwealth"/>
      <w:bookmarkEnd w:id="3"/>
      <w:r w:rsidRPr="00287BF0">
        <w:rPr>
          <w:rStyle w:val="TextBold"/>
          <w:b/>
        </w:rPr>
        <w:lastRenderedPageBreak/>
        <w:t>Administration of Commonwealth environmental water</w:t>
      </w:r>
    </w:p>
    <w:p w:rsidR="001058D6" w:rsidRPr="00287BF0" w:rsidRDefault="001058D6" w:rsidP="001058D6">
      <w:pPr>
        <w:pStyle w:val="Heading4"/>
      </w:pPr>
      <w:r w:rsidRPr="00287BF0">
        <w:t>Directions given to the Commonwealth Environmental Water Holder</w:t>
      </w:r>
    </w:p>
    <w:p w:rsidR="001058D6" w:rsidRPr="00287BF0" w:rsidRDefault="001058D6" w:rsidP="001058D6">
      <w:pPr>
        <w:pStyle w:val="body"/>
        <w:rPr>
          <w:rFonts w:ascii="Arial" w:hAnsi="Arial" w:cs="Arial"/>
          <w:color w:val="auto"/>
        </w:rPr>
      </w:pPr>
      <w:r w:rsidRPr="00287BF0">
        <w:rPr>
          <w:rFonts w:ascii="Arial" w:hAnsi="Arial" w:cs="Arial"/>
          <w:color w:val="auto"/>
        </w:rPr>
        <w:t>No directions were given in 2012–13 to the CEWH by either the minister or the secretary of the department.</w:t>
      </w:r>
    </w:p>
    <w:p w:rsidR="001058D6" w:rsidRPr="00287BF0" w:rsidRDefault="001058D6" w:rsidP="001058D6">
      <w:pPr>
        <w:pStyle w:val="Heading4"/>
      </w:pPr>
      <w:r w:rsidRPr="00287BF0">
        <w:t>Australian National Audit Office report</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In May 2013 the Australian National Audit Office (ANAO) completed audit report No.36 2012–13 performance audit: Commonwealth environmental watering activities, which assessed the effectiveness of the office’s administration of environmental water holdings. The audit examined whether the </w:t>
      </w:r>
      <w:proofErr w:type="gramStart"/>
      <w:r w:rsidRPr="00287BF0">
        <w:rPr>
          <w:rFonts w:ascii="Arial" w:hAnsi="Arial" w:cs="Arial"/>
          <w:color w:val="auto"/>
        </w:rPr>
        <w:t>office’s</w:t>
      </w:r>
      <w:proofErr w:type="gramEnd"/>
      <w:r w:rsidRPr="00287BF0">
        <w:rPr>
          <w:rFonts w:ascii="Arial" w:hAnsi="Arial" w:cs="Arial"/>
          <w:color w:val="auto"/>
        </w:rPr>
        <w:t>:</w:t>
      </w:r>
    </w:p>
    <w:p w:rsidR="001058D6" w:rsidRPr="00287BF0" w:rsidRDefault="001058D6" w:rsidP="00DB36E9">
      <w:pPr>
        <w:pStyle w:val="secondbulets"/>
        <w:numPr>
          <w:ilvl w:val="0"/>
          <w:numId w:val="13"/>
        </w:numPr>
        <w:rPr>
          <w:rFonts w:ascii="Arial" w:hAnsi="Arial" w:cs="Arial"/>
          <w:color w:val="auto"/>
        </w:rPr>
      </w:pPr>
      <w:r w:rsidRPr="00287BF0">
        <w:rPr>
          <w:rFonts w:ascii="Arial" w:hAnsi="Arial" w:cs="Arial"/>
          <w:color w:val="auto"/>
        </w:rPr>
        <w:t>governance arrangements are appropriate to effectively manage and report on the office’s environmental watering activities</w:t>
      </w:r>
    </w:p>
    <w:p w:rsidR="001058D6" w:rsidRPr="00287BF0" w:rsidRDefault="001058D6" w:rsidP="00DB36E9">
      <w:pPr>
        <w:pStyle w:val="secondbulets"/>
        <w:numPr>
          <w:ilvl w:val="0"/>
          <w:numId w:val="13"/>
        </w:numPr>
        <w:rPr>
          <w:rFonts w:ascii="Arial" w:hAnsi="Arial" w:cs="Arial"/>
          <w:color w:val="auto"/>
        </w:rPr>
      </w:pPr>
      <w:r w:rsidRPr="00287BF0">
        <w:rPr>
          <w:rFonts w:ascii="Arial" w:hAnsi="Arial" w:cs="Arial"/>
          <w:color w:val="auto"/>
        </w:rPr>
        <w:t>engagement of all relevant stakeholders effectively facilitates the management of the office’s environmental watering activities</w:t>
      </w:r>
    </w:p>
    <w:p w:rsidR="001058D6" w:rsidRPr="00287BF0" w:rsidRDefault="001058D6" w:rsidP="00DB36E9">
      <w:pPr>
        <w:pStyle w:val="secondbulets"/>
        <w:numPr>
          <w:ilvl w:val="0"/>
          <w:numId w:val="13"/>
        </w:numPr>
        <w:rPr>
          <w:rFonts w:ascii="Arial" w:hAnsi="Arial" w:cs="Arial"/>
          <w:color w:val="auto"/>
        </w:rPr>
      </w:pPr>
      <w:r w:rsidRPr="00287BF0">
        <w:rPr>
          <w:rFonts w:ascii="Arial" w:hAnsi="Arial" w:cs="Arial"/>
          <w:color w:val="auto"/>
        </w:rPr>
        <w:t>arrangements to plan and target available Commonwealth environmental water at priority environmental assets are effective</w:t>
      </w:r>
    </w:p>
    <w:p w:rsidR="001058D6" w:rsidRPr="00287BF0" w:rsidRDefault="001058D6" w:rsidP="00DB36E9">
      <w:pPr>
        <w:pStyle w:val="secondbulets"/>
        <w:numPr>
          <w:ilvl w:val="0"/>
          <w:numId w:val="13"/>
        </w:numPr>
        <w:rPr>
          <w:rFonts w:ascii="Arial" w:hAnsi="Arial" w:cs="Arial"/>
          <w:color w:val="auto"/>
        </w:rPr>
      </w:pPr>
      <w:r w:rsidRPr="00287BF0">
        <w:rPr>
          <w:rFonts w:ascii="Arial" w:hAnsi="Arial" w:cs="Arial"/>
          <w:color w:val="auto"/>
        </w:rPr>
        <w:t>arrangements to deliver Commonwealth environmental water to the designated environmental assets are effective and timely</w:t>
      </w:r>
    </w:p>
    <w:p w:rsidR="001058D6" w:rsidRPr="00287BF0" w:rsidRDefault="001058D6" w:rsidP="00DB36E9">
      <w:pPr>
        <w:pStyle w:val="secondbulets"/>
        <w:numPr>
          <w:ilvl w:val="0"/>
          <w:numId w:val="13"/>
        </w:numPr>
        <w:spacing w:after="113"/>
        <w:rPr>
          <w:rFonts w:ascii="Arial" w:hAnsi="Arial" w:cs="Arial"/>
          <w:color w:val="auto"/>
        </w:rPr>
      </w:pPr>
      <w:proofErr w:type="gramStart"/>
      <w:r w:rsidRPr="00287BF0">
        <w:rPr>
          <w:rFonts w:ascii="Arial" w:hAnsi="Arial" w:cs="Arial"/>
          <w:color w:val="auto"/>
        </w:rPr>
        <w:t>monitoring</w:t>
      </w:r>
      <w:proofErr w:type="gramEnd"/>
      <w:r w:rsidRPr="00287BF0">
        <w:rPr>
          <w:rFonts w:ascii="Arial" w:hAnsi="Arial" w:cs="Arial"/>
          <w:color w:val="auto"/>
        </w:rPr>
        <w:t xml:space="preserve"> and evaluation activities effectively identify the outcomes achieved from the office’s environmental watering activities, and influence future water use decisions.</w:t>
      </w:r>
    </w:p>
    <w:p w:rsidR="001058D6" w:rsidRPr="00287BF0" w:rsidRDefault="001058D6" w:rsidP="001058D6">
      <w:pPr>
        <w:pStyle w:val="body"/>
        <w:rPr>
          <w:rFonts w:ascii="Arial" w:hAnsi="Arial" w:cs="Arial"/>
          <w:color w:val="auto"/>
        </w:rPr>
      </w:pPr>
      <w:r w:rsidRPr="00287BF0">
        <w:rPr>
          <w:rFonts w:ascii="Arial" w:hAnsi="Arial" w:cs="Arial"/>
          <w:color w:val="auto"/>
        </w:rPr>
        <w:t>The ANAO found that the strategies for managing Commonwealth environmental water are generally sound and made no formal recommendations for change, instead offering a number of suggestions for improvement. The office accepted those suggestions. Measures that the office is putting in place include:</w:t>
      </w:r>
    </w:p>
    <w:p w:rsidR="001058D6" w:rsidRPr="00287BF0" w:rsidRDefault="001058D6" w:rsidP="00DB36E9">
      <w:pPr>
        <w:pStyle w:val="secondbulets"/>
        <w:numPr>
          <w:ilvl w:val="0"/>
          <w:numId w:val="14"/>
        </w:numPr>
        <w:rPr>
          <w:rFonts w:ascii="Arial" w:hAnsi="Arial" w:cs="Arial"/>
          <w:color w:val="auto"/>
        </w:rPr>
      </w:pPr>
      <w:r w:rsidRPr="00287BF0">
        <w:rPr>
          <w:rFonts w:ascii="Arial" w:hAnsi="Arial" w:cs="Arial"/>
          <w:color w:val="auto"/>
        </w:rPr>
        <w:t>improved stakeholder engagement through the employment of local engagement officers and the development of new communications and stakeholder engagement strategies</w:t>
      </w:r>
    </w:p>
    <w:p w:rsidR="001058D6" w:rsidRPr="00287BF0" w:rsidRDefault="001058D6" w:rsidP="00DB36E9">
      <w:pPr>
        <w:pStyle w:val="secondbulets"/>
        <w:numPr>
          <w:ilvl w:val="0"/>
          <w:numId w:val="14"/>
        </w:numPr>
        <w:rPr>
          <w:rFonts w:ascii="Arial" w:hAnsi="Arial" w:cs="Arial"/>
          <w:color w:val="auto"/>
        </w:rPr>
      </w:pPr>
      <w:r w:rsidRPr="00287BF0">
        <w:rPr>
          <w:rFonts w:ascii="Arial" w:hAnsi="Arial" w:cs="Arial"/>
          <w:color w:val="auto"/>
        </w:rPr>
        <w:t>establishing a new water holdings register</w:t>
      </w:r>
    </w:p>
    <w:p w:rsidR="001058D6" w:rsidRPr="00287BF0" w:rsidRDefault="001058D6" w:rsidP="00DB36E9">
      <w:pPr>
        <w:pStyle w:val="secondbulets"/>
        <w:numPr>
          <w:ilvl w:val="0"/>
          <w:numId w:val="14"/>
        </w:numPr>
        <w:rPr>
          <w:rFonts w:ascii="Arial" w:hAnsi="Arial" w:cs="Arial"/>
          <w:color w:val="auto"/>
        </w:rPr>
      </w:pPr>
      <w:r w:rsidRPr="00287BF0">
        <w:rPr>
          <w:rFonts w:ascii="Arial" w:hAnsi="Arial" w:cs="Arial"/>
          <w:color w:val="auto"/>
        </w:rPr>
        <w:t>engaging in longer term portfolio planning</w:t>
      </w:r>
    </w:p>
    <w:p w:rsidR="001058D6" w:rsidRPr="00287BF0" w:rsidRDefault="001058D6" w:rsidP="00DB36E9">
      <w:pPr>
        <w:pStyle w:val="secondbulets"/>
        <w:numPr>
          <w:ilvl w:val="0"/>
          <w:numId w:val="14"/>
        </w:numPr>
        <w:rPr>
          <w:rFonts w:ascii="Arial" w:hAnsi="Arial" w:cs="Arial"/>
          <w:color w:val="auto"/>
        </w:rPr>
      </w:pPr>
      <w:r w:rsidRPr="00287BF0">
        <w:rPr>
          <w:rFonts w:ascii="Arial" w:hAnsi="Arial" w:cs="Arial"/>
          <w:color w:val="auto"/>
        </w:rPr>
        <w:t>undertaking more regular reviews of performance against the office’s business plan</w:t>
      </w:r>
    </w:p>
    <w:p w:rsidR="001058D6" w:rsidRPr="00287BF0" w:rsidRDefault="001058D6" w:rsidP="00DB36E9">
      <w:pPr>
        <w:pStyle w:val="secondbulets"/>
        <w:numPr>
          <w:ilvl w:val="0"/>
          <w:numId w:val="14"/>
        </w:numPr>
        <w:rPr>
          <w:rFonts w:ascii="Arial" w:hAnsi="Arial" w:cs="Arial"/>
          <w:color w:val="auto"/>
          <w:spacing w:val="-4"/>
        </w:rPr>
      </w:pPr>
      <w:proofErr w:type="gramStart"/>
      <w:r w:rsidRPr="00287BF0">
        <w:rPr>
          <w:rFonts w:ascii="Arial" w:hAnsi="Arial" w:cs="Arial"/>
          <w:color w:val="auto"/>
          <w:spacing w:val="-4"/>
        </w:rPr>
        <w:t>implementing</w:t>
      </w:r>
      <w:proofErr w:type="gramEnd"/>
      <w:r w:rsidRPr="00287BF0">
        <w:rPr>
          <w:rFonts w:ascii="Arial" w:hAnsi="Arial" w:cs="Arial"/>
          <w:color w:val="auto"/>
          <w:spacing w:val="-4"/>
        </w:rPr>
        <w:t xml:space="preserve"> a standard framework for determining operational monitoring requirements and preparing a standardised acquittal report for each watering action.</w:t>
      </w:r>
    </w:p>
    <w:p w:rsidR="001058D6" w:rsidRPr="00287BF0" w:rsidRDefault="001058D6" w:rsidP="001058D6">
      <w:pPr>
        <w:pStyle w:val="Heading4"/>
      </w:pPr>
      <w:r w:rsidRPr="00287BF0">
        <w:t>Murray–Darling Basin Plan and environmental watering plan</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In November 2012 the Basin Plan came into effect under the </w:t>
      </w:r>
      <w:r w:rsidRPr="00287BF0">
        <w:rPr>
          <w:rStyle w:val="Textitalic"/>
          <w:rFonts w:ascii="Arial" w:hAnsi="Arial" w:cs="Arial"/>
          <w:iCs/>
          <w:color w:val="auto"/>
        </w:rPr>
        <w:t>Water Act 2007</w:t>
      </w:r>
      <w:r w:rsidRPr="00287BF0">
        <w:rPr>
          <w:rFonts w:ascii="Arial" w:hAnsi="Arial" w:cs="Arial"/>
          <w:color w:val="auto"/>
        </w:rPr>
        <w:t xml:space="preserve">. The CEWH must manage the Commonwealth’s environmental water holdings in accordance with the Basin Plan’s environmental watering plan. </w:t>
      </w:r>
    </w:p>
    <w:p w:rsidR="001058D6" w:rsidRPr="00287BF0" w:rsidRDefault="001058D6" w:rsidP="001058D6">
      <w:pPr>
        <w:pStyle w:val="body"/>
        <w:rPr>
          <w:rFonts w:ascii="Arial" w:hAnsi="Arial" w:cs="Arial"/>
          <w:color w:val="auto"/>
        </w:rPr>
      </w:pPr>
      <w:r w:rsidRPr="00287BF0">
        <w:rPr>
          <w:rFonts w:ascii="Arial" w:hAnsi="Arial" w:cs="Arial"/>
          <w:color w:val="auto"/>
        </w:rPr>
        <w:t>The office worked closely with the Murray–Darling Basin Authority to successfully align the planning and use of Commonwealth environmental water with the requirements of the environmental watering plan, including:</w:t>
      </w:r>
    </w:p>
    <w:p w:rsidR="001058D6" w:rsidRPr="00287BF0" w:rsidRDefault="001058D6" w:rsidP="00DB36E9">
      <w:pPr>
        <w:pStyle w:val="bullets"/>
        <w:numPr>
          <w:ilvl w:val="0"/>
          <w:numId w:val="15"/>
        </w:numPr>
        <w:rPr>
          <w:rFonts w:ascii="Arial" w:hAnsi="Arial" w:cs="Arial"/>
          <w:color w:val="auto"/>
        </w:rPr>
      </w:pPr>
      <w:r w:rsidRPr="00287BF0">
        <w:rPr>
          <w:rFonts w:ascii="Arial" w:hAnsi="Arial" w:cs="Arial"/>
          <w:color w:val="auto"/>
        </w:rPr>
        <w:t>updated the Framework for Determining Commonwealth Environmental Water Use (including revised criteria for assessing options for Commonwealth environmental water use) so that decisions on Commonwealth water use are consistent with the requirements of the Basin Plan</w:t>
      </w:r>
    </w:p>
    <w:p w:rsidR="001058D6" w:rsidRPr="00287BF0" w:rsidRDefault="001058D6" w:rsidP="00DB36E9">
      <w:pPr>
        <w:pStyle w:val="bullets"/>
        <w:numPr>
          <w:ilvl w:val="0"/>
          <w:numId w:val="15"/>
        </w:numPr>
        <w:rPr>
          <w:rFonts w:ascii="Arial" w:hAnsi="Arial" w:cs="Arial"/>
          <w:color w:val="auto"/>
        </w:rPr>
      </w:pPr>
      <w:r w:rsidRPr="00287BF0">
        <w:rPr>
          <w:rFonts w:ascii="Arial" w:hAnsi="Arial" w:cs="Arial"/>
          <w:color w:val="auto"/>
        </w:rPr>
        <w:t>developed the Commonwealth Environmental Water Annual Use Options 2013–14 (published in June 2013) to contribute to achieving the environmental watering plan’s overall objectives</w:t>
      </w:r>
    </w:p>
    <w:p w:rsidR="001058D6" w:rsidRPr="00287BF0" w:rsidRDefault="001058D6" w:rsidP="00DB36E9">
      <w:pPr>
        <w:pStyle w:val="lastbullet"/>
        <w:numPr>
          <w:ilvl w:val="0"/>
          <w:numId w:val="15"/>
        </w:numPr>
        <w:rPr>
          <w:rFonts w:ascii="Arial" w:hAnsi="Arial" w:cs="Arial"/>
          <w:color w:val="auto"/>
        </w:rPr>
      </w:pPr>
      <w:proofErr w:type="gramStart"/>
      <w:r w:rsidRPr="00287BF0">
        <w:rPr>
          <w:rFonts w:ascii="Arial" w:hAnsi="Arial" w:cs="Arial"/>
          <w:color w:val="auto"/>
        </w:rPr>
        <w:t>reported</w:t>
      </w:r>
      <w:proofErr w:type="gramEnd"/>
      <w:r w:rsidRPr="00287BF0">
        <w:rPr>
          <w:rFonts w:ascii="Arial" w:hAnsi="Arial" w:cs="Arial"/>
          <w:color w:val="auto"/>
        </w:rPr>
        <w:t xml:space="preserve"> on how 2012–13 watering actions have contributed to achieving the environmental watering plan objectives (Appendix C, tables A3–A13).</w:t>
      </w:r>
    </w:p>
    <w:p w:rsidR="001058D6" w:rsidRPr="00287BF0" w:rsidRDefault="001058D6" w:rsidP="001058D6">
      <w:pPr>
        <w:pStyle w:val="Heading4"/>
      </w:pPr>
      <w:r w:rsidRPr="00287BF0">
        <w:t>Management of the portfolio of Commonwealth environmental water</w:t>
      </w:r>
    </w:p>
    <w:p w:rsidR="001058D6" w:rsidRPr="00287BF0" w:rsidRDefault="001058D6" w:rsidP="001058D6">
      <w:pPr>
        <w:pStyle w:val="body"/>
        <w:rPr>
          <w:rFonts w:ascii="Arial" w:hAnsi="Arial" w:cs="Arial"/>
          <w:color w:val="auto"/>
        </w:rPr>
      </w:pPr>
      <w:r w:rsidRPr="00287BF0">
        <w:rPr>
          <w:rFonts w:ascii="Arial" w:hAnsi="Arial" w:cs="Arial"/>
          <w:color w:val="auto"/>
        </w:rPr>
        <w:t>In August 2012 the office published its first annual carryover report, which described Commonwealth environmental water carryover from 2011–12 into 2012–13. The annual Commonwealth Environmental Water Carryover Report for 2012–13 into 2013–14 has recently been published on the department’s website.</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Statements related to management of the portfolio of Commonwealth environmental water were published on the office website in September and December 2012 and March 2013. Information about Commonwealth environmental water holdings was updated each month on the office website. </w:t>
      </w:r>
    </w:p>
    <w:p w:rsidR="001058D6" w:rsidRPr="00287BF0" w:rsidRDefault="001058D6" w:rsidP="001058D6">
      <w:pPr>
        <w:pStyle w:val="body"/>
        <w:rPr>
          <w:rFonts w:ascii="Arial" w:hAnsi="Arial" w:cs="Arial"/>
          <w:color w:val="auto"/>
        </w:rPr>
      </w:pPr>
      <w:r w:rsidRPr="00287BF0">
        <w:rPr>
          <w:rFonts w:ascii="Arial" w:hAnsi="Arial" w:cs="Arial"/>
          <w:color w:val="auto"/>
        </w:rPr>
        <w:lastRenderedPageBreak/>
        <w:t xml:space="preserve">The office is developing protocols for water trading to ensure compliance with the Basin Plan trading rules. Water use planning documents for 2012–13 and 2013–14 were produced and made available on the office’s website. </w:t>
      </w:r>
    </w:p>
    <w:p w:rsidR="001058D6" w:rsidRPr="00287BF0" w:rsidRDefault="001058D6" w:rsidP="001058D6">
      <w:pPr>
        <w:pStyle w:val="Heading4"/>
      </w:pPr>
      <w:r w:rsidRPr="00287BF0">
        <w:t>Risk management for Commonwealth environmental water</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In 2011–12 the office engaged the Australian Government Solicitor to identify and assess the sources of the office’s strategic legal and governance risks and identify appropriate treatments where current controls were considered insufficient to manage risks rated medium or higher. The assessment was finalised in June 2012 and in 2012–13 the office implemented and updated its risk mitigation and treatment plan for its activities in line with the Australian Government Solicitor’s recommendations. </w:t>
      </w:r>
    </w:p>
    <w:p w:rsidR="001058D6" w:rsidRPr="00287BF0" w:rsidRDefault="001058D6" w:rsidP="001058D6">
      <w:pPr>
        <w:pStyle w:val="Heading4"/>
      </w:pPr>
      <w:r w:rsidRPr="00287BF0">
        <w:t>Environmental water shepherding</w:t>
      </w:r>
    </w:p>
    <w:p w:rsidR="001058D6" w:rsidRPr="00287BF0" w:rsidRDefault="001058D6" w:rsidP="001058D6">
      <w:pPr>
        <w:pStyle w:val="body"/>
        <w:rPr>
          <w:rFonts w:ascii="Arial" w:hAnsi="Arial" w:cs="Arial"/>
          <w:color w:val="auto"/>
        </w:rPr>
      </w:pPr>
      <w:r w:rsidRPr="00287BF0">
        <w:rPr>
          <w:rFonts w:ascii="Arial" w:hAnsi="Arial" w:cs="Arial"/>
          <w:color w:val="auto"/>
        </w:rPr>
        <w:t>Water shepherding relates to the protection of Commonwealth environmental water from extraction as it flows downstream. A key focus of water shepherding is to ensure that third-party interests are neither increased nor diminished. This includes irrigators within a particular catchment and downstream.</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report Proposed Arrangements for Shepherding Commonwealth Environmental Water in New South Wales Outcomes of Consultation was published by the New South Wales Office of Water in November 2012. A preferred option for shepherding Commonwealth environmental water in the </w:t>
      </w:r>
      <w:proofErr w:type="spellStart"/>
      <w:r w:rsidRPr="00287BF0">
        <w:rPr>
          <w:rFonts w:ascii="Arial" w:hAnsi="Arial" w:cs="Arial"/>
          <w:color w:val="auto"/>
        </w:rPr>
        <w:t>Barwon</w:t>
      </w:r>
      <w:proofErr w:type="spellEnd"/>
      <w:r w:rsidRPr="00287BF0">
        <w:rPr>
          <w:rFonts w:ascii="Arial" w:hAnsi="Arial" w:cs="Arial"/>
          <w:color w:val="auto"/>
        </w:rPr>
        <w:t xml:space="preserve">–Darling River upstream of </w:t>
      </w:r>
      <w:proofErr w:type="spellStart"/>
      <w:r w:rsidRPr="00287BF0">
        <w:rPr>
          <w:rFonts w:ascii="Arial" w:hAnsi="Arial" w:cs="Arial"/>
          <w:color w:val="auto"/>
        </w:rPr>
        <w:t>Menindee</w:t>
      </w:r>
      <w:proofErr w:type="spellEnd"/>
      <w:r w:rsidRPr="00287BF0">
        <w:rPr>
          <w:rFonts w:ascii="Arial" w:hAnsi="Arial" w:cs="Arial"/>
          <w:color w:val="auto"/>
        </w:rPr>
        <w:t xml:space="preserve"> Lakes (including shepherding of Commonwealth environmental water sourced from Queensland and New South Wales regulated and unregulated tributaries) was identified. This work is expected to continue in 2013–14, with consideration of three options to shepherd Commonwealth environmental water through the </w:t>
      </w:r>
      <w:r w:rsidRPr="00287BF0">
        <w:rPr>
          <w:rFonts w:ascii="Arial" w:hAnsi="Arial" w:cs="Arial"/>
          <w:color w:val="auto"/>
        </w:rPr>
        <w:br/>
      </w:r>
      <w:proofErr w:type="spellStart"/>
      <w:r w:rsidRPr="00287BF0">
        <w:rPr>
          <w:rFonts w:ascii="Arial" w:hAnsi="Arial" w:cs="Arial"/>
          <w:color w:val="auto"/>
        </w:rPr>
        <w:t>Menindee</w:t>
      </w:r>
      <w:proofErr w:type="spellEnd"/>
      <w:r w:rsidRPr="00287BF0">
        <w:rPr>
          <w:rFonts w:ascii="Arial" w:hAnsi="Arial" w:cs="Arial"/>
          <w:color w:val="auto"/>
        </w:rPr>
        <w:t xml:space="preserve"> Lakes.</w:t>
      </w:r>
    </w:p>
    <w:p w:rsidR="001058D6" w:rsidRPr="00287BF0" w:rsidRDefault="001058D6" w:rsidP="001058D6">
      <w:pPr>
        <w:pStyle w:val="Heading4"/>
      </w:pPr>
      <w:r w:rsidRPr="00287BF0">
        <w:t xml:space="preserve">Providing information </w:t>
      </w:r>
    </w:p>
    <w:p w:rsidR="001058D6" w:rsidRPr="00287BF0" w:rsidRDefault="001058D6" w:rsidP="001058D6">
      <w:pPr>
        <w:pStyle w:val="body"/>
        <w:rPr>
          <w:rFonts w:ascii="Arial" w:hAnsi="Arial" w:cs="Arial"/>
          <w:color w:val="auto"/>
        </w:rPr>
      </w:pPr>
      <w:r w:rsidRPr="00287BF0">
        <w:rPr>
          <w:rFonts w:ascii="Arial" w:hAnsi="Arial" w:cs="Arial"/>
          <w:color w:val="auto"/>
        </w:rPr>
        <w:t>The office remains committed to providing up-to-date information on its activities. The website www.environment.gov.au/ewater is the office’s primary tool for making information publicly available. It includes information about the holdings, management and use of Commonwealth environmental water in each Basin catchment, frameworks for making water use decisions and managing water, and monitoring projects and outcomes. It also provides an avenue for people to give suggestions on the potential use of Commonwealth environmental water and makes available reports drafted or commissioned by the office.</w:t>
      </w:r>
    </w:p>
    <w:p w:rsidR="001058D6" w:rsidRPr="00287BF0" w:rsidRDefault="001058D6" w:rsidP="001058D6">
      <w:pPr>
        <w:pStyle w:val="body"/>
        <w:rPr>
          <w:rFonts w:ascii="Arial" w:hAnsi="Arial" w:cs="Arial"/>
          <w:color w:val="auto"/>
        </w:rPr>
      </w:pPr>
      <w:r w:rsidRPr="00287BF0">
        <w:rPr>
          <w:rFonts w:ascii="Arial" w:hAnsi="Arial" w:cs="Arial"/>
          <w:color w:val="auto"/>
        </w:rPr>
        <w:t>During 2012–13 the following reports on the activities of the office were produced:</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Annual report 2011–12 Commonwealth environmental water (in Department of Sustainability, Environment, Water, Population and Communities Annual Report 2011–12).</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 xml:space="preserve">Commonwealth Environmental Water Office 2012–13 Business Plan. </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Commonwealth Environmental Water Office 2011–12 Outcomes Report.</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Murray–Darling Basin Environmental Water Holders’ Report.</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 xml:space="preserve">Commonwealth Environmental Water Portfolio Management Statements. </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spacing w:val="-3"/>
        </w:rPr>
        <w:t>Commonwealth Environmental Water Carryover from 2011–12 into 2012–13 Report.</w:t>
      </w:r>
    </w:p>
    <w:p w:rsidR="001058D6" w:rsidRPr="00287BF0" w:rsidRDefault="001058D6" w:rsidP="00DB36E9">
      <w:pPr>
        <w:pStyle w:val="secondbulets"/>
        <w:numPr>
          <w:ilvl w:val="0"/>
          <w:numId w:val="16"/>
        </w:numPr>
        <w:rPr>
          <w:rFonts w:ascii="Arial" w:hAnsi="Arial" w:cs="Arial"/>
          <w:color w:val="auto"/>
        </w:rPr>
      </w:pPr>
      <w:r w:rsidRPr="00287BF0">
        <w:rPr>
          <w:rFonts w:ascii="Arial" w:hAnsi="Arial" w:cs="Arial"/>
          <w:color w:val="auto"/>
        </w:rPr>
        <w:t>Commonwealth Environmental Water Annual Water Use Options Planning Documents for 2012–13 and 2013–14.</w:t>
      </w:r>
    </w:p>
    <w:p w:rsidR="001058D6" w:rsidRPr="00287BF0" w:rsidRDefault="001058D6" w:rsidP="00DB36E9">
      <w:pPr>
        <w:pStyle w:val="secondbulets"/>
        <w:numPr>
          <w:ilvl w:val="0"/>
          <w:numId w:val="16"/>
        </w:numPr>
        <w:spacing w:after="113"/>
        <w:rPr>
          <w:rFonts w:ascii="Arial" w:hAnsi="Arial" w:cs="Arial"/>
          <w:color w:val="auto"/>
        </w:rPr>
      </w:pPr>
      <w:r w:rsidRPr="00287BF0">
        <w:rPr>
          <w:rFonts w:ascii="Arial" w:hAnsi="Arial" w:cs="Arial"/>
          <w:color w:val="auto"/>
        </w:rPr>
        <w:t>Reports on Monitoring and Evaluation of Commonwealth Environmental Watering Commissioned by the Office.</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Commonwealth Environmental Water Office 2012–13 Outcomes Report is anticipated to be published by January 2014. </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A subscription email database is another mechanism the office uses for providing interested parties with the latest information on Commonwealth environmental water management. </w:t>
      </w:r>
    </w:p>
    <w:p w:rsidR="001058D6" w:rsidRPr="00287BF0" w:rsidRDefault="001058D6" w:rsidP="001058D6">
      <w:pPr>
        <w:pStyle w:val="Heading4"/>
      </w:pPr>
      <w:r w:rsidRPr="00287BF0">
        <w:t>Working with and obtaining advice from others</w:t>
      </w:r>
    </w:p>
    <w:p w:rsidR="001058D6" w:rsidRPr="00287BF0" w:rsidRDefault="001058D6" w:rsidP="001058D6">
      <w:pPr>
        <w:pStyle w:val="body"/>
        <w:rPr>
          <w:rFonts w:ascii="Arial" w:hAnsi="Arial" w:cs="Arial"/>
          <w:color w:val="auto"/>
        </w:rPr>
      </w:pPr>
      <w:r w:rsidRPr="00287BF0">
        <w:rPr>
          <w:rFonts w:ascii="Arial" w:hAnsi="Arial" w:cs="Arial"/>
          <w:color w:val="auto"/>
        </w:rPr>
        <w:t>In 2012–13 the office continued to focus on a range of stakeholder engagement activities, including:</w:t>
      </w:r>
    </w:p>
    <w:p w:rsidR="001058D6" w:rsidRPr="00287BF0" w:rsidRDefault="001058D6" w:rsidP="00DB36E9">
      <w:pPr>
        <w:pStyle w:val="secondbulets"/>
        <w:numPr>
          <w:ilvl w:val="0"/>
          <w:numId w:val="17"/>
        </w:numPr>
        <w:rPr>
          <w:rFonts w:ascii="Arial" w:hAnsi="Arial" w:cs="Arial"/>
          <w:color w:val="auto"/>
        </w:rPr>
      </w:pPr>
      <w:r w:rsidRPr="00287BF0">
        <w:rPr>
          <w:rFonts w:ascii="Arial" w:hAnsi="Arial" w:cs="Arial"/>
          <w:color w:val="auto"/>
        </w:rPr>
        <w:t>determined hosting arrangements for placing six Commonwealth Environmental Water Office local engagement officers, who are expected to be recruited in 2013–14</w:t>
      </w:r>
    </w:p>
    <w:p w:rsidR="001058D6" w:rsidRPr="00287BF0" w:rsidRDefault="001058D6" w:rsidP="00DB36E9">
      <w:pPr>
        <w:pStyle w:val="secondbulets"/>
        <w:numPr>
          <w:ilvl w:val="0"/>
          <w:numId w:val="17"/>
        </w:numPr>
        <w:rPr>
          <w:rFonts w:ascii="Arial" w:hAnsi="Arial" w:cs="Arial"/>
          <w:color w:val="auto"/>
        </w:rPr>
      </w:pPr>
      <w:r w:rsidRPr="00287BF0">
        <w:rPr>
          <w:rFonts w:ascii="Arial" w:hAnsi="Arial" w:cs="Arial"/>
          <w:color w:val="auto"/>
        </w:rPr>
        <w:t>actively sought input and feedback from stakeholders on governance, processes and decision making</w:t>
      </w:r>
    </w:p>
    <w:p w:rsidR="001058D6" w:rsidRPr="00287BF0" w:rsidRDefault="001058D6" w:rsidP="00DB36E9">
      <w:pPr>
        <w:pStyle w:val="secondbulets"/>
        <w:numPr>
          <w:ilvl w:val="0"/>
          <w:numId w:val="17"/>
        </w:numPr>
        <w:rPr>
          <w:rFonts w:ascii="Arial" w:hAnsi="Arial" w:cs="Arial"/>
          <w:color w:val="auto"/>
        </w:rPr>
      </w:pPr>
      <w:r w:rsidRPr="00287BF0">
        <w:rPr>
          <w:rFonts w:ascii="Arial" w:hAnsi="Arial" w:cs="Arial"/>
          <w:color w:val="auto"/>
        </w:rPr>
        <w:lastRenderedPageBreak/>
        <w:t>participated in planning processes, including regularly met with local partners and landholders on a catchment-by-catchment basis</w:t>
      </w:r>
    </w:p>
    <w:p w:rsidR="001058D6" w:rsidRPr="00287BF0" w:rsidRDefault="001058D6" w:rsidP="00DB36E9">
      <w:pPr>
        <w:pStyle w:val="secondbulets"/>
        <w:numPr>
          <w:ilvl w:val="0"/>
          <w:numId w:val="17"/>
        </w:numPr>
        <w:spacing w:after="113"/>
        <w:rPr>
          <w:rFonts w:ascii="Arial" w:hAnsi="Arial" w:cs="Arial"/>
          <w:color w:val="auto"/>
        </w:rPr>
      </w:pPr>
      <w:proofErr w:type="gramStart"/>
      <w:r w:rsidRPr="00287BF0">
        <w:rPr>
          <w:rFonts w:ascii="Arial" w:hAnsi="Arial" w:cs="Arial"/>
          <w:color w:val="auto"/>
        </w:rPr>
        <w:t>released</w:t>
      </w:r>
      <w:proofErr w:type="gramEnd"/>
      <w:r w:rsidRPr="00287BF0">
        <w:rPr>
          <w:rFonts w:ascii="Arial" w:hAnsi="Arial" w:cs="Arial"/>
          <w:color w:val="auto"/>
        </w:rPr>
        <w:t xml:space="preserve"> publications and engaged in targeted consultation on issues including water use, water trade, carryover, and monitoring and evaluation.</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CEWH’s decisions are informed by two advisory groups: the Commonwealth Environmental Water Scientific Advisory Panel, which met four times during 2012–13; and the Commonwealth Environmental Water Stakeholder Reference Panel, which met twice during 2012–13. More information about these panels and their members is available from the office’s website. </w:t>
      </w:r>
    </w:p>
    <w:p w:rsidR="001058D6" w:rsidRPr="00287BF0" w:rsidRDefault="001058D6" w:rsidP="001058D6">
      <w:pPr>
        <w:pStyle w:val="body"/>
        <w:rPr>
          <w:rFonts w:ascii="Arial" w:hAnsi="Arial" w:cs="Arial"/>
          <w:color w:val="auto"/>
        </w:rPr>
      </w:pPr>
      <w:r w:rsidRPr="00287BF0">
        <w:rPr>
          <w:rFonts w:ascii="Arial" w:hAnsi="Arial" w:cs="Arial"/>
          <w:color w:val="auto"/>
        </w:rPr>
        <w:t>The office also proposed establishing a Commonwealth Environmental Water Advisory Council during 2012–13. It is currently considering whether a committee or some alternative approach would provide the most efficient and effective access to specialist advice.</w:t>
      </w:r>
    </w:p>
    <w:p w:rsidR="001058D6" w:rsidRPr="00287BF0" w:rsidRDefault="001058D6" w:rsidP="001058D6">
      <w:pPr>
        <w:pStyle w:val="body"/>
        <w:rPr>
          <w:rFonts w:ascii="Arial" w:hAnsi="Arial" w:cs="Arial"/>
          <w:color w:val="auto"/>
        </w:rPr>
      </w:pPr>
      <w:r w:rsidRPr="00287BF0">
        <w:rPr>
          <w:rFonts w:ascii="Arial" w:hAnsi="Arial" w:cs="Arial"/>
          <w:color w:val="auto"/>
        </w:rPr>
        <w:t>The office is looking to increase its engagement with Indigenous people in order to progress the potential opportunities for achieving mutual environmental and cultural outcomes, including engaging with groups such as the Northern Basin Aboriginal Nations and the Murray Lower Darling Rivers Indigenous Nations. The office is engaging with the National Native Title Council to support the National Cultural Flows Research Project. This multi-year project is expected to provide information on water requirements to meet cultural values and will help to inform the office as to how environmental water could be applied to help contribute to achieving mutual environmental and cultural outcomes.</w:t>
      </w:r>
    </w:p>
    <w:p w:rsidR="001058D6" w:rsidRPr="00287BF0" w:rsidRDefault="001058D6" w:rsidP="001058D6">
      <w:pPr>
        <w:pStyle w:val="body"/>
        <w:rPr>
          <w:rFonts w:ascii="Arial" w:hAnsi="Arial" w:cs="Arial"/>
          <w:color w:val="auto"/>
        </w:rPr>
      </w:pPr>
      <w:r w:rsidRPr="00287BF0">
        <w:rPr>
          <w:rFonts w:ascii="Arial" w:hAnsi="Arial" w:cs="Arial"/>
          <w:color w:val="auto"/>
        </w:rPr>
        <w:t>The Commonwealth Environmental Water Holder and Commonwealth Environmental Water Office respectfully acknowledge the Traditional Owners, their Elders past and present, their Nations of the Murray–Darling Basin, and their cultural, social, environmental, spiritual and economic connection to their lands and waters.</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office remains committed to effective collaboration, engagement and sharing of information with a broad range of partners within the Basin community in relation to Commonwealth environmental water planning, management and monitoring, to improve environmental water outcomes. The office engages with many stakeholder groups and individuals including state government bodies, river operators, catchment management authorities, local environmental watering advisory groups, not-for-profit water and land management organisations, </w:t>
      </w:r>
      <w:proofErr w:type="gramStart"/>
      <w:r w:rsidRPr="00287BF0">
        <w:rPr>
          <w:rFonts w:ascii="Arial" w:hAnsi="Arial" w:cs="Arial"/>
          <w:color w:val="auto"/>
        </w:rPr>
        <w:t>other</w:t>
      </w:r>
      <w:proofErr w:type="gramEnd"/>
      <w:r w:rsidRPr="00287BF0">
        <w:rPr>
          <w:rFonts w:ascii="Arial" w:hAnsi="Arial" w:cs="Arial"/>
          <w:color w:val="auto"/>
        </w:rPr>
        <w:t xml:space="preserve"> holders of environmental water, landholders and the Murray–Darling Basin Authority. </w:t>
      </w:r>
    </w:p>
    <w:p w:rsidR="001058D6" w:rsidRPr="00287BF0" w:rsidRDefault="001058D6" w:rsidP="001058D6">
      <w:pPr>
        <w:pStyle w:val="body"/>
        <w:rPr>
          <w:rFonts w:ascii="Arial" w:hAnsi="Arial" w:cs="Arial"/>
          <w:color w:val="auto"/>
        </w:rPr>
      </w:pPr>
      <w:r w:rsidRPr="00287BF0">
        <w:rPr>
          <w:rFonts w:ascii="Arial" w:hAnsi="Arial" w:cs="Arial"/>
          <w:color w:val="auto"/>
        </w:rPr>
        <w:t>The engagement activities outlined in this section are part of the office’s approach to localism in the Basin. The office relies on input from Basin communities to inform its operations and is committed to improving the ability of local communities to become involved in environmental water management.</w:t>
      </w:r>
    </w:p>
    <w:p w:rsidR="001058D6" w:rsidRPr="00287BF0" w:rsidRDefault="001058D6" w:rsidP="001058D6">
      <w:pPr>
        <w:pStyle w:val="Heading4"/>
      </w:pPr>
      <w:r w:rsidRPr="00287BF0">
        <w:t>Business and information systems</w:t>
      </w:r>
    </w:p>
    <w:p w:rsidR="001058D6" w:rsidRPr="00287BF0" w:rsidRDefault="001058D6" w:rsidP="001058D6">
      <w:pPr>
        <w:pStyle w:val="body"/>
        <w:rPr>
          <w:rFonts w:ascii="Arial" w:hAnsi="Arial" w:cs="Arial"/>
          <w:color w:val="auto"/>
        </w:rPr>
      </w:pPr>
      <w:r w:rsidRPr="00287BF0">
        <w:rPr>
          <w:rFonts w:ascii="Arial" w:hAnsi="Arial" w:cs="Arial"/>
          <w:color w:val="auto"/>
        </w:rPr>
        <w:t>Two new key information management systems are in the process of being established and rolled out to improve the efficiency the office’s business activities, including Basin Plan reporting requirements:</w:t>
      </w:r>
    </w:p>
    <w:p w:rsidR="001058D6" w:rsidRPr="00287BF0" w:rsidRDefault="001058D6" w:rsidP="00DB36E9">
      <w:pPr>
        <w:pStyle w:val="bullets"/>
        <w:numPr>
          <w:ilvl w:val="0"/>
          <w:numId w:val="18"/>
        </w:numPr>
        <w:rPr>
          <w:rFonts w:ascii="Arial" w:hAnsi="Arial" w:cs="Arial"/>
          <w:color w:val="auto"/>
        </w:rPr>
      </w:pPr>
      <w:r w:rsidRPr="00287BF0">
        <w:rPr>
          <w:rFonts w:ascii="Arial" w:hAnsi="Arial" w:cs="Arial"/>
          <w:color w:val="auto"/>
        </w:rPr>
        <w:t>The Environmental Water Management System manages Commonwealth environmental water holdings information, providing financial and volumetric tracking of watering actions.</w:t>
      </w:r>
    </w:p>
    <w:p w:rsidR="001058D6" w:rsidRPr="00287BF0" w:rsidRDefault="001058D6" w:rsidP="00DB36E9">
      <w:pPr>
        <w:pStyle w:val="lastbullet"/>
        <w:numPr>
          <w:ilvl w:val="0"/>
          <w:numId w:val="18"/>
        </w:numPr>
        <w:rPr>
          <w:rFonts w:ascii="Arial" w:hAnsi="Arial" w:cs="Arial"/>
          <w:color w:val="auto"/>
        </w:rPr>
      </w:pPr>
      <w:r w:rsidRPr="00287BF0">
        <w:rPr>
          <w:rFonts w:ascii="Arial" w:hAnsi="Arial" w:cs="Arial"/>
          <w:color w:val="auto"/>
        </w:rPr>
        <w:t xml:space="preserve">The Environmental Assets Database, developed jointly by the office and the Murray–Darling Basin Authority, holds information on the management and health of environmental assets in the Basin and the use of Commonwealth environmental water to protect and restore the health of these assets. </w:t>
      </w:r>
    </w:p>
    <w:p w:rsidR="001058D6" w:rsidRPr="00287BF0" w:rsidRDefault="001058D6" w:rsidP="001058D6">
      <w:pPr>
        <w:pStyle w:val="body"/>
        <w:rPr>
          <w:rFonts w:ascii="Arial" w:hAnsi="Arial" w:cs="Arial"/>
          <w:color w:val="auto"/>
        </w:rPr>
      </w:pPr>
      <w:r w:rsidRPr="00287BF0">
        <w:rPr>
          <w:rFonts w:ascii="Arial" w:hAnsi="Arial" w:cs="Arial"/>
          <w:color w:val="auto"/>
        </w:rPr>
        <w:t>Both databases are being integrated into the daily operations of the office.</w:t>
      </w:r>
    </w:p>
    <w:p w:rsidR="001058D6" w:rsidRPr="00287BF0" w:rsidRDefault="001058D6" w:rsidP="001058D6">
      <w:pPr>
        <w:pStyle w:val="Heading4"/>
      </w:pPr>
      <w:r w:rsidRPr="00287BF0">
        <w:t>Monitoring and evaluating the use of Commonwealth environmental water</w:t>
      </w:r>
    </w:p>
    <w:p w:rsidR="001058D6" w:rsidRPr="00287BF0" w:rsidRDefault="001058D6" w:rsidP="001058D6">
      <w:pPr>
        <w:pStyle w:val="body"/>
        <w:rPr>
          <w:rFonts w:ascii="Arial" w:hAnsi="Arial" w:cs="Arial"/>
          <w:color w:val="auto"/>
        </w:rPr>
      </w:pPr>
      <w:r w:rsidRPr="00287BF0">
        <w:rPr>
          <w:rFonts w:ascii="Arial" w:hAnsi="Arial" w:cs="Arial"/>
          <w:color w:val="auto"/>
        </w:rPr>
        <w:t>In 2012–13 the office continued work on implementing the Commonwealth Environmental Water Monitoring, Evaluation, Reporting and Improvement Framework that will support the efficient and effective use of Commonwealth environmental water and demonstrate the achievement of environmental outcomes over the long term. Key elements of the framework are now in place and it will continue to be implemented as more water is delivered. The framework has been aligned with the Basin Plan’s environmental watering objectives.</w:t>
      </w:r>
    </w:p>
    <w:p w:rsidR="001058D6" w:rsidRDefault="001058D6" w:rsidP="001058D6">
      <w:pPr>
        <w:pStyle w:val="body"/>
        <w:rPr>
          <w:rFonts w:ascii="Arial" w:hAnsi="Arial" w:cs="Arial"/>
          <w:color w:val="auto"/>
        </w:rPr>
      </w:pPr>
      <w:r w:rsidRPr="00287BF0">
        <w:rPr>
          <w:rFonts w:ascii="Arial" w:hAnsi="Arial" w:cs="Arial"/>
          <w:color w:val="auto"/>
        </w:rPr>
        <w:t>Each Commonwealth environmental watering action is monitored and reviewed from an operational perspective to ensure that water is delivered as planned and to help manage risks such as unintended inundation.</w:t>
      </w:r>
    </w:p>
    <w:p w:rsidR="002021C2" w:rsidRDefault="002021C2">
      <w:pPr>
        <w:spacing w:after="200" w:line="276" w:lineRule="auto"/>
        <w:rPr>
          <w:rFonts w:ascii="MinionPro-Regular" w:hAnsi="MinionPro-Regular" w:cs="MinionPro-Regular"/>
          <w:color w:val="000000"/>
          <w:sz w:val="24"/>
          <w:szCs w:val="24"/>
          <w:lang w:val="en-GB"/>
        </w:rPr>
      </w:pPr>
      <w:r>
        <w:br w:type="page"/>
      </w:r>
    </w:p>
    <w:p w:rsidR="001058D6" w:rsidRPr="00287BF0" w:rsidRDefault="001058D6" w:rsidP="001058D6">
      <w:pPr>
        <w:pStyle w:val="body"/>
        <w:rPr>
          <w:rFonts w:ascii="Arial" w:hAnsi="Arial" w:cs="Arial"/>
          <w:color w:val="auto"/>
        </w:rPr>
      </w:pPr>
      <w:r w:rsidRPr="00287BF0">
        <w:rPr>
          <w:rFonts w:ascii="Arial" w:hAnsi="Arial" w:cs="Arial"/>
          <w:color w:val="auto"/>
        </w:rPr>
        <w:lastRenderedPageBreak/>
        <w:t xml:space="preserve">Targeted intervention monitoring is undertaken by scientists commissioned by the office to help understand environmental outcomes and inform water use (see ‘Monitoring of Commonwealth environmental watering’). The focus of this monitoring is currently transitioning from short-term (one-year) projects to long-term (five-year) projects, which will commence in 2014–15. </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approach has a sound scientific basis. It will allow the office to interpret and translate the results of monitoring to other areas and identify the contribution of each project to the long-term Basin Plan objectives. </w:t>
      </w:r>
    </w:p>
    <w:p w:rsidR="001058D6" w:rsidRPr="00287BF0" w:rsidRDefault="001058D6" w:rsidP="001058D6">
      <w:pPr>
        <w:pStyle w:val="Heading4"/>
      </w:pPr>
      <w:r w:rsidRPr="00287BF0">
        <w:t>Environmental Water Holdings Special Account 2012–13</w:t>
      </w:r>
    </w:p>
    <w:p w:rsidR="001058D6" w:rsidRPr="00287BF0" w:rsidRDefault="001058D6" w:rsidP="001058D6">
      <w:pPr>
        <w:pStyle w:val="body"/>
        <w:rPr>
          <w:rFonts w:ascii="Arial" w:hAnsi="Arial" w:cs="Arial"/>
          <w:color w:val="auto"/>
        </w:rPr>
      </w:pPr>
      <w:r w:rsidRPr="00287BF0">
        <w:rPr>
          <w:rFonts w:ascii="Arial" w:hAnsi="Arial" w:cs="Arial"/>
          <w:color w:val="auto"/>
        </w:rPr>
        <w:t xml:space="preserve">The Environmental Water Holdings Special Account is established under the </w:t>
      </w:r>
      <w:r w:rsidRPr="00287BF0">
        <w:rPr>
          <w:rStyle w:val="Textitalic"/>
          <w:rFonts w:ascii="Arial" w:hAnsi="Arial" w:cs="Arial"/>
          <w:iCs/>
          <w:color w:val="auto"/>
        </w:rPr>
        <w:t xml:space="preserve">Water Act 2007 </w:t>
      </w:r>
      <w:r w:rsidRPr="00287BF0">
        <w:rPr>
          <w:rFonts w:ascii="Arial" w:hAnsi="Arial" w:cs="Arial"/>
          <w:color w:val="auto"/>
        </w:rPr>
        <w:t xml:space="preserve">for the payment of costs, expenses and other obligations incurred in managing Commonwealth environmental water holdings. At the start of 2012–13 the special account balance was $36.132 million. Funding of $24.7 million was credited from the Sustainable Rural Water Use and Infrastructure Program to the account at the end of the financial year. As it was a high-use year, $13.93 million was expended on annual water entitlement fees, allocation trading and delivery costs. At 30 June 2013 the special account balance was $43.824 million (of which $15.091 million has been committed for environmental watering actions and other projects). The key expenditure in 2012–13 is shown in Table 2. </w:t>
      </w:r>
    </w:p>
    <w:p w:rsidR="001058D6" w:rsidRPr="00287BF0" w:rsidRDefault="001058D6" w:rsidP="007B2F2F">
      <w:pPr>
        <w:pStyle w:val="figureheading"/>
        <w:rPr>
          <w:rStyle w:val="TextBold"/>
          <w:rFonts w:cs="Arial"/>
          <w:b/>
          <w:color w:val="auto"/>
        </w:rPr>
      </w:pPr>
      <w:r w:rsidRPr="00287BF0">
        <w:rPr>
          <w:rStyle w:val="TextBold"/>
          <w:rFonts w:cs="Arial"/>
          <w:b/>
          <w:color w:val="auto"/>
        </w:rPr>
        <w:t>Table 2: Environmental Water Holdings Special Account expenditure</w:t>
      </w:r>
    </w:p>
    <w:tbl>
      <w:tblPr>
        <w:tblStyle w:val="TableGrid1"/>
        <w:tblW w:w="5000" w:type="pct"/>
        <w:tblLook w:val="0000"/>
      </w:tblPr>
      <w:tblGrid>
        <w:gridCol w:w="6649"/>
        <w:gridCol w:w="3199"/>
      </w:tblGrid>
      <w:tr w:rsidR="001058D6" w:rsidRPr="00287BF0" w:rsidTr="001058D6">
        <w:trPr>
          <w:trHeight w:val="295"/>
        </w:trPr>
        <w:tc>
          <w:tcPr>
            <w:tcW w:w="3376" w:type="pct"/>
          </w:tcPr>
          <w:p w:rsidR="001058D6" w:rsidRPr="00287BF0" w:rsidRDefault="001058D6" w:rsidP="00154DBC">
            <w:pPr>
              <w:pStyle w:val="tablehead"/>
            </w:pPr>
            <w:r w:rsidRPr="00287BF0">
              <w:rPr>
                <w:rStyle w:val="TextBold"/>
                <w:b/>
              </w:rPr>
              <w:t>Category of expense</w:t>
            </w:r>
          </w:p>
        </w:tc>
        <w:tc>
          <w:tcPr>
            <w:tcW w:w="1624" w:type="pct"/>
          </w:tcPr>
          <w:p w:rsidR="001058D6" w:rsidRPr="00287BF0" w:rsidRDefault="001058D6" w:rsidP="00154DBC">
            <w:pPr>
              <w:pStyle w:val="tablehead"/>
            </w:pPr>
            <w:r w:rsidRPr="00287BF0">
              <w:rPr>
                <w:rStyle w:val="TextBold"/>
                <w:b/>
              </w:rPr>
              <w:t>Total costs ($ million)</w:t>
            </w:r>
          </w:p>
        </w:tc>
      </w:tr>
      <w:tr w:rsidR="001058D6" w:rsidRPr="00287BF0" w:rsidTr="001058D6">
        <w:trPr>
          <w:trHeight w:val="60"/>
        </w:trPr>
        <w:tc>
          <w:tcPr>
            <w:tcW w:w="3376"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Fees and charges for holdings and allocations and for maintaining and providing for the replacement of rural water infrastructure</w:t>
            </w:r>
            <w:r w:rsidRPr="00287BF0">
              <w:rPr>
                <w:rFonts w:ascii="Arial" w:hAnsi="Arial" w:cs="Arial"/>
                <w:color w:val="auto"/>
                <w:vertAlign w:val="superscript"/>
              </w:rPr>
              <w:t>1</w:t>
            </w:r>
          </w:p>
        </w:tc>
        <w:tc>
          <w:tcPr>
            <w:tcW w:w="1624"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13.930</w:t>
            </w:r>
          </w:p>
        </w:tc>
      </w:tr>
      <w:tr w:rsidR="001058D6" w:rsidRPr="00287BF0" w:rsidTr="001058D6">
        <w:trPr>
          <w:trHeight w:val="60"/>
        </w:trPr>
        <w:tc>
          <w:tcPr>
            <w:tcW w:w="3376"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Monitoring and evaluation</w:t>
            </w:r>
          </w:p>
        </w:tc>
        <w:tc>
          <w:tcPr>
            <w:tcW w:w="1624"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1.486</w:t>
            </w:r>
          </w:p>
        </w:tc>
      </w:tr>
      <w:tr w:rsidR="001058D6" w:rsidRPr="00287BF0" w:rsidTr="001058D6">
        <w:trPr>
          <w:trHeight w:val="60"/>
        </w:trPr>
        <w:tc>
          <w:tcPr>
            <w:tcW w:w="3376"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Development of environmental registers and other systems</w:t>
            </w:r>
          </w:p>
        </w:tc>
        <w:tc>
          <w:tcPr>
            <w:tcW w:w="1624"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1.586</w:t>
            </w:r>
          </w:p>
        </w:tc>
      </w:tr>
      <w:tr w:rsidR="001058D6" w:rsidRPr="00287BF0" w:rsidTr="001058D6">
        <w:trPr>
          <w:trHeight w:val="60"/>
        </w:trPr>
        <w:tc>
          <w:tcPr>
            <w:tcW w:w="3376"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Portfolio management</w:t>
            </w:r>
          </w:p>
        </w:tc>
        <w:tc>
          <w:tcPr>
            <w:tcW w:w="1624"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0.006</w:t>
            </w:r>
          </w:p>
        </w:tc>
      </w:tr>
      <w:tr w:rsidR="001058D6" w:rsidRPr="00287BF0" w:rsidTr="001058D6">
        <w:trPr>
          <w:trHeight w:val="60"/>
        </w:trPr>
        <w:tc>
          <w:tcPr>
            <w:tcW w:w="3376"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Total</w:t>
            </w:r>
          </w:p>
        </w:tc>
        <w:tc>
          <w:tcPr>
            <w:tcW w:w="1624"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17.008</w:t>
            </w:r>
          </w:p>
        </w:tc>
      </w:tr>
    </w:tbl>
    <w:p w:rsidR="001058D6" w:rsidRPr="00287BF0" w:rsidRDefault="001058D6" w:rsidP="001058D6">
      <w:pPr>
        <w:pStyle w:val="body"/>
        <w:rPr>
          <w:rStyle w:val="TextBold"/>
          <w:rFonts w:ascii="Arial" w:hAnsi="Arial" w:cs="Arial"/>
          <w:bCs/>
          <w:color w:val="auto"/>
          <w:sz w:val="17"/>
          <w:szCs w:val="17"/>
        </w:rPr>
      </w:pPr>
    </w:p>
    <w:p w:rsidR="001058D6" w:rsidRPr="00287BF0" w:rsidRDefault="001058D6" w:rsidP="001058D6">
      <w:pPr>
        <w:pStyle w:val="Caption"/>
        <w:spacing w:after="0"/>
        <w:rPr>
          <w:rStyle w:val="TextBold"/>
          <w:rFonts w:ascii="Arial" w:hAnsi="Arial" w:cs="Arial"/>
          <w:bCs/>
          <w:color w:val="auto"/>
        </w:rPr>
      </w:pPr>
      <w:r w:rsidRPr="00287BF0">
        <w:rPr>
          <w:rStyle w:val="TextBold"/>
          <w:rFonts w:ascii="Arial" w:hAnsi="Arial" w:cs="Arial"/>
          <w:bCs/>
          <w:color w:val="auto"/>
        </w:rPr>
        <w:t xml:space="preserve">Note: </w:t>
      </w:r>
    </w:p>
    <w:p w:rsidR="001058D6" w:rsidRPr="00287BF0" w:rsidRDefault="001058D6" w:rsidP="001058D6">
      <w:pPr>
        <w:pStyle w:val="Caption"/>
        <w:spacing w:after="0"/>
        <w:rPr>
          <w:rFonts w:ascii="Arial" w:hAnsi="Arial" w:cs="Arial"/>
          <w:color w:val="auto"/>
        </w:rPr>
      </w:pPr>
      <w:r w:rsidRPr="00287BF0">
        <w:rPr>
          <w:rFonts w:ascii="Arial" w:hAnsi="Arial" w:cs="Arial"/>
          <w:color w:val="auto"/>
        </w:rPr>
        <w:t xml:space="preserve">1. Fees and charges include $8.491 million for annual water entitlement fees and $5.439 million for allocation use fees. No pumping costs were incurred by the office to deliver environmental water in 2012–13. </w:t>
      </w:r>
    </w:p>
    <w:p w:rsidR="001058D6" w:rsidRPr="00287BF0" w:rsidRDefault="001058D6" w:rsidP="001058D6">
      <w:pPr>
        <w:pStyle w:val="body"/>
        <w:rPr>
          <w:rFonts w:ascii="Arial" w:hAnsi="Arial" w:cs="Arial"/>
          <w:color w:val="auto"/>
        </w:rPr>
      </w:pPr>
    </w:p>
    <w:p w:rsidR="001058D6" w:rsidRDefault="001058D6" w:rsidP="001058D6">
      <w:pPr>
        <w:suppressAutoHyphens/>
        <w:rPr>
          <w:rStyle w:val="TextBold"/>
          <w:rFonts w:ascii="Arial" w:hAnsi="Arial" w:cs="Arial"/>
          <w:bCs/>
          <w:spacing w:val="-7"/>
          <w:sz w:val="34"/>
          <w:szCs w:val="34"/>
          <w:lang w:val="en-GB"/>
        </w:rPr>
      </w:pPr>
      <w:r>
        <w:rPr>
          <w:rStyle w:val="TextBold"/>
          <w:rFonts w:ascii="Arial" w:hAnsi="Arial" w:cs="Arial"/>
          <w:b w:val="0"/>
        </w:rPr>
        <w:br w:type="page"/>
      </w:r>
    </w:p>
    <w:p w:rsidR="001058D6" w:rsidRPr="00287BF0" w:rsidRDefault="001058D6" w:rsidP="007B2F2F">
      <w:pPr>
        <w:pStyle w:val="Heading3"/>
        <w:ind w:left="2160" w:hanging="2160"/>
        <w:rPr>
          <w:rStyle w:val="TextBold"/>
          <w:b/>
        </w:rPr>
      </w:pPr>
      <w:bookmarkStart w:id="4" w:name="_Appendix_A—Commonwealth_Environment"/>
      <w:bookmarkEnd w:id="4"/>
      <w:r w:rsidRPr="00287BF0">
        <w:rPr>
          <w:rStyle w:val="TextBold"/>
          <w:b/>
        </w:rPr>
        <w:lastRenderedPageBreak/>
        <w:t>Appendix A</w:t>
      </w:r>
      <w:r w:rsidR="007B2F2F">
        <w:rPr>
          <w:rStyle w:val="TextBold"/>
          <w:b/>
        </w:rPr>
        <w:tab/>
      </w:r>
      <w:r w:rsidRPr="00287BF0">
        <w:rPr>
          <w:rStyle w:val="TextBold"/>
          <w:b/>
        </w:rPr>
        <w:t xml:space="preserve">Commonwealth Environmental </w:t>
      </w:r>
      <w:r w:rsidRPr="00287BF0">
        <w:rPr>
          <w:rStyle w:val="TextBold"/>
          <w:b/>
          <w:spacing w:val="-14"/>
        </w:rPr>
        <w:t xml:space="preserve">Water Office holdings in the Murray–Darling Basin </w:t>
      </w:r>
    </w:p>
    <w:tbl>
      <w:tblPr>
        <w:tblStyle w:val="TableGrid1"/>
        <w:tblW w:w="5000" w:type="pct"/>
        <w:tblLook w:val="0020"/>
      </w:tblPr>
      <w:tblGrid>
        <w:gridCol w:w="2460"/>
        <w:gridCol w:w="2458"/>
        <w:gridCol w:w="2460"/>
        <w:gridCol w:w="2470"/>
      </w:tblGrid>
      <w:tr w:rsidR="001058D6" w:rsidRPr="00287BF0" w:rsidTr="001058D6">
        <w:trPr>
          <w:trHeight w:val="60"/>
        </w:trPr>
        <w:tc>
          <w:tcPr>
            <w:tcW w:w="5000" w:type="pct"/>
            <w:gridSpan w:val="4"/>
          </w:tcPr>
          <w:p w:rsidR="001058D6" w:rsidRPr="00287BF0" w:rsidRDefault="001058D6" w:rsidP="007B2F2F">
            <w:pPr>
              <w:pStyle w:val="figureheading"/>
            </w:pPr>
            <w:r w:rsidRPr="00287BF0">
              <w:rPr>
                <w:rStyle w:val="TextBold"/>
                <w:rFonts w:cs="Arial"/>
                <w:b/>
                <w:color w:val="auto"/>
              </w:rPr>
              <w:t>Table A1: Commonwealth Environmental Water Office holdings in the Murray–Darling Basin (at 30 June 2013) (continued)</w:t>
            </w:r>
          </w:p>
        </w:tc>
      </w:tr>
      <w:tr w:rsidR="001058D6" w:rsidRPr="00287BF0" w:rsidTr="001058D6">
        <w:trPr>
          <w:trHeight w:val="60"/>
        </w:trPr>
        <w:tc>
          <w:tcPr>
            <w:tcW w:w="1249" w:type="pct"/>
          </w:tcPr>
          <w:p w:rsidR="001058D6" w:rsidRPr="00287BF0" w:rsidRDefault="001058D6" w:rsidP="00154DBC">
            <w:pPr>
              <w:pStyle w:val="tablehead"/>
            </w:pPr>
            <w:r w:rsidRPr="00287BF0">
              <w:rPr>
                <w:rStyle w:val="TextBold"/>
                <w:b/>
              </w:rPr>
              <w:t>River system</w:t>
            </w:r>
          </w:p>
        </w:tc>
        <w:tc>
          <w:tcPr>
            <w:tcW w:w="1248" w:type="pct"/>
          </w:tcPr>
          <w:p w:rsidR="001058D6" w:rsidRPr="00287BF0" w:rsidRDefault="001058D6" w:rsidP="00154DBC">
            <w:pPr>
              <w:pStyle w:val="tablehead"/>
            </w:pPr>
            <w:r w:rsidRPr="00287BF0">
              <w:rPr>
                <w:rStyle w:val="TextBold"/>
                <w:b/>
              </w:rPr>
              <w:t>Security/reliability</w:t>
            </w:r>
          </w:p>
        </w:tc>
        <w:tc>
          <w:tcPr>
            <w:tcW w:w="1249" w:type="pct"/>
          </w:tcPr>
          <w:p w:rsidR="001058D6" w:rsidRPr="00287BF0" w:rsidRDefault="001058D6" w:rsidP="00154DBC">
            <w:pPr>
              <w:pStyle w:val="tablehead"/>
            </w:pPr>
            <w:r w:rsidRPr="00287BF0">
              <w:rPr>
                <w:rStyle w:val="TextBold"/>
                <w:b/>
              </w:rPr>
              <w:t>Registered entitlements (ML</w:t>
            </w:r>
            <w:r w:rsidRPr="00287BF0">
              <w:rPr>
                <w:rStyle w:val="TextBold"/>
                <w:b/>
                <w:vertAlign w:val="superscript"/>
              </w:rPr>
              <w:t>1</w:t>
            </w:r>
            <w:r w:rsidRPr="00287BF0">
              <w:rPr>
                <w:rStyle w:val="TextBold"/>
                <w:b/>
              </w:rPr>
              <w:t xml:space="preserve">) </w:t>
            </w:r>
          </w:p>
        </w:tc>
        <w:tc>
          <w:tcPr>
            <w:tcW w:w="1255" w:type="pct"/>
          </w:tcPr>
          <w:p w:rsidR="001058D6" w:rsidRPr="00287BF0" w:rsidRDefault="001058D6" w:rsidP="00154DBC">
            <w:pPr>
              <w:pStyle w:val="tablehead"/>
            </w:pPr>
            <w:r w:rsidRPr="00287BF0">
              <w:rPr>
                <w:rStyle w:val="TextBold"/>
                <w:b/>
              </w:rPr>
              <w:t>Long-term average annual yield (ML)</w:t>
            </w:r>
          </w:p>
        </w:tc>
      </w:tr>
      <w:tr w:rsidR="001058D6" w:rsidRPr="00287BF0" w:rsidTr="001058D6">
        <w:trPr>
          <w:trHeight w:val="60"/>
        </w:trPr>
        <w:tc>
          <w:tcPr>
            <w:tcW w:w="5000" w:type="pct"/>
            <w:gridSpan w:val="4"/>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Queensland</w:t>
            </w:r>
          </w:p>
        </w:tc>
      </w:tr>
      <w:tr w:rsidR="001058D6" w:rsidRPr="00287BF0" w:rsidTr="001058D6">
        <w:trPr>
          <w:trHeight w:val="223"/>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Border Rivers</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Medium</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w:t>
            </w:r>
            <w:r w:rsidRPr="00287BF0">
              <w:rPr>
                <w:rFonts w:ascii="Arial" w:hAnsi="Arial" w:cs="Arial"/>
                <w:color w:val="auto"/>
                <w:rtl/>
              </w:rPr>
              <w:t xml:space="preserve"> </w:t>
            </w:r>
            <w:r w:rsidRPr="00287BF0">
              <w:rPr>
                <w:rFonts w:ascii="Arial" w:hAnsi="Arial" w:cs="Arial"/>
                <w:color w:val="auto"/>
              </w:rPr>
              <w:t>684</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3969</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4286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1814</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Condamine</w:t>
            </w:r>
            <w:proofErr w:type="spellEnd"/>
            <w:r w:rsidRPr="00287BF0">
              <w:rPr>
                <w:rStyle w:val="TextBold"/>
                <w:rFonts w:ascii="Arial" w:hAnsi="Arial" w:cs="Arial"/>
                <w:bCs/>
                <w:color w:val="auto"/>
              </w:rPr>
              <w:t xml:space="preserve"> </w:t>
            </w:r>
            <w:proofErr w:type="spellStart"/>
            <w:r w:rsidRPr="00287BF0">
              <w:rPr>
                <w:rStyle w:val="TextBold"/>
                <w:rFonts w:ascii="Arial" w:hAnsi="Arial" w:cs="Arial"/>
                <w:bCs/>
                <w:color w:val="auto"/>
              </w:rPr>
              <w:t>Balonne</w:t>
            </w:r>
            <w:proofErr w:type="spellEnd"/>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46</w:t>
            </w:r>
            <w:r w:rsidRPr="00287BF0">
              <w:rPr>
                <w:rFonts w:ascii="Arial" w:hAnsi="Arial" w:cs="Arial"/>
                <w:color w:val="auto"/>
                <w:rtl/>
              </w:rPr>
              <w:t xml:space="preserve"> </w:t>
            </w:r>
            <w:r w:rsidRPr="00287BF0">
              <w:rPr>
                <w:rFonts w:ascii="Arial" w:hAnsi="Arial" w:cs="Arial"/>
                <w:color w:val="auto"/>
              </w:rPr>
              <w:t>950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32</w:t>
            </w:r>
            <w:r w:rsidRPr="00287BF0">
              <w:rPr>
                <w:rFonts w:ascii="Arial" w:hAnsi="Arial" w:cs="Arial"/>
                <w:color w:val="auto"/>
                <w:rtl/>
              </w:rPr>
              <w:t xml:space="preserve"> </w:t>
            </w:r>
            <w:r w:rsidRPr="00287BF0">
              <w:rPr>
                <w:rFonts w:ascii="Arial" w:hAnsi="Arial" w:cs="Arial"/>
                <w:color w:val="auto"/>
              </w:rPr>
              <w:t>437</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Moonie</w:t>
            </w:r>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1415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1100</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Nebine</w:t>
            </w:r>
            <w:proofErr w:type="spellEnd"/>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5920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1000</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Warrego</w:t>
            </w:r>
            <w:proofErr w:type="spellEnd"/>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16</w:t>
            </w:r>
            <w:r w:rsidRPr="00287BF0">
              <w:rPr>
                <w:rFonts w:ascii="Arial" w:hAnsi="Arial" w:cs="Arial"/>
                <w:color w:val="auto"/>
                <w:rtl/>
              </w:rPr>
              <w:t xml:space="preserve"> </w:t>
            </w:r>
            <w:r w:rsidRPr="00287BF0">
              <w:rPr>
                <w:rFonts w:ascii="Arial" w:hAnsi="Arial" w:cs="Arial"/>
                <w:color w:val="auto"/>
              </w:rPr>
              <w:t>050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8000</w:t>
            </w:r>
          </w:p>
        </w:tc>
      </w:tr>
      <w:tr w:rsidR="001058D6" w:rsidRPr="00287BF0" w:rsidTr="001058D6">
        <w:trPr>
          <w:trHeight w:val="279"/>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Total Queensland</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Medium</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11</w:t>
            </w:r>
            <w:r w:rsidRPr="00287BF0">
              <w:rPr>
                <w:rStyle w:val="TextBold"/>
                <w:rFonts w:ascii="Arial" w:hAnsi="Arial" w:cs="Arial"/>
                <w:bCs/>
                <w:color w:val="auto"/>
                <w:rtl/>
              </w:rPr>
              <w:t xml:space="preserve"> </w:t>
            </w:r>
            <w:r w:rsidRPr="00287BF0">
              <w:rPr>
                <w:rStyle w:val="TextBold"/>
                <w:rFonts w:ascii="Arial" w:hAnsi="Arial" w:cs="Arial"/>
                <w:bCs/>
                <w:color w:val="auto"/>
              </w:rPr>
              <w:t>684</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3969</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74</w:t>
            </w:r>
            <w:r w:rsidRPr="00287BF0">
              <w:rPr>
                <w:rStyle w:val="TextBold"/>
                <w:rFonts w:ascii="Arial" w:hAnsi="Arial" w:cs="Arial"/>
                <w:bCs/>
                <w:color w:val="auto"/>
                <w:rtl/>
              </w:rPr>
              <w:t xml:space="preserve"> </w:t>
            </w:r>
            <w:r w:rsidRPr="00287BF0">
              <w:rPr>
                <w:rStyle w:val="TextBold"/>
                <w:rFonts w:ascii="Arial" w:hAnsi="Arial" w:cs="Arial"/>
                <w:bCs/>
                <w:color w:val="auto"/>
              </w:rPr>
              <w:t>621</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44</w:t>
            </w:r>
            <w:r w:rsidRPr="00287BF0">
              <w:rPr>
                <w:rStyle w:val="TextBold"/>
                <w:rFonts w:ascii="Arial" w:hAnsi="Arial" w:cs="Arial"/>
                <w:bCs/>
                <w:color w:val="auto"/>
                <w:rtl/>
              </w:rPr>
              <w:t xml:space="preserve"> </w:t>
            </w:r>
            <w:r w:rsidRPr="00287BF0">
              <w:rPr>
                <w:rStyle w:val="TextBold"/>
                <w:rFonts w:ascii="Arial" w:hAnsi="Arial" w:cs="Arial"/>
                <w:bCs/>
                <w:color w:val="auto"/>
              </w:rPr>
              <w:t>351</w:t>
            </w:r>
          </w:p>
        </w:tc>
      </w:tr>
      <w:tr w:rsidR="001058D6" w:rsidRPr="00287BF0" w:rsidTr="001058D6">
        <w:trPr>
          <w:trHeight w:val="60"/>
        </w:trPr>
        <w:tc>
          <w:tcPr>
            <w:tcW w:w="5000" w:type="pct"/>
            <w:gridSpan w:val="4"/>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New South Wales</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Barwon</w:t>
            </w:r>
            <w:proofErr w:type="spellEnd"/>
            <w:r w:rsidRPr="00287BF0">
              <w:rPr>
                <w:rStyle w:val="TextBold"/>
                <w:rFonts w:ascii="Arial" w:hAnsi="Arial" w:cs="Arial"/>
                <w:bCs/>
                <w:color w:val="auto"/>
              </w:rPr>
              <w:t>–Darling</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Unregulated</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22</w:t>
            </w:r>
            <w:r w:rsidRPr="00287BF0">
              <w:rPr>
                <w:rFonts w:ascii="Arial" w:hAnsi="Arial" w:cs="Arial"/>
                <w:color w:val="auto"/>
                <w:rtl/>
              </w:rPr>
              <w:t xml:space="preserve"> </w:t>
            </w:r>
            <w:r w:rsidRPr="00287BF0">
              <w:rPr>
                <w:rFonts w:ascii="Arial" w:hAnsi="Arial" w:cs="Arial"/>
                <w:color w:val="auto"/>
              </w:rPr>
              <w:t>275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22</w:t>
            </w:r>
            <w:r w:rsidRPr="00287BF0">
              <w:rPr>
                <w:rFonts w:ascii="Arial" w:hAnsi="Arial" w:cs="Arial"/>
                <w:color w:val="auto"/>
                <w:rtl/>
              </w:rPr>
              <w:t xml:space="preserve"> </w:t>
            </w:r>
            <w:r w:rsidRPr="00287BF0">
              <w:rPr>
                <w:rFonts w:ascii="Arial" w:hAnsi="Arial" w:cs="Arial"/>
                <w:color w:val="auto"/>
              </w:rPr>
              <w:t>275</w:t>
            </w:r>
          </w:p>
        </w:tc>
      </w:tr>
      <w:tr w:rsidR="001058D6" w:rsidRPr="00287BF0" w:rsidTr="001058D6">
        <w:trPr>
          <w:trHeight w:val="240"/>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Border Rivers</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298</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119</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Gwydir</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375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375</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89</w:t>
            </w:r>
            <w:r w:rsidRPr="00287BF0">
              <w:rPr>
                <w:rFonts w:ascii="Arial" w:hAnsi="Arial" w:cs="Arial"/>
                <w:color w:val="auto"/>
                <w:rtl/>
              </w:rPr>
              <w:t xml:space="preserve"> </w:t>
            </w:r>
            <w:r w:rsidRPr="00287BF0">
              <w:rPr>
                <w:rFonts w:ascii="Arial" w:hAnsi="Arial" w:cs="Arial"/>
                <w:color w:val="auto"/>
              </w:rPr>
              <w:t>525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32</w:t>
            </w:r>
            <w:r w:rsidRPr="00287BF0">
              <w:rPr>
                <w:rFonts w:ascii="Arial" w:hAnsi="Arial" w:cs="Arial"/>
                <w:color w:val="auto"/>
                <w:rtl/>
              </w:rPr>
              <w:t xml:space="preserve"> </w:t>
            </w:r>
            <w:r w:rsidRPr="00287BF0">
              <w:rPr>
                <w:rFonts w:ascii="Arial" w:hAnsi="Arial" w:cs="Arial"/>
                <w:color w:val="auto"/>
              </w:rPr>
              <w:t>229</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19</w:t>
            </w:r>
            <w:r w:rsidRPr="00287BF0">
              <w:rPr>
                <w:rFonts w:ascii="Arial" w:hAnsi="Arial" w:cs="Arial"/>
                <w:color w:val="auto"/>
                <w:rtl/>
              </w:rPr>
              <w:t xml:space="preserve"> </w:t>
            </w:r>
            <w:r w:rsidRPr="00287BF0">
              <w:rPr>
                <w:rFonts w:ascii="Arial" w:hAnsi="Arial" w:cs="Arial"/>
                <w:color w:val="auto"/>
              </w:rPr>
              <w:t>100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3629</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Lachlan</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933</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933</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86</w:t>
            </w:r>
            <w:r w:rsidRPr="00287BF0">
              <w:rPr>
                <w:rFonts w:ascii="Arial" w:hAnsi="Arial" w:cs="Arial"/>
                <w:color w:val="auto"/>
                <w:rtl/>
              </w:rPr>
              <w:t xml:space="preserve"> </w:t>
            </w:r>
            <w:r w:rsidRPr="00287BF0">
              <w:rPr>
                <w:rFonts w:ascii="Arial" w:hAnsi="Arial" w:cs="Arial"/>
                <w:color w:val="auto"/>
              </w:rPr>
              <w:t>923</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36</w:t>
            </w:r>
            <w:r w:rsidRPr="00287BF0">
              <w:rPr>
                <w:rFonts w:ascii="Arial" w:hAnsi="Arial" w:cs="Arial"/>
                <w:color w:val="auto"/>
                <w:rtl/>
              </w:rPr>
              <w:t xml:space="preserve"> </w:t>
            </w:r>
            <w:r w:rsidRPr="00287BF0">
              <w:rPr>
                <w:rFonts w:ascii="Arial" w:hAnsi="Arial" w:cs="Arial"/>
                <w:color w:val="auto"/>
              </w:rPr>
              <w:t>508</w:t>
            </w:r>
          </w:p>
        </w:tc>
      </w:tr>
      <w:tr w:rsidR="001058D6" w:rsidRPr="00287BF0" w:rsidTr="001058D6">
        <w:trPr>
          <w:trHeight w:val="283"/>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Lower Darling</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492</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399</w:t>
            </w:r>
          </w:p>
        </w:tc>
      </w:tr>
      <w:tr w:rsidR="001058D6" w:rsidRPr="00287BF0" w:rsidTr="001058D6">
        <w:trPr>
          <w:trHeight w:val="203"/>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Macquarie/Cudgegong</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116</w:t>
            </w:r>
            <w:r w:rsidRPr="00287BF0">
              <w:rPr>
                <w:rFonts w:ascii="Arial" w:hAnsi="Arial" w:cs="Arial"/>
                <w:color w:val="auto"/>
                <w:rtl/>
              </w:rPr>
              <w:t xml:space="preserve"> </w:t>
            </w:r>
            <w:r w:rsidRPr="00287BF0">
              <w:rPr>
                <w:rFonts w:ascii="Arial" w:hAnsi="Arial" w:cs="Arial"/>
                <w:color w:val="auto"/>
              </w:rPr>
              <w:t>110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48</w:t>
            </w:r>
            <w:r w:rsidRPr="00287BF0">
              <w:rPr>
                <w:rFonts w:ascii="Arial" w:hAnsi="Arial" w:cs="Arial"/>
                <w:color w:val="auto"/>
                <w:rtl/>
              </w:rPr>
              <w:t xml:space="preserve"> </w:t>
            </w:r>
            <w:r w:rsidRPr="00287BF0">
              <w:rPr>
                <w:rFonts w:ascii="Arial" w:hAnsi="Arial" w:cs="Arial"/>
                <w:color w:val="auto"/>
              </w:rPr>
              <w:t>766</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1888</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397</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Murray</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8553</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8125</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318</w:t>
            </w:r>
            <w:r w:rsidRPr="00287BF0">
              <w:rPr>
                <w:rFonts w:ascii="Arial" w:hAnsi="Arial" w:cs="Arial"/>
                <w:color w:val="auto"/>
                <w:rtl/>
              </w:rPr>
              <w:t xml:space="preserve"> </w:t>
            </w:r>
            <w:r w:rsidRPr="00287BF0">
              <w:rPr>
                <w:rFonts w:ascii="Arial" w:hAnsi="Arial" w:cs="Arial"/>
                <w:color w:val="auto"/>
              </w:rPr>
              <w:t>186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257</w:t>
            </w:r>
            <w:r w:rsidRPr="00287BF0">
              <w:rPr>
                <w:rFonts w:ascii="Arial" w:hAnsi="Arial" w:cs="Arial"/>
                <w:color w:val="auto"/>
                <w:rtl/>
              </w:rPr>
              <w:t xml:space="preserve"> </w:t>
            </w:r>
            <w:r w:rsidRPr="00287BF0">
              <w:rPr>
                <w:rFonts w:ascii="Arial" w:hAnsi="Arial" w:cs="Arial"/>
                <w:color w:val="auto"/>
              </w:rPr>
              <w:t>731</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41</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Groundwater</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1141</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1141</w:t>
            </w:r>
          </w:p>
        </w:tc>
      </w:tr>
      <w:tr w:rsidR="001058D6" w:rsidRPr="00287BF0" w:rsidTr="001058D6">
        <w:trPr>
          <w:trHeight w:val="477"/>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Conveyance</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1230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964</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Unregulated</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24</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Murrumbidgee</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4246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4034</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200 145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128 093</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Conveyance</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8856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8413</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20 820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2915</w:t>
            </w:r>
          </w:p>
        </w:tc>
      </w:tr>
      <w:tr w:rsidR="001058D6" w:rsidRPr="00287BF0" w:rsidTr="001058D6">
        <w:trPr>
          <w:trHeight w:val="225"/>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Namoi</w:t>
            </w:r>
            <w:proofErr w:type="spellEnd"/>
            <w:r w:rsidRPr="00287BF0">
              <w:rPr>
                <w:rStyle w:val="TextBold"/>
                <w:rFonts w:ascii="Arial" w:hAnsi="Arial" w:cs="Arial"/>
                <w:bCs/>
                <w:color w:val="auto"/>
              </w:rPr>
              <w:t xml:space="preserve"> (upper)</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81</w:t>
            </w:r>
          </w:p>
        </w:tc>
      </w:tr>
      <w:tr w:rsidR="001058D6" w:rsidRPr="00287BF0" w:rsidTr="001058D6">
        <w:trPr>
          <w:trHeight w:val="186"/>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Namoi</w:t>
            </w:r>
            <w:proofErr w:type="spellEnd"/>
            <w:r w:rsidRPr="00287BF0">
              <w:rPr>
                <w:rStyle w:val="TextBold"/>
                <w:rFonts w:ascii="Arial" w:hAnsi="Arial" w:cs="Arial"/>
                <w:bCs/>
                <w:color w:val="auto"/>
              </w:rPr>
              <w:t xml:space="preserve"> (lower)</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6218</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4788</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Warrego</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Unregulated</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17 826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17 826</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 xml:space="preserve">Total New </w:t>
            </w:r>
            <w:r w:rsidRPr="00287BF0">
              <w:rPr>
                <w:rStyle w:val="TextBold"/>
                <w:rFonts w:ascii="Arial" w:hAnsi="Arial" w:cs="Arial"/>
                <w:bCs/>
                <w:color w:val="auto"/>
              </w:rPr>
              <w:br/>
              <w:t>South Wales</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14 107</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13 467</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818 002</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508 713</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Conveyance</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10 086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9378</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41 864</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6981</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Unregulated</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40 131</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40 125</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Groundwater</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1141</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1141</w:t>
            </w:r>
          </w:p>
        </w:tc>
      </w:tr>
      <w:tr w:rsidR="001058D6" w:rsidRPr="00287BF0" w:rsidTr="001058D6">
        <w:trPr>
          <w:trHeight w:val="60"/>
        </w:trPr>
        <w:tc>
          <w:tcPr>
            <w:tcW w:w="5000" w:type="pct"/>
            <w:gridSpan w:val="4"/>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Victoria</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Broken</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117</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111</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Campaspe</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6547</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6219</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395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194</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Goulburn</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205</w:t>
            </w:r>
            <w:r w:rsidRPr="00287BF0">
              <w:rPr>
                <w:rFonts w:ascii="Arial" w:hAnsi="Arial" w:cs="Arial"/>
                <w:color w:val="auto"/>
                <w:rtl/>
              </w:rPr>
              <w:t xml:space="preserve"> </w:t>
            </w:r>
            <w:r w:rsidRPr="00287BF0">
              <w:rPr>
                <w:rFonts w:ascii="Arial" w:hAnsi="Arial" w:cs="Arial"/>
                <w:color w:val="auto"/>
              </w:rPr>
              <w:t>090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194</w:t>
            </w:r>
            <w:r w:rsidRPr="00287BF0">
              <w:rPr>
                <w:rFonts w:ascii="Arial" w:hAnsi="Arial" w:cs="Arial"/>
                <w:color w:val="auto"/>
                <w:rtl/>
              </w:rPr>
              <w:t xml:space="preserve"> </w:t>
            </w:r>
            <w:r w:rsidRPr="00287BF0">
              <w:rPr>
                <w:rFonts w:ascii="Arial" w:hAnsi="Arial" w:cs="Arial"/>
                <w:color w:val="auto"/>
              </w:rPr>
              <w:t>792</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w:t>
            </w:r>
            <w:r w:rsidRPr="00287BF0">
              <w:rPr>
                <w:rFonts w:ascii="Arial" w:hAnsi="Arial" w:cs="Arial"/>
                <w:color w:val="auto"/>
                <w:rtl/>
              </w:rPr>
              <w:t xml:space="preserve"> </w:t>
            </w:r>
            <w:r w:rsidRPr="00287BF0">
              <w:rPr>
                <w:rFonts w:ascii="Arial" w:hAnsi="Arial" w:cs="Arial"/>
                <w:color w:val="auto"/>
              </w:rPr>
              <w:t>389</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4102</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Loddon</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2775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2636</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527</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142</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Murray</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243</w:t>
            </w:r>
            <w:r w:rsidRPr="00287BF0">
              <w:rPr>
                <w:rFonts w:ascii="Arial" w:hAnsi="Arial" w:cs="Arial"/>
                <w:color w:val="auto"/>
                <w:rtl/>
              </w:rPr>
              <w:t xml:space="preserve"> </w:t>
            </w:r>
            <w:r w:rsidRPr="00287BF0">
              <w:rPr>
                <w:rFonts w:ascii="Arial" w:hAnsi="Arial" w:cs="Arial"/>
                <w:color w:val="auto"/>
              </w:rPr>
              <w:t>534</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231</w:t>
            </w:r>
            <w:r w:rsidRPr="00287BF0">
              <w:rPr>
                <w:rFonts w:ascii="Arial" w:hAnsi="Arial" w:cs="Arial"/>
                <w:color w:val="auto"/>
                <w:rtl/>
              </w:rPr>
              <w:t xml:space="preserve"> </w:t>
            </w:r>
            <w:r w:rsidRPr="00287BF0">
              <w:rPr>
                <w:rFonts w:ascii="Arial" w:hAnsi="Arial" w:cs="Arial"/>
                <w:color w:val="auto"/>
              </w:rPr>
              <w:t>393</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w:t>
            </w:r>
            <w:r w:rsidRPr="00287BF0">
              <w:rPr>
                <w:rFonts w:ascii="Arial" w:hAnsi="Arial" w:cs="Arial"/>
                <w:color w:val="auto"/>
                <w:rtl/>
              </w:rPr>
              <w:t xml:space="preserve"> </w:t>
            </w:r>
            <w:r w:rsidRPr="00287BF0">
              <w:rPr>
                <w:rFonts w:ascii="Arial" w:hAnsi="Arial" w:cs="Arial"/>
                <w:color w:val="auto"/>
              </w:rPr>
              <w:t>765</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3002</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Ovens</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70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67</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proofErr w:type="spellStart"/>
            <w:r w:rsidRPr="00287BF0">
              <w:rPr>
                <w:rStyle w:val="TextBold"/>
                <w:rFonts w:ascii="Arial" w:hAnsi="Arial" w:cs="Arial"/>
                <w:bCs/>
                <w:color w:val="auto"/>
              </w:rPr>
              <w:t>Wimmera–Mallee</w:t>
            </w:r>
            <w:proofErr w:type="spellEnd"/>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28 000</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22 568</w:t>
            </w:r>
          </w:p>
        </w:tc>
      </w:tr>
      <w:tr w:rsidR="001058D6" w:rsidRPr="00287BF0" w:rsidTr="001058D6">
        <w:trPr>
          <w:trHeight w:val="60"/>
        </w:trPr>
        <w:tc>
          <w:tcPr>
            <w:tcW w:w="1249" w:type="pct"/>
            <w:vMerge w:val="restar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 xml:space="preserve">Total Victoria </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486 133</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457</w:t>
            </w:r>
            <w:r w:rsidRPr="00287BF0">
              <w:rPr>
                <w:rFonts w:ascii="Arial" w:hAnsi="Arial" w:cs="Arial"/>
                <w:color w:val="auto"/>
              </w:rPr>
              <w:t xml:space="preserve"> </w:t>
            </w:r>
            <w:r w:rsidRPr="00287BF0">
              <w:rPr>
                <w:rStyle w:val="TextBold"/>
                <w:rFonts w:ascii="Arial" w:hAnsi="Arial" w:cs="Arial"/>
                <w:bCs/>
                <w:color w:val="auto"/>
              </w:rPr>
              <w:t>785</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24 081</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7444</w:t>
            </w:r>
          </w:p>
        </w:tc>
      </w:tr>
      <w:tr w:rsidR="001058D6" w:rsidRPr="00287BF0" w:rsidTr="001058D6">
        <w:trPr>
          <w:trHeight w:val="60"/>
        </w:trPr>
        <w:tc>
          <w:tcPr>
            <w:tcW w:w="5000" w:type="pct"/>
            <w:gridSpan w:val="4"/>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South Australia</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Murray</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107</w:t>
            </w:r>
            <w:r w:rsidRPr="00287BF0">
              <w:rPr>
                <w:rFonts w:ascii="Arial" w:hAnsi="Arial" w:cs="Arial"/>
                <w:color w:val="auto"/>
                <w:rtl/>
              </w:rPr>
              <w:t xml:space="preserve"> </w:t>
            </w:r>
            <w:r w:rsidRPr="00287BF0">
              <w:rPr>
                <w:rFonts w:ascii="Arial" w:hAnsi="Arial" w:cs="Arial"/>
                <w:color w:val="auto"/>
              </w:rPr>
              <w:t>266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96</w:t>
            </w:r>
            <w:r w:rsidRPr="00287BF0">
              <w:rPr>
                <w:rFonts w:ascii="Arial" w:hAnsi="Arial" w:cs="Arial"/>
                <w:color w:val="auto"/>
                <w:rtl/>
              </w:rPr>
              <w:t xml:space="preserve"> </w:t>
            </w:r>
            <w:r w:rsidRPr="00287BF0">
              <w:rPr>
                <w:rFonts w:ascii="Arial" w:hAnsi="Arial" w:cs="Arial"/>
                <w:color w:val="auto"/>
              </w:rPr>
              <w:t>504</w:t>
            </w:r>
          </w:p>
        </w:tc>
      </w:tr>
      <w:tr w:rsidR="001058D6" w:rsidRPr="00287BF0" w:rsidTr="001058D6">
        <w:trPr>
          <w:trHeight w:val="60"/>
        </w:trPr>
        <w:tc>
          <w:tcPr>
            <w:tcW w:w="1249"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 xml:space="preserve">Total South Australia </w:t>
            </w: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107</w:t>
            </w:r>
            <w:r w:rsidRPr="00287BF0">
              <w:rPr>
                <w:rStyle w:val="TextBold"/>
                <w:rFonts w:ascii="Arial" w:hAnsi="Arial" w:cs="Arial"/>
                <w:bCs/>
                <w:color w:val="auto"/>
                <w:rtl/>
              </w:rPr>
              <w:t xml:space="preserve"> </w:t>
            </w:r>
            <w:r w:rsidRPr="00287BF0">
              <w:rPr>
                <w:rStyle w:val="TextBold"/>
                <w:rFonts w:ascii="Arial" w:hAnsi="Arial" w:cs="Arial"/>
                <w:bCs/>
                <w:color w:val="auto"/>
              </w:rPr>
              <w:t>266</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96</w:t>
            </w:r>
            <w:r w:rsidRPr="00287BF0">
              <w:rPr>
                <w:rFonts w:ascii="Arial" w:hAnsi="Arial" w:cs="Arial"/>
                <w:color w:val="auto"/>
                <w:rtl/>
              </w:rPr>
              <w:t xml:space="preserve"> </w:t>
            </w:r>
            <w:r w:rsidRPr="00287BF0">
              <w:rPr>
                <w:rStyle w:val="TextBold"/>
                <w:rFonts w:ascii="Arial" w:hAnsi="Arial" w:cs="Arial"/>
                <w:bCs/>
                <w:color w:val="auto"/>
              </w:rPr>
              <w:t>504</w:t>
            </w:r>
          </w:p>
        </w:tc>
      </w:tr>
      <w:tr w:rsidR="001058D6" w:rsidRPr="00287BF0" w:rsidTr="001058D6">
        <w:trPr>
          <w:trHeight w:val="60"/>
        </w:trPr>
        <w:tc>
          <w:tcPr>
            <w:tcW w:w="5000" w:type="pct"/>
            <w:gridSpan w:val="4"/>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Total Murray–Darling Basin</w:t>
            </w:r>
          </w:p>
        </w:tc>
      </w:tr>
      <w:tr w:rsidR="001058D6" w:rsidRPr="00287BF0" w:rsidTr="001058D6">
        <w:trPr>
          <w:trHeight w:val="60"/>
        </w:trPr>
        <w:tc>
          <w:tcPr>
            <w:tcW w:w="1249" w:type="pct"/>
            <w:vMerge w:val="restart"/>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High</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607</w:t>
            </w:r>
            <w:r w:rsidRPr="00287BF0">
              <w:rPr>
                <w:rFonts w:ascii="Arial" w:hAnsi="Arial" w:cs="Arial"/>
                <w:color w:val="auto"/>
                <w:rtl/>
              </w:rPr>
              <w:t xml:space="preserve"> </w:t>
            </w:r>
            <w:r w:rsidRPr="00287BF0">
              <w:rPr>
                <w:rFonts w:ascii="Arial" w:hAnsi="Arial" w:cs="Arial"/>
                <w:color w:val="auto"/>
              </w:rPr>
              <w:t xml:space="preserve">467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567</w:t>
            </w:r>
            <w:r w:rsidRPr="00287BF0">
              <w:rPr>
                <w:rFonts w:ascii="Arial" w:hAnsi="Arial" w:cs="Arial"/>
                <w:color w:val="auto"/>
                <w:rtl/>
              </w:rPr>
              <w:t xml:space="preserve"> </w:t>
            </w:r>
            <w:r w:rsidRPr="00287BF0">
              <w:rPr>
                <w:rFonts w:ascii="Arial" w:hAnsi="Arial" w:cs="Arial"/>
                <w:color w:val="auto"/>
              </w:rPr>
              <w:t xml:space="preserve">756 </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General/Medium/Low</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853</w:t>
            </w:r>
            <w:r w:rsidRPr="00287BF0">
              <w:rPr>
                <w:rFonts w:ascii="Arial" w:hAnsi="Arial" w:cs="Arial"/>
                <w:color w:val="auto"/>
                <w:rtl/>
              </w:rPr>
              <w:t xml:space="preserve"> </w:t>
            </w:r>
            <w:r w:rsidRPr="00287BF0">
              <w:rPr>
                <w:rFonts w:ascii="Arial" w:hAnsi="Arial" w:cs="Arial"/>
                <w:color w:val="auto"/>
              </w:rPr>
              <w:t xml:space="preserve">767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520</w:t>
            </w:r>
            <w:r w:rsidRPr="00287BF0">
              <w:rPr>
                <w:rFonts w:ascii="Arial" w:hAnsi="Arial" w:cs="Arial"/>
                <w:color w:val="auto"/>
                <w:rtl/>
              </w:rPr>
              <w:t xml:space="preserve"> </w:t>
            </w:r>
            <w:r w:rsidRPr="00287BF0">
              <w:rPr>
                <w:rFonts w:ascii="Arial" w:hAnsi="Arial" w:cs="Arial"/>
                <w:color w:val="auto"/>
              </w:rPr>
              <w:t xml:space="preserve">125 </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Conveyance</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w:t>
            </w:r>
            <w:r w:rsidRPr="00287BF0">
              <w:rPr>
                <w:rFonts w:ascii="Arial" w:hAnsi="Arial" w:cs="Arial"/>
                <w:color w:val="auto"/>
                <w:rtl/>
              </w:rPr>
              <w:t xml:space="preserve"> </w:t>
            </w:r>
            <w:r w:rsidRPr="00287BF0">
              <w:rPr>
                <w:rFonts w:ascii="Arial" w:hAnsi="Arial" w:cs="Arial"/>
                <w:color w:val="auto"/>
              </w:rPr>
              <w:t xml:space="preserve">086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 xml:space="preserve">9378 </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Supplementary</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41</w:t>
            </w:r>
            <w:r w:rsidRPr="00287BF0">
              <w:rPr>
                <w:rFonts w:ascii="Arial" w:hAnsi="Arial" w:cs="Arial"/>
                <w:color w:val="auto"/>
                <w:rtl/>
              </w:rPr>
              <w:t xml:space="preserve"> </w:t>
            </w:r>
            <w:r w:rsidRPr="00287BF0">
              <w:rPr>
                <w:rFonts w:ascii="Arial" w:hAnsi="Arial" w:cs="Arial"/>
                <w:color w:val="auto"/>
              </w:rPr>
              <w:t xml:space="preserve">864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 xml:space="preserve">6981 </w:t>
            </w:r>
          </w:p>
        </w:tc>
      </w:tr>
      <w:tr w:rsidR="001058D6" w:rsidRPr="00287BF0" w:rsidTr="001058D6">
        <w:trPr>
          <w:trHeight w:val="5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Unsupplemented</w:t>
            </w:r>
            <w:proofErr w:type="spellEnd"/>
            <w:r w:rsidRPr="00287BF0">
              <w:rPr>
                <w:rFonts w:ascii="Arial" w:hAnsi="Arial" w:cs="Arial"/>
                <w:color w:val="auto"/>
              </w:rPr>
              <w:t>/Unregulated</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114</w:t>
            </w:r>
            <w:r w:rsidRPr="00287BF0">
              <w:rPr>
                <w:rFonts w:ascii="Arial" w:hAnsi="Arial" w:cs="Arial"/>
                <w:color w:val="auto"/>
                <w:rtl/>
              </w:rPr>
              <w:t xml:space="preserve"> </w:t>
            </w:r>
            <w:r w:rsidRPr="00287BF0">
              <w:rPr>
                <w:rFonts w:ascii="Arial" w:hAnsi="Arial" w:cs="Arial"/>
                <w:color w:val="auto"/>
              </w:rPr>
              <w:t xml:space="preserve">752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84</w:t>
            </w:r>
            <w:r w:rsidRPr="00287BF0">
              <w:rPr>
                <w:rFonts w:ascii="Arial" w:hAnsi="Arial" w:cs="Arial"/>
                <w:color w:val="auto"/>
                <w:rtl/>
              </w:rPr>
              <w:t xml:space="preserve"> </w:t>
            </w:r>
            <w:r w:rsidRPr="00287BF0">
              <w:rPr>
                <w:rFonts w:ascii="Arial" w:hAnsi="Arial" w:cs="Arial"/>
                <w:color w:val="auto"/>
              </w:rPr>
              <w:t xml:space="preserve">476 </w:t>
            </w:r>
          </w:p>
        </w:tc>
      </w:tr>
      <w:tr w:rsidR="001058D6" w:rsidRPr="00287BF0" w:rsidTr="001058D6">
        <w:trPr>
          <w:trHeight w:val="60"/>
        </w:trPr>
        <w:tc>
          <w:tcPr>
            <w:tcW w:w="1249"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1248"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Groundwater</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 xml:space="preserve">1141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 xml:space="preserve">1141 </w:t>
            </w:r>
          </w:p>
        </w:tc>
      </w:tr>
      <w:tr w:rsidR="001058D6" w:rsidRPr="00287BF0" w:rsidTr="001058D6">
        <w:trPr>
          <w:trHeight w:val="60"/>
        </w:trPr>
        <w:tc>
          <w:tcPr>
            <w:tcW w:w="2496" w:type="pct"/>
            <w:gridSpan w:val="2"/>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GRAND TOTAL</w:t>
            </w:r>
            <w:r w:rsidRPr="00287BF0">
              <w:rPr>
                <w:rStyle w:val="TextBold"/>
                <w:rFonts w:ascii="Arial" w:hAnsi="Arial" w:cs="Arial"/>
                <w:bCs/>
                <w:color w:val="auto"/>
                <w:vertAlign w:val="superscript"/>
              </w:rPr>
              <w:t>2</w:t>
            </w:r>
            <w:r w:rsidRPr="00287BF0">
              <w:rPr>
                <w:rStyle w:val="TextBold"/>
                <w:rFonts w:ascii="Arial" w:hAnsi="Arial" w:cs="Arial"/>
                <w:bCs/>
                <w:color w:val="auto"/>
                <w:rtl/>
              </w:rPr>
              <w:t xml:space="preserve"> </w:t>
            </w:r>
          </w:p>
        </w:tc>
        <w:tc>
          <w:tcPr>
            <w:tcW w:w="1249"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w:t>
            </w:r>
            <w:r w:rsidRPr="00287BF0">
              <w:rPr>
                <w:rStyle w:val="TextBold"/>
                <w:rFonts w:ascii="Arial" w:hAnsi="Arial" w:cs="Arial"/>
                <w:bCs/>
                <w:color w:val="auto"/>
                <w:rtl/>
              </w:rPr>
              <w:t xml:space="preserve"> </w:t>
            </w:r>
            <w:r w:rsidRPr="00287BF0">
              <w:rPr>
                <w:rStyle w:val="TextBold"/>
                <w:rFonts w:ascii="Arial" w:hAnsi="Arial" w:cs="Arial"/>
                <w:bCs/>
                <w:color w:val="auto"/>
              </w:rPr>
              <w:t xml:space="preserve">629 077 </w:t>
            </w:r>
          </w:p>
        </w:tc>
        <w:tc>
          <w:tcPr>
            <w:tcW w:w="1255"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w:t>
            </w:r>
            <w:r w:rsidRPr="00287BF0">
              <w:rPr>
                <w:rStyle w:val="TextBold"/>
                <w:rFonts w:ascii="Arial" w:hAnsi="Arial" w:cs="Arial"/>
                <w:bCs/>
                <w:color w:val="auto"/>
                <w:rtl/>
              </w:rPr>
              <w:t xml:space="preserve"> </w:t>
            </w:r>
            <w:r w:rsidRPr="00287BF0">
              <w:rPr>
                <w:rStyle w:val="TextBold"/>
                <w:rFonts w:ascii="Arial" w:hAnsi="Arial" w:cs="Arial"/>
                <w:bCs/>
                <w:color w:val="auto"/>
              </w:rPr>
              <w:t>189</w:t>
            </w:r>
            <w:r w:rsidRPr="00287BF0">
              <w:rPr>
                <w:rStyle w:val="TextBold"/>
                <w:rFonts w:ascii="Arial" w:hAnsi="Arial" w:cs="Arial"/>
                <w:bCs/>
                <w:color w:val="auto"/>
                <w:rtl/>
              </w:rPr>
              <w:t xml:space="preserve"> </w:t>
            </w:r>
            <w:r w:rsidRPr="00287BF0">
              <w:rPr>
                <w:rStyle w:val="TextBold"/>
                <w:rFonts w:ascii="Arial" w:hAnsi="Arial" w:cs="Arial"/>
                <w:bCs/>
                <w:color w:val="auto"/>
              </w:rPr>
              <w:t xml:space="preserve">857 </w:t>
            </w:r>
          </w:p>
        </w:tc>
      </w:tr>
    </w:tbl>
    <w:p w:rsidR="001058D6" w:rsidRPr="00287BF0" w:rsidRDefault="001058D6" w:rsidP="001058D6">
      <w:pPr>
        <w:pStyle w:val="Caption"/>
        <w:spacing w:after="0"/>
        <w:rPr>
          <w:rFonts w:ascii="Arial" w:hAnsi="Arial" w:cs="Arial"/>
          <w:color w:val="auto"/>
        </w:rPr>
      </w:pPr>
      <w:r w:rsidRPr="00287BF0">
        <w:rPr>
          <w:rFonts w:ascii="Arial" w:hAnsi="Arial" w:cs="Arial"/>
          <w:color w:val="auto"/>
        </w:rPr>
        <w:t>Notes:</w:t>
      </w:r>
    </w:p>
    <w:p w:rsidR="001058D6" w:rsidRPr="00287BF0" w:rsidRDefault="001058D6" w:rsidP="00F77AE2">
      <w:pPr>
        <w:pStyle w:val="Caption"/>
        <w:tabs>
          <w:tab w:val="left" w:pos="227"/>
        </w:tabs>
        <w:spacing w:after="57"/>
        <w:ind w:left="227" w:hanging="227"/>
        <w:rPr>
          <w:rFonts w:ascii="Arial" w:hAnsi="Arial" w:cs="Arial"/>
          <w:color w:val="auto"/>
        </w:rPr>
      </w:pPr>
      <w:r w:rsidRPr="00287BF0">
        <w:rPr>
          <w:rFonts w:ascii="Arial" w:hAnsi="Arial" w:cs="Arial"/>
          <w:color w:val="auto"/>
        </w:rPr>
        <w:t>1</w:t>
      </w:r>
      <w:r w:rsidR="00F77AE2">
        <w:rPr>
          <w:rFonts w:ascii="Arial" w:hAnsi="Arial" w:cs="Arial"/>
          <w:color w:val="auto"/>
        </w:rPr>
        <w:tab/>
      </w:r>
      <w:r w:rsidRPr="00287BF0">
        <w:rPr>
          <w:rFonts w:ascii="Arial" w:hAnsi="Arial" w:cs="Arial"/>
          <w:color w:val="auto"/>
        </w:rPr>
        <w:t xml:space="preserve">One </w:t>
      </w:r>
      <w:proofErr w:type="spellStart"/>
      <w:r w:rsidRPr="00287BF0">
        <w:rPr>
          <w:rFonts w:ascii="Arial" w:hAnsi="Arial" w:cs="Arial"/>
          <w:color w:val="auto"/>
        </w:rPr>
        <w:t>gigalitre</w:t>
      </w:r>
      <w:proofErr w:type="spellEnd"/>
      <w:r w:rsidRPr="00287BF0">
        <w:rPr>
          <w:rFonts w:ascii="Arial" w:hAnsi="Arial" w:cs="Arial"/>
          <w:color w:val="auto"/>
        </w:rPr>
        <w:t xml:space="preserve"> equals 1000 </w:t>
      </w:r>
      <w:proofErr w:type="spellStart"/>
      <w:r w:rsidRPr="00287BF0">
        <w:rPr>
          <w:rFonts w:ascii="Arial" w:hAnsi="Arial" w:cs="Arial"/>
          <w:color w:val="auto"/>
        </w:rPr>
        <w:t>megalitres</w:t>
      </w:r>
      <w:proofErr w:type="spellEnd"/>
      <w:r w:rsidRPr="00287BF0">
        <w:rPr>
          <w:rFonts w:ascii="Arial" w:hAnsi="Arial" w:cs="Arial"/>
          <w:color w:val="auto"/>
        </w:rPr>
        <w:t>. Some volumes may differ marginally from 30 June 2013 figures posted on the Commonwealth Environmental Water Office website due to accounting adjustments made after 30 June 2013.</w:t>
      </w:r>
    </w:p>
    <w:p w:rsidR="001058D6" w:rsidRPr="00287BF0" w:rsidRDefault="001058D6" w:rsidP="00F77AE2">
      <w:pPr>
        <w:pStyle w:val="Caption"/>
        <w:tabs>
          <w:tab w:val="left" w:pos="227"/>
        </w:tabs>
        <w:ind w:left="227" w:hanging="227"/>
        <w:rPr>
          <w:rFonts w:ascii="Arial" w:hAnsi="Arial" w:cs="Arial"/>
          <w:color w:val="auto"/>
        </w:rPr>
      </w:pPr>
      <w:r w:rsidRPr="00287BF0">
        <w:rPr>
          <w:rFonts w:ascii="Arial" w:hAnsi="Arial" w:cs="Arial"/>
          <w:color w:val="auto"/>
        </w:rPr>
        <w:t>2.</w:t>
      </w:r>
      <w:r w:rsidR="00F77AE2">
        <w:rPr>
          <w:rFonts w:ascii="Arial" w:hAnsi="Arial" w:cs="Arial"/>
          <w:color w:val="auto"/>
        </w:rPr>
        <w:tab/>
      </w:r>
      <w:r w:rsidRPr="00287BF0">
        <w:rPr>
          <w:rFonts w:ascii="Arial" w:hAnsi="Arial" w:cs="Arial"/>
          <w:color w:val="auto"/>
        </w:rPr>
        <w:t>The volume of water currently in the holdings is less than the volume secured under Water for the Future, which includes water entitlements secured under contract but not yet formally transferred to the Commonwealth.</w:t>
      </w:r>
    </w:p>
    <w:p w:rsidR="001058D6" w:rsidRDefault="001058D6" w:rsidP="001058D6">
      <w:pPr>
        <w:suppressAutoHyphens/>
        <w:rPr>
          <w:rStyle w:val="TextBold"/>
          <w:rFonts w:ascii="Arial" w:hAnsi="Arial" w:cs="Arial"/>
          <w:bCs/>
          <w:spacing w:val="-7"/>
          <w:sz w:val="34"/>
          <w:szCs w:val="34"/>
          <w:lang w:val="en-GB"/>
        </w:rPr>
      </w:pPr>
      <w:r>
        <w:rPr>
          <w:rStyle w:val="TextBold"/>
          <w:rFonts w:ascii="Arial" w:hAnsi="Arial" w:cs="Arial"/>
          <w:b w:val="0"/>
        </w:rPr>
        <w:br w:type="page"/>
      </w:r>
    </w:p>
    <w:p w:rsidR="001058D6" w:rsidRPr="00287BF0" w:rsidRDefault="001058D6" w:rsidP="007B2F2F">
      <w:pPr>
        <w:pStyle w:val="Heading3"/>
        <w:ind w:left="2160" w:hanging="2160"/>
        <w:rPr>
          <w:rStyle w:val="TextBold"/>
          <w:b/>
        </w:rPr>
      </w:pPr>
      <w:bookmarkStart w:id="5" w:name="_Appendix_B—Commonwealth_environment"/>
      <w:bookmarkEnd w:id="5"/>
      <w:r w:rsidRPr="00287BF0">
        <w:rPr>
          <w:rStyle w:val="TextBold"/>
          <w:b/>
        </w:rPr>
        <w:lastRenderedPageBreak/>
        <w:t>Appendix B</w:t>
      </w:r>
      <w:r w:rsidR="007B2F2F">
        <w:rPr>
          <w:rStyle w:val="TextBold"/>
          <w:b/>
        </w:rPr>
        <w:tab/>
      </w:r>
      <w:r w:rsidRPr="00287BF0">
        <w:rPr>
          <w:rStyle w:val="TextBold"/>
          <w:b/>
        </w:rPr>
        <w:t>Commonwealth environmental water delivered in the Murray–Darling Basin in 2012–13</w:t>
      </w:r>
    </w:p>
    <w:p w:rsidR="001058D6" w:rsidRPr="00287BF0" w:rsidRDefault="001058D6" w:rsidP="007B2F2F">
      <w:pPr>
        <w:pStyle w:val="figureheading"/>
        <w:rPr>
          <w:rStyle w:val="TextBold"/>
          <w:rFonts w:cs="Arial"/>
          <w:b/>
          <w:color w:val="auto"/>
        </w:rPr>
      </w:pPr>
      <w:r w:rsidRPr="00287BF0">
        <w:rPr>
          <w:rStyle w:val="TextBold"/>
          <w:rFonts w:cs="Arial"/>
          <w:b/>
          <w:color w:val="auto"/>
        </w:rPr>
        <w:t>Table A2:</w:t>
      </w:r>
      <w:r w:rsidR="007B2F2F">
        <w:rPr>
          <w:rStyle w:val="TextBold"/>
          <w:rFonts w:cs="Arial"/>
          <w:b/>
          <w:color w:val="auto"/>
        </w:rPr>
        <w:tab/>
      </w:r>
      <w:r w:rsidRPr="00287BF0">
        <w:rPr>
          <w:rStyle w:val="TextBold"/>
          <w:rFonts w:cs="Arial"/>
          <w:b/>
          <w:color w:val="auto"/>
        </w:rPr>
        <w:t>Summary of the volume of Commonwealth environmental water delivered in the Murray–Darling Basin in 2012–13</w:t>
      </w:r>
    </w:p>
    <w:tbl>
      <w:tblPr>
        <w:tblStyle w:val="TableGrid1"/>
        <w:tblW w:w="5000" w:type="pct"/>
        <w:tblLook w:val="0020"/>
      </w:tblPr>
      <w:tblGrid>
        <w:gridCol w:w="2903"/>
        <w:gridCol w:w="2389"/>
        <w:gridCol w:w="4556"/>
      </w:tblGrid>
      <w:tr w:rsidR="001058D6" w:rsidRPr="00287BF0" w:rsidTr="001058D6">
        <w:trPr>
          <w:trHeight w:val="60"/>
        </w:trPr>
        <w:tc>
          <w:tcPr>
            <w:tcW w:w="1474" w:type="pct"/>
          </w:tcPr>
          <w:p w:rsidR="001058D6" w:rsidRPr="00287BF0" w:rsidRDefault="001058D6" w:rsidP="00154DBC">
            <w:pPr>
              <w:pStyle w:val="tablehead"/>
            </w:pPr>
            <w:r w:rsidRPr="00287BF0">
              <w:rPr>
                <w:rStyle w:val="TextBold"/>
                <w:b/>
              </w:rPr>
              <w:t>Catchment</w:t>
            </w:r>
          </w:p>
        </w:tc>
        <w:tc>
          <w:tcPr>
            <w:tcW w:w="1213" w:type="pct"/>
          </w:tcPr>
          <w:p w:rsidR="001058D6" w:rsidRPr="00287BF0" w:rsidRDefault="001058D6" w:rsidP="00154DBC">
            <w:pPr>
              <w:pStyle w:val="tablehead"/>
            </w:pPr>
            <w:r w:rsidRPr="00287BF0">
              <w:rPr>
                <w:rStyle w:val="TextBold"/>
                <w:b/>
              </w:rPr>
              <w:t>Water delivered (GL)</w:t>
            </w:r>
          </w:p>
        </w:tc>
        <w:tc>
          <w:tcPr>
            <w:tcW w:w="2313" w:type="pct"/>
          </w:tcPr>
          <w:p w:rsidR="001058D6" w:rsidRPr="00287BF0" w:rsidRDefault="001058D6" w:rsidP="00154DBC">
            <w:pPr>
              <w:pStyle w:val="tablehead"/>
            </w:pPr>
            <w:r w:rsidRPr="00287BF0">
              <w:rPr>
                <w:rStyle w:val="TextBold"/>
                <w:b/>
              </w:rPr>
              <w:t xml:space="preserve">Actions </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Murray</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548.9</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Lower Murray</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Edward–</w:t>
            </w:r>
            <w:proofErr w:type="spellStart"/>
            <w:r w:rsidRPr="00287BF0">
              <w:rPr>
                <w:rFonts w:ascii="Arial" w:hAnsi="Arial" w:cs="Arial"/>
                <w:color w:val="auto"/>
              </w:rPr>
              <w:t>Wakool</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33.9</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In-stream flows and </w:t>
            </w:r>
            <w:proofErr w:type="spellStart"/>
            <w:r w:rsidRPr="00287BF0">
              <w:rPr>
                <w:rFonts w:ascii="Arial" w:hAnsi="Arial" w:cs="Arial"/>
                <w:color w:val="auto"/>
              </w:rPr>
              <w:t>Colligen</w:t>
            </w:r>
            <w:proofErr w:type="spellEnd"/>
            <w:r w:rsidRPr="00287BF0">
              <w:rPr>
                <w:rFonts w:ascii="Arial" w:hAnsi="Arial" w:cs="Arial"/>
                <w:color w:val="auto"/>
              </w:rPr>
              <w:t xml:space="preserve">, </w:t>
            </w:r>
            <w:proofErr w:type="spellStart"/>
            <w:r w:rsidRPr="00287BF0">
              <w:rPr>
                <w:rFonts w:ascii="Arial" w:hAnsi="Arial" w:cs="Arial"/>
                <w:color w:val="auto"/>
              </w:rPr>
              <w:t>Yallakool</w:t>
            </w:r>
            <w:proofErr w:type="spellEnd"/>
            <w:r w:rsidRPr="00287BF0">
              <w:rPr>
                <w:rFonts w:ascii="Arial" w:hAnsi="Arial" w:cs="Arial"/>
                <w:color w:val="auto"/>
              </w:rPr>
              <w:t xml:space="preserve">, </w:t>
            </w:r>
            <w:proofErr w:type="spellStart"/>
            <w:r w:rsidRPr="00287BF0">
              <w:rPr>
                <w:rFonts w:ascii="Arial" w:hAnsi="Arial" w:cs="Arial"/>
                <w:color w:val="auto"/>
              </w:rPr>
              <w:t>Jimaringle</w:t>
            </w:r>
            <w:proofErr w:type="spellEnd"/>
            <w:r w:rsidRPr="00287BF0">
              <w:rPr>
                <w:rFonts w:ascii="Arial" w:hAnsi="Arial" w:cs="Arial"/>
                <w:color w:val="auto"/>
              </w:rPr>
              <w:t xml:space="preserve">, </w:t>
            </w:r>
            <w:proofErr w:type="spellStart"/>
            <w:r w:rsidRPr="00287BF0">
              <w:rPr>
                <w:rFonts w:ascii="Arial" w:hAnsi="Arial" w:cs="Arial"/>
                <w:color w:val="auto"/>
              </w:rPr>
              <w:t>Cockran</w:t>
            </w:r>
            <w:proofErr w:type="spellEnd"/>
            <w:r w:rsidRPr="00287BF0">
              <w:rPr>
                <w:rFonts w:ascii="Arial" w:hAnsi="Arial" w:cs="Arial"/>
                <w:color w:val="auto"/>
              </w:rPr>
              <w:t xml:space="preserve">, </w:t>
            </w:r>
            <w:proofErr w:type="spellStart"/>
            <w:r w:rsidRPr="00287BF0">
              <w:rPr>
                <w:rFonts w:ascii="Arial" w:hAnsi="Arial" w:cs="Arial"/>
                <w:color w:val="auto"/>
              </w:rPr>
              <w:t>Gwynnes</w:t>
            </w:r>
            <w:proofErr w:type="spellEnd"/>
            <w:r w:rsidRPr="00287BF0">
              <w:rPr>
                <w:rFonts w:ascii="Arial" w:hAnsi="Arial" w:cs="Arial"/>
                <w:color w:val="auto"/>
              </w:rPr>
              <w:t xml:space="preserve"> and </w:t>
            </w:r>
            <w:proofErr w:type="spellStart"/>
            <w:r w:rsidRPr="00287BF0">
              <w:rPr>
                <w:rFonts w:ascii="Arial" w:hAnsi="Arial" w:cs="Arial"/>
                <w:color w:val="auto"/>
              </w:rPr>
              <w:t>Tuppal</w:t>
            </w:r>
            <w:proofErr w:type="spellEnd"/>
            <w:r w:rsidRPr="00287BF0">
              <w:rPr>
                <w:rFonts w:ascii="Arial" w:hAnsi="Arial" w:cs="Arial"/>
                <w:color w:val="auto"/>
              </w:rPr>
              <w:t xml:space="preserve"> Creeks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Murray (Groundwater)</w:t>
            </w:r>
            <w:r w:rsidRPr="00287BF0">
              <w:rPr>
                <w:rFonts w:ascii="Arial" w:hAnsi="Arial" w:cs="Arial"/>
                <w:color w:val="auto"/>
                <w:vertAlign w:val="superscript"/>
              </w:rPr>
              <w:t>1</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0.1</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Lower Murray Groundwater</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Macquarie</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100.0</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Macquarie Marshes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Murrumbidgee</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156.0</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Mid </w:t>
            </w:r>
            <w:proofErr w:type="spellStart"/>
            <w:r w:rsidRPr="00287BF0">
              <w:rPr>
                <w:rFonts w:ascii="Arial" w:hAnsi="Arial" w:cs="Arial"/>
                <w:color w:val="auto"/>
              </w:rPr>
              <w:t>Murrumbidgee</w:t>
            </w:r>
            <w:proofErr w:type="spellEnd"/>
            <w:r w:rsidRPr="00287BF0">
              <w:rPr>
                <w:rFonts w:ascii="Arial" w:hAnsi="Arial" w:cs="Arial"/>
                <w:color w:val="auto"/>
              </w:rPr>
              <w:t xml:space="preserve"> River flows and lower </w:t>
            </w:r>
            <w:proofErr w:type="spellStart"/>
            <w:r w:rsidRPr="00287BF0">
              <w:rPr>
                <w:rFonts w:ascii="Arial" w:hAnsi="Arial" w:cs="Arial"/>
                <w:color w:val="auto"/>
              </w:rPr>
              <w:t>Murrumbidgee</w:t>
            </w:r>
            <w:proofErr w:type="spellEnd"/>
            <w:r w:rsidRPr="00287BF0">
              <w:rPr>
                <w:rFonts w:ascii="Arial" w:hAnsi="Arial" w:cs="Arial"/>
                <w:color w:val="auto"/>
              </w:rPr>
              <w:t xml:space="preserve"> floodplain</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Loddon</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2.7</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Campaspe</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6.8</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201.1</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Lower Broken Creek</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41.2</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Upper Broken Creek</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0.05</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Ovens River</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0.02</w:t>
            </w:r>
          </w:p>
        </w:tc>
        <w:tc>
          <w:tcPr>
            <w:tcW w:w="231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Ovens River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Lachlan</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51.1</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Booligal</w:t>
            </w:r>
            <w:proofErr w:type="spellEnd"/>
            <w:r w:rsidRPr="00287BF0">
              <w:rPr>
                <w:rFonts w:ascii="Arial" w:hAnsi="Arial" w:cs="Arial"/>
                <w:color w:val="auto"/>
              </w:rPr>
              <w:t xml:space="preserve"> wetlands and Lachlan Swamps</w:t>
            </w:r>
          </w:p>
        </w:tc>
      </w:tr>
      <w:tr w:rsidR="001058D6" w:rsidRPr="00287BF0" w:rsidTr="001058D6">
        <w:trPr>
          <w:trHeight w:val="35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Namoi</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7.7</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183"/>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Border Rivers</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0.9</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Gwydir</w:t>
            </w:r>
            <w:proofErr w:type="spellEnd"/>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27.7</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Mallowa</w:t>
            </w:r>
            <w:proofErr w:type="spellEnd"/>
            <w:r w:rsidRPr="00287BF0">
              <w:rPr>
                <w:rFonts w:ascii="Arial" w:hAnsi="Arial" w:cs="Arial"/>
                <w:color w:val="auto"/>
              </w:rPr>
              <w:t xml:space="preserve"> wetlands and </w:t>
            </w:r>
            <w:proofErr w:type="spellStart"/>
            <w:r w:rsidRPr="00287BF0">
              <w:rPr>
                <w:rFonts w:ascii="Arial" w:hAnsi="Arial" w:cs="Arial"/>
                <w:color w:val="auto"/>
              </w:rPr>
              <w:t>Gwydir</w:t>
            </w:r>
            <w:proofErr w:type="spellEnd"/>
            <w:r w:rsidRPr="00287BF0">
              <w:rPr>
                <w:rFonts w:ascii="Arial" w:hAnsi="Arial" w:cs="Arial"/>
                <w:color w:val="auto"/>
              </w:rPr>
              <w:t xml:space="preserve"> wetlands </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Border Rivers (Severn)</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1.0</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Border Rivers (Macintyre)</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0.7</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Moonie</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1.4</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Condamine-Balonne</w:t>
            </w:r>
            <w:proofErr w:type="spellEnd"/>
            <w:r w:rsidRPr="00287BF0">
              <w:rPr>
                <w:rFonts w:ascii="Arial" w:hAnsi="Arial" w:cs="Arial"/>
                <w:color w:val="auto"/>
              </w:rPr>
              <w:t xml:space="preserve"> (Lower </w:t>
            </w:r>
            <w:proofErr w:type="spellStart"/>
            <w:r w:rsidRPr="00287BF0">
              <w:rPr>
                <w:rFonts w:ascii="Arial" w:hAnsi="Arial" w:cs="Arial"/>
                <w:color w:val="auto"/>
              </w:rPr>
              <w:t>Balonne</w:t>
            </w:r>
            <w:proofErr w:type="spellEnd"/>
            <w:r w:rsidRPr="00287BF0">
              <w:rPr>
                <w:rFonts w:ascii="Arial" w:hAnsi="Arial" w:cs="Arial"/>
                <w:color w:val="auto"/>
              </w:rPr>
              <w:t>)</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64.9</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60"/>
        </w:trPr>
        <w:tc>
          <w:tcPr>
            <w:tcW w:w="147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Barwon</w:t>
            </w:r>
            <w:proofErr w:type="spellEnd"/>
            <w:r w:rsidRPr="00287BF0">
              <w:rPr>
                <w:rFonts w:ascii="Arial" w:hAnsi="Arial" w:cs="Arial"/>
                <w:color w:val="auto"/>
              </w:rPr>
              <w:t>–Darling (</w:t>
            </w:r>
            <w:proofErr w:type="spellStart"/>
            <w:r w:rsidRPr="00287BF0">
              <w:rPr>
                <w:rFonts w:ascii="Arial" w:hAnsi="Arial" w:cs="Arial"/>
                <w:color w:val="auto"/>
              </w:rPr>
              <w:t>Toorale</w:t>
            </w:r>
            <w:proofErr w:type="spellEnd"/>
            <w:r w:rsidRPr="00287BF0">
              <w:rPr>
                <w:rFonts w:ascii="Arial" w:hAnsi="Arial" w:cs="Arial"/>
                <w:color w:val="auto"/>
              </w:rPr>
              <w:t>)</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rPr>
              <w:t>25.6</w:t>
            </w:r>
          </w:p>
        </w:tc>
        <w:tc>
          <w:tcPr>
            <w:tcW w:w="231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Instream</w:t>
            </w:r>
            <w:proofErr w:type="spellEnd"/>
            <w:r w:rsidRPr="00287BF0">
              <w:rPr>
                <w:rFonts w:ascii="Arial" w:hAnsi="Arial" w:cs="Arial"/>
                <w:color w:val="auto"/>
              </w:rPr>
              <w:t xml:space="preserve"> flows</w:t>
            </w:r>
          </w:p>
        </w:tc>
      </w:tr>
      <w:tr w:rsidR="001058D6" w:rsidRPr="00287BF0" w:rsidTr="001058D6">
        <w:trPr>
          <w:trHeight w:val="288"/>
        </w:trPr>
        <w:tc>
          <w:tcPr>
            <w:tcW w:w="1474" w:type="pct"/>
          </w:tcPr>
          <w:p w:rsidR="001058D6" w:rsidRPr="00287BF0" w:rsidRDefault="001058D6" w:rsidP="00F77AE2">
            <w:pPr>
              <w:pStyle w:val="tabletext"/>
              <w:spacing w:before="60" w:after="60"/>
              <w:rPr>
                <w:rFonts w:ascii="Arial" w:hAnsi="Arial" w:cs="Arial"/>
                <w:color w:val="auto"/>
              </w:rPr>
            </w:pPr>
            <w:r w:rsidRPr="00287BF0">
              <w:rPr>
                <w:rStyle w:val="TextBold"/>
                <w:rFonts w:ascii="Arial" w:hAnsi="Arial" w:cs="Arial"/>
                <w:bCs/>
                <w:color w:val="auto"/>
              </w:rPr>
              <w:t>Total</w:t>
            </w:r>
            <w:r w:rsidRPr="00287BF0">
              <w:rPr>
                <w:rStyle w:val="TextBold"/>
                <w:rFonts w:ascii="Arial" w:hAnsi="Arial" w:cs="Arial"/>
                <w:bCs/>
                <w:color w:val="auto"/>
                <w:vertAlign w:val="superscript"/>
              </w:rPr>
              <w:t>2</w:t>
            </w:r>
          </w:p>
        </w:tc>
        <w:tc>
          <w:tcPr>
            <w:tcW w:w="1213" w:type="pct"/>
          </w:tcPr>
          <w:p w:rsidR="001058D6" w:rsidRPr="00287BF0" w:rsidRDefault="001058D6" w:rsidP="00F77AE2">
            <w:pPr>
              <w:pStyle w:val="tabletext"/>
              <w:spacing w:before="60" w:after="60"/>
              <w:jc w:val="right"/>
              <w:rPr>
                <w:rFonts w:ascii="Arial" w:hAnsi="Arial" w:cs="Arial"/>
                <w:color w:val="auto"/>
              </w:rPr>
            </w:pPr>
            <w:r w:rsidRPr="00287BF0">
              <w:rPr>
                <w:rStyle w:val="TextBold"/>
                <w:rFonts w:ascii="Arial" w:hAnsi="Arial" w:cs="Arial"/>
                <w:bCs/>
                <w:color w:val="auto"/>
              </w:rPr>
              <w:t>1272.00</w:t>
            </w:r>
          </w:p>
        </w:tc>
        <w:tc>
          <w:tcPr>
            <w:tcW w:w="2313" w:type="pct"/>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r>
    </w:tbl>
    <w:p w:rsidR="001058D6" w:rsidRPr="00287BF0" w:rsidRDefault="001058D6" w:rsidP="001058D6">
      <w:pPr>
        <w:pStyle w:val="body"/>
        <w:rPr>
          <w:rStyle w:val="TextBold"/>
          <w:rFonts w:ascii="Arial" w:hAnsi="Arial" w:cs="Arial"/>
          <w:bCs/>
          <w:color w:val="auto"/>
          <w:sz w:val="17"/>
          <w:szCs w:val="17"/>
        </w:rPr>
      </w:pPr>
    </w:p>
    <w:p w:rsidR="001058D6" w:rsidRPr="00287BF0" w:rsidRDefault="001058D6" w:rsidP="001058D6">
      <w:pPr>
        <w:pStyle w:val="Caption"/>
        <w:spacing w:after="0"/>
        <w:rPr>
          <w:rStyle w:val="TextBold"/>
          <w:rFonts w:ascii="Arial" w:hAnsi="Arial" w:cs="Arial"/>
          <w:bCs/>
          <w:color w:val="auto"/>
        </w:rPr>
      </w:pPr>
      <w:r w:rsidRPr="00287BF0">
        <w:rPr>
          <w:rStyle w:val="TextBold"/>
          <w:rFonts w:ascii="Arial" w:hAnsi="Arial" w:cs="Arial"/>
          <w:bCs/>
          <w:color w:val="auto"/>
        </w:rPr>
        <w:t>Notes:</w:t>
      </w:r>
    </w:p>
    <w:p w:rsidR="001058D6" w:rsidRPr="00287BF0" w:rsidRDefault="001058D6" w:rsidP="00F77AE2">
      <w:pPr>
        <w:pStyle w:val="Caption"/>
        <w:tabs>
          <w:tab w:val="left" w:pos="227"/>
        </w:tabs>
        <w:spacing w:after="57"/>
        <w:ind w:left="227" w:hanging="227"/>
        <w:rPr>
          <w:rFonts w:ascii="Arial" w:hAnsi="Arial" w:cs="Arial"/>
          <w:color w:val="auto"/>
        </w:rPr>
      </w:pPr>
      <w:r w:rsidRPr="00287BF0">
        <w:rPr>
          <w:rFonts w:ascii="Arial" w:hAnsi="Arial" w:cs="Arial"/>
          <w:color w:val="auto"/>
        </w:rPr>
        <w:t>1.</w:t>
      </w:r>
      <w:r w:rsidR="00F77AE2">
        <w:rPr>
          <w:rFonts w:ascii="Arial" w:hAnsi="Arial" w:cs="Arial"/>
          <w:color w:val="auto"/>
        </w:rPr>
        <w:tab/>
      </w:r>
      <w:r w:rsidRPr="00287BF0">
        <w:rPr>
          <w:rFonts w:ascii="Arial" w:hAnsi="Arial" w:cs="Arial"/>
          <w:color w:val="auto"/>
        </w:rPr>
        <w:t>In groundwater systems, the Commonwealth may ‘take’ water against its water entitlements by leaving the water in the ground (not extracting it).</w:t>
      </w:r>
    </w:p>
    <w:p w:rsidR="001058D6" w:rsidRDefault="001058D6" w:rsidP="00F77AE2">
      <w:pPr>
        <w:pStyle w:val="Caption"/>
        <w:tabs>
          <w:tab w:val="left" w:pos="227"/>
        </w:tabs>
        <w:ind w:left="227" w:hanging="227"/>
        <w:rPr>
          <w:rFonts w:ascii="Arial" w:hAnsi="Arial" w:cs="Arial"/>
          <w:color w:val="auto"/>
        </w:rPr>
      </w:pPr>
      <w:r w:rsidRPr="00287BF0">
        <w:rPr>
          <w:rFonts w:ascii="Arial" w:hAnsi="Arial" w:cs="Arial"/>
          <w:color w:val="auto"/>
        </w:rPr>
        <w:t>2</w:t>
      </w:r>
      <w:r w:rsidR="00F77AE2">
        <w:rPr>
          <w:rFonts w:ascii="Arial" w:hAnsi="Arial" w:cs="Arial"/>
          <w:color w:val="auto"/>
        </w:rPr>
        <w:tab/>
      </w:r>
      <w:r w:rsidRPr="00287BF0">
        <w:rPr>
          <w:rFonts w:ascii="Arial" w:hAnsi="Arial" w:cs="Arial"/>
          <w:color w:val="auto"/>
        </w:rPr>
        <w:t xml:space="preserve">In addition return flows totalling 240 </w:t>
      </w:r>
      <w:proofErr w:type="spellStart"/>
      <w:r w:rsidRPr="00287BF0">
        <w:rPr>
          <w:rFonts w:ascii="Arial" w:hAnsi="Arial" w:cs="Arial"/>
          <w:color w:val="auto"/>
        </w:rPr>
        <w:t>gigalitres</w:t>
      </w:r>
      <w:proofErr w:type="spellEnd"/>
      <w:r w:rsidRPr="00287BF0">
        <w:rPr>
          <w:rFonts w:ascii="Arial" w:hAnsi="Arial" w:cs="Arial"/>
          <w:color w:val="auto"/>
        </w:rPr>
        <w:t xml:space="preserve"> from catchments of the Southern Connected Basin were used to achieve multi-site environmental outcomes.</w:t>
      </w:r>
    </w:p>
    <w:p w:rsidR="00F77AE2" w:rsidRPr="00287BF0" w:rsidRDefault="00F77AE2" w:rsidP="001058D6">
      <w:pPr>
        <w:pStyle w:val="Caption"/>
        <w:tabs>
          <w:tab w:val="left" w:pos="227"/>
        </w:tabs>
        <w:rPr>
          <w:rFonts w:ascii="Arial" w:hAnsi="Arial" w:cs="Arial"/>
          <w:color w:val="auto"/>
        </w:rPr>
      </w:pPr>
    </w:p>
    <w:p w:rsidR="001058D6" w:rsidRDefault="001058D6" w:rsidP="001058D6">
      <w:pPr>
        <w:pStyle w:val="H2"/>
        <w:rPr>
          <w:rStyle w:val="TextBold"/>
          <w:rFonts w:ascii="Arial" w:hAnsi="Arial" w:cs="Arial"/>
          <w:b/>
          <w:color w:val="auto"/>
        </w:rPr>
        <w:sectPr w:rsidR="001058D6" w:rsidSect="001058D6">
          <w:pgSz w:w="11900" w:h="16840" w:code="9"/>
          <w:pgMar w:top="1134" w:right="1134" w:bottom="1134" w:left="1134" w:header="958" w:footer="737" w:gutter="0"/>
          <w:cols w:space="708"/>
          <w:docGrid w:linePitch="360"/>
        </w:sectPr>
      </w:pPr>
    </w:p>
    <w:p w:rsidR="001058D6" w:rsidRPr="00287BF0" w:rsidRDefault="001058D6" w:rsidP="001058D6">
      <w:pPr>
        <w:pStyle w:val="Heading3"/>
        <w:rPr>
          <w:rStyle w:val="TextBold"/>
          <w:b/>
        </w:rPr>
      </w:pPr>
      <w:bookmarkStart w:id="6" w:name="_Appendix_C—Basin_catchment"/>
      <w:bookmarkEnd w:id="6"/>
      <w:r w:rsidRPr="00287BF0">
        <w:rPr>
          <w:rStyle w:val="TextBold"/>
          <w:b/>
        </w:rPr>
        <w:lastRenderedPageBreak/>
        <w:t>Appendix C</w:t>
      </w:r>
      <w:r w:rsidR="007B2F2F">
        <w:rPr>
          <w:rStyle w:val="TextBold"/>
          <w:b/>
        </w:rPr>
        <w:tab/>
      </w:r>
      <w:r w:rsidRPr="00287BF0">
        <w:rPr>
          <w:rStyle w:val="TextBold"/>
          <w:b/>
        </w:rPr>
        <w:t xml:space="preserve">Basin catchment summaries of Commonwealth environmental water use in 2012–13 </w:t>
      </w:r>
    </w:p>
    <w:p w:rsidR="001058D6" w:rsidRPr="00287BF0" w:rsidRDefault="001058D6" w:rsidP="007B2F2F">
      <w:pPr>
        <w:pStyle w:val="figureheading"/>
        <w:rPr>
          <w:rStyle w:val="TextBold"/>
          <w:rFonts w:cs="Arial"/>
          <w:b/>
          <w:color w:val="auto"/>
        </w:rPr>
      </w:pPr>
      <w:r w:rsidRPr="00287BF0">
        <w:rPr>
          <w:rStyle w:val="TextBold"/>
          <w:rFonts w:cs="Arial"/>
          <w:b/>
          <w:color w:val="auto"/>
        </w:rPr>
        <w:t xml:space="preserve">Table A3: Commonwealth environmental watering actions for the </w:t>
      </w:r>
      <w:proofErr w:type="spellStart"/>
      <w:r w:rsidRPr="00287BF0">
        <w:rPr>
          <w:rStyle w:val="TextBold"/>
          <w:rFonts w:cs="Arial"/>
          <w:b/>
          <w:color w:val="auto"/>
        </w:rPr>
        <w:t>Barwon</w:t>
      </w:r>
      <w:proofErr w:type="spellEnd"/>
      <w:r w:rsidRPr="00287BF0">
        <w:rPr>
          <w:rStyle w:val="TextBold"/>
          <w:rFonts w:cs="Arial"/>
          <w:b/>
          <w:color w:val="auto"/>
        </w:rPr>
        <w:t>–Darling catchment in 2012–13</w:t>
      </w:r>
    </w:p>
    <w:tbl>
      <w:tblPr>
        <w:tblStyle w:val="TableGrid1"/>
        <w:tblW w:w="5000" w:type="pct"/>
        <w:tblLook w:val="0020"/>
      </w:tblPr>
      <w:tblGrid>
        <w:gridCol w:w="1191"/>
        <w:gridCol w:w="1490"/>
        <w:gridCol w:w="1414"/>
        <w:gridCol w:w="1414"/>
        <w:gridCol w:w="1334"/>
        <w:gridCol w:w="2514"/>
        <w:gridCol w:w="1902"/>
        <w:gridCol w:w="1553"/>
        <w:gridCol w:w="1976"/>
      </w:tblGrid>
      <w:tr w:rsidR="001058D6" w:rsidRPr="00287BF0" w:rsidTr="001058D6">
        <w:trPr>
          <w:trHeight w:val="60"/>
        </w:trPr>
        <w:tc>
          <w:tcPr>
            <w:tcW w:w="907" w:type="pct"/>
            <w:gridSpan w:val="2"/>
          </w:tcPr>
          <w:p w:rsidR="001058D6" w:rsidRPr="00287BF0" w:rsidRDefault="001058D6" w:rsidP="00154DBC">
            <w:pPr>
              <w:pStyle w:val="tablehead"/>
            </w:pPr>
            <w:r w:rsidRPr="00287BF0">
              <w:rPr>
                <w:rStyle w:val="TextBold"/>
                <w:b/>
              </w:rPr>
              <w:t>Location of watering action</w:t>
            </w:r>
          </w:p>
        </w:tc>
        <w:tc>
          <w:tcPr>
            <w:tcW w:w="1407" w:type="pct"/>
            <w:gridSpan w:val="3"/>
          </w:tcPr>
          <w:p w:rsidR="001058D6" w:rsidRPr="00287BF0" w:rsidRDefault="001058D6" w:rsidP="00154DBC">
            <w:pPr>
              <w:pStyle w:val="tablehead"/>
            </w:pPr>
            <w:r w:rsidRPr="00287BF0">
              <w:rPr>
                <w:rStyle w:val="TextBold"/>
                <w:b/>
              </w:rPr>
              <w:t>Type of action</w:t>
            </w:r>
          </w:p>
        </w:tc>
        <w:tc>
          <w:tcPr>
            <w:tcW w:w="850" w:type="pct"/>
            <w:vMerge w:val="restart"/>
          </w:tcPr>
          <w:p w:rsidR="001058D6" w:rsidRPr="00287BF0" w:rsidRDefault="001058D6" w:rsidP="00154DBC">
            <w:pPr>
              <w:pStyle w:val="tablehead"/>
            </w:pPr>
            <w:r w:rsidRPr="00287BF0">
              <w:rPr>
                <w:rStyle w:val="TextBold"/>
                <w:b/>
              </w:rPr>
              <w:t>Expected environmental outcome(s) of watering action</w:t>
            </w:r>
          </w:p>
        </w:tc>
        <w:tc>
          <w:tcPr>
            <w:tcW w:w="643" w:type="pct"/>
            <w:vMerge w:val="restart"/>
          </w:tcPr>
          <w:p w:rsidR="001058D6" w:rsidRPr="00287BF0" w:rsidRDefault="001058D6" w:rsidP="00154DBC">
            <w:pPr>
              <w:pStyle w:val="tablehead"/>
            </w:pPr>
            <w:r w:rsidRPr="00287BF0">
              <w:rPr>
                <w:rStyle w:val="TextBold"/>
                <w:b/>
              </w:rPr>
              <w:t>Environmental watering plan objective(s)</w:t>
            </w:r>
          </w:p>
        </w:tc>
        <w:tc>
          <w:tcPr>
            <w:tcW w:w="525" w:type="pct"/>
            <w:vMerge w:val="restart"/>
          </w:tcPr>
          <w:p w:rsidR="001058D6" w:rsidRPr="00287BF0" w:rsidRDefault="001058D6" w:rsidP="00154DBC">
            <w:pPr>
              <w:pStyle w:val="tablehead"/>
            </w:pPr>
            <w:r w:rsidRPr="00287BF0">
              <w:rPr>
                <w:rStyle w:val="TextBold"/>
                <w:b/>
              </w:rPr>
              <w:t>Timing</w:t>
            </w:r>
          </w:p>
        </w:tc>
        <w:tc>
          <w:tcPr>
            <w:tcW w:w="668"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343"/>
        </w:trPr>
        <w:tc>
          <w:tcPr>
            <w:tcW w:w="403" w:type="pct"/>
            <w:vMerge w:val="restart"/>
          </w:tcPr>
          <w:p w:rsidR="001058D6" w:rsidRPr="00287BF0" w:rsidRDefault="001058D6" w:rsidP="00154DBC">
            <w:pPr>
              <w:pStyle w:val="tablehead"/>
            </w:pPr>
            <w:r w:rsidRPr="00287BF0">
              <w:rPr>
                <w:rStyle w:val="TextBold"/>
                <w:b/>
              </w:rPr>
              <w:t>Complex</w:t>
            </w:r>
          </w:p>
        </w:tc>
        <w:tc>
          <w:tcPr>
            <w:tcW w:w="504" w:type="pct"/>
            <w:vMerge w:val="restart"/>
          </w:tcPr>
          <w:p w:rsidR="001058D6" w:rsidRPr="00287BF0" w:rsidRDefault="001058D6" w:rsidP="00154DBC">
            <w:pPr>
              <w:pStyle w:val="tablehead"/>
            </w:pPr>
            <w:r w:rsidRPr="00287BF0">
              <w:rPr>
                <w:rStyle w:val="TextBold"/>
                <w:b/>
              </w:rPr>
              <w:t>Site</w:t>
            </w:r>
          </w:p>
        </w:tc>
        <w:tc>
          <w:tcPr>
            <w:tcW w:w="478" w:type="pct"/>
            <w:vMerge w:val="restart"/>
          </w:tcPr>
          <w:p w:rsidR="001058D6" w:rsidRPr="00287BF0" w:rsidRDefault="001058D6" w:rsidP="00154DBC">
            <w:pPr>
              <w:pStyle w:val="tablehead"/>
            </w:pPr>
            <w:r w:rsidRPr="00287BF0">
              <w:rPr>
                <w:rStyle w:val="TextBold"/>
                <w:b/>
              </w:rPr>
              <w:t>River flows</w:t>
            </w:r>
          </w:p>
        </w:tc>
        <w:tc>
          <w:tcPr>
            <w:tcW w:w="929" w:type="pct"/>
            <w:gridSpan w:val="2"/>
          </w:tcPr>
          <w:p w:rsidR="001058D6" w:rsidRPr="00287BF0" w:rsidRDefault="001058D6" w:rsidP="00154DBC">
            <w:pPr>
              <w:pStyle w:val="tablehead"/>
            </w:pPr>
            <w:r w:rsidRPr="00287BF0">
              <w:rPr>
                <w:rStyle w:val="TextBold"/>
                <w:b/>
              </w:rPr>
              <w:t>Inundation</w:t>
            </w:r>
          </w:p>
        </w:tc>
        <w:tc>
          <w:tcPr>
            <w:tcW w:w="850"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643"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525"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668"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3"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504"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478"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478" w:type="pct"/>
          </w:tcPr>
          <w:p w:rsidR="001058D6" w:rsidRPr="00154DBC" w:rsidRDefault="001058D6" w:rsidP="00154DBC">
            <w:pPr>
              <w:pStyle w:val="tablehead"/>
            </w:pPr>
            <w:r w:rsidRPr="00154DBC">
              <w:rPr>
                <w:rStyle w:val="TextBold"/>
                <w:b/>
              </w:rPr>
              <w:t>Wetland</w:t>
            </w:r>
          </w:p>
        </w:tc>
        <w:tc>
          <w:tcPr>
            <w:tcW w:w="451" w:type="pct"/>
          </w:tcPr>
          <w:p w:rsidR="001058D6" w:rsidRPr="00287BF0" w:rsidRDefault="001058D6" w:rsidP="00154DBC">
            <w:pPr>
              <w:pStyle w:val="tablehead"/>
            </w:pPr>
            <w:r w:rsidRPr="00287BF0">
              <w:rPr>
                <w:rStyle w:val="TextBold"/>
                <w:b/>
              </w:rPr>
              <w:t>Floodplain</w:t>
            </w:r>
          </w:p>
        </w:tc>
        <w:tc>
          <w:tcPr>
            <w:tcW w:w="850"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643"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525"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c>
          <w:tcPr>
            <w:tcW w:w="668" w:type="pct"/>
            <w:vMerge/>
          </w:tcPr>
          <w:p w:rsidR="001058D6" w:rsidRPr="00287BF0" w:rsidRDefault="001058D6" w:rsidP="00F77AE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1621"/>
        </w:trPr>
        <w:tc>
          <w:tcPr>
            <w:tcW w:w="403"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rPr>
              <w:t>Barwon</w:t>
            </w:r>
            <w:proofErr w:type="spellEnd"/>
            <w:r w:rsidRPr="00287BF0">
              <w:rPr>
                <w:rFonts w:ascii="Arial" w:hAnsi="Arial" w:cs="Arial"/>
                <w:color w:val="auto"/>
              </w:rPr>
              <w:t>–Darling Rivers</w:t>
            </w:r>
          </w:p>
        </w:tc>
        <w:tc>
          <w:tcPr>
            <w:tcW w:w="504" w:type="pct"/>
          </w:tcPr>
          <w:p w:rsidR="001058D6" w:rsidRPr="00287BF0" w:rsidRDefault="001058D6" w:rsidP="00F77AE2">
            <w:pPr>
              <w:pStyle w:val="tabletext"/>
              <w:spacing w:before="60" w:after="60"/>
              <w:rPr>
                <w:rFonts w:ascii="Arial" w:hAnsi="Arial" w:cs="Arial"/>
                <w:color w:val="auto"/>
              </w:rPr>
            </w:pPr>
            <w:proofErr w:type="spellStart"/>
            <w:r w:rsidRPr="00287BF0">
              <w:rPr>
                <w:rFonts w:ascii="Arial" w:hAnsi="Arial" w:cs="Arial"/>
                <w:color w:val="auto"/>
                <w:sz w:val="18"/>
                <w:szCs w:val="18"/>
              </w:rPr>
              <w:t>Barwon</w:t>
            </w:r>
            <w:proofErr w:type="spellEnd"/>
            <w:r w:rsidRPr="00287BF0">
              <w:rPr>
                <w:rFonts w:ascii="Arial" w:hAnsi="Arial" w:cs="Arial"/>
                <w:color w:val="auto"/>
                <w:sz w:val="18"/>
                <w:szCs w:val="18"/>
              </w:rPr>
              <w:t>–Darling Rivers unregulated</w:t>
            </w:r>
          </w:p>
        </w:tc>
        <w:tc>
          <w:tcPr>
            <w:tcW w:w="478" w:type="pct"/>
          </w:tcPr>
          <w:p w:rsidR="001058D6" w:rsidRPr="00834ED3" w:rsidRDefault="001058D6" w:rsidP="00F77AE2">
            <w:pPr>
              <w:pStyle w:val="tabletext"/>
              <w:spacing w:before="60" w:after="60"/>
              <w:jc w:val="center"/>
              <w:rPr>
                <w:rFonts w:ascii="Arial" w:hAnsi="Arial" w:cs="Arial"/>
                <w:color w:val="auto"/>
                <w:sz w:val="18"/>
                <w:szCs w:val="18"/>
              </w:rPr>
            </w:pPr>
            <w:r w:rsidRPr="00834ED3">
              <w:rPr>
                <w:rFonts w:ascii="Arial" w:hAnsi="Arial" w:cs="Arial"/>
                <w:color w:val="auto"/>
                <w:sz w:val="18"/>
                <w:szCs w:val="18"/>
              </w:rPr>
              <w:t>yes</w:t>
            </w:r>
          </w:p>
        </w:tc>
        <w:tc>
          <w:tcPr>
            <w:tcW w:w="478" w:type="pct"/>
          </w:tcPr>
          <w:p w:rsidR="001058D6" w:rsidRPr="00834ED3" w:rsidRDefault="001058D6" w:rsidP="00F77AE2">
            <w:pPr>
              <w:pStyle w:val="NoParagraphStyle"/>
              <w:suppressAutoHyphens/>
              <w:spacing w:before="60" w:after="60" w:line="240" w:lineRule="auto"/>
              <w:jc w:val="center"/>
              <w:textAlignment w:val="auto"/>
              <w:rPr>
                <w:rFonts w:ascii="Arial" w:hAnsi="Arial" w:cs="Arial"/>
                <w:color w:val="auto"/>
                <w:sz w:val="18"/>
                <w:szCs w:val="18"/>
                <w:lang w:val="en-US"/>
              </w:rPr>
            </w:pPr>
            <w:r w:rsidRPr="00834ED3">
              <w:rPr>
                <w:rFonts w:ascii="Arial" w:hAnsi="Arial" w:cs="Arial"/>
                <w:color w:val="auto"/>
                <w:sz w:val="18"/>
                <w:szCs w:val="18"/>
                <w:lang w:val="en-US"/>
              </w:rPr>
              <w:t>n/a</w:t>
            </w:r>
          </w:p>
        </w:tc>
        <w:tc>
          <w:tcPr>
            <w:tcW w:w="451" w:type="pct"/>
          </w:tcPr>
          <w:p w:rsidR="001058D6" w:rsidRPr="00834ED3" w:rsidRDefault="001058D6" w:rsidP="00F77AE2">
            <w:pPr>
              <w:pStyle w:val="NoParagraphStyle"/>
              <w:suppressAutoHyphens/>
              <w:spacing w:before="60" w:after="60" w:line="240" w:lineRule="auto"/>
              <w:jc w:val="center"/>
              <w:textAlignment w:val="auto"/>
              <w:rPr>
                <w:rFonts w:ascii="Arial" w:hAnsi="Arial" w:cs="Arial"/>
                <w:color w:val="auto"/>
                <w:sz w:val="18"/>
                <w:szCs w:val="18"/>
                <w:lang w:val="en-US"/>
              </w:rPr>
            </w:pPr>
            <w:r w:rsidRPr="00834ED3">
              <w:rPr>
                <w:rFonts w:ascii="Arial" w:hAnsi="Arial" w:cs="Arial"/>
                <w:color w:val="auto"/>
                <w:sz w:val="18"/>
                <w:szCs w:val="18"/>
                <w:lang w:val="en-US"/>
              </w:rPr>
              <w:t>n/a</w:t>
            </w:r>
          </w:p>
        </w:tc>
        <w:tc>
          <w:tcPr>
            <w:tcW w:w="850"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 xml:space="preserve">In-stream use in the </w:t>
            </w:r>
            <w:proofErr w:type="spellStart"/>
            <w:r w:rsidRPr="00287BF0">
              <w:rPr>
                <w:rFonts w:ascii="Arial" w:hAnsi="Arial" w:cs="Arial"/>
                <w:color w:val="auto"/>
              </w:rPr>
              <w:t>Barwon</w:t>
            </w:r>
            <w:proofErr w:type="spellEnd"/>
            <w:r w:rsidRPr="00287BF0">
              <w:rPr>
                <w:rFonts w:ascii="Arial" w:hAnsi="Arial" w:cs="Arial"/>
                <w:color w:val="auto"/>
              </w:rPr>
              <w:t>–Darling to contribute to a more naturally variable flow regime that supports key ecosystem functions.</w:t>
            </w:r>
          </w:p>
        </w:tc>
        <w:tc>
          <w:tcPr>
            <w:tcW w:w="643"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F77AE2">
            <w:pPr>
              <w:pStyle w:val="tabletext"/>
              <w:spacing w:before="60" w:after="60"/>
              <w:rPr>
                <w:rFonts w:ascii="Arial" w:hAnsi="Arial" w:cs="Arial"/>
                <w:color w:val="auto"/>
              </w:rPr>
            </w:pPr>
          </w:p>
        </w:tc>
        <w:tc>
          <w:tcPr>
            <w:tcW w:w="525" w:type="pct"/>
          </w:tcPr>
          <w:p w:rsidR="001058D6" w:rsidRPr="00287BF0" w:rsidRDefault="001058D6" w:rsidP="00F77AE2">
            <w:pPr>
              <w:pStyle w:val="tabletext"/>
              <w:spacing w:before="60" w:after="60"/>
              <w:rPr>
                <w:rFonts w:ascii="Arial" w:hAnsi="Arial" w:cs="Arial"/>
                <w:color w:val="auto"/>
              </w:rPr>
            </w:pPr>
            <w:r w:rsidRPr="00287BF0">
              <w:rPr>
                <w:rFonts w:ascii="Arial" w:hAnsi="Arial" w:cs="Arial"/>
                <w:color w:val="auto"/>
              </w:rPr>
              <w:t>November 2012–March 2013</w:t>
            </w:r>
          </w:p>
        </w:tc>
        <w:tc>
          <w:tcPr>
            <w:tcW w:w="668" w:type="pct"/>
          </w:tcPr>
          <w:p w:rsidR="001058D6" w:rsidRPr="00287BF0" w:rsidRDefault="001058D6" w:rsidP="00F77AE2">
            <w:pPr>
              <w:pStyle w:val="tabletext"/>
              <w:spacing w:before="60" w:after="60"/>
              <w:jc w:val="right"/>
              <w:rPr>
                <w:rFonts w:ascii="Arial" w:hAnsi="Arial" w:cs="Arial"/>
                <w:color w:val="auto"/>
              </w:rPr>
            </w:pPr>
            <w:r w:rsidRPr="00287BF0">
              <w:rPr>
                <w:rFonts w:ascii="Arial" w:hAnsi="Arial" w:cs="Arial"/>
                <w:color w:val="auto"/>
                <w:sz w:val="18"/>
                <w:szCs w:val="18"/>
              </w:rPr>
              <w:t>25 616</w:t>
            </w:r>
          </w:p>
        </w:tc>
      </w:tr>
    </w:tbl>
    <w:p w:rsidR="001058D6" w:rsidRPr="00287BF0" w:rsidRDefault="001058D6" w:rsidP="001058D6">
      <w:pPr>
        <w:pStyle w:val="body"/>
        <w:rPr>
          <w:rFonts w:ascii="Arial" w:hAnsi="Arial" w:cs="Arial"/>
          <w:color w:val="auto"/>
        </w:rPr>
      </w:pPr>
    </w:p>
    <w:p w:rsidR="001058D6" w:rsidRPr="00287BF0" w:rsidRDefault="001058D6" w:rsidP="007B2F2F">
      <w:pPr>
        <w:pStyle w:val="figureheading"/>
        <w:rPr>
          <w:rStyle w:val="TextBold"/>
          <w:rFonts w:cs="Arial"/>
          <w:b/>
          <w:color w:val="auto"/>
        </w:rPr>
      </w:pP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Table A4: Commonwealth environmental watering actions for the Border Rivers catchment in 2012–13</w:t>
      </w:r>
    </w:p>
    <w:tbl>
      <w:tblPr>
        <w:tblStyle w:val="TableGrid1"/>
        <w:tblW w:w="5000" w:type="pct"/>
        <w:tblLook w:val="0020"/>
      </w:tblPr>
      <w:tblGrid>
        <w:gridCol w:w="1227"/>
        <w:gridCol w:w="1343"/>
        <w:gridCol w:w="1482"/>
        <w:gridCol w:w="1227"/>
        <w:gridCol w:w="1260"/>
        <w:gridCol w:w="3100"/>
        <w:gridCol w:w="1943"/>
        <w:gridCol w:w="1216"/>
        <w:gridCol w:w="1990"/>
      </w:tblGrid>
      <w:tr w:rsidR="001058D6" w:rsidRPr="00287BF0" w:rsidTr="001058D6">
        <w:trPr>
          <w:trHeight w:val="60"/>
        </w:trPr>
        <w:tc>
          <w:tcPr>
            <w:tcW w:w="869" w:type="pct"/>
            <w:gridSpan w:val="2"/>
          </w:tcPr>
          <w:p w:rsidR="001058D6" w:rsidRPr="00287BF0" w:rsidRDefault="001058D6" w:rsidP="00154DBC">
            <w:pPr>
              <w:pStyle w:val="tablehead"/>
            </w:pPr>
            <w:r w:rsidRPr="00287BF0">
              <w:rPr>
                <w:rStyle w:val="TextBold"/>
                <w:b/>
              </w:rPr>
              <w:t>Location of watering action</w:t>
            </w:r>
          </w:p>
        </w:tc>
        <w:tc>
          <w:tcPr>
            <w:tcW w:w="1342" w:type="pct"/>
            <w:gridSpan w:val="3"/>
          </w:tcPr>
          <w:p w:rsidR="001058D6" w:rsidRPr="00287BF0" w:rsidRDefault="001058D6" w:rsidP="00154DBC">
            <w:pPr>
              <w:pStyle w:val="tablehead"/>
            </w:pPr>
            <w:r w:rsidRPr="00287BF0">
              <w:rPr>
                <w:rStyle w:val="TextBold"/>
                <w:b/>
              </w:rPr>
              <w:t>Type of action</w:t>
            </w:r>
          </w:p>
        </w:tc>
        <w:tc>
          <w:tcPr>
            <w:tcW w:w="1048"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411"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15" w:type="pct"/>
            <w:vMerge w:val="restart"/>
          </w:tcPr>
          <w:p w:rsidR="001058D6" w:rsidRPr="00287BF0" w:rsidRDefault="001058D6" w:rsidP="00154DBC">
            <w:pPr>
              <w:pStyle w:val="tablehead"/>
            </w:pPr>
            <w:r w:rsidRPr="00287BF0">
              <w:rPr>
                <w:rStyle w:val="TextBold"/>
                <w:b/>
              </w:rPr>
              <w:t>Complex</w:t>
            </w:r>
          </w:p>
        </w:tc>
        <w:tc>
          <w:tcPr>
            <w:tcW w:w="454" w:type="pct"/>
            <w:vMerge w:val="restart"/>
          </w:tcPr>
          <w:p w:rsidR="001058D6" w:rsidRPr="00287BF0" w:rsidRDefault="001058D6" w:rsidP="00154DBC">
            <w:pPr>
              <w:pStyle w:val="tablehead"/>
            </w:pPr>
            <w:r w:rsidRPr="00287BF0">
              <w:rPr>
                <w:rStyle w:val="TextBold"/>
                <w:b/>
              </w:rPr>
              <w:t>Site</w:t>
            </w:r>
          </w:p>
        </w:tc>
        <w:tc>
          <w:tcPr>
            <w:tcW w:w="501" w:type="pct"/>
            <w:vMerge w:val="restart"/>
          </w:tcPr>
          <w:p w:rsidR="001058D6" w:rsidRPr="00287BF0" w:rsidRDefault="001058D6" w:rsidP="00154DBC">
            <w:pPr>
              <w:pStyle w:val="tablehead"/>
            </w:pPr>
            <w:r w:rsidRPr="00287BF0">
              <w:rPr>
                <w:rStyle w:val="TextBold"/>
                <w:b/>
              </w:rPr>
              <w:t>River flows</w:t>
            </w:r>
          </w:p>
        </w:tc>
        <w:tc>
          <w:tcPr>
            <w:tcW w:w="841" w:type="pct"/>
            <w:gridSpan w:val="2"/>
          </w:tcPr>
          <w:p w:rsidR="001058D6" w:rsidRPr="00287BF0" w:rsidRDefault="001058D6" w:rsidP="00154DBC">
            <w:pPr>
              <w:pStyle w:val="tablehead"/>
            </w:pPr>
            <w:r w:rsidRPr="00287BF0">
              <w:rPr>
                <w:rStyle w:val="TextBold"/>
                <w:b/>
              </w:rPr>
              <w:t>Inundation</w:t>
            </w:r>
          </w:p>
        </w:tc>
        <w:tc>
          <w:tcPr>
            <w:tcW w:w="1048"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1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54"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50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5" w:type="pct"/>
          </w:tcPr>
          <w:p w:rsidR="001058D6" w:rsidRPr="00287BF0" w:rsidRDefault="001058D6" w:rsidP="00154DBC">
            <w:pPr>
              <w:pStyle w:val="tablehead"/>
            </w:pPr>
            <w:r w:rsidRPr="00287BF0">
              <w:rPr>
                <w:rStyle w:val="TextBold"/>
                <w:b/>
              </w:rPr>
              <w:t>Wetland</w:t>
            </w:r>
          </w:p>
        </w:tc>
        <w:tc>
          <w:tcPr>
            <w:tcW w:w="426" w:type="pct"/>
          </w:tcPr>
          <w:p w:rsidR="001058D6" w:rsidRPr="00287BF0" w:rsidRDefault="001058D6" w:rsidP="00154DBC">
            <w:pPr>
              <w:pStyle w:val="tablehead"/>
            </w:pPr>
            <w:r w:rsidRPr="00287BF0">
              <w:rPr>
                <w:rStyle w:val="TextBold"/>
                <w:b/>
              </w:rPr>
              <w:t>Floodplain</w:t>
            </w:r>
          </w:p>
        </w:tc>
        <w:tc>
          <w:tcPr>
            <w:tcW w:w="1048"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1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Border Rivers</w:t>
            </w:r>
          </w:p>
        </w:tc>
        <w:tc>
          <w:tcPr>
            <w:tcW w:w="454"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Border Rivers</w:t>
            </w:r>
          </w:p>
        </w:tc>
        <w:tc>
          <w:tcPr>
            <w:tcW w:w="501"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15"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426"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1048"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19"/>
              </w:numPr>
              <w:spacing w:before="60" w:after="60"/>
              <w:rPr>
                <w:rFonts w:ascii="Arial" w:hAnsi="Arial" w:cs="Arial"/>
                <w:color w:val="auto"/>
              </w:rPr>
            </w:pPr>
            <w:r w:rsidRPr="00287BF0">
              <w:rPr>
                <w:rFonts w:ascii="Arial" w:hAnsi="Arial" w:cs="Arial"/>
                <w:color w:val="auto"/>
              </w:rPr>
              <w:t>stimulating production through all levels of the aquatic food chain</w:t>
            </w:r>
          </w:p>
          <w:p w:rsidR="001058D6" w:rsidRPr="00287BF0" w:rsidRDefault="001058D6" w:rsidP="00154DBC">
            <w:pPr>
              <w:pStyle w:val="tablebullets"/>
              <w:numPr>
                <w:ilvl w:val="0"/>
                <w:numId w:val="19"/>
              </w:numPr>
              <w:spacing w:before="60" w:after="60"/>
              <w:rPr>
                <w:rFonts w:ascii="Arial" w:hAnsi="Arial" w:cs="Arial"/>
                <w:color w:val="auto"/>
              </w:rPr>
            </w:pPr>
            <w:r w:rsidRPr="00287BF0">
              <w:rPr>
                <w:rFonts w:ascii="Arial" w:hAnsi="Arial" w:cs="Arial"/>
                <w:color w:val="auto"/>
              </w:rPr>
              <w:t>providing migration and dispersal cues to native fish</w:t>
            </w:r>
          </w:p>
          <w:p w:rsidR="001058D6" w:rsidRPr="00287BF0" w:rsidRDefault="001058D6" w:rsidP="00154DBC">
            <w:pPr>
              <w:pStyle w:val="tablebullets"/>
              <w:numPr>
                <w:ilvl w:val="0"/>
                <w:numId w:val="19"/>
              </w:numPr>
              <w:spacing w:before="60" w:after="60"/>
              <w:rPr>
                <w:rFonts w:ascii="Arial" w:hAnsi="Arial" w:cs="Arial"/>
                <w:color w:val="auto"/>
              </w:rPr>
            </w:pPr>
            <w:proofErr w:type="gramStart"/>
            <w:r w:rsidRPr="00287BF0">
              <w:rPr>
                <w:rFonts w:ascii="Arial" w:hAnsi="Arial" w:cs="Arial"/>
                <w:color w:val="auto"/>
              </w:rPr>
              <w:t>wetting</w:t>
            </w:r>
            <w:proofErr w:type="gramEnd"/>
            <w:r w:rsidRPr="00287BF0">
              <w:rPr>
                <w:rFonts w:ascii="Arial" w:hAnsi="Arial" w:cs="Arial"/>
                <w:color w:val="auto"/>
              </w:rPr>
              <w:t xml:space="preserve"> and interconnecting riparian areas.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tc>
        <w:tc>
          <w:tcPr>
            <w:tcW w:w="41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December 2012</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895</w:t>
            </w:r>
          </w:p>
        </w:tc>
      </w:tr>
      <w:tr w:rsidR="001058D6" w:rsidRPr="00287BF0" w:rsidTr="001058D6">
        <w:trPr>
          <w:trHeight w:val="60"/>
        </w:trPr>
        <w:tc>
          <w:tcPr>
            <w:tcW w:w="41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Border Rivers</w:t>
            </w:r>
          </w:p>
        </w:tc>
        <w:tc>
          <w:tcPr>
            <w:tcW w:w="454"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Severn River unregulated</w:t>
            </w:r>
          </w:p>
        </w:tc>
        <w:tc>
          <w:tcPr>
            <w:tcW w:w="501"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15"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426"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1048"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0"/>
              </w:numPr>
              <w:spacing w:before="60" w:after="60"/>
              <w:rPr>
                <w:rFonts w:ascii="Arial" w:hAnsi="Arial" w:cs="Arial"/>
                <w:color w:val="auto"/>
              </w:rPr>
            </w:pPr>
            <w:r w:rsidRPr="00287BF0">
              <w:rPr>
                <w:rFonts w:ascii="Arial" w:hAnsi="Arial" w:cs="Arial"/>
                <w:color w:val="auto"/>
              </w:rPr>
              <w:t>providing a more naturally variable flow regime in the Severn River within Sundown National Park</w:t>
            </w:r>
          </w:p>
          <w:p w:rsidR="001058D6" w:rsidRPr="00287BF0" w:rsidRDefault="001058D6" w:rsidP="00154DBC">
            <w:pPr>
              <w:pStyle w:val="tablebullets"/>
              <w:numPr>
                <w:ilvl w:val="0"/>
                <w:numId w:val="20"/>
              </w:numPr>
              <w:spacing w:before="60" w:after="60"/>
              <w:rPr>
                <w:rFonts w:ascii="Arial" w:hAnsi="Arial" w:cs="Arial"/>
                <w:color w:val="auto"/>
              </w:rPr>
            </w:pPr>
            <w:r w:rsidRPr="00287BF0">
              <w:rPr>
                <w:rFonts w:ascii="Arial" w:hAnsi="Arial" w:cs="Arial"/>
                <w:color w:val="auto"/>
              </w:rPr>
              <w:t xml:space="preserve">filling and reconnecting </w:t>
            </w:r>
            <w:proofErr w:type="spellStart"/>
            <w:r w:rsidRPr="00287BF0">
              <w:rPr>
                <w:rFonts w:ascii="Arial" w:hAnsi="Arial" w:cs="Arial"/>
                <w:color w:val="auto"/>
              </w:rPr>
              <w:t>refugial</w:t>
            </w:r>
            <w:proofErr w:type="spellEnd"/>
            <w:r w:rsidRPr="00287BF0">
              <w:rPr>
                <w:rFonts w:ascii="Arial" w:hAnsi="Arial" w:cs="Arial"/>
                <w:color w:val="auto"/>
              </w:rPr>
              <w:t xml:space="preserve"> waterholes</w:t>
            </w:r>
          </w:p>
          <w:p w:rsidR="001058D6" w:rsidRPr="00287BF0" w:rsidRDefault="001058D6" w:rsidP="00154DBC">
            <w:pPr>
              <w:pStyle w:val="tablebullets"/>
              <w:numPr>
                <w:ilvl w:val="0"/>
                <w:numId w:val="20"/>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migration and spawning cues for large bodied native fish, encouraging the germination and maintenance of riverbank vegetation. </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tc>
        <w:tc>
          <w:tcPr>
            <w:tcW w:w="41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January 2013–February–</w:t>
            </w:r>
            <w:r w:rsidRPr="00287BF0">
              <w:rPr>
                <w:rFonts w:ascii="Arial" w:hAnsi="Arial" w:cs="Arial"/>
                <w:color w:val="auto"/>
              </w:rPr>
              <w:br/>
              <w:t>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976</w:t>
            </w:r>
          </w:p>
        </w:tc>
      </w:tr>
      <w:tr w:rsidR="001058D6" w:rsidRPr="00287BF0" w:rsidTr="001058D6">
        <w:trPr>
          <w:trHeight w:val="2143"/>
        </w:trPr>
        <w:tc>
          <w:tcPr>
            <w:tcW w:w="41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Border Rivers</w:t>
            </w:r>
          </w:p>
        </w:tc>
        <w:tc>
          <w:tcPr>
            <w:tcW w:w="454"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Lower Macintyre unregulated</w:t>
            </w:r>
          </w:p>
        </w:tc>
        <w:tc>
          <w:tcPr>
            <w:tcW w:w="501"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15"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426"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1048"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1"/>
              </w:numPr>
              <w:spacing w:before="60" w:after="60"/>
              <w:rPr>
                <w:rFonts w:ascii="Arial" w:hAnsi="Arial" w:cs="Arial"/>
                <w:color w:val="auto"/>
              </w:rPr>
            </w:pPr>
            <w:r w:rsidRPr="00287BF0">
              <w:rPr>
                <w:rFonts w:ascii="Arial" w:hAnsi="Arial" w:cs="Arial"/>
                <w:color w:val="auto"/>
              </w:rPr>
              <w:t xml:space="preserve">supporting a more naturally variable flow regime in these systems </w:t>
            </w:r>
          </w:p>
          <w:p w:rsidR="001058D6" w:rsidRPr="00287BF0" w:rsidRDefault="001058D6" w:rsidP="00154DBC">
            <w:pPr>
              <w:pStyle w:val="tablebullets"/>
              <w:numPr>
                <w:ilvl w:val="0"/>
                <w:numId w:val="21"/>
              </w:numPr>
              <w:spacing w:before="60" w:after="60"/>
              <w:rPr>
                <w:rFonts w:ascii="Arial" w:hAnsi="Arial" w:cs="Arial"/>
                <w:color w:val="auto"/>
              </w:rPr>
            </w:pPr>
            <w:r w:rsidRPr="00287BF0">
              <w:rPr>
                <w:rFonts w:ascii="Arial" w:hAnsi="Arial" w:cs="Arial"/>
                <w:color w:val="auto"/>
              </w:rPr>
              <w:t>improving fish habitat, through both recruitment and movement</w:t>
            </w:r>
          </w:p>
          <w:p w:rsidR="001058D6" w:rsidRPr="00287BF0" w:rsidRDefault="001058D6" w:rsidP="00154DBC">
            <w:pPr>
              <w:pStyle w:val="tablebullets"/>
              <w:numPr>
                <w:ilvl w:val="0"/>
                <w:numId w:val="21"/>
              </w:numPr>
              <w:spacing w:before="60" w:after="60"/>
              <w:rPr>
                <w:rFonts w:ascii="Arial" w:hAnsi="Arial" w:cs="Arial"/>
                <w:color w:val="auto"/>
              </w:rPr>
            </w:pPr>
            <w:proofErr w:type="gramStart"/>
            <w:r w:rsidRPr="00287BF0">
              <w:rPr>
                <w:rFonts w:ascii="Arial" w:hAnsi="Arial" w:cs="Arial"/>
                <w:color w:val="auto"/>
              </w:rPr>
              <w:t>carbon</w:t>
            </w:r>
            <w:proofErr w:type="gramEnd"/>
            <w:r w:rsidRPr="00287BF0">
              <w:rPr>
                <w:rFonts w:ascii="Arial" w:hAnsi="Arial" w:cs="Arial"/>
                <w:color w:val="auto"/>
              </w:rPr>
              <w:t xml:space="preserve"> and nutrient cycling through the end of system.</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154DBC">
            <w:pPr>
              <w:pStyle w:val="tabletext"/>
              <w:spacing w:before="60" w:after="60"/>
              <w:rPr>
                <w:rFonts w:ascii="Arial" w:hAnsi="Arial" w:cs="Arial"/>
                <w:color w:val="auto"/>
              </w:rPr>
            </w:pPr>
          </w:p>
        </w:tc>
        <w:tc>
          <w:tcPr>
            <w:tcW w:w="41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January 2013-–ongoing at 30 June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sz w:val="18"/>
                <w:szCs w:val="18"/>
              </w:rPr>
              <w:t>687</w:t>
            </w:r>
          </w:p>
        </w:tc>
      </w:tr>
    </w:tbl>
    <w:p w:rsidR="001058D6" w:rsidRPr="00287BF0" w:rsidRDefault="001058D6" w:rsidP="001058D6">
      <w:pPr>
        <w:pStyle w:val="body"/>
        <w:rPr>
          <w:rFonts w:ascii="Arial" w:hAnsi="Arial" w:cs="Arial"/>
          <w:color w:val="auto"/>
        </w:rPr>
      </w:pPr>
    </w:p>
    <w:p w:rsidR="001058D6" w:rsidRDefault="001058D6" w:rsidP="001058D6">
      <w:pPr>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 xml:space="preserve">Table A5: Commonwealth environmental watering actions for the </w:t>
      </w:r>
      <w:proofErr w:type="spellStart"/>
      <w:r w:rsidRPr="00287BF0">
        <w:rPr>
          <w:rStyle w:val="TextBold"/>
          <w:rFonts w:cs="Arial"/>
          <w:b/>
          <w:color w:val="auto"/>
        </w:rPr>
        <w:t>Condamine–Balonne</w:t>
      </w:r>
      <w:proofErr w:type="spellEnd"/>
      <w:r w:rsidRPr="00287BF0">
        <w:rPr>
          <w:rStyle w:val="TextBold"/>
          <w:rFonts w:cs="Arial"/>
          <w:b/>
          <w:color w:val="auto"/>
        </w:rPr>
        <w:t xml:space="preserve"> catchment in 2012–13</w:t>
      </w:r>
    </w:p>
    <w:tbl>
      <w:tblPr>
        <w:tblStyle w:val="TableGrid1"/>
        <w:tblW w:w="5000" w:type="pct"/>
        <w:tblLook w:val="0020"/>
      </w:tblPr>
      <w:tblGrid>
        <w:gridCol w:w="1302"/>
        <w:gridCol w:w="1420"/>
        <w:gridCol w:w="1343"/>
        <w:gridCol w:w="1275"/>
        <w:gridCol w:w="1508"/>
        <w:gridCol w:w="2484"/>
        <w:gridCol w:w="1943"/>
        <w:gridCol w:w="1523"/>
        <w:gridCol w:w="1990"/>
      </w:tblGrid>
      <w:tr w:rsidR="001058D6" w:rsidRPr="00287BF0" w:rsidTr="001058D6">
        <w:trPr>
          <w:trHeight w:val="60"/>
        </w:trPr>
        <w:tc>
          <w:tcPr>
            <w:tcW w:w="920" w:type="pct"/>
            <w:gridSpan w:val="2"/>
          </w:tcPr>
          <w:p w:rsidR="001058D6" w:rsidRPr="00287BF0" w:rsidRDefault="001058D6" w:rsidP="00154DBC">
            <w:pPr>
              <w:pStyle w:val="tablehead"/>
            </w:pPr>
            <w:r w:rsidRPr="00287BF0">
              <w:rPr>
                <w:rStyle w:val="TextBold"/>
                <w:b/>
              </w:rPr>
              <w:t>Location of watering action</w:t>
            </w:r>
          </w:p>
        </w:tc>
        <w:tc>
          <w:tcPr>
            <w:tcW w:w="1395" w:type="pct"/>
            <w:gridSpan w:val="3"/>
          </w:tcPr>
          <w:p w:rsidR="001058D6" w:rsidRPr="00287BF0" w:rsidRDefault="001058D6" w:rsidP="00154DBC">
            <w:pPr>
              <w:pStyle w:val="tablehead"/>
            </w:pPr>
            <w:r w:rsidRPr="00287BF0">
              <w:rPr>
                <w:rStyle w:val="TextBold"/>
                <w:b/>
              </w:rPr>
              <w:t>Type of action</w:t>
            </w:r>
          </w:p>
        </w:tc>
        <w:tc>
          <w:tcPr>
            <w:tcW w:w="840"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515"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40" w:type="pct"/>
            <w:vMerge w:val="restart"/>
          </w:tcPr>
          <w:p w:rsidR="001058D6" w:rsidRPr="00287BF0" w:rsidRDefault="001058D6" w:rsidP="00154DBC">
            <w:pPr>
              <w:pStyle w:val="tablehead"/>
            </w:pPr>
            <w:r w:rsidRPr="00287BF0">
              <w:rPr>
                <w:rStyle w:val="TextBold"/>
                <w:b/>
              </w:rPr>
              <w:t>Complex</w:t>
            </w:r>
          </w:p>
        </w:tc>
        <w:tc>
          <w:tcPr>
            <w:tcW w:w="480" w:type="pct"/>
            <w:vMerge w:val="restart"/>
          </w:tcPr>
          <w:p w:rsidR="001058D6" w:rsidRPr="00287BF0" w:rsidRDefault="001058D6" w:rsidP="00154DBC">
            <w:pPr>
              <w:pStyle w:val="tablehead"/>
            </w:pPr>
            <w:r w:rsidRPr="00287BF0">
              <w:rPr>
                <w:rStyle w:val="TextBold"/>
                <w:b/>
              </w:rPr>
              <w:t>Site</w:t>
            </w:r>
          </w:p>
        </w:tc>
        <w:tc>
          <w:tcPr>
            <w:tcW w:w="454" w:type="pct"/>
            <w:vMerge w:val="restart"/>
          </w:tcPr>
          <w:p w:rsidR="001058D6" w:rsidRPr="00287BF0" w:rsidRDefault="001058D6" w:rsidP="00154DBC">
            <w:pPr>
              <w:pStyle w:val="tablehead"/>
            </w:pPr>
            <w:r w:rsidRPr="00287BF0">
              <w:rPr>
                <w:rStyle w:val="TextBold"/>
                <w:b/>
              </w:rPr>
              <w:t>River flows</w:t>
            </w:r>
          </w:p>
        </w:tc>
        <w:tc>
          <w:tcPr>
            <w:tcW w:w="940" w:type="pct"/>
            <w:gridSpan w:val="2"/>
          </w:tcPr>
          <w:p w:rsidR="001058D6" w:rsidRPr="00287BF0" w:rsidRDefault="001058D6" w:rsidP="00154DBC">
            <w:pPr>
              <w:pStyle w:val="tablehead"/>
            </w:pPr>
            <w:r w:rsidRPr="00287BF0">
              <w:rPr>
                <w:rStyle w:val="TextBold"/>
                <w:b/>
              </w:rPr>
              <w:t>Inundation</w:t>
            </w:r>
          </w:p>
        </w:tc>
        <w:tc>
          <w:tcPr>
            <w:tcW w:w="84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51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4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8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54"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31" w:type="pct"/>
          </w:tcPr>
          <w:p w:rsidR="001058D6" w:rsidRPr="00287BF0" w:rsidRDefault="001058D6" w:rsidP="00154DBC">
            <w:pPr>
              <w:pStyle w:val="tablehead"/>
            </w:pPr>
            <w:r w:rsidRPr="00287BF0">
              <w:rPr>
                <w:rStyle w:val="TextBold"/>
                <w:b/>
              </w:rPr>
              <w:t>Wetland</w:t>
            </w:r>
          </w:p>
        </w:tc>
        <w:tc>
          <w:tcPr>
            <w:tcW w:w="509" w:type="pct"/>
          </w:tcPr>
          <w:p w:rsidR="001058D6" w:rsidRPr="00287BF0" w:rsidRDefault="001058D6" w:rsidP="00154DBC">
            <w:pPr>
              <w:pStyle w:val="tablehead"/>
            </w:pPr>
            <w:r w:rsidRPr="00287BF0">
              <w:rPr>
                <w:rStyle w:val="TextBold"/>
                <w:b/>
              </w:rPr>
              <w:t>Floodplain</w:t>
            </w:r>
          </w:p>
        </w:tc>
        <w:tc>
          <w:tcPr>
            <w:tcW w:w="84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51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40"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Balonne</w:t>
            </w:r>
            <w:proofErr w:type="spellEnd"/>
          </w:p>
        </w:tc>
        <w:tc>
          <w:tcPr>
            <w:tcW w:w="480"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 xml:space="preserve">Lower </w:t>
            </w:r>
            <w:proofErr w:type="spellStart"/>
            <w:r w:rsidRPr="00287BF0">
              <w:rPr>
                <w:rFonts w:ascii="Arial" w:hAnsi="Arial" w:cs="Arial"/>
                <w:color w:val="auto"/>
                <w:sz w:val="18"/>
                <w:szCs w:val="18"/>
              </w:rPr>
              <w:t>Balonne</w:t>
            </w:r>
            <w:proofErr w:type="spellEnd"/>
            <w:r w:rsidRPr="00287BF0">
              <w:rPr>
                <w:rFonts w:ascii="Arial" w:hAnsi="Arial" w:cs="Arial"/>
                <w:color w:val="auto"/>
                <w:sz w:val="18"/>
                <w:szCs w:val="18"/>
              </w:rPr>
              <w:t xml:space="preserve"> unregulated</w:t>
            </w:r>
          </w:p>
        </w:tc>
        <w:tc>
          <w:tcPr>
            <w:tcW w:w="454"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31"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509"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sidRPr="00834ED3">
              <w:rPr>
                <w:rFonts w:ascii="Arial" w:hAnsi="Arial" w:cs="Arial"/>
                <w:color w:val="auto"/>
                <w:sz w:val="18"/>
                <w:szCs w:val="18"/>
                <w:lang w:val="en-US"/>
              </w:rPr>
              <w:t>n/a</w:t>
            </w:r>
          </w:p>
        </w:tc>
        <w:tc>
          <w:tcPr>
            <w:tcW w:w="840"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In-stream use in the Lower </w:t>
            </w:r>
            <w:proofErr w:type="spellStart"/>
            <w:r w:rsidRPr="00287BF0">
              <w:rPr>
                <w:rFonts w:ascii="Arial" w:hAnsi="Arial" w:cs="Arial"/>
                <w:color w:val="auto"/>
              </w:rPr>
              <w:t>Balonne</w:t>
            </w:r>
            <w:proofErr w:type="spellEnd"/>
            <w:r w:rsidRPr="00287BF0">
              <w:rPr>
                <w:rFonts w:ascii="Arial" w:hAnsi="Arial" w:cs="Arial"/>
                <w:color w:val="auto"/>
              </w:rPr>
              <w:t xml:space="preserve"> to contribute to a more naturally variable flow regime that supports key ecosystem functions.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154DBC">
            <w:pPr>
              <w:pStyle w:val="tabletext"/>
              <w:spacing w:before="60" w:after="60"/>
              <w:rPr>
                <w:rFonts w:ascii="Arial" w:hAnsi="Arial" w:cs="Arial"/>
                <w:color w:val="auto"/>
              </w:rPr>
            </w:pPr>
          </w:p>
        </w:tc>
        <w:tc>
          <w:tcPr>
            <w:tcW w:w="51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February 2013–ongoing at 30 June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sz w:val="18"/>
                <w:szCs w:val="18"/>
              </w:rPr>
              <w:t>64 946</w:t>
            </w:r>
          </w:p>
        </w:tc>
      </w:tr>
    </w:tbl>
    <w:p w:rsidR="001058D6" w:rsidRPr="00287BF0" w:rsidRDefault="001058D6" w:rsidP="001058D6">
      <w:pPr>
        <w:pStyle w:val="body"/>
        <w:rPr>
          <w:rStyle w:val="TextBold"/>
          <w:rFonts w:ascii="Arial" w:hAnsi="Arial" w:cs="Arial"/>
          <w:bCs/>
          <w:color w:val="auto"/>
          <w:sz w:val="17"/>
          <w:szCs w:val="17"/>
        </w:rPr>
      </w:pPr>
    </w:p>
    <w:p w:rsidR="001058D6" w:rsidRPr="00287BF0" w:rsidRDefault="001058D6" w:rsidP="007B2F2F">
      <w:pPr>
        <w:pStyle w:val="figureheading"/>
        <w:rPr>
          <w:rStyle w:val="TextBold"/>
          <w:rFonts w:cs="Arial"/>
          <w:b/>
          <w:color w:val="auto"/>
        </w:rPr>
      </w:pP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 xml:space="preserve">Table A6: Commonwealth environmental watering actions for the </w:t>
      </w:r>
      <w:proofErr w:type="spellStart"/>
      <w:r w:rsidRPr="00287BF0">
        <w:rPr>
          <w:rStyle w:val="TextBold"/>
          <w:rFonts w:cs="Arial"/>
          <w:b/>
          <w:color w:val="auto"/>
        </w:rPr>
        <w:t>Gwydir</w:t>
      </w:r>
      <w:proofErr w:type="spellEnd"/>
      <w:r w:rsidRPr="00287BF0">
        <w:rPr>
          <w:rStyle w:val="TextBold"/>
          <w:rFonts w:cs="Arial"/>
          <w:b/>
          <w:color w:val="auto"/>
        </w:rPr>
        <w:t xml:space="preserve"> catchment in 2012–13</w:t>
      </w:r>
    </w:p>
    <w:tbl>
      <w:tblPr>
        <w:tblStyle w:val="TableGrid1"/>
        <w:tblW w:w="5000" w:type="pct"/>
        <w:tblLook w:val="0020"/>
      </w:tblPr>
      <w:tblGrid>
        <w:gridCol w:w="1138"/>
        <w:gridCol w:w="1174"/>
        <w:gridCol w:w="1035"/>
        <w:gridCol w:w="1121"/>
        <w:gridCol w:w="1313"/>
        <w:gridCol w:w="3848"/>
        <w:gridCol w:w="1899"/>
        <w:gridCol w:w="1420"/>
        <w:gridCol w:w="1840"/>
      </w:tblGrid>
      <w:tr w:rsidR="001058D6" w:rsidRPr="00287BF0" w:rsidTr="001058D6">
        <w:trPr>
          <w:trHeight w:val="60"/>
        </w:trPr>
        <w:tc>
          <w:tcPr>
            <w:tcW w:w="782" w:type="pct"/>
            <w:gridSpan w:val="2"/>
          </w:tcPr>
          <w:p w:rsidR="001058D6" w:rsidRPr="00287BF0" w:rsidRDefault="001058D6" w:rsidP="00154DBC">
            <w:pPr>
              <w:pStyle w:val="tablehead"/>
            </w:pPr>
            <w:r w:rsidRPr="00287BF0">
              <w:rPr>
                <w:rStyle w:val="TextBold"/>
                <w:b/>
              </w:rPr>
              <w:t>Location of watering action</w:t>
            </w:r>
          </w:p>
        </w:tc>
        <w:tc>
          <w:tcPr>
            <w:tcW w:w="1173" w:type="pct"/>
            <w:gridSpan w:val="3"/>
          </w:tcPr>
          <w:p w:rsidR="001058D6" w:rsidRPr="00287BF0" w:rsidRDefault="001058D6" w:rsidP="00154DBC">
            <w:pPr>
              <w:pStyle w:val="tablehead"/>
            </w:pPr>
            <w:r w:rsidRPr="00287BF0">
              <w:rPr>
                <w:rStyle w:val="TextBold"/>
                <w:b/>
              </w:rPr>
              <w:t>Type of action</w:t>
            </w:r>
          </w:p>
        </w:tc>
        <w:tc>
          <w:tcPr>
            <w:tcW w:w="1301" w:type="pct"/>
            <w:vMerge w:val="restart"/>
          </w:tcPr>
          <w:p w:rsidR="001058D6" w:rsidRPr="00287BF0" w:rsidRDefault="001058D6" w:rsidP="00154DBC">
            <w:pPr>
              <w:pStyle w:val="tablehead"/>
            </w:pPr>
            <w:r w:rsidRPr="00287BF0">
              <w:rPr>
                <w:rStyle w:val="TextBold"/>
                <w:b/>
              </w:rPr>
              <w:t>Expected environmental outcome(s) of watering action</w:t>
            </w:r>
          </w:p>
        </w:tc>
        <w:tc>
          <w:tcPr>
            <w:tcW w:w="642" w:type="pct"/>
            <w:vMerge w:val="restart"/>
          </w:tcPr>
          <w:p w:rsidR="001058D6" w:rsidRPr="00287BF0" w:rsidRDefault="001058D6" w:rsidP="00154DBC">
            <w:pPr>
              <w:pStyle w:val="tablehead"/>
            </w:pPr>
            <w:r w:rsidRPr="00287BF0">
              <w:rPr>
                <w:rStyle w:val="TextBold"/>
                <w:b/>
              </w:rPr>
              <w:t>Environmental watering plan objective(s)</w:t>
            </w:r>
          </w:p>
        </w:tc>
        <w:tc>
          <w:tcPr>
            <w:tcW w:w="480" w:type="pct"/>
            <w:vMerge w:val="restart"/>
          </w:tcPr>
          <w:p w:rsidR="001058D6" w:rsidRPr="00287BF0" w:rsidRDefault="001058D6" w:rsidP="00154DBC">
            <w:pPr>
              <w:pStyle w:val="tablehead"/>
            </w:pPr>
            <w:r w:rsidRPr="00287BF0">
              <w:rPr>
                <w:rStyle w:val="TextBold"/>
                <w:b/>
              </w:rPr>
              <w:t>Timing</w:t>
            </w:r>
          </w:p>
        </w:tc>
        <w:tc>
          <w:tcPr>
            <w:tcW w:w="622"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385" w:type="pct"/>
            <w:vMerge w:val="restart"/>
          </w:tcPr>
          <w:p w:rsidR="001058D6" w:rsidRPr="00287BF0" w:rsidRDefault="001058D6" w:rsidP="00154DBC">
            <w:pPr>
              <w:pStyle w:val="tablehead"/>
            </w:pPr>
            <w:r w:rsidRPr="00287BF0">
              <w:rPr>
                <w:rStyle w:val="TextBold"/>
                <w:b/>
              </w:rPr>
              <w:t>Complex</w:t>
            </w:r>
          </w:p>
        </w:tc>
        <w:tc>
          <w:tcPr>
            <w:tcW w:w="397" w:type="pct"/>
            <w:vMerge w:val="restart"/>
          </w:tcPr>
          <w:p w:rsidR="001058D6" w:rsidRPr="00287BF0" w:rsidRDefault="001058D6" w:rsidP="00154DBC">
            <w:pPr>
              <w:pStyle w:val="tablehead"/>
            </w:pPr>
            <w:r w:rsidRPr="00287BF0">
              <w:rPr>
                <w:rStyle w:val="TextBold"/>
                <w:b/>
              </w:rPr>
              <w:t>Site</w:t>
            </w:r>
          </w:p>
        </w:tc>
        <w:tc>
          <w:tcPr>
            <w:tcW w:w="350" w:type="pct"/>
            <w:vMerge w:val="restart"/>
          </w:tcPr>
          <w:p w:rsidR="001058D6" w:rsidRPr="00287BF0" w:rsidRDefault="001058D6" w:rsidP="00154DBC">
            <w:pPr>
              <w:pStyle w:val="tablehead"/>
            </w:pPr>
            <w:r w:rsidRPr="00287BF0">
              <w:rPr>
                <w:rStyle w:val="TextBold"/>
                <w:b/>
              </w:rPr>
              <w:t>River flows</w:t>
            </w:r>
          </w:p>
        </w:tc>
        <w:tc>
          <w:tcPr>
            <w:tcW w:w="823" w:type="pct"/>
            <w:gridSpan w:val="2"/>
          </w:tcPr>
          <w:p w:rsidR="001058D6" w:rsidRPr="00287BF0" w:rsidRDefault="001058D6" w:rsidP="00154DBC">
            <w:pPr>
              <w:pStyle w:val="tablehead"/>
            </w:pPr>
            <w:r w:rsidRPr="00287BF0">
              <w:rPr>
                <w:rStyle w:val="TextBold"/>
                <w:b/>
              </w:rPr>
              <w:t>Inundation</w:t>
            </w:r>
          </w:p>
        </w:tc>
        <w:tc>
          <w:tcPr>
            <w:tcW w:w="130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42"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8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22"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38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9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5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79" w:type="pct"/>
          </w:tcPr>
          <w:p w:rsidR="001058D6" w:rsidRPr="00287BF0" w:rsidRDefault="001058D6" w:rsidP="00154DBC">
            <w:pPr>
              <w:pStyle w:val="tablehead"/>
            </w:pPr>
            <w:r w:rsidRPr="00287BF0">
              <w:rPr>
                <w:rStyle w:val="TextBold"/>
                <w:b/>
              </w:rPr>
              <w:t>Wetland</w:t>
            </w:r>
          </w:p>
        </w:tc>
        <w:tc>
          <w:tcPr>
            <w:tcW w:w="443" w:type="pct"/>
          </w:tcPr>
          <w:p w:rsidR="001058D6" w:rsidRPr="00287BF0" w:rsidRDefault="001058D6" w:rsidP="00154DBC">
            <w:pPr>
              <w:pStyle w:val="tablehead"/>
            </w:pPr>
            <w:r w:rsidRPr="00287BF0">
              <w:rPr>
                <w:rStyle w:val="TextBold"/>
                <w:b/>
              </w:rPr>
              <w:t>Floodplain</w:t>
            </w:r>
          </w:p>
        </w:tc>
        <w:tc>
          <w:tcPr>
            <w:tcW w:w="130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42"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8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22"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38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Gwydir</w:t>
            </w:r>
            <w:proofErr w:type="spellEnd"/>
          </w:p>
        </w:tc>
        <w:tc>
          <w:tcPr>
            <w:tcW w:w="397"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Mallowa</w:t>
            </w:r>
            <w:proofErr w:type="spellEnd"/>
            <w:r w:rsidRPr="00287BF0">
              <w:rPr>
                <w:rFonts w:ascii="Arial" w:hAnsi="Arial" w:cs="Arial"/>
                <w:color w:val="auto"/>
              </w:rPr>
              <w:t xml:space="preserve"> Wetlands</w:t>
            </w:r>
          </w:p>
        </w:tc>
        <w:tc>
          <w:tcPr>
            <w:tcW w:w="350" w:type="pct"/>
          </w:tcPr>
          <w:p w:rsidR="001058D6" w:rsidRPr="00834ED3" w:rsidRDefault="001058D6" w:rsidP="00154DBC">
            <w:pPr>
              <w:pStyle w:val="tabletext"/>
              <w:spacing w:before="60" w:after="60"/>
              <w:jc w:val="center"/>
              <w:rPr>
                <w:rFonts w:ascii="Arial" w:hAnsi="Arial" w:cs="Arial"/>
                <w:color w:val="auto"/>
                <w:sz w:val="18"/>
                <w:szCs w:val="18"/>
              </w:rPr>
            </w:pPr>
            <w:r w:rsidRPr="00834ED3">
              <w:rPr>
                <w:rFonts w:ascii="Arial" w:hAnsi="Arial" w:cs="Arial"/>
                <w:color w:val="auto"/>
                <w:sz w:val="18"/>
                <w:szCs w:val="18"/>
              </w:rPr>
              <w:t>yes</w:t>
            </w:r>
          </w:p>
        </w:tc>
        <w:tc>
          <w:tcPr>
            <w:tcW w:w="379"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43" w:type="pct"/>
          </w:tcPr>
          <w:p w:rsidR="001058D6" w:rsidRPr="00287BF0" w:rsidRDefault="001058D6" w:rsidP="00154DBC">
            <w:pPr>
              <w:pStyle w:val="tabletext"/>
              <w:tabs>
                <w:tab w:val="left" w:pos="227"/>
                <w:tab w:val="center" w:pos="520"/>
              </w:tabs>
              <w:spacing w:before="60" w:after="60"/>
              <w:jc w:val="center"/>
              <w:rPr>
                <w:rFonts w:ascii="Arial" w:hAnsi="Arial" w:cs="Arial"/>
                <w:color w:val="auto"/>
              </w:rPr>
            </w:pPr>
            <w:r w:rsidRPr="00834ED3">
              <w:rPr>
                <w:rFonts w:ascii="Arial" w:hAnsi="Arial" w:cs="Arial"/>
                <w:color w:val="auto"/>
                <w:sz w:val="18"/>
                <w:szCs w:val="18"/>
              </w:rPr>
              <w:t>yes</w:t>
            </w:r>
          </w:p>
        </w:tc>
        <w:tc>
          <w:tcPr>
            <w:tcW w:w="130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To contribute to: </w:t>
            </w:r>
          </w:p>
          <w:p w:rsidR="001058D6" w:rsidRPr="00287BF0" w:rsidRDefault="001058D6" w:rsidP="00154DBC">
            <w:pPr>
              <w:pStyle w:val="tablebullets"/>
              <w:numPr>
                <w:ilvl w:val="0"/>
                <w:numId w:val="22"/>
              </w:numPr>
              <w:spacing w:before="60" w:after="60"/>
              <w:rPr>
                <w:rFonts w:ascii="Arial" w:hAnsi="Arial" w:cs="Arial"/>
                <w:color w:val="auto"/>
              </w:rPr>
            </w:pPr>
            <w:r w:rsidRPr="00287BF0">
              <w:rPr>
                <w:rFonts w:ascii="Arial" w:hAnsi="Arial" w:cs="Arial"/>
                <w:color w:val="auto"/>
              </w:rPr>
              <w:t>supporting and building upon the extensive ecological responses in 2010–12</w:t>
            </w:r>
          </w:p>
          <w:p w:rsidR="001058D6" w:rsidRPr="00287BF0" w:rsidRDefault="001058D6" w:rsidP="00154DBC">
            <w:pPr>
              <w:pStyle w:val="tablebullets"/>
              <w:numPr>
                <w:ilvl w:val="0"/>
                <w:numId w:val="22"/>
              </w:numPr>
              <w:spacing w:before="60" w:after="60"/>
              <w:rPr>
                <w:rFonts w:ascii="Arial" w:hAnsi="Arial" w:cs="Arial"/>
                <w:color w:val="auto"/>
              </w:rPr>
            </w:pPr>
            <w:r w:rsidRPr="00287BF0">
              <w:rPr>
                <w:rFonts w:ascii="Arial" w:hAnsi="Arial" w:cs="Arial"/>
                <w:color w:val="auto"/>
              </w:rPr>
              <w:t>enabling growth, breeding and small-scale recruitment for a diverse range of native plants and animals</w:t>
            </w:r>
          </w:p>
          <w:p w:rsidR="001058D6" w:rsidRPr="00287BF0" w:rsidRDefault="001058D6" w:rsidP="00154DBC">
            <w:pPr>
              <w:pStyle w:val="tablebullets"/>
              <w:numPr>
                <w:ilvl w:val="0"/>
                <w:numId w:val="22"/>
              </w:numPr>
              <w:spacing w:before="60" w:after="60"/>
              <w:rPr>
                <w:rFonts w:ascii="Arial" w:hAnsi="Arial" w:cs="Arial"/>
                <w:color w:val="auto"/>
              </w:rPr>
            </w:pPr>
            <w:proofErr w:type="gramStart"/>
            <w:r w:rsidRPr="00287BF0">
              <w:rPr>
                <w:rFonts w:ascii="Arial" w:hAnsi="Arial" w:cs="Arial"/>
                <w:color w:val="auto"/>
              </w:rPr>
              <w:t>promoting</w:t>
            </w:r>
            <w:proofErr w:type="gramEnd"/>
            <w:r w:rsidRPr="00287BF0">
              <w:rPr>
                <w:rFonts w:ascii="Arial" w:hAnsi="Arial" w:cs="Arial"/>
                <w:color w:val="auto"/>
              </w:rPr>
              <w:t xml:space="preserve"> low-lying floodplain-river connectivity.</w:t>
            </w:r>
          </w:p>
        </w:tc>
        <w:tc>
          <w:tcPr>
            <w:tcW w:w="642"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8.05(2)(b)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8.06(3)(b)(ii)</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8.06(5)</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8.07(4)</w:t>
            </w:r>
          </w:p>
          <w:p w:rsidR="001058D6" w:rsidRPr="00287BF0" w:rsidRDefault="001058D6" w:rsidP="00154DBC">
            <w:pPr>
              <w:pStyle w:val="tabletext"/>
              <w:spacing w:before="60" w:after="60"/>
              <w:rPr>
                <w:rFonts w:ascii="Arial" w:hAnsi="Arial" w:cs="Arial"/>
                <w:color w:val="auto"/>
              </w:rPr>
            </w:pPr>
          </w:p>
        </w:tc>
        <w:tc>
          <w:tcPr>
            <w:tcW w:w="480"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December 2012–March 2013</w:t>
            </w:r>
          </w:p>
        </w:tc>
        <w:tc>
          <w:tcPr>
            <w:tcW w:w="622"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5000</w:t>
            </w:r>
          </w:p>
        </w:tc>
      </w:tr>
      <w:tr w:rsidR="001058D6" w:rsidRPr="00287BF0" w:rsidTr="001058D6">
        <w:trPr>
          <w:trHeight w:val="60"/>
        </w:trPr>
        <w:tc>
          <w:tcPr>
            <w:tcW w:w="38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sz w:val="18"/>
                <w:szCs w:val="18"/>
              </w:rPr>
              <w:t>Gwydir</w:t>
            </w:r>
            <w:proofErr w:type="spellEnd"/>
          </w:p>
        </w:tc>
        <w:tc>
          <w:tcPr>
            <w:tcW w:w="397"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Gwydir</w:t>
            </w:r>
            <w:proofErr w:type="spellEnd"/>
            <w:r w:rsidRPr="00287BF0">
              <w:rPr>
                <w:rFonts w:ascii="Arial" w:hAnsi="Arial" w:cs="Arial"/>
                <w:color w:val="auto"/>
              </w:rPr>
              <w:t xml:space="preserve"> Wetlands</w:t>
            </w:r>
          </w:p>
        </w:tc>
        <w:tc>
          <w:tcPr>
            <w:tcW w:w="350"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379"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443" w:type="pct"/>
          </w:tcPr>
          <w:p w:rsidR="001058D6" w:rsidRPr="00287BF0" w:rsidRDefault="001058D6" w:rsidP="00154DBC">
            <w:pPr>
              <w:pStyle w:val="tabletext"/>
              <w:spacing w:before="60" w:after="60"/>
              <w:jc w:val="center"/>
              <w:rPr>
                <w:rFonts w:ascii="Arial" w:hAnsi="Arial" w:cs="Arial"/>
                <w:color w:val="auto"/>
              </w:rPr>
            </w:pPr>
            <w:r w:rsidRPr="00834ED3">
              <w:rPr>
                <w:rFonts w:ascii="Arial" w:hAnsi="Arial" w:cs="Arial"/>
                <w:color w:val="auto"/>
                <w:sz w:val="18"/>
                <w:szCs w:val="18"/>
              </w:rPr>
              <w:t>yes</w:t>
            </w:r>
          </w:p>
        </w:tc>
        <w:tc>
          <w:tcPr>
            <w:tcW w:w="130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3"/>
              </w:numPr>
              <w:spacing w:before="60" w:after="60"/>
              <w:rPr>
                <w:rFonts w:ascii="Arial" w:hAnsi="Arial" w:cs="Arial"/>
                <w:color w:val="auto"/>
              </w:rPr>
            </w:pPr>
            <w:r w:rsidRPr="00287BF0">
              <w:rPr>
                <w:rFonts w:ascii="Arial" w:hAnsi="Arial" w:cs="Arial"/>
                <w:color w:val="auto"/>
              </w:rPr>
              <w:t>supporting and building upon the extensive ecological responses and ensure survival of native plants and animals that recruited in 2010–12;</w:t>
            </w:r>
          </w:p>
          <w:p w:rsidR="001058D6" w:rsidRPr="00287BF0" w:rsidRDefault="001058D6" w:rsidP="00154DBC">
            <w:pPr>
              <w:pStyle w:val="tablebullets"/>
              <w:numPr>
                <w:ilvl w:val="0"/>
                <w:numId w:val="23"/>
              </w:numPr>
              <w:spacing w:before="60" w:after="60"/>
              <w:rPr>
                <w:rFonts w:ascii="Arial" w:hAnsi="Arial" w:cs="Arial"/>
                <w:color w:val="auto"/>
              </w:rPr>
            </w:pPr>
            <w:r w:rsidRPr="00287BF0">
              <w:rPr>
                <w:rFonts w:ascii="Arial" w:hAnsi="Arial" w:cs="Arial"/>
                <w:color w:val="auto"/>
              </w:rPr>
              <w:t>enabling growth, breeding and small-scale recruitment for a diverse range of native plants and animals</w:t>
            </w:r>
          </w:p>
          <w:p w:rsidR="001058D6" w:rsidRPr="00287BF0" w:rsidRDefault="001058D6" w:rsidP="00154DBC">
            <w:pPr>
              <w:pStyle w:val="tablebullets"/>
              <w:numPr>
                <w:ilvl w:val="0"/>
                <w:numId w:val="23"/>
              </w:numPr>
              <w:spacing w:before="60" w:after="60"/>
              <w:rPr>
                <w:rFonts w:ascii="Arial" w:hAnsi="Arial" w:cs="Arial"/>
                <w:color w:val="auto"/>
              </w:rPr>
            </w:pPr>
            <w:r w:rsidRPr="00287BF0">
              <w:rPr>
                <w:rFonts w:ascii="Arial" w:hAnsi="Arial" w:cs="Arial"/>
                <w:color w:val="auto"/>
              </w:rPr>
              <w:t xml:space="preserve">promoting low-lying floodplain-river connectivity </w:t>
            </w:r>
          </w:p>
          <w:p w:rsidR="001058D6" w:rsidRPr="00287BF0" w:rsidRDefault="001058D6" w:rsidP="00154DBC">
            <w:pPr>
              <w:pStyle w:val="tablebullets"/>
              <w:numPr>
                <w:ilvl w:val="0"/>
                <w:numId w:val="23"/>
              </w:numPr>
              <w:spacing w:before="60" w:after="60"/>
              <w:rPr>
                <w:rFonts w:ascii="Arial" w:hAnsi="Arial" w:cs="Arial"/>
                <w:color w:val="auto"/>
              </w:rPr>
            </w:pPr>
            <w:r w:rsidRPr="00287BF0">
              <w:rPr>
                <w:rFonts w:ascii="Arial" w:hAnsi="Arial" w:cs="Arial"/>
                <w:color w:val="auto"/>
              </w:rPr>
              <w:t>supporting medium–flow river and floodplain functional processes</w:t>
            </w:r>
          </w:p>
          <w:p w:rsidR="001058D6" w:rsidRPr="00287BF0" w:rsidRDefault="001058D6" w:rsidP="00154DBC">
            <w:pPr>
              <w:pStyle w:val="tablebullets"/>
              <w:numPr>
                <w:ilvl w:val="0"/>
                <w:numId w:val="23"/>
              </w:numPr>
              <w:spacing w:before="60" w:after="60"/>
              <w:rPr>
                <w:rFonts w:ascii="Arial" w:hAnsi="Arial" w:cs="Arial"/>
                <w:color w:val="auto"/>
              </w:rPr>
            </w:pPr>
            <w:proofErr w:type="gramStart"/>
            <w:r w:rsidRPr="00287BF0">
              <w:rPr>
                <w:rFonts w:ascii="Arial" w:hAnsi="Arial" w:cs="Arial"/>
                <w:color w:val="auto"/>
              </w:rPr>
              <w:t>helping</w:t>
            </w:r>
            <w:proofErr w:type="gramEnd"/>
            <w:r w:rsidRPr="00287BF0">
              <w:rPr>
                <w:rFonts w:ascii="Arial" w:hAnsi="Arial" w:cs="Arial"/>
                <w:color w:val="auto"/>
              </w:rPr>
              <w:t xml:space="preserve"> suppress the growth of </w:t>
            </w:r>
            <w:proofErr w:type="spellStart"/>
            <w:r w:rsidRPr="00287BF0">
              <w:rPr>
                <w:rFonts w:ascii="Arial" w:hAnsi="Arial" w:cs="Arial"/>
                <w:color w:val="auto"/>
              </w:rPr>
              <w:t>lippia</w:t>
            </w:r>
            <w:proofErr w:type="spellEnd"/>
            <w:r w:rsidRPr="00287BF0">
              <w:rPr>
                <w:rFonts w:ascii="Arial" w:hAnsi="Arial" w:cs="Arial"/>
                <w:color w:val="auto"/>
              </w:rPr>
              <w:t xml:space="preserve"> (</w:t>
            </w:r>
            <w:r w:rsidRPr="00287BF0">
              <w:rPr>
                <w:rStyle w:val="Textitalic"/>
                <w:rFonts w:ascii="Arial" w:hAnsi="Arial" w:cs="Arial"/>
                <w:iCs/>
                <w:color w:val="auto"/>
              </w:rPr>
              <w:t xml:space="preserve">Phyla </w:t>
            </w:r>
            <w:proofErr w:type="spellStart"/>
            <w:r w:rsidRPr="00287BF0">
              <w:rPr>
                <w:rStyle w:val="Textitalic"/>
                <w:rFonts w:ascii="Arial" w:hAnsi="Arial" w:cs="Arial"/>
                <w:iCs/>
                <w:color w:val="auto"/>
              </w:rPr>
              <w:t>canescens</w:t>
            </w:r>
            <w:proofErr w:type="spellEnd"/>
            <w:r w:rsidRPr="00287BF0">
              <w:rPr>
                <w:rFonts w:ascii="Arial" w:hAnsi="Arial" w:cs="Arial"/>
                <w:color w:val="auto"/>
              </w:rPr>
              <w:t>) which is an introduced weed.</w:t>
            </w:r>
          </w:p>
        </w:tc>
        <w:tc>
          <w:tcPr>
            <w:tcW w:w="642"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8.05(2)(a)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8.06(3)(b)(ii)</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8.06(5)</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8.07(4)</w:t>
            </w:r>
          </w:p>
          <w:p w:rsidR="001058D6" w:rsidRPr="00287BF0" w:rsidRDefault="001058D6" w:rsidP="00154DBC">
            <w:pPr>
              <w:pStyle w:val="tabletext"/>
              <w:spacing w:before="60" w:after="60"/>
              <w:rPr>
                <w:rFonts w:ascii="Arial" w:hAnsi="Arial" w:cs="Arial"/>
                <w:color w:val="auto"/>
              </w:rPr>
            </w:pPr>
          </w:p>
        </w:tc>
        <w:tc>
          <w:tcPr>
            <w:tcW w:w="480"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December 2012–March 2013</w:t>
            </w:r>
          </w:p>
        </w:tc>
        <w:tc>
          <w:tcPr>
            <w:tcW w:w="622"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sz w:val="18"/>
                <w:szCs w:val="18"/>
              </w:rPr>
              <w:t>22 709</w:t>
            </w:r>
          </w:p>
        </w:tc>
      </w:tr>
    </w:tbl>
    <w:p w:rsidR="001058D6" w:rsidRPr="00287BF0" w:rsidRDefault="001058D6" w:rsidP="001058D6">
      <w:pPr>
        <w:pStyle w:val="body"/>
        <w:rPr>
          <w:rFonts w:ascii="Arial" w:hAnsi="Arial" w:cs="Arial"/>
          <w:color w:val="auto"/>
        </w:rPr>
      </w:pPr>
    </w:p>
    <w:p w:rsidR="001058D6" w:rsidRPr="00287BF0" w:rsidRDefault="001058D6" w:rsidP="007B2F2F">
      <w:pPr>
        <w:pStyle w:val="figureheading"/>
        <w:rPr>
          <w:rStyle w:val="TextBold"/>
          <w:rFonts w:cs="Arial"/>
          <w:b/>
          <w:color w:val="auto"/>
        </w:rPr>
      </w:pP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Table A7: Commonwealth environmental watering actions for the Lachlan catchment in 2012–13</w:t>
      </w:r>
    </w:p>
    <w:tbl>
      <w:tblPr>
        <w:tblStyle w:val="TableGrid1"/>
        <w:tblW w:w="5000" w:type="pct"/>
        <w:tblLook w:val="0020"/>
      </w:tblPr>
      <w:tblGrid>
        <w:gridCol w:w="1080"/>
        <w:gridCol w:w="1127"/>
        <w:gridCol w:w="991"/>
        <w:gridCol w:w="1213"/>
        <w:gridCol w:w="1266"/>
        <w:gridCol w:w="3803"/>
        <w:gridCol w:w="1943"/>
        <w:gridCol w:w="1375"/>
        <w:gridCol w:w="1990"/>
      </w:tblGrid>
      <w:tr w:rsidR="001058D6" w:rsidRPr="00287BF0" w:rsidTr="001058D6">
        <w:trPr>
          <w:trHeight w:val="60"/>
        </w:trPr>
        <w:tc>
          <w:tcPr>
            <w:tcW w:w="746" w:type="pct"/>
            <w:gridSpan w:val="2"/>
          </w:tcPr>
          <w:p w:rsidR="001058D6" w:rsidRPr="00287BF0" w:rsidRDefault="001058D6" w:rsidP="00154DBC">
            <w:pPr>
              <w:pStyle w:val="tablehead"/>
            </w:pPr>
            <w:r w:rsidRPr="00287BF0">
              <w:rPr>
                <w:rStyle w:val="TextBold"/>
                <w:b/>
              </w:rPr>
              <w:t>Location of watering action</w:t>
            </w:r>
          </w:p>
        </w:tc>
        <w:tc>
          <w:tcPr>
            <w:tcW w:w="1173" w:type="pct"/>
            <w:gridSpan w:val="3"/>
          </w:tcPr>
          <w:p w:rsidR="001058D6" w:rsidRPr="00287BF0" w:rsidRDefault="001058D6" w:rsidP="00154DBC">
            <w:pPr>
              <w:pStyle w:val="tablehead"/>
            </w:pPr>
            <w:r w:rsidRPr="00287BF0">
              <w:rPr>
                <w:rStyle w:val="TextBold"/>
                <w:b/>
              </w:rPr>
              <w:t>Type of action</w:t>
            </w:r>
          </w:p>
        </w:tc>
        <w:tc>
          <w:tcPr>
            <w:tcW w:w="1286"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465"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365" w:type="pct"/>
            <w:vMerge w:val="restart"/>
          </w:tcPr>
          <w:p w:rsidR="001058D6" w:rsidRPr="00287BF0" w:rsidRDefault="001058D6" w:rsidP="00154DBC">
            <w:pPr>
              <w:pStyle w:val="tablehead"/>
            </w:pPr>
            <w:r w:rsidRPr="00287BF0">
              <w:rPr>
                <w:rStyle w:val="TextBold"/>
                <w:b/>
              </w:rPr>
              <w:t>Complex</w:t>
            </w:r>
          </w:p>
        </w:tc>
        <w:tc>
          <w:tcPr>
            <w:tcW w:w="381" w:type="pct"/>
            <w:vMerge w:val="restart"/>
          </w:tcPr>
          <w:p w:rsidR="001058D6" w:rsidRPr="00287BF0" w:rsidRDefault="001058D6" w:rsidP="00154DBC">
            <w:pPr>
              <w:pStyle w:val="tablehead"/>
            </w:pPr>
            <w:r w:rsidRPr="00287BF0">
              <w:rPr>
                <w:rStyle w:val="TextBold"/>
                <w:b/>
              </w:rPr>
              <w:t>Site</w:t>
            </w:r>
          </w:p>
        </w:tc>
        <w:tc>
          <w:tcPr>
            <w:tcW w:w="335" w:type="pct"/>
            <w:vMerge w:val="restart"/>
          </w:tcPr>
          <w:p w:rsidR="001058D6" w:rsidRPr="00287BF0" w:rsidRDefault="001058D6" w:rsidP="00154DBC">
            <w:pPr>
              <w:pStyle w:val="tablehead"/>
            </w:pPr>
            <w:r w:rsidRPr="00287BF0">
              <w:rPr>
                <w:rStyle w:val="TextBold"/>
                <w:b/>
              </w:rPr>
              <w:t>River flows</w:t>
            </w:r>
          </w:p>
        </w:tc>
        <w:tc>
          <w:tcPr>
            <w:tcW w:w="838" w:type="pct"/>
            <w:gridSpan w:val="2"/>
          </w:tcPr>
          <w:p w:rsidR="001058D6" w:rsidRPr="00287BF0" w:rsidRDefault="001058D6" w:rsidP="00154DBC">
            <w:pPr>
              <w:pStyle w:val="tablehead"/>
            </w:pPr>
            <w:r w:rsidRPr="00287BF0">
              <w:rPr>
                <w:rStyle w:val="TextBold"/>
                <w:b/>
              </w:rPr>
              <w:t>Inundation</w:t>
            </w:r>
          </w:p>
        </w:tc>
        <w:tc>
          <w:tcPr>
            <w:tcW w:w="1286"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6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36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8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3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154DBC">
            <w:pPr>
              <w:pStyle w:val="tablehead"/>
            </w:pPr>
            <w:r w:rsidRPr="00287BF0">
              <w:rPr>
                <w:rStyle w:val="TextBold"/>
                <w:b/>
              </w:rPr>
              <w:t>Wetland</w:t>
            </w:r>
          </w:p>
        </w:tc>
        <w:tc>
          <w:tcPr>
            <w:tcW w:w="428" w:type="pct"/>
          </w:tcPr>
          <w:p w:rsidR="001058D6" w:rsidRPr="00287BF0" w:rsidRDefault="001058D6" w:rsidP="00154DBC">
            <w:pPr>
              <w:pStyle w:val="tablehead"/>
            </w:pPr>
            <w:r w:rsidRPr="00287BF0">
              <w:rPr>
                <w:rStyle w:val="TextBold"/>
                <w:b/>
              </w:rPr>
              <w:t>Floodplain</w:t>
            </w:r>
          </w:p>
        </w:tc>
        <w:tc>
          <w:tcPr>
            <w:tcW w:w="1286"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6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1644"/>
        </w:trPr>
        <w:tc>
          <w:tcPr>
            <w:tcW w:w="36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Lachlan</w:t>
            </w:r>
          </w:p>
        </w:tc>
        <w:tc>
          <w:tcPr>
            <w:tcW w:w="38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Lower Lachlan</w:t>
            </w:r>
          </w:p>
        </w:tc>
        <w:tc>
          <w:tcPr>
            <w:tcW w:w="335" w:type="pct"/>
          </w:tcPr>
          <w:p w:rsidR="001058D6" w:rsidRPr="00287BF0" w:rsidRDefault="001058D6" w:rsidP="00154DBC">
            <w:pPr>
              <w:pStyle w:val="tabletext"/>
              <w:spacing w:before="60" w:after="60"/>
              <w:jc w:val="center"/>
              <w:rPr>
                <w:rFonts w:ascii="Arial" w:hAnsi="Arial" w:cs="Arial"/>
                <w:color w:val="auto"/>
              </w:rPr>
            </w:pPr>
            <w:r w:rsidRPr="00C65FEF">
              <w:rPr>
                <w:rFonts w:ascii="Arial" w:hAnsi="Arial" w:cs="Arial"/>
                <w:color w:val="auto"/>
                <w:sz w:val="18"/>
                <w:szCs w:val="18"/>
              </w:rPr>
              <w:t>yes</w:t>
            </w:r>
          </w:p>
        </w:tc>
        <w:tc>
          <w:tcPr>
            <w:tcW w:w="410" w:type="pct"/>
          </w:tcPr>
          <w:p w:rsidR="001058D6" w:rsidRPr="00287BF0" w:rsidRDefault="001058D6" w:rsidP="00154DBC">
            <w:pPr>
              <w:pStyle w:val="tabletext"/>
              <w:spacing w:before="60" w:after="60"/>
              <w:jc w:val="center"/>
              <w:rPr>
                <w:rFonts w:ascii="Arial" w:hAnsi="Arial" w:cs="Arial"/>
                <w:color w:val="auto"/>
              </w:rPr>
            </w:pPr>
            <w:r w:rsidRPr="00C65FEF">
              <w:rPr>
                <w:rFonts w:ascii="Arial" w:hAnsi="Arial" w:cs="Arial"/>
                <w:color w:val="auto"/>
                <w:sz w:val="18"/>
                <w:szCs w:val="18"/>
              </w:rPr>
              <w:t>yes</w:t>
            </w:r>
          </w:p>
        </w:tc>
        <w:tc>
          <w:tcPr>
            <w:tcW w:w="428"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86"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 supporting:</w:t>
            </w:r>
          </w:p>
          <w:p w:rsidR="001058D6" w:rsidRPr="00287BF0" w:rsidRDefault="001058D6" w:rsidP="00154DBC">
            <w:pPr>
              <w:pStyle w:val="tablebullets"/>
              <w:numPr>
                <w:ilvl w:val="0"/>
                <w:numId w:val="24"/>
              </w:numPr>
              <w:spacing w:before="60" w:after="60"/>
              <w:rPr>
                <w:rFonts w:ascii="Arial" w:hAnsi="Arial" w:cs="Arial"/>
                <w:color w:val="auto"/>
              </w:rPr>
            </w:pPr>
            <w:r w:rsidRPr="00287BF0">
              <w:rPr>
                <w:rFonts w:ascii="Arial" w:hAnsi="Arial" w:cs="Arial"/>
                <w:color w:val="auto"/>
              </w:rPr>
              <w:t xml:space="preserve">successful breeding of colonial nesting </w:t>
            </w:r>
            <w:proofErr w:type="spellStart"/>
            <w:r w:rsidRPr="00287BF0">
              <w:rPr>
                <w:rFonts w:ascii="Arial" w:hAnsi="Arial" w:cs="Arial"/>
                <w:color w:val="auto"/>
              </w:rPr>
              <w:t>waterbird</w:t>
            </w:r>
            <w:proofErr w:type="spellEnd"/>
            <w:r w:rsidRPr="00287BF0">
              <w:rPr>
                <w:rFonts w:ascii="Arial" w:hAnsi="Arial" w:cs="Arial"/>
                <w:color w:val="auto"/>
              </w:rPr>
              <w:t xml:space="preserve"> species</w:t>
            </w:r>
          </w:p>
          <w:p w:rsidR="001058D6" w:rsidRPr="00287BF0" w:rsidRDefault="001058D6" w:rsidP="00154DBC">
            <w:pPr>
              <w:pStyle w:val="tablebullets"/>
              <w:numPr>
                <w:ilvl w:val="0"/>
                <w:numId w:val="24"/>
              </w:numPr>
              <w:spacing w:before="60" w:after="60"/>
              <w:rPr>
                <w:rFonts w:ascii="Arial" w:hAnsi="Arial" w:cs="Arial"/>
                <w:color w:val="auto"/>
              </w:rPr>
            </w:pPr>
            <w:proofErr w:type="gramStart"/>
            <w:r w:rsidRPr="00287BF0">
              <w:rPr>
                <w:rFonts w:ascii="Arial" w:hAnsi="Arial" w:cs="Arial"/>
                <w:color w:val="auto"/>
              </w:rPr>
              <w:t>the</w:t>
            </w:r>
            <w:proofErr w:type="gramEnd"/>
            <w:r w:rsidRPr="00287BF0">
              <w:rPr>
                <w:rFonts w:ascii="Arial" w:hAnsi="Arial" w:cs="Arial"/>
                <w:color w:val="auto"/>
              </w:rPr>
              <w:t xml:space="preserve"> habitat requirements of </w:t>
            </w:r>
            <w:proofErr w:type="spellStart"/>
            <w:r w:rsidRPr="00287BF0">
              <w:rPr>
                <w:rFonts w:ascii="Arial" w:hAnsi="Arial" w:cs="Arial"/>
                <w:color w:val="auto"/>
              </w:rPr>
              <w:t>waterbirds</w:t>
            </w:r>
            <w:proofErr w:type="spellEnd"/>
            <w:r w:rsidRPr="00287BF0">
              <w:rPr>
                <w:rFonts w:ascii="Arial" w:hAnsi="Arial" w:cs="Arial"/>
                <w:color w:val="auto"/>
              </w:rPr>
              <w:t>.</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8.05(2)(b)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8.06(3)(b)(ii)</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8.06(5)</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8.07(4)</w:t>
            </w:r>
          </w:p>
        </w:tc>
        <w:tc>
          <w:tcPr>
            <w:tcW w:w="46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October 2012–November</w:t>
            </w:r>
            <w:r w:rsidRPr="00287BF0">
              <w:rPr>
                <w:rFonts w:ascii="Arial" w:hAnsi="Arial" w:cs="Arial"/>
                <w:color w:val="auto"/>
              </w:rPr>
              <w:br/>
              <w:t>2012</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222</w:t>
            </w:r>
          </w:p>
        </w:tc>
      </w:tr>
      <w:tr w:rsidR="001058D6" w:rsidRPr="00287BF0" w:rsidTr="001058D6">
        <w:trPr>
          <w:trHeight w:val="60"/>
        </w:trPr>
        <w:tc>
          <w:tcPr>
            <w:tcW w:w="36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Lachlan</w:t>
            </w:r>
          </w:p>
        </w:tc>
        <w:tc>
          <w:tcPr>
            <w:tcW w:w="38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Lower Lachlan</w:t>
            </w:r>
          </w:p>
        </w:tc>
        <w:tc>
          <w:tcPr>
            <w:tcW w:w="335" w:type="pct"/>
          </w:tcPr>
          <w:p w:rsidR="001058D6" w:rsidRPr="00287BF0" w:rsidRDefault="001058D6" w:rsidP="00154DBC">
            <w:pPr>
              <w:pStyle w:val="tabletext"/>
              <w:spacing w:before="60" w:after="60"/>
              <w:jc w:val="center"/>
              <w:rPr>
                <w:rFonts w:ascii="Arial" w:hAnsi="Arial" w:cs="Arial"/>
                <w:color w:val="auto"/>
              </w:rPr>
            </w:pPr>
            <w:r w:rsidRPr="00E008DF">
              <w:rPr>
                <w:rFonts w:ascii="Arial" w:hAnsi="Arial" w:cs="Arial"/>
                <w:color w:val="auto"/>
                <w:sz w:val="18"/>
                <w:szCs w:val="18"/>
              </w:rPr>
              <w:t>yes</w:t>
            </w:r>
          </w:p>
        </w:tc>
        <w:tc>
          <w:tcPr>
            <w:tcW w:w="410" w:type="pct"/>
          </w:tcPr>
          <w:p w:rsidR="001058D6" w:rsidRPr="00287BF0" w:rsidRDefault="001058D6" w:rsidP="00154DBC">
            <w:pPr>
              <w:pStyle w:val="tabletext"/>
              <w:spacing w:before="60" w:after="60"/>
              <w:jc w:val="center"/>
              <w:rPr>
                <w:rFonts w:ascii="Arial" w:hAnsi="Arial" w:cs="Arial"/>
                <w:color w:val="auto"/>
              </w:rPr>
            </w:pPr>
            <w:r w:rsidRPr="00E008DF">
              <w:rPr>
                <w:rFonts w:ascii="Arial" w:hAnsi="Arial" w:cs="Arial"/>
                <w:color w:val="auto"/>
                <w:sz w:val="18"/>
                <w:szCs w:val="18"/>
              </w:rPr>
              <w:t>yes</w:t>
            </w:r>
          </w:p>
        </w:tc>
        <w:tc>
          <w:tcPr>
            <w:tcW w:w="428" w:type="pct"/>
          </w:tcPr>
          <w:p w:rsidR="001058D6" w:rsidRPr="00287BF0" w:rsidRDefault="001058D6" w:rsidP="00154DBC">
            <w:pPr>
              <w:pStyle w:val="tabletext"/>
              <w:spacing w:before="60" w:after="60"/>
              <w:jc w:val="center"/>
              <w:rPr>
                <w:rFonts w:ascii="Arial" w:hAnsi="Arial" w:cs="Arial"/>
                <w:color w:val="auto"/>
              </w:rPr>
            </w:pPr>
            <w:r w:rsidRPr="00E008DF">
              <w:rPr>
                <w:rFonts w:ascii="Arial" w:hAnsi="Arial" w:cs="Arial"/>
                <w:color w:val="auto"/>
                <w:sz w:val="18"/>
                <w:szCs w:val="18"/>
              </w:rPr>
              <w:t>yes</w:t>
            </w:r>
          </w:p>
        </w:tc>
        <w:tc>
          <w:tcPr>
            <w:tcW w:w="1286"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5"/>
              </w:numPr>
              <w:spacing w:before="60" w:after="60"/>
              <w:rPr>
                <w:rFonts w:ascii="Arial" w:hAnsi="Arial" w:cs="Arial"/>
                <w:color w:val="auto"/>
              </w:rPr>
            </w:pPr>
            <w:r w:rsidRPr="00287BF0">
              <w:rPr>
                <w:rFonts w:ascii="Arial" w:hAnsi="Arial" w:cs="Arial"/>
                <w:color w:val="auto"/>
              </w:rPr>
              <w:t>improving the condition of native plant communities, particularly river red gum communities, lignum stands and reed bed areas, and their ability to undertake many of their natural processes, such as flowering, seeding and germination</w:t>
            </w:r>
          </w:p>
          <w:p w:rsidR="001058D6" w:rsidRPr="00287BF0" w:rsidRDefault="001058D6" w:rsidP="00154DBC">
            <w:pPr>
              <w:pStyle w:val="tablebullets"/>
              <w:numPr>
                <w:ilvl w:val="0"/>
                <w:numId w:val="25"/>
              </w:numPr>
              <w:spacing w:before="60" w:after="60"/>
              <w:rPr>
                <w:rFonts w:ascii="Arial" w:hAnsi="Arial" w:cs="Arial"/>
                <w:color w:val="auto"/>
              </w:rPr>
            </w:pPr>
            <w:r w:rsidRPr="00287BF0">
              <w:rPr>
                <w:rFonts w:ascii="Arial" w:hAnsi="Arial" w:cs="Arial"/>
                <w:color w:val="auto"/>
              </w:rPr>
              <w:t>building resilience in the Lower Lachlan system so that the environment can survive through dry periods and the impacts of drought</w:t>
            </w:r>
          </w:p>
          <w:p w:rsidR="001058D6" w:rsidRPr="00287BF0" w:rsidRDefault="001058D6" w:rsidP="00154DBC">
            <w:pPr>
              <w:pStyle w:val="tablebullets"/>
              <w:numPr>
                <w:ilvl w:val="0"/>
                <w:numId w:val="25"/>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in-stream benefits in the Lachlan River channel and fringing river areas as well as connecting the river to its lakes, creeks and wetlands which provides the opportunity for plants, animals and nutrients to move to new areas.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8.05(2)(a), (b) and (c)</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8.06(2)</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8.06(3)(a), (b)(</w:t>
            </w:r>
            <w:proofErr w:type="spellStart"/>
            <w:r w:rsidRPr="00287BF0">
              <w:rPr>
                <w:rFonts w:ascii="Arial" w:hAnsi="Arial" w:cs="Arial"/>
                <w:color w:val="auto"/>
              </w:rPr>
              <w:t>i</w:t>
            </w:r>
            <w:proofErr w:type="spellEnd"/>
            <w:r w:rsidRPr="00287BF0">
              <w:rPr>
                <w:rFonts w:ascii="Arial" w:hAnsi="Arial" w:cs="Arial"/>
                <w:color w:val="auto"/>
              </w:rPr>
              <w:t xml:space="preserve">) and (f) </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8.07(2) and (3)</w:t>
            </w:r>
          </w:p>
        </w:tc>
        <w:tc>
          <w:tcPr>
            <w:tcW w:w="46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June 2013–ongoing at 30 June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50 837</w:t>
            </w:r>
          </w:p>
        </w:tc>
      </w:tr>
    </w:tbl>
    <w:p w:rsidR="001058D6" w:rsidRPr="00287BF0" w:rsidRDefault="001058D6" w:rsidP="001058D6">
      <w:pPr>
        <w:pStyle w:val="body"/>
        <w:rPr>
          <w:rFonts w:ascii="Arial" w:hAnsi="Arial" w:cs="Arial"/>
          <w:color w:val="auto"/>
        </w:rPr>
      </w:pP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Table A8: Commonwealth environmental watering actions for the Macquarie–</w:t>
      </w:r>
      <w:proofErr w:type="spellStart"/>
      <w:r w:rsidRPr="00287BF0">
        <w:rPr>
          <w:rStyle w:val="TextBold"/>
          <w:rFonts w:cs="Arial"/>
          <w:b/>
          <w:color w:val="auto"/>
        </w:rPr>
        <w:t>Castlereagh</w:t>
      </w:r>
      <w:proofErr w:type="spellEnd"/>
      <w:r w:rsidRPr="00287BF0">
        <w:rPr>
          <w:rStyle w:val="TextBold"/>
          <w:rFonts w:cs="Arial"/>
          <w:b/>
          <w:color w:val="auto"/>
        </w:rPr>
        <w:t xml:space="preserve"> catchment in 2012–13</w:t>
      </w:r>
    </w:p>
    <w:tbl>
      <w:tblPr>
        <w:tblStyle w:val="TableGrid1"/>
        <w:tblW w:w="5000" w:type="pct"/>
        <w:tblLook w:val="0020"/>
      </w:tblPr>
      <w:tblGrid>
        <w:gridCol w:w="1204"/>
        <w:gridCol w:w="1287"/>
        <w:gridCol w:w="938"/>
        <w:gridCol w:w="1213"/>
        <w:gridCol w:w="1505"/>
        <w:gridCol w:w="3398"/>
        <w:gridCol w:w="1943"/>
        <w:gridCol w:w="1310"/>
        <w:gridCol w:w="1990"/>
      </w:tblGrid>
      <w:tr w:rsidR="001058D6" w:rsidRPr="00287BF0" w:rsidTr="001058D6">
        <w:trPr>
          <w:trHeight w:val="60"/>
        </w:trPr>
        <w:tc>
          <w:tcPr>
            <w:tcW w:w="842" w:type="pct"/>
            <w:gridSpan w:val="2"/>
          </w:tcPr>
          <w:p w:rsidR="001058D6" w:rsidRPr="00287BF0" w:rsidRDefault="001058D6" w:rsidP="00154DBC">
            <w:pPr>
              <w:pStyle w:val="tablehead"/>
            </w:pPr>
            <w:r w:rsidRPr="00287BF0">
              <w:rPr>
                <w:rStyle w:val="TextBold"/>
                <w:b/>
              </w:rPr>
              <w:t>Location of watering action</w:t>
            </w:r>
          </w:p>
        </w:tc>
        <w:tc>
          <w:tcPr>
            <w:tcW w:w="1236" w:type="pct"/>
            <w:gridSpan w:val="3"/>
          </w:tcPr>
          <w:p w:rsidR="001058D6" w:rsidRPr="00287BF0" w:rsidRDefault="001058D6" w:rsidP="00154DBC">
            <w:pPr>
              <w:pStyle w:val="tablehead"/>
            </w:pPr>
            <w:r w:rsidRPr="00287BF0">
              <w:rPr>
                <w:rStyle w:val="TextBold"/>
                <w:b/>
              </w:rPr>
              <w:t>Type of action</w:t>
            </w:r>
          </w:p>
        </w:tc>
        <w:tc>
          <w:tcPr>
            <w:tcW w:w="1149"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443"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07" w:type="pct"/>
            <w:vMerge w:val="restart"/>
          </w:tcPr>
          <w:p w:rsidR="001058D6" w:rsidRPr="00287BF0" w:rsidRDefault="001058D6" w:rsidP="00154DBC">
            <w:pPr>
              <w:pStyle w:val="tablehead"/>
            </w:pPr>
            <w:r w:rsidRPr="00287BF0">
              <w:rPr>
                <w:rStyle w:val="TextBold"/>
                <w:b/>
              </w:rPr>
              <w:t>Complex</w:t>
            </w:r>
          </w:p>
        </w:tc>
        <w:tc>
          <w:tcPr>
            <w:tcW w:w="435" w:type="pct"/>
            <w:vMerge w:val="restart"/>
          </w:tcPr>
          <w:p w:rsidR="001058D6" w:rsidRPr="00287BF0" w:rsidRDefault="001058D6" w:rsidP="00154DBC">
            <w:pPr>
              <w:pStyle w:val="tablehead"/>
            </w:pPr>
            <w:r w:rsidRPr="00287BF0">
              <w:rPr>
                <w:rStyle w:val="TextBold"/>
                <w:b/>
              </w:rPr>
              <w:t>Site</w:t>
            </w:r>
          </w:p>
        </w:tc>
        <w:tc>
          <w:tcPr>
            <w:tcW w:w="317" w:type="pct"/>
            <w:vMerge w:val="restart"/>
          </w:tcPr>
          <w:p w:rsidR="001058D6" w:rsidRPr="00287BF0" w:rsidRDefault="001058D6" w:rsidP="00154DBC">
            <w:pPr>
              <w:pStyle w:val="tablehead"/>
            </w:pPr>
            <w:r w:rsidRPr="00287BF0">
              <w:rPr>
                <w:rStyle w:val="TextBold"/>
                <w:b/>
              </w:rPr>
              <w:t>River flows</w:t>
            </w:r>
          </w:p>
        </w:tc>
        <w:tc>
          <w:tcPr>
            <w:tcW w:w="919" w:type="pct"/>
            <w:gridSpan w:val="2"/>
          </w:tcPr>
          <w:p w:rsidR="001058D6" w:rsidRPr="00287BF0" w:rsidRDefault="001058D6" w:rsidP="00154DBC">
            <w:pPr>
              <w:pStyle w:val="tablehead"/>
            </w:pPr>
            <w:r w:rsidRPr="00287BF0">
              <w:rPr>
                <w:rStyle w:val="TextBold"/>
                <w:b/>
              </w:rPr>
              <w:t>Inundation</w:t>
            </w:r>
          </w:p>
        </w:tc>
        <w:tc>
          <w:tcPr>
            <w:tcW w:w="1149"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4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3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1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154DBC">
            <w:pPr>
              <w:pStyle w:val="tablehead"/>
            </w:pPr>
            <w:r w:rsidRPr="00287BF0">
              <w:rPr>
                <w:rStyle w:val="TextBold"/>
                <w:b/>
              </w:rPr>
              <w:t>Wetland</w:t>
            </w:r>
          </w:p>
        </w:tc>
        <w:tc>
          <w:tcPr>
            <w:tcW w:w="509" w:type="pct"/>
          </w:tcPr>
          <w:p w:rsidR="001058D6" w:rsidRPr="00287BF0" w:rsidRDefault="001058D6" w:rsidP="00154DBC">
            <w:pPr>
              <w:pStyle w:val="tablehead"/>
            </w:pPr>
            <w:r w:rsidRPr="00287BF0">
              <w:rPr>
                <w:rStyle w:val="TextBold"/>
                <w:b/>
              </w:rPr>
              <w:t>Floodplain</w:t>
            </w:r>
          </w:p>
        </w:tc>
        <w:tc>
          <w:tcPr>
            <w:tcW w:w="1149"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4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Macquarie</w:t>
            </w:r>
          </w:p>
        </w:tc>
        <w:tc>
          <w:tcPr>
            <w:tcW w:w="43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Macquarie River and Marshes</w:t>
            </w:r>
          </w:p>
        </w:tc>
        <w:tc>
          <w:tcPr>
            <w:tcW w:w="317" w:type="pct"/>
          </w:tcPr>
          <w:p w:rsidR="001058D6" w:rsidRPr="00FE612E" w:rsidRDefault="001058D6" w:rsidP="00154DBC">
            <w:pPr>
              <w:pStyle w:val="NoParagraphStyle"/>
              <w:suppressAutoHyphens/>
              <w:spacing w:before="60" w:after="60" w:line="240" w:lineRule="auto"/>
              <w:jc w:val="center"/>
              <w:textAlignment w:val="auto"/>
              <w:rPr>
                <w:lang w:val="en-US"/>
              </w:rPr>
            </w:pPr>
            <w:r>
              <w:rPr>
                <w:rFonts w:ascii="Arial" w:hAnsi="Arial" w:cs="Arial"/>
                <w:color w:val="auto"/>
                <w:sz w:val="18"/>
                <w:szCs w:val="18"/>
              </w:rPr>
              <w:t>n/a</w:t>
            </w:r>
          </w:p>
        </w:tc>
        <w:tc>
          <w:tcPr>
            <w:tcW w:w="410" w:type="pct"/>
          </w:tcPr>
          <w:p w:rsidR="001058D6" w:rsidRPr="00287BF0" w:rsidRDefault="001058D6" w:rsidP="00154DBC">
            <w:pPr>
              <w:pStyle w:val="tabletext"/>
              <w:spacing w:before="60" w:after="60"/>
              <w:jc w:val="center"/>
              <w:rPr>
                <w:rFonts w:ascii="Arial" w:hAnsi="Arial" w:cs="Arial"/>
                <w:color w:val="auto"/>
              </w:rPr>
            </w:pPr>
            <w:r w:rsidRPr="00FD4F61">
              <w:rPr>
                <w:rFonts w:ascii="Arial" w:hAnsi="Arial" w:cs="Arial"/>
                <w:color w:val="auto"/>
                <w:sz w:val="18"/>
                <w:szCs w:val="18"/>
              </w:rPr>
              <w:t>yes</w:t>
            </w:r>
          </w:p>
        </w:tc>
        <w:tc>
          <w:tcPr>
            <w:tcW w:w="509"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149"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6"/>
              </w:numPr>
              <w:spacing w:before="60" w:after="60"/>
              <w:rPr>
                <w:rFonts w:ascii="Arial" w:hAnsi="Arial" w:cs="Arial"/>
                <w:color w:val="auto"/>
              </w:rPr>
            </w:pPr>
            <w:r w:rsidRPr="00287BF0">
              <w:rPr>
                <w:rFonts w:ascii="Arial" w:hAnsi="Arial" w:cs="Arial"/>
                <w:color w:val="auto"/>
              </w:rPr>
              <w:t xml:space="preserve">maintaining adequate water levels across approximately </w:t>
            </w:r>
            <w:r w:rsidRPr="00287BF0">
              <w:rPr>
                <w:rFonts w:ascii="Arial" w:hAnsi="Arial" w:cs="Arial"/>
                <w:color w:val="auto"/>
              </w:rPr>
              <w:br/>
              <w:t xml:space="preserve">50 000 hectares of native wetland plant communities, including river red gums, to contribute to the ongoing regeneration of these communities that, in turn, provide habitat for many native animals </w:t>
            </w:r>
          </w:p>
          <w:p w:rsidR="001058D6" w:rsidRPr="00287BF0" w:rsidRDefault="001058D6" w:rsidP="00154DBC">
            <w:pPr>
              <w:pStyle w:val="tablebullets"/>
              <w:numPr>
                <w:ilvl w:val="0"/>
                <w:numId w:val="26"/>
              </w:numPr>
              <w:spacing w:before="60" w:after="60"/>
              <w:rPr>
                <w:rFonts w:ascii="Arial" w:hAnsi="Arial" w:cs="Arial"/>
                <w:color w:val="auto"/>
              </w:rPr>
            </w:pPr>
            <w:r w:rsidRPr="00287BF0">
              <w:rPr>
                <w:rFonts w:ascii="Arial" w:hAnsi="Arial" w:cs="Arial"/>
                <w:color w:val="auto"/>
              </w:rPr>
              <w:t xml:space="preserve">restoring the marshes, which are recognised as a wetland of international importance </w:t>
            </w:r>
          </w:p>
          <w:p w:rsidR="001058D6" w:rsidRPr="00287BF0" w:rsidRDefault="001058D6" w:rsidP="00154DBC">
            <w:pPr>
              <w:pStyle w:val="tablebullets"/>
              <w:numPr>
                <w:ilvl w:val="0"/>
                <w:numId w:val="26"/>
              </w:numPr>
              <w:spacing w:before="60" w:after="60"/>
              <w:rPr>
                <w:rFonts w:ascii="Arial" w:hAnsi="Arial" w:cs="Arial"/>
                <w:color w:val="auto"/>
              </w:rPr>
            </w:pPr>
            <w:r w:rsidRPr="00287BF0">
              <w:rPr>
                <w:rFonts w:ascii="Arial" w:hAnsi="Arial" w:cs="Arial"/>
                <w:color w:val="auto"/>
              </w:rPr>
              <w:t xml:space="preserve">maintaining the connection of low-lying water courses on the floodplain to improve water quality and allow native plants and animals to move between different areas </w:t>
            </w:r>
          </w:p>
          <w:p w:rsidR="001058D6" w:rsidRPr="00287BF0" w:rsidRDefault="001058D6" w:rsidP="00154DBC">
            <w:pPr>
              <w:pStyle w:val="tablebullets"/>
              <w:numPr>
                <w:ilvl w:val="0"/>
                <w:numId w:val="26"/>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the type of flow required to support the habitat needs and breeding sites of migratory shorebirds and </w:t>
            </w:r>
            <w:proofErr w:type="spellStart"/>
            <w:r w:rsidRPr="00287BF0">
              <w:rPr>
                <w:rFonts w:ascii="Arial" w:hAnsi="Arial" w:cs="Arial"/>
                <w:color w:val="auto"/>
              </w:rPr>
              <w:t>waterbirds</w:t>
            </w:r>
            <w:proofErr w:type="spellEnd"/>
            <w:r w:rsidRPr="00287BF0">
              <w:rPr>
                <w:rFonts w:ascii="Arial" w:hAnsi="Arial" w:cs="Arial"/>
                <w:color w:val="auto"/>
              </w:rPr>
              <w:t xml:space="preserve"> such as glossy ibis, Australian white ibis, straw-necked ibis, intermediate egrets and </w:t>
            </w:r>
            <w:proofErr w:type="spellStart"/>
            <w:r w:rsidRPr="00287BF0">
              <w:rPr>
                <w:rFonts w:ascii="Arial" w:hAnsi="Arial" w:cs="Arial"/>
                <w:color w:val="auto"/>
              </w:rPr>
              <w:t>rufus</w:t>
            </w:r>
            <w:proofErr w:type="spellEnd"/>
            <w:r w:rsidRPr="00287BF0">
              <w:rPr>
                <w:rFonts w:ascii="Arial" w:hAnsi="Arial" w:cs="Arial"/>
                <w:color w:val="auto"/>
              </w:rPr>
              <w:t xml:space="preserve"> night herons. </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8.05(2)(a)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xml:space="preserve">) and (ii) </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8.06(6)(b)</w:t>
            </w:r>
          </w:p>
          <w:p w:rsidR="001058D6" w:rsidRPr="00287BF0" w:rsidRDefault="001058D6" w:rsidP="00154DBC">
            <w:pPr>
              <w:pStyle w:val="tabletext"/>
              <w:spacing w:before="60" w:after="60"/>
              <w:rPr>
                <w:rFonts w:ascii="Arial" w:hAnsi="Arial" w:cs="Arial"/>
                <w:color w:val="auto"/>
              </w:rPr>
            </w:pPr>
          </w:p>
        </w:tc>
        <w:tc>
          <w:tcPr>
            <w:tcW w:w="44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November 2012–January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sz w:val="18"/>
                <w:szCs w:val="18"/>
              </w:rPr>
              <w:t>100 000</w:t>
            </w:r>
          </w:p>
        </w:tc>
      </w:tr>
    </w:tbl>
    <w:p w:rsidR="001058D6" w:rsidRPr="00287BF0" w:rsidRDefault="001058D6" w:rsidP="001058D6">
      <w:pPr>
        <w:pStyle w:val="body"/>
        <w:rPr>
          <w:rFonts w:ascii="Arial" w:hAnsi="Arial" w:cs="Arial"/>
          <w:color w:val="auto"/>
        </w:rPr>
      </w:pPr>
    </w:p>
    <w:p w:rsidR="001058D6" w:rsidRPr="00287BF0" w:rsidRDefault="001058D6" w:rsidP="001058D6">
      <w:pPr>
        <w:pStyle w:val="body"/>
        <w:rPr>
          <w:rStyle w:val="TextBold"/>
          <w:rFonts w:ascii="Arial" w:hAnsi="Arial" w:cs="Arial"/>
          <w:bCs/>
          <w:color w:val="auto"/>
        </w:rPr>
      </w:pPr>
    </w:p>
    <w:p w:rsidR="001058D6" w:rsidRDefault="001058D6" w:rsidP="001058D6">
      <w:pPr>
        <w:suppressAutoHyphens/>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Table A9: Commonwealth environmental watering actions for the Moonie catchment in 2012–13</w:t>
      </w:r>
    </w:p>
    <w:tbl>
      <w:tblPr>
        <w:tblStyle w:val="TableGrid1"/>
        <w:tblW w:w="5000" w:type="pct"/>
        <w:tblLook w:val="0020"/>
      </w:tblPr>
      <w:tblGrid>
        <w:gridCol w:w="1192"/>
        <w:gridCol w:w="1414"/>
        <w:gridCol w:w="1124"/>
        <w:gridCol w:w="1213"/>
        <w:gridCol w:w="1251"/>
        <w:gridCol w:w="3475"/>
        <w:gridCol w:w="1943"/>
        <w:gridCol w:w="1186"/>
        <w:gridCol w:w="1990"/>
      </w:tblGrid>
      <w:tr w:rsidR="001058D6" w:rsidRPr="00287BF0" w:rsidTr="001058D6">
        <w:trPr>
          <w:trHeight w:val="60"/>
        </w:trPr>
        <w:tc>
          <w:tcPr>
            <w:tcW w:w="881" w:type="pct"/>
            <w:gridSpan w:val="2"/>
          </w:tcPr>
          <w:p w:rsidR="001058D6" w:rsidRPr="00287BF0" w:rsidRDefault="001058D6" w:rsidP="00154DBC">
            <w:pPr>
              <w:pStyle w:val="tablehead"/>
            </w:pPr>
            <w:r w:rsidRPr="00287BF0">
              <w:rPr>
                <w:rStyle w:val="TextBold"/>
                <w:b/>
              </w:rPr>
              <w:t>Location of watering action</w:t>
            </w:r>
          </w:p>
        </w:tc>
        <w:tc>
          <w:tcPr>
            <w:tcW w:w="1213" w:type="pct"/>
            <w:gridSpan w:val="3"/>
          </w:tcPr>
          <w:p w:rsidR="001058D6" w:rsidRPr="00287BF0" w:rsidRDefault="001058D6" w:rsidP="00154DBC">
            <w:pPr>
              <w:pStyle w:val="tablehead"/>
            </w:pPr>
            <w:r w:rsidRPr="00287BF0">
              <w:rPr>
                <w:rStyle w:val="TextBold"/>
                <w:b/>
              </w:rPr>
              <w:t>Type of action</w:t>
            </w:r>
          </w:p>
        </w:tc>
        <w:tc>
          <w:tcPr>
            <w:tcW w:w="1175"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401"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03" w:type="pct"/>
            <w:vMerge w:val="restart"/>
          </w:tcPr>
          <w:p w:rsidR="001058D6" w:rsidRPr="00287BF0" w:rsidRDefault="001058D6" w:rsidP="00154DBC">
            <w:pPr>
              <w:pStyle w:val="tablehead"/>
            </w:pPr>
            <w:r w:rsidRPr="00287BF0">
              <w:rPr>
                <w:rStyle w:val="TextBold"/>
                <w:b/>
              </w:rPr>
              <w:t>Complex</w:t>
            </w:r>
          </w:p>
        </w:tc>
        <w:tc>
          <w:tcPr>
            <w:tcW w:w="477" w:type="pct"/>
            <w:vMerge w:val="restart"/>
          </w:tcPr>
          <w:p w:rsidR="001058D6" w:rsidRPr="00287BF0" w:rsidRDefault="001058D6" w:rsidP="00154DBC">
            <w:pPr>
              <w:pStyle w:val="tablehead"/>
            </w:pPr>
            <w:r w:rsidRPr="00287BF0">
              <w:rPr>
                <w:rStyle w:val="TextBold"/>
                <w:b/>
              </w:rPr>
              <w:t>Site</w:t>
            </w:r>
          </w:p>
        </w:tc>
        <w:tc>
          <w:tcPr>
            <w:tcW w:w="380" w:type="pct"/>
            <w:vMerge w:val="restart"/>
          </w:tcPr>
          <w:p w:rsidR="001058D6" w:rsidRPr="00287BF0" w:rsidRDefault="001058D6" w:rsidP="00154DBC">
            <w:pPr>
              <w:pStyle w:val="tablehead"/>
            </w:pPr>
            <w:r w:rsidRPr="00287BF0">
              <w:rPr>
                <w:rStyle w:val="TextBold"/>
                <w:b/>
              </w:rPr>
              <w:t>River flows</w:t>
            </w:r>
          </w:p>
        </w:tc>
        <w:tc>
          <w:tcPr>
            <w:tcW w:w="833" w:type="pct"/>
            <w:gridSpan w:val="2"/>
          </w:tcPr>
          <w:p w:rsidR="001058D6" w:rsidRPr="00287BF0" w:rsidRDefault="001058D6" w:rsidP="00154DBC">
            <w:pPr>
              <w:pStyle w:val="tablehead"/>
            </w:pPr>
            <w:r w:rsidRPr="00287BF0">
              <w:rPr>
                <w:rStyle w:val="TextBold"/>
                <w:b/>
              </w:rPr>
              <w:t>Inundation</w:t>
            </w:r>
          </w:p>
        </w:tc>
        <w:tc>
          <w:tcPr>
            <w:tcW w:w="117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0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7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80"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154DBC">
            <w:pPr>
              <w:pStyle w:val="tablehead"/>
            </w:pPr>
            <w:r w:rsidRPr="00287BF0">
              <w:rPr>
                <w:rStyle w:val="TextBold"/>
                <w:b/>
              </w:rPr>
              <w:t>Wetland</w:t>
            </w:r>
          </w:p>
        </w:tc>
        <w:tc>
          <w:tcPr>
            <w:tcW w:w="423" w:type="pct"/>
          </w:tcPr>
          <w:p w:rsidR="001058D6" w:rsidRPr="00287BF0" w:rsidRDefault="001058D6" w:rsidP="00154DBC">
            <w:pPr>
              <w:pStyle w:val="tablehead"/>
            </w:pPr>
            <w:r w:rsidRPr="00287BF0">
              <w:rPr>
                <w:rStyle w:val="TextBold"/>
                <w:b/>
              </w:rPr>
              <w:t>Floodplain</w:t>
            </w:r>
          </w:p>
        </w:tc>
        <w:tc>
          <w:tcPr>
            <w:tcW w:w="117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0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980"/>
        </w:trPr>
        <w:tc>
          <w:tcPr>
            <w:tcW w:w="40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Moonie River</w:t>
            </w:r>
          </w:p>
        </w:tc>
        <w:tc>
          <w:tcPr>
            <w:tcW w:w="47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Moonie River unregulated</w:t>
            </w:r>
          </w:p>
        </w:tc>
        <w:tc>
          <w:tcPr>
            <w:tcW w:w="380"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3"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17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 a more naturally variable flow regime that supports key ecosystem functions.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tc>
        <w:tc>
          <w:tcPr>
            <w:tcW w:w="40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January 2013–</w:t>
            </w:r>
            <w:r w:rsidRPr="00287BF0">
              <w:rPr>
                <w:rFonts w:ascii="Arial" w:hAnsi="Arial" w:cs="Arial"/>
                <w:color w:val="auto"/>
                <w:spacing w:val="-3"/>
              </w:rPr>
              <w:t>February</w:t>
            </w:r>
            <w:r w:rsidRPr="00287BF0">
              <w:rPr>
                <w:rFonts w:ascii="Arial" w:hAnsi="Arial" w:cs="Arial"/>
                <w:color w:val="auto"/>
                <w:spacing w:val="-3"/>
              </w:rPr>
              <w:br/>
              <w:t>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1415</w:t>
            </w:r>
          </w:p>
        </w:tc>
      </w:tr>
    </w:tbl>
    <w:p w:rsidR="001058D6" w:rsidRPr="00287BF0" w:rsidRDefault="001058D6" w:rsidP="001058D6">
      <w:pPr>
        <w:pStyle w:val="body"/>
        <w:rPr>
          <w:rFonts w:ascii="Arial" w:hAnsi="Arial" w:cs="Arial"/>
          <w:color w:val="auto"/>
        </w:rPr>
      </w:pPr>
    </w:p>
    <w:p w:rsidR="001058D6" w:rsidRPr="00287BF0" w:rsidRDefault="001058D6" w:rsidP="007B2F2F">
      <w:pPr>
        <w:pStyle w:val="figureheading"/>
        <w:rPr>
          <w:rStyle w:val="TextBold"/>
          <w:rFonts w:cs="Arial"/>
          <w:b/>
          <w:color w:val="auto"/>
        </w:rPr>
      </w:pPr>
      <w:r w:rsidRPr="00287BF0">
        <w:rPr>
          <w:rStyle w:val="TextBold"/>
          <w:rFonts w:cs="Arial"/>
          <w:b/>
          <w:color w:val="auto"/>
        </w:rPr>
        <w:t xml:space="preserve">Table A10: Commonwealth environmental watering actions for the </w:t>
      </w:r>
      <w:proofErr w:type="spellStart"/>
      <w:r w:rsidRPr="00287BF0">
        <w:rPr>
          <w:rStyle w:val="TextBold"/>
          <w:rFonts w:cs="Arial"/>
          <w:b/>
          <w:color w:val="auto"/>
        </w:rPr>
        <w:t>Namoi</w:t>
      </w:r>
      <w:proofErr w:type="spellEnd"/>
      <w:r w:rsidRPr="00287BF0">
        <w:rPr>
          <w:rStyle w:val="TextBold"/>
          <w:rFonts w:cs="Arial"/>
          <w:b/>
          <w:color w:val="auto"/>
        </w:rPr>
        <w:t xml:space="preserve"> catchment in 2012–13</w:t>
      </w:r>
    </w:p>
    <w:tbl>
      <w:tblPr>
        <w:tblStyle w:val="TableGrid1"/>
        <w:tblW w:w="5000" w:type="pct"/>
        <w:tblLook w:val="0020"/>
      </w:tblPr>
      <w:tblGrid>
        <w:gridCol w:w="1215"/>
        <w:gridCol w:w="1357"/>
        <w:gridCol w:w="1148"/>
        <w:gridCol w:w="1213"/>
        <w:gridCol w:w="1245"/>
        <w:gridCol w:w="3443"/>
        <w:gridCol w:w="1943"/>
        <w:gridCol w:w="1236"/>
        <w:gridCol w:w="1988"/>
      </w:tblGrid>
      <w:tr w:rsidR="001058D6" w:rsidRPr="00287BF0" w:rsidTr="001058D6">
        <w:trPr>
          <w:trHeight w:val="60"/>
        </w:trPr>
        <w:tc>
          <w:tcPr>
            <w:tcW w:w="869" w:type="pct"/>
            <w:gridSpan w:val="2"/>
          </w:tcPr>
          <w:p w:rsidR="001058D6" w:rsidRPr="00287BF0" w:rsidRDefault="001058D6" w:rsidP="00154DBC">
            <w:pPr>
              <w:pStyle w:val="tablehead"/>
            </w:pPr>
            <w:r w:rsidRPr="00287BF0">
              <w:rPr>
                <w:rStyle w:val="TextBold"/>
                <w:b/>
              </w:rPr>
              <w:t>Location of watering action</w:t>
            </w:r>
          </w:p>
        </w:tc>
        <w:tc>
          <w:tcPr>
            <w:tcW w:w="1219" w:type="pct"/>
            <w:gridSpan w:val="3"/>
          </w:tcPr>
          <w:p w:rsidR="001058D6" w:rsidRPr="00287BF0" w:rsidRDefault="001058D6" w:rsidP="00154DBC">
            <w:pPr>
              <w:pStyle w:val="tablehead"/>
            </w:pPr>
            <w:r w:rsidRPr="00287BF0">
              <w:rPr>
                <w:rStyle w:val="TextBold"/>
                <w:b/>
              </w:rPr>
              <w:t>Type of action</w:t>
            </w:r>
          </w:p>
        </w:tc>
        <w:tc>
          <w:tcPr>
            <w:tcW w:w="1164"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418"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11" w:type="pct"/>
            <w:vMerge w:val="restart"/>
          </w:tcPr>
          <w:p w:rsidR="001058D6" w:rsidRPr="00287BF0" w:rsidRDefault="001058D6" w:rsidP="00154DBC">
            <w:pPr>
              <w:pStyle w:val="tablehead"/>
            </w:pPr>
            <w:r w:rsidRPr="00287BF0">
              <w:rPr>
                <w:rStyle w:val="TextBold"/>
                <w:b/>
              </w:rPr>
              <w:t>Complex</w:t>
            </w:r>
          </w:p>
        </w:tc>
        <w:tc>
          <w:tcPr>
            <w:tcW w:w="459" w:type="pct"/>
            <w:vMerge w:val="restart"/>
          </w:tcPr>
          <w:p w:rsidR="001058D6" w:rsidRPr="00287BF0" w:rsidRDefault="001058D6" w:rsidP="00154DBC">
            <w:pPr>
              <w:pStyle w:val="tablehead"/>
            </w:pPr>
            <w:r w:rsidRPr="00287BF0">
              <w:rPr>
                <w:rStyle w:val="TextBold"/>
                <w:b/>
              </w:rPr>
              <w:t>Site</w:t>
            </w:r>
          </w:p>
        </w:tc>
        <w:tc>
          <w:tcPr>
            <w:tcW w:w="388" w:type="pct"/>
            <w:vMerge w:val="restart"/>
          </w:tcPr>
          <w:p w:rsidR="001058D6" w:rsidRPr="00287BF0" w:rsidRDefault="001058D6" w:rsidP="00154DBC">
            <w:pPr>
              <w:pStyle w:val="tablehead"/>
            </w:pPr>
            <w:r w:rsidRPr="00287BF0">
              <w:rPr>
                <w:rStyle w:val="TextBold"/>
                <w:b/>
              </w:rPr>
              <w:t>River flows</w:t>
            </w:r>
          </w:p>
        </w:tc>
        <w:tc>
          <w:tcPr>
            <w:tcW w:w="831" w:type="pct"/>
            <w:gridSpan w:val="2"/>
          </w:tcPr>
          <w:p w:rsidR="001058D6" w:rsidRPr="00287BF0" w:rsidRDefault="001058D6" w:rsidP="00154DBC">
            <w:pPr>
              <w:pStyle w:val="tablehead"/>
            </w:pPr>
            <w:r w:rsidRPr="00287BF0">
              <w:rPr>
                <w:rStyle w:val="TextBold"/>
                <w:b/>
              </w:rPr>
              <w:t>Inundation</w:t>
            </w:r>
          </w:p>
        </w:tc>
        <w:tc>
          <w:tcPr>
            <w:tcW w:w="1164"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8"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1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59"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88"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154DBC">
            <w:pPr>
              <w:pStyle w:val="tablehead"/>
            </w:pPr>
            <w:r w:rsidRPr="00287BF0">
              <w:rPr>
                <w:rStyle w:val="TextBold"/>
                <w:b/>
              </w:rPr>
              <w:t>Wetland</w:t>
            </w:r>
          </w:p>
        </w:tc>
        <w:tc>
          <w:tcPr>
            <w:tcW w:w="421" w:type="pct"/>
          </w:tcPr>
          <w:p w:rsidR="001058D6" w:rsidRPr="00287BF0" w:rsidRDefault="001058D6" w:rsidP="00154DBC">
            <w:pPr>
              <w:pStyle w:val="tablehead"/>
            </w:pPr>
            <w:r w:rsidRPr="00287BF0">
              <w:rPr>
                <w:rStyle w:val="TextBold"/>
                <w:b/>
              </w:rPr>
              <w:t>Floodplain</w:t>
            </w:r>
          </w:p>
        </w:tc>
        <w:tc>
          <w:tcPr>
            <w:tcW w:w="1164"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8"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11"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Namoi</w:t>
            </w:r>
            <w:proofErr w:type="spellEnd"/>
            <w:r w:rsidRPr="00287BF0">
              <w:rPr>
                <w:rFonts w:ascii="Arial" w:hAnsi="Arial" w:cs="Arial"/>
                <w:color w:val="auto"/>
              </w:rPr>
              <w:t xml:space="preserve"> River</w:t>
            </w:r>
          </w:p>
        </w:tc>
        <w:tc>
          <w:tcPr>
            <w:tcW w:w="459"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Lower </w:t>
            </w:r>
            <w:proofErr w:type="spellStart"/>
            <w:r w:rsidRPr="00287BF0">
              <w:rPr>
                <w:rFonts w:ascii="Arial" w:hAnsi="Arial" w:cs="Arial"/>
                <w:color w:val="auto"/>
              </w:rPr>
              <w:t>Namoi</w:t>
            </w:r>
            <w:proofErr w:type="spellEnd"/>
            <w:r w:rsidRPr="00287BF0">
              <w:rPr>
                <w:rFonts w:ascii="Arial" w:hAnsi="Arial" w:cs="Arial"/>
                <w:color w:val="auto"/>
              </w:rPr>
              <w:t xml:space="preserve"> River</w:t>
            </w:r>
          </w:p>
        </w:tc>
        <w:tc>
          <w:tcPr>
            <w:tcW w:w="388"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154DBC">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164"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7"/>
              </w:numPr>
              <w:spacing w:before="60" w:after="60"/>
              <w:rPr>
                <w:rFonts w:ascii="Arial" w:hAnsi="Arial" w:cs="Arial"/>
                <w:color w:val="auto"/>
              </w:rPr>
            </w:pPr>
            <w:r w:rsidRPr="00287BF0">
              <w:rPr>
                <w:rFonts w:ascii="Arial" w:hAnsi="Arial" w:cs="Arial"/>
                <w:color w:val="auto"/>
              </w:rPr>
              <w:t xml:space="preserve">inundating in-channel habitat associated with riffles, pools </w:t>
            </w:r>
            <w:r w:rsidRPr="00287BF0">
              <w:rPr>
                <w:rFonts w:ascii="Arial" w:hAnsi="Arial" w:cs="Arial"/>
                <w:color w:val="auto"/>
              </w:rPr>
              <w:br/>
              <w:t>and bars</w:t>
            </w:r>
          </w:p>
          <w:p w:rsidR="001058D6" w:rsidRPr="00287BF0" w:rsidRDefault="001058D6" w:rsidP="00154DBC">
            <w:pPr>
              <w:pStyle w:val="tablebullets"/>
              <w:numPr>
                <w:ilvl w:val="0"/>
                <w:numId w:val="27"/>
              </w:numPr>
              <w:spacing w:before="60" w:after="60"/>
              <w:rPr>
                <w:rFonts w:ascii="Arial" w:hAnsi="Arial" w:cs="Arial"/>
                <w:color w:val="auto"/>
              </w:rPr>
            </w:pPr>
            <w:r w:rsidRPr="00287BF0">
              <w:rPr>
                <w:rFonts w:ascii="Arial" w:hAnsi="Arial" w:cs="Arial"/>
                <w:color w:val="auto"/>
              </w:rPr>
              <w:t>maintaining water quality and carbon/nutrient cycling processes</w:t>
            </w:r>
          </w:p>
          <w:p w:rsidR="001058D6" w:rsidRPr="00287BF0" w:rsidRDefault="001058D6" w:rsidP="00154DBC">
            <w:pPr>
              <w:pStyle w:val="tablebullets"/>
              <w:numPr>
                <w:ilvl w:val="0"/>
                <w:numId w:val="27"/>
              </w:numPr>
              <w:spacing w:before="60" w:after="60"/>
              <w:rPr>
                <w:rFonts w:ascii="Arial" w:hAnsi="Arial" w:cs="Arial"/>
                <w:color w:val="auto"/>
              </w:rPr>
            </w:pPr>
            <w:proofErr w:type="gramStart"/>
            <w:r w:rsidRPr="00287BF0">
              <w:rPr>
                <w:rFonts w:ascii="Arial" w:hAnsi="Arial" w:cs="Arial"/>
                <w:color w:val="auto"/>
              </w:rPr>
              <w:t>supporting</w:t>
            </w:r>
            <w:proofErr w:type="gramEnd"/>
            <w:r w:rsidRPr="00287BF0">
              <w:rPr>
                <w:rFonts w:ascii="Arial" w:hAnsi="Arial" w:cs="Arial"/>
                <w:color w:val="auto"/>
              </w:rPr>
              <w:t xml:space="preserve"> the abundance and diversity of native plants and animals (including fish, turtles and invertebrates) by providing them with opportunities to access a range of habitats for sheltering, migration, feeding and breeding.</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tc>
        <w:tc>
          <w:tcPr>
            <w:tcW w:w="418"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November 2012–February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7727</w:t>
            </w:r>
          </w:p>
        </w:tc>
      </w:tr>
    </w:tbl>
    <w:p w:rsidR="001058D6" w:rsidRDefault="001058D6" w:rsidP="007B2F2F">
      <w:pPr>
        <w:pStyle w:val="figureheading"/>
        <w:rPr>
          <w:rStyle w:val="TextBold"/>
          <w:rFonts w:cs="Arial"/>
          <w:b/>
          <w:color w:val="auto"/>
        </w:rPr>
      </w:pPr>
    </w:p>
    <w:p w:rsidR="001058D6" w:rsidRDefault="001058D6" w:rsidP="001058D6">
      <w:pPr>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 xml:space="preserve">Table A11: Commonwealth environmental watering actions for the Broken, </w:t>
      </w:r>
      <w:proofErr w:type="spellStart"/>
      <w:r w:rsidRPr="00287BF0">
        <w:rPr>
          <w:rStyle w:val="TextBold"/>
          <w:rFonts w:cs="Arial"/>
          <w:b/>
          <w:color w:val="auto"/>
        </w:rPr>
        <w:t>Campaspe</w:t>
      </w:r>
      <w:proofErr w:type="spellEnd"/>
      <w:r w:rsidRPr="00287BF0">
        <w:rPr>
          <w:rStyle w:val="TextBold"/>
          <w:rFonts w:cs="Arial"/>
          <w:b/>
          <w:color w:val="auto"/>
        </w:rPr>
        <w:t xml:space="preserve">, </w:t>
      </w:r>
      <w:proofErr w:type="spellStart"/>
      <w:r w:rsidRPr="00287BF0">
        <w:rPr>
          <w:rStyle w:val="TextBold"/>
          <w:rFonts w:cs="Arial"/>
          <w:b/>
          <w:color w:val="auto"/>
        </w:rPr>
        <w:t>Goulburn</w:t>
      </w:r>
      <w:proofErr w:type="spellEnd"/>
      <w:r w:rsidRPr="00287BF0">
        <w:rPr>
          <w:rStyle w:val="TextBold"/>
          <w:rFonts w:cs="Arial"/>
          <w:b/>
          <w:color w:val="auto"/>
        </w:rPr>
        <w:t xml:space="preserve">, </w:t>
      </w:r>
      <w:proofErr w:type="spellStart"/>
      <w:r w:rsidRPr="00287BF0">
        <w:rPr>
          <w:rStyle w:val="TextBold"/>
          <w:rFonts w:cs="Arial"/>
          <w:b/>
          <w:color w:val="auto"/>
        </w:rPr>
        <w:t>Loddon</w:t>
      </w:r>
      <w:proofErr w:type="spellEnd"/>
      <w:r w:rsidRPr="00287BF0">
        <w:rPr>
          <w:rStyle w:val="TextBold"/>
          <w:rFonts w:cs="Arial"/>
          <w:b/>
          <w:color w:val="auto"/>
        </w:rPr>
        <w:t>, and Ovens catchments in 2012–13</w:t>
      </w:r>
    </w:p>
    <w:tbl>
      <w:tblPr>
        <w:tblStyle w:val="TableGrid1"/>
        <w:tblW w:w="5000" w:type="pct"/>
        <w:tblLook w:val="0020"/>
      </w:tblPr>
      <w:tblGrid>
        <w:gridCol w:w="1198"/>
        <w:gridCol w:w="1192"/>
        <w:gridCol w:w="938"/>
        <w:gridCol w:w="1213"/>
        <w:gridCol w:w="1245"/>
        <w:gridCol w:w="3913"/>
        <w:gridCol w:w="1943"/>
        <w:gridCol w:w="1156"/>
        <w:gridCol w:w="1990"/>
      </w:tblGrid>
      <w:tr w:rsidR="001058D6" w:rsidRPr="00287BF0" w:rsidTr="001058D6">
        <w:trPr>
          <w:trHeight w:val="60"/>
        </w:trPr>
        <w:tc>
          <w:tcPr>
            <w:tcW w:w="808" w:type="pct"/>
            <w:gridSpan w:val="2"/>
          </w:tcPr>
          <w:p w:rsidR="001058D6" w:rsidRPr="00287BF0" w:rsidRDefault="001058D6" w:rsidP="00154DBC">
            <w:pPr>
              <w:pStyle w:val="tablehead"/>
            </w:pPr>
            <w:r w:rsidRPr="00287BF0">
              <w:rPr>
                <w:rStyle w:val="TextBold"/>
                <w:b/>
              </w:rPr>
              <w:t>Location of watering action</w:t>
            </w:r>
          </w:p>
        </w:tc>
        <w:tc>
          <w:tcPr>
            <w:tcW w:w="1148" w:type="pct"/>
            <w:gridSpan w:val="3"/>
          </w:tcPr>
          <w:p w:rsidR="001058D6" w:rsidRPr="00287BF0" w:rsidRDefault="001058D6" w:rsidP="00154DBC">
            <w:pPr>
              <w:pStyle w:val="tablehead"/>
            </w:pPr>
            <w:r w:rsidRPr="00287BF0">
              <w:rPr>
                <w:rStyle w:val="TextBold"/>
                <w:b/>
              </w:rPr>
              <w:t>Type of action</w:t>
            </w:r>
          </w:p>
        </w:tc>
        <w:tc>
          <w:tcPr>
            <w:tcW w:w="1323" w:type="pct"/>
            <w:vMerge w:val="restart"/>
          </w:tcPr>
          <w:p w:rsidR="001058D6" w:rsidRPr="00287BF0" w:rsidRDefault="001058D6" w:rsidP="00154DBC">
            <w:pPr>
              <w:pStyle w:val="tablehead"/>
            </w:pPr>
            <w:r w:rsidRPr="00287BF0">
              <w:rPr>
                <w:rStyle w:val="TextBold"/>
                <w:b/>
              </w:rPr>
              <w:t>Expected environmental outcome(s) of watering action</w:t>
            </w:r>
          </w:p>
        </w:tc>
        <w:tc>
          <w:tcPr>
            <w:tcW w:w="657" w:type="pct"/>
            <w:vMerge w:val="restart"/>
          </w:tcPr>
          <w:p w:rsidR="001058D6" w:rsidRPr="00287BF0" w:rsidRDefault="001058D6" w:rsidP="00154DBC">
            <w:pPr>
              <w:pStyle w:val="tablehead"/>
            </w:pPr>
            <w:r w:rsidRPr="00287BF0">
              <w:rPr>
                <w:rStyle w:val="TextBold"/>
                <w:b/>
              </w:rPr>
              <w:t>Environmental watering plan objective(s)</w:t>
            </w:r>
          </w:p>
        </w:tc>
        <w:tc>
          <w:tcPr>
            <w:tcW w:w="391" w:type="pct"/>
            <w:vMerge w:val="restart"/>
          </w:tcPr>
          <w:p w:rsidR="001058D6" w:rsidRPr="00287BF0" w:rsidRDefault="001058D6" w:rsidP="00154DBC">
            <w:pPr>
              <w:pStyle w:val="tablehead"/>
            </w:pPr>
            <w:r w:rsidRPr="00287BF0">
              <w:rPr>
                <w:rStyle w:val="TextBold"/>
                <w:b/>
              </w:rPr>
              <w:t>Timing</w:t>
            </w:r>
          </w:p>
        </w:tc>
        <w:tc>
          <w:tcPr>
            <w:tcW w:w="673" w:type="pct"/>
            <w:vMerge w:val="restart"/>
          </w:tcPr>
          <w:p w:rsidR="001058D6" w:rsidRPr="00287BF0" w:rsidRDefault="001058D6" w:rsidP="00154DBC">
            <w:pPr>
              <w:pStyle w:val="tablehead"/>
            </w:pPr>
            <w:r w:rsidRPr="00287BF0">
              <w:rPr>
                <w:rStyle w:val="TextBold"/>
                <w:b/>
              </w:rPr>
              <w:t>Total Commonwealth environmental water delivered (ML)</w:t>
            </w:r>
          </w:p>
        </w:tc>
      </w:tr>
      <w:tr w:rsidR="001058D6" w:rsidRPr="00287BF0" w:rsidTr="001058D6">
        <w:trPr>
          <w:trHeight w:val="60"/>
        </w:trPr>
        <w:tc>
          <w:tcPr>
            <w:tcW w:w="405" w:type="pct"/>
            <w:vMerge w:val="restart"/>
          </w:tcPr>
          <w:p w:rsidR="001058D6" w:rsidRPr="00287BF0" w:rsidRDefault="001058D6" w:rsidP="00154DBC">
            <w:pPr>
              <w:pStyle w:val="tablehead"/>
            </w:pPr>
            <w:r w:rsidRPr="00287BF0">
              <w:rPr>
                <w:rStyle w:val="TextBold"/>
                <w:b/>
              </w:rPr>
              <w:t>Complex</w:t>
            </w:r>
          </w:p>
        </w:tc>
        <w:tc>
          <w:tcPr>
            <w:tcW w:w="403" w:type="pct"/>
            <w:vMerge w:val="restart"/>
          </w:tcPr>
          <w:p w:rsidR="001058D6" w:rsidRPr="00287BF0" w:rsidRDefault="001058D6" w:rsidP="00154DBC">
            <w:pPr>
              <w:pStyle w:val="tablehead"/>
            </w:pPr>
            <w:r w:rsidRPr="00287BF0">
              <w:rPr>
                <w:rStyle w:val="TextBold"/>
                <w:b/>
              </w:rPr>
              <w:t>Site</w:t>
            </w:r>
          </w:p>
        </w:tc>
        <w:tc>
          <w:tcPr>
            <w:tcW w:w="317" w:type="pct"/>
            <w:vMerge w:val="restart"/>
          </w:tcPr>
          <w:p w:rsidR="001058D6" w:rsidRPr="00287BF0" w:rsidRDefault="001058D6" w:rsidP="00154DBC">
            <w:pPr>
              <w:pStyle w:val="tablehead"/>
            </w:pPr>
            <w:r w:rsidRPr="00287BF0">
              <w:rPr>
                <w:rStyle w:val="TextBold"/>
                <w:b/>
              </w:rPr>
              <w:t>River flows</w:t>
            </w:r>
          </w:p>
        </w:tc>
        <w:tc>
          <w:tcPr>
            <w:tcW w:w="831" w:type="pct"/>
            <w:gridSpan w:val="2"/>
          </w:tcPr>
          <w:p w:rsidR="001058D6" w:rsidRPr="00287BF0" w:rsidRDefault="001058D6" w:rsidP="00154DBC">
            <w:pPr>
              <w:pStyle w:val="tablehead"/>
            </w:pPr>
            <w:r w:rsidRPr="00287BF0">
              <w:rPr>
                <w:rStyle w:val="TextBold"/>
                <w:b/>
              </w:rPr>
              <w:t>Inundation</w:t>
            </w:r>
          </w:p>
        </w:tc>
        <w:tc>
          <w:tcPr>
            <w:tcW w:w="132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9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5"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0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1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154DBC">
            <w:pPr>
              <w:pStyle w:val="tablehead"/>
            </w:pPr>
            <w:r w:rsidRPr="00287BF0">
              <w:rPr>
                <w:rStyle w:val="TextBold"/>
                <w:b/>
              </w:rPr>
              <w:t>Wetland</w:t>
            </w:r>
          </w:p>
        </w:tc>
        <w:tc>
          <w:tcPr>
            <w:tcW w:w="421" w:type="pct"/>
          </w:tcPr>
          <w:p w:rsidR="001058D6" w:rsidRPr="00287BF0" w:rsidRDefault="001058D6" w:rsidP="00154DBC">
            <w:pPr>
              <w:pStyle w:val="tablehead"/>
            </w:pPr>
            <w:r w:rsidRPr="00287BF0">
              <w:rPr>
                <w:rStyle w:val="TextBold"/>
                <w:b/>
              </w:rPr>
              <w:t>Floodplain</w:t>
            </w:r>
          </w:p>
        </w:tc>
        <w:tc>
          <w:tcPr>
            <w:tcW w:w="132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391"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154DBC">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r w:rsidRPr="00287BF0">
              <w:rPr>
                <w:rFonts w:ascii="Arial" w:hAnsi="Arial" w:cs="Arial"/>
                <w:color w:val="auto"/>
              </w:rPr>
              <w:t>–Broken</w:t>
            </w:r>
          </w:p>
        </w:tc>
        <w:tc>
          <w:tcPr>
            <w:tcW w:w="40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Lower Broken Creek</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8"/>
              </w:numPr>
              <w:spacing w:before="60" w:after="60"/>
              <w:rPr>
                <w:rFonts w:ascii="Arial" w:hAnsi="Arial" w:cs="Arial"/>
                <w:color w:val="auto"/>
              </w:rPr>
            </w:pPr>
            <w:r w:rsidRPr="00287BF0">
              <w:rPr>
                <w:rFonts w:ascii="Arial" w:hAnsi="Arial" w:cs="Arial"/>
                <w:color w:val="auto"/>
              </w:rPr>
              <w:t xml:space="preserve">facilitating fish movement through the </w:t>
            </w:r>
            <w:proofErr w:type="spellStart"/>
            <w:r w:rsidRPr="00287BF0">
              <w:rPr>
                <w:rFonts w:ascii="Arial" w:hAnsi="Arial" w:cs="Arial"/>
                <w:color w:val="auto"/>
              </w:rPr>
              <w:t>fishway</w:t>
            </w:r>
            <w:proofErr w:type="spellEnd"/>
            <w:r w:rsidRPr="00287BF0">
              <w:rPr>
                <w:rFonts w:ascii="Arial" w:hAnsi="Arial" w:cs="Arial"/>
                <w:color w:val="auto"/>
              </w:rPr>
              <w:t xml:space="preserve"> at </w:t>
            </w:r>
            <w:proofErr w:type="spellStart"/>
            <w:r w:rsidRPr="00287BF0">
              <w:rPr>
                <w:rFonts w:ascii="Arial" w:hAnsi="Arial" w:cs="Arial"/>
                <w:color w:val="auto"/>
              </w:rPr>
              <w:t>Rices</w:t>
            </w:r>
            <w:proofErr w:type="spellEnd"/>
            <w:r w:rsidRPr="00287BF0">
              <w:rPr>
                <w:rFonts w:ascii="Arial" w:hAnsi="Arial" w:cs="Arial"/>
                <w:color w:val="auto"/>
              </w:rPr>
              <w:t xml:space="preserve"> Weir </w:t>
            </w:r>
          </w:p>
          <w:p w:rsidR="001058D6" w:rsidRPr="00287BF0" w:rsidRDefault="001058D6" w:rsidP="00154DBC">
            <w:pPr>
              <w:pStyle w:val="tablebullets"/>
              <w:numPr>
                <w:ilvl w:val="0"/>
                <w:numId w:val="28"/>
              </w:numPr>
              <w:spacing w:before="60" w:after="60"/>
              <w:rPr>
                <w:rFonts w:ascii="Arial" w:hAnsi="Arial" w:cs="Arial"/>
                <w:color w:val="auto"/>
              </w:rPr>
            </w:pPr>
            <w:r w:rsidRPr="00287BF0">
              <w:rPr>
                <w:rFonts w:ascii="Arial" w:hAnsi="Arial" w:cs="Arial"/>
                <w:color w:val="auto"/>
              </w:rPr>
              <w:t xml:space="preserve">maintaining native fish habitat, particularly during fish migration and breeding seasons (by maintaining optimal levels of dissolved oxygen </w:t>
            </w:r>
            <w:r w:rsidRPr="00287BF0">
              <w:rPr>
                <w:rFonts w:ascii="Arial" w:hAnsi="Arial" w:cs="Arial"/>
                <w:color w:val="auto"/>
              </w:rPr>
              <w:br/>
              <w:t xml:space="preserve">and restricting excessive aquatic </w:t>
            </w:r>
            <w:r w:rsidRPr="00287BF0">
              <w:rPr>
                <w:rFonts w:ascii="Arial" w:hAnsi="Arial" w:cs="Arial"/>
                <w:color w:val="auto"/>
              </w:rPr>
              <w:br/>
              <w:t>plant growth)</w:t>
            </w:r>
          </w:p>
          <w:p w:rsidR="001058D6" w:rsidRPr="00287BF0" w:rsidRDefault="001058D6" w:rsidP="00154DBC">
            <w:pPr>
              <w:pStyle w:val="tablebullets"/>
              <w:numPr>
                <w:ilvl w:val="0"/>
                <w:numId w:val="28"/>
              </w:numPr>
              <w:spacing w:before="60" w:after="60"/>
              <w:rPr>
                <w:rFonts w:ascii="Arial" w:hAnsi="Arial" w:cs="Arial"/>
                <w:color w:val="auto"/>
              </w:rPr>
            </w:pPr>
            <w:proofErr w:type="gramStart"/>
            <w:r w:rsidRPr="00287BF0">
              <w:rPr>
                <w:rFonts w:ascii="Arial" w:hAnsi="Arial" w:cs="Arial"/>
                <w:color w:val="auto"/>
              </w:rPr>
              <w:t>contributing</w:t>
            </w:r>
            <w:proofErr w:type="gramEnd"/>
            <w:r w:rsidRPr="00287BF0">
              <w:rPr>
                <w:rFonts w:ascii="Arial" w:hAnsi="Arial" w:cs="Arial"/>
                <w:color w:val="auto"/>
              </w:rPr>
              <w:t xml:space="preserve"> to increased flows to the lower Murray River channel, Lower Lakes and Coorong for the purpose of maintaining aquatic habitat and supporting targeted lake levels, barrage releases and flows through the barrage </w:t>
            </w:r>
            <w:proofErr w:type="spellStart"/>
            <w:r w:rsidRPr="00287BF0">
              <w:rPr>
                <w:rFonts w:ascii="Arial" w:hAnsi="Arial" w:cs="Arial"/>
                <w:color w:val="auto"/>
              </w:rPr>
              <w:t>fishways</w:t>
            </w:r>
            <w:proofErr w:type="spellEnd"/>
            <w:r w:rsidRPr="00287BF0">
              <w:rPr>
                <w:rFonts w:ascii="Arial" w:hAnsi="Arial" w:cs="Arial"/>
                <w:color w:val="auto"/>
              </w:rPr>
              <w:t>.</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154DBC">
            <w:pPr>
              <w:pStyle w:val="tabletext"/>
              <w:spacing w:before="60" w:after="60"/>
              <w:rPr>
                <w:rFonts w:ascii="Arial" w:hAnsi="Arial" w:cs="Arial"/>
                <w:color w:val="auto"/>
              </w:rPr>
            </w:pP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September 2012–May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41 230</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sz w:val="18"/>
                <w:szCs w:val="18"/>
              </w:rPr>
              <w:t>Goulburn</w:t>
            </w:r>
            <w:proofErr w:type="spellEnd"/>
            <w:r w:rsidRPr="00287BF0">
              <w:rPr>
                <w:rFonts w:ascii="Arial" w:hAnsi="Arial" w:cs="Arial"/>
                <w:color w:val="auto"/>
                <w:sz w:val="18"/>
                <w:szCs w:val="18"/>
              </w:rPr>
              <w:t>–Broken</w:t>
            </w:r>
          </w:p>
        </w:tc>
        <w:tc>
          <w:tcPr>
            <w:tcW w:w="40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Upper Broken Creek</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29"/>
              </w:numPr>
              <w:spacing w:before="60" w:after="60"/>
              <w:rPr>
                <w:rFonts w:ascii="Arial" w:hAnsi="Arial" w:cs="Arial"/>
                <w:color w:val="auto"/>
              </w:rPr>
            </w:pPr>
            <w:r w:rsidRPr="00287BF0">
              <w:rPr>
                <w:rFonts w:ascii="Arial" w:hAnsi="Arial" w:cs="Arial"/>
                <w:color w:val="auto"/>
              </w:rPr>
              <w:t>providing for more natural flow variability</w:t>
            </w:r>
          </w:p>
          <w:p w:rsidR="001058D6" w:rsidRPr="00287BF0" w:rsidRDefault="001058D6" w:rsidP="00154DBC">
            <w:pPr>
              <w:pStyle w:val="tablebullets"/>
              <w:numPr>
                <w:ilvl w:val="0"/>
                <w:numId w:val="29"/>
              </w:numPr>
              <w:spacing w:before="60" w:after="60"/>
              <w:rPr>
                <w:rFonts w:ascii="Arial" w:hAnsi="Arial" w:cs="Arial"/>
                <w:color w:val="auto"/>
              </w:rPr>
            </w:pPr>
            <w:r w:rsidRPr="00287BF0">
              <w:rPr>
                <w:rFonts w:ascii="Arial" w:hAnsi="Arial" w:cs="Arial"/>
                <w:color w:val="auto"/>
              </w:rPr>
              <w:t>providing a wet/dry zone at the channel edge</w:t>
            </w:r>
          </w:p>
          <w:p w:rsidR="001058D6" w:rsidRPr="00287BF0" w:rsidRDefault="001058D6" w:rsidP="00154DBC">
            <w:pPr>
              <w:pStyle w:val="tablebullets"/>
              <w:numPr>
                <w:ilvl w:val="0"/>
                <w:numId w:val="29"/>
              </w:numPr>
              <w:spacing w:before="60" w:after="60"/>
              <w:rPr>
                <w:rFonts w:ascii="Arial" w:hAnsi="Arial" w:cs="Arial"/>
                <w:color w:val="auto"/>
              </w:rPr>
            </w:pPr>
            <w:r w:rsidRPr="00287BF0">
              <w:rPr>
                <w:rFonts w:ascii="Arial" w:hAnsi="Arial" w:cs="Arial"/>
                <w:color w:val="auto"/>
              </w:rPr>
              <w:t>maintaining aquatic habitats during periods of cease to flow consistent with patterns from storms</w:t>
            </w:r>
          </w:p>
          <w:p w:rsidR="001058D6" w:rsidRPr="00287BF0" w:rsidRDefault="001058D6" w:rsidP="00154DBC">
            <w:pPr>
              <w:pStyle w:val="tablebullets"/>
              <w:numPr>
                <w:ilvl w:val="0"/>
                <w:numId w:val="29"/>
              </w:numPr>
              <w:spacing w:before="60" w:after="60"/>
              <w:rPr>
                <w:rFonts w:ascii="Arial" w:hAnsi="Arial" w:cs="Arial"/>
                <w:color w:val="auto"/>
              </w:rPr>
            </w:pPr>
            <w:proofErr w:type="gramStart"/>
            <w:r w:rsidRPr="00287BF0">
              <w:rPr>
                <w:rFonts w:ascii="Arial" w:hAnsi="Arial" w:cs="Arial"/>
                <w:color w:val="auto"/>
              </w:rPr>
              <w:t>promoting</w:t>
            </w:r>
            <w:proofErr w:type="gramEnd"/>
            <w:r w:rsidRPr="00287BF0">
              <w:rPr>
                <w:rFonts w:ascii="Arial" w:hAnsi="Arial" w:cs="Arial"/>
                <w:color w:val="auto"/>
              </w:rPr>
              <w:t xml:space="preserve"> </w:t>
            </w:r>
            <w:proofErr w:type="spellStart"/>
            <w:r w:rsidRPr="00287BF0">
              <w:rPr>
                <w:rFonts w:ascii="Arial" w:hAnsi="Arial" w:cs="Arial"/>
                <w:color w:val="auto"/>
              </w:rPr>
              <w:t>successional</w:t>
            </w:r>
            <w:proofErr w:type="spellEnd"/>
            <w:r w:rsidRPr="00287BF0">
              <w:rPr>
                <w:rFonts w:ascii="Arial" w:hAnsi="Arial" w:cs="Arial"/>
                <w:color w:val="auto"/>
              </w:rPr>
              <w:t xml:space="preserve"> change in community composition through disturbance and habitat diversity.</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8.07(4)</w:t>
            </w: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February 2013–</w:t>
            </w:r>
            <w:r w:rsidRPr="00287BF0">
              <w:rPr>
                <w:rFonts w:ascii="Arial" w:hAnsi="Arial" w:cs="Arial"/>
                <w:color w:val="auto"/>
              </w:rPr>
              <w:br/>
              <w:t>March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51</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 </w:t>
            </w:r>
            <w:proofErr w:type="spellStart"/>
            <w:r w:rsidRPr="00287BF0">
              <w:rPr>
                <w:rFonts w:ascii="Arial" w:hAnsi="Arial" w:cs="Arial"/>
                <w:color w:val="auto"/>
              </w:rPr>
              <w:t>Campaspe</w:t>
            </w:r>
            <w:proofErr w:type="spellEnd"/>
          </w:p>
        </w:tc>
        <w:tc>
          <w:tcPr>
            <w:tcW w:w="403"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Campaspe</w:t>
            </w:r>
            <w:proofErr w:type="spellEnd"/>
            <w:r w:rsidRPr="00287BF0">
              <w:rPr>
                <w:rFonts w:ascii="Arial" w:hAnsi="Arial" w:cs="Arial"/>
                <w:color w:val="auto"/>
              </w:rPr>
              <w:t xml:space="preserve">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30"/>
              </w:numPr>
              <w:spacing w:before="60" w:after="60"/>
              <w:rPr>
                <w:rFonts w:ascii="Arial" w:hAnsi="Arial" w:cs="Arial"/>
                <w:color w:val="auto"/>
              </w:rPr>
            </w:pPr>
            <w:r w:rsidRPr="00287BF0">
              <w:rPr>
                <w:rFonts w:ascii="Arial" w:hAnsi="Arial" w:cs="Arial"/>
                <w:color w:val="auto"/>
              </w:rPr>
              <w:t>maintaining the health and existing extent of river native plant communities, and provide reproduction and recruitment opportunities</w:t>
            </w:r>
          </w:p>
          <w:p w:rsidR="001058D6" w:rsidRPr="00287BF0" w:rsidRDefault="001058D6" w:rsidP="00154DBC">
            <w:pPr>
              <w:pStyle w:val="tablebullets"/>
              <w:numPr>
                <w:ilvl w:val="0"/>
                <w:numId w:val="30"/>
              </w:numPr>
              <w:spacing w:before="60" w:after="60"/>
              <w:rPr>
                <w:rFonts w:ascii="Arial" w:hAnsi="Arial" w:cs="Arial"/>
                <w:color w:val="auto"/>
              </w:rPr>
            </w:pPr>
            <w:r w:rsidRPr="00287BF0">
              <w:rPr>
                <w:rFonts w:ascii="Arial" w:hAnsi="Arial" w:cs="Arial"/>
                <w:color w:val="auto"/>
              </w:rPr>
              <w:t>providing habitat, breeding and recruitment opportunities for native fish and invertebrates</w:t>
            </w:r>
          </w:p>
          <w:p w:rsidR="001058D6" w:rsidRPr="00287BF0" w:rsidRDefault="001058D6" w:rsidP="00154DBC">
            <w:pPr>
              <w:pStyle w:val="tablebullets"/>
              <w:numPr>
                <w:ilvl w:val="0"/>
                <w:numId w:val="30"/>
              </w:numPr>
              <w:spacing w:before="60" w:after="60"/>
              <w:rPr>
                <w:rFonts w:ascii="Arial" w:hAnsi="Arial" w:cs="Arial"/>
                <w:color w:val="auto"/>
              </w:rPr>
            </w:pPr>
            <w:r w:rsidRPr="00287BF0">
              <w:rPr>
                <w:rFonts w:ascii="Arial" w:hAnsi="Arial" w:cs="Arial"/>
                <w:color w:val="auto"/>
              </w:rPr>
              <w:t xml:space="preserve">supporting ecosystem functions that relate to the mobilisation, transport and dispersal of </w:t>
            </w:r>
            <w:r w:rsidRPr="00287BF0">
              <w:rPr>
                <w:rFonts w:ascii="Arial" w:hAnsi="Arial" w:cs="Arial"/>
                <w:color w:val="auto"/>
              </w:rPr>
              <w:lastRenderedPageBreak/>
              <w:t>sediment, nutrients and organic matter</w:t>
            </w:r>
          </w:p>
          <w:p w:rsidR="001058D6" w:rsidRPr="00287BF0" w:rsidRDefault="001058D6" w:rsidP="00154DBC">
            <w:pPr>
              <w:pStyle w:val="tablebullets"/>
              <w:numPr>
                <w:ilvl w:val="0"/>
                <w:numId w:val="30"/>
              </w:numPr>
              <w:spacing w:before="60" w:after="60"/>
              <w:rPr>
                <w:rFonts w:ascii="Arial" w:hAnsi="Arial" w:cs="Arial"/>
                <w:color w:val="auto"/>
              </w:rPr>
            </w:pPr>
            <w:r w:rsidRPr="00287BF0">
              <w:rPr>
                <w:rFonts w:ascii="Arial" w:hAnsi="Arial" w:cs="Arial"/>
                <w:color w:val="auto"/>
              </w:rPr>
              <w:t>supporting lateral and longitudinal connectivity to maintain native plant and animal communities</w:t>
            </w:r>
          </w:p>
          <w:p w:rsidR="001058D6" w:rsidRPr="00287BF0" w:rsidRDefault="001058D6" w:rsidP="00154DBC">
            <w:pPr>
              <w:pStyle w:val="tablebullets"/>
              <w:numPr>
                <w:ilvl w:val="0"/>
                <w:numId w:val="30"/>
              </w:numPr>
              <w:spacing w:before="60" w:after="60"/>
              <w:rPr>
                <w:rFonts w:ascii="Arial" w:hAnsi="Arial" w:cs="Arial"/>
                <w:color w:val="auto"/>
              </w:rPr>
            </w:pPr>
            <w:proofErr w:type="gramStart"/>
            <w:r w:rsidRPr="00287BF0">
              <w:rPr>
                <w:rFonts w:ascii="Arial" w:hAnsi="Arial" w:cs="Arial"/>
                <w:color w:val="auto"/>
              </w:rPr>
              <w:t>creating</w:t>
            </w:r>
            <w:proofErr w:type="gramEnd"/>
            <w:r w:rsidRPr="00287BF0">
              <w:rPr>
                <w:rFonts w:ascii="Arial" w:hAnsi="Arial" w:cs="Arial"/>
                <w:color w:val="auto"/>
              </w:rPr>
              <w:t xml:space="preserve"> and maintaining river bed and bank habitat. </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lastRenderedPageBreak/>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8.06(6)(a) and (b) </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154DBC">
            <w:pPr>
              <w:pStyle w:val="tabletext"/>
              <w:spacing w:before="60" w:after="60"/>
              <w:rPr>
                <w:rFonts w:ascii="Arial" w:hAnsi="Arial" w:cs="Arial"/>
                <w:color w:val="auto"/>
              </w:rPr>
            </w:pP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August 2012–</w:t>
            </w:r>
            <w:r w:rsidRPr="00287BF0">
              <w:rPr>
                <w:rFonts w:ascii="Arial" w:hAnsi="Arial" w:cs="Arial"/>
                <w:color w:val="auto"/>
              </w:rPr>
              <w:br/>
              <w:t>May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6820</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sz w:val="18"/>
                <w:szCs w:val="18"/>
              </w:rPr>
              <w:lastRenderedPageBreak/>
              <w:t>Goulburn</w:t>
            </w:r>
            <w:proofErr w:type="spellEnd"/>
            <w:r w:rsidRPr="00287BF0">
              <w:rPr>
                <w:rFonts w:ascii="Arial" w:hAnsi="Arial" w:cs="Arial"/>
                <w:color w:val="auto"/>
                <w:sz w:val="18"/>
                <w:szCs w:val="18"/>
              </w:rPr>
              <w:t>–Broken</w:t>
            </w:r>
          </w:p>
        </w:tc>
        <w:tc>
          <w:tcPr>
            <w:tcW w:w="403"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sz w:val="18"/>
                <w:szCs w:val="18"/>
              </w:rPr>
              <w:t>Goulburn</w:t>
            </w:r>
            <w:proofErr w:type="spellEnd"/>
            <w:r w:rsidRPr="00287BF0">
              <w:rPr>
                <w:rFonts w:ascii="Arial" w:hAnsi="Arial" w:cs="Arial"/>
                <w:color w:val="auto"/>
                <w:sz w:val="18"/>
                <w:szCs w:val="18"/>
              </w:rPr>
              <w:t xml:space="preserve">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31"/>
              </w:numPr>
              <w:spacing w:before="60" w:after="60"/>
              <w:rPr>
                <w:rFonts w:ascii="Arial" w:hAnsi="Arial" w:cs="Arial"/>
                <w:color w:val="auto"/>
              </w:rPr>
            </w:pPr>
            <w:r w:rsidRPr="00287BF0">
              <w:rPr>
                <w:rFonts w:ascii="Arial" w:hAnsi="Arial" w:cs="Arial"/>
                <w:color w:val="auto"/>
              </w:rPr>
              <w:t>complementing natural flows and supporting the on-going recovery of river-dependent native animals and plants</w:t>
            </w:r>
          </w:p>
          <w:p w:rsidR="001058D6" w:rsidRPr="00287BF0" w:rsidRDefault="001058D6" w:rsidP="00154DBC">
            <w:pPr>
              <w:pStyle w:val="tablebullets"/>
              <w:numPr>
                <w:ilvl w:val="0"/>
                <w:numId w:val="31"/>
              </w:numPr>
              <w:spacing w:before="60" w:after="60"/>
              <w:rPr>
                <w:rFonts w:ascii="Arial" w:hAnsi="Arial" w:cs="Arial"/>
                <w:color w:val="auto"/>
              </w:rPr>
            </w:pPr>
            <w:proofErr w:type="gramStart"/>
            <w:r w:rsidRPr="00287BF0">
              <w:rPr>
                <w:rFonts w:ascii="Arial" w:hAnsi="Arial" w:cs="Arial"/>
                <w:color w:val="auto"/>
              </w:rPr>
              <w:t>achieving</w:t>
            </w:r>
            <w:proofErr w:type="gramEnd"/>
            <w:r w:rsidRPr="00287BF0">
              <w:rPr>
                <w:rFonts w:ascii="Arial" w:hAnsi="Arial" w:cs="Arial"/>
                <w:color w:val="auto"/>
              </w:rPr>
              <w:t xml:space="preserve"> multiple environmental benefits in the Murray River channel, Lower Lakes and Coorong.</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154DBC">
            <w:pPr>
              <w:pStyle w:val="tabletext"/>
              <w:spacing w:before="60" w:after="60"/>
              <w:rPr>
                <w:rFonts w:ascii="Arial" w:hAnsi="Arial" w:cs="Arial"/>
                <w:color w:val="auto"/>
              </w:rPr>
            </w:pP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July 2012–January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69 383</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 xml:space="preserve"> </w:t>
            </w:r>
            <w:proofErr w:type="spellStart"/>
            <w:r w:rsidRPr="00287BF0">
              <w:rPr>
                <w:rFonts w:ascii="Arial" w:hAnsi="Arial" w:cs="Arial"/>
                <w:color w:val="auto"/>
              </w:rPr>
              <w:t>Goulburn</w:t>
            </w:r>
            <w:proofErr w:type="spellEnd"/>
            <w:r w:rsidRPr="00287BF0">
              <w:rPr>
                <w:rFonts w:ascii="Arial" w:hAnsi="Arial" w:cs="Arial"/>
                <w:color w:val="auto"/>
              </w:rPr>
              <w:t>–Broken</w:t>
            </w:r>
          </w:p>
        </w:tc>
        <w:tc>
          <w:tcPr>
            <w:tcW w:w="403"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r w:rsidRPr="00287BF0">
              <w:rPr>
                <w:rFonts w:ascii="Arial" w:hAnsi="Arial" w:cs="Arial"/>
                <w:color w:val="auto"/>
              </w:rPr>
              <w:t xml:space="preserve">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 supporting:</w:t>
            </w:r>
          </w:p>
          <w:p w:rsidR="001058D6" w:rsidRPr="00287BF0" w:rsidRDefault="001058D6" w:rsidP="00154DBC">
            <w:pPr>
              <w:pStyle w:val="tablebullets"/>
              <w:numPr>
                <w:ilvl w:val="0"/>
                <w:numId w:val="32"/>
              </w:numPr>
              <w:spacing w:before="60" w:after="60"/>
              <w:rPr>
                <w:rFonts w:ascii="Arial" w:hAnsi="Arial" w:cs="Arial"/>
                <w:color w:val="auto"/>
              </w:rPr>
            </w:pPr>
            <w:r w:rsidRPr="00287BF0">
              <w:rPr>
                <w:rFonts w:ascii="Arial" w:hAnsi="Arial" w:cs="Arial"/>
                <w:color w:val="auto"/>
              </w:rPr>
              <w:t>breeding and recruitment of native plant and animal communities</w:t>
            </w:r>
          </w:p>
          <w:p w:rsidR="001058D6" w:rsidRPr="00287BF0" w:rsidRDefault="001058D6" w:rsidP="00154DBC">
            <w:pPr>
              <w:pStyle w:val="tablebullets"/>
              <w:numPr>
                <w:ilvl w:val="0"/>
                <w:numId w:val="32"/>
              </w:numPr>
              <w:spacing w:before="60" w:after="60"/>
              <w:rPr>
                <w:rFonts w:ascii="Arial" w:hAnsi="Arial" w:cs="Arial"/>
                <w:color w:val="auto"/>
              </w:rPr>
            </w:pPr>
            <w:r w:rsidRPr="00287BF0">
              <w:rPr>
                <w:rFonts w:ascii="Arial" w:hAnsi="Arial" w:cs="Arial"/>
                <w:color w:val="auto"/>
              </w:rPr>
              <w:t>ecosystem functions that relate to mobilisation, transport and dispersal sediment, nutrients and organic matter</w:t>
            </w:r>
          </w:p>
          <w:p w:rsidR="001058D6" w:rsidRPr="00287BF0" w:rsidRDefault="001058D6" w:rsidP="00154DBC">
            <w:pPr>
              <w:pStyle w:val="tablebullets"/>
              <w:numPr>
                <w:ilvl w:val="0"/>
                <w:numId w:val="32"/>
              </w:numPr>
              <w:spacing w:before="60" w:after="60"/>
              <w:rPr>
                <w:rFonts w:ascii="Arial" w:hAnsi="Arial" w:cs="Arial"/>
                <w:color w:val="auto"/>
              </w:rPr>
            </w:pPr>
            <w:proofErr w:type="gramStart"/>
            <w:r w:rsidRPr="00287BF0">
              <w:rPr>
                <w:rFonts w:ascii="Arial" w:hAnsi="Arial" w:cs="Arial"/>
                <w:color w:val="auto"/>
              </w:rPr>
              <w:t>ecosystem</w:t>
            </w:r>
            <w:proofErr w:type="gramEnd"/>
            <w:r w:rsidRPr="00287BF0">
              <w:rPr>
                <w:rFonts w:ascii="Arial" w:hAnsi="Arial" w:cs="Arial"/>
                <w:color w:val="auto"/>
              </w:rPr>
              <w:t xml:space="preserve"> functions that relate to connectivity along the river to maintain reproduction and recruitment opportunities for native plant and animal communities.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154DBC">
            <w:pPr>
              <w:pStyle w:val="tabletext"/>
              <w:spacing w:before="60" w:after="60"/>
              <w:rPr>
                <w:rFonts w:ascii="Arial" w:hAnsi="Arial" w:cs="Arial"/>
                <w:color w:val="auto"/>
              </w:rPr>
            </w:pP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pacing w:val="-3"/>
              </w:rPr>
              <w:t>January 2013–</w:t>
            </w:r>
            <w:r w:rsidRPr="00287BF0">
              <w:rPr>
                <w:rFonts w:ascii="Arial" w:hAnsi="Arial" w:cs="Arial"/>
                <w:color w:val="auto"/>
                <w:spacing w:val="-3"/>
              </w:rPr>
              <w:br/>
              <w:t>June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131 714</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Loddon</w:t>
            </w:r>
            <w:proofErr w:type="spellEnd"/>
          </w:p>
        </w:tc>
        <w:tc>
          <w:tcPr>
            <w:tcW w:w="403" w:type="pct"/>
          </w:tcPr>
          <w:p w:rsidR="001058D6" w:rsidRPr="00287BF0" w:rsidRDefault="001058D6" w:rsidP="00154DBC">
            <w:pPr>
              <w:pStyle w:val="tabletext"/>
              <w:spacing w:before="60" w:after="60"/>
              <w:rPr>
                <w:rFonts w:ascii="Arial" w:hAnsi="Arial" w:cs="Arial"/>
                <w:color w:val="auto"/>
              </w:rPr>
            </w:pPr>
            <w:proofErr w:type="spellStart"/>
            <w:r w:rsidRPr="00287BF0">
              <w:rPr>
                <w:rFonts w:ascii="Arial" w:hAnsi="Arial" w:cs="Arial"/>
                <w:color w:val="auto"/>
              </w:rPr>
              <w:t>Loddon</w:t>
            </w:r>
            <w:proofErr w:type="spellEnd"/>
            <w:r w:rsidRPr="00287BF0">
              <w:rPr>
                <w:rFonts w:ascii="Arial" w:hAnsi="Arial" w:cs="Arial"/>
                <w:color w:val="auto"/>
              </w:rPr>
              <w:t xml:space="preserve">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33"/>
              </w:numPr>
              <w:spacing w:before="60" w:after="60"/>
              <w:rPr>
                <w:rFonts w:ascii="Arial" w:hAnsi="Arial" w:cs="Arial"/>
                <w:color w:val="auto"/>
              </w:rPr>
            </w:pPr>
            <w:r w:rsidRPr="00287BF0">
              <w:rPr>
                <w:rFonts w:ascii="Arial" w:hAnsi="Arial" w:cs="Arial"/>
                <w:color w:val="auto"/>
              </w:rPr>
              <w:t xml:space="preserve">supporting a range of native plants and animals, particularly through enabling native fish movement and improvements to </w:t>
            </w:r>
            <w:proofErr w:type="spellStart"/>
            <w:r w:rsidRPr="00287BF0">
              <w:rPr>
                <w:rFonts w:ascii="Arial" w:hAnsi="Arial" w:cs="Arial"/>
                <w:color w:val="auto"/>
              </w:rPr>
              <w:t>macroinvertebrate</w:t>
            </w:r>
            <w:proofErr w:type="spellEnd"/>
            <w:r w:rsidRPr="00287BF0">
              <w:rPr>
                <w:rFonts w:ascii="Arial" w:hAnsi="Arial" w:cs="Arial"/>
                <w:color w:val="auto"/>
              </w:rPr>
              <w:t xml:space="preserve"> habitat</w:t>
            </w:r>
          </w:p>
          <w:p w:rsidR="001058D6" w:rsidRPr="00287BF0" w:rsidRDefault="001058D6" w:rsidP="00154DBC">
            <w:pPr>
              <w:pStyle w:val="tablebullets"/>
              <w:numPr>
                <w:ilvl w:val="0"/>
                <w:numId w:val="33"/>
              </w:numPr>
              <w:spacing w:before="60" w:after="60"/>
              <w:rPr>
                <w:rFonts w:ascii="Arial" w:hAnsi="Arial" w:cs="Arial"/>
                <w:color w:val="auto"/>
              </w:rPr>
            </w:pPr>
            <w:r w:rsidRPr="00287BF0">
              <w:rPr>
                <w:rFonts w:ascii="Arial" w:hAnsi="Arial" w:cs="Arial"/>
                <w:color w:val="auto"/>
              </w:rPr>
              <w:t>maintaining native plant communities along the river in a healthy, dynamic and resilient condition</w:t>
            </w:r>
          </w:p>
          <w:p w:rsidR="001058D6" w:rsidRPr="00287BF0" w:rsidRDefault="001058D6" w:rsidP="00154DBC">
            <w:pPr>
              <w:pStyle w:val="tablebullets"/>
              <w:numPr>
                <w:ilvl w:val="0"/>
                <w:numId w:val="33"/>
              </w:numPr>
              <w:spacing w:before="60" w:after="60"/>
              <w:rPr>
                <w:rFonts w:ascii="Arial" w:hAnsi="Arial" w:cs="Arial"/>
                <w:color w:val="auto"/>
              </w:rPr>
            </w:pPr>
            <w:proofErr w:type="gramStart"/>
            <w:r w:rsidRPr="00287BF0">
              <w:rPr>
                <w:rFonts w:ascii="Arial" w:hAnsi="Arial" w:cs="Arial"/>
                <w:color w:val="auto"/>
              </w:rPr>
              <w:t>supporting</w:t>
            </w:r>
            <w:proofErr w:type="gramEnd"/>
            <w:r w:rsidRPr="00287BF0">
              <w:rPr>
                <w:rFonts w:ascii="Arial" w:hAnsi="Arial" w:cs="Arial"/>
                <w:color w:val="auto"/>
              </w:rPr>
              <w:t xml:space="preserve"> key ecosystem functions, particularly those related to connectivity along the river. </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8.07(3)</w:t>
            </w: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November 2012</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rPr>
              <w:t>2745</w:t>
            </w:r>
          </w:p>
        </w:tc>
      </w:tr>
      <w:tr w:rsidR="001058D6" w:rsidRPr="00287BF0" w:rsidTr="001058D6">
        <w:trPr>
          <w:trHeight w:val="60"/>
        </w:trPr>
        <w:tc>
          <w:tcPr>
            <w:tcW w:w="405"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 xml:space="preserve"> Ovens</w:t>
            </w:r>
          </w:p>
        </w:tc>
        <w:tc>
          <w:tcPr>
            <w:tcW w:w="40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Ovens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323"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154DBC">
            <w:pPr>
              <w:pStyle w:val="tablebullets"/>
              <w:numPr>
                <w:ilvl w:val="0"/>
                <w:numId w:val="34"/>
              </w:numPr>
              <w:spacing w:before="60" w:after="60"/>
              <w:rPr>
                <w:rFonts w:ascii="Arial" w:hAnsi="Arial" w:cs="Arial"/>
                <w:color w:val="auto"/>
              </w:rPr>
            </w:pPr>
            <w:r w:rsidRPr="00287BF0">
              <w:rPr>
                <w:rFonts w:ascii="Arial" w:hAnsi="Arial" w:cs="Arial"/>
                <w:color w:val="auto"/>
              </w:rPr>
              <w:t>maintaining the health of native plant communities in riverbank areas, such as river red gums</w:t>
            </w:r>
          </w:p>
          <w:p w:rsidR="001058D6" w:rsidRPr="00287BF0" w:rsidRDefault="001058D6" w:rsidP="00154DBC">
            <w:pPr>
              <w:pStyle w:val="tablebullets"/>
              <w:numPr>
                <w:ilvl w:val="0"/>
                <w:numId w:val="34"/>
              </w:numPr>
              <w:spacing w:before="60" w:after="60"/>
              <w:rPr>
                <w:rFonts w:ascii="Arial" w:hAnsi="Arial" w:cs="Arial"/>
                <w:color w:val="auto"/>
              </w:rPr>
            </w:pPr>
            <w:proofErr w:type="gramStart"/>
            <w:r w:rsidRPr="00287BF0">
              <w:rPr>
                <w:rFonts w:ascii="Arial" w:hAnsi="Arial" w:cs="Arial"/>
                <w:color w:val="auto"/>
              </w:rPr>
              <w:lastRenderedPageBreak/>
              <w:t>supporting</w:t>
            </w:r>
            <w:proofErr w:type="gramEnd"/>
            <w:r w:rsidRPr="00287BF0">
              <w:rPr>
                <w:rFonts w:ascii="Arial" w:hAnsi="Arial" w:cs="Arial"/>
                <w:color w:val="auto"/>
              </w:rPr>
              <w:t xml:space="preserve"> and connecting the habitat of native animal communities in the river, including fish, frogs, turtles and insects.</w:t>
            </w:r>
          </w:p>
        </w:tc>
        <w:tc>
          <w:tcPr>
            <w:tcW w:w="657"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lastRenderedPageBreak/>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154DBC">
            <w:pPr>
              <w:pStyle w:val="tabletext"/>
              <w:spacing w:before="60" w:after="60"/>
              <w:rPr>
                <w:rFonts w:ascii="Arial" w:hAnsi="Arial" w:cs="Arial"/>
                <w:color w:val="auto"/>
              </w:rPr>
            </w:pPr>
          </w:p>
        </w:tc>
        <w:tc>
          <w:tcPr>
            <w:tcW w:w="391" w:type="pct"/>
          </w:tcPr>
          <w:p w:rsidR="001058D6" w:rsidRPr="00287BF0" w:rsidRDefault="001058D6" w:rsidP="00154DBC">
            <w:pPr>
              <w:pStyle w:val="tabletext"/>
              <w:spacing w:before="60" w:after="60"/>
              <w:rPr>
                <w:rFonts w:ascii="Arial" w:hAnsi="Arial" w:cs="Arial"/>
                <w:color w:val="auto"/>
              </w:rPr>
            </w:pPr>
            <w:r w:rsidRPr="00287BF0">
              <w:rPr>
                <w:rFonts w:ascii="Arial" w:hAnsi="Arial" w:cs="Arial"/>
                <w:color w:val="auto"/>
                <w:sz w:val="18"/>
                <w:szCs w:val="18"/>
              </w:rPr>
              <w:t>April 2013</w:t>
            </w:r>
            <w:r w:rsidRPr="00287BF0">
              <w:rPr>
                <w:rFonts w:ascii="Arial" w:hAnsi="Arial" w:cs="Arial"/>
                <w:color w:val="auto"/>
                <w:sz w:val="22"/>
                <w:szCs w:val="22"/>
              </w:rPr>
              <w:t>–</w:t>
            </w:r>
            <w:r w:rsidRPr="00287BF0">
              <w:rPr>
                <w:rFonts w:ascii="Arial" w:hAnsi="Arial" w:cs="Arial"/>
                <w:color w:val="auto"/>
                <w:sz w:val="18"/>
                <w:szCs w:val="18"/>
              </w:rPr>
              <w:t>June 2013</w:t>
            </w:r>
          </w:p>
        </w:tc>
        <w:tc>
          <w:tcPr>
            <w:tcW w:w="673" w:type="pct"/>
          </w:tcPr>
          <w:p w:rsidR="001058D6" w:rsidRPr="00287BF0" w:rsidRDefault="001058D6" w:rsidP="00154DBC">
            <w:pPr>
              <w:pStyle w:val="tabletext"/>
              <w:spacing w:before="60" w:after="60"/>
              <w:jc w:val="right"/>
              <w:rPr>
                <w:rFonts w:ascii="Arial" w:hAnsi="Arial" w:cs="Arial"/>
                <w:color w:val="auto"/>
              </w:rPr>
            </w:pPr>
            <w:r w:rsidRPr="00287BF0">
              <w:rPr>
                <w:rFonts w:ascii="Arial" w:hAnsi="Arial" w:cs="Arial"/>
                <w:color w:val="auto"/>
                <w:sz w:val="18"/>
                <w:szCs w:val="18"/>
              </w:rPr>
              <w:t>20</w:t>
            </w:r>
          </w:p>
        </w:tc>
      </w:tr>
    </w:tbl>
    <w:p w:rsidR="001058D6" w:rsidRPr="00287BF0" w:rsidRDefault="001058D6" w:rsidP="001058D6">
      <w:pPr>
        <w:pStyle w:val="body"/>
        <w:rPr>
          <w:rFonts w:ascii="Arial" w:hAnsi="Arial" w:cs="Arial"/>
          <w:color w:val="auto"/>
        </w:rPr>
      </w:pPr>
    </w:p>
    <w:p w:rsidR="001058D6" w:rsidRPr="00287BF0" w:rsidRDefault="001058D6" w:rsidP="007B2F2F">
      <w:pPr>
        <w:pStyle w:val="figureheading"/>
        <w:rPr>
          <w:rStyle w:val="TextBold"/>
          <w:rFonts w:cs="Arial"/>
          <w:b/>
          <w:color w:val="auto"/>
        </w:rPr>
      </w:pPr>
      <w:r w:rsidRPr="00287BF0">
        <w:rPr>
          <w:rStyle w:val="TextBold"/>
          <w:rFonts w:cs="Arial"/>
          <w:b/>
          <w:color w:val="auto"/>
          <w:spacing w:val="-3"/>
        </w:rPr>
        <w:t>Table A12: Commonwealth environmental watering actions for the Murray catchment in 2012–13</w:t>
      </w:r>
    </w:p>
    <w:tbl>
      <w:tblPr>
        <w:tblStyle w:val="TableGrid1"/>
        <w:tblW w:w="5000" w:type="pct"/>
        <w:tblLook w:val="0020"/>
      </w:tblPr>
      <w:tblGrid>
        <w:gridCol w:w="1201"/>
        <w:gridCol w:w="1405"/>
        <w:gridCol w:w="938"/>
        <w:gridCol w:w="1213"/>
        <w:gridCol w:w="1245"/>
        <w:gridCol w:w="3685"/>
        <w:gridCol w:w="1943"/>
        <w:gridCol w:w="1168"/>
        <w:gridCol w:w="1990"/>
      </w:tblGrid>
      <w:tr w:rsidR="001058D6" w:rsidRPr="00287BF0" w:rsidTr="001058D6">
        <w:trPr>
          <w:trHeight w:val="60"/>
        </w:trPr>
        <w:tc>
          <w:tcPr>
            <w:tcW w:w="881" w:type="pct"/>
            <w:gridSpan w:val="2"/>
          </w:tcPr>
          <w:p w:rsidR="001058D6" w:rsidRPr="00287BF0" w:rsidRDefault="001058D6" w:rsidP="008E50D2">
            <w:pPr>
              <w:pStyle w:val="tablehead"/>
            </w:pPr>
            <w:r w:rsidRPr="00287BF0">
              <w:rPr>
                <w:rStyle w:val="TextBold"/>
                <w:b/>
              </w:rPr>
              <w:t>Location of watering action</w:t>
            </w:r>
          </w:p>
        </w:tc>
        <w:tc>
          <w:tcPr>
            <w:tcW w:w="1148" w:type="pct"/>
            <w:gridSpan w:val="3"/>
          </w:tcPr>
          <w:p w:rsidR="001058D6" w:rsidRPr="00287BF0" w:rsidRDefault="001058D6" w:rsidP="008E50D2">
            <w:pPr>
              <w:pStyle w:val="tablehead"/>
            </w:pPr>
            <w:r w:rsidRPr="00287BF0">
              <w:rPr>
                <w:rStyle w:val="TextBold"/>
                <w:b/>
              </w:rPr>
              <w:t>Type of action</w:t>
            </w:r>
          </w:p>
        </w:tc>
        <w:tc>
          <w:tcPr>
            <w:tcW w:w="1246" w:type="pct"/>
            <w:vMerge w:val="restart"/>
          </w:tcPr>
          <w:p w:rsidR="001058D6" w:rsidRPr="00287BF0" w:rsidRDefault="001058D6" w:rsidP="008E50D2">
            <w:pPr>
              <w:pStyle w:val="tablehead"/>
            </w:pPr>
            <w:r w:rsidRPr="00287BF0">
              <w:rPr>
                <w:rStyle w:val="TextBold"/>
                <w:b/>
              </w:rPr>
              <w:t>Expected environmental outcome(s) of watering action</w:t>
            </w:r>
          </w:p>
        </w:tc>
        <w:tc>
          <w:tcPr>
            <w:tcW w:w="657" w:type="pct"/>
            <w:vMerge w:val="restart"/>
          </w:tcPr>
          <w:p w:rsidR="001058D6" w:rsidRPr="00287BF0" w:rsidRDefault="001058D6" w:rsidP="008E50D2">
            <w:pPr>
              <w:pStyle w:val="tablehead"/>
            </w:pPr>
            <w:r w:rsidRPr="00287BF0">
              <w:rPr>
                <w:rStyle w:val="TextBold"/>
                <w:b/>
              </w:rPr>
              <w:t>Environmental watering plan objective(s)</w:t>
            </w:r>
          </w:p>
        </w:tc>
        <w:tc>
          <w:tcPr>
            <w:tcW w:w="395" w:type="pct"/>
            <w:vMerge w:val="restart"/>
          </w:tcPr>
          <w:p w:rsidR="001058D6" w:rsidRPr="00287BF0" w:rsidRDefault="001058D6" w:rsidP="008E50D2">
            <w:pPr>
              <w:pStyle w:val="tablehead"/>
            </w:pPr>
            <w:r w:rsidRPr="00287BF0">
              <w:rPr>
                <w:rStyle w:val="TextBold"/>
                <w:b/>
              </w:rPr>
              <w:t>Timing</w:t>
            </w:r>
          </w:p>
        </w:tc>
        <w:tc>
          <w:tcPr>
            <w:tcW w:w="673" w:type="pct"/>
            <w:vMerge w:val="restart"/>
          </w:tcPr>
          <w:p w:rsidR="001058D6" w:rsidRPr="00287BF0" w:rsidRDefault="001058D6" w:rsidP="008E50D2">
            <w:pPr>
              <w:pStyle w:val="tablehead"/>
            </w:pPr>
            <w:r w:rsidRPr="00287BF0">
              <w:rPr>
                <w:rStyle w:val="TextBold"/>
                <w:b/>
              </w:rPr>
              <w:t>Total Commonwealth environmental water delivered (ML)</w:t>
            </w:r>
          </w:p>
        </w:tc>
      </w:tr>
      <w:tr w:rsidR="001058D6" w:rsidRPr="00287BF0" w:rsidTr="001058D6">
        <w:trPr>
          <w:trHeight w:val="60"/>
        </w:trPr>
        <w:tc>
          <w:tcPr>
            <w:tcW w:w="406" w:type="pct"/>
            <w:vMerge w:val="restart"/>
          </w:tcPr>
          <w:p w:rsidR="001058D6" w:rsidRPr="00287BF0" w:rsidRDefault="001058D6" w:rsidP="008E50D2">
            <w:pPr>
              <w:pStyle w:val="tablehead"/>
            </w:pPr>
            <w:r w:rsidRPr="00287BF0">
              <w:rPr>
                <w:rStyle w:val="TextBold"/>
                <w:b/>
              </w:rPr>
              <w:t>Complex</w:t>
            </w:r>
          </w:p>
        </w:tc>
        <w:tc>
          <w:tcPr>
            <w:tcW w:w="475" w:type="pct"/>
            <w:vMerge w:val="restart"/>
          </w:tcPr>
          <w:p w:rsidR="001058D6" w:rsidRPr="00287BF0" w:rsidRDefault="001058D6" w:rsidP="008E50D2">
            <w:pPr>
              <w:pStyle w:val="tablehead"/>
            </w:pPr>
            <w:r w:rsidRPr="00287BF0">
              <w:rPr>
                <w:rStyle w:val="TextBold"/>
                <w:b/>
              </w:rPr>
              <w:t>Site</w:t>
            </w:r>
          </w:p>
        </w:tc>
        <w:tc>
          <w:tcPr>
            <w:tcW w:w="317" w:type="pct"/>
            <w:vMerge w:val="restart"/>
          </w:tcPr>
          <w:p w:rsidR="001058D6" w:rsidRPr="00287BF0" w:rsidRDefault="001058D6" w:rsidP="008E50D2">
            <w:pPr>
              <w:pStyle w:val="tablehead"/>
            </w:pPr>
            <w:r w:rsidRPr="00287BF0">
              <w:rPr>
                <w:rStyle w:val="TextBold"/>
                <w:b/>
              </w:rPr>
              <w:t>River flows</w:t>
            </w:r>
          </w:p>
        </w:tc>
        <w:tc>
          <w:tcPr>
            <w:tcW w:w="831" w:type="pct"/>
            <w:gridSpan w:val="2"/>
          </w:tcPr>
          <w:p w:rsidR="001058D6" w:rsidRPr="00287BF0" w:rsidRDefault="001058D6" w:rsidP="008E50D2">
            <w:pPr>
              <w:pStyle w:val="tablehead"/>
            </w:pPr>
            <w:r w:rsidRPr="00287BF0">
              <w:rPr>
                <w:rStyle w:val="TextBold"/>
                <w:b/>
              </w:rPr>
              <w:t>Inundation</w:t>
            </w:r>
          </w:p>
        </w:tc>
        <w:tc>
          <w:tcPr>
            <w:tcW w:w="1246"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395"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6"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475"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31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410" w:type="pct"/>
          </w:tcPr>
          <w:p w:rsidR="001058D6" w:rsidRPr="00287BF0" w:rsidRDefault="001058D6" w:rsidP="008E50D2">
            <w:pPr>
              <w:pStyle w:val="tablehead"/>
            </w:pPr>
            <w:r w:rsidRPr="00287BF0">
              <w:rPr>
                <w:rStyle w:val="TextBold"/>
                <w:b/>
              </w:rPr>
              <w:t>Wetland</w:t>
            </w:r>
          </w:p>
        </w:tc>
        <w:tc>
          <w:tcPr>
            <w:tcW w:w="421" w:type="pct"/>
          </w:tcPr>
          <w:p w:rsidR="001058D6" w:rsidRPr="00287BF0" w:rsidRDefault="001058D6" w:rsidP="008E50D2">
            <w:pPr>
              <w:pStyle w:val="tablehead"/>
            </w:pPr>
            <w:r w:rsidRPr="00287BF0">
              <w:rPr>
                <w:rStyle w:val="TextBold"/>
                <w:b/>
              </w:rPr>
              <w:t>Floodplain</w:t>
            </w:r>
          </w:p>
        </w:tc>
        <w:tc>
          <w:tcPr>
            <w:tcW w:w="1246"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395"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73"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Edward–</w:t>
            </w:r>
            <w:proofErr w:type="spellStart"/>
            <w:r w:rsidRPr="00287BF0">
              <w:rPr>
                <w:rFonts w:ascii="Arial" w:hAnsi="Arial" w:cs="Arial"/>
                <w:color w:val="auto"/>
              </w:rPr>
              <w:t>Wakool</w:t>
            </w:r>
            <w:proofErr w:type="spellEnd"/>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Jimaringle</w:t>
            </w:r>
            <w:proofErr w:type="spellEnd"/>
            <w:r w:rsidRPr="00287BF0">
              <w:rPr>
                <w:rFonts w:ascii="Arial" w:hAnsi="Arial" w:cs="Arial"/>
                <w:color w:val="auto"/>
              </w:rPr>
              <w:t xml:space="preserve">, </w:t>
            </w:r>
            <w:proofErr w:type="spellStart"/>
            <w:r w:rsidRPr="00287BF0">
              <w:rPr>
                <w:rFonts w:ascii="Arial" w:hAnsi="Arial" w:cs="Arial"/>
                <w:color w:val="auto"/>
              </w:rPr>
              <w:t>Cockran</w:t>
            </w:r>
            <w:proofErr w:type="spellEnd"/>
            <w:r w:rsidRPr="00287BF0">
              <w:rPr>
                <w:rFonts w:ascii="Arial" w:hAnsi="Arial" w:cs="Arial"/>
                <w:color w:val="auto"/>
              </w:rPr>
              <w:t xml:space="preserve"> and </w:t>
            </w:r>
            <w:proofErr w:type="spellStart"/>
            <w:r w:rsidRPr="00287BF0">
              <w:rPr>
                <w:rFonts w:ascii="Arial" w:hAnsi="Arial" w:cs="Arial"/>
                <w:color w:val="auto"/>
              </w:rPr>
              <w:t>Gwynnes</w:t>
            </w:r>
            <w:proofErr w:type="spellEnd"/>
            <w:r w:rsidRPr="00287BF0">
              <w:rPr>
                <w:rFonts w:ascii="Arial" w:hAnsi="Arial" w:cs="Arial"/>
                <w:color w:val="auto"/>
              </w:rPr>
              <w:t xml:space="preserve"> creeks</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35"/>
              </w:numPr>
              <w:spacing w:before="60" w:after="60"/>
              <w:rPr>
                <w:rFonts w:ascii="Arial" w:hAnsi="Arial" w:cs="Arial"/>
                <w:color w:val="auto"/>
              </w:rPr>
            </w:pPr>
            <w:r w:rsidRPr="00287BF0">
              <w:rPr>
                <w:rFonts w:ascii="Arial" w:hAnsi="Arial" w:cs="Arial"/>
                <w:color w:val="auto"/>
              </w:rPr>
              <w:t>providing flows to maintain and improve water quality within the creeks, particularly salinity</w:t>
            </w:r>
          </w:p>
          <w:p w:rsidR="001058D6" w:rsidRPr="00287BF0" w:rsidRDefault="001058D6" w:rsidP="008E50D2">
            <w:pPr>
              <w:pStyle w:val="tablebullets"/>
              <w:numPr>
                <w:ilvl w:val="0"/>
                <w:numId w:val="35"/>
              </w:numPr>
              <w:spacing w:before="60" w:after="60"/>
              <w:rPr>
                <w:rFonts w:ascii="Arial" w:hAnsi="Arial" w:cs="Arial"/>
                <w:color w:val="auto"/>
              </w:rPr>
            </w:pPr>
            <w:r w:rsidRPr="00287BF0">
              <w:rPr>
                <w:rFonts w:ascii="Arial" w:hAnsi="Arial" w:cs="Arial"/>
                <w:color w:val="auto"/>
              </w:rPr>
              <w:t xml:space="preserve">maintaining and improving the health </w:t>
            </w:r>
            <w:r w:rsidRPr="00287BF0">
              <w:rPr>
                <w:rFonts w:ascii="Arial" w:hAnsi="Arial" w:cs="Arial"/>
                <w:color w:val="auto"/>
              </w:rPr>
              <w:br/>
              <w:t xml:space="preserve">of native plant communities in the </w:t>
            </w:r>
            <w:r w:rsidRPr="00287BF0">
              <w:rPr>
                <w:rFonts w:ascii="Arial" w:hAnsi="Arial" w:cs="Arial"/>
                <w:color w:val="auto"/>
              </w:rPr>
              <w:br/>
              <w:t xml:space="preserve">creeks including river red gum, black </w:t>
            </w:r>
            <w:r w:rsidRPr="00287BF0">
              <w:rPr>
                <w:rFonts w:ascii="Arial" w:hAnsi="Arial" w:cs="Arial"/>
                <w:color w:val="auto"/>
              </w:rPr>
              <w:br/>
              <w:t>box and lignum</w:t>
            </w:r>
          </w:p>
          <w:p w:rsidR="001058D6" w:rsidRPr="00287BF0" w:rsidRDefault="001058D6" w:rsidP="008E50D2">
            <w:pPr>
              <w:pStyle w:val="tablebullets"/>
              <w:numPr>
                <w:ilvl w:val="0"/>
                <w:numId w:val="35"/>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good-quality habitats in which native animal communities, such as the </w:t>
            </w:r>
            <w:proofErr w:type="spellStart"/>
            <w:r w:rsidRPr="00287BF0">
              <w:rPr>
                <w:rFonts w:ascii="Arial" w:hAnsi="Arial" w:cs="Arial"/>
                <w:color w:val="auto"/>
              </w:rPr>
              <w:t>pobblebonk</w:t>
            </w:r>
            <w:proofErr w:type="spellEnd"/>
            <w:r w:rsidRPr="00287BF0">
              <w:rPr>
                <w:rFonts w:ascii="Arial" w:hAnsi="Arial" w:cs="Arial"/>
                <w:color w:val="auto"/>
              </w:rPr>
              <w:t xml:space="preserve"> frog, Peron’s tree frog and wrinkled </w:t>
            </w:r>
            <w:proofErr w:type="spellStart"/>
            <w:r w:rsidRPr="00287BF0">
              <w:rPr>
                <w:rFonts w:ascii="Arial" w:hAnsi="Arial" w:cs="Arial"/>
                <w:color w:val="auto"/>
              </w:rPr>
              <w:t>toadlet</w:t>
            </w:r>
            <w:proofErr w:type="spellEnd"/>
            <w:r w:rsidRPr="00287BF0">
              <w:rPr>
                <w:rFonts w:ascii="Arial" w:hAnsi="Arial" w:cs="Arial"/>
                <w:color w:val="auto"/>
              </w:rPr>
              <w:t xml:space="preserve">, can successfully breed and grow. </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August 2012–November</w:t>
            </w:r>
            <w:r w:rsidRPr="00287BF0">
              <w:rPr>
                <w:rFonts w:ascii="Arial" w:hAnsi="Arial" w:cs="Arial"/>
                <w:color w:val="auto"/>
              </w:rPr>
              <w:br/>
              <w:t>2012</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3000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Edward–</w:t>
            </w:r>
            <w:proofErr w:type="spellStart"/>
            <w:r w:rsidRPr="00287BF0">
              <w:rPr>
                <w:rFonts w:ascii="Arial" w:hAnsi="Arial" w:cs="Arial"/>
                <w:color w:val="auto"/>
              </w:rPr>
              <w:t>Wakool</w:t>
            </w:r>
            <w:proofErr w:type="spellEnd"/>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Tuppal</w:t>
            </w:r>
            <w:proofErr w:type="spellEnd"/>
            <w:r w:rsidRPr="00287BF0">
              <w:rPr>
                <w:rFonts w:ascii="Arial" w:hAnsi="Arial" w:cs="Arial"/>
                <w:color w:val="auto"/>
              </w:rPr>
              <w:t xml:space="preserve"> Creek</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36"/>
              </w:numPr>
              <w:spacing w:before="60" w:after="60"/>
              <w:rPr>
                <w:rFonts w:ascii="Arial" w:hAnsi="Arial" w:cs="Arial"/>
                <w:color w:val="auto"/>
              </w:rPr>
            </w:pPr>
            <w:r w:rsidRPr="00287BF0">
              <w:rPr>
                <w:rFonts w:ascii="Arial" w:hAnsi="Arial" w:cs="Arial"/>
                <w:color w:val="auto"/>
              </w:rPr>
              <w:t>providing flows through the system to maintain and improve water quality within the creek, particularly salinity</w:t>
            </w:r>
          </w:p>
          <w:p w:rsidR="001058D6" w:rsidRPr="00287BF0" w:rsidRDefault="001058D6" w:rsidP="008E50D2">
            <w:pPr>
              <w:pStyle w:val="tablebullets"/>
              <w:numPr>
                <w:ilvl w:val="0"/>
                <w:numId w:val="36"/>
              </w:numPr>
              <w:spacing w:before="60" w:after="60"/>
              <w:rPr>
                <w:rFonts w:ascii="Arial" w:hAnsi="Arial" w:cs="Arial"/>
                <w:color w:val="auto"/>
              </w:rPr>
            </w:pPr>
            <w:r w:rsidRPr="00287BF0">
              <w:rPr>
                <w:rFonts w:ascii="Arial" w:hAnsi="Arial" w:cs="Arial"/>
                <w:color w:val="auto"/>
              </w:rPr>
              <w:t xml:space="preserve">maintaining and improving the health </w:t>
            </w:r>
            <w:r w:rsidRPr="00287BF0">
              <w:rPr>
                <w:rFonts w:ascii="Arial" w:hAnsi="Arial" w:cs="Arial"/>
                <w:color w:val="auto"/>
              </w:rPr>
              <w:br/>
              <w:t xml:space="preserve">of native plant communities in the </w:t>
            </w:r>
            <w:r w:rsidRPr="00287BF0">
              <w:rPr>
                <w:rFonts w:ascii="Arial" w:hAnsi="Arial" w:cs="Arial"/>
                <w:color w:val="auto"/>
              </w:rPr>
              <w:br/>
              <w:t xml:space="preserve">creek including river red gum, black </w:t>
            </w:r>
            <w:r w:rsidRPr="00287BF0">
              <w:rPr>
                <w:rFonts w:ascii="Arial" w:hAnsi="Arial" w:cs="Arial"/>
                <w:color w:val="auto"/>
              </w:rPr>
              <w:br/>
              <w:t>box and lignum</w:t>
            </w:r>
          </w:p>
          <w:p w:rsidR="001058D6" w:rsidRPr="00287BF0" w:rsidRDefault="001058D6" w:rsidP="008E50D2">
            <w:pPr>
              <w:pStyle w:val="tablebullets"/>
              <w:numPr>
                <w:ilvl w:val="0"/>
                <w:numId w:val="36"/>
              </w:numPr>
              <w:spacing w:before="60" w:after="60"/>
              <w:rPr>
                <w:rFonts w:ascii="Arial" w:hAnsi="Arial" w:cs="Arial"/>
                <w:color w:val="auto"/>
              </w:rPr>
            </w:pPr>
            <w:proofErr w:type="gramStart"/>
            <w:r w:rsidRPr="00287BF0">
              <w:rPr>
                <w:rFonts w:ascii="Arial" w:hAnsi="Arial" w:cs="Arial"/>
                <w:color w:val="auto"/>
              </w:rPr>
              <w:t>contributing</w:t>
            </w:r>
            <w:proofErr w:type="gramEnd"/>
            <w:r w:rsidRPr="00287BF0">
              <w:rPr>
                <w:rFonts w:ascii="Arial" w:hAnsi="Arial" w:cs="Arial"/>
                <w:color w:val="auto"/>
              </w:rPr>
              <w:t xml:space="preserve"> to providing good-quality habitat that supports the breeding </w:t>
            </w:r>
            <w:r w:rsidRPr="00287BF0">
              <w:rPr>
                <w:rFonts w:ascii="Arial" w:hAnsi="Arial" w:cs="Arial"/>
                <w:color w:val="auto"/>
              </w:rPr>
              <w:br/>
              <w:t xml:space="preserve">and recruitment of native animals, particularly frogs. </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8.06(7)</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October 2012–December</w:t>
            </w:r>
            <w:r w:rsidRPr="00287BF0">
              <w:rPr>
                <w:rFonts w:ascii="Arial" w:hAnsi="Arial" w:cs="Arial"/>
                <w:color w:val="auto"/>
              </w:rPr>
              <w:br/>
              <w:t>2012</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2000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sz w:val="18"/>
                <w:szCs w:val="18"/>
              </w:rPr>
              <w:t>Edward–</w:t>
            </w:r>
            <w:proofErr w:type="spellStart"/>
            <w:r w:rsidRPr="00287BF0">
              <w:rPr>
                <w:rFonts w:ascii="Arial" w:hAnsi="Arial" w:cs="Arial"/>
                <w:color w:val="auto"/>
                <w:sz w:val="18"/>
                <w:szCs w:val="18"/>
              </w:rPr>
              <w:t>Wakool</w:t>
            </w:r>
            <w:proofErr w:type="spellEnd"/>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Edward River, </w:t>
            </w:r>
            <w:proofErr w:type="spellStart"/>
            <w:r w:rsidRPr="00287BF0">
              <w:rPr>
                <w:rFonts w:ascii="Arial" w:hAnsi="Arial" w:cs="Arial"/>
                <w:color w:val="auto"/>
              </w:rPr>
              <w:t>Wakool</w:t>
            </w:r>
            <w:proofErr w:type="spellEnd"/>
            <w:r w:rsidRPr="00287BF0">
              <w:rPr>
                <w:rFonts w:ascii="Arial" w:hAnsi="Arial" w:cs="Arial"/>
                <w:color w:val="auto"/>
              </w:rPr>
              <w:t xml:space="preserve"> River, </w:t>
            </w:r>
            <w:proofErr w:type="spellStart"/>
            <w:r w:rsidRPr="00287BF0">
              <w:rPr>
                <w:rFonts w:ascii="Arial" w:hAnsi="Arial" w:cs="Arial"/>
                <w:color w:val="auto"/>
              </w:rPr>
              <w:t>Colligen</w:t>
            </w:r>
            <w:proofErr w:type="spellEnd"/>
            <w:r w:rsidRPr="00287BF0">
              <w:rPr>
                <w:rFonts w:ascii="Arial" w:hAnsi="Arial" w:cs="Arial"/>
                <w:color w:val="auto"/>
              </w:rPr>
              <w:t xml:space="preserve"> and </w:t>
            </w:r>
            <w:proofErr w:type="spellStart"/>
            <w:r w:rsidRPr="00287BF0">
              <w:rPr>
                <w:rFonts w:ascii="Arial" w:hAnsi="Arial" w:cs="Arial"/>
                <w:color w:val="auto"/>
              </w:rPr>
              <w:lastRenderedPageBreak/>
              <w:t>Yallakool</w:t>
            </w:r>
            <w:proofErr w:type="spellEnd"/>
            <w:r w:rsidRPr="00287BF0">
              <w:rPr>
                <w:rFonts w:ascii="Arial" w:hAnsi="Arial" w:cs="Arial"/>
                <w:color w:val="auto"/>
              </w:rPr>
              <w:t xml:space="preserve"> creeks</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lastRenderedPageBreak/>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 supporting:</w:t>
            </w:r>
          </w:p>
          <w:p w:rsidR="001058D6" w:rsidRPr="00287BF0" w:rsidRDefault="001058D6" w:rsidP="008E50D2">
            <w:pPr>
              <w:pStyle w:val="tablebullets"/>
              <w:numPr>
                <w:ilvl w:val="0"/>
                <w:numId w:val="37"/>
              </w:numPr>
              <w:spacing w:before="60" w:after="60"/>
              <w:rPr>
                <w:rFonts w:ascii="Arial" w:hAnsi="Arial" w:cs="Arial"/>
                <w:color w:val="auto"/>
              </w:rPr>
            </w:pPr>
            <w:r w:rsidRPr="00287BF0">
              <w:rPr>
                <w:rFonts w:ascii="Arial" w:hAnsi="Arial" w:cs="Arial"/>
                <w:color w:val="auto"/>
              </w:rPr>
              <w:t xml:space="preserve">the movement, breeding and recruitment of native fish (such </w:t>
            </w:r>
            <w:r w:rsidRPr="00287BF0">
              <w:rPr>
                <w:rFonts w:ascii="Arial" w:hAnsi="Arial" w:cs="Arial"/>
                <w:color w:val="auto"/>
              </w:rPr>
              <w:br/>
            </w:r>
            <w:r w:rsidRPr="00287BF0">
              <w:rPr>
                <w:rFonts w:ascii="Arial" w:hAnsi="Arial" w:cs="Arial"/>
                <w:color w:val="auto"/>
              </w:rPr>
              <w:lastRenderedPageBreak/>
              <w:t xml:space="preserve">as Murray cod, and golden and </w:t>
            </w:r>
            <w:r w:rsidRPr="00287BF0">
              <w:rPr>
                <w:rFonts w:ascii="Arial" w:hAnsi="Arial" w:cs="Arial"/>
                <w:color w:val="auto"/>
              </w:rPr>
              <w:br/>
              <w:t>silver perch)</w:t>
            </w:r>
          </w:p>
          <w:p w:rsidR="001058D6" w:rsidRPr="00287BF0" w:rsidRDefault="001058D6" w:rsidP="008E50D2">
            <w:pPr>
              <w:pStyle w:val="tablebullets"/>
              <w:numPr>
                <w:ilvl w:val="0"/>
                <w:numId w:val="37"/>
              </w:numPr>
              <w:spacing w:before="60" w:after="60"/>
              <w:rPr>
                <w:rFonts w:ascii="Arial" w:hAnsi="Arial" w:cs="Arial"/>
                <w:color w:val="auto"/>
              </w:rPr>
            </w:pPr>
            <w:r w:rsidRPr="00287BF0">
              <w:rPr>
                <w:rFonts w:ascii="Arial" w:hAnsi="Arial" w:cs="Arial"/>
                <w:color w:val="auto"/>
              </w:rPr>
              <w:t>the habitat requirements of native fish and other native animals including frogs, turtles and invertebrates</w:t>
            </w:r>
          </w:p>
          <w:p w:rsidR="001058D6" w:rsidRPr="00287BF0" w:rsidRDefault="001058D6" w:rsidP="008E50D2">
            <w:pPr>
              <w:pStyle w:val="tablebullets"/>
              <w:numPr>
                <w:ilvl w:val="0"/>
                <w:numId w:val="37"/>
              </w:numPr>
              <w:spacing w:before="60" w:after="60"/>
              <w:rPr>
                <w:rFonts w:ascii="Arial" w:hAnsi="Arial" w:cs="Arial"/>
                <w:color w:val="auto"/>
              </w:rPr>
            </w:pPr>
            <w:proofErr w:type="gramStart"/>
            <w:r w:rsidRPr="00287BF0">
              <w:rPr>
                <w:rFonts w:ascii="Arial" w:hAnsi="Arial" w:cs="Arial"/>
                <w:color w:val="auto"/>
              </w:rPr>
              <w:t>ecosystem</w:t>
            </w:r>
            <w:proofErr w:type="gramEnd"/>
            <w:r w:rsidRPr="00287BF0">
              <w:rPr>
                <w:rFonts w:ascii="Arial" w:hAnsi="Arial" w:cs="Arial"/>
                <w:color w:val="auto"/>
              </w:rPr>
              <w:t xml:space="preserve"> functions that relate to the connectivity of habitats along the watercourse. </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8.06(7)</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October 2012–April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28 943</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sz w:val="18"/>
                <w:szCs w:val="18"/>
              </w:rPr>
              <w:lastRenderedPageBreak/>
              <w:t>Murray</w:t>
            </w:r>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Gunbower</w:t>
            </w:r>
            <w:proofErr w:type="spellEnd"/>
            <w:r w:rsidRPr="00287BF0">
              <w:rPr>
                <w:rFonts w:ascii="Arial" w:hAnsi="Arial" w:cs="Arial"/>
                <w:color w:val="auto"/>
              </w:rPr>
              <w:t xml:space="preserve"> Creek</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Use of return flows to contribute to providing good-quality habitats in which native fish communities, including golden perch and silver perch, Murray cod, trout cod and the crimson spotted </w:t>
            </w:r>
            <w:proofErr w:type="spellStart"/>
            <w:r w:rsidRPr="00287BF0">
              <w:rPr>
                <w:rFonts w:ascii="Arial" w:hAnsi="Arial" w:cs="Arial"/>
                <w:color w:val="auto"/>
              </w:rPr>
              <w:t>rainbowfish</w:t>
            </w:r>
            <w:proofErr w:type="spellEnd"/>
            <w:r w:rsidRPr="00287BF0">
              <w:rPr>
                <w:rFonts w:ascii="Arial" w:hAnsi="Arial" w:cs="Arial"/>
                <w:color w:val="auto"/>
              </w:rPr>
              <w:t>, can successfully migrate, breed and grow.</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August 2012–ongoing at 30 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2158</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w:t>
            </w:r>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Disher</w:t>
            </w:r>
            <w:proofErr w:type="spellEnd"/>
            <w:r w:rsidRPr="00287BF0">
              <w:rPr>
                <w:rFonts w:ascii="Arial" w:hAnsi="Arial" w:cs="Arial"/>
                <w:color w:val="auto"/>
              </w:rPr>
              <w:t xml:space="preserve"> Creek</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Use of return flows to contribute to:</w:t>
            </w:r>
          </w:p>
          <w:p w:rsidR="001058D6" w:rsidRPr="00287BF0" w:rsidRDefault="001058D6" w:rsidP="008E50D2">
            <w:pPr>
              <w:pStyle w:val="tablebullets"/>
              <w:numPr>
                <w:ilvl w:val="0"/>
                <w:numId w:val="38"/>
              </w:numPr>
              <w:spacing w:before="60" w:after="60"/>
              <w:rPr>
                <w:rFonts w:ascii="Arial" w:hAnsi="Arial" w:cs="Arial"/>
                <w:color w:val="auto"/>
              </w:rPr>
            </w:pPr>
            <w:proofErr w:type="gramStart"/>
            <w:r w:rsidRPr="00287BF0">
              <w:rPr>
                <w:rFonts w:ascii="Arial" w:hAnsi="Arial" w:cs="Arial"/>
                <w:color w:val="auto"/>
              </w:rPr>
              <w:t>maintaining</w:t>
            </w:r>
            <w:proofErr w:type="gramEnd"/>
            <w:r w:rsidRPr="00287BF0">
              <w:rPr>
                <w:rFonts w:ascii="Arial" w:hAnsi="Arial" w:cs="Arial"/>
                <w:color w:val="auto"/>
              </w:rPr>
              <w:t xml:space="preserve"> water quality at levels suitable for providing habitat for Murray </w:t>
            </w:r>
            <w:proofErr w:type="spellStart"/>
            <w:r w:rsidRPr="00287BF0">
              <w:rPr>
                <w:rFonts w:ascii="Arial" w:hAnsi="Arial" w:cs="Arial"/>
                <w:color w:val="auto"/>
              </w:rPr>
              <w:t>hardyhead</w:t>
            </w:r>
            <w:proofErr w:type="spellEnd"/>
            <w:r w:rsidRPr="00287BF0">
              <w:rPr>
                <w:rFonts w:ascii="Arial" w:hAnsi="Arial" w:cs="Arial"/>
                <w:color w:val="auto"/>
              </w:rPr>
              <w:t xml:space="preserve"> (a native fish).</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December 2012–June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250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sz w:val="18"/>
                <w:szCs w:val="18"/>
              </w:rPr>
              <w:t xml:space="preserve"> 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 River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38"/>
              </w:numPr>
              <w:spacing w:before="60" w:after="60"/>
              <w:rPr>
                <w:rFonts w:ascii="Arial" w:hAnsi="Arial" w:cs="Arial"/>
                <w:color w:val="auto"/>
              </w:rPr>
            </w:pPr>
            <w:r w:rsidRPr="00287BF0">
              <w:rPr>
                <w:rFonts w:ascii="Arial" w:hAnsi="Arial" w:cs="Arial"/>
                <w:color w:val="auto"/>
              </w:rPr>
              <w:t>maintaining and improving the health of riparian and wetland native plants</w:t>
            </w:r>
          </w:p>
          <w:p w:rsidR="001058D6" w:rsidRPr="00287BF0" w:rsidRDefault="001058D6" w:rsidP="008E50D2">
            <w:pPr>
              <w:pStyle w:val="tablebullets"/>
              <w:numPr>
                <w:ilvl w:val="0"/>
                <w:numId w:val="38"/>
              </w:numPr>
              <w:spacing w:before="60" w:after="60"/>
              <w:rPr>
                <w:rFonts w:ascii="Arial" w:hAnsi="Arial" w:cs="Arial"/>
                <w:color w:val="auto"/>
              </w:rPr>
            </w:pPr>
            <w:r w:rsidRPr="00287BF0">
              <w:rPr>
                <w:rFonts w:ascii="Arial" w:hAnsi="Arial" w:cs="Arial"/>
                <w:color w:val="auto"/>
              </w:rPr>
              <w:t xml:space="preserve">encouraging breeding and supporting the survival of native fish such as Murray cod, silver perch, golden perch and freshwater catfish </w:t>
            </w:r>
          </w:p>
          <w:p w:rsidR="001058D6" w:rsidRPr="00287BF0" w:rsidRDefault="001058D6" w:rsidP="008E50D2">
            <w:pPr>
              <w:pStyle w:val="tablebullets"/>
              <w:numPr>
                <w:ilvl w:val="0"/>
                <w:numId w:val="38"/>
              </w:numPr>
              <w:spacing w:before="60" w:after="60"/>
              <w:rPr>
                <w:rFonts w:ascii="Arial" w:hAnsi="Arial" w:cs="Arial"/>
                <w:color w:val="auto"/>
              </w:rPr>
            </w:pPr>
            <w:r w:rsidRPr="00287BF0">
              <w:rPr>
                <w:rFonts w:ascii="Arial" w:hAnsi="Arial" w:cs="Arial"/>
                <w:color w:val="auto"/>
              </w:rPr>
              <w:t xml:space="preserve">connecting habitats along the river and between the river channel and fringing wetlands </w:t>
            </w:r>
          </w:p>
          <w:p w:rsidR="001058D6" w:rsidRPr="00287BF0" w:rsidRDefault="001058D6" w:rsidP="008E50D2">
            <w:pPr>
              <w:pStyle w:val="tablebullets"/>
              <w:numPr>
                <w:ilvl w:val="0"/>
                <w:numId w:val="38"/>
              </w:numPr>
              <w:spacing w:before="60" w:after="60"/>
              <w:rPr>
                <w:rFonts w:ascii="Arial" w:hAnsi="Arial" w:cs="Arial"/>
                <w:color w:val="auto"/>
              </w:rPr>
            </w:pPr>
            <w:r w:rsidRPr="00287BF0">
              <w:rPr>
                <w:rFonts w:ascii="Arial" w:hAnsi="Arial" w:cs="Arial"/>
                <w:color w:val="auto"/>
              </w:rPr>
              <w:t xml:space="preserve">transporting and dispersing materials such as sediment, nutrients and organic matter </w:t>
            </w:r>
          </w:p>
          <w:p w:rsidR="001058D6" w:rsidRPr="00287BF0" w:rsidRDefault="001058D6" w:rsidP="008E50D2">
            <w:pPr>
              <w:pStyle w:val="tablebullets"/>
              <w:numPr>
                <w:ilvl w:val="0"/>
                <w:numId w:val="38"/>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additional inflows to the Lower Lakes to improve water quality, enable barrage releases to the Coorong, help manage salinity and seasonal water levels for native water plants such as </w:t>
            </w:r>
            <w:proofErr w:type="spellStart"/>
            <w:r w:rsidRPr="00287BF0">
              <w:rPr>
                <w:rStyle w:val="Textitalic"/>
                <w:rFonts w:ascii="Arial" w:hAnsi="Arial" w:cs="Arial"/>
                <w:iCs/>
                <w:color w:val="auto"/>
              </w:rPr>
              <w:t>Ruppia</w:t>
            </w:r>
            <w:proofErr w:type="spellEnd"/>
            <w:r w:rsidRPr="00287BF0">
              <w:rPr>
                <w:rStyle w:val="Textitalic"/>
                <w:rFonts w:ascii="Arial" w:hAnsi="Arial" w:cs="Arial"/>
                <w:iCs/>
                <w:color w:val="auto"/>
              </w:rPr>
              <w:t xml:space="preserve"> </w:t>
            </w:r>
            <w:proofErr w:type="spellStart"/>
            <w:r w:rsidRPr="00287BF0">
              <w:rPr>
                <w:rStyle w:val="Textitalic"/>
                <w:rFonts w:ascii="Arial" w:hAnsi="Arial" w:cs="Arial"/>
                <w:iCs/>
                <w:color w:val="auto"/>
              </w:rPr>
              <w:t>tuberosa</w:t>
            </w:r>
            <w:proofErr w:type="spellEnd"/>
            <w:r w:rsidRPr="00287BF0">
              <w:rPr>
                <w:rFonts w:ascii="Arial" w:hAnsi="Arial" w:cs="Arial"/>
                <w:color w:val="auto"/>
              </w:rPr>
              <w:t>.</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8.05(2)(b) </w:t>
            </w:r>
            <w:r w:rsidRPr="00287BF0">
              <w:rPr>
                <w:rFonts w:ascii="Arial" w:hAnsi="Arial" w:cs="Arial"/>
                <w:color w:val="auto"/>
              </w:rPr>
              <w:br/>
              <w:t>and (c)</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8.06(6)(a) </w:t>
            </w:r>
            <w:r w:rsidRPr="00287BF0">
              <w:rPr>
                <w:rFonts w:ascii="Arial" w:hAnsi="Arial" w:cs="Arial"/>
                <w:color w:val="auto"/>
              </w:rPr>
              <w:br/>
              <w:t>and (b)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8.07(3)</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November 2012–January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300 000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w:t>
            </w:r>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Berri</w:t>
            </w:r>
            <w:proofErr w:type="spellEnd"/>
            <w:r w:rsidRPr="00287BF0">
              <w:rPr>
                <w:rFonts w:ascii="Arial" w:hAnsi="Arial" w:cs="Arial"/>
                <w:color w:val="auto"/>
              </w:rPr>
              <w:t xml:space="preserve"> Basin</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Use of return flows to contribute to:</w:t>
            </w:r>
          </w:p>
          <w:p w:rsidR="001058D6" w:rsidRPr="00287BF0" w:rsidRDefault="001058D6" w:rsidP="008E50D2">
            <w:pPr>
              <w:pStyle w:val="tablebullets"/>
              <w:numPr>
                <w:ilvl w:val="0"/>
                <w:numId w:val="39"/>
              </w:numPr>
              <w:spacing w:before="60" w:after="60"/>
              <w:rPr>
                <w:rFonts w:ascii="Arial" w:hAnsi="Arial" w:cs="Arial"/>
                <w:color w:val="auto"/>
              </w:rPr>
            </w:pPr>
            <w:r w:rsidRPr="00287BF0">
              <w:rPr>
                <w:rFonts w:ascii="Arial" w:hAnsi="Arial" w:cs="Arial"/>
                <w:color w:val="auto"/>
              </w:rPr>
              <w:t xml:space="preserve">maintaining water quality at levels suitable </w:t>
            </w:r>
            <w:r w:rsidRPr="00287BF0">
              <w:rPr>
                <w:rFonts w:ascii="Arial" w:hAnsi="Arial" w:cs="Arial"/>
                <w:color w:val="auto"/>
              </w:rPr>
              <w:lastRenderedPageBreak/>
              <w:t xml:space="preserve">for providing habitat for Murray </w:t>
            </w:r>
            <w:proofErr w:type="spellStart"/>
            <w:r w:rsidRPr="00287BF0">
              <w:rPr>
                <w:rFonts w:ascii="Arial" w:hAnsi="Arial" w:cs="Arial"/>
                <w:color w:val="auto"/>
              </w:rPr>
              <w:t>hardyhead</w:t>
            </w:r>
            <w:proofErr w:type="spellEnd"/>
          </w:p>
          <w:p w:rsidR="001058D6" w:rsidRPr="00287BF0" w:rsidRDefault="001058D6" w:rsidP="008E50D2">
            <w:pPr>
              <w:pStyle w:val="tablebullets"/>
              <w:numPr>
                <w:ilvl w:val="0"/>
                <w:numId w:val="39"/>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freshwater inflows to cue Murray </w:t>
            </w:r>
            <w:proofErr w:type="spellStart"/>
            <w:r w:rsidRPr="00287BF0">
              <w:rPr>
                <w:rFonts w:ascii="Arial" w:hAnsi="Arial" w:cs="Arial"/>
                <w:color w:val="auto"/>
              </w:rPr>
              <w:t>hardyhead</w:t>
            </w:r>
            <w:proofErr w:type="spellEnd"/>
            <w:r w:rsidRPr="00287BF0">
              <w:rPr>
                <w:rFonts w:ascii="Arial" w:hAnsi="Arial" w:cs="Arial"/>
                <w:color w:val="auto"/>
              </w:rPr>
              <w:t xml:space="preserve"> spawning.</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8.06(6)(a)</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 xml:space="preserve">December 2012–June </w:t>
            </w:r>
            <w:r w:rsidRPr="00287BF0">
              <w:rPr>
                <w:rFonts w:ascii="Arial" w:hAnsi="Arial" w:cs="Arial"/>
                <w:color w:val="auto"/>
              </w:rPr>
              <w:lastRenderedPageBreak/>
              <w:t>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lastRenderedPageBreak/>
              <w:t>543</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 xml:space="preserve"> 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Clarks Floodplain</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Use of return flows to contribute to:</w:t>
            </w:r>
          </w:p>
          <w:p w:rsidR="001058D6" w:rsidRPr="00287BF0" w:rsidRDefault="001058D6" w:rsidP="008E50D2">
            <w:pPr>
              <w:pStyle w:val="tablebullets"/>
              <w:numPr>
                <w:ilvl w:val="0"/>
                <w:numId w:val="40"/>
              </w:numPr>
              <w:spacing w:before="60" w:after="60"/>
              <w:rPr>
                <w:rFonts w:ascii="Arial" w:hAnsi="Arial" w:cs="Arial"/>
                <w:color w:val="auto"/>
              </w:rPr>
            </w:pPr>
            <w:r w:rsidRPr="00287BF0">
              <w:rPr>
                <w:rFonts w:ascii="Arial" w:hAnsi="Arial" w:cs="Arial"/>
                <w:color w:val="auto"/>
              </w:rPr>
              <w:t>providing breeding and recruitment opportunities for native river bank plants including river red gums and black box</w:t>
            </w:r>
          </w:p>
          <w:p w:rsidR="001058D6" w:rsidRPr="00287BF0" w:rsidRDefault="001058D6" w:rsidP="008E50D2">
            <w:pPr>
              <w:pStyle w:val="tablebullets"/>
              <w:numPr>
                <w:ilvl w:val="0"/>
                <w:numId w:val="40"/>
              </w:numPr>
              <w:spacing w:before="60" w:after="60"/>
              <w:rPr>
                <w:rFonts w:ascii="Arial" w:hAnsi="Arial" w:cs="Arial"/>
                <w:color w:val="auto"/>
              </w:rPr>
            </w:pPr>
            <w:r w:rsidRPr="00287BF0">
              <w:rPr>
                <w:rFonts w:ascii="Arial" w:hAnsi="Arial" w:cs="Arial"/>
                <w:color w:val="auto"/>
              </w:rPr>
              <w:t>maintaining the health of existing native plant communities by freshening the floodplain soil and reducing the impact of salinity</w:t>
            </w:r>
          </w:p>
          <w:p w:rsidR="001058D6" w:rsidRPr="00287BF0" w:rsidRDefault="001058D6" w:rsidP="008E50D2">
            <w:pPr>
              <w:pStyle w:val="tablebullets"/>
              <w:numPr>
                <w:ilvl w:val="0"/>
                <w:numId w:val="40"/>
              </w:numPr>
              <w:spacing w:before="60" w:after="60"/>
              <w:rPr>
                <w:rFonts w:ascii="Arial" w:hAnsi="Arial" w:cs="Arial"/>
                <w:color w:val="auto"/>
              </w:rPr>
            </w:pPr>
            <w:proofErr w:type="gramStart"/>
            <w:r w:rsidRPr="00287BF0">
              <w:rPr>
                <w:rFonts w:ascii="Arial" w:hAnsi="Arial" w:cs="Arial"/>
                <w:color w:val="auto"/>
              </w:rPr>
              <w:t>improving</w:t>
            </w:r>
            <w:proofErr w:type="gramEnd"/>
            <w:r w:rsidRPr="00287BF0">
              <w:rPr>
                <w:rFonts w:ascii="Arial" w:hAnsi="Arial" w:cs="Arial"/>
                <w:color w:val="auto"/>
              </w:rPr>
              <w:t xml:space="preserve"> native plant diversity by promoting the establishment of an </w:t>
            </w:r>
            <w:proofErr w:type="spellStart"/>
            <w:r w:rsidRPr="00287BF0">
              <w:rPr>
                <w:rFonts w:ascii="Arial" w:hAnsi="Arial" w:cs="Arial"/>
                <w:color w:val="auto"/>
              </w:rPr>
              <w:t>understorey</w:t>
            </w:r>
            <w:proofErr w:type="spellEnd"/>
            <w:r w:rsidRPr="00287BF0">
              <w:rPr>
                <w:rFonts w:ascii="Arial" w:hAnsi="Arial" w:cs="Arial"/>
                <w:color w:val="auto"/>
              </w:rPr>
              <w:t xml:space="preserve"> cover of salt-tolerant plants.</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February 2013–June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60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Whirlpool Corner</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Use of return flows to contribute to:</w:t>
            </w:r>
          </w:p>
          <w:p w:rsidR="001058D6" w:rsidRPr="00287BF0" w:rsidRDefault="001058D6" w:rsidP="008E50D2">
            <w:pPr>
              <w:pStyle w:val="tablebullets"/>
              <w:numPr>
                <w:ilvl w:val="0"/>
                <w:numId w:val="41"/>
              </w:numPr>
              <w:spacing w:before="60" w:after="60"/>
              <w:rPr>
                <w:rFonts w:ascii="Arial" w:hAnsi="Arial" w:cs="Arial"/>
                <w:color w:val="auto"/>
              </w:rPr>
            </w:pPr>
            <w:r w:rsidRPr="00287BF0">
              <w:rPr>
                <w:rFonts w:ascii="Arial" w:hAnsi="Arial" w:cs="Arial"/>
                <w:color w:val="auto"/>
              </w:rPr>
              <w:t>providing suitable conditions to support the recruitment of river red gum seedlings</w:t>
            </w:r>
          </w:p>
          <w:p w:rsidR="001058D6" w:rsidRPr="00287BF0" w:rsidRDefault="001058D6" w:rsidP="008E50D2">
            <w:pPr>
              <w:pStyle w:val="tablebullets"/>
              <w:numPr>
                <w:ilvl w:val="0"/>
                <w:numId w:val="41"/>
              </w:numPr>
              <w:spacing w:before="60" w:after="60"/>
              <w:rPr>
                <w:rFonts w:ascii="Arial" w:hAnsi="Arial" w:cs="Arial"/>
                <w:color w:val="auto"/>
              </w:rPr>
            </w:pPr>
            <w:r w:rsidRPr="00287BF0">
              <w:rPr>
                <w:rFonts w:ascii="Arial" w:hAnsi="Arial" w:cs="Arial"/>
                <w:color w:val="auto"/>
              </w:rPr>
              <w:t>freshening the groundwater lens around the wetland to support the health of fringing vegetation</w:t>
            </w:r>
          </w:p>
          <w:p w:rsidR="001058D6" w:rsidRPr="00287BF0" w:rsidRDefault="001058D6" w:rsidP="008E50D2">
            <w:pPr>
              <w:pStyle w:val="tablebullets"/>
              <w:numPr>
                <w:ilvl w:val="0"/>
                <w:numId w:val="41"/>
              </w:numPr>
              <w:spacing w:before="60" w:after="60"/>
              <w:rPr>
                <w:rFonts w:ascii="Arial" w:hAnsi="Arial" w:cs="Arial"/>
                <w:color w:val="auto"/>
              </w:rPr>
            </w:pPr>
            <w:proofErr w:type="gramStart"/>
            <w:r w:rsidRPr="00287BF0">
              <w:rPr>
                <w:rFonts w:ascii="Arial" w:hAnsi="Arial" w:cs="Arial"/>
                <w:color w:val="auto"/>
              </w:rPr>
              <w:t>supporting</w:t>
            </w:r>
            <w:proofErr w:type="gramEnd"/>
            <w:r w:rsidRPr="00287BF0">
              <w:rPr>
                <w:rFonts w:ascii="Arial" w:hAnsi="Arial" w:cs="Arial"/>
                <w:color w:val="auto"/>
              </w:rPr>
              <w:t xml:space="preserve"> habitat for threatened </w:t>
            </w:r>
            <w:proofErr w:type="spellStart"/>
            <w:r w:rsidRPr="00287BF0">
              <w:rPr>
                <w:rFonts w:ascii="Arial" w:hAnsi="Arial" w:cs="Arial"/>
                <w:color w:val="auto"/>
              </w:rPr>
              <w:t>waterbirds</w:t>
            </w:r>
            <w:proofErr w:type="spellEnd"/>
            <w:r w:rsidRPr="00287BF0">
              <w:rPr>
                <w:rFonts w:ascii="Arial" w:hAnsi="Arial" w:cs="Arial"/>
                <w:color w:val="auto"/>
              </w:rPr>
              <w:t xml:space="preserve"> and frogs.</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8.05(2)(a)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December 2012–June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91</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w:t>
            </w:r>
          </w:p>
        </w:tc>
        <w:tc>
          <w:tcPr>
            <w:tcW w:w="475"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Ramco</w:t>
            </w:r>
            <w:proofErr w:type="spellEnd"/>
            <w:r w:rsidRPr="00287BF0">
              <w:rPr>
                <w:rFonts w:ascii="Arial" w:hAnsi="Arial" w:cs="Arial"/>
                <w:color w:val="auto"/>
              </w:rPr>
              <w:t xml:space="preserve"> Lagoon</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Use of return flows to contribute to supporting the recruitment of black box seedlings within the wetland that naturally regenerated after the </w:t>
            </w:r>
            <w:r w:rsidRPr="00287BF0">
              <w:rPr>
                <w:rFonts w:ascii="Arial" w:hAnsi="Arial" w:cs="Arial"/>
                <w:color w:val="auto"/>
              </w:rPr>
              <w:br/>
              <w:t>2010–11 floods.</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8.05(2)(c)</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March 2013–May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1</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 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Lower Lakes, Coorong and Murray Mouth</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42"/>
              </w:numPr>
              <w:spacing w:before="60" w:after="60"/>
              <w:rPr>
                <w:rFonts w:ascii="Arial" w:hAnsi="Arial" w:cs="Arial"/>
                <w:color w:val="auto"/>
                <w:spacing w:val="-3"/>
              </w:rPr>
            </w:pPr>
            <w:r w:rsidRPr="00287BF0">
              <w:rPr>
                <w:rFonts w:ascii="Arial" w:hAnsi="Arial" w:cs="Arial"/>
                <w:color w:val="auto"/>
                <w:spacing w:val="-3"/>
              </w:rPr>
              <w:t xml:space="preserve">achieving water level and salinity targets in Lake Alexandrina and Lake Albert, supporting the establishment of wetland native plants, the recruitment of native fish and frogs, and the availability of </w:t>
            </w:r>
            <w:proofErr w:type="spellStart"/>
            <w:r w:rsidRPr="00287BF0">
              <w:rPr>
                <w:rFonts w:ascii="Arial" w:hAnsi="Arial" w:cs="Arial"/>
                <w:color w:val="auto"/>
                <w:spacing w:val="-3"/>
              </w:rPr>
              <w:t>waterbird</w:t>
            </w:r>
            <w:proofErr w:type="spellEnd"/>
            <w:r w:rsidRPr="00287BF0">
              <w:rPr>
                <w:rFonts w:ascii="Arial" w:hAnsi="Arial" w:cs="Arial"/>
                <w:color w:val="auto"/>
                <w:spacing w:val="-3"/>
              </w:rPr>
              <w:t xml:space="preserve"> habitat</w:t>
            </w:r>
          </w:p>
          <w:p w:rsidR="001058D6" w:rsidRPr="00287BF0" w:rsidRDefault="001058D6" w:rsidP="008E50D2">
            <w:pPr>
              <w:pStyle w:val="tablebullets"/>
              <w:numPr>
                <w:ilvl w:val="0"/>
                <w:numId w:val="42"/>
              </w:numPr>
              <w:spacing w:before="60" w:after="60"/>
              <w:rPr>
                <w:rFonts w:ascii="Arial" w:hAnsi="Arial" w:cs="Arial"/>
                <w:color w:val="auto"/>
              </w:rPr>
            </w:pPr>
            <w:r w:rsidRPr="00287BF0">
              <w:rPr>
                <w:rFonts w:ascii="Arial" w:hAnsi="Arial" w:cs="Arial"/>
                <w:color w:val="auto"/>
              </w:rPr>
              <w:t xml:space="preserve">achieving salinity and seasonal water level targets in the Coorong that provides suitable conditions for the recruitment of </w:t>
            </w:r>
            <w:proofErr w:type="spellStart"/>
            <w:r w:rsidRPr="00287BF0">
              <w:rPr>
                <w:rStyle w:val="Textitalic"/>
                <w:rFonts w:ascii="Arial" w:hAnsi="Arial" w:cs="Arial"/>
                <w:iCs/>
                <w:color w:val="auto"/>
              </w:rPr>
              <w:t>Ruppia</w:t>
            </w:r>
            <w:proofErr w:type="spellEnd"/>
            <w:r w:rsidRPr="00287BF0">
              <w:rPr>
                <w:rStyle w:val="Textitalic"/>
                <w:rFonts w:ascii="Arial" w:hAnsi="Arial" w:cs="Arial"/>
                <w:iCs/>
                <w:color w:val="auto"/>
              </w:rPr>
              <w:t xml:space="preserve"> </w:t>
            </w:r>
            <w:proofErr w:type="spellStart"/>
            <w:r w:rsidRPr="00287BF0">
              <w:rPr>
                <w:rStyle w:val="Textitalic"/>
                <w:rFonts w:ascii="Arial" w:hAnsi="Arial" w:cs="Arial"/>
                <w:iCs/>
                <w:color w:val="auto"/>
              </w:rPr>
              <w:t>tuberosa</w:t>
            </w:r>
            <w:proofErr w:type="spellEnd"/>
            <w:r w:rsidRPr="00287BF0">
              <w:rPr>
                <w:rFonts w:ascii="Arial" w:hAnsi="Arial" w:cs="Arial"/>
                <w:color w:val="auto"/>
              </w:rPr>
              <w:t xml:space="preserve"> and Murray </w:t>
            </w:r>
            <w:proofErr w:type="spellStart"/>
            <w:r w:rsidRPr="00287BF0">
              <w:rPr>
                <w:rFonts w:ascii="Arial" w:hAnsi="Arial" w:cs="Arial"/>
                <w:color w:val="auto"/>
              </w:rPr>
              <w:t>hardyhead</w:t>
            </w:r>
            <w:proofErr w:type="spellEnd"/>
            <w:r w:rsidRPr="00287BF0">
              <w:rPr>
                <w:rFonts w:ascii="Arial" w:hAnsi="Arial" w:cs="Arial"/>
                <w:color w:val="auto"/>
              </w:rPr>
              <w:t xml:space="preserve"> populations, and the availability of </w:t>
            </w:r>
            <w:proofErr w:type="spellStart"/>
            <w:r w:rsidRPr="00287BF0">
              <w:rPr>
                <w:rFonts w:ascii="Arial" w:hAnsi="Arial" w:cs="Arial"/>
                <w:color w:val="auto"/>
              </w:rPr>
              <w:t>waterbird</w:t>
            </w:r>
            <w:proofErr w:type="spellEnd"/>
            <w:r w:rsidRPr="00287BF0">
              <w:rPr>
                <w:rFonts w:ascii="Arial" w:hAnsi="Arial" w:cs="Arial"/>
                <w:color w:val="auto"/>
              </w:rPr>
              <w:t xml:space="preserve"> habitat in the South Lagoon</w:t>
            </w:r>
          </w:p>
          <w:p w:rsidR="001058D6" w:rsidRPr="00287BF0" w:rsidRDefault="001058D6" w:rsidP="008E50D2">
            <w:pPr>
              <w:pStyle w:val="tablebullets"/>
              <w:numPr>
                <w:ilvl w:val="0"/>
                <w:numId w:val="42"/>
              </w:numPr>
              <w:spacing w:before="60" w:after="60"/>
              <w:rPr>
                <w:rFonts w:ascii="Arial" w:hAnsi="Arial" w:cs="Arial"/>
                <w:color w:val="auto"/>
              </w:rPr>
            </w:pPr>
            <w:proofErr w:type="gramStart"/>
            <w:r w:rsidRPr="00287BF0">
              <w:rPr>
                <w:rFonts w:ascii="Arial" w:hAnsi="Arial" w:cs="Arial"/>
                <w:color w:val="auto"/>
              </w:rPr>
              <w:lastRenderedPageBreak/>
              <w:t>increasing</w:t>
            </w:r>
            <w:proofErr w:type="gramEnd"/>
            <w:r w:rsidRPr="00287BF0">
              <w:rPr>
                <w:rFonts w:ascii="Arial" w:hAnsi="Arial" w:cs="Arial"/>
                <w:color w:val="auto"/>
              </w:rPr>
              <w:t xml:space="preserve"> the transport of salt </w:t>
            </w:r>
            <w:r w:rsidRPr="00287BF0">
              <w:rPr>
                <w:rFonts w:ascii="Arial" w:hAnsi="Arial" w:cs="Arial"/>
                <w:color w:val="auto"/>
              </w:rPr>
              <w:br/>
              <w:t xml:space="preserve">and nutrients from the Murray </w:t>
            </w:r>
            <w:r w:rsidRPr="00287BF0">
              <w:rPr>
                <w:rFonts w:ascii="Arial" w:hAnsi="Arial" w:cs="Arial"/>
                <w:color w:val="auto"/>
              </w:rPr>
              <w:br/>
              <w:t>River channel and through the Murray Mouth.</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 xml:space="preserve">8.05(2)(a) </w:t>
            </w:r>
            <w:r w:rsidRPr="00287BF0">
              <w:rPr>
                <w:rFonts w:ascii="Arial" w:hAnsi="Arial" w:cs="Arial"/>
                <w:color w:val="auto"/>
              </w:rPr>
              <w:br/>
              <w:t>and (b)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 and (ii)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8.06(3)(c)</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8.06(6)(a) </w:t>
            </w:r>
            <w:r w:rsidRPr="00287BF0">
              <w:rPr>
                <w:rFonts w:ascii="Arial" w:hAnsi="Arial" w:cs="Arial"/>
                <w:color w:val="auto"/>
              </w:rPr>
              <w:br/>
              <w:t>and (b)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8.06(7)</w:t>
            </w:r>
          </w:p>
          <w:p w:rsidR="001058D6" w:rsidRPr="00287BF0" w:rsidRDefault="001058D6" w:rsidP="008E50D2">
            <w:pPr>
              <w:pStyle w:val="tabletext"/>
              <w:spacing w:before="60" w:after="60"/>
              <w:rPr>
                <w:rFonts w:ascii="Arial" w:hAnsi="Arial" w:cs="Arial"/>
                <w:color w:val="auto"/>
              </w:rPr>
            </w:pP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December 2012–April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98 853</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lastRenderedPageBreak/>
              <w:t xml:space="preserve"> 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Lower Lakes, Coorong and Murray Mouth</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43"/>
              </w:numPr>
              <w:spacing w:before="60" w:after="60"/>
              <w:rPr>
                <w:rFonts w:ascii="Arial" w:hAnsi="Arial" w:cs="Arial"/>
                <w:color w:val="auto"/>
              </w:rPr>
            </w:pPr>
            <w:r w:rsidRPr="00287BF0">
              <w:rPr>
                <w:rFonts w:ascii="Arial" w:hAnsi="Arial" w:cs="Arial"/>
                <w:color w:val="auto"/>
              </w:rPr>
              <w:t>maintaining hydrological connectivity between the Murray River, Lake Alexandrina, Coorong and Murray Mouth that will support fish movement and increase export of salt and nutrients</w:t>
            </w:r>
          </w:p>
          <w:p w:rsidR="001058D6" w:rsidRPr="00287BF0" w:rsidRDefault="001058D6" w:rsidP="008E50D2">
            <w:pPr>
              <w:pStyle w:val="tablebullets"/>
              <w:numPr>
                <w:ilvl w:val="0"/>
                <w:numId w:val="43"/>
              </w:numPr>
              <w:spacing w:before="60" w:after="60"/>
              <w:rPr>
                <w:rFonts w:ascii="Arial" w:hAnsi="Arial" w:cs="Arial"/>
                <w:color w:val="auto"/>
              </w:rPr>
            </w:pPr>
            <w:r w:rsidRPr="00287BF0">
              <w:rPr>
                <w:rFonts w:ascii="Arial" w:hAnsi="Arial" w:cs="Arial"/>
                <w:color w:val="auto"/>
              </w:rPr>
              <w:t xml:space="preserve">improve habitat conditions in the Coorong (North and South Lagoon) to support native fish, </w:t>
            </w:r>
            <w:proofErr w:type="spellStart"/>
            <w:r w:rsidRPr="00287BF0">
              <w:rPr>
                <w:rFonts w:ascii="Arial" w:hAnsi="Arial" w:cs="Arial"/>
                <w:color w:val="auto"/>
              </w:rPr>
              <w:t>waterbird</w:t>
            </w:r>
            <w:proofErr w:type="spellEnd"/>
            <w:r w:rsidRPr="00287BF0">
              <w:rPr>
                <w:rFonts w:ascii="Arial" w:hAnsi="Arial" w:cs="Arial"/>
                <w:color w:val="auto"/>
              </w:rPr>
              <w:t xml:space="preserve"> and plant condition</w:t>
            </w:r>
          </w:p>
          <w:p w:rsidR="001058D6" w:rsidRPr="00287BF0" w:rsidRDefault="001058D6" w:rsidP="008E50D2">
            <w:pPr>
              <w:pStyle w:val="tablebullets"/>
              <w:numPr>
                <w:ilvl w:val="0"/>
                <w:numId w:val="43"/>
              </w:numPr>
              <w:spacing w:before="60" w:after="60"/>
              <w:rPr>
                <w:rFonts w:ascii="Arial" w:hAnsi="Arial" w:cs="Arial"/>
                <w:color w:val="auto"/>
              </w:rPr>
            </w:pPr>
            <w:proofErr w:type="gramStart"/>
            <w:r w:rsidRPr="00287BF0">
              <w:rPr>
                <w:rFonts w:ascii="Arial" w:hAnsi="Arial" w:cs="Arial"/>
                <w:color w:val="auto"/>
              </w:rPr>
              <w:t>supporting</w:t>
            </w:r>
            <w:proofErr w:type="gramEnd"/>
            <w:r w:rsidRPr="00287BF0">
              <w:rPr>
                <w:rFonts w:ascii="Arial" w:hAnsi="Arial" w:cs="Arial"/>
                <w:color w:val="auto"/>
              </w:rPr>
              <w:t xml:space="preserve"> increased ecosystem resilience in the Coorong and Lower Lakes that will continue the recovery of native plant and animal communities and increase resilience in the occurrence of dry inflow scenarios in 2013–14 and 2014–15.</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8.05(2)(a), </w:t>
            </w:r>
            <w:r w:rsidRPr="00287BF0">
              <w:rPr>
                <w:rFonts w:ascii="Arial" w:hAnsi="Arial" w:cs="Arial"/>
                <w:color w:val="auto"/>
              </w:rPr>
              <w:br/>
              <w:t>(b) and (c)</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8.05(3)(a) </w:t>
            </w:r>
            <w:r w:rsidRPr="00287BF0">
              <w:rPr>
                <w:rFonts w:ascii="Arial" w:hAnsi="Arial" w:cs="Arial"/>
                <w:color w:val="auto"/>
              </w:rPr>
              <w:br/>
              <w:t>and (b)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8.06(2)</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8.06(3)(f)</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8.07(2)</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8.07(3)</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March 2013– 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150 000</w:t>
            </w:r>
          </w:p>
        </w:tc>
      </w:tr>
      <w:tr w:rsidR="001058D6" w:rsidRPr="00287BF0" w:rsidTr="001058D6">
        <w:trPr>
          <w:trHeight w:val="60"/>
        </w:trPr>
        <w:tc>
          <w:tcPr>
            <w:tcW w:w="40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Murray</w:t>
            </w:r>
          </w:p>
        </w:tc>
        <w:tc>
          <w:tcPr>
            <w:tcW w:w="47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Lower Lakes, Coorong and Murray Mouth</w:t>
            </w:r>
          </w:p>
        </w:tc>
        <w:tc>
          <w:tcPr>
            <w:tcW w:w="317"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10"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rPr>
            </w:pPr>
            <w:r>
              <w:rPr>
                <w:rFonts w:ascii="Arial" w:hAnsi="Arial" w:cs="Arial"/>
                <w:color w:val="auto"/>
                <w:sz w:val="18"/>
                <w:szCs w:val="18"/>
              </w:rPr>
              <w:t>yes</w:t>
            </w:r>
          </w:p>
        </w:tc>
        <w:tc>
          <w:tcPr>
            <w:tcW w:w="421" w:type="pct"/>
          </w:tcPr>
          <w:p w:rsidR="001058D6" w:rsidRPr="00287BF0"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tc>
        <w:tc>
          <w:tcPr>
            <w:tcW w:w="124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Use of return flows from environmental watering actions in the Victorian tributaries to contribute to expected environmental outcomes from actions in the Lower Lakes, Coorong and Murray Mouth.</w:t>
            </w:r>
          </w:p>
        </w:tc>
        <w:tc>
          <w:tcPr>
            <w:tcW w:w="65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As per actions in the Lower Lakes, Coorong and Murray Mouth detailed above</w:t>
            </w:r>
          </w:p>
        </w:tc>
        <w:tc>
          <w:tcPr>
            <w:tcW w:w="395"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spacing w:val="-3"/>
              </w:rPr>
              <w:t>July 2012–June 2013</w:t>
            </w:r>
          </w:p>
        </w:tc>
        <w:tc>
          <w:tcPr>
            <w:tcW w:w="673"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237 118</w:t>
            </w:r>
          </w:p>
        </w:tc>
      </w:tr>
    </w:tbl>
    <w:p w:rsidR="001058D6" w:rsidRPr="00287BF0" w:rsidRDefault="001058D6" w:rsidP="001058D6">
      <w:pPr>
        <w:pStyle w:val="body"/>
        <w:rPr>
          <w:rStyle w:val="TextBold"/>
          <w:rFonts w:ascii="Arial" w:hAnsi="Arial" w:cs="Arial"/>
          <w:bCs/>
          <w:color w:val="auto"/>
          <w:sz w:val="17"/>
          <w:szCs w:val="17"/>
        </w:rPr>
      </w:pPr>
    </w:p>
    <w:p w:rsidR="001058D6" w:rsidRPr="00287BF0" w:rsidRDefault="001058D6" w:rsidP="007B2F2F">
      <w:pPr>
        <w:pStyle w:val="figureheading"/>
        <w:rPr>
          <w:rStyle w:val="TextBold"/>
          <w:rFonts w:cs="Arial"/>
          <w:b/>
          <w:color w:val="auto"/>
        </w:rPr>
      </w:pPr>
    </w:p>
    <w:p w:rsidR="001058D6" w:rsidRDefault="001058D6" w:rsidP="001058D6">
      <w:pPr>
        <w:rPr>
          <w:rStyle w:val="TextBold"/>
          <w:rFonts w:ascii="Arial" w:hAnsi="Arial" w:cs="Arial"/>
          <w:bCs/>
          <w:spacing w:val="-2"/>
          <w:lang w:val="en-GB"/>
        </w:rPr>
      </w:pPr>
      <w:r>
        <w:rPr>
          <w:rStyle w:val="TextBold"/>
          <w:rFonts w:cs="Arial"/>
          <w:b w:val="0"/>
        </w:rPr>
        <w:br w:type="page"/>
      </w:r>
    </w:p>
    <w:p w:rsidR="001058D6" w:rsidRPr="00287BF0" w:rsidRDefault="001058D6" w:rsidP="007B2F2F">
      <w:pPr>
        <w:pStyle w:val="figureheading"/>
        <w:rPr>
          <w:rStyle w:val="TextBold"/>
          <w:rFonts w:cs="Arial"/>
          <w:b/>
          <w:color w:val="auto"/>
        </w:rPr>
      </w:pPr>
      <w:r w:rsidRPr="00287BF0">
        <w:rPr>
          <w:rStyle w:val="TextBold"/>
          <w:rFonts w:cs="Arial"/>
          <w:b/>
          <w:color w:val="auto"/>
        </w:rPr>
        <w:lastRenderedPageBreak/>
        <w:t xml:space="preserve">Table A13: Commonwealth environmental watering actions for the </w:t>
      </w:r>
      <w:proofErr w:type="spellStart"/>
      <w:r w:rsidRPr="00287BF0">
        <w:rPr>
          <w:rStyle w:val="TextBold"/>
          <w:rFonts w:cs="Arial"/>
          <w:b/>
          <w:color w:val="auto"/>
        </w:rPr>
        <w:t>Murrumbidgee</w:t>
      </w:r>
      <w:proofErr w:type="spellEnd"/>
      <w:r w:rsidRPr="00287BF0">
        <w:rPr>
          <w:rStyle w:val="TextBold"/>
          <w:rFonts w:cs="Arial"/>
          <w:b/>
          <w:color w:val="auto"/>
        </w:rPr>
        <w:t xml:space="preserve"> catchment in 2012–13</w:t>
      </w:r>
    </w:p>
    <w:tbl>
      <w:tblPr>
        <w:tblStyle w:val="TableGrid1"/>
        <w:tblW w:w="5000" w:type="pct"/>
        <w:tblLook w:val="0020"/>
      </w:tblPr>
      <w:tblGrid>
        <w:gridCol w:w="1542"/>
        <w:gridCol w:w="1563"/>
        <w:gridCol w:w="879"/>
        <w:gridCol w:w="1155"/>
        <w:gridCol w:w="1236"/>
        <w:gridCol w:w="3388"/>
        <w:gridCol w:w="1892"/>
        <w:gridCol w:w="1200"/>
        <w:gridCol w:w="1933"/>
      </w:tblGrid>
      <w:tr w:rsidR="001058D6" w:rsidRPr="00287BF0" w:rsidTr="001058D6">
        <w:trPr>
          <w:trHeight w:val="60"/>
        </w:trPr>
        <w:tc>
          <w:tcPr>
            <w:tcW w:w="1053" w:type="pct"/>
            <w:gridSpan w:val="2"/>
          </w:tcPr>
          <w:p w:rsidR="001058D6" w:rsidRPr="00287BF0" w:rsidRDefault="001058D6" w:rsidP="008E50D2">
            <w:pPr>
              <w:pStyle w:val="tablehead"/>
            </w:pPr>
            <w:r w:rsidRPr="00287BF0">
              <w:rPr>
                <w:rStyle w:val="TextBold"/>
                <w:b/>
              </w:rPr>
              <w:t>Location of watering action</w:t>
            </w:r>
          </w:p>
        </w:tc>
        <w:tc>
          <w:tcPr>
            <w:tcW w:w="1097" w:type="pct"/>
            <w:gridSpan w:val="3"/>
          </w:tcPr>
          <w:p w:rsidR="001058D6" w:rsidRPr="00287BF0" w:rsidRDefault="001058D6" w:rsidP="008E50D2">
            <w:pPr>
              <w:pStyle w:val="tablehead"/>
            </w:pPr>
            <w:r w:rsidRPr="00287BF0">
              <w:rPr>
                <w:rStyle w:val="TextBold"/>
                <w:b/>
              </w:rPr>
              <w:t>Type of action</w:t>
            </w:r>
          </w:p>
        </w:tc>
        <w:tc>
          <w:tcPr>
            <w:tcW w:w="1147" w:type="pct"/>
            <w:vMerge w:val="restart"/>
          </w:tcPr>
          <w:p w:rsidR="001058D6" w:rsidRPr="00287BF0" w:rsidRDefault="001058D6" w:rsidP="008E50D2">
            <w:pPr>
              <w:pStyle w:val="tablehead"/>
            </w:pPr>
            <w:r w:rsidRPr="00287BF0">
              <w:rPr>
                <w:rStyle w:val="TextBold"/>
                <w:b/>
              </w:rPr>
              <w:t>Expected environmental outcome(s) of watering action</w:t>
            </w:r>
          </w:p>
        </w:tc>
        <w:tc>
          <w:tcPr>
            <w:tcW w:w="641" w:type="pct"/>
            <w:vMerge w:val="restart"/>
          </w:tcPr>
          <w:p w:rsidR="001058D6" w:rsidRPr="00287BF0" w:rsidRDefault="001058D6" w:rsidP="008E50D2">
            <w:pPr>
              <w:pStyle w:val="tablehead"/>
            </w:pPr>
            <w:r w:rsidRPr="00287BF0">
              <w:rPr>
                <w:rStyle w:val="TextBold"/>
                <w:b/>
              </w:rPr>
              <w:t>Environmental watering plan objective(s)</w:t>
            </w:r>
          </w:p>
        </w:tc>
        <w:tc>
          <w:tcPr>
            <w:tcW w:w="407" w:type="pct"/>
            <w:vMerge w:val="restart"/>
          </w:tcPr>
          <w:p w:rsidR="001058D6" w:rsidRPr="00287BF0" w:rsidRDefault="001058D6" w:rsidP="008E50D2">
            <w:pPr>
              <w:pStyle w:val="tablehead"/>
            </w:pPr>
            <w:r w:rsidRPr="00287BF0">
              <w:rPr>
                <w:rStyle w:val="TextBold"/>
                <w:b/>
              </w:rPr>
              <w:t>Timing</w:t>
            </w:r>
          </w:p>
        </w:tc>
        <w:tc>
          <w:tcPr>
            <w:tcW w:w="657" w:type="pct"/>
            <w:vMerge w:val="restart"/>
          </w:tcPr>
          <w:p w:rsidR="001058D6" w:rsidRPr="00287BF0" w:rsidRDefault="001058D6" w:rsidP="008E50D2">
            <w:pPr>
              <w:pStyle w:val="tablehead"/>
            </w:pPr>
            <w:r w:rsidRPr="00287BF0">
              <w:rPr>
                <w:rStyle w:val="TextBold"/>
                <w:b/>
              </w:rPr>
              <w:t>Total Commonwealth environmental water delivered (ML)</w:t>
            </w:r>
          </w:p>
        </w:tc>
      </w:tr>
      <w:tr w:rsidR="001058D6" w:rsidRPr="00287BF0" w:rsidTr="001058D6">
        <w:trPr>
          <w:trHeight w:val="60"/>
        </w:trPr>
        <w:tc>
          <w:tcPr>
            <w:tcW w:w="523" w:type="pct"/>
            <w:vMerge w:val="restart"/>
          </w:tcPr>
          <w:p w:rsidR="001058D6" w:rsidRPr="00287BF0" w:rsidRDefault="001058D6" w:rsidP="008E50D2">
            <w:pPr>
              <w:pStyle w:val="tablehead"/>
            </w:pPr>
            <w:r w:rsidRPr="00287BF0">
              <w:rPr>
                <w:rStyle w:val="TextBold"/>
                <w:b/>
              </w:rPr>
              <w:t>Complex</w:t>
            </w:r>
          </w:p>
        </w:tc>
        <w:tc>
          <w:tcPr>
            <w:tcW w:w="529" w:type="pct"/>
            <w:vMerge w:val="restart"/>
          </w:tcPr>
          <w:p w:rsidR="001058D6" w:rsidRPr="00287BF0" w:rsidRDefault="001058D6" w:rsidP="008E50D2">
            <w:pPr>
              <w:pStyle w:val="tablehead"/>
            </w:pPr>
            <w:r w:rsidRPr="00287BF0">
              <w:rPr>
                <w:rStyle w:val="TextBold"/>
                <w:b/>
              </w:rPr>
              <w:t>Site</w:t>
            </w:r>
          </w:p>
        </w:tc>
        <w:tc>
          <w:tcPr>
            <w:tcW w:w="299" w:type="pct"/>
            <w:vMerge w:val="restart"/>
          </w:tcPr>
          <w:p w:rsidR="001058D6" w:rsidRPr="00287BF0" w:rsidRDefault="001058D6" w:rsidP="008E50D2">
            <w:pPr>
              <w:pStyle w:val="tablehead"/>
            </w:pPr>
            <w:r w:rsidRPr="00287BF0">
              <w:rPr>
                <w:rStyle w:val="TextBold"/>
                <w:b/>
              </w:rPr>
              <w:t>River flows</w:t>
            </w:r>
          </w:p>
        </w:tc>
        <w:tc>
          <w:tcPr>
            <w:tcW w:w="797" w:type="pct"/>
            <w:gridSpan w:val="2"/>
          </w:tcPr>
          <w:p w:rsidR="001058D6" w:rsidRPr="00287BF0" w:rsidRDefault="001058D6" w:rsidP="008E50D2">
            <w:pPr>
              <w:pStyle w:val="tablehead"/>
            </w:pPr>
            <w:r w:rsidRPr="00287BF0">
              <w:rPr>
                <w:rStyle w:val="TextBold"/>
                <w:b/>
              </w:rPr>
              <w:t>Inundation</w:t>
            </w:r>
          </w:p>
        </w:tc>
        <w:tc>
          <w:tcPr>
            <w:tcW w:w="114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41"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40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523"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529"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299"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392" w:type="pct"/>
          </w:tcPr>
          <w:p w:rsidR="001058D6" w:rsidRPr="00287BF0" w:rsidRDefault="001058D6" w:rsidP="008E50D2">
            <w:pPr>
              <w:pStyle w:val="tablehead"/>
            </w:pPr>
            <w:r w:rsidRPr="00287BF0">
              <w:rPr>
                <w:rStyle w:val="TextBold"/>
                <w:b/>
              </w:rPr>
              <w:t>Wetland</w:t>
            </w:r>
          </w:p>
        </w:tc>
        <w:tc>
          <w:tcPr>
            <w:tcW w:w="405" w:type="pct"/>
          </w:tcPr>
          <w:p w:rsidR="001058D6" w:rsidRPr="00287BF0" w:rsidRDefault="001058D6" w:rsidP="008E50D2">
            <w:pPr>
              <w:pStyle w:val="tablehead"/>
            </w:pPr>
            <w:r w:rsidRPr="00287BF0">
              <w:rPr>
                <w:rStyle w:val="TextBold"/>
                <w:b/>
              </w:rPr>
              <w:t>Floodplain</w:t>
            </w:r>
          </w:p>
        </w:tc>
        <w:tc>
          <w:tcPr>
            <w:tcW w:w="114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41"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40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r>
      <w:tr w:rsidR="001058D6" w:rsidRPr="00287BF0" w:rsidTr="001058D6">
        <w:trPr>
          <w:trHeight w:val="60"/>
        </w:trPr>
        <w:tc>
          <w:tcPr>
            <w:tcW w:w="523"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 xml:space="preserve">Mid </w:t>
            </w:r>
            <w:proofErr w:type="spellStart"/>
            <w:r w:rsidRPr="00287BF0">
              <w:rPr>
                <w:rFonts w:ascii="Arial" w:hAnsi="Arial" w:cs="Arial"/>
                <w:color w:val="auto"/>
              </w:rPr>
              <w:t>Murrumbidgee</w:t>
            </w:r>
            <w:proofErr w:type="spellEnd"/>
          </w:p>
        </w:tc>
        <w:tc>
          <w:tcPr>
            <w:tcW w:w="529"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sz w:val="18"/>
                <w:szCs w:val="18"/>
              </w:rPr>
              <w:t>Murrumbidgee</w:t>
            </w:r>
            <w:proofErr w:type="spellEnd"/>
            <w:r w:rsidRPr="00287BF0">
              <w:rPr>
                <w:rFonts w:ascii="Arial" w:hAnsi="Arial" w:cs="Arial"/>
                <w:color w:val="auto"/>
                <w:sz w:val="18"/>
                <w:szCs w:val="18"/>
              </w:rPr>
              <w:t xml:space="preserve"> River channel</w:t>
            </w:r>
          </w:p>
        </w:tc>
        <w:tc>
          <w:tcPr>
            <w:tcW w:w="299"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yes</w:t>
            </w:r>
          </w:p>
          <w:p w:rsidR="001058D6" w:rsidRPr="00287BF0" w:rsidRDefault="001058D6" w:rsidP="008E50D2">
            <w:pPr>
              <w:pStyle w:val="tabletext"/>
              <w:spacing w:before="60" w:after="60"/>
              <w:jc w:val="center"/>
              <w:rPr>
                <w:rFonts w:ascii="Arial" w:hAnsi="Arial" w:cs="Arial"/>
                <w:color w:val="auto"/>
              </w:rPr>
            </w:pPr>
          </w:p>
        </w:tc>
        <w:tc>
          <w:tcPr>
            <w:tcW w:w="392"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405"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n/a</w:t>
            </w:r>
          </w:p>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14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44"/>
              </w:numPr>
              <w:spacing w:before="60" w:after="60"/>
              <w:rPr>
                <w:rFonts w:ascii="Arial" w:hAnsi="Arial" w:cs="Arial"/>
                <w:color w:val="auto"/>
              </w:rPr>
            </w:pPr>
            <w:r w:rsidRPr="00287BF0">
              <w:rPr>
                <w:rFonts w:ascii="Arial" w:hAnsi="Arial" w:cs="Arial"/>
                <w:color w:val="auto"/>
              </w:rPr>
              <w:t xml:space="preserve">maintaining inundation of native fish breeding habitat long enough to ensure breeding success </w:t>
            </w:r>
          </w:p>
          <w:p w:rsidR="001058D6" w:rsidRPr="00287BF0" w:rsidRDefault="001058D6" w:rsidP="008E50D2">
            <w:pPr>
              <w:pStyle w:val="tablebullets"/>
              <w:numPr>
                <w:ilvl w:val="0"/>
                <w:numId w:val="44"/>
              </w:numPr>
              <w:spacing w:before="60" w:after="60"/>
              <w:rPr>
                <w:rFonts w:ascii="Arial" w:hAnsi="Arial" w:cs="Arial"/>
                <w:color w:val="auto"/>
              </w:rPr>
            </w:pPr>
            <w:r w:rsidRPr="00287BF0">
              <w:rPr>
                <w:rFonts w:ascii="Arial" w:hAnsi="Arial" w:cs="Arial"/>
                <w:color w:val="auto"/>
              </w:rPr>
              <w:t xml:space="preserve">increasing flows to help native fish disperse throughout the river at the end of the breeding season </w:t>
            </w:r>
          </w:p>
          <w:p w:rsidR="001058D6" w:rsidRPr="00287BF0" w:rsidRDefault="001058D6" w:rsidP="008E50D2">
            <w:pPr>
              <w:pStyle w:val="tablebullets"/>
              <w:numPr>
                <w:ilvl w:val="0"/>
                <w:numId w:val="44"/>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a gradual decrease in flows to limit the risk of stranding native fish that may have continued to occupy breeding habitat. </w:t>
            </w:r>
          </w:p>
        </w:tc>
        <w:tc>
          <w:tcPr>
            <w:tcW w:w="641"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 and b)</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w:t>
            </w:r>
            <w:proofErr w:type="spellStart"/>
            <w:r w:rsidRPr="00287BF0">
              <w:rPr>
                <w:rFonts w:ascii="Arial" w:hAnsi="Arial" w:cs="Arial"/>
                <w:color w:val="auto"/>
              </w:rPr>
              <w:t>i</w:t>
            </w:r>
            <w:proofErr w:type="spellEnd"/>
            <w:r w:rsidRPr="00287BF0">
              <w:rPr>
                <w:rFonts w:ascii="Arial" w:hAnsi="Arial" w:cs="Arial"/>
                <w:color w:val="auto"/>
              </w:rPr>
              <w:t>)</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8E50D2">
            <w:pPr>
              <w:pStyle w:val="tabletext"/>
              <w:spacing w:before="60" w:after="60"/>
              <w:rPr>
                <w:rFonts w:ascii="Arial" w:hAnsi="Arial" w:cs="Arial"/>
                <w:color w:val="auto"/>
              </w:rPr>
            </w:pPr>
          </w:p>
        </w:tc>
        <w:tc>
          <w:tcPr>
            <w:tcW w:w="40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October 2012–December 2012</w:t>
            </w:r>
          </w:p>
        </w:tc>
        <w:tc>
          <w:tcPr>
            <w:tcW w:w="65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150 000</w:t>
            </w:r>
          </w:p>
        </w:tc>
      </w:tr>
      <w:tr w:rsidR="001058D6" w:rsidRPr="00287BF0" w:rsidTr="001058D6">
        <w:trPr>
          <w:trHeight w:val="60"/>
        </w:trPr>
        <w:tc>
          <w:tcPr>
            <w:tcW w:w="523"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sz w:val="18"/>
                <w:szCs w:val="18"/>
              </w:rPr>
              <w:t xml:space="preserve">Lower </w:t>
            </w:r>
            <w:proofErr w:type="spellStart"/>
            <w:r w:rsidRPr="00287BF0">
              <w:rPr>
                <w:rFonts w:ascii="Arial" w:hAnsi="Arial" w:cs="Arial"/>
                <w:color w:val="auto"/>
                <w:sz w:val="18"/>
                <w:szCs w:val="18"/>
              </w:rPr>
              <w:t>Murrumbidgee</w:t>
            </w:r>
            <w:proofErr w:type="spellEnd"/>
          </w:p>
        </w:tc>
        <w:tc>
          <w:tcPr>
            <w:tcW w:w="529"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Western floodplain lakes and wetlands</w:t>
            </w:r>
          </w:p>
        </w:tc>
        <w:tc>
          <w:tcPr>
            <w:tcW w:w="299"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yes</w:t>
            </w:r>
          </w:p>
          <w:p w:rsidR="001058D6" w:rsidRPr="00287BF0" w:rsidRDefault="001058D6" w:rsidP="008E50D2">
            <w:pPr>
              <w:pStyle w:val="tabletext"/>
              <w:spacing w:before="60" w:after="60"/>
              <w:jc w:val="center"/>
              <w:rPr>
                <w:rFonts w:ascii="Arial" w:hAnsi="Arial" w:cs="Arial"/>
                <w:color w:val="auto"/>
              </w:rPr>
            </w:pPr>
          </w:p>
        </w:tc>
        <w:tc>
          <w:tcPr>
            <w:tcW w:w="392"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yes</w:t>
            </w:r>
          </w:p>
          <w:p w:rsidR="001058D6" w:rsidRPr="00287BF0" w:rsidRDefault="001058D6" w:rsidP="008E50D2">
            <w:pPr>
              <w:pStyle w:val="tabletext"/>
              <w:spacing w:before="60" w:after="60"/>
              <w:jc w:val="center"/>
              <w:rPr>
                <w:rFonts w:ascii="Arial" w:hAnsi="Arial" w:cs="Arial"/>
                <w:color w:val="auto"/>
              </w:rPr>
            </w:pPr>
          </w:p>
        </w:tc>
        <w:tc>
          <w:tcPr>
            <w:tcW w:w="405" w:type="pct"/>
          </w:tcPr>
          <w:p w:rsidR="001058D6" w:rsidRDefault="001058D6" w:rsidP="008E50D2">
            <w:pPr>
              <w:pStyle w:val="NoParagraphStyle"/>
              <w:suppressAutoHyphens/>
              <w:spacing w:before="60" w:after="60" w:line="240" w:lineRule="auto"/>
              <w:jc w:val="center"/>
              <w:textAlignment w:val="auto"/>
              <w:rPr>
                <w:rFonts w:ascii="Arial" w:hAnsi="Arial" w:cs="Arial"/>
                <w:color w:val="auto"/>
                <w:lang w:val="en-US"/>
              </w:rPr>
            </w:pPr>
            <w:r>
              <w:rPr>
                <w:rFonts w:ascii="Arial" w:hAnsi="Arial" w:cs="Arial"/>
                <w:color w:val="auto"/>
                <w:sz w:val="18"/>
                <w:szCs w:val="18"/>
              </w:rPr>
              <w:t>yes</w:t>
            </w:r>
          </w:p>
          <w:p w:rsidR="001058D6" w:rsidRPr="00287BF0" w:rsidRDefault="001058D6" w:rsidP="008E50D2">
            <w:pPr>
              <w:pStyle w:val="tabletext"/>
              <w:spacing w:before="60" w:after="60"/>
              <w:jc w:val="center"/>
              <w:rPr>
                <w:rFonts w:ascii="Arial" w:hAnsi="Arial" w:cs="Arial"/>
                <w:color w:val="auto"/>
              </w:rPr>
            </w:pPr>
          </w:p>
        </w:tc>
        <w:tc>
          <w:tcPr>
            <w:tcW w:w="114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To contribute to:</w:t>
            </w:r>
          </w:p>
          <w:p w:rsidR="001058D6" w:rsidRPr="00287BF0" w:rsidRDefault="001058D6" w:rsidP="008E50D2">
            <w:pPr>
              <w:pStyle w:val="tablebullets"/>
              <w:numPr>
                <w:ilvl w:val="0"/>
                <w:numId w:val="45"/>
              </w:numPr>
              <w:spacing w:before="60" w:after="60"/>
              <w:rPr>
                <w:rFonts w:ascii="Arial" w:hAnsi="Arial" w:cs="Arial"/>
                <w:color w:val="auto"/>
              </w:rPr>
            </w:pPr>
            <w:r w:rsidRPr="00287BF0">
              <w:rPr>
                <w:rFonts w:ascii="Arial" w:hAnsi="Arial" w:cs="Arial"/>
                <w:color w:val="auto"/>
              </w:rPr>
              <w:t xml:space="preserve">maintaining the health and regeneration of native plant communities in </w:t>
            </w:r>
            <w:proofErr w:type="spellStart"/>
            <w:r w:rsidRPr="00287BF0">
              <w:rPr>
                <w:rFonts w:ascii="Arial" w:hAnsi="Arial" w:cs="Arial"/>
                <w:color w:val="auto"/>
              </w:rPr>
              <w:t>Cherax</w:t>
            </w:r>
            <w:proofErr w:type="spellEnd"/>
            <w:r w:rsidRPr="00287BF0">
              <w:rPr>
                <w:rFonts w:ascii="Arial" w:hAnsi="Arial" w:cs="Arial"/>
                <w:color w:val="auto"/>
              </w:rPr>
              <w:t xml:space="preserve"> Swamp, </w:t>
            </w:r>
            <w:proofErr w:type="spellStart"/>
            <w:r w:rsidRPr="00287BF0">
              <w:rPr>
                <w:rFonts w:ascii="Arial" w:hAnsi="Arial" w:cs="Arial"/>
                <w:color w:val="auto"/>
              </w:rPr>
              <w:t>Yarrawol</w:t>
            </w:r>
            <w:proofErr w:type="spellEnd"/>
            <w:r w:rsidRPr="00287BF0">
              <w:rPr>
                <w:rFonts w:ascii="Arial" w:hAnsi="Arial" w:cs="Arial"/>
                <w:color w:val="auto"/>
              </w:rPr>
              <w:t xml:space="preserve"> Creek and </w:t>
            </w:r>
            <w:proofErr w:type="spellStart"/>
            <w:r w:rsidRPr="00287BF0">
              <w:rPr>
                <w:rFonts w:ascii="Arial" w:hAnsi="Arial" w:cs="Arial"/>
                <w:color w:val="auto"/>
              </w:rPr>
              <w:t>Narwie</w:t>
            </w:r>
            <w:proofErr w:type="spellEnd"/>
            <w:r w:rsidRPr="00287BF0">
              <w:rPr>
                <w:rFonts w:ascii="Arial" w:hAnsi="Arial" w:cs="Arial"/>
                <w:color w:val="auto"/>
              </w:rPr>
              <w:t xml:space="preserve"> West, reed bed and black box wetlands</w:t>
            </w:r>
          </w:p>
          <w:p w:rsidR="001058D6" w:rsidRPr="00287BF0" w:rsidRDefault="001058D6" w:rsidP="008E50D2">
            <w:pPr>
              <w:pStyle w:val="tablebullets"/>
              <w:numPr>
                <w:ilvl w:val="0"/>
                <w:numId w:val="45"/>
              </w:numPr>
              <w:spacing w:before="60" w:after="60"/>
              <w:rPr>
                <w:rFonts w:ascii="Arial" w:hAnsi="Arial" w:cs="Arial"/>
                <w:color w:val="auto"/>
              </w:rPr>
            </w:pPr>
            <w:r w:rsidRPr="00287BF0">
              <w:rPr>
                <w:rFonts w:ascii="Arial" w:hAnsi="Arial" w:cs="Arial"/>
                <w:color w:val="auto"/>
              </w:rPr>
              <w:t xml:space="preserve">establishing and growing native plant communities in Hobblers Lake and </w:t>
            </w:r>
            <w:proofErr w:type="spellStart"/>
            <w:r w:rsidRPr="00287BF0">
              <w:rPr>
                <w:rFonts w:ascii="Arial" w:hAnsi="Arial" w:cs="Arial"/>
                <w:color w:val="auto"/>
              </w:rPr>
              <w:t>Penarie</w:t>
            </w:r>
            <w:proofErr w:type="spellEnd"/>
            <w:r w:rsidRPr="00287BF0">
              <w:rPr>
                <w:rFonts w:ascii="Arial" w:hAnsi="Arial" w:cs="Arial"/>
                <w:color w:val="auto"/>
              </w:rPr>
              <w:t xml:space="preserve"> Creek which have been isolated from the floodplain and have not received environmental water before</w:t>
            </w:r>
          </w:p>
          <w:p w:rsidR="001058D6" w:rsidRPr="00287BF0" w:rsidRDefault="001058D6" w:rsidP="008E50D2">
            <w:pPr>
              <w:pStyle w:val="tablebullets"/>
              <w:numPr>
                <w:ilvl w:val="0"/>
                <w:numId w:val="45"/>
              </w:numPr>
              <w:spacing w:before="60" w:after="60"/>
              <w:rPr>
                <w:rFonts w:ascii="Arial" w:hAnsi="Arial" w:cs="Arial"/>
                <w:color w:val="auto"/>
              </w:rPr>
            </w:pPr>
            <w:proofErr w:type="gramStart"/>
            <w:r w:rsidRPr="00287BF0">
              <w:rPr>
                <w:rFonts w:ascii="Arial" w:hAnsi="Arial" w:cs="Arial"/>
                <w:color w:val="auto"/>
              </w:rPr>
              <w:t>providing</w:t>
            </w:r>
            <w:proofErr w:type="gramEnd"/>
            <w:r w:rsidRPr="00287BF0">
              <w:rPr>
                <w:rFonts w:ascii="Arial" w:hAnsi="Arial" w:cs="Arial"/>
                <w:color w:val="auto"/>
              </w:rPr>
              <w:t xml:space="preserve"> good-quality habitat for native animals including </w:t>
            </w:r>
            <w:proofErr w:type="spellStart"/>
            <w:r w:rsidRPr="00287BF0">
              <w:rPr>
                <w:rFonts w:ascii="Arial" w:hAnsi="Arial" w:cs="Arial"/>
                <w:color w:val="auto"/>
              </w:rPr>
              <w:t>waterbirds</w:t>
            </w:r>
            <w:proofErr w:type="spellEnd"/>
            <w:r w:rsidRPr="00287BF0">
              <w:rPr>
                <w:rFonts w:ascii="Arial" w:hAnsi="Arial" w:cs="Arial"/>
                <w:color w:val="auto"/>
              </w:rPr>
              <w:t>, fish and frogs.</w:t>
            </w:r>
          </w:p>
        </w:tc>
        <w:tc>
          <w:tcPr>
            <w:tcW w:w="641"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8.05(3)(a)</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8.06(3)(b)(ii)</w:t>
            </w:r>
          </w:p>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8.06(6)(a and b)</w:t>
            </w:r>
          </w:p>
          <w:p w:rsidR="001058D6" w:rsidRPr="00287BF0" w:rsidRDefault="001058D6" w:rsidP="008E50D2">
            <w:pPr>
              <w:pStyle w:val="tabletext"/>
              <w:spacing w:before="60" w:after="60"/>
              <w:rPr>
                <w:rFonts w:ascii="Arial" w:hAnsi="Arial" w:cs="Arial"/>
                <w:color w:val="auto"/>
              </w:rPr>
            </w:pPr>
          </w:p>
        </w:tc>
        <w:tc>
          <w:tcPr>
            <w:tcW w:w="407"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September 2012–December 2012</w:t>
            </w:r>
          </w:p>
        </w:tc>
        <w:tc>
          <w:tcPr>
            <w:tcW w:w="65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6000</w:t>
            </w:r>
          </w:p>
        </w:tc>
      </w:tr>
    </w:tbl>
    <w:p w:rsidR="001058D6" w:rsidRPr="00287BF0" w:rsidRDefault="001058D6" w:rsidP="001058D6">
      <w:pPr>
        <w:pStyle w:val="body"/>
        <w:rPr>
          <w:rFonts w:ascii="Arial" w:hAnsi="Arial" w:cs="Arial"/>
          <w:color w:val="auto"/>
        </w:rPr>
      </w:pPr>
    </w:p>
    <w:p w:rsidR="001058D6" w:rsidRDefault="001058D6" w:rsidP="001058D6">
      <w:pPr>
        <w:pStyle w:val="H2"/>
        <w:rPr>
          <w:rStyle w:val="TextBold"/>
          <w:rFonts w:ascii="Arial" w:hAnsi="Arial" w:cs="Arial"/>
          <w:b/>
          <w:color w:val="auto"/>
        </w:rPr>
        <w:sectPr w:rsidR="001058D6" w:rsidSect="001058D6">
          <w:pgSz w:w="16840" w:h="11900" w:orient="landscape" w:code="9"/>
          <w:pgMar w:top="1134" w:right="1134" w:bottom="1134" w:left="1134" w:header="958" w:footer="737" w:gutter="0"/>
          <w:cols w:space="708"/>
          <w:docGrid w:linePitch="360"/>
        </w:sectPr>
      </w:pPr>
    </w:p>
    <w:p w:rsidR="001058D6" w:rsidRPr="00287BF0" w:rsidRDefault="001058D6" w:rsidP="00740E99">
      <w:pPr>
        <w:pStyle w:val="Heading3"/>
        <w:ind w:left="2160" w:hanging="2160"/>
        <w:rPr>
          <w:rStyle w:val="TextBold"/>
          <w:b/>
        </w:rPr>
      </w:pPr>
      <w:bookmarkStart w:id="7" w:name="_Appendix_D—Commonwealth_environment"/>
      <w:bookmarkEnd w:id="7"/>
      <w:r w:rsidRPr="00287BF0">
        <w:rPr>
          <w:rStyle w:val="TextBold"/>
          <w:b/>
        </w:rPr>
        <w:lastRenderedPageBreak/>
        <w:t>Appendix D</w:t>
      </w:r>
      <w:r w:rsidR="00740E99">
        <w:rPr>
          <w:rStyle w:val="TextBold"/>
          <w:b/>
        </w:rPr>
        <w:tab/>
      </w:r>
      <w:r w:rsidRPr="00287BF0">
        <w:rPr>
          <w:rStyle w:val="TextBold"/>
          <w:b/>
        </w:rPr>
        <w:t xml:space="preserve">Commonwealth environmental water carryover into 2013–14 </w:t>
      </w:r>
    </w:p>
    <w:p w:rsidR="001058D6" w:rsidRPr="00287BF0" w:rsidRDefault="001058D6" w:rsidP="007B2F2F">
      <w:pPr>
        <w:pStyle w:val="figureheading"/>
        <w:rPr>
          <w:rStyle w:val="TextBold"/>
          <w:rFonts w:cs="Arial"/>
          <w:b/>
          <w:color w:val="auto"/>
        </w:rPr>
      </w:pPr>
      <w:r w:rsidRPr="00287BF0">
        <w:rPr>
          <w:rStyle w:val="TextBold"/>
          <w:rFonts w:cs="Arial"/>
          <w:b/>
          <w:color w:val="auto"/>
        </w:rPr>
        <w:t>Table A14: Summary of Commonwealth environmental water carryover in the Murray–Darling Basin into 2013–14</w:t>
      </w:r>
    </w:p>
    <w:tbl>
      <w:tblPr>
        <w:tblStyle w:val="TableGrid1"/>
        <w:tblW w:w="5000" w:type="pct"/>
        <w:tblLook w:val="0020"/>
      </w:tblPr>
      <w:tblGrid>
        <w:gridCol w:w="3265"/>
        <w:gridCol w:w="3678"/>
        <w:gridCol w:w="2911"/>
      </w:tblGrid>
      <w:tr w:rsidR="001058D6" w:rsidRPr="00287BF0" w:rsidTr="001058D6">
        <w:trPr>
          <w:trHeight w:val="60"/>
        </w:trPr>
        <w:tc>
          <w:tcPr>
            <w:tcW w:w="1657" w:type="pct"/>
          </w:tcPr>
          <w:p w:rsidR="001058D6" w:rsidRPr="00287BF0" w:rsidRDefault="001058D6" w:rsidP="008E50D2">
            <w:pPr>
              <w:pStyle w:val="tablehead"/>
            </w:pPr>
            <w:r w:rsidRPr="00287BF0">
              <w:rPr>
                <w:rStyle w:val="TextBold"/>
                <w:b/>
              </w:rPr>
              <w:t>Part of Basin</w:t>
            </w:r>
          </w:p>
        </w:tc>
        <w:tc>
          <w:tcPr>
            <w:tcW w:w="1866" w:type="pct"/>
          </w:tcPr>
          <w:p w:rsidR="001058D6" w:rsidRPr="00287BF0" w:rsidRDefault="001058D6" w:rsidP="008E50D2">
            <w:pPr>
              <w:pStyle w:val="tablehead"/>
            </w:pPr>
            <w:r w:rsidRPr="00287BF0">
              <w:rPr>
                <w:rStyle w:val="TextBold"/>
                <w:b/>
              </w:rPr>
              <w:t>Water source</w:t>
            </w:r>
          </w:p>
        </w:tc>
        <w:tc>
          <w:tcPr>
            <w:tcW w:w="1477" w:type="pct"/>
          </w:tcPr>
          <w:p w:rsidR="001058D6" w:rsidRPr="00287BF0" w:rsidRDefault="001058D6" w:rsidP="008E50D2">
            <w:pPr>
              <w:pStyle w:val="tablehead"/>
            </w:pPr>
            <w:r w:rsidRPr="00287BF0">
              <w:rPr>
                <w:rStyle w:val="TextBold"/>
                <w:b/>
              </w:rPr>
              <w:t>Carryover (GL)</w:t>
            </w:r>
          </w:p>
        </w:tc>
      </w:tr>
      <w:tr w:rsidR="001058D6" w:rsidRPr="00287BF0" w:rsidTr="001058D6">
        <w:trPr>
          <w:trHeight w:val="60"/>
        </w:trPr>
        <w:tc>
          <w:tcPr>
            <w:tcW w:w="1657" w:type="pct"/>
            <w:vMerge w:val="restar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Southern Connected Basin</w:t>
            </w:r>
          </w:p>
        </w:tc>
        <w:tc>
          <w:tcPr>
            <w:tcW w:w="186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Victorian Murray</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87.6</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Goulburn</w:t>
            </w:r>
            <w:proofErr w:type="spellEnd"/>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15.3</w:t>
            </w:r>
          </w:p>
        </w:tc>
      </w:tr>
      <w:tr w:rsidR="001058D6" w:rsidRPr="00287BF0" w:rsidTr="001058D6">
        <w:trPr>
          <w:trHeight w:val="35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New South Wales Murray</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20.1</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Murrumbidgee</w:t>
            </w:r>
            <w:proofErr w:type="spellEnd"/>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45.5</w:t>
            </w:r>
          </w:p>
        </w:tc>
      </w:tr>
      <w:tr w:rsidR="001058D6" w:rsidRPr="00287BF0" w:rsidTr="001058D6">
        <w:trPr>
          <w:trHeight w:val="60"/>
        </w:trPr>
        <w:tc>
          <w:tcPr>
            <w:tcW w:w="1657" w:type="pct"/>
            <w:vMerge w:val="restar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Northern Basin</w:t>
            </w:r>
          </w:p>
        </w:tc>
        <w:tc>
          <w:tcPr>
            <w:tcW w:w="186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Lachlan</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65.6</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Macquarie and Cudgegong</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23.1</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Gwydir</w:t>
            </w:r>
            <w:proofErr w:type="spellEnd"/>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121.6</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proofErr w:type="spellStart"/>
            <w:r w:rsidRPr="00287BF0">
              <w:rPr>
                <w:rFonts w:ascii="Arial" w:hAnsi="Arial" w:cs="Arial"/>
                <w:color w:val="auto"/>
              </w:rPr>
              <w:t>Namoi</w:t>
            </w:r>
            <w:proofErr w:type="spellEnd"/>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5.5</w:t>
            </w:r>
          </w:p>
        </w:tc>
      </w:tr>
      <w:tr w:rsidR="001058D6" w:rsidRPr="00287BF0" w:rsidTr="001058D6">
        <w:trPr>
          <w:trHeight w:val="60"/>
        </w:trPr>
        <w:tc>
          <w:tcPr>
            <w:tcW w:w="1657" w:type="pct"/>
            <w:vMerge/>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r w:rsidRPr="00287BF0">
              <w:rPr>
                <w:rFonts w:ascii="Arial" w:hAnsi="Arial" w:cs="Arial"/>
                <w:color w:val="auto"/>
              </w:rPr>
              <w:t>Border Rivers</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Fonts w:ascii="Arial" w:hAnsi="Arial" w:cs="Arial"/>
                <w:color w:val="auto"/>
              </w:rPr>
              <w:t>8.7</w:t>
            </w:r>
          </w:p>
        </w:tc>
      </w:tr>
      <w:tr w:rsidR="001058D6" w:rsidRPr="00287BF0" w:rsidTr="001058D6">
        <w:trPr>
          <w:trHeight w:val="60"/>
        </w:trPr>
        <w:tc>
          <w:tcPr>
            <w:tcW w:w="1657" w:type="pct"/>
          </w:tcPr>
          <w:p w:rsidR="001058D6" w:rsidRPr="00287BF0" w:rsidRDefault="001058D6" w:rsidP="008E50D2">
            <w:pPr>
              <w:pStyle w:val="NoParagraphStyle"/>
              <w:suppressAutoHyphens/>
              <w:spacing w:before="60" w:after="60" w:line="240" w:lineRule="auto"/>
              <w:textAlignment w:val="auto"/>
              <w:rPr>
                <w:rFonts w:ascii="Arial" w:hAnsi="Arial" w:cs="Arial"/>
                <w:color w:val="auto"/>
                <w:lang w:val="en-US"/>
              </w:rPr>
            </w:pPr>
          </w:p>
        </w:tc>
        <w:tc>
          <w:tcPr>
            <w:tcW w:w="1866" w:type="pct"/>
          </w:tcPr>
          <w:p w:rsidR="001058D6" w:rsidRPr="00287BF0" w:rsidRDefault="001058D6" w:rsidP="008E50D2">
            <w:pPr>
              <w:pStyle w:val="tabletext"/>
              <w:spacing w:before="60" w:after="60"/>
              <w:rPr>
                <w:rFonts w:ascii="Arial" w:hAnsi="Arial" w:cs="Arial"/>
                <w:color w:val="auto"/>
              </w:rPr>
            </w:pPr>
            <w:r w:rsidRPr="00287BF0">
              <w:rPr>
                <w:rStyle w:val="TextBold"/>
                <w:rFonts w:ascii="Arial" w:hAnsi="Arial" w:cs="Arial"/>
                <w:bCs/>
                <w:color w:val="auto"/>
              </w:rPr>
              <w:t>Total</w:t>
            </w:r>
          </w:p>
        </w:tc>
        <w:tc>
          <w:tcPr>
            <w:tcW w:w="1477" w:type="pct"/>
          </w:tcPr>
          <w:p w:rsidR="001058D6" w:rsidRPr="00287BF0" w:rsidRDefault="001058D6" w:rsidP="008E50D2">
            <w:pPr>
              <w:pStyle w:val="tabletext"/>
              <w:spacing w:before="60" w:after="60"/>
              <w:jc w:val="right"/>
              <w:rPr>
                <w:rFonts w:ascii="Arial" w:hAnsi="Arial" w:cs="Arial"/>
                <w:color w:val="auto"/>
              </w:rPr>
            </w:pPr>
            <w:r w:rsidRPr="00287BF0">
              <w:rPr>
                <w:rStyle w:val="TextBold"/>
                <w:rFonts w:ascii="Arial" w:hAnsi="Arial" w:cs="Arial"/>
                <w:bCs/>
                <w:color w:val="auto"/>
              </w:rPr>
              <w:t>393</w:t>
            </w:r>
          </w:p>
        </w:tc>
      </w:tr>
    </w:tbl>
    <w:p w:rsidR="001058D6" w:rsidRPr="00287BF0" w:rsidRDefault="001058D6" w:rsidP="001058D6">
      <w:pPr>
        <w:pStyle w:val="body"/>
        <w:rPr>
          <w:rFonts w:ascii="Arial" w:hAnsi="Arial" w:cs="Arial"/>
          <w:color w:val="auto"/>
        </w:rPr>
      </w:pPr>
    </w:p>
    <w:p w:rsidR="001058D6" w:rsidRDefault="001058D6"/>
    <w:sectPr w:rsidR="001058D6" w:rsidSect="001058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A39" w:rsidRDefault="00CC1A39" w:rsidP="001058D6">
      <w:r>
        <w:separator/>
      </w:r>
    </w:p>
  </w:endnote>
  <w:endnote w:type="continuationSeparator" w:id="0">
    <w:p w:rsidR="00CC1A39" w:rsidRDefault="00CC1A39" w:rsidP="00105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charset w:val="00"/>
    <w:family w:val="auto"/>
    <w:pitch w:val="variable"/>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39" w:rsidRDefault="00CC1A39" w:rsidP="00FF08D0">
    <w:pPr>
      <w:pStyle w:val="Footer"/>
    </w:pPr>
    <w:r>
      <w:rPr>
        <w:rFonts w:ascii="Times-Roman" w:eastAsiaTheme="minorHAnsi" w:hAnsi="Times-Roman" w:cs="Times-Roman"/>
        <w:sz w:val="16"/>
        <w:szCs w:val="16"/>
      </w:rPr>
      <w:t xml:space="preserve">Department of Sustainability, Environment, Water, Population and Communities | </w:t>
    </w:r>
    <w:r>
      <w:rPr>
        <w:rFonts w:ascii="Times-Bold" w:eastAsiaTheme="minorHAnsi" w:hAnsi="Times-Bold" w:cs="Times-Bold"/>
        <w:b/>
        <w:bCs/>
        <w:sz w:val="16"/>
        <w:szCs w:val="16"/>
      </w:rPr>
      <w:t>Annual Report 2012–13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39" w:rsidRDefault="00CC1A39">
    <w:pPr>
      <w:pStyle w:val="Footer"/>
      <w:jc w:val="right"/>
    </w:pPr>
  </w:p>
  <w:p w:rsidR="00CC1A39" w:rsidRDefault="00CC1A39" w:rsidP="00FF08D0">
    <w:pPr>
      <w:pStyle w:val="Footer"/>
    </w:pPr>
    <w:r>
      <w:rPr>
        <w:rFonts w:ascii="Times-Roman" w:eastAsiaTheme="minorHAnsi" w:hAnsi="Times-Roman" w:cs="Times-Roman"/>
        <w:sz w:val="16"/>
        <w:szCs w:val="16"/>
      </w:rPr>
      <w:t xml:space="preserve">Department of Sustainability, Environment, Water, Population and Communities | </w:t>
    </w:r>
    <w:r>
      <w:rPr>
        <w:rFonts w:ascii="Times-Bold" w:eastAsiaTheme="minorHAnsi" w:hAnsi="Times-Bold" w:cs="Times-Bold"/>
        <w:b/>
        <w:bCs/>
        <w:sz w:val="16"/>
        <w:szCs w:val="16"/>
      </w:rPr>
      <w:t>Annual Report 2012–13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A39" w:rsidRDefault="00CC1A39" w:rsidP="001058D6">
      <w:r>
        <w:separator/>
      </w:r>
    </w:p>
  </w:footnote>
  <w:footnote w:type="continuationSeparator" w:id="0">
    <w:p w:rsidR="00CC1A39" w:rsidRDefault="00CC1A39" w:rsidP="001058D6">
      <w:r>
        <w:continuationSeparator/>
      </w:r>
    </w:p>
  </w:footnote>
  <w:footnote w:id="1">
    <w:p w:rsidR="00CC1A39" w:rsidRDefault="00CC1A39" w:rsidP="001058D6">
      <w:pPr>
        <w:pStyle w:val="Footer"/>
        <w:tabs>
          <w:tab w:val="clear" w:pos="140"/>
        </w:tabs>
      </w:pPr>
      <w:r>
        <w:rPr>
          <w:vertAlign w:val="superscript"/>
        </w:rPr>
        <w:footnoteRef/>
      </w:r>
      <w:r>
        <w:tab/>
        <w:t>Bureau of Meteorology Murray–Darling Rainfall Deciles 1 July 2012 – 30 June 2013.</w:t>
      </w:r>
    </w:p>
  </w:footnote>
  <w:footnote w:id="2">
    <w:p w:rsidR="00CC1A39" w:rsidRDefault="00CC1A39" w:rsidP="001058D6">
      <w:pPr>
        <w:pStyle w:val="Footer"/>
      </w:pPr>
      <w:r>
        <w:rPr>
          <w:vertAlign w:val="superscript"/>
        </w:rPr>
        <w:footnoteRef/>
      </w:r>
      <w:r>
        <w:tab/>
        <w:t>Bureau of Meteorology Murray–Darling Rainfall Deciles 1 July 2012 – 30 June 2013.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39" w:rsidRDefault="00CC1A39">
    <w:pPr>
      <w:jc w:val="right"/>
    </w:pPr>
  </w:p>
  <w:p w:rsidR="00CC1A39" w:rsidRDefault="00CC1A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058"/>
    <w:multiLevelType w:val="hybridMultilevel"/>
    <w:tmpl w:val="D238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1B47"/>
    <w:multiLevelType w:val="hybridMultilevel"/>
    <w:tmpl w:val="6E205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2A9324A"/>
    <w:multiLevelType w:val="hybridMultilevel"/>
    <w:tmpl w:val="F1DC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646E7D"/>
    <w:multiLevelType w:val="hybridMultilevel"/>
    <w:tmpl w:val="E67C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073C"/>
    <w:multiLevelType w:val="hybridMultilevel"/>
    <w:tmpl w:val="8B70E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623D96"/>
    <w:multiLevelType w:val="multilevel"/>
    <w:tmpl w:val="0C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9285903"/>
    <w:multiLevelType w:val="hybridMultilevel"/>
    <w:tmpl w:val="2CF8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975C16"/>
    <w:multiLevelType w:val="hybridMultilevel"/>
    <w:tmpl w:val="F7D4274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9">
    <w:nsid w:val="1C936498"/>
    <w:multiLevelType w:val="hybridMultilevel"/>
    <w:tmpl w:val="D9EA8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21050119"/>
    <w:multiLevelType w:val="hybridMultilevel"/>
    <w:tmpl w:val="7868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128A5"/>
    <w:multiLevelType w:val="hybridMultilevel"/>
    <w:tmpl w:val="FC144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3547934"/>
    <w:multiLevelType w:val="hybridMultilevel"/>
    <w:tmpl w:val="28907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5E5AE8"/>
    <w:multiLevelType w:val="hybridMultilevel"/>
    <w:tmpl w:val="9F6EE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CD2E7E"/>
    <w:multiLevelType w:val="hybridMultilevel"/>
    <w:tmpl w:val="87F6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618E9"/>
    <w:multiLevelType w:val="hybridMultilevel"/>
    <w:tmpl w:val="B694C81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7">
    <w:nsid w:val="309A51DF"/>
    <w:multiLevelType w:val="hybridMultilevel"/>
    <w:tmpl w:val="372A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8E0890"/>
    <w:multiLevelType w:val="hybridMultilevel"/>
    <w:tmpl w:val="465CB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255B8A"/>
    <w:multiLevelType w:val="hybridMultilevel"/>
    <w:tmpl w:val="0726A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211A3B"/>
    <w:multiLevelType w:val="hybridMultilevel"/>
    <w:tmpl w:val="01B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2C7E68"/>
    <w:multiLevelType w:val="hybridMultilevel"/>
    <w:tmpl w:val="5F62B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DC2027E"/>
    <w:multiLevelType w:val="hybridMultilevel"/>
    <w:tmpl w:val="8F6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AA165E"/>
    <w:multiLevelType w:val="hybridMultilevel"/>
    <w:tmpl w:val="82207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2E6776"/>
    <w:multiLevelType w:val="hybridMultilevel"/>
    <w:tmpl w:val="F2008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8224E8"/>
    <w:multiLevelType w:val="hybridMultilevel"/>
    <w:tmpl w:val="0AD4D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204DAD"/>
    <w:multiLevelType w:val="hybridMultilevel"/>
    <w:tmpl w:val="5C36F4BE"/>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7">
    <w:nsid w:val="49405B65"/>
    <w:multiLevelType w:val="hybridMultilevel"/>
    <w:tmpl w:val="E4B80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9810B14"/>
    <w:multiLevelType w:val="hybridMultilevel"/>
    <w:tmpl w:val="59E8B3A4"/>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29">
    <w:nsid w:val="4D476D63"/>
    <w:multiLevelType w:val="hybridMultilevel"/>
    <w:tmpl w:val="86AE5C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36071B"/>
    <w:multiLevelType w:val="hybridMultilevel"/>
    <w:tmpl w:val="9C4C8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1DB77F7"/>
    <w:multiLevelType w:val="hybridMultilevel"/>
    <w:tmpl w:val="019A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635034C0"/>
    <w:multiLevelType w:val="hybridMultilevel"/>
    <w:tmpl w:val="B2969BE0"/>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4">
    <w:nsid w:val="641708F4"/>
    <w:multiLevelType w:val="hybridMultilevel"/>
    <w:tmpl w:val="623AE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5110A39"/>
    <w:multiLevelType w:val="hybridMultilevel"/>
    <w:tmpl w:val="9F90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2223B8"/>
    <w:multiLevelType w:val="hybridMultilevel"/>
    <w:tmpl w:val="D7767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456429"/>
    <w:multiLevelType w:val="multilevel"/>
    <w:tmpl w:val="E898CC72"/>
    <w:numStyleLink w:val="KeyPoints"/>
  </w:abstractNum>
  <w:abstractNum w:abstractNumId="38">
    <w:nsid w:val="670F7BD9"/>
    <w:multiLevelType w:val="hybridMultilevel"/>
    <w:tmpl w:val="F47CD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8D03A5E"/>
    <w:multiLevelType w:val="hybridMultilevel"/>
    <w:tmpl w:val="C1406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C624576"/>
    <w:multiLevelType w:val="hybridMultilevel"/>
    <w:tmpl w:val="DF905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2E921FA"/>
    <w:multiLevelType w:val="multilevel"/>
    <w:tmpl w:val="2AA43014"/>
    <w:lvl w:ilvl="0">
      <w:start w:val="1"/>
      <w:numFmt w:val="decimal"/>
      <w:pStyle w:val="NotesHeading-Level1"/>
      <w:lvlText w:val="Note %1: "/>
      <w:lvlJc w:val="left"/>
      <w:pPr>
        <w:tabs>
          <w:tab w:val="num" w:pos="4679"/>
        </w:tabs>
        <w:ind w:left="4962" w:hanging="1134"/>
      </w:pPr>
      <w:rPr>
        <w:rFonts w:ascii="Arial" w:hAnsi="Arial" w:cs="Arial" w:hint="default"/>
        <w:b/>
        <w:bCs w:val="0"/>
        <w:i w:val="0"/>
        <w:iCs w:val="0"/>
        <w:caps w:val="0"/>
        <w:smallCaps w:val="0"/>
        <w:strike w:val="0"/>
        <w:dstrike w:val="0"/>
        <w:vanish w:val="0"/>
        <w:color w:val="FFFFFF" w:themeColor="background1"/>
        <w:spacing w:val="0"/>
        <w:kern w:val="0"/>
        <w:position w:val="0"/>
        <w:u w:val="none"/>
        <w:vertAlign w:val="baseline"/>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73C528F1"/>
    <w:multiLevelType w:val="hybridMultilevel"/>
    <w:tmpl w:val="AE28B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44">
    <w:nsid w:val="785C3F23"/>
    <w:multiLevelType w:val="hybridMultilevel"/>
    <w:tmpl w:val="C1F8F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32"/>
  </w:num>
  <w:num w:numId="3">
    <w:abstractNumId w:val="10"/>
  </w:num>
  <w:num w:numId="4">
    <w:abstractNumId w:val="2"/>
  </w:num>
  <w:num w:numId="5">
    <w:abstractNumId w:val="43"/>
  </w:num>
  <w:num w:numId="6">
    <w:abstractNumId w:val="37"/>
  </w:num>
  <w:num w:numId="7">
    <w:abstractNumId w:val="6"/>
  </w:num>
  <w:num w:numId="8">
    <w:abstractNumId w:val="4"/>
  </w:num>
  <w:num w:numId="9">
    <w:abstractNumId w:val="0"/>
  </w:num>
  <w:num w:numId="10">
    <w:abstractNumId w:val="7"/>
  </w:num>
  <w:num w:numId="11">
    <w:abstractNumId w:val="11"/>
  </w:num>
  <w:num w:numId="12">
    <w:abstractNumId w:val="28"/>
  </w:num>
  <w:num w:numId="13">
    <w:abstractNumId w:val="16"/>
  </w:num>
  <w:num w:numId="14">
    <w:abstractNumId w:val="26"/>
  </w:num>
  <w:num w:numId="15">
    <w:abstractNumId w:val="20"/>
  </w:num>
  <w:num w:numId="16">
    <w:abstractNumId w:val="8"/>
  </w:num>
  <w:num w:numId="17">
    <w:abstractNumId w:val="33"/>
  </w:num>
  <w:num w:numId="18">
    <w:abstractNumId w:val="15"/>
  </w:num>
  <w:num w:numId="19">
    <w:abstractNumId w:val="12"/>
  </w:num>
  <w:num w:numId="20">
    <w:abstractNumId w:val="30"/>
  </w:num>
  <w:num w:numId="21">
    <w:abstractNumId w:val="5"/>
  </w:num>
  <w:num w:numId="22">
    <w:abstractNumId w:val="42"/>
  </w:num>
  <w:num w:numId="23">
    <w:abstractNumId w:val="44"/>
  </w:num>
  <w:num w:numId="24">
    <w:abstractNumId w:val="34"/>
  </w:num>
  <w:num w:numId="25">
    <w:abstractNumId w:val="29"/>
  </w:num>
  <w:num w:numId="26">
    <w:abstractNumId w:val="35"/>
  </w:num>
  <w:num w:numId="27">
    <w:abstractNumId w:val="1"/>
  </w:num>
  <w:num w:numId="28">
    <w:abstractNumId w:val="3"/>
  </w:num>
  <w:num w:numId="29">
    <w:abstractNumId w:val="24"/>
  </w:num>
  <w:num w:numId="30">
    <w:abstractNumId w:val="40"/>
  </w:num>
  <w:num w:numId="31">
    <w:abstractNumId w:val="22"/>
  </w:num>
  <w:num w:numId="32">
    <w:abstractNumId w:val="25"/>
  </w:num>
  <w:num w:numId="33">
    <w:abstractNumId w:val="19"/>
  </w:num>
  <w:num w:numId="34">
    <w:abstractNumId w:val="21"/>
  </w:num>
  <w:num w:numId="35">
    <w:abstractNumId w:val="13"/>
  </w:num>
  <w:num w:numId="36">
    <w:abstractNumId w:val="31"/>
  </w:num>
  <w:num w:numId="37">
    <w:abstractNumId w:val="36"/>
  </w:num>
  <w:num w:numId="38">
    <w:abstractNumId w:val="27"/>
  </w:num>
  <w:num w:numId="39">
    <w:abstractNumId w:val="17"/>
  </w:num>
  <w:num w:numId="40">
    <w:abstractNumId w:val="23"/>
  </w:num>
  <w:num w:numId="41">
    <w:abstractNumId w:val="14"/>
  </w:num>
  <w:num w:numId="42">
    <w:abstractNumId w:val="38"/>
  </w:num>
  <w:num w:numId="43">
    <w:abstractNumId w:val="9"/>
  </w:num>
  <w:num w:numId="44">
    <w:abstractNumId w:val="18"/>
  </w:num>
  <w:num w:numId="45">
    <w:abstractNumId w:val="3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1058D6"/>
    <w:rsid w:val="00023FA1"/>
    <w:rsid w:val="001058D6"/>
    <w:rsid w:val="00154DBC"/>
    <w:rsid w:val="001808A7"/>
    <w:rsid w:val="002021C2"/>
    <w:rsid w:val="00244BBC"/>
    <w:rsid w:val="002D1EF4"/>
    <w:rsid w:val="002D4298"/>
    <w:rsid w:val="002E395F"/>
    <w:rsid w:val="00722E62"/>
    <w:rsid w:val="007330B0"/>
    <w:rsid w:val="00740E99"/>
    <w:rsid w:val="007B2F2F"/>
    <w:rsid w:val="008E50D2"/>
    <w:rsid w:val="0094078C"/>
    <w:rsid w:val="00AE7B86"/>
    <w:rsid w:val="00B31812"/>
    <w:rsid w:val="00CC1A39"/>
    <w:rsid w:val="00CE7C1F"/>
    <w:rsid w:val="00CF316A"/>
    <w:rsid w:val="00D06805"/>
    <w:rsid w:val="00DB36E9"/>
    <w:rsid w:val="00DD58E5"/>
    <w:rsid w:val="00E52D22"/>
    <w:rsid w:val="00EC045C"/>
    <w:rsid w:val="00F50C38"/>
    <w:rsid w:val="00F53175"/>
    <w:rsid w:val="00F77AE2"/>
    <w:rsid w:val="00F93749"/>
    <w:rsid w:val="00FF08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58D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58D6"/>
    <w:pPr>
      <w:keepNext/>
      <w:spacing w:before="240" w:after="60" w:line="260" w:lineRule="atLeast"/>
      <w:outlineLvl w:val="0"/>
    </w:pPr>
    <w:rPr>
      <w:rFonts w:ascii="Arial" w:hAnsi="Arial" w:cs="Arial"/>
      <w:b/>
      <w:bCs/>
      <w:kern w:val="32"/>
      <w:sz w:val="44"/>
      <w:szCs w:val="32"/>
    </w:rPr>
  </w:style>
  <w:style w:type="paragraph" w:styleId="Heading2">
    <w:name w:val="heading 2"/>
    <w:basedOn w:val="Normal"/>
    <w:next w:val="Normal"/>
    <w:link w:val="Heading2Char"/>
    <w:autoRedefine/>
    <w:uiPriority w:val="9"/>
    <w:unhideWhenUsed/>
    <w:qFormat/>
    <w:rsid w:val="001058D6"/>
    <w:pPr>
      <w:keepNext/>
      <w:suppressAutoHyphens/>
      <w:spacing w:before="240" w:after="60"/>
      <w:outlineLvl w:val="1"/>
    </w:pPr>
    <w:rPr>
      <w:rFonts w:ascii="Arial" w:eastAsiaTheme="majorEastAsia" w:hAnsi="Arial"/>
      <w:b/>
      <w:bCs/>
      <w:iCs/>
      <w:sz w:val="36"/>
      <w:szCs w:val="28"/>
    </w:rPr>
  </w:style>
  <w:style w:type="paragraph" w:styleId="Heading3">
    <w:name w:val="heading 3"/>
    <w:basedOn w:val="NoParagraphStyle"/>
    <w:link w:val="Heading3Char"/>
    <w:autoRedefine/>
    <w:uiPriority w:val="9"/>
    <w:qFormat/>
    <w:rsid w:val="001058D6"/>
    <w:pPr>
      <w:suppressAutoHyphens/>
      <w:spacing w:before="240" w:after="113" w:line="320" w:lineRule="atLeast"/>
      <w:outlineLvl w:val="2"/>
    </w:pPr>
    <w:rPr>
      <w:rFonts w:ascii="Arial" w:hAnsi="Arial" w:cs="Arial"/>
      <w:b/>
      <w:bCs/>
      <w:color w:val="auto"/>
      <w:sz w:val="28"/>
      <w:szCs w:val="28"/>
      <w:lang w:val="en-US"/>
    </w:rPr>
  </w:style>
  <w:style w:type="paragraph" w:styleId="Heading4">
    <w:name w:val="heading 4"/>
    <w:basedOn w:val="body"/>
    <w:next w:val="body"/>
    <w:link w:val="Heading4Char"/>
    <w:autoRedefine/>
    <w:uiPriority w:val="9"/>
    <w:qFormat/>
    <w:rsid w:val="001058D6"/>
    <w:pPr>
      <w:spacing w:before="170" w:line="300" w:lineRule="atLeast"/>
      <w:outlineLvl w:val="3"/>
    </w:pPr>
    <w:rPr>
      <w:rFonts w:ascii="Arial" w:hAnsi="Arial" w:cs="Arial"/>
      <w:b/>
      <w:bCs/>
      <w:i/>
      <w:iCs/>
      <w:color w:val="auto"/>
      <w:spacing w:val="-5"/>
      <w:sz w:val="24"/>
    </w:rPr>
  </w:style>
  <w:style w:type="paragraph" w:styleId="Heading5">
    <w:name w:val="heading 5"/>
    <w:basedOn w:val="Normal"/>
    <w:next w:val="Normal"/>
    <w:link w:val="Heading5Char"/>
    <w:autoRedefine/>
    <w:uiPriority w:val="9"/>
    <w:qFormat/>
    <w:rsid w:val="001058D6"/>
    <w:pPr>
      <w:spacing w:line="260" w:lineRule="atLeast"/>
      <w:outlineLvl w:val="4"/>
    </w:pPr>
    <w:rPr>
      <w:rFonts w:ascii="Arial" w:hAnsi="Arial"/>
      <w:b/>
      <w:iCs/>
      <w:sz w:val="22"/>
    </w:rPr>
  </w:style>
  <w:style w:type="paragraph" w:styleId="Heading6">
    <w:name w:val="heading 6"/>
    <w:basedOn w:val="Normal"/>
    <w:next w:val="Normal"/>
    <w:link w:val="Heading6Char"/>
    <w:uiPriority w:val="9"/>
    <w:rsid w:val="001058D6"/>
    <w:pPr>
      <w:spacing w:line="260" w:lineRule="atLeast"/>
      <w:outlineLvl w:val="5"/>
    </w:pPr>
    <w:rPr>
      <w:sz w:val="22"/>
    </w:rPr>
  </w:style>
  <w:style w:type="paragraph" w:styleId="Heading7">
    <w:name w:val="heading 7"/>
    <w:aliases w:val="Section Sub-Heading 4"/>
    <w:basedOn w:val="Normal"/>
    <w:next w:val="Normal"/>
    <w:link w:val="Heading7Char"/>
    <w:uiPriority w:val="9"/>
    <w:rsid w:val="001058D6"/>
    <w:pPr>
      <w:spacing w:line="260" w:lineRule="atLeast"/>
      <w:outlineLvl w:val="6"/>
    </w:pPr>
    <w:rPr>
      <w:sz w:val="22"/>
    </w:rPr>
  </w:style>
  <w:style w:type="paragraph" w:styleId="Heading8">
    <w:name w:val="heading 8"/>
    <w:basedOn w:val="Normal"/>
    <w:next w:val="Normal"/>
    <w:link w:val="Heading8Char"/>
    <w:uiPriority w:val="9"/>
    <w:rsid w:val="001058D6"/>
    <w:pPr>
      <w:spacing w:line="260" w:lineRule="atLeast"/>
      <w:outlineLvl w:val="7"/>
    </w:pPr>
    <w:rPr>
      <w:sz w:val="22"/>
    </w:rPr>
  </w:style>
  <w:style w:type="paragraph" w:styleId="Heading9">
    <w:name w:val="heading 9"/>
    <w:basedOn w:val="Normal"/>
    <w:next w:val="Normal"/>
    <w:link w:val="Heading9Char"/>
    <w:uiPriority w:val="9"/>
    <w:rsid w:val="001058D6"/>
    <w:pPr>
      <w:spacing w:line="260" w:lineRule="atLeast"/>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D6"/>
    <w:rPr>
      <w:rFonts w:ascii="Arial" w:eastAsia="Times New Roman" w:hAnsi="Arial" w:cs="Arial"/>
      <w:b/>
      <w:bCs/>
      <w:kern w:val="32"/>
      <w:sz w:val="44"/>
      <w:szCs w:val="32"/>
    </w:rPr>
  </w:style>
  <w:style w:type="character" w:customStyle="1" w:styleId="Heading2Char">
    <w:name w:val="Heading 2 Char"/>
    <w:basedOn w:val="DefaultParagraphFont"/>
    <w:link w:val="Heading2"/>
    <w:uiPriority w:val="9"/>
    <w:rsid w:val="001058D6"/>
    <w:rPr>
      <w:rFonts w:ascii="Arial" w:eastAsiaTheme="majorEastAsia" w:hAnsi="Arial" w:cs="Times New Roman"/>
      <w:b/>
      <w:bCs/>
      <w:iCs/>
      <w:sz w:val="36"/>
      <w:szCs w:val="28"/>
    </w:rPr>
  </w:style>
  <w:style w:type="character" w:customStyle="1" w:styleId="Heading3Char">
    <w:name w:val="Heading 3 Char"/>
    <w:basedOn w:val="DefaultParagraphFont"/>
    <w:link w:val="Heading3"/>
    <w:uiPriority w:val="9"/>
    <w:rsid w:val="001058D6"/>
    <w:rPr>
      <w:rFonts w:ascii="Arial" w:eastAsia="Times New Roman" w:hAnsi="Arial" w:cs="Arial"/>
      <w:b/>
      <w:bCs/>
      <w:sz w:val="28"/>
      <w:szCs w:val="28"/>
      <w:lang w:val="en-US"/>
    </w:rPr>
  </w:style>
  <w:style w:type="character" w:customStyle="1" w:styleId="Heading4Char">
    <w:name w:val="Heading 4 Char"/>
    <w:basedOn w:val="DefaultParagraphFont"/>
    <w:link w:val="Heading4"/>
    <w:uiPriority w:val="9"/>
    <w:rsid w:val="001058D6"/>
    <w:rPr>
      <w:rFonts w:ascii="Arial" w:eastAsia="Times New Roman" w:hAnsi="Arial" w:cs="Arial"/>
      <w:b/>
      <w:bCs/>
      <w:i/>
      <w:iCs/>
      <w:spacing w:val="-5"/>
      <w:sz w:val="24"/>
      <w:szCs w:val="20"/>
      <w:lang w:val="en-GB"/>
    </w:rPr>
  </w:style>
  <w:style w:type="character" w:customStyle="1" w:styleId="Heading5Char">
    <w:name w:val="Heading 5 Char"/>
    <w:basedOn w:val="DefaultParagraphFont"/>
    <w:link w:val="Heading5"/>
    <w:uiPriority w:val="9"/>
    <w:rsid w:val="001058D6"/>
    <w:rPr>
      <w:rFonts w:ascii="Arial" w:eastAsia="Times New Roman" w:hAnsi="Arial" w:cs="Times New Roman"/>
      <w:b/>
      <w:iCs/>
      <w:szCs w:val="20"/>
    </w:rPr>
  </w:style>
  <w:style w:type="character" w:customStyle="1" w:styleId="Heading6Char">
    <w:name w:val="Heading 6 Char"/>
    <w:basedOn w:val="DefaultParagraphFont"/>
    <w:link w:val="Heading6"/>
    <w:uiPriority w:val="9"/>
    <w:rsid w:val="001058D6"/>
    <w:rPr>
      <w:rFonts w:ascii="Times New Roman" w:eastAsia="Times New Roman" w:hAnsi="Times New Roman" w:cs="Times New Roman"/>
      <w:szCs w:val="20"/>
    </w:rPr>
  </w:style>
  <w:style w:type="character" w:customStyle="1" w:styleId="Heading7Char">
    <w:name w:val="Heading 7 Char"/>
    <w:aliases w:val="Section Sub-Heading 4 Char"/>
    <w:basedOn w:val="DefaultParagraphFont"/>
    <w:link w:val="Heading7"/>
    <w:uiPriority w:val="9"/>
    <w:rsid w:val="001058D6"/>
    <w:rPr>
      <w:rFonts w:ascii="Times New Roman" w:eastAsia="Times New Roman" w:hAnsi="Times New Roman" w:cs="Times New Roman"/>
      <w:szCs w:val="20"/>
    </w:rPr>
  </w:style>
  <w:style w:type="character" w:customStyle="1" w:styleId="Heading8Char">
    <w:name w:val="Heading 8 Char"/>
    <w:basedOn w:val="DefaultParagraphFont"/>
    <w:link w:val="Heading8"/>
    <w:uiPriority w:val="9"/>
    <w:rsid w:val="001058D6"/>
    <w:rPr>
      <w:rFonts w:ascii="Times New Roman" w:eastAsia="Times New Roman" w:hAnsi="Times New Roman" w:cs="Times New Roman"/>
      <w:szCs w:val="20"/>
    </w:rPr>
  </w:style>
  <w:style w:type="character" w:customStyle="1" w:styleId="Heading9Char">
    <w:name w:val="Heading 9 Char"/>
    <w:basedOn w:val="DefaultParagraphFont"/>
    <w:link w:val="Heading9"/>
    <w:uiPriority w:val="9"/>
    <w:rsid w:val="001058D6"/>
    <w:rPr>
      <w:rFonts w:ascii="Times New Roman" w:eastAsia="Times New Roman" w:hAnsi="Times New Roman" w:cs="Times New Roman"/>
      <w:szCs w:val="20"/>
    </w:rPr>
  </w:style>
  <w:style w:type="paragraph" w:customStyle="1" w:styleId="NoParagraphStyle">
    <w:name w:val="[No Paragraph Style]"/>
    <w:rsid w:val="001058D6"/>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body">
    <w:name w:val="body"/>
    <w:basedOn w:val="NoParagraphStyle"/>
    <w:next w:val="NoParagraphStyle"/>
    <w:uiPriority w:val="99"/>
    <w:rsid w:val="001058D6"/>
    <w:pPr>
      <w:suppressAutoHyphens/>
      <w:spacing w:after="113" w:line="240" w:lineRule="atLeast"/>
    </w:pPr>
    <w:rPr>
      <w:rFonts w:ascii="ArialMT" w:hAnsi="ArialMT" w:cs="ArialMT"/>
      <w:spacing w:val="-2"/>
      <w:sz w:val="20"/>
      <w:szCs w:val="20"/>
    </w:rPr>
  </w:style>
  <w:style w:type="paragraph" w:customStyle="1" w:styleId="ContentsH1">
    <w:name w:val="Contents H1"/>
    <w:basedOn w:val="NoParagraphStyle"/>
    <w:next w:val="NoParagraphStyle"/>
    <w:uiPriority w:val="99"/>
    <w:rsid w:val="001058D6"/>
    <w:pPr>
      <w:tabs>
        <w:tab w:val="right" w:pos="7257"/>
      </w:tabs>
      <w:suppressAutoHyphens/>
      <w:spacing w:before="57" w:after="57" w:line="240" w:lineRule="atLeast"/>
    </w:pPr>
    <w:rPr>
      <w:rFonts w:ascii="Arial-BoldMT" w:hAnsi="Arial-BoldMT" w:cs="Arial-BoldMT"/>
      <w:b/>
      <w:bCs/>
      <w:color w:val="8C8E8F"/>
      <w:sz w:val="18"/>
      <w:szCs w:val="18"/>
    </w:rPr>
  </w:style>
  <w:style w:type="paragraph" w:customStyle="1" w:styleId="Contentsbody">
    <w:name w:val="Contents body"/>
    <w:basedOn w:val="NoParagraphStyle"/>
    <w:next w:val="NoParagraphStyle"/>
    <w:uiPriority w:val="99"/>
    <w:rsid w:val="001058D6"/>
    <w:pPr>
      <w:tabs>
        <w:tab w:val="right" w:pos="7257"/>
      </w:tabs>
      <w:suppressAutoHyphens/>
      <w:spacing w:after="85" w:line="180" w:lineRule="atLeast"/>
    </w:pPr>
    <w:rPr>
      <w:rFonts w:ascii="ArialMT" w:hAnsi="ArialMT" w:cs="ArialMT"/>
      <w:sz w:val="18"/>
      <w:szCs w:val="18"/>
    </w:rPr>
  </w:style>
  <w:style w:type="paragraph" w:customStyle="1" w:styleId="HEADING10">
    <w:name w:val="HEADING1"/>
    <w:basedOn w:val="NoParagraphStyle"/>
    <w:uiPriority w:val="99"/>
    <w:rsid w:val="001058D6"/>
    <w:pPr>
      <w:suppressAutoHyphens/>
      <w:spacing w:before="176" w:line="640" w:lineRule="atLeast"/>
      <w:textAlignment w:val="baseline"/>
    </w:pPr>
    <w:rPr>
      <w:rFonts w:ascii="TimesNewRomanPSMT" w:hAnsi="TimesNewRomanPSMT" w:cs="TimesNewRomanPSMT"/>
      <w:caps/>
      <w:color w:val="FFFFFF"/>
      <w:sz w:val="48"/>
      <w:szCs w:val="48"/>
      <w:lang w:val="en-AU"/>
    </w:rPr>
  </w:style>
  <w:style w:type="paragraph" w:customStyle="1" w:styleId="HEADING1BLACK">
    <w:name w:val="HEADING 1 BLACK"/>
    <w:basedOn w:val="HEADING10"/>
    <w:uiPriority w:val="99"/>
    <w:rsid w:val="001058D6"/>
    <w:pPr>
      <w:spacing w:after="227" w:line="500" w:lineRule="atLeast"/>
    </w:pPr>
    <w:rPr>
      <w:caps w:val="0"/>
      <w:color w:val="000000"/>
    </w:rPr>
  </w:style>
  <w:style w:type="paragraph" w:customStyle="1" w:styleId="BasicParagraph">
    <w:name w:val="[Basic Paragraph]"/>
    <w:basedOn w:val="NoParagraphStyle"/>
    <w:uiPriority w:val="99"/>
    <w:rsid w:val="001058D6"/>
    <w:rPr>
      <w:rFonts w:ascii="ArialMT" w:hAnsi="ArialMT" w:cs="ArialMT"/>
      <w:sz w:val="20"/>
      <w:szCs w:val="20"/>
    </w:rPr>
  </w:style>
  <w:style w:type="paragraph" w:customStyle="1" w:styleId="H2">
    <w:name w:val="H2"/>
    <w:basedOn w:val="BasicParagraph"/>
    <w:next w:val="NoParagraphStyle"/>
    <w:uiPriority w:val="99"/>
    <w:rsid w:val="001058D6"/>
    <w:pPr>
      <w:suppressAutoHyphens/>
      <w:spacing w:before="227" w:after="170" w:line="380" w:lineRule="atLeast"/>
    </w:pPr>
    <w:rPr>
      <w:rFonts w:ascii="Arial-BoldMT" w:hAnsi="Arial-BoldMT" w:cs="Arial-BoldMT"/>
      <w:b/>
      <w:bCs/>
      <w:color w:val="8C8E8F"/>
      <w:spacing w:val="-7"/>
      <w:sz w:val="34"/>
      <w:szCs w:val="34"/>
    </w:rPr>
  </w:style>
  <w:style w:type="paragraph" w:customStyle="1" w:styleId="bullets">
    <w:name w:val="bullets"/>
    <w:basedOn w:val="NoParagraphStyle"/>
    <w:next w:val="NoParagraphStyle"/>
    <w:uiPriority w:val="99"/>
    <w:rsid w:val="001058D6"/>
    <w:pPr>
      <w:suppressAutoHyphens/>
      <w:spacing w:after="57" w:line="240" w:lineRule="atLeast"/>
      <w:ind w:left="167" w:hanging="167"/>
    </w:pPr>
    <w:rPr>
      <w:rFonts w:ascii="ArialMT" w:hAnsi="ArialMT" w:cs="ArialMT"/>
      <w:spacing w:val="-2"/>
      <w:sz w:val="20"/>
      <w:szCs w:val="20"/>
    </w:rPr>
  </w:style>
  <w:style w:type="paragraph" w:styleId="Caption">
    <w:name w:val="caption"/>
    <w:basedOn w:val="body"/>
    <w:uiPriority w:val="35"/>
    <w:rsid w:val="001058D6"/>
    <w:pPr>
      <w:spacing w:before="57" w:after="227" w:line="210" w:lineRule="atLeast"/>
    </w:pPr>
    <w:rPr>
      <w:sz w:val="17"/>
      <w:szCs w:val="17"/>
    </w:rPr>
  </w:style>
  <w:style w:type="paragraph" w:customStyle="1" w:styleId="bodyintro">
    <w:name w:val="body intro"/>
    <w:basedOn w:val="NoParagraphStyle"/>
    <w:uiPriority w:val="99"/>
    <w:rsid w:val="001058D6"/>
    <w:pPr>
      <w:suppressAutoHyphens/>
      <w:spacing w:after="113" w:line="260" w:lineRule="atLeast"/>
    </w:pPr>
    <w:rPr>
      <w:rFonts w:ascii="Arial-BoldMT" w:hAnsi="Arial-BoldMT" w:cs="Arial-BoldMT"/>
      <w:b/>
      <w:bCs/>
      <w:color w:val="8C8E8F"/>
      <w:spacing w:val="-2"/>
      <w:sz w:val="20"/>
      <w:szCs w:val="20"/>
    </w:rPr>
  </w:style>
  <w:style w:type="paragraph" w:customStyle="1" w:styleId="secondbulets">
    <w:name w:val="second bulets"/>
    <w:basedOn w:val="bullets"/>
    <w:uiPriority w:val="99"/>
    <w:rsid w:val="001058D6"/>
    <w:pPr>
      <w:ind w:left="380"/>
    </w:pPr>
  </w:style>
  <w:style w:type="paragraph" w:customStyle="1" w:styleId="figureheading">
    <w:name w:val="figure heading"/>
    <w:basedOn w:val="body"/>
    <w:autoRedefine/>
    <w:uiPriority w:val="99"/>
    <w:qFormat/>
    <w:rsid w:val="007B2F2F"/>
    <w:pPr>
      <w:spacing w:before="113" w:after="57"/>
      <w:ind w:left="993" w:hanging="993"/>
    </w:pPr>
    <w:rPr>
      <w:rFonts w:ascii="Arial" w:hAnsi="Arial" w:cs="Arial-BoldMT"/>
      <w:b/>
      <w:bCs/>
    </w:rPr>
  </w:style>
  <w:style w:type="paragraph" w:customStyle="1" w:styleId="lastbullet">
    <w:name w:val="last bullet"/>
    <w:basedOn w:val="bullets"/>
    <w:uiPriority w:val="99"/>
    <w:rsid w:val="001058D6"/>
    <w:pPr>
      <w:spacing w:after="113"/>
    </w:pPr>
  </w:style>
  <w:style w:type="paragraph" w:customStyle="1" w:styleId="tablebullets">
    <w:name w:val="table bullets"/>
    <w:basedOn w:val="bullets"/>
    <w:uiPriority w:val="99"/>
    <w:rsid w:val="001058D6"/>
    <w:pPr>
      <w:spacing w:line="210" w:lineRule="atLeast"/>
    </w:pPr>
    <w:rPr>
      <w:sz w:val="17"/>
      <w:szCs w:val="17"/>
    </w:rPr>
  </w:style>
  <w:style w:type="paragraph" w:styleId="ListBullet">
    <w:name w:val="List Bullet"/>
    <w:basedOn w:val="body"/>
    <w:uiPriority w:val="99"/>
    <w:rsid w:val="001058D6"/>
  </w:style>
  <w:style w:type="paragraph" w:customStyle="1" w:styleId="Main">
    <w:name w:val="Main"/>
    <w:basedOn w:val="NoParagraphStyle"/>
    <w:uiPriority w:val="99"/>
    <w:rsid w:val="001058D6"/>
    <w:pPr>
      <w:tabs>
        <w:tab w:val="right" w:pos="9020"/>
      </w:tabs>
      <w:spacing w:line="240" w:lineRule="atLeast"/>
      <w:ind w:left="500" w:hanging="500"/>
    </w:pPr>
    <w:rPr>
      <w:rFonts w:ascii="ArialMT" w:hAnsi="ArialMT" w:cs="ArialMT"/>
      <w:sz w:val="20"/>
      <w:szCs w:val="20"/>
      <w:lang w:val="en-US"/>
    </w:rPr>
  </w:style>
  <w:style w:type="paragraph" w:customStyle="1" w:styleId="tabletext">
    <w:name w:val="table text"/>
    <w:basedOn w:val="body"/>
    <w:uiPriority w:val="99"/>
    <w:rsid w:val="001058D6"/>
    <w:pPr>
      <w:spacing w:line="210" w:lineRule="atLeast"/>
    </w:pPr>
    <w:rPr>
      <w:sz w:val="17"/>
      <w:szCs w:val="17"/>
    </w:rPr>
  </w:style>
  <w:style w:type="paragraph" w:customStyle="1" w:styleId="tablehead">
    <w:name w:val="table head"/>
    <w:basedOn w:val="tabletext"/>
    <w:autoRedefine/>
    <w:uiPriority w:val="99"/>
    <w:qFormat/>
    <w:rsid w:val="00154DBC"/>
    <w:pPr>
      <w:spacing w:before="60" w:after="60"/>
      <w:jc w:val="center"/>
    </w:pPr>
    <w:rPr>
      <w:rFonts w:ascii="Arial" w:hAnsi="Arial" w:cs="Arial"/>
      <w:b/>
      <w:bCs/>
      <w:caps/>
      <w:color w:val="auto"/>
      <w:sz w:val="16"/>
      <w:szCs w:val="16"/>
      <w:lang w:eastAsia="en-AU"/>
    </w:rPr>
  </w:style>
  <w:style w:type="paragraph" w:styleId="Footer">
    <w:name w:val="footer"/>
    <w:basedOn w:val="NoParagraphStyle"/>
    <w:link w:val="FooterChar"/>
    <w:uiPriority w:val="99"/>
    <w:rsid w:val="001058D6"/>
    <w:pPr>
      <w:tabs>
        <w:tab w:val="left" w:pos="140"/>
        <w:tab w:val="left" w:pos="170"/>
      </w:tabs>
      <w:suppressAutoHyphens/>
    </w:pPr>
    <w:rPr>
      <w:rFonts w:ascii="TimesNewRomanPSMT" w:hAnsi="TimesNewRomanPSMT" w:cs="TimesNewRomanPSMT"/>
      <w:sz w:val="14"/>
      <w:szCs w:val="14"/>
    </w:rPr>
  </w:style>
  <w:style w:type="character" w:customStyle="1" w:styleId="FooterChar">
    <w:name w:val="Footer Char"/>
    <w:basedOn w:val="DefaultParagraphFont"/>
    <w:link w:val="Footer"/>
    <w:uiPriority w:val="99"/>
    <w:rsid w:val="001058D6"/>
    <w:rPr>
      <w:rFonts w:ascii="TimesNewRomanPSMT" w:eastAsia="Times New Roman" w:hAnsi="TimesNewRomanPSMT" w:cs="TimesNewRomanPSMT"/>
      <w:color w:val="000000"/>
      <w:sz w:val="14"/>
      <w:szCs w:val="14"/>
      <w:lang w:val="en-GB"/>
    </w:rPr>
  </w:style>
  <w:style w:type="character" w:customStyle="1" w:styleId="TextBold">
    <w:name w:val="Text Bold"/>
    <w:uiPriority w:val="99"/>
    <w:rsid w:val="001058D6"/>
    <w:rPr>
      <w:b/>
    </w:rPr>
  </w:style>
  <w:style w:type="character" w:customStyle="1" w:styleId="Textitalic">
    <w:name w:val="Text italic"/>
    <w:uiPriority w:val="99"/>
    <w:rsid w:val="001058D6"/>
    <w:rPr>
      <w:i/>
    </w:rPr>
  </w:style>
  <w:style w:type="character" w:customStyle="1" w:styleId="st">
    <w:name w:val="st"/>
    <w:uiPriority w:val="99"/>
    <w:rsid w:val="001058D6"/>
  </w:style>
  <w:style w:type="character" w:styleId="Hyperlink">
    <w:name w:val="Hyperlink"/>
    <w:basedOn w:val="DefaultParagraphFont"/>
    <w:uiPriority w:val="99"/>
    <w:rsid w:val="001058D6"/>
    <w:rPr>
      <w:rFonts w:cs="Times New Roman"/>
      <w:color w:val="000000"/>
      <w:w w:val="100"/>
      <w:u w:val="thick" w:color="000000"/>
    </w:rPr>
  </w:style>
  <w:style w:type="character" w:customStyle="1" w:styleId="italic">
    <w:name w:val="italic"/>
    <w:uiPriority w:val="99"/>
    <w:rsid w:val="001058D6"/>
  </w:style>
  <w:style w:type="character" w:customStyle="1" w:styleId="A3">
    <w:name w:val="A3"/>
    <w:uiPriority w:val="99"/>
    <w:rsid w:val="001058D6"/>
    <w:rPr>
      <w:color w:val="000000"/>
      <w:w w:val="100"/>
      <w:sz w:val="18"/>
    </w:rPr>
  </w:style>
  <w:style w:type="character" w:customStyle="1" w:styleId="source">
    <w:name w:val="source"/>
    <w:uiPriority w:val="99"/>
    <w:rsid w:val="001058D6"/>
  </w:style>
  <w:style w:type="character" w:styleId="Emphasis">
    <w:name w:val="Emphasis"/>
    <w:basedOn w:val="DefaultParagraphFont"/>
    <w:uiPriority w:val="99"/>
    <w:rsid w:val="001058D6"/>
    <w:rPr>
      <w:rFonts w:cs="Times New Roman"/>
      <w:i/>
      <w:iCs/>
      <w:w w:val="100"/>
    </w:rPr>
  </w:style>
  <w:style w:type="character" w:customStyle="1" w:styleId="TextItalic0">
    <w:name w:val="Text Italic"/>
    <w:uiPriority w:val="99"/>
    <w:rsid w:val="001058D6"/>
    <w:rPr>
      <w:i/>
      <w:w w:val="100"/>
    </w:rPr>
  </w:style>
  <w:style w:type="character" w:customStyle="1" w:styleId="Normalcase">
    <w:name w:val="Normal case"/>
    <w:uiPriority w:val="99"/>
    <w:rsid w:val="001058D6"/>
  </w:style>
  <w:style w:type="character" w:styleId="Strong">
    <w:name w:val="Strong"/>
    <w:basedOn w:val="DefaultParagraphFont"/>
    <w:uiPriority w:val="22"/>
    <w:qFormat/>
    <w:rsid w:val="001058D6"/>
    <w:rPr>
      <w:rFonts w:ascii="Arial" w:hAnsi="Arial" w:cs="Times New Roman"/>
      <w:b w:val="0"/>
      <w:color w:val="auto"/>
      <w:sz w:val="22"/>
    </w:rPr>
  </w:style>
  <w:style w:type="paragraph" w:styleId="Header">
    <w:name w:val="header"/>
    <w:basedOn w:val="Normal"/>
    <w:link w:val="HeaderChar"/>
    <w:uiPriority w:val="99"/>
    <w:unhideWhenUsed/>
    <w:rsid w:val="001058D6"/>
    <w:pPr>
      <w:tabs>
        <w:tab w:val="center" w:pos="4320"/>
        <w:tab w:val="right" w:pos="8640"/>
      </w:tabs>
    </w:pPr>
  </w:style>
  <w:style w:type="character" w:customStyle="1" w:styleId="HeaderChar">
    <w:name w:val="Header Char"/>
    <w:basedOn w:val="DefaultParagraphFont"/>
    <w:link w:val="Header"/>
    <w:uiPriority w:val="99"/>
    <w:rsid w:val="001058D6"/>
    <w:rPr>
      <w:rFonts w:ascii="Times New Roman" w:eastAsia="Times New Roman" w:hAnsi="Times New Roman" w:cs="Times New Roman"/>
      <w:sz w:val="20"/>
      <w:szCs w:val="20"/>
    </w:rPr>
  </w:style>
  <w:style w:type="paragraph" w:customStyle="1" w:styleId="StatementName">
    <w:name w:val="Statement Name"/>
    <w:basedOn w:val="Normal"/>
    <w:next w:val="Normal"/>
    <w:link w:val="StatementNameChar"/>
    <w:autoRedefine/>
    <w:rsid w:val="001058D6"/>
    <w:pPr>
      <w:pBdr>
        <w:bottom w:val="single" w:sz="4" w:space="1" w:color="auto"/>
      </w:pBdr>
      <w:spacing w:line="260" w:lineRule="atLeast"/>
    </w:pPr>
    <w:rPr>
      <w:rFonts w:ascii="Arial" w:hAnsi="Arial" w:cs="Arial"/>
      <w:b/>
      <w:sz w:val="24"/>
      <w:szCs w:val="24"/>
    </w:rPr>
  </w:style>
  <w:style w:type="paragraph" w:customStyle="1" w:styleId="StatementDateHeader">
    <w:name w:val="Statement Date Header"/>
    <w:basedOn w:val="Normal"/>
    <w:next w:val="Normal"/>
    <w:rsid w:val="001058D6"/>
    <w:pPr>
      <w:pBdr>
        <w:bottom w:val="single" w:sz="4" w:space="1" w:color="auto"/>
      </w:pBdr>
      <w:spacing w:line="260" w:lineRule="atLeast"/>
    </w:pPr>
    <w:rPr>
      <w:rFonts w:ascii="Arial" w:hAnsi="Arial"/>
      <w:i/>
      <w:sz w:val="24"/>
    </w:rPr>
  </w:style>
  <w:style w:type="paragraph" w:styleId="TOC1">
    <w:name w:val="toc 1"/>
    <w:basedOn w:val="Normal"/>
    <w:next w:val="Normal"/>
    <w:autoRedefine/>
    <w:uiPriority w:val="39"/>
    <w:qFormat/>
    <w:rsid w:val="001058D6"/>
    <w:pPr>
      <w:spacing w:after="100" w:line="260" w:lineRule="atLeast"/>
    </w:pPr>
    <w:rPr>
      <w:rFonts w:ascii="Arial" w:hAnsi="Arial"/>
    </w:rPr>
  </w:style>
  <w:style w:type="paragraph" w:customStyle="1" w:styleId="StatementTextLevel3">
    <w:name w:val="Statement Text Level 3"/>
    <w:basedOn w:val="Normal"/>
    <w:next w:val="Normal"/>
    <w:rsid w:val="001058D6"/>
    <w:pPr>
      <w:spacing w:line="260" w:lineRule="atLeast"/>
    </w:pPr>
    <w:rPr>
      <w:rFonts w:ascii="Arial" w:hAnsi="Arial"/>
      <w:sz w:val="18"/>
    </w:rPr>
  </w:style>
  <w:style w:type="paragraph" w:customStyle="1" w:styleId="ContinuedNotesHeading-Level1">
    <w:name w:val="Continued Notes Heading - Level 1"/>
    <w:basedOn w:val="NotesHeading-Level1"/>
    <w:rsid w:val="001058D6"/>
    <w:pPr>
      <w:numPr>
        <w:numId w:val="0"/>
      </w:numPr>
      <w:spacing w:line="240" w:lineRule="auto"/>
      <w:outlineLvl w:val="9"/>
    </w:pPr>
  </w:style>
  <w:style w:type="paragraph" w:customStyle="1" w:styleId="TableHeaderLevel1">
    <w:name w:val="Table Header Level 1"/>
    <w:basedOn w:val="Normal"/>
    <w:semiHidden/>
    <w:rsid w:val="001058D6"/>
    <w:pPr>
      <w:spacing w:line="260" w:lineRule="atLeast"/>
      <w:jc w:val="center"/>
    </w:pPr>
    <w:rPr>
      <w:rFonts w:ascii="Arial" w:hAnsi="Arial"/>
      <w:b/>
      <w:sz w:val="18"/>
      <w:szCs w:val="18"/>
    </w:rPr>
  </w:style>
  <w:style w:type="paragraph" w:styleId="CommentText">
    <w:name w:val="annotation text"/>
    <w:basedOn w:val="Normal"/>
    <w:link w:val="CommentTextChar"/>
    <w:uiPriority w:val="99"/>
    <w:semiHidden/>
    <w:rsid w:val="001058D6"/>
    <w:pPr>
      <w:spacing w:line="260" w:lineRule="atLeast"/>
    </w:pPr>
  </w:style>
  <w:style w:type="character" w:customStyle="1" w:styleId="CommentTextChar">
    <w:name w:val="Comment Text Char"/>
    <w:basedOn w:val="DefaultParagraphFont"/>
    <w:link w:val="CommentText"/>
    <w:uiPriority w:val="99"/>
    <w:semiHidden/>
    <w:rsid w:val="001058D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1058D6"/>
    <w:rPr>
      <w:sz w:val="16"/>
    </w:rPr>
  </w:style>
  <w:style w:type="paragraph" w:styleId="CommentSubject">
    <w:name w:val="annotation subject"/>
    <w:basedOn w:val="CommentText"/>
    <w:next w:val="CommentText"/>
    <w:link w:val="CommentSubjectChar"/>
    <w:uiPriority w:val="99"/>
    <w:semiHidden/>
    <w:rsid w:val="001058D6"/>
    <w:rPr>
      <w:b/>
      <w:bCs/>
    </w:rPr>
  </w:style>
  <w:style w:type="character" w:customStyle="1" w:styleId="CommentSubjectChar">
    <w:name w:val="Comment Subject Char"/>
    <w:basedOn w:val="CommentTextChar"/>
    <w:link w:val="CommentSubject"/>
    <w:uiPriority w:val="99"/>
    <w:semiHidden/>
    <w:rsid w:val="001058D6"/>
    <w:rPr>
      <w:b/>
      <w:bCs/>
    </w:rPr>
  </w:style>
  <w:style w:type="paragraph" w:styleId="BalloonText">
    <w:name w:val="Balloon Text"/>
    <w:basedOn w:val="Normal"/>
    <w:link w:val="BalloonTextChar"/>
    <w:uiPriority w:val="99"/>
    <w:semiHidden/>
    <w:rsid w:val="001058D6"/>
    <w:pPr>
      <w:spacing w:line="260" w:lineRule="atLeast"/>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8D6"/>
    <w:rPr>
      <w:rFonts w:ascii="Tahoma" w:eastAsia="Times New Roman" w:hAnsi="Tahoma" w:cs="Tahoma"/>
      <w:sz w:val="16"/>
      <w:szCs w:val="16"/>
    </w:rPr>
  </w:style>
  <w:style w:type="table" w:styleId="TableGrid">
    <w:name w:val="Table Grid"/>
    <w:basedOn w:val="TableNormal"/>
    <w:uiPriority w:val="59"/>
    <w:rsid w:val="001058D6"/>
    <w:pPr>
      <w:spacing w:after="0" w:line="260" w:lineRule="atLeas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tementTextLevel1bItalic">
    <w:name w:val="Statement Text Level 1(b) + Italic"/>
    <w:basedOn w:val="Normal"/>
    <w:rsid w:val="001058D6"/>
    <w:pPr>
      <w:spacing w:line="260" w:lineRule="atLeast"/>
    </w:pPr>
    <w:rPr>
      <w:rFonts w:ascii="Arial" w:hAnsi="Arial"/>
      <w:b/>
      <w:bCs/>
      <w:i/>
      <w:iCs/>
      <w:sz w:val="18"/>
      <w:szCs w:val="18"/>
    </w:rPr>
  </w:style>
  <w:style w:type="paragraph" w:styleId="FootnoteText">
    <w:name w:val="footnote text"/>
    <w:basedOn w:val="Normal"/>
    <w:link w:val="FootnoteTextChar"/>
    <w:uiPriority w:val="99"/>
    <w:semiHidden/>
    <w:rsid w:val="001058D6"/>
    <w:pPr>
      <w:spacing w:line="260" w:lineRule="atLeast"/>
    </w:pPr>
  </w:style>
  <w:style w:type="character" w:customStyle="1" w:styleId="FootnoteTextChar">
    <w:name w:val="Footnote Text Char"/>
    <w:basedOn w:val="DefaultParagraphFont"/>
    <w:link w:val="FootnoteText"/>
    <w:uiPriority w:val="99"/>
    <w:semiHidden/>
    <w:rsid w:val="001058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1058D6"/>
    <w:rPr>
      <w:vertAlign w:val="superscript"/>
    </w:rPr>
  </w:style>
  <w:style w:type="paragraph" w:customStyle="1" w:styleId="Graphic">
    <w:name w:val="Graphic"/>
    <w:basedOn w:val="Signature"/>
    <w:rsid w:val="001058D6"/>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1058D6"/>
    <w:rPr>
      <w:sz w:val="22"/>
    </w:rPr>
  </w:style>
  <w:style w:type="character" w:customStyle="1" w:styleId="SignatureChar">
    <w:name w:val="Signature Char"/>
    <w:basedOn w:val="DefaultParagraphFont"/>
    <w:link w:val="Signature"/>
    <w:uiPriority w:val="99"/>
    <w:rsid w:val="001058D6"/>
    <w:rPr>
      <w:rFonts w:ascii="Times New Roman" w:eastAsia="Times New Roman" w:hAnsi="Times New Roman" w:cs="Times New Roman"/>
      <w:szCs w:val="20"/>
    </w:rPr>
  </w:style>
  <w:style w:type="paragraph" w:styleId="MacroText">
    <w:name w:val="macro"/>
    <w:link w:val="MacroTextChar"/>
    <w:uiPriority w:val="99"/>
    <w:semiHidden/>
    <w:rsid w:val="001058D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18"/>
      <w:szCs w:val="20"/>
      <w:lang w:val="en-GB"/>
    </w:rPr>
  </w:style>
  <w:style w:type="character" w:customStyle="1" w:styleId="MacroTextChar">
    <w:name w:val="Macro Text Char"/>
    <w:basedOn w:val="DefaultParagraphFont"/>
    <w:link w:val="MacroText"/>
    <w:uiPriority w:val="99"/>
    <w:semiHidden/>
    <w:rsid w:val="001058D6"/>
    <w:rPr>
      <w:rFonts w:ascii="Courier New" w:eastAsia="Times New Roman" w:hAnsi="Courier New" w:cs="Courier New"/>
      <w:sz w:val="18"/>
      <w:szCs w:val="20"/>
      <w:lang w:val="en-GB"/>
    </w:rPr>
  </w:style>
  <w:style w:type="paragraph" w:customStyle="1" w:styleId="NotesTotal">
    <w:name w:val="Notes Total"/>
    <w:basedOn w:val="Normal"/>
    <w:autoRedefine/>
    <w:rsid w:val="001058D6"/>
    <w:pPr>
      <w:spacing w:line="260" w:lineRule="atLeast"/>
      <w:ind w:left="139" w:right="57"/>
    </w:pPr>
    <w:rPr>
      <w:b/>
      <w:iCs/>
    </w:rPr>
  </w:style>
  <w:style w:type="paragraph" w:customStyle="1" w:styleId="TitlePage">
    <w:name w:val="Title Page"/>
    <w:basedOn w:val="Normal"/>
    <w:autoRedefine/>
    <w:rsid w:val="001058D6"/>
    <w:pPr>
      <w:spacing w:before="1200" w:after="1200" w:line="260" w:lineRule="atLeast"/>
      <w:ind w:left="57" w:right="57"/>
      <w:jc w:val="right"/>
    </w:pPr>
    <w:rPr>
      <w:b/>
      <w:bCs/>
      <w:sz w:val="48"/>
    </w:rPr>
  </w:style>
  <w:style w:type="paragraph" w:styleId="TOC2">
    <w:name w:val="toc 2"/>
    <w:basedOn w:val="Normal"/>
    <w:next w:val="Normal"/>
    <w:autoRedefine/>
    <w:uiPriority w:val="39"/>
    <w:qFormat/>
    <w:rsid w:val="001058D6"/>
    <w:pPr>
      <w:spacing w:before="120" w:line="260" w:lineRule="atLeast"/>
      <w:ind w:left="220"/>
    </w:pPr>
    <w:rPr>
      <w:i/>
      <w:iCs/>
    </w:rPr>
  </w:style>
  <w:style w:type="paragraph" w:styleId="TOC3">
    <w:name w:val="toc 3"/>
    <w:basedOn w:val="Normal"/>
    <w:next w:val="Normal"/>
    <w:autoRedefine/>
    <w:uiPriority w:val="39"/>
    <w:qFormat/>
    <w:rsid w:val="001058D6"/>
    <w:pPr>
      <w:spacing w:line="260" w:lineRule="atLeast"/>
      <w:ind w:left="440"/>
    </w:pPr>
  </w:style>
  <w:style w:type="paragraph" w:styleId="TOC4">
    <w:name w:val="toc 4"/>
    <w:basedOn w:val="Normal"/>
    <w:next w:val="Normal"/>
    <w:autoRedefine/>
    <w:uiPriority w:val="39"/>
    <w:semiHidden/>
    <w:rsid w:val="001058D6"/>
    <w:pPr>
      <w:spacing w:line="260" w:lineRule="atLeast"/>
      <w:ind w:left="660"/>
    </w:pPr>
  </w:style>
  <w:style w:type="paragraph" w:styleId="TOC5">
    <w:name w:val="toc 5"/>
    <w:basedOn w:val="Normal"/>
    <w:next w:val="Normal"/>
    <w:autoRedefine/>
    <w:uiPriority w:val="39"/>
    <w:semiHidden/>
    <w:rsid w:val="001058D6"/>
    <w:pPr>
      <w:spacing w:line="260" w:lineRule="atLeast"/>
      <w:ind w:left="880"/>
    </w:pPr>
  </w:style>
  <w:style w:type="paragraph" w:styleId="TOC6">
    <w:name w:val="toc 6"/>
    <w:basedOn w:val="Normal"/>
    <w:next w:val="Normal"/>
    <w:autoRedefine/>
    <w:uiPriority w:val="39"/>
    <w:semiHidden/>
    <w:rsid w:val="001058D6"/>
    <w:pPr>
      <w:spacing w:line="260" w:lineRule="atLeast"/>
      <w:ind w:left="1100"/>
    </w:pPr>
  </w:style>
  <w:style w:type="paragraph" w:styleId="TOC7">
    <w:name w:val="toc 7"/>
    <w:basedOn w:val="Normal"/>
    <w:next w:val="Normal"/>
    <w:autoRedefine/>
    <w:uiPriority w:val="39"/>
    <w:semiHidden/>
    <w:rsid w:val="001058D6"/>
    <w:pPr>
      <w:spacing w:line="260" w:lineRule="atLeast"/>
      <w:ind w:left="1320"/>
    </w:pPr>
  </w:style>
  <w:style w:type="paragraph" w:styleId="TOC8">
    <w:name w:val="toc 8"/>
    <w:basedOn w:val="Normal"/>
    <w:next w:val="Normal"/>
    <w:autoRedefine/>
    <w:uiPriority w:val="39"/>
    <w:semiHidden/>
    <w:rsid w:val="001058D6"/>
    <w:pPr>
      <w:spacing w:line="260" w:lineRule="atLeast"/>
      <w:ind w:left="1540"/>
    </w:pPr>
  </w:style>
  <w:style w:type="paragraph" w:styleId="TOC9">
    <w:name w:val="toc 9"/>
    <w:basedOn w:val="Normal"/>
    <w:next w:val="Normal"/>
    <w:autoRedefine/>
    <w:uiPriority w:val="39"/>
    <w:semiHidden/>
    <w:rsid w:val="001058D6"/>
    <w:pPr>
      <w:spacing w:line="260" w:lineRule="atLeast"/>
      <w:ind w:left="1760"/>
    </w:pPr>
  </w:style>
  <w:style w:type="paragraph" w:customStyle="1" w:styleId="zcontents">
    <w:name w:val="zcontents"/>
    <w:basedOn w:val="Normal"/>
    <w:semiHidden/>
    <w:rsid w:val="001058D6"/>
    <w:pPr>
      <w:spacing w:after="260"/>
    </w:pPr>
    <w:rPr>
      <w:b/>
      <w:sz w:val="32"/>
    </w:rPr>
  </w:style>
  <w:style w:type="paragraph" w:customStyle="1" w:styleId="Normal10pt">
    <w:name w:val="Normal + 10 pt"/>
    <w:aliases w:val="Line spacing:  single"/>
    <w:basedOn w:val="Normal"/>
    <w:rsid w:val="001058D6"/>
    <w:pPr>
      <w:spacing w:before="130" w:after="130" w:line="260" w:lineRule="atLeast"/>
    </w:pPr>
    <w:rPr>
      <w:b/>
    </w:rPr>
  </w:style>
  <w:style w:type="paragraph" w:styleId="z-BottomofForm">
    <w:name w:val="HTML Bottom of Form"/>
    <w:basedOn w:val="Normal"/>
    <w:next w:val="Normal"/>
    <w:link w:val="z-BottomofFormChar"/>
    <w:hidden/>
    <w:uiPriority w:val="99"/>
    <w:rsid w:val="001058D6"/>
    <w:pPr>
      <w:pBdr>
        <w:top w:val="single" w:sz="6" w:space="1" w:color="auto"/>
      </w:pBdr>
      <w:spacing w:line="260" w:lineRule="atLeast"/>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058D6"/>
    <w:rPr>
      <w:rFonts w:ascii="Arial" w:eastAsia="Times New Roman" w:hAnsi="Arial" w:cs="Arial"/>
      <w:vanish/>
      <w:sz w:val="16"/>
      <w:szCs w:val="16"/>
    </w:rPr>
  </w:style>
  <w:style w:type="paragraph" w:styleId="z-TopofForm">
    <w:name w:val="HTML Top of Form"/>
    <w:basedOn w:val="Normal"/>
    <w:next w:val="Normal"/>
    <w:link w:val="z-TopofFormChar"/>
    <w:hidden/>
    <w:uiPriority w:val="99"/>
    <w:rsid w:val="001058D6"/>
    <w:pPr>
      <w:pBdr>
        <w:bottom w:val="single" w:sz="6" w:space="1" w:color="auto"/>
      </w:pBdr>
      <w:spacing w:line="260" w:lineRule="atLeast"/>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1058D6"/>
    <w:rPr>
      <w:rFonts w:ascii="Arial" w:eastAsia="Times New Roman" w:hAnsi="Arial" w:cs="Arial"/>
      <w:vanish/>
      <w:sz w:val="16"/>
      <w:szCs w:val="16"/>
    </w:rPr>
  </w:style>
  <w:style w:type="paragraph" w:styleId="DocumentMap">
    <w:name w:val="Document Map"/>
    <w:basedOn w:val="Normal"/>
    <w:link w:val="DocumentMapChar"/>
    <w:uiPriority w:val="99"/>
    <w:semiHidden/>
    <w:rsid w:val="001058D6"/>
    <w:pPr>
      <w:shd w:val="clear" w:color="auto" w:fill="000080"/>
    </w:pPr>
    <w:rPr>
      <w:rFonts w:ascii="Tahoma" w:hAnsi="Tahoma"/>
      <w:lang w:eastAsia="en-AU"/>
    </w:rPr>
  </w:style>
  <w:style w:type="character" w:customStyle="1" w:styleId="DocumentMapChar">
    <w:name w:val="Document Map Char"/>
    <w:basedOn w:val="DefaultParagraphFont"/>
    <w:link w:val="DocumentMap"/>
    <w:uiPriority w:val="99"/>
    <w:semiHidden/>
    <w:rsid w:val="001058D6"/>
    <w:rPr>
      <w:rFonts w:ascii="Tahoma" w:eastAsia="Times New Roman" w:hAnsi="Tahoma" w:cs="Times New Roman"/>
      <w:sz w:val="20"/>
      <w:szCs w:val="20"/>
      <w:shd w:val="clear" w:color="auto" w:fill="000080"/>
      <w:lang w:eastAsia="en-AU"/>
    </w:rPr>
  </w:style>
  <w:style w:type="paragraph" w:customStyle="1" w:styleId="Normal8pt">
    <w:name w:val="Normal + 8 pt"/>
    <w:basedOn w:val="Normal"/>
    <w:rsid w:val="001058D6"/>
    <w:pPr>
      <w:widowControl w:val="0"/>
      <w:autoSpaceDE w:val="0"/>
      <w:autoSpaceDN w:val="0"/>
    </w:pPr>
    <w:rPr>
      <w:bCs/>
      <w:iCs/>
      <w:spacing w:val="-6"/>
      <w:sz w:val="16"/>
      <w:szCs w:val="16"/>
      <w:lang w:val="en-US"/>
    </w:rPr>
  </w:style>
  <w:style w:type="paragraph" w:customStyle="1" w:styleId="NormalCalistoMT">
    <w:name w:val="Normal + Calisto MT"/>
    <w:aliases w:val="8 pt,Right"/>
    <w:basedOn w:val="Normal"/>
    <w:rsid w:val="001058D6"/>
    <w:pPr>
      <w:framePr w:hSpace="180" w:wrap="around" w:vAnchor="text" w:hAnchor="margin" w:y="1"/>
      <w:spacing w:line="260" w:lineRule="atLeast"/>
      <w:ind w:right="212"/>
      <w:suppressOverlap/>
      <w:jc w:val="right"/>
    </w:pPr>
    <w:rPr>
      <w:rFonts w:ascii="Calisto MT" w:hAnsi="Calisto MT"/>
      <w:sz w:val="16"/>
    </w:rPr>
  </w:style>
  <w:style w:type="paragraph" w:customStyle="1" w:styleId="ReferenceText">
    <w:name w:val="Reference Text"/>
    <w:basedOn w:val="Normal"/>
    <w:link w:val="ReferenceTextChar"/>
    <w:autoRedefine/>
    <w:rsid w:val="001058D6"/>
    <w:pPr>
      <w:spacing w:line="260" w:lineRule="atLeast"/>
    </w:pPr>
    <w:rPr>
      <w:rFonts w:ascii="Arial" w:hAnsi="Arial"/>
      <w:sz w:val="18"/>
      <w:lang w:eastAsia="en-AU"/>
    </w:rPr>
  </w:style>
  <w:style w:type="paragraph" w:customStyle="1" w:styleId="NotesHeading-Level1">
    <w:name w:val="Notes Heading - Level 1"/>
    <w:basedOn w:val="Normal"/>
    <w:rsid w:val="001058D6"/>
    <w:pPr>
      <w:numPr>
        <w:numId w:val="1"/>
      </w:numPr>
      <w:shd w:val="clear" w:color="auto" w:fill="000000"/>
      <w:tabs>
        <w:tab w:val="clear" w:pos="4679"/>
        <w:tab w:val="num" w:pos="851"/>
      </w:tabs>
      <w:spacing w:line="260" w:lineRule="atLeast"/>
      <w:ind w:left="1134" w:right="607"/>
      <w:outlineLvl w:val="0"/>
    </w:pPr>
    <w:rPr>
      <w:rFonts w:ascii="Arial" w:hAnsi="Arial"/>
      <w:b/>
      <w:color w:val="FFFFFF"/>
    </w:rPr>
  </w:style>
  <w:style w:type="paragraph" w:customStyle="1" w:styleId="NotesHeading-Level2">
    <w:name w:val="Notes Heading - Level 2"/>
    <w:basedOn w:val="NotesHeading-Level1"/>
    <w:rsid w:val="001058D6"/>
    <w:pPr>
      <w:framePr w:hSpace="180" w:wrap="around" w:vAnchor="text" w:hAnchor="margin" w:y="1"/>
      <w:numPr>
        <w:ilvl w:val="1"/>
      </w:numPr>
      <w:tabs>
        <w:tab w:val="clear" w:pos="851"/>
      </w:tabs>
      <w:ind w:left="360" w:hanging="360"/>
      <w:suppressOverlap/>
    </w:pPr>
    <w:rPr>
      <w:sz w:val="18"/>
    </w:rPr>
  </w:style>
  <w:style w:type="character" w:customStyle="1" w:styleId="StatementNameChar">
    <w:name w:val="Statement Name Char"/>
    <w:link w:val="StatementName"/>
    <w:locked/>
    <w:rsid w:val="001058D6"/>
    <w:rPr>
      <w:rFonts w:ascii="Arial" w:eastAsia="Times New Roman" w:hAnsi="Arial" w:cs="Arial"/>
      <w:b/>
      <w:sz w:val="24"/>
      <w:szCs w:val="24"/>
    </w:rPr>
  </w:style>
  <w:style w:type="character" w:customStyle="1" w:styleId="ReferenceTextChar">
    <w:name w:val="Reference Text Char"/>
    <w:link w:val="ReferenceText"/>
    <w:locked/>
    <w:rsid w:val="001058D6"/>
    <w:rPr>
      <w:rFonts w:ascii="Arial" w:eastAsia="Times New Roman" w:hAnsi="Arial" w:cs="Times New Roman"/>
      <w:sz w:val="18"/>
      <w:szCs w:val="20"/>
      <w:lang w:eastAsia="en-AU"/>
    </w:rPr>
  </w:style>
  <w:style w:type="paragraph" w:customStyle="1" w:styleId="StatementHeading">
    <w:name w:val="Statement Heading"/>
    <w:basedOn w:val="Normal"/>
    <w:rsid w:val="001058D6"/>
    <w:pPr>
      <w:spacing w:line="260" w:lineRule="atLeast"/>
    </w:pPr>
    <w:rPr>
      <w:rFonts w:ascii="Arial" w:hAnsi="Arial"/>
      <w:b/>
      <w:sz w:val="24"/>
    </w:rPr>
  </w:style>
  <w:style w:type="table" w:customStyle="1" w:styleId="TableGrid1">
    <w:name w:val="Table Grid1"/>
    <w:basedOn w:val="TableNormal"/>
    <w:next w:val="TableGrid"/>
    <w:rsid w:val="001058D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semiHidden/>
    <w:rsid w:val="001058D6"/>
    <w:pPr>
      <w:spacing w:line="260" w:lineRule="atLeast"/>
    </w:pPr>
    <w:rPr>
      <w:sz w:val="22"/>
    </w:rPr>
  </w:style>
  <w:style w:type="paragraph" w:customStyle="1" w:styleId="GreyShadeTableBreak">
    <w:name w:val="Grey Shade Table Break"/>
    <w:basedOn w:val="Normal"/>
    <w:rsid w:val="001058D6"/>
    <w:pPr>
      <w:shd w:val="clear" w:color="auto" w:fill="D9D9D9"/>
      <w:tabs>
        <w:tab w:val="left" w:pos="9214"/>
      </w:tabs>
      <w:spacing w:line="260" w:lineRule="atLeast"/>
      <w:ind w:right="607"/>
      <w:jc w:val="both"/>
    </w:pPr>
    <w:rPr>
      <w:rFonts w:ascii="Arial" w:hAnsi="Arial" w:cs="Arial"/>
      <w:sz w:val="18"/>
      <w:szCs w:val="18"/>
    </w:rPr>
  </w:style>
  <w:style w:type="paragraph" w:customStyle="1" w:styleId="GreyShadeTableBreaknon-Standard">
    <w:name w:val="Grey Shade Table Break non-Standard"/>
    <w:rsid w:val="001058D6"/>
    <w:pPr>
      <w:shd w:val="clear" w:color="auto" w:fill="D9D9D9"/>
      <w:spacing w:after="0" w:line="240" w:lineRule="auto"/>
      <w:ind w:right="57"/>
    </w:pPr>
    <w:rPr>
      <w:rFonts w:ascii="Times New Roman" w:eastAsia="Times New Roman" w:hAnsi="Times New Roman" w:cs="Times New Roman"/>
      <w:szCs w:val="20"/>
    </w:rPr>
  </w:style>
  <w:style w:type="paragraph" w:customStyle="1" w:styleId="ReferenceTextLetter">
    <w:name w:val="Reference Text Letter"/>
    <w:basedOn w:val="ReferenceText"/>
    <w:rsid w:val="001058D6"/>
    <w:pPr>
      <w:spacing w:line="240" w:lineRule="auto"/>
      <w:ind w:left="567" w:right="567"/>
    </w:pPr>
    <w:rPr>
      <w:rFonts w:cs="Arial"/>
      <w:szCs w:val="18"/>
    </w:rPr>
  </w:style>
  <w:style w:type="paragraph" w:customStyle="1" w:styleId="NotesHeader">
    <w:name w:val="Notes Header"/>
    <w:basedOn w:val="Normal"/>
    <w:next w:val="Normal"/>
    <w:rsid w:val="001058D6"/>
    <w:pPr>
      <w:spacing w:line="260" w:lineRule="atLeast"/>
      <w:jc w:val="center"/>
    </w:pPr>
    <w:rPr>
      <w:rFonts w:ascii="Arial" w:hAnsi="Arial"/>
      <w:b/>
      <w:sz w:val="18"/>
    </w:rPr>
  </w:style>
  <w:style w:type="paragraph" w:customStyle="1" w:styleId="NotesReferences">
    <w:name w:val="Notes References"/>
    <w:basedOn w:val="Normal"/>
    <w:next w:val="Normal"/>
    <w:rsid w:val="001058D6"/>
    <w:pPr>
      <w:spacing w:line="260" w:lineRule="atLeast"/>
      <w:jc w:val="center"/>
    </w:pPr>
    <w:rPr>
      <w:rFonts w:ascii="Arial" w:hAnsi="Arial"/>
      <w:sz w:val="18"/>
    </w:rPr>
  </w:style>
  <w:style w:type="paragraph" w:customStyle="1" w:styleId="NotesData">
    <w:name w:val="Notes Data"/>
    <w:basedOn w:val="Normal"/>
    <w:rsid w:val="001058D6"/>
    <w:pPr>
      <w:framePr w:hSpace="180" w:wrap="around" w:vAnchor="text" w:hAnchor="margin" w:y="1"/>
      <w:spacing w:line="260" w:lineRule="atLeast"/>
      <w:jc w:val="center"/>
    </w:pPr>
  </w:style>
  <w:style w:type="paragraph" w:customStyle="1" w:styleId="NotesTextLevel1">
    <w:name w:val="Notes Text Level 1"/>
    <w:basedOn w:val="Normal"/>
    <w:next w:val="Normal"/>
    <w:rsid w:val="001058D6"/>
    <w:pPr>
      <w:spacing w:line="260" w:lineRule="atLeast"/>
    </w:pPr>
    <w:rPr>
      <w:rFonts w:ascii="Arial" w:hAnsi="Arial"/>
      <w:b/>
      <w:i/>
      <w:sz w:val="18"/>
      <w:u w:val="single"/>
    </w:rPr>
  </w:style>
  <w:style w:type="paragraph" w:customStyle="1" w:styleId="NotesTextLevel3aboldItalic">
    <w:name w:val="Notes Text Level 3(a) bold + Italic"/>
    <w:basedOn w:val="Normal"/>
    <w:link w:val="NotesTextLevel3aboldItalicChar"/>
    <w:rsid w:val="001058D6"/>
    <w:pPr>
      <w:spacing w:line="260" w:lineRule="atLeast"/>
    </w:pPr>
    <w:rPr>
      <w:rFonts w:ascii="Arial" w:hAnsi="Arial"/>
      <w:b/>
      <w:bCs/>
      <w:i/>
      <w:iCs/>
      <w:sz w:val="18"/>
    </w:rPr>
  </w:style>
  <w:style w:type="character" w:customStyle="1" w:styleId="NotesTextLevel3aboldItalicChar">
    <w:name w:val="Notes Text Level 3(a) bold + Italic Char"/>
    <w:link w:val="NotesTextLevel3aboldItalic"/>
    <w:locked/>
    <w:rsid w:val="001058D6"/>
    <w:rPr>
      <w:rFonts w:ascii="Arial" w:eastAsia="Times New Roman" w:hAnsi="Arial" w:cs="Times New Roman"/>
      <w:b/>
      <w:bCs/>
      <w:i/>
      <w:iCs/>
      <w:sz w:val="18"/>
      <w:szCs w:val="20"/>
    </w:rPr>
  </w:style>
  <w:style w:type="paragraph" w:customStyle="1" w:styleId="NotesHeading3">
    <w:name w:val="Notes Heading 3"/>
    <w:basedOn w:val="Normal"/>
    <w:autoRedefine/>
    <w:rsid w:val="001058D6"/>
    <w:pPr>
      <w:spacing w:before="80" w:after="40" w:line="260" w:lineRule="atLeast"/>
      <w:ind w:left="113" w:right="113"/>
    </w:pPr>
    <w:rPr>
      <w:sz w:val="22"/>
      <w:u w:val="single"/>
      <w:lang w:val="en-US"/>
    </w:rPr>
  </w:style>
  <w:style w:type="paragraph" w:customStyle="1" w:styleId="NotesHeading3a">
    <w:name w:val="Notes Heading 3a"/>
    <w:basedOn w:val="Normal"/>
    <w:autoRedefine/>
    <w:rsid w:val="001058D6"/>
    <w:pPr>
      <w:tabs>
        <w:tab w:val="num" w:pos="473"/>
      </w:tabs>
      <w:spacing w:after="120" w:line="260" w:lineRule="atLeast"/>
      <w:ind w:left="113" w:right="113"/>
      <w:jc w:val="both"/>
    </w:pPr>
    <w:rPr>
      <w:sz w:val="22"/>
      <w:u w:val="single"/>
      <w:lang w:val="en-US"/>
    </w:rPr>
  </w:style>
  <w:style w:type="paragraph" w:customStyle="1" w:styleId="Notessub-lineitem">
    <w:name w:val="Notes sub-line item"/>
    <w:basedOn w:val="Normal"/>
    <w:autoRedefine/>
    <w:rsid w:val="001058D6"/>
    <w:pPr>
      <w:framePr w:hSpace="180" w:wrap="around" w:vAnchor="page" w:hAnchor="margin" w:y="1985"/>
      <w:tabs>
        <w:tab w:val="left" w:pos="593"/>
        <w:tab w:val="left" w:pos="1443"/>
      </w:tabs>
      <w:spacing w:line="260" w:lineRule="atLeast"/>
      <w:ind w:left="567" w:right="113"/>
    </w:pPr>
  </w:style>
  <w:style w:type="paragraph" w:customStyle="1" w:styleId="NotesLineItem">
    <w:name w:val="Notes Line Item"/>
    <w:basedOn w:val="Normal"/>
    <w:autoRedefine/>
    <w:rsid w:val="001058D6"/>
    <w:pPr>
      <w:spacing w:line="260" w:lineRule="atLeast"/>
      <w:ind w:left="34"/>
    </w:pPr>
    <w:rPr>
      <w:iCs/>
      <w:sz w:val="16"/>
      <w:szCs w:val="16"/>
      <w:lang w:eastAsia="en-AU"/>
    </w:rPr>
  </w:style>
  <w:style w:type="paragraph" w:customStyle="1" w:styleId="NotesHeading">
    <w:name w:val="'Notes' Heading"/>
    <w:basedOn w:val="Normal"/>
    <w:autoRedefine/>
    <w:rsid w:val="001058D6"/>
    <w:pPr>
      <w:spacing w:line="260" w:lineRule="atLeast"/>
      <w:ind w:left="57" w:right="57"/>
      <w:jc w:val="center"/>
    </w:pPr>
    <w:rPr>
      <w:b/>
    </w:rPr>
  </w:style>
  <w:style w:type="paragraph" w:customStyle="1" w:styleId="NotesReference">
    <w:name w:val="'Notes' Reference"/>
    <w:basedOn w:val="Normal"/>
    <w:autoRedefine/>
    <w:rsid w:val="001058D6"/>
    <w:pPr>
      <w:spacing w:line="260" w:lineRule="atLeast"/>
      <w:ind w:left="57" w:right="57"/>
      <w:jc w:val="center"/>
    </w:pPr>
  </w:style>
  <w:style w:type="paragraph" w:customStyle="1" w:styleId="NotesHeading4">
    <w:name w:val="Notes Heading 4"/>
    <w:basedOn w:val="Normal"/>
    <w:autoRedefine/>
    <w:rsid w:val="001058D6"/>
    <w:pPr>
      <w:keepNext/>
      <w:tabs>
        <w:tab w:val="left" w:pos="284"/>
      </w:tabs>
      <w:spacing w:before="200" w:after="80" w:line="260" w:lineRule="atLeast"/>
      <w:ind w:left="567" w:right="57"/>
    </w:pPr>
  </w:style>
  <w:style w:type="paragraph" w:customStyle="1" w:styleId="NotesHeading3NumberingOff">
    <w:name w:val="Notes Heading 3 Numbering Off"/>
    <w:basedOn w:val="NotesHeading3"/>
    <w:autoRedefine/>
    <w:rsid w:val="001058D6"/>
    <w:pPr>
      <w:tabs>
        <w:tab w:val="left" w:pos="1132"/>
      </w:tabs>
    </w:pPr>
  </w:style>
  <w:style w:type="paragraph" w:customStyle="1" w:styleId="NotesHeadingPlain">
    <w:name w:val="'Notes' Heading Plain"/>
    <w:basedOn w:val="NotesHeading"/>
    <w:autoRedefine/>
    <w:rsid w:val="001058D6"/>
    <w:rPr>
      <w:b w:val="0"/>
    </w:rPr>
  </w:style>
  <w:style w:type="paragraph" w:customStyle="1" w:styleId="NotesHeading5">
    <w:name w:val="Notes Heading 5"/>
    <w:basedOn w:val="Normal"/>
    <w:autoRedefine/>
    <w:rsid w:val="001058D6"/>
    <w:pPr>
      <w:spacing w:before="120" w:after="40" w:line="260" w:lineRule="atLeast"/>
      <w:ind w:left="113" w:right="113"/>
      <w:jc w:val="both"/>
    </w:pPr>
    <w:rPr>
      <w:b/>
    </w:rPr>
  </w:style>
  <w:style w:type="paragraph" w:customStyle="1" w:styleId="NoteTextBEFOREDotPoint">
    <w:name w:val="Note Text BEFORE Dot Point"/>
    <w:basedOn w:val="Normal"/>
    <w:rsid w:val="001058D6"/>
    <w:pPr>
      <w:tabs>
        <w:tab w:val="left" w:pos="284"/>
      </w:tabs>
      <w:spacing w:line="260" w:lineRule="atLeast"/>
      <w:ind w:left="178" w:right="57"/>
    </w:pPr>
  </w:style>
  <w:style w:type="paragraph" w:customStyle="1" w:styleId="ItalicLineItem">
    <w:name w:val="Italic Line Item"/>
    <w:basedOn w:val="Normal"/>
    <w:rsid w:val="001058D6"/>
    <w:pPr>
      <w:tabs>
        <w:tab w:val="left" w:pos="566"/>
      </w:tabs>
      <w:spacing w:line="260" w:lineRule="atLeast"/>
      <w:ind w:left="284" w:right="113"/>
      <w:jc w:val="both"/>
    </w:pPr>
    <w:rPr>
      <w:i/>
      <w:lang w:val="en-US"/>
    </w:rPr>
  </w:style>
  <w:style w:type="paragraph" w:customStyle="1" w:styleId="ItalicHeading">
    <w:name w:val="Italic Heading"/>
    <w:basedOn w:val="ItalicLineItem"/>
    <w:rsid w:val="001058D6"/>
    <w:pPr>
      <w:ind w:left="57" w:right="0"/>
    </w:pPr>
  </w:style>
  <w:style w:type="paragraph" w:customStyle="1" w:styleId="Notes">
    <w:name w:val="'Notes'"/>
    <w:basedOn w:val="Normal"/>
    <w:rsid w:val="001058D6"/>
    <w:pPr>
      <w:spacing w:line="260" w:lineRule="atLeast"/>
      <w:jc w:val="center"/>
    </w:pPr>
    <w:rPr>
      <w:b/>
      <w:sz w:val="22"/>
    </w:rPr>
  </w:style>
  <w:style w:type="paragraph" w:customStyle="1" w:styleId="Lineitems">
    <w:name w:val="Line items"/>
    <w:basedOn w:val="Normal"/>
    <w:link w:val="LineitemsChar"/>
    <w:autoRedefine/>
    <w:rsid w:val="001058D6"/>
    <w:pPr>
      <w:spacing w:line="260" w:lineRule="atLeast"/>
    </w:pPr>
  </w:style>
  <w:style w:type="paragraph" w:customStyle="1" w:styleId="Lineitemtable">
    <w:name w:val="Line item table"/>
    <w:basedOn w:val="Lineitems"/>
    <w:rsid w:val="001058D6"/>
  </w:style>
  <w:style w:type="paragraph" w:customStyle="1" w:styleId="12line">
    <w:name w:val="1/2 line"/>
    <w:basedOn w:val="Normal"/>
    <w:rsid w:val="001058D6"/>
    <w:pPr>
      <w:spacing w:before="10" w:after="10"/>
    </w:pPr>
  </w:style>
  <w:style w:type="paragraph" w:customStyle="1" w:styleId="lineitemitalic">
    <w:name w:val="line item italic"/>
    <w:basedOn w:val="Normal"/>
    <w:rsid w:val="001058D6"/>
    <w:pPr>
      <w:spacing w:line="260" w:lineRule="atLeast"/>
    </w:pPr>
    <w:rPr>
      <w:i/>
      <w:sz w:val="22"/>
    </w:rPr>
  </w:style>
  <w:style w:type="paragraph" w:customStyle="1" w:styleId="lineitembold">
    <w:name w:val="line item bold"/>
    <w:basedOn w:val="Normal"/>
    <w:rsid w:val="001058D6"/>
    <w:pPr>
      <w:spacing w:line="260" w:lineRule="atLeast"/>
    </w:pPr>
    <w:rPr>
      <w:b/>
    </w:rPr>
  </w:style>
  <w:style w:type="paragraph" w:customStyle="1" w:styleId="Notesheading0">
    <w:name w:val="Notes heading"/>
    <w:basedOn w:val="Normal"/>
    <w:rsid w:val="001058D6"/>
    <w:rPr>
      <w:rFonts w:ascii="Calisto MT" w:hAnsi="Calisto MT"/>
      <w:b/>
      <w:sz w:val="14"/>
      <w:lang w:eastAsia="en-AU"/>
    </w:rPr>
  </w:style>
  <w:style w:type="paragraph" w:customStyle="1" w:styleId="Notestothefinancialstatements">
    <w:name w:val="Notes to the financial statements"/>
    <w:aliases w:val="Heading"/>
    <w:basedOn w:val="Normal"/>
    <w:rsid w:val="001058D6"/>
    <w:pPr>
      <w:tabs>
        <w:tab w:val="left" w:pos="567"/>
        <w:tab w:val="left" w:pos="1134"/>
        <w:tab w:val="left" w:pos="1701"/>
      </w:tabs>
      <w:spacing w:before="60" w:after="60"/>
    </w:pPr>
    <w:rPr>
      <w:rFonts w:ascii="Tahoma" w:hAnsi="Tahoma"/>
      <w:b/>
      <w:color w:val="000000"/>
      <w:sz w:val="16"/>
      <w:lang w:eastAsia="en-AU"/>
    </w:rPr>
  </w:style>
  <w:style w:type="paragraph" w:customStyle="1" w:styleId="NotesBulletPoint">
    <w:name w:val="Notes Bullet Point"/>
    <w:basedOn w:val="Normal"/>
    <w:autoRedefine/>
    <w:rsid w:val="001058D6"/>
    <w:pPr>
      <w:tabs>
        <w:tab w:val="left" w:pos="413"/>
        <w:tab w:val="num" w:pos="927"/>
      </w:tabs>
      <w:ind w:left="414" w:right="113" w:hanging="301"/>
      <w:jc w:val="both"/>
    </w:pPr>
    <w:rPr>
      <w:lang w:val="en-US" w:eastAsia="en-AU"/>
    </w:rPr>
  </w:style>
  <w:style w:type="paragraph" w:customStyle="1" w:styleId="Headinga">
    <w:name w:val="Heading a"/>
    <w:basedOn w:val="Normal"/>
    <w:rsid w:val="001058D6"/>
    <w:rPr>
      <w:b/>
      <w:bCs/>
      <w:sz w:val="18"/>
      <w:szCs w:val="18"/>
    </w:rPr>
  </w:style>
  <w:style w:type="paragraph" w:customStyle="1" w:styleId="LineitemsTotal">
    <w:name w:val="Line items Total"/>
    <w:basedOn w:val="Lineitems"/>
    <w:rsid w:val="001058D6"/>
    <w:pPr>
      <w:framePr w:hSpace="180" w:wrap="around" w:vAnchor="text" w:hAnchor="margin" w:y="1"/>
    </w:pPr>
    <w:rPr>
      <w:b/>
      <w:i/>
    </w:rPr>
  </w:style>
  <w:style w:type="paragraph" w:customStyle="1" w:styleId="SAPHeading-Level1">
    <w:name w:val="SAP Heading - Level 1"/>
    <w:basedOn w:val="NotesHeading-Level1"/>
    <w:rsid w:val="001058D6"/>
    <w:pPr>
      <w:numPr>
        <w:numId w:val="0"/>
      </w:numPr>
      <w:tabs>
        <w:tab w:val="num" w:pos="851"/>
      </w:tabs>
      <w:ind w:left="851" w:hanging="851"/>
    </w:pPr>
    <w:rPr>
      <w:color w:val="auto"/>
    </w:rPr>
  </w:style>
  <w:style w:type="paragraph" w:customStyle="1" w:styleId="SAPHeading-Level2">
    <w:name w:val="SAP Heading - Level 2"/>
    <w:basedOn w:val="SAPHeading-Level1"/>
    <w:rsid w:val="001058D6"/>
    <w:pPr>
      <w:spacing w:before="100" w:after="100" w:line="240" w:lineRule="auto"/>
    </w:pPr>
  </w:style>
  <w:style w:type="paragraph" w:customStyle="1" w:styleId="SAPHeading-Level3">
    <w:name w:val="SAP Heading - Level 3"/>
    <w:basedOn w:val="SAPHeading-Level2"/>
    <w:rsid w:val="001058D6"/>
  </w:style>
  <w:style w:type="paragraph" w:customStyle="1" w:styleId="NotesText">
    <w:name w:val="Notes Text"/>
    <w:rsid w:val="001058D6"/>
    <w:pPr>
      <w:spacing w:before="120" w:after="120" w:line="240" w:lineRule="atLeast"/>
      <w:ind w:right="748"/>
      <w:jc w:val="both"/>
    </w:pPr>
    <w:rPr>
      <w:rFonts w:ascii="Arial" w:eastAsia="Times New Roman" w:hAnsi="Arial" w:cs="Times New Roman"/>
      <w:sz w:val="18"/>
      <w:szCs w:val="20"/>
      <w:lang w:eastAsia="en-AU"/>
    </w:rPr>
  </w:style>
  <w:style w:type="paragraph" w:customStyle="1" w:styleId="NotesTextHeading">
    <w:name w:val="Notes Text Heading"/>
    <w:basedOn w:val="NotesText"/>
    <w:rsid w:val="001058D6"/>
    <w:rPr>
      <w:b/>
      <w:i/>
    </w:rPr>
  </w:style>
  <w:style w:type="paragraph" w:customStyle="1" w:styleId="NoteHeading-Level1">
    <w:name w:val="Note Heading - Level 1"/>
    <w:basedOn w:val="Normal"/>
    <w:rsid w:val="001058D6"/>
    <w:pPr>
      <w:spacing w:line="260" w:lineRule="atLeast"/>
    </w:pPr>
    <w:rPr>
      <w:sz w:val="22"/>
    </w:rPr>
  </w:style>
  <w:style w:type="paragraph" w:customStyle="1" w:styleId="NoteHeading-Level2">
    <w:name w:val="Note Heading - Level 2"/>
    <w:basedOn w:val="Normal"/>
    <w:rsid w:val="001058D6"/>
    <w:pPr>
      <w:spacing w:line="260" w:lineRule="atLeast"/>
    </w:pPr>
    <w:rPr>
      <w:sz w:val="22"/>
    </w:rPr>
  </w:style>
  <w:style w:type="character" w:customStyle="1" w:styleId="LineitemsChar">
    <w:name w:val="Line items Char"/>
    <w:link w:val="Lineitems"/>
    <w:locked/>
    <w:rsid w:val="001058D6"/>
    <w:rPr>
      <w:rFonts w:ascii="Times New Roman" w:eastAsia="Times New Roman" w:hAnsi="Times New Roman" w:cs="Times New Roman"/>
      <w:sz w:val="20"/>
      <w:szCs w:val="20"/>
    </w:rPr>
  </w:style>
  <w:style w:type="paragraph" w:customStyle="1" w:styleId="Notesreferencetext">
    <w:name w:val="Notes reference text"/>
    <w:basedOn w:val="Normal"/>
    <w:next w:val="Normal"/>
    <w:rsid w:val="001058D6"/>
    <w:pPr>
      <w:spacing w:line="260" w:lineRule="atLeast"/>
      <w:jc w:val="center"/>
    </w:pPr>
    <w:rPr>
      <w:sz w:val="18"/>
    </w:rPr>
  </w:style>
  <w:style w:type="paragraph" w:customStyle="1" w:styleId="PrimaryStatementsHeading">
    <w:name w:val="Primary Statements Heading"/>
    <w:basedOn w:val="Normal"/>
    <w:autoRedefine/>
    <w:rsid w:val="001058D6"/>
    <w:pPr>
      <w:spacing w:line="300" w:lineRule="exact"/>
    </w:pPr>
    <w:rPr>
      <w:rFonts w:ascii="Arial" w:hAnsi="Arial"/>
      <w:b/>
      <w:i/>
      <w:sz w:val="24"/>
    </w:rPr>
  </w:style>
  <w:style w:type="paragraph" w:customStyle="1" w:styleId="SAPHeading-Level4">
    <w:name w:val="SAP Heading - Level 4"/>
    <w:basedOn w:val="SAPHeading-Level3"/>
    <w:rsid w:val="001058D6"/>
    <w:pPr>
      <w:shd w:val="clear" w:color="auto" w:fill="auto"/>
      <w:ind w:right="0"/>
      <w:outlineLvl w:val="9"/>
    </w:pPr>
    <w:rPr>
      <w:b w:val="0"/>
    </w:rPr>
  </w:style>
  <w:style w:type="paragraph" w:customStyle="1" w:styleId="NotesTextBold">
    <w:name w:val="Notes Text Bold"/>
    <w:basedOn w:val="NotesText"/>
    <w:rsid w:val="001058D6"/>
    <w:rPr>
      <w:rFonts w:ascii="TimesNewRoman,BoldItalic" w:hAnsi="TimesNewRoman,BoldItalic" w:cs="TimesNewRoman,BoldItalic"/>
      <w:b/>
      <w:bCs/>
      <w:iCs/>
    </w:rPr>
  </w:style>
  <w:style w:type="paragraph" w:customStyle="1" w:styleId="CurrentYear000Header">
    <w:name w:val="Current Year $'000 Header"/>
    <w:basedOn w:val="Normal"/>
    <w:next w:val="Normal"/>
    <w:link w:val="CurrentYear000HeaderCharChar"/>
    <w:rsid w:val="001058D6"/>
    <w:pPr>
      <w:framePr w:hSpace="180" w:wrap="around" w:vAnchor="text" w:hAnchor="text" w:y="1"/>
      <w:spacing w:line="260" w:lineRule="atLeast"/>
      <w:suppressOverlap/>
      <w:jc w:val="right"/>
    </w:pPr>
    <w:rPr>
      <w:rFonts w:ascii="Arial" w:hAnsi="Arial"/>
      <w:b/>
      <w:sz w:val="18"/>
    </w:rPr>
  </w:style>
  <w:style w:type="character" w:customStyle="1" w:styleId="CurrentYear000HeaderCharChar">
    <w:name w:val="Current Year $'000 Header Char Char"/>
    <w:link w:val="CurrentYear000Header"/>
    <w:locked/>
    <w:rsid w:val="001058D6"/>
    <w:rPr>
      <w:rFonts w:ascii="Arial" w:eastAsia="Times New Roman" w:hAnsi="Arial" w:cs="Times New Roman"/>
      <w:b/>
      <w:sz w:val="18"/>
      <w:szCs w:val="20"/>
    </w:rPr>
  </w:style>
  <w:style w:type="paragraph" w:customStyle="1" w:styleId="Default">
    <w:name w:val="Default"/>
    <w:rsid w:val="001058D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basedOn w:val="Normal"/>
    <w:uiPriority w:val="34"/>
    <w:rsid w:val="001058D6"/>
    <w:pPr>
      <w:spacing w:line="260" w:lineRule="atLeast"/>
      <w:ind w:left="720"/>
      <w:contextualSpacing/>
    </w:pPr>
    <w:rPr>
      <w:sz w:val="22"/>
    </w:rPr>
  </w:style>
  <w:style w:type="paragraph" w:styleId="ListNumber">
    <w:name w:val="List Number"/>
    <w:basedOn w:val="Normal"/>
    <w:uiPriority w:val="99"/>
    <w:rsid w:val="001058D6"/>
    <w:pPr>
      <w:numPr>
        <w:numId w:val="6"/>
      </w:numPr>
      <w:spacing w:after="200" w:line="276" w:lineRule="auto"/>
    </w:pPr>
    <w:rPr>
      <w:rFonts w:ascii="Arial" w:hAnsi="Arial"/>
      <w:sz w:val="22"/>
      <w:szCs w:val="22"/>
    </w:rPr>
  </w:style>
  <w:style w:type="paragraph" w:styleId="ListNumber2">
    <w:name w:val="List Number 2"/>
    <w:basedOn w:val="Normal"/>
    <w:uiPriority w:val="99"/>
    <w:rsid w:val="001058D6"/>
    <w:pPr>
      <w:numPr>
        <w:ilvl w:val="1"/>
        <w:numId w:val="6"/>
      </w:numPr>
      <w:spacing w:after="200" w:line="276" w:lineRule="auto"/>
    </w:pPr>
    <w:rPr>
      <w:rFonts w:ascii="Arial" w:hAnsi="Arial"/>
      <w:sz w:val="22"/>
      <w:szCs w:val="22"/>
    </w:rPr>
  </w:style>
  <w:style w:type="paragraph" w:styleId="ListNumber3">
    <w:name w:val="List Number 3"/>
    <w:basedOn w:val="Normal"/>
    <w:uiPriority w:val="99"/>
    <w:rsid w:val="001058D6"/>
    <w:pPr>
      <w:numPr>
        <w:ilvl w:val="2"/>
        <w:numId w:val="6"/>
      </w:numPr>
      <w:spacing w:after="200" w:line="276" w:lineRule="auto"/>
    </w:pPr>
    <w:rPr>
      <w:rFonts w:ascii="Arial" w:hAnsi="Arial"/>
      <w:sz w:val="22"/>
      <w:szCs w:val="22"/>
    </w:rPr>
  </w:style>
  <w:style w:type="paragraph" w:styleId="ListNumber4">
    <w:name w:val="List Number 4"/>
    <w:basedOn w:val="Normal"/>
    <w:uiPriority w:val="99"/>
    <w:rsid w:val="001058D6"/>
    <w:pPr>
      <w:numPr>
        <w:ilvl w:val="3"/>
        <w:numId w:val="6"/>
      </w:numPr>
      <w:spacing w:after="200" w:line="276" w:lineRule="auto"/>
    </w:pPr>
    <w:rPr>
      <w:rFonts w:ascii="Arial" w:hAnsi="Arial"/>
      <w:sz w:val="22"/>
      <w:szCs w:val="22"/>
    </w:rPr>
  </w:style>
  <w:style w:type="paragraph" w:styleId="ListNumber5">
    <w:name w:val="List Number 5"/>
    <w:basedOn w:val="Normal"/>
    <w:uiPriority w:val="99"/>
    <w:rsid w:val="001058D6"/>
    <w:pPr>
      <w:numPr>
        <w:ilvl w:val="4"/>
        <w:numId w:val="6"/>
      </w:numPr>
      <w:spacing w:after="200" w:line="276" w:lineRule="auto"/>
    </w:pPr>
    <w:rPr>
      <w:rFonts w:ascii="Arial" w:hAnsi="Arial"/>
      <w:sz w:val="22"/>
      <w:szCs w:val="22"/>
    </w:rPr>
  </w:style>
  <w:style w:type="character" w:customStyle="1" w:styleId="citetitle">
    <w:name w:val="citetitle"/>
    <w:rsid w:val="001058D6"/>
  </w:style>
  <w:style w:type="character" w:customStyle="1" w:styleId="para1">
    <w:name w:val="para1"/>
    <w:rsid w:val="001058D6"/>
    <w:rPr>
      <w:rFonts w:ascii="Arial" w:hAnsi="Arial"/>
      <w:sz w:val="19"/>
    </w:rPr>
  </w:style>
  <w:style w:type="paragraph" w:styleId="ListBullet2">
    <w:name w:val="List Bullet 2"/>
    <w:basedOn w:val="Normal"/>
    <w:uiPriority w:val="99"/>
    <w:rsid w:val="001058D6"/>
    <w:pPr>
      <w:spacing w:line="260" w:lineRule="atLeast"/>
      <w:ind w:left="737" w:hanging="368"/>
      <w:contextualSpacing/>
    </w:pPr>
    <w:rPr>
      <w:sz w:val="22"/>
    </w:rPr>
  </w:style>
  <w:style w:type="paragraph" w:styleId="ListBullet3">
    <w:name w:val="List Bullet 3"/>
    <w:basedOn w:val="Normal"/>
    <w:uiPriority w:val="99"/>
    <w:rsid w:val="001058D6"/>
    <w:pPr>
      <w:spacing w:line="260" w:lineRule="atLeast"/>
      <w:ind w:left="1106" w:hanging="369"/>
      <w:contextualSpacing/>
    </w:pPr>
    <w:rPr>
      <w:sz w:val="22"/>
    </w:rPr>
  </w:style>
  <w:style w:type="paragraph" w:styleId="ListBullet4">
    <w:name w:val="List Bullet 4"/>
    <w:basedOn w:val="Normal"/>
    <w:uiPriority w:val="99"/>
    <w:rsid w:val="001058D6"/>
    <w:pPr>
      <w:spacing w:line="260" w:lineRule="atLeast"/>
      <w:ind w:left="1474" w:hanging="368"/>
      <w:contextualSpacing/>
    </w:pPr>
    <w:rPr>
      <w:sz w:val="22"/>
    </w:rPr>
  </w:style>
  <w:style w:type="paragraph" w:styleId="ListBullet5">
    <w:name w:val="List Bullet 5"/>
    <w:basedOn w:val="Normal"/>
    <w:uiPriority w:val="99"/>
    <w:rsid w:val="001058D6"/>
    <w:pPr>
      <w:spacing w:line="260" w:lineRule="atLeast"/>
      <w:ind w:left="1800" w:hanging="360"/>
      <w:contextualSpacing/>
    </w:pPr>
    <w:rPr>
      <w:sz w:val="22"/>
    </w:rPr>
  </w:style>
  <w:style w:type="paragraph" w:customStyle="1" w:styleId="shortt">
    <w:name w:val="shortt"/>
    <w:basedOn w:val="Normal"/>
    <w:rsid w:val="001058D6"/>
    <w:pPr>
      <w:spacing w:before="100" w:beforeAutospacing="1" w:after="100" w:afterAutospacing="1"/>
    </w:pPr>
    <w:rPr>
      <w:sz w:val="24"/>
      <w:szCs w:val="24"/>
      <w:lang w:eastAsia="en-AU"/>
    </w:rPr>
  </w:style>
  <w:style w:type="character" w:customStyle="1" w:styleId="commentary">
    <w:name w:val="commentary"/>
    <w:rsid w:val="001058D6"/>
  </w:style>
  <w:style w:type="paragraph" w:customStyle="1" w:styleId="NoteText">
    <w:name w:val="Note Text"/>
    <w:basedOn w:val="Normal"/>
    <w:autoRedefine/>
    <w:rsid w:val="001058D6"/>
    <w:pPr>
      <w:tabs>
        <w:tab w:val="left" w:pos="284"/>
      </w:tabs>
      <w:spacing w:after="120" w:line="260" w:lineRule="atLeast"/>
      <w:ind w:left="567"/>
    </w:pPr>
  </w:style>
  <w:style w:type="paragraph" w:customStyle="1" w:styleId="Notestext0">
    <w:name w:val="Notes text"/>
    <w:basedOn w:val="Notes"/>
    <w:rsid w:val="001058D6"/>
    <w:rPr>
      <w:b w:val="0"/>
    </w:rPr>
  </w:style>
  <w:style w:type="paragraph" w:customStyle="1" w:styleId="FinancialStatementPriorYearData">
    <w:name w:val="Financial Statement Prior Year Data"/>
    <w:basedOn w:val="Normal"/>
    <w:rsid w:val="001058D6"/>
    <w:pPr>
      <w:spacing w:line="260" w:lineRule="atLeast"/>
      <w:ind w:left="57" w:right="57"/>
      <w:jc w:val="center"/>
    </w:pPr>
  </w:style>
  <w:style w:type="paragraph" w:customStyle="1" w:styleId="StyleSAPHeading-Level1Auto">
    <w:name w:val="Style SAP Heading - Level 1 + Auto"/>
    <w:basedOn w:val="SAPHeading-Level1"/>
    <w:rsid w:val="001058D6"/>
    <w:pPr>
      <w:shd w:val="clear" w:color="auto" w:fill="auto"/>
      <w:tabs>
        <w:tab w:val="clear" w:pos="851"/>
        <w:tab w:val="num" w:pos="1134"/>
      </w:tabs>
      <w:ind w:left="1134" w:right="0" w:hanging="1134"/>
      <w:outlineLvl w:val="9"/>
    </w:pPr>
    <w:rPr>
      <w:bCs/>
    </w:rPr>
  </w:style>
  <w:style w:type="paragraph" w:customStyle="1" w:styleId="CM1">
    <w:name w:val="CM1"/>
    <w:basedOn w:val="Normal"/>
    <w:next w:val="Normal"/>
    <w:rsid w:val="001058D6"/>
    <w:pPr>
      <w:autoSpaceDE w:val="0"/>
      <w:autoSpaceDN w:val="0"/>
      <w:adjustRightInd w:val="0"/>
      <w:spacing w:line="248" w:lineRule="atLeast"/>
    </w:pPr>
    <w:rPr>
      <w:rFonts w:ascii="Swiss 72 1 BT" w:hAnsi="Swiss 72 1 BT"/>
      <w:sz w:val="24"/>
      <w:szCs w:val="24"/>
      <w:lang w:eastAsia="en-AU"/>
    </w:rPr>
  </w:style>
  <w:style w:type="numbering" w:customStyle="1" w:styleId="CurrentList2">
    <w:name w:val="Current List2"/>
    <w:rsid w:val="001058D6"/>
    <w:pPr>
      <w:numPr>
        <w:numId w:val="4"/>
      </w:numPr>
    </w:pPr>
  </w:style>
  <w:style w:type="numbering" w:customStyle="1" w:styleId="Style1">
    <w:name w:val="Style1"/>
    <w:rsid w:val="001058D6"/>
    <w:pPr>
      <w:numPr>
        <w:numId w:val="7"/>
      </w:numPr>
    </w:pPr>
  </w:style>
  <w:style w:type="numbering" w:customStyle="1" w:styleId="Style2">
    <w:name w:val="Style2"/>
    <w:rsid w:val="001058D6"/>
    <w:pPr>
      <w:numPr>
        <w:numId w:val="3"/>
      </w:numPr>
    </w:pPr>
  </w:style>
  <w:style w:type="numbering" w:customStyle="1" w:styleId="CurrentList1">
    <w:name w:val="Current List1"/>
    <w:rsid w:val="001058D6"/>
    <w:pPr>
      <w:numPr>
        <w:numId w:val="2"/>
      </w:numPr>
    </w:pPr>
  </w:style>
  <w:style w:type="numbering" w:customStyle="1" w:styleId="KeyPoints">
    <w:name w:val="Key Points"/>
    <w:rsid w:val="001058D6"/>
    <w:pPr>
      <w:numPr>
        <w:numId w:val="5"/>
      </w:numPr>
    </w:pPr>
  </w:style>
  <w:style w:type="paragraph" w:customStyle="1" w:styleId="Covertitle">
    <w:name w:val="Cover title"/>
    <w:basedOn w:val="NoParagraphStyle"/>
    <w:uiPriority w:val="99"/>
    <w:rsid w:val="001058D6"/>
    <w:pPr>
      <w:suppressAutoHyphens/>
      <w:spacing w:before="176" w:line="760" w:lineRule="atLeast"/>
      <w:jc w:val="right"/>
      <w:textAlignment w:val="baseline"/>
    </w:pPr>
    <w:rPr>
      <w:rFonts w:ascii="TimesNewRomanPSMT" w:hAnsi="TimesNewRomanPSMT" w:cs="TimesNewRomanPSMT"/>
      <w:sz w:val="68"/>
      <w:szCs w:val="68"/>
      <w:lang w:val="en-AU"/>
    </w:rPr>
  </w:style>
  <w:style w:type="paragraph" w:customStyle="1" w:styleId="Coversubtitle">
    <w:name w:val="Cover subtitle"/>
    <w:basedOn w:val="NoParagraphStyle"/>
    <w:uiPriority w:val="99"/>
    <w:rsid w:val="001058D6"/>
    <w:pPr>
      <w:keepNext/>
      <w:keepLines/>
      <w:suppressAutoHyphens/>
      <w:spacing w:after="55"/>
      <w:jc w:val="right"/>
      <w:textAlignment w:val="baseline"/>
    </w:pPr>
    <w:rPr>
      <w:rFonts w:ascii="ArialMT" w:hAnsi="ArialMT" w:cs="ArialMT"/>
      <w:color w:val="FFFFFF"/>
      <w:spacing w:val="2"/>
      <w:sz w:val="20"/>
      <w:szCs w:val="20"/>
      <w:lang w:val="en-AU"/>
    </w:rPr>
  </w:style>
  <w:style w:type="paragraph" w:styleId="TOCHeading">
    <w:name w:val="TOC Heading"/>
    <w:basedOn w:val="Heading1"/>
    <w:next w:val="Normal"/>
    <w:uiPriority w:val="39"/>
    <w:semiHidden/>
    <w:unhideWhenUsed/>
    <w:qFormat/>
    <w:rsid w:val="0094078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character" w:styleId="FollowedHyperlink">
    <w:name w:val="FollowedHyperlink"/>
    <w:basedOn w:val="DefaultParagraphFont"/>
    <w:uiPriority w:val="99"/>
    <w:semiHidden/>
    <w:unhideWhenUsed/>
    <w:rsid w:val="00023F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9AF05-2811-43E8-A601-0F214122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7894</Words>
  <Characters>44997</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2012-13 Commonwealth Environmental Water</dc:title>
  <dc:creator>Commonwealth Environmental Water</dc:creator>
  <cp:lastModifiedBy>Rebecca Durack</cp:lastModifiedBy>
  <cp:revision>2</cp:revision>
  <cp:lastPrinted>2013-10-29T22:14:00Z</cp:lastPrinted>
  <dcterms:created xsi:type="dcterms:W3CDTF">2013-10-30T05:08:00Z</dcterms:created>
  <dcterms:modified xsi:type="dcterms:W3CDTF">2013-10-30T05:08:00Z</dcterms:modified>
</cp:coreProperties>
</file>