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94F" w:rsidRDefault="009F4861" w:rsidP="00CA794F">
      <w:pPr>
        <w:sectPr w:rsidR="00CA794F" w:rsidSect="00CA794F">
          <w:headerReference w:type="even" r:id="rId12"/>
          <w:footerReference w:type="default" r:id="rId13"/>
          <w:footerReference w:type="first" r:id="rId14"/>
          <w:pgSz w:w="11906" w:h="16838"/>
          <w:pgMar w:top="1418" w:right="1276" w:bottom="567" w:left="1418" w:header="425" w:footer="425" w:gutter="0"/>
          <w:cols w:space="708"/>
          <w:docGrid w:linePitch="360"/>
        </w:sectPr>
      </w:pPr>
      <w:r>
        <w:rPr>
          <w:noProof/>
          <w:lang w:val="en-AU" w:eastAsia="en-AU" w:bidi="ar-SA"/>
        </w:rPr>
        <w:drawing>
          <wp:anchor distT="0" distB="0" distL="114300" distR="114300" simplePos="0" relativeHeight="251702272" behindDoc="1" locked="0" layoutInCell="1" allowOverlap="1">
            <wp:simplePos x="0" y="0"/>
            <wp:positionH relativeFrom="column">
              <wp:posOffset>-1732718</wp:posOffset>
            </wp:positionH>
            <wp:positionV relativeFrom="paragraph">
              <wp:posOffset>-2445451</wp:posOffset>
            </wp:positionV>
            <wp:extent cx="9099660" cy="14031311"/>
            <wp:effectExtent l="19050" t="0" r="6240" b="0"/>
            <wp:wrapNone/>
            <wp:docPr id="2" name="Picture 1" descr="\\pvac01file02\water$\Environment\Environmental Water\CEWH\SER Section\(SPIRE) Publications\Trade of CEW\Trading Framework\03 GDA 183 D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SER Section\(SPIRE) Publications\Trade of CEW\Trading Framework\03 GDA 183 Dam (3).JPG"/>
                    <pic:cNvPicPr>
                      <a:picLocks noChangeAspect="1" noChangeArrowheads="1"/>
                    </pic:cNvPicPr>
                  </pic:nvPicPr>
                  <pic:blipFill>
                    <a:blip r:embed="rId15" cstate="screen"/>
                    <a:srcRect/>
                    <a:stretch>
                      <a:fillRect/>
                    </a:stretch>
                  </pic:blipFill>
                  <pic:spPr bwMode="auto">
                    <a:xfrm>
                      <a:off x="0" y="0"/>
                      <a:ext cx="9099660" cy="14031311"/>
                    </a:xfrm>
                    <a:prstGeom prst="rect">
                      <a:avLst/>
                    </a:prstGeom>
                    <a:noFill/>
                    <a:ln w="9525">
                      <a:noFill/>
                      <a:miter lim="800000"/>
                      <a:headEnd/>
                      <a:tailEnd/>
                    </a:ln>
                  </pic:spPr>
                </pic:pic>
              </a:graphicData>
            </a:graphic>
          </wp:anchor>
        </w:drawing>
      </w:r>
      <w:r>
        <w:rPr>
          <w:noProof/>
          <w:lang w:val="en-AU" w:eastAsia="en-AU" w:bidi="ar-SA"/>
        </w:rPr>
        <w:drawing>
          <wp:anchor distT="0" distB="0" distL="114300" distR="114300" simplePos="0" relativeHeight="251706368" behindDoc="0" locked="0" layoutInCell="1" allowOverlap="1">
            <wp:simplePos x="0" y="0"/>
            <wp:positionH relativeFrom="column">
              <wp:posOffset>2176145</wp:posOffset>
            </wp:positionH>
            <wp:positionV relativeFrom="paragraph">
              <wp:posOffset>1147445</wp:posOffset>
            </wp:positionV>
            <wp:extent cx="3362325" cy="257175"/>
            <wp:effectExtent l="19050" t="0" r="9525"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6" cstate="screen"/>
                    <a:stretch>
                      <a:fillRect/>
                    </a:stretch>
                  </pic:blipFill>
                  <pic:spPr>
                    <a:xfrm>
                      <a:off x="0" y="0"/>
                      <a:ext cx="3362325" cy="257175"/>
                    </a:xfrm>
                    <a:prstGeom prst="rect">
                      <a:avLst/>
                    </a:prstGeom>
                  </pic:spPr>
                </pic:pic>
              </a:graphicData>
            </a:graphic>
          </wp:anchor>
        </w:drawing>
      </w:r>
      <w:r>
        <w:rPr>
          <w:noProof/>
          <w:lang w:val="en-AU" w:eastAsia="en-AU" w:bidi="ar-SA"/>
        </w:rPr>
        <w:drawing>
          <wp:anchor distT="0" distB="0" distL="114300" distR="114300" simplePos="0" relativeHeight="251708416" behindDoc="0" locked="0" layoutInCell="1" allowOverlap="1">
            <wp:simplePos x="0" y="0"/>
            <wp:positionH relativeFrom="column">
              <wp:posOffset>-900430</wp:posOffset>
            </wp:positionH>
            <wp:positionV relativeFrom="paragraph">
              <wp:posOffset>556895</wp:posOffset>
            </wp:positionV>
            <wp:extent cx="2466975" cy="971550"/>
            <wp:effectExtent l="19050" t="0" r="9525"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17" cstate="screen"/>
                    <a:stretch>
                      <a:fillRect/>
                    </a:stretch>
                  </pic:blipFill>
                  <pic:spPr>
                    <a:xfrm>
                      <a:off x="0" y="0"/>
                      <a:ext cx="2466975" cy="971550"/>
                    </a:xfrm>
                    <a:prstGeom prst="rect">
                      <a:avLst/>
                    </a:prstGeom>
                  </pic:spPr>
                </pic:pic>
              </a:graphicData>
            </a:graphic>
          </wp:anchor>
        </w:drawing>
      </w:r>
      <w:r w:rsidR="001B7ECE">
        <w:rPr>
          <w:noProof/>
          <w:lang w:val="en-AU" w:eastAsia="en-AU" w:bidi="ar-SA"/>
        </w:rPr>
        <w:pict>
          <v:shapetype id="_x0000_t202" coordsize="21600,21600" o:spt="202" path="m,l,21600r21600,l21600,xe">
            <v:stroke joinstyle="miter"/>
            <v:path gradientshapeok="t" o:connecttype="rect"/>
          </v:shapetype>
          <v:shape id="_x0000_s1056" type="#_x0000_t202" style="position:absolute;left:0;text-align:left;margin-left:73.1pt;margin-top:4.3pt;width:366.75pt;height:80.8pt;z-index:251688960;mso-position-horizontal-relative:text;mso-position-vertical-relative:text;mso-width-relative:margin;mso-height-relative:margin" filled="f" stroked="f">
            <v:textbox>
              <w:txbxContent>
                <w:p w:rsidR="003B7F34" w:rsidRPr="004E2640" w:rsidRDefault="003B7F34" w:rsidP="00CA794F">
                  <w:pPr>
                    <w:pStyle w:val="Para0"/>
                    <w:spacing w:after="0" w:line="240" w:lineRule="auto"/>
                    <w:ind w:left="-142" w:right="-79"/>
                    <w:jc w:val="right"/>
                    <w:rPr>
                      <w:rFonts w:ascii="Calibri" w:hAnsi="Calibri" w:cs="Calibri"/>
                      <w:b/>
                      <w:color w:val="auto"/>
                      <w:sz w:val="44"/>
                      <w:szCs w:val="44"/>
                    </w:rPr>
                  </w:pPr>
                  <w:r w:rsidRPr="004E2640">
                    <w:rPr>
                      <w:rFonts w:ascii="Calibri" w:hAnsi="Calibri" w:cs="Calibri"/>
                      <w:b/>
                      <w:color w:val="auto"/>
                      <w:sz w:val="44"/>
                      <w:szCs w:val="44"/>
                    </w:rPr>
                    <w:t xml:space="preserve">Commonwealth environmental water </w:t>
                  </w:r>
                </w:p>
                <w:p w:rsidR="003B7F34" w:rsidRPr="004E2640" w:rsidRDefault="003B7F34" w:rsidP="00CA794F">
                  <w:pPr>
                    <w:pStyle w:val="Para0"/>
                    <w:spacing w:after="0" w:line="240" w:lineRule="auto"/>
                    <w:ind w:left="-142" w:right="-79"/>
                    <w:jc w:val="right"/>
                    <w:rPr>
                      <w:rFonts w:ascii="Calibri" w:hAnsi="Calibri" w:cs="Calibri"/>
                      <w:b/>
                      <w:color w:val="auto"/>
                      <w:sz w:val="44"/>
                      <w:szCs w:val="44"/>
                    </w:rPr>
                  </w:pPr>
                  <w:r>
                    <w:rPr>
                      <w:rFonts w:ascii="Calibri" w:hAnsi="Calibri" w:cs="Calibri"/>
                      <w:b/>
                      <w:color w:val="auto"/>
                      <w:sz w:val="44"/>
                      <w:szCs w:val="44"/>
                    </w:rPr>
                    <w:t>T</w:t>
                  </w:r>
                  <w:r w:rsidRPr="004E2640">
                    <w:rPr>
                      <w:rFonts w:ascii="Calibri" w:hAnsi="Calibri" w:cs="Calibri"/>
                      <w:b/>
                      <w:color w:val="auto"/>
                      <w:sz w:val="44"/>
                      <w:szCs w:val="44"/>
                    </w:rPr>
                    <w:t xml:space="preserve">rading </w:t>
                  </w:r>
                  <w:r>
                    <w:rPr>
                      <w:rFonts w:ascii="Calibri" w:hAnsi="Calibri" w:cs="Calibri"/>
                      <w:b/>
                      <w:color w:val="auto"/>
                      <w:sz w:val="44"/>
                      <w:szCs w:val="44"/>
                    </w:rPr>
                    <w:t>F</w:t>
                  </w:r>
                  <w:r w:rsidRPr="004E2640">
                    <w:rPr>
                      <w:rFonts w:ascii="Calibri" w:hAnsi="Calibri" w:cs="Calibri"/>
                      <w:b/>
                      <w:color w:val="auto"/>
                      <w:sz w:val="44"/>
                      <w:szCs w:val="44"/>
                    </w:rPr>
                    <w:t>ramework</w:t>
                  </w:r>
                </w:p>
                <w:p w:rsidR="003B7F34" w:rsidRPr="004E2640" w:rsidRDefault="003B7F34" w:rsidP="00CA794F">
                  <w:pPr>
                    <w:pStyle w:val="Para0"/>
                    <w:spacing w:after="0" w:line="240" w:lineRule="auto"/>
                    <w:ind w:left="-142" w:right="-79"/>
                    <w:jc w:val="right"/>
                    <w:rPr>
                      <w:rFonts w:ascii="Calibri" w:hAnsi="Calibri" w:cs="Calibri"/>
                      <w:b/>
                      <w:color w:val="B6533F"/>
                      <w:sz w:val="36"/>
                      <w:szCs w:val="36"/>
                    </w:rPr>
                  </w:pPr>
                  <w:r>
                    <w:rPr>
                      <w:rFonts w:ascii="Calibri" w:hAnsi="Calibri" w:cs="Calibri"/>
                      <w:b/>
                      <w:color w:val="B6533F"/>
                      <w:sz w:val="36"/>
                      <w:szCs w:val="36"/>
                    </w:rPr>
                    <w:t>January</w:t>
                  </w:r>
                  <w:r w:rsidRPr="004E2640">
                    <w:rPr>
                      <w:rFonts w:ascii="Calibri" w:hAnsi="Calibri" w:cs="Calibri"/>
                      <w:b/>
                      <w:color w:val="B6533F"/>
                      <w:sz w:val="36"/>
                      <w:szCs w:val="36"/>
                    </w:rPr>
                    <w:t xml:space="preserve"> 201</w:t>
                  </w:r>
                  <w:r>
                    <w:rPr>
                      <w:rFonts w:ascii="Calibri" w:hAnsi="Calibri" w:cs="Calibri"/>
                      <w:b/>
                      <w:color w:val="B6533F"/>
                      <w:sz w:val="36"/>
                      <w:szCs w:val="36"/>
                    </w:rPr>
                    <w:t>4</w:t>
                  </w:r>
                </w:p>
                <w:p w:rsidR="003B7F34" w:rsidRPr="00213AC9" w:rsidRDefault="003B7F34" w:rsidP="00CA794F">
                  <w:pPr>
                    <w:rPr>
                      <w:lang w:val="en-GB"/>
                    </w:rPr>
                  </w:pPr>
                </w:p>
              </w:txbxContent>
            </v:textbox>
          </v:shape>
        </w:pict>
      </w:r>
      <w:r w:rsidR="001B7ECE">
        <w:rPr>
          <w:noProof/>
          <w:lang w:val="en-AU" w:eastAsia="en-AU" w:bidi="ar-SA"/>
        </w:rPr>
        <w:pict>
          <v:roundrect id="_x0000_s1055" style="position:absolute;left:0;text-align:left;margin-left:-149.35pt;margin-top:4.3pt;width:609.45pt;height:117.55pt;z-index:251687936;mso-position-horizontal-relative:text;mso-position-vertical-relative:text" arcsize="5246f" stroked="f"/>
        </w:pict>
      </w:r>
    </w:p>
    <w:p w:rsidR="00CA794F" w:rsidRDefault="00CA794F" w:rsidP="00CA794F">
      <w:pPr>
        <w:ind w:firstLine="0"/>
        <w:rPr>
          <w:b/>
          <w:sz w:val="28"/>
          <w:szCs w:val="28"/>
        </w:rPr>
      </w:pPr>
    </w:p>
    <w:p w:rsidR="00CA794F" w:rsidRPr="00B07950" w:rsidRDefault="009F4861" w:rsidP="00CA794F">
      <w:pPr>
        <w:ind w:firstLine="0"/>
        <w:rPr>
          <w:b/>
          <w:sz w:val="28"/>
          <w:szCs w:val="28"/>
        </w:rPr>
      </w:pPr>
      <w:r w:rsidRPr="00B07950">
        <w:rPr>
          <w:b/>
          <w:sz w:val="28"/>
          <w:szCs w:val="28"/>
        </w:rPr>
        <w:t>Acknowledgement of the Traditional Owners of the Murray-Darling Basin</w:t>
      </w:r>
    </w:p>
    <w:p w:rsidR="00CA794F" w:rsidRDefault="00CA794F" w:rsidP="00CA794F">
      <w:pPr>
        <w:ind w:firstLine="0"/>
        <w:rPr>
          <w:rFonts w:cs="Century Gothic"/>
          <w:color w:val="000000"/>
          <w:sz w:val="28"/>
          <w:szCs w:val="28"/>
        </w:rPr>
      </w:pPr>
    </w:p>
    <w:p w:rsidR="00CA794F" w:rsidRPr="00B07950" w:rsidRDefault="009F4861" w:rsidP="00CA794F">
      <w:pPr>
        <w:ind w:firstLine="0"/>
        <w:rPr>
          <w:sz w:val="28"/>
          <w:szCs w:val="28"/>
        </w:rPr>
      </w:pPr>
      <w:r w:rsidRPr="00B07950">
        <w:rPr>
          <w:rFonts w:cs="Century Gothic"/>
          <w:color w:val="000000"/>
          <w:sz w:val="28"/>
          <w:szCs w:val="28"/>
        </w:rPr>
        <w:t xml:space="preserve">The Commonwealth Environmental Water </w:t>
      </w:r>
      <w:r>
        <w:rPr>
          <w:rFonts w:cs="Century Gothic"/>
          <w:color w:val="000000"/>
          <w:sz w:val="28"/>
          <w:szCs w:val="28"/>
        </w:rPr>
        <w:t xml:space="preserve">Holder and the </w:t>
      </w:r>
      <w:r w:rsidRPr="00B07950">
        <w:rPr>
          <w:rFonts w:cs="Century Gothic"/>
          <w:color w:val="000000"/>
          <w:sz w:val="28"/>
          <w:szCs w:val="28"/>
        </w:rPr>
        <w:t>Commonwealth Environmental Water Office respectfully acknowledges the Traditional Owners, their Elders past and present, their Nations of the Murray– Darling Basin, and their cultural, social, environmental, spiritual and economic connection to their lands and waters.</w:t>
      </w:r>
    </w:p>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Pr="00B07950" w:rsidRDefault="009F4861" w:rsidP="00CA794F">
      <w:pPr>
        <w:autoSpaceDE w:val="0"/>
        <w:autoSpaceDN w:val="0"/>
        <w:ind w:firstLine="0"/>
        <w:rPr>
          <w:color w:val="414142"/>
        </w:rPr>
      </w:pPr>
      <w:r w:rsidRPr="00B07950">
        <w:rPr>
          <w:color w:val="414142"/>
        </w:rPr>
        <w:t>This report should be cited as ‘</w:t>
      </w:r>
      <w:r>
        <w:rPr>
          <w:i/>
          <w:iCs/>
          <w:color w:val="414142"/>
          <w:lang w:val="en-GB"/>
        </w:rPr>
        <w:t>Commonwealth environmental water Trading Framework</w:t>
      </w:r>
      <w:r w:rsidRPr="00B07950">
        <w:rPr>
          <w:i/>
          <w:iCs/>
          <w:color w:val="414142"/>
          <w:lang w:val="en-GB"/>
        </w:rPr>
        <w:t>’</w:t>
      </w:r>
      <w:r w:rsidRPr="00B07950">
        <w:rPr>
          <w:color w:val="414142"/>
        </w:rPr>
        <w:t xml:space="preserve">. </w:t>
      </w:r>
    </w:p>
    <w:p w:rsidR="00CA794F" w:rsidRPr="00B07950" w:rsidRDefault="00CA794F" w:rsidP="00CA794F">
      <w:pPr>
        <w:autoSpaceDE w:val="0"/>
        <w:autoSpaceDN w:val="0"/>
        <w:ind w:firstLine="0"/>
        <w:rPr>
          <w:b/>
          <w:i/>
          <w:iCs/>
          <w:color w:val="414142"/>
          <w:lang w:val="en-GB"/>
        </w:rPr>
      </w:pPr>
    </w:p>
    <w:p w:rsidR="00CA794F" w:rsidRPr="00B07950" w:rsidRDefault="009F4861" w:rsidP="00CA794F">
      <w:pPr>
        <w:autoSpaceDE w:val="0"/>
        <w:autoSpaceDN w:val="0"/>
        <w:ind w:firstLine="0"/>
        <w:rPr>
          <w:color w:val="414142"/>
        </w:rPr>
      </w:pPr>
      <w:proofErr w:type="gramStart"/>
      <w:r w:rsidRPr="00B07950">
        <w:rPr>
          <w:color w:val="414142"/>
        </w:rPr>
        <w:t>Published by the Commonwealth Environmental Water Holder for the Australian Government.</w:t>
      </w:r>
      <w:proofErr w:type="gramEnd"/>
      <w:r w:rsidRPr="00B07950">
        <w:rPr>
          <w:color w:val="414142"/>
        </w:rPr>
        <w:br/>
      </w:r>
      <w:proofErr w:type="gramStart"/>
      <w:r w:rsidRPr="00B07950">
        <w:rPr>
          <w:color w:val="414142"/>
        </w:rPr>
        <w:softHyphen/>
      </w:r>
      <w:r w:rsidRPr="00B07950">
        <w:rPr>
          <w:color w:val="414142"/>
        </w:rPr>
        <w:softHyphen/>
        <w:t>© Commonwealth of Australia 2013.</w:t>
      </w:r>
      <w:proofErr w:type="gramEnd"/>
    </w:p>
    <w:p w:rsidR="00CA794F" w:rsidRPr="00B07950" w:rsidRDefault="00CA794F" w:rsidP="00CA794F">
      <w:pPr>
        <w:autoSpaceDE w:val="0"/>
        <w:autoSpaceDN w:val="0"/>
        <w:ind w:firstLine="0"/>
        <w:rPr>
          <w:color w:val="414142"/>
        </w:rPr>
      </w:pPr>
    </w:p>
    <w:p w:rsidR="00CA794F" w:rsidRPr="00B07950" w:rsidRDefault="009F4861" w:rsidP="00CA794F">
      <w:pPr>
        <w:autoSpaceDE w:val="0"/>
        <w:autoSpaceDN w:val="0"/>
        <w:ind w:firstLine="0"/>
      </w:pPr>
      <w:r w:rsidRPr="00B07950">
        <w:rPr>
          <w:color w:val="414142"/>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w:t>
      </w:r>
      <w:r>
        <w:rPr>
          <w:color w:val="414142"/>
        </w:rPr>
        <w:t>the Environment</w:t>
      </w:r>
      <w:r w:rsidRPr="00B07950">
        <w:rPr>
          <w:color w:val="414142"/>
        </w:rPr>
        <w:t xml:space="preserve">, Public Affairs, GPO Box 787 Canberra ACT 2601 or email </w:t>
      </w:r>
      <w:hyperlink r:id="rId18" w:history="1">
        <w:r w:rsidRPr="00B07950">
          <w:rPr>
            <w:rStyle w:val="Hyperlink"/>
          </w:rPr>
          <w:t>public.affairs@environment.gov.au</w:t>
        </w:r>
      </w:hyperlink>
    </w:p>
    <w:p w:rsidR="00CA794F" w:rsidRPr="00B07950" w:rsidRDefault="00CA794F" w:rsidP="00CA794F">
      <w:pPr>
        <w:autoSpaceDE w:val="0"/>
        <w:autoSpaceDN w:val="0"/>
        <w:ind w:firstLine="0"/>
        <w:rPr>
          <w:color w:val="414142"/>
        </w:rPr>
      </w:pPr>
    </w:p>
    <w:p w:rsidR="00CA794F" w:rsidRDefault="009F4861" w:rsidP="00CA794F">
      <w:pPr>
        <w:ind w:firstLine="0"/>
      </w:pPr>
      <w:r w:rsidRPr="00B07950">
        <w:rPr>
          <w:color w:val="414142"/>
        </w:rPr>
        <w:t xml:space="preserve">Information presented in this document may be copied for personal use or published for education purposes, provided that any extracts are fully acknowledged. The views and opinions expressed in this publication are those of the authors and do not necessarily reflect those of the Australian Government or the Minister for </w:t>
      </w:r>
      <w:r>
        <w:rPr>
          <w:color w:val="414142"/>
        </w:rPr>
        <w:t xml:space="preserve">the </w:t>
      </w:r>
      <w:r w:rsidRPr="00B07950">
        <w:rPr>
          <w:color w:val="414142"/>
        </w:rPr>
        <w:t>Environ</w:t>
      </w:r>
      <w:r>
        <w:rPr>
          <w:color w:val="414142"/>
        </w:rPr>
        <w:t>ment</w:t>
      </w:r>
      <w:r w:rsidRPr="00B07950">
        <w:rPr>
          <w:color w:val="414142"/>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92448">
        <w:t xml:space="preserve"> </w:t>
      </w:r>
    </w:p>
    <w:p w:rsidR="00CA794F" w:rsidRPr="00192448" w:rsidRDefault="00CA794F" w:rsidP="00CA794F">
      <w:pPr>
        <w:autoSpaceDE w:val="0"/>
        <w:autoSpaceDN w:val="0"/>
        <w:ind w:firstLine="0"/>
        <w:rPr>
          <w:color w:val="414142"/>
        </w:rPr>
      </w:pPr>
    </w:p>
    <w:p w:rsidR="00CA794F" w:rsidRPr="00B07950" w:rsidRDefault="009F4861" w:rsidP="00CA794F">
      <w:pPr>
        <w:ind w:firstLine="0"/>
        <w:rPr>
          <w:b/>
        </w:rPr>
      </w:pPr>
      <w:r w:rsidRPr="00192448">
        <w:rPr>
          <w:color w:val="414142"/>
        </w:rPr>
        <w:t>Cover image credit:</w:t>
      </w:r>
      <w:r>
        <w:rPr>
          <w:color w:val="414142"/>
        </w:rPr>
        <w:t xml:space="preserve"> </w:t>
      </w:r>
      <w:r w:rsidRPr="00192448">
        <w:rPr>
          <w:color w:val="414142"/>
        </w:rPr>
        <w:t>Great Darling Anabranch, NSW. Photo by Rebecca Gee © CEWO.</w:t>
      </w:r>
    </w:p>
    <w:p w:rsidR="00CA794F" w:rsidRDefault="00CA794F" w:rsidP="00CA794F">
      <w:pPr>
        <w:ind w:firstLine="0"/>
        <w:sectPr w:rsidR="00CA794F" w:rsidSect="00CA794F">
          <w:pgSz w:w="11906" w:h="16838"/>
          <w:pgMar w:top="1418" w:right="1276" w:bottom="567" w:left="1418" w:header="425" w:footer="425" w:gutter="0"/>
          <w:cols w:space="708"/>
          <w:docGrid w:linePitch="360"/>
        </w:sectPr>
      </w:pPr>
    </w:p>
    <w:p w:rsidR="00CA794F" w:rsidRDefault="001B7ECE" w:rsidP="00CA794F">
      <w:pPr>
        <w:rPr>
          <w:highlight w:val="magenta"/>
        </w:rPr>
      </w:pPr>
      <w:r>
        <w:rPr>
          <w:noProof/>
          <w:lang w:val="en-AU" w:eastAsia="en-AU" w:bidi="ar-SA"/>
        </w:rPr>
        <w:lastRenderedPageBreak/>
        <w:pict>
          <v:roundrect id="AutoShape 78" o:spid="_x0000_s1057" style="position:absolute;left:0;text-align:left;margin-left:-22.9pt;margin-top:-54.4pt;width:505.8pt;height:792.75pt;flip:y;z-index:251689984;visibility:visible;mso-wrap-distance-left:9pt;mso-wrap-distance-top:0;mso-wrap-distance-right:9pt;mso-wrap-distance-bottom:0;mso-width-relative:page;mso-height-relative:page;v-text-anchor:top" arcsize="1924f" filled="f" strokecolor="#365f91">
            <v:textbox>
              <w:txbxContent>
                <w:p w:rsidR="003B7F34" w:rsidRDefault="003B7F34" w:rsidP="00CA794F">
                  <w:pPr>
                    <w:pStyle w:val="Heading1"/>
                    <w:spacing w:before="240"/>
                    <w:jc w:val="center"/>
                  </w:pPr>
                  <w:bookmarkStart w:id="0" w:name="_Toc256000001"/>
                  <w:bookmarkStart w:id="1" w:name="_Toc256000000"/>
                  <w:bookmarkStart w:id="2" w:name="_Toc373835449"/>
                  <w:bookmarkStart w:id="3" w:name="_Toc373865173"/>
                  <w:bookmarkStart w:id="4" w:name="_Toc375035175"/>
                </w:p>
                <w:p w:rsidR="003B7F34" w:rsidRDefault="003B7F34" w:rsidP="00CA794F">
                  <w:pPr>
                    <w:pStyle w:val="Heading1"/>
                    <w:spacing w:before="240"/>
                    <w:jc w:val="center"/>
                  </w:pPr>
                  <w:r>
                    <w:t>EXECUTIVE SUMMARY</w:t>
                  </w:r>
                  <w:bookmarkEnd w:id="0"/>
                  <w:bookmarkEnd w:id="1"/>
                  <w:bookmarkEnd w:id="2"/>
                  <w:bookmarkEnd w:id="3"/>
                  <w:bookmarkEnd w:id="4"/>
                </w:p>
                <w:p w:rsidR="003B7F34" w:rsidRPr="003562BC" w:rsidRDefault="003B7F34" w:rsidP="00CA794F">
                  <w:pPr>
                    <w:pStyle w:val="Default"/>
                    <w:spacing w:after="120"/>
                  </w:pPr>
                  <w:r>
                    <w:rPr>
                      <w:rFonts w:ascii="Calibri" w:hAnsi="Calibri"/>
                      <w:sz w:val="22"/>
                      <w:szCs w:val="22"/>
                    </w:rPr>
                    <w:t>The Commonwealth Environmental W</w:t>
                  </w:r>
                  <w:r w:rsidRPr="001E77EF">
                    <w:rPr>
                      <w:rFonts w:ascii="Calibri" w:hAnsi="Calibri"/>
                      <w:sz w:val="22"/>
                      <w:szCs w:val="22"/>
                    </w:rPr>
                    <w:t>ater Holder</w:t>
                  </w:r>
                  <w:r>
                    <w:rPr>
                      <w:rFonts w:ascii="Calibri" w:hAnsi="Calibri"/>
                      <w:sz w:val="22"/>
                      <w:szCs w:val="22"/>
                    </w:rPr>
                    <w:t xml:space="preserve"> (CEWH)</w:t>
                  </w:r>
                  <w:r w:rsidRPr="001E77EF">
                    <w:rPr>
                      <w:rFonts w:ascii="Calibri" w:hAnsi="Calibri"/>
                      <w:sz w:val="22"/>
                      <w:szCs w:val="22"/>
                    </w:rPr>
                    <w:t xml:space="preserve"> has legislated responsibility</w:t>
                  </w:r>
                  <w:r>
                    <w:rPr>
                      <w:rFonts w:ascii="Calibri" w:hAnsi="Calibri"/>
                      <w:sz w:val="22"/>
                      <w:szCs w:val="22"/>
                    </w:rPr>
                    <w:t xml:space="preserve"> for </w:t>
                  </w:r>
                  <w:r w:rsidRPr="001E77EF">
                    <w:rPr>
                      <w:rFonts w:ascii="Calibri" w:hAnsi="Calibri"/>
                      <w:sz w:val="22"/>
                      <w:szCs w:val="22"/>
                    </w:rPr>
                    <w:t>decisions relating to Commonwealth environmental water. The purpose of</w:t>
                  </w:r>
                  <w:r>
                    <w:rPr>
                      <w:rFonts w:ascii="Calibri" w:hAnsi="Calibri"/>
                      <w:sz w:val="22"/>
                      <w:szCs w:val="22"/>
                    </w:rPr>
                    <w:t xml:space="preserve"> C</w:t>
                  </w:r>
                  <w:r w:rsidRPr="001E77EF">
                    <w:rPr>
                      <w:rFonts w:ascii="Calibri" w:hAnsi="Calibri"/>
                      <w:sz w:val="22"/>
                      <w:szCs w:val="22"/>
                    </w:rPr>
                    <w:t>ommonwealth envir</w:t>
                  </w:r>
                  <w:r>
                    <w:rPr>
                      <w:rFonts w:ascii="Calibri" w:hAnsi="Calibri"/>
                      <w:sz w:val="22"/>
                      <w:szCs w:val="22"/>
                    </w:rPr>
                    <w:t xml:space="preserve">onmental water is protecting or </w:t>
                  </w:r>
                  <w:r w:rsidRPr="001E77EF">
                    <w:rPr>
                      <w:rFonts w:ascii="Calibri" w:hAnsi="Calibri"/>
                      <w:sz w:val="22"/>
                      <w:szCs w:val="22"/>
                    </w:rPr>
                    <w:t>restor</w:t>
                  </w:r>
                  <w:r>
                    <w:rPr>
                      <w:rFonts w:ascii="Calibri" w:hAnsi="Calibri"/>
                      <w:sz w:val="22"/>
                      <w:szCs w:val="22"/>
                    </w:rPr>
                    <w:t>ing</w:t>
                  </w:r>
                  <w:r w:rsidRPr="001E77EF">
                    <w:rPr>
                      <w:rFonts w:ascii="Calibri" w:hAnsi="Calibri"/>
                      <w:sz w:val="22"/>
                      <w:szCs w:val="22"/>
                    </w:rPr>
                    <w:t xml:space="preserve"> the </w:t>
                  </w:r>
                  <w:r>
                    <w:rPr>
                      <w:rFonts w:ascii="Calibri" w:hAnsi="Calibri"/>
                      <w:sz w:val="22"/>
                      <w:szCs w:val="22"/>
                    </w:rPr>
                    <w:t xml:space="preserve">environmental assets of </w:t>
                  </w:r>
                  <w:r w:rsidRPr="001E77EF">
                    <w:rPr>
                      <w:rFonts w:ascii="Calibri" w:hAnsi="Calibri"/>
                      <w:sz w:val="22"/>
                      <w:szCs w:val="22"/>
                    </w:rPr>
                    <w:t>the Murray</w:t>
                  </w:r>
                  <w:r>
                    <w:rPr>
                      <w:rFonts w:ascii="Calibri" w:hAnsi="Calibri"/>
                      <w:sz w:val="22"/>
                      <w:szCs w:val="22"/>
                    </w:rPr>
                    <w:t>-</w:t>
                  </w:r>
                  <w:r w:rsidRPr="001E77EF">
                    <w:rPr>
                      <w:rFonts w:ascii="Calibri" w:hAnsi="Calibri"/>
                      <w:sz w:val="22"/>
                      <w:szCs w:val="22"/>
                    </w:rPr>
                    <w:t xml:space="preserve">Darling Basin. </w:t>
                  </w:r>
                  <w:r>
                    <w:rPr>
                      <w:rFonts w:ascii="Calibri" w:hAnsi="Calibri"/>
                      <w:sz w:val="22"/>
                      <w:szCs w:val="22"/>
                    </w:rPr>
                    <w:t>To maximise the benefits of environmental water, the Commonwealth environmental water portfolio is actively managed which means the water may</w:t>
                  </w:r>
                  <w:r w:rsidRPr="001E77EF">
                    <w:rPr>
                      <w:rFonts w:ascii="Calibri" w:hAnsi="Calibri"/>
                      <w:sz w:val="22"/>
                      <w:szCs w:val="22"/>
                    </w:rPr>
                    <w:t xml:space="preserve"> be:</w:t>
                  </w:r>
                </w:p>
                <w:p w:rsidR="003B7F34" w:rsidRPr="001E77EF" w:rsidRDefault="003B7F34" w:rsidP="00CA794F">
                  <w:pPr>
                    <w:pStyle w:val="Default"/>
                    <w:numPr>
                      <w:ilvl w:val="0"/>
                      <w:numId w:val="19"/>
                    </w:numPr>
                    <w:rPr>
                      <w:rFonts w:ascii="Calibri" w:hAnsi="Calibri"/>
                      <w:sz w:val="22"/>
                      <w:szCs w:val="22"/>
                    </w:rPr>
                  </w:pPr>
                  <w:r>
                    <w:rPr>
                      <w:rFonts w:ascii="Calibri" w:hAnsi="Calibri"/>
                      <w:sz w:val="22"/>
                      <w:szCs w:val="22"/>
                    </w:rPr>
                    <w:t>d</w:t>
                  </w:r>
                  <w:r w:rsidRPr="001E77EF">
                    <w:rPr>
                      <w:rFonts w:ascii="Calibri" w:hAnsi="Calibri"/>
                      <w:sz w:val="22"/>
                      <w:szCs w:val="22"/>
                    </w:rPr>
                    <w:t>elivered to meet environmental outcomes</w:t>
                  </w:r>
                  <w:r>
                    <w:rPr>
                      <w:rFonts w:ascii="Calibri" w:hAnsi="Calibri"/>
                      <w:sz w:val="22"/>
                      <w:szCs w:val="22"/>
                    </w:rPr>
                    <w:t>;</w:t>
                  </w:r>
                </w:p>
                <w:p w:rsidR="003B7F34" w:rsidRPr="001E77EF" w:rsidRDefault="003B7F34" w:rsidP="00CA794F">
                  <w:pPr>
                    <w:pStyle w:val="Default"/>
                    <w:numPr>
                      <w:ilvl w:val="0"/>
                      <w:numId w:val="19"/>
                    </w:numPr>
                    <w:rPr>
                      <w:rFonts w:ascii="Calibri" w:hAnsi="Calibri"/>
                      <w:sz w:val="22"/>
                      <w:szCs w:val="22"/>
                    </w:rPr>
                  </w:pPr>
                  <w:r>
                    <w:rPr>
                      <w:rFonts w:ascii="Calibri" w:hAnsi="Calibri"/>
                      <w:sz w:val="22"/>
                      <w:szCs w:val="22"/>
                    </w:rPr>
                    <w:t>c</w:t>
                  </w:r>
                  <w:r w:rsidRPr="001E77EF">
                    <w:rPr>
                      <w:rFonts w:ascii="Calibri" w:hAnsi="Calibri"/>
                      <w:sz w:val="22"/>
                      <w:szCs w:val="22"/>
                    </w:rPr>
                    <w:t>arried over to the following year to meet future environment</w:t>
                  </w:r>
                  <w:r>
                    <w:rPr>
                      <w:rFonts w:ascii="Calibri" w:hAnsi="Calibri"/>
                      <w:sz w:val="22"/>
                      <w:szCs w:val="22"/>
                    </w:rPr>
                    <w:t>al</w:t>
                  </w:r>
                  <w:r w:rsidRPr="001E77EF">
                    <w:rPr>
                      <w:rFonts w:ascii="Calibri" w:hAnsi="Calibri"/>
                      <w:sz w:val="22"/>
                      <w:szCs w:val="22"/>
                    </w:rPr>
                    <w:t xml:space="preserve"> outcomes</w:t>
                  </w:r>
                  <w:r>
                    <w:rPr>
                      <w:rFonts w:ascii="Calibri" w:hAnsi="Calibri"/>
                      <w:sz w:val="22"/>
                      <w:szCs w:val="22"/>
                    </w:rPr>
                    <w:t>; or</w:t>
                  </w:r>
                  <w:r w:rsidRPr="001E77EF">
                    <w:rPr>
                      <w:rFonts w:ascii="Calibri" w:hAnsi="Calibri"/>
                      <w:sz w:val="22"/>
                      <w:szCs w:val="22"/>
                    </w:rPr>
                    <w:t xml:space="preserve"> </w:t>
                  </w:r>
                </w:p>
                <w:p w:rsidR="003B7F34" w:rsidRPr="001E77EF" w:rsidRDefault="003B7F34" w:rsidP="00CA794F">
                  <w:pPr>
                    <w:pStyle w:val="Default"/>
                    <w:numPr>
                      <w:ilvl w:val="0"/>
                      <w:numId w:val="19"/>
                    </w:numPr>
                    <w:spacing w:after="120"/>
                    <w:ind w:left="714" w:hanging="357"/>
                    <w:rPr>
                      <w:rFonts w:ascii="Calibri" w:hAnsi="Calibri"/>
                      <w:sz w:val="22"/>
                      <w:szCs w:val="22"/>
                    </w:rPr>
                  </w:pPr>
                  <w:proofErr w:type="gramStart"/>
                  <w:r>
                    <w:rPr>
                      <w:rFonts w:ascii="Calibri" w:hAnsi="Calibri"/>
                      <w:sz w:val="22"/>
                      <w:szCs w:val="22"/>
                    </w:rPr>
                    <w:t>t</w:t>
                  </w:r>
                  <w:r w:rsidRPr="001E77EF">
                    <w:rPr>
                      <w:rFonts w:ascii="Calibri" w:hAnsi="Calibri"/>
                      <w:sz w:val="22"/>
                      <w:szCs w:val="22"/>
                    </w:rPr>
                    <w:t>raded</w:t>
                  </w:r>
                  <w:proofErr w:type="gramEnd"/>
                  <w:r w:rsidRPr="001E77EF">
                    <w:rPr>
                      <w:rFonts w:ascii="Calibri" w:hAnsi="Calibri"/>
                      <w:sz w:val="22"/>
                      <w:szCs w:val="22"/>
                    </w:rPr>
                    <w:t>.</w:t>
                  </w:r>
                </w:p>
                <w:p w:rsidR="003B7F34" w:rsidRDefault="003B7F34" w:rsidP="00CA794F">
                  <w:pPr>
                    <w:pStyle w:val="Default"/>
                    <w:spacing w:after="120"/>
                    <w:rPr>
                      <w:rFonts w:ascii="Calibri" w:hAnsi="Calibri"/>
                      <w:sz w:val="22"/>
                      <w:szCs w:val="22"/>
                    </w:rPr>
                  </w:pPr>
                  <w:r>
                    <w:rPr>
                      <w:rFonts w:ascii="Calibri" w:hAnsi="Calibri"/>
                      <w:sz w:val="22"/>
                      <w:szCs w:val="22"/>
                    </w:rPr>
                    <w:t>T</w:t>
                  </w:r>
                  <w:r w:rsidRPr="001E77EF">
                    <w:rPr>
                      <w:rFonts w:ascii="Calibri" w:hAnsi="Calibri"/>
                      <w:sz w:val="22"/>
                      <w:szCs w:val="22"/>
                    </w:rPr>
                    <w:t>he purpose of this</w:t>
                  </w:r>
                  <w:r>
                    <w:rPr>
                      <w:rFonts w:ascii="Calibri" w:hAnsi="Calibri"/>
                      <w:sz w:val="22"/>
                      <w:szCs w:val="22"/>
                    </w:rPr>
                    <w:t xml:space="preserve"> paper</w:t>
                  </w:r>
                  <w:r w:rsidRPr="001E77EF">
                    <w:rPr>
                      <w:rFonts w:ascii="Calibri" w:hAnsi="Calibri"/>
                      <w:sz w:val="22"/>
                      <w:szCs w:val="22"/>
                    </w:rPr>
                    <w:t xml:space="preserve"> is to provide interested parties with the framework within which the CEWH and </w:t>
                  </w:r>
                  <w:r>
                    <w:rPr>
                      <w:rFonts w:ascii="Calibri" w:hAnsi="Calibri"/>
                      <w:sz w:val="22"/>
                      <w:szCs w:val="22"/>
                    </w:rPr>
                    <w:t>Commonwealth Environmental Water Office (</w:t>
                  </w:r>
                  <w:r w:rsidRPr="001E77EF">
                    <w:rPr>
                      <w:rFonts w:ascii="Calibri" w:hAnsi="Calibri"/>
                      <w:sz w:val="22"/>
                      <w:szCs w:val="22"/>
                    </w:rPr>
                    <w:t>CEWO</w:t>
                  </w:r>
                  <w:r>
                    <w:rPr>
                      <w:rFonts w:ascii="Calibri" w:hAnsi="Calibri"/>
                      <w:sz w:val="22"/>
                      <w:szCs w:val="22"/>
                    </w:rPr>
                    <w:t>) staff are required to behave when involved in commercial trading.</w:t>
                  </w:r>
                  <w:r w:rsidRPr="001E77EF">
                    <w:rPr>
                      <w:rFonts w:ascii="Calibri" w:hAnsi="Calibri"/>
                      <w:sz w:val="22"/>
                      <w:szCs w:val="22"/>
                    </w:rPr>
                    <w:t xml:space="preserve"> </w:t>
                  </w:r>
                  <w:r>
                    <w:rPr>
                      <w:rFonts w:ascii="Calibri" w:hAnsi="Calibri"/>
                      <w:sz w:val="22"/>
                      <w:szCs w:val="22"/>
                    </w:rPr>
                    <w:t>The i</w:t>
                  </w:r>
                  <w:r w:rsidRPr="00094501">
                    <w:rPr>
                      <w:rFonts w:ascii="Calibri" w:hAnsi="Calibri"/>
                      <w:sz w:val="22"/>
                      <w:szCs w:val="22"/>
                    </w:rPr>
                    <w:t xml:space="preserve">mplementation of the </w:t>
                  </w:r>
                  <w:r w:rsidRPr="005078ED">
                    <w:rPr>
                      <w:rFonts w:ascii="Calibri" w:hAnsi="Calibri"/>
                      <w:sz w:val="22"/>
                      <w:szCs w:val="22"/>
                    </w:rPr>
                    <w:t xml:space="preserve">Commonwealth environmental water trading framework (the </w:t>
                  </w:r>
                  <w:r>
                    <w:rPr>
                      <w:rFonts w:ascii="Calibri" w:hAnsi="Calibri"/>
                      <w:sz w:val="22"/>
                      <w:szCs w:val="22"/>
                    </w:rPr>
                    <w:t>T</w:t>
                  </w:r>
                  <w:r w:rsidRPr="005078ED">
                    <w:rPr>
                      <w:rFonts w:ascii="Calibri" w:hAnsi="Calibri"/>
                      <w:sz w:val="22"/>
                      <w:szCs w:val="22"/>
                    </w:rPr>
                    <w:t xml:space="preserve">rading </w:t>
                  </w:r>
                  <w:r>
                    <w:rPr>
                      <w:rFonts w:ascii="Calibri" w:hAnsi="Calibri"/>
                      <w:sz w:val="22"/>
                      <w:szCs w:val="22"/>
                    </w:rPr>
                    <w:t>F</w:t>
                  </w:r>
                  <w:r w:rsidRPr="005078ED">
                    <w:rPr>
                      <w:rFonts w:ascii="Calibri" w:hAnsi="Calibri"/>
                      <w:sz w:val="22"/>
                      <w:szCs w:val="22"/>
                    </w:rPr>
                    <w:t>ramework)</w:t>
                  </w:r>
                  <w:r>
                    <w:t xml:space="preserve"> </w:t>
                  </w:r>
                  <w:r w:rsidRPr="00094501">
                    <w:rPr>
                      <w:rFonts w:ascii="Calibri" w:hAnsi="Calibri"/>
                      <w:sz w:val="22"/>
                      <w:szCs w:val="22"/>
                    </w:rPr>
                    <w:t xml:space="preserve">will ensure that </w:t>
                  </w:r>
                  <w:r>
                    <w:rPr>
                      <w:rFonts w:ascii="Calibri" w:hAnsi="Calibri"/>
                      <w:sz w:val="22"/>
                      <w:szCs w:val="22"/>
                    </w:rPr>
                    <w:t>CEWH’s</w:t>
                  </w:r>
                  <w:r w:rsidRPr="00094501">
                    <w:rPr>
                      <w:rFonts w:ascii="Calibri" w:hAnsi="Calibri"/>
                      <w:sz w:val="22"/>
                      <w:szCs w:val="22"/>
                    </w:rPr>
                    <w:t xml:space="preserve"> trading activities</w:t>
                  </w:r>
                  <w:r>
                    <w:rPr>
                      <w:rFonts w:ascii="Calibri" w:hAnsi="Calibri"/>
                      <w:sz w:val="22"/>
                      <w:szCs w:val="22"/>
                    </w:rPr>
                    <w:t>:</w:t>
                  </w:r>
                  <w:r w:rsidRPr="00094501">
                    <w:rPr>
                      <w:rFonts w:ascii="Calibri" w:hAnsi="Calibri"/>
                      <w:sz w:val="22"/>
                      <w:szCs w:val="22"/>
                    </w:rPr>
                    <w:t xml:space="preserve"> </w:t>
                  </w:r>
                </w:p>
                <w:p w:rsidR="003B7F34" w:rsidRDefault="003B7F34" w:rsidP="00CA794F">
                  <w:pPr>
                    <w:pStyle w:val="Default"/>
                    <w:numPr>
                      <w:ilvl w:val="0"/>
                      <w:numId w:val="19"/>
                    </w:numPr>
                    <w:rPr>
                      <w:rFonts w:ascii="Calibri" w:hAnsi="Calibri"/>
                      <w:sz w:val="22"/>
                      <w:szCs w:val="22"/>
                    </w:rPr>
                  </w:pPr>
                  <w:r>
                    <w:rPr>
                      <w:rFonts w:ascii="Calibri" w:hAnsi="Calibri"/>
                      <w:sz w:val="22"/>
                      <w:szCs w:val="22"/>
                    </w:rPr>
                    <w:t>s</w:t>
                  </w:r>
                  <w:r w:rsidRPr="00094501">
                    <w:rPr>
                      <w:rFonts w:ascii="Calibri" w:hAnsi="Calibri"/>
                      <w:sz w:val="22"/>
                      <w:szCs w:val="22"/>
                    </w:rPr>
                    <w:t>upport enhanced environmental outcomes</w:t>
                  </w:r>
                  <w:r>
                    <w:rPr>
                      <w:rFonts w:ascii="Calibri" w:hAnsi="Calibri"/>
                      <w:sz w:val="22"/>
                      <w:szCs w:val="22"/>
                    </w:rPr>
                    <w:t>;</w:t>
                  </w:r>
                </w:p>
                <w:p w:rsidR="003B7F34" w:rsidRDefault="003B7F34" w:rsidP="004841D5">
                  <w:pPr>
                    <w:pStyle w:val="ListBullet"/>
                    <w:numPr>
                      <w:ilvl w:val="0"/>
                      <w:numId w:val="19"/>
                    </w:numPr>
                  </w:pPr>
                  <w:r>
                    <w:t>have regard to social and economic outcomes;</w:t>
                  </w:r>
                </w:p>
                <w:p w:rsidR="003B7F34" w:rsidRPr="001E77EF" w:rsidRDefault="003B7F34" w:rsidP="004841D5">
                  <w:pPr>
                    <w:pStyle w:val="ListBullet"/>
                    <w:numPr>
                      <w:ilvl w:val="0"/>
                      <w:numId w:val="19"/>
                    </w:numPr>
                  </w:pPr>
                  <w:r>
                    <w:t>consider impacts on the market, including any third-party impacts;</w:t>
                  </w:r>
                </w:p>
                <w:p w:rsidR="003B7F34" w:rsidRDefault="003B7F34" w:rsidP="00CA794F">
                  <w:pPr>
                    <w:pStyle w:val="Default"/>
                    <w:numPr>
                      <w:ilvl w:val="0"/>
                      <w:numId w:val="19"/>
                    </w:numPr>
                    <w:rPr>
                      <w:rFonts w:ascii="Calibri" w:hAnsi="Calibri"/>
                      <w:sz w:val="22"/>
                      <w:szCs w:val="22"/>
                    </w:rPr>
                  </w:pPr>
                  <w:r>
                    <w:rPr>
                      <w:rFonts w:ascii="Calibri" w:hAnsi="Calibri"/>
                      <w:sz w:val="22"/>
                      <w:szCs w:val="22"/>
                    </w:rPr>
                    <w:t>a</w:t>
                  </w:r>
                  <w:r w:rsidRPr="00094501">
                    <w:rPr>
                      <w:rFonts w:ascii="Calibri" w:hAnsi="Calibri"/>
                      <w:sz w:val="22"/>
                      <w:szCs w:val="22"/>
                    </w:rPr>
                    <w:t xml:space="preserve">re undertaken in a </w:t>
                  </w:r>
                  <w:r>
                    <w:rPr>
                      <w:rFonts w:ascii="Calibri" w:hAnsi="Calibri"/>
                      <w:sz w:val="22"/>
                      <w:szCs w:val="22"/>
                    </w:rPr>
                    <w:t>manner which meets legislative requirements;</w:t>
                  </w:r>
                </w:p>
                <w:p w:rsidR="003B7F34" w:rsidRDefault="003B7F34" w:rsidP="00CA794F">
                  <w:pPr>
                    <w:pStyle w:val="Default"/>
                    <w:numPr>
                      <w:ilvl w:val="0"/>
                      <w:numId w:val="19"/>
                    </w:numPr>
                    <w:ind w:left="714" w:hanging="357"/>
                    <w:rPr>
                      <w:rFonts w:ascii="Calibri" w:hAnsi="Calibri"/>
                      <w:sz w:val="22"/>
                      <w:szCs w:val="22"/>
                    </w:rPr>
                  </w:pPr>
                  <w:r>
                    <w:rPr>
                      <w:rFonts w:ascii="Calibri" w:hAnsi="Calibri"/>
                      <w:sz w:val="22"/>
                      <w:szCs w:val="22"/>
                    </w:rPr>
                    <w:t xml:space="preserve">are </w:t>
                  </w:r>
                  <w:r w:rsidRPr="00094501">
                    <w:rPr>
                      <w:rFonts w:ascii="Calibri" w:hAnsi="Calibri"/>
                      <w:sz w:val="22"/>
                      <w:szCs w:val="22"/>
                    </w:rPr>
                    <w:t>financially responsible, fair, equitab</w:t>
                  </w:r>
                  <w:r>
                    <w:rPr>
                      <w:rFonts w:ascii="Calibri" w:hAnsi="Calibri"/>
                      <w:sz w:val="22"/>
                      <w:szCs w:val="22"/>
                    </w:rPr>
                    <w:t>le, transparent and accountable;</w:t>
                  </w:r>
                  <w:r w:rsidRPr="00D1536D">
                    <w:rPr>
                      <w:rFonts w:ascii="Calibri" w:hAnsi="Calibri"/>
                      <w:sz w:val="22"/>
                      <w:szCs w:val="22"/>
                    </w:rPr>
                    <w:t xml:space="preserve"> </w:t>
                  </w:r>
                  <w:r>
                    <w:rPr>
                      <w:rFonts w:ascii="Calibri" w:hAnsi="Calibri"/>
                      <w:sz w:val="22"/>
                      <w:szCs w:val="22"/>
                    </w:rPr>
                    <w:t>and that</w:t>
                  </w:r>
                </w:p>
                <w:p w:rsidR="003B7F34" w:rsidRDefault="003B7F34" w:rsidP="00CA794F">
                  <w:pPr>
                    <w:pStyle w:val="Default"/>
                    <w:numPr>
                      <w:ilvl w:val="0"/>
                      <w:numId w:val="19"/>
                    </w:numPr>
                    <w:spacing w:after="120"/>
                    <w:ind w:left="714" w:hanging="357"/>
                    <w:rPr>
                      <w:rFonts w:ascii="Calibri" w:hAnsi="Calibri"/>
                      <w:sz w:val="22"/>
                      <w:szCs w:val="22"/>
                    </w:rPr>
                  </w:pPr>
                  <w:proofErr w:type="gramStart"/>
                  <w:r>
                    <w:rPr>
                      <w:rFonts w:ascii="Calibri" w:hAnsi="Calibri"/>
                      <w:sz w:val="22"/>
                      <w:szCs w:val="22"/>
                    </w:rPr>
                    <w:t>the</w:t>
                  </w:r>
                  <w:proofErr w:type="gramEnd"/>
                  <w:r>
                    <w:rPr>
                      <w:rFonts w:ascii="Calibri" w:hAnsi="Calibri"/>
                      <w:sz w:val="22"/>
                      <w:szCs w:val="22"/>
                    </w:rPr>
                    <w:t xml:space="preserve"> CEWH and CEWO staff act with integrity and high ethical standards.</w:t>
                  </w:r>
                </w:p>
                <w:p w:rsidR="003B7F34" w:rsidRDefault="003B7F34" w:rsidP="00CA794F">
                  <w:pPr>
                    <w:pStyle w:val="Default"/>
                    <w:spacing w:after="240"/>
                    <w:rPr>
                      <w:rFonts w:ascii="Calibri" w:hAnsi="Calibri"/>
                      <w:sz w:val="22"/>
                      <w:szCs w:val="22"/>
                    </w:rPr>
                  </w:pPr>
                  <w:r>
                    <w:rPr>
                      <w:rFonts w:ascii="Calibri" w:hAnsi="Calibri"/>
                      <w:sz w:val="22"/>
                      <w:szCs w:val="22"/>
                    </w:rPr>
                    <w:t xml:space="preserve">The development of the Trading Framework takes into account stakeholder responses to the </w:t>
                  </w:r>
                  <w:r w:rsidRPr="005A1D31">
                    <w:rPr>
                      <w:rFonts w:ascii="Calibri" w:hAnsi="Calibri"/>
                      <w:i/>
                      <w:sz w:val="22"/>
                      <w:szCs w:val="22"/>
                    </w:rPr>
                    <w:t>Commonwealth</w:t>
                  </w:r>
                  <w:r w:rsidRPr="00877A27">
                    <w:rPr>
                      <w:rFonts w:ascii="Calibri" w:hAnsi="Calibri"/>
                      <w:i/>
                      <w:sz w:val="22"/>
                      <w:szCs w:val="22"/>
                    </w:rPr>
                    <w:t xml:space="preserve"> Environmental Water – Trading Arrangements</w:t>
                  </w:r>
                  <w:r w:rsidRPr="00877A27">
                    <w:rPr>
                      <w:rFonts w:ascii="Calibri" w:hAnsi="Calibri"/>
                      <w:sz w:val="22"/>
                      <w:szCs w:val="22"/>
                    </w:rPr>
                    <w:t xml:space="preserve"> discussion </w:t>
                  </w:r>
                  <w:r>
                    <w:rPr>
                      <w:rFonts w:ascii="Calibri" w:hAnsi="Calibri"/>
                      <w:sz w:val="22"/>
                      <w:szCs w:val="22"/>
                    </w:rPr>
                    <w:t>paper released in November 2011, and addresses many of the concerns raised. The Trading Framework consists of:</w:t>
                  </w:r>
                </w:p>
                <w:p w:rsidR="003B7F34" w:rsidRDefault="003B7F34" w:rsidP="00CA794F">
                  <w:pPr>
                    <w:pStyle w:val="Default"/>
                    <w:numPr>
                      <w:ilvl w:val="0"/>
                      <w:numId w:val="17"/>
                    </w:numPr>
                    <w:rPr>
                      <w:rFonts w:ascii="Calibri" w:hAnsi="Calibri"/>
                      <w:sz w:val="22"/>
                      <w:szCs w:val="22"/>
                    </w:rPr>
                  </w:pPr>
                  <w:r>
                    <w:rPr>
                      <w:rFonts w:ascii="Calibri" w:hAnsi="Calibri"/>
                      <w:sz w:val="22"/>
                      <w:szCs w:val="22"/>
                    </w:rPr>
                    <w:t>L</w:t>
                  </w:r>
                  <w:r w:rsidRPr="00F44CAF">
                    <w:rPr>
                      <w:rFonts w:ascii="Calibri" w:hAnsi="Calibri"/>
                      <w:sz w:val="22"/>
                      <w:szCs w:val="22"/>
                    </w:rPr>
                    <w:t>egislative requirements that must be met</w:t>
                  </w:r>
                  <w:r>
                    <w:rPr>
                      <w:rFonts w:ascii="Calibri" w:hAnsi="Calibri"/>
                      <w:sz w:val="22"/>
                      <w:szCs w:val="22"/>
                    </w:rPr>
                    <w:t xml:space="preserve"> by the CEWH as a statutory office holder and CEWO staff as Commonwealth government employees.</w:t>
                  </w:r>
                </w:p>
                <w:p w:rsidR="003B7F34" w:rsidRDefault="003B7F34" w:rsidP="00CA794F">
                  <w:pPr>
                    <w:pStyle w:val="Default"/>
                    <w:numPr>
                      <w:ilvl w:val="0"/>
                      <w:numId w:val="17"/>
                    </w:numPr>
                    <w:ind w:left="760" w:hanging="357"/>
                    <w:rPr>
                      <w:rFonts w:ascii="Calibri" w:hAnsi="Calibri"/>
                      <w:sz w:val="22"/>
                      <w:szCs w:val="22"/>
                    </w:rPr>
                  </w:pPr>
                  <w:r>
                    <w:rPr>
                      <w:rFonts w:ascii="Calibri" w:hAnsi="Calibri"/>
                      <w:sz w:val="22"/>
                      <w:szCs w:val="22"/>
                    </w:rPr>
                    <w:t>O</w:t>
                  </w:r>
                  <w:r w:rsidRPr="00F44CAF">
                    <w:rPr>
                      <w:rFonts w:ascii="Calibri" w:hAnsi="Calibri"/>
                      <w:sz w:val="22"/>
                      <w:szCs w:val="22"/>
                    </w:rPr>
                    <w:t>perating rules</w:t>
                  </w:r>
                  <w:r>
                    <w:rPr>
                      <w:rFonts w:ascii="Calibri" w:hAnsi="Calibri"/>
                      <w:sz w:val="22"/>
                      <w:szCs w:val="22"/>
                    </w:rPr>
                    <w:t>,</w:t>
                  </w:r>
                  <w:r w:rsidRPr="00F44CAF">
                    <w:rPr>
                      <w:rFonts w:ascii="Calibri" w:hAnsi="Calibri"/>
                      <w:sz w:val="22"/>
                      <w:szCs w:val="22"/>
                    </w:rPr>
                    <w:t xml:space="preserve"> which </w:t>
                  </w:r>
                  <w:r>
                    <w:rPr>
                      <w:rFonts w:ascii="Calibri" w:hAnsi="Calibri"/>
                      <w:sz w:val="22"/>
                      <w:szCs w:val="22"/>
                    </w:rPr>
                    <w:t>are internal governance arrangements covering the CEWH and CEWO staff in relation to the different stages involved in trade.</w:t>
                  </w:r>
                </w:p>
                <w:p w:rsidR="003B7F34" w:rsidRPr="00F44CAF" w:rsidRDefault="003B7F34" w:rsidP="00CA794F">
                  <w:pPr>
                    <w:pStyle w:val="Default"/>
                    <w:numPr>
                      <w:ilvl w:val="0"/>
                      <w:numId w:val="17"/>
                    </w:numPr>
                    <w:spacing w:after="120"/>
                    <w:ind w:left="760" w:hanging="357"/>
                    <w:rPr>
                      <w:rFonts w:ascii="Calibri" w:hAnsi="Calibri"/>
                      <w:sz w:val="22"/>
                      <w:szCs w:val="22"/>
                    </w:rPr>
                  </w:pPr>
                  <w:r>
                    <w:rPr>
                      <w:rFonts w:ascii="Calibri" w:hAnsi="Calibri"/>
                      <w:sz w:val="22"/>
                      <w:szCs w:val="22"/>
                    </w:rPr>
                    <w:t>P</w:t>
                  </w:r>
                  <w:r w:rsidRPr="00F44CAF">
                    <w:rPr>
                      <w:rFonts w:ascii="Calibri" w:hAnsi="Calibri"/>
                      <w:sz w:val="22"/>
                      <w:szCs w:val="22"/>
                    </w:rPr>
                    <w:t>rocedure</w:t>
                  </w:r>
                  <w:r>
                    <w:rPr>
                      <w:rFonts w:ascii="Calibri" w:hAnsi="Calibri"/>
                      <w:sz w:val="22"/>
                      <w:szCs w:val="22"/>
                    </w:rPr>
                    <w:t>s</w:t>
                  </w:r>
                  <w:r w:rsidRPr="00F44CAF">
                    <w:rPr>
                      <w:rFonts w:ascii="Calibri" w:hAnsi="Calibri"/>
                      <w:sz w:val="22"/>
                      <w:szCs w:val="22"/>
                    </w:rPr>
                    <w:t xml:space="preserve"> </w:t>
                  </w:r>
                  <w:r>
                    <w:rPr>
                      <w:rFonts w:ascii="Calibri" w:hAnsi="Calibri"/>
                      <w:sz w:val="22"/>
                      <w:szCs w:val="22"/>
                    </w:rPr>
                    <w:t xml:space="preserve">and Protocols, which </w:t>
                  </w:r>
                  <w:r w:rsidRPr="00F44CAF">
                    <w:rPr>
                      <w:rFonts w:ascii="Calibri" w:hAnsi="Calibri"/>
                      <w:sz w:val="22"/>
                      <w:szCs w:val="22"/>
                    </w:rPr>
                    <w:t xml:space="preserve">are the </w:t>
                  </w:r>
                  <w:r>
                    <w:rPr>
                      <w:rFonts w:ascii="Calibri" w:hAnsi="Calibri"/>
                      <w:sz w:val="22"/>
                      <w:szCs w:val="22"/>
                    </w:rPr>
                    <w:t xml:space="preserve">processes that support legislative requirements and the operating rules, and must be complied with by the CEWH and CEWO staff. </w:t>
                  </w:r>
                </w:p>
                <w:p w:rsidR="003B7F34" w:rsidRPr="001E77EF" w:rsidRDefault="003B7F34" w:rsidP="00CA794F">
                  <w:pPr>
                    <w:pStyle w:val="Default"/>
                    <w:spacing w:after="120"/>
                    <w:rPr>
                      <w:rFonts w:ascii="Calibri" w:hAnsi="Calibri"/>
                      <w:sz w:val="22"/>
                      <w:szCs w:val="22"/>
                    </w:rPr>
                  </w:pPr>
                  <w:r>
                    <w:rPr>
                      <w:rFonts w:ascii="Calibri" w:hAnsi="Calibri"/>
                      <w:sz w:val="22"/>
                      <w:szCs w:val="22"/>
                    </w:rPr>
                    <w:t xml:space="preserve">The focus of this paper is on the CEWH and CEWO’s legislative requirements and the operating rules. </w:t>
                  </w:r>
                  <w:r w:rsidRPr="001E77EF">
                    <w:rPr>
                      <w:rFonts w:ascii="Calibri" w:hAnsi="Calibri"/>
                      <w:sz w:val="22"/>
                      <w:szCs w:val="22"/>
                    </w:rPr>
                    <w:t xml:space="preserve">The operating rules provide clear guidelines on how the CEWH will behave through the trading process </w:t>
                  </w:r>
                  <w:r>
                    <w:rPr>
                      <w:rFonts w:ascii="Calibri" w:hAnsi="Calibri"/>
                      <w:sz w:val="22"/>
                      <w:szCs w:val="22"/>
                    </w:rPr>
                    <w:t>including</w:t>
                  </w:r>
                  <w:r w:rsidRPr="001E77EF">
                    <w:rPr>
                      <w:rFonts w:ascii="Calibri" w:hAnsi="Calibri"/>
                      <w:sz w:val="22"/>
                      <w:szCs w:val="22"/>
                    </w:rPr>
                    <w:t>:</w:t>
                  </w:r>
                </w:p>
                <w:p w:rsidR="003B7F34" w:rsidRPr="00CA794F" w:rsidRDefault="003B7F34" w:rsidP="00CA794F">
                  <w:pPr>
                    <w:pStyle w:val="Default"/>
                    <w:numPr>
                      <w:ilvl w:val="0"/>
                      <w:numId w:val="19"/>
                    </w:numPr>
                    <w:rPr>
                      <w:rFonts w:ascii="Calibri" w:hAnsi="Calibri"/>
                      <w:sz w:val="22"/>
                      <w:szCs w:val="22"/>
                    </w:rPr>
                  </w:pPr>
                  <w:r w:rsidRPr="00CA794F">
                    <w:rPr>
                      <w:rFonts w:ascii="Calibri" w:hAnsi="Calibri"/>
                      <w:sz w:val="22"/>
                      <w:szCs w:val="22"/>
                    </w:rPr>
                    <w:t xml:space="preserve">identifying trading opportunities that will enhance capacity to support environmental objectives; </w:t>
                  </w:r>
                </w:p>
                <w:p w:rsidR="003B7F34" w:rsidRPr="00CA794F" w:rsidRDefault="003B7F34" w:rsidP="00CA794F">
                  <w:pPr>
                    <w:pStyle w:val="Default"/>
                    <w:numPr>
                      <w:ilvl w:val="0"/>
                      <w:numId w:val="19"/>
                    </w:numPr>
                    <w:rPr>
                      <w:rFonts w:ascii="Calibri" w:hAnsi="Calibri"/>
                      <w:sz w:val="22"/>
                      <w:szCs w:val="22"/>
                    </w:rPr>
                  </w:pPr>
                  <w:r w:rsidRPr="00CA794F">
                    <w:rPr>
                      <w:rFonts w:ascii="Calibri" w:hAnsi="Calibri"/>
                      <w:sz w:val="22"/>
                      <w:szCs w:val="22"/>
                    </w:rPr>
                    <w:t>making a trade decision;</w:t>
                  </w:r>
                </w:p>
                <w:p w:rsidR="003B7F34" w:rsidRPr="00CA794F" w:rsidRDefault="003B7F34" w:rsidP="00CA794F">
                  <w:pPr>
                    <w:pStyle w:val="Default"/>
                    <w:numPr>
                      <w:ilvl w:val="0"/>
                      <w:numId w:val="19"/>
                    </w:numPr>
                    <w:rPr>
                      <w:rFonts w:ascii="Calibri" w:hAnsi="Calibri"/>
                      <w:sz w:val="22"/>
                      <w:szCs w:val="22"/>
                    </w:rPr>
                  </w:pPr>
                  <w:r w:rsidRPr="00CA794F">
                    <w:rPr>
                      <w:rFonts w:ascii="Calibri" w:hAnsi="Calibri"/>
                      <w:sz w:val="22"/>
                      <w:szCs w:val="22"/>
                    </w:rPr>
                    <w:t xml:space="preserve">approaching the market, including announcements; </w:t>
                  </w:r>
                </w:p>
                <w:p w:rsidR="003B7F34" w:rsidRPr="00CA794F" w:rsidRDefault="003B7F34" w:rsidP="00CA794F">
                  <w:pPr>
                    <w:pStyle w:val="Default"/>
                    <w:numPr>
                      <w:ilvl w:val="0"/>
                      <w:numId w:val="19"/>
                    </w:numPr>
                    <w:rPr>
                      <w:rFonts w:ascii="Calibri" w:hAnsi="Calibri"/>
                      <w:sz w:val="22"/>
                      <w:szCs w:val="22"/>
                    </w:rPr>
                  </w:pPr>
                  <w:r w:rsidRPr="00CA794F">
                    <w:rPr>
                      <w:rFonts w:ascii="Calibri" w:hAnsi="Calibri"/>
                      <w:sz w:val="22"/>
                      <w:szCs w:val="22"/>
                    </w:rPr>
                    <w:t>evaluation of offers;</w:t>
                  </w:r>
                </w:p>
                <w:p w:rsidR="003B7F34" w:rsidRPr="00CA794F" w:rsidRDefault="003B7F34" w:rsidP="00CA794F">
                  <w:pPr>
                    <w:pStyle w:val="Default"/>
                    <w:numPr>
                      <w:ilvl w:val="0"/>
                      <w:numId w:val="19"/>
                    </w:numPr>
                    <w:rPr>
                      <w:rFonts w:ascii="Calibri" w:hAnsi="Calibri"/>
                      <w:sz w:val="22"/>
                      <w:szCs w:val="22"/>
                    </w:rPr>
                  </w:pPr>
                  <w:r w:rsidRPr="00CA794F">
                    <w:rPr>
                      <w:rFonts w:ascii="Calibri" w:hAnsi="Calibri"/>
                      <w:sz w:val="22"/>
                      <w:szCs w:val="22"/>
                    </w:rPr>
                    <w:t xml:space="preserve">trade approvals; and </w:t>
                  </w:r>
                </w:p>
                <w:p w:rsidR="003B7F34" w:rsidRPr="00CA794F" w:rsidRDefault="003B7F34" w:rsidP="00CA794F">
                  <w:pPr>
                    <w:pStyle w:val="Default"/>
                    <w:numPr>
                      <w:ilvl w:val="0"/>
                      <w:numId w:val="19"/>
                    </w:numPr>
                    <w:spacing w:after="120"/>
                    <w:ind w:left="714" w:hanging="357"/>
                    <w:rPr>
                      <w:rFonts w:ascii="Calibri" w:hAnsi="Calibri"/>
                      <w:sz w:val="22"/>
                      <w:szCs w:val="22"/>
                    </w:rPr>
                  </w:pPr>
                  <w:proofErr w:type="gramStart"/>
                  <w:r w:rsidRPr="00CA794F">
                    <w:rPr>
                      <w:rFonts w:ascii="Calibri" w:hAnsi="Calibri"/>
                      <w:sz w:val="22"/>
                      <w:szCs w:val="22"/>
                    </w:rPr>
                    <w:t>announcement</w:t>
                  </w:r>
                  <w:proofErr w:type="gramEnd"/>
                  <w:r w:rsidRPr="00CA794F">
                    <w:rPr>
                      <w:rFonts w:ascii="Calibri" w:hAnsi="Calibri"/>
                      <w:sz w:val="22"/>
                      <w:szCs w:val="22"/>
                    </w:rPr>
                    <w:t xml:space="preserve"> of results. </w:t>
                  </w:r>
                </w:p>
                <w:p w:rsidR="003B7F34" w:rsidRPr="0029258B" w:rsidRDefault="003B7F34" w:rsidP="00CA794F">
                  <w:pPr>
                    <w:pStyle w:val="body"/>
                    <w:spacing w:after="240"/>
                    <w:rPr>
                      <w:rFonts w:ascii="Calibri" w:hAnsi="Calibri" w:cs="Arial"/>
                      <w:spacing w:val="0"/>
                      <w:sz w:val="22"/>
                      <w:szCs w:val="22"/>
                      <w:lang w:val="en-AU"/>
                    </w:rPr>
                  </w:pPr>
                  <w:r w:rsidRPr="0029258B">
                    <w:rPr>
                      <w:rFonts w:ascii="Calibri" w:hAnsi="Calibri"/>
                      <w:sz w:val="22"/>
                      <w:szCs w:val="22"/>
                    </w:rPr>
                    <w:t xml:space="preserve">Over the next three years, the </w:t>
                  </w:r>
                  <w:r>
                    <w:rPr>
                      <w:rFonts w:ascii="Calibri" w:hAnsi="Calibri"/>
                      <w:sz w:val="22"/>
                      <w:szCs w:val="22"/>
                    </w:rPr>
                    <w:t>Trading Framework</w:t>
                  </w:r>
                  <w:r w:rsidRPr="0029258B">
                    <w:rPr>
                      <w:rFonts w:ascii="Calibri" w:hAnsi="Calibri"/>
                      <w:sz w:val="22"/>
                      <w:szCs w:val="22"/>
                    </w:rPr>
                    <w:t xml:space="preserve"> will be refined </w:t>
                  </w:r>
                  <w:r>
                    <w:rPr>
                      <w:rFonts w:ascii="Calibri" w:hAnsi="Calibri"/>
                      <w:sz w:val="22"/>
                      <w:szCs w:val="22"/>
                    </w:rPr>
                    <w:t xml:space="preserve">if necessary </w:t>
                  </w:r>
                  <w:r w:rsidRPr="0029258B">
                    <w:rPr>
                      <w:rFonts w:ascii="Calibri" w:hAnsi="Calibri"/>
                      <w:sz w:val="22"/>
                      <w:szCs w:val="22"/>
                    </w:rPr>
                    <w:t xml:space="preserve">as the </w:t>
                  </w:r>
                  <w:r>
                    <w:rPr>
                      <w:rFonts w:ascii="Calibri" w:hAnsi="Calibri"/>
                      <w:sz w:val="22"/>
                      <w:szCs w:val="22"/>
                    </w:rPr>
                    <w:t>CEWH</w:t>
                  </w:r>
                  <w:r w:rsidRPr="0029258B">
                    <w:rPr>
                      <w:rFonts w:ascii="Calibri" w:hAnsi="Calibri"/>
                      <w:sz w:val="22"/>
                      <w:szCs w:val="22"/>
                    </w:rPr>
                    <w:t>’s involvement in the</w:t>
                  </w:r>
                  <w:r>
                    <w:rPr>
                      <w:rFonts w:ascii="Calibri" w:hAnsi="Calibri"/>
                      <w:sz w:val="22"/>
                      <w:szCs w:val="22"/>
                    </w:rPr>
                    <w:t xml:space="preserve"> water</w:t>
                  </w:r>
                  <w:r w:rsidRPr="0029258B">
                    <w:rPr>
                      <w:rFonts w:ascii="Calibri" w:hAnsi="Calibri"/>
                      <w:sz w:val="22"/>
                      <w:szCs w:val="22"/>
                    </w:rPr>
                    <w:t xml:space="preserve"> market matures. Three years after the CEWH’s first trade there will be a</w:t>
                  </w:r>
                  <w:r>
                    <w:rPr>
                      <w:rFonts w:ascii="Calibri" w:hAnsi="Calibri"/>
                      <w:sz w:val="22"/>
                      <w:szCs w:val="22"/>
                    </w:rPr>
                    <w:t xml:space="preserve">n independent </w:t>
                  </w:r>
                  <w:r w:rsidRPr="0029258B">
                    <w:rPr>
                      <w:rFonts w:ascii="Calibri" w:hAnsi="Calibri"/>
                      <w:sz w:val="22"/>
                      <w:szCs w:val="22"/>
                    </w:rPr>
                    <w:t xml:space="preserve">review of the Trading Framework to establish its appropriateness and effectiveness. The review will also assess </w:t>
                  </w:r>
                  <w:r>
                    <w:rPr>
                      <w:rFonts w:ascii="Calibri" w:hAnsi="Calibri"/>
                      <w:sz w:val="22"/>
                      <w:szCs w:val="22"/>
                    </w:rPr>
                    <w:t>the CEWO’s compliance with the Trading Framewor</w:t>
                  </w:r>
                  <w:r w:rsidRPr="0029258B">
                    <w:rPr>
                      <w:rFonts w:ascii="Calibri" w:hAnsi="Calibri"/>
                      <w:sz w:val="22"/>
                      <w:szCs w:val="22"/>
                    </w:rPr>
                    <w:t xml:space="preserve">k. </w:t>
                  </w:r>
                </w:p>
                <w:p w:rsidR="003B7F34" w:rsidRDefault="003B7F34" w:rsidP="00CA794F">
                  <w:pPr>
                    <w:pStyle w:val="body"/>
                    <w:spacing w:after="0"/>
                    <w:rPr>
                      <w:rFonts w:ascii="Calibri" w:hAnsi="Calibri" w:cs="Arial"/>
                      <w:spacing w:val="0"/>
                      <w:sz w:val="22"/>
                      <w:szCs w:val="22"/>
                      <w:lang w:val="en-AU"/>
                    </w:rPr>
                  </w:pPr>
                </w:p>
                <w:p w:rsidR="004E73E5" w:rsidRDefault="004E73E5" w:rsidP="004E73E5">
                  <w:pPr>
                    <w:rPr>
                      <w:lang w:val="en-AU"/>
                    </w:rPr>
                  </w:pPr>
                </w:p>
                <w:p w:rsidR="003B7F34" w:rsidRPr="0029258B" w:rsidRDefault="003B7F34" w:rsidP="00CA794F">
                  <w:pPr>
                    <w:pStyle w:val="body"/>
                    <w:spacing w:after="0"/>
                    <w:rPr>
                      <w:rFonts w:ascii="Calibri" w:hAnsi="Calibri" w:cs="Arial"/>
                      <w:spacing w:val="0"/>
                      <w:sz w:val="22"/>
                      <w:szCs w:val="22"/>
                      <w:lang w:val="en-AU"/>
                    </w:rPr>
                  </w:pPr>
                  <w:r w:rsidRPr="0029258B">
                    <w:rPr>
                      <w:rFonts w:ascii="Calibri" w:hAnsi="Calibri" w:cs="Arial"/>
                      <w:spacing w:val="0"/>
                      <w:sz w:val="22"/>
                      <w:szCs w:val="22"/>
                      <w:lang w:val="en-AU"/>
                    </w:rPr>
                    <w:t>David Papps</w:t>
                  </w:r>
                  <w:r w:rsidRPr="0029258B">
                    <w:rPr>
                      <w:rFonts w:ascii="Calibri" w:hAnsi="Calibri" w:cs="Arial"/>
                      <w:spacing w:val="0"/>
                      <w:sz w:val="22"/>
                      <w:szCs w:val="22"/>
                      <w:lang w:val="en-AU"/>
                    </w:rPr>
                    <w:br/>
                    <w:t>Commonwealth Environmental Water Holder</w:t>
                  </w:r>
                </w:p>
                <w:p w:rsidR="003B7F34" w:rsidRPr="0029258B" w:rsidRDefault="003B7F34" w:rsidP="00CA794F">
                  <w:pPr>
                    <w:pStyle w:val="body"/>
                    <w:rPr>
                      <w:rFonts w:ascii="Calibri" w:hAnsi="Calibri" w:cs="Arial"/>
                      <w:spacing w:val="0"/>
                      <w:sz w:val="22"/>
                      <w:szCs w:val="22"/>
                      <w:lang w:val="en-AU"/>
                    </w:rPr>
                  </w:pPr>
                  <w:r>
                    <w:rPr>
                      <w:rFonts w:ascii="Calibri" w:hAnsi="Calibri" w:cs="Arial"/>
                      <w:spacing w:val="0"/>
                      <w:sz w:val="22"/>
                      <w:szCs w:val="22"/>
                      <w:lang w:val="en-AU"/>
                    </w:rPr>
                    <w:t>January</w:t>
                  </w:r>
                  <w:r w:rsidRPr="0029258B">
                    <w:rPr>
                      <w:rFonts w:ascii="Calibri" w:hAnsi="Calibri" w:cs="Arial"/>
                      <w:spacing w:val="0"/>
                      <w:sz w:val="22"/>
                      <w:szCs w:val="22"/>
                      <w:lang w:val="en-AU"/>
                    </w:rPr>
                    <w:t xml:space="preserve"> 201</w:t>
                  </w:r>
                  <w:r>
                    <w:rPr>
                      <w:rFonts w:ascii="Calibri" w:hAnsi="Calibri" w:cs="Arial"/>
                      <w:spacing w:val="0"/>
                      <w:sz w:val="22"/>
                      <w:szCs w:val="22"/>
                      <w:lang w:val="en-AU"/>
                    </w:rPr>
                    <w:t>4</w:t>
                  </w:r>
                </w:p>
                <w:p w:rsidR="003B7F34" w:rsidRPr="001E77EF" w:rsidRDefault="003B7F34" w:rsidP="00CA794F">
                  <w:pPr>
                    <w:ind w:firstLine="0"/>
                    <w:rPr>
                      <w:sz w:val="24"/>
                      <w:szCs w:val="24"/>
                    </w:rPr>
                  </w:pPr>
                </w:p>
              </w:txbxContent>
            </v:textbox>
          </v:roundrect>
        </w:pict>
      </w:r>
    </w:p>
    <w:p w:rsidR="00CA794F" w:rsidRDefault="00CA794F" w:rsidP="00CA794F">
      <w:pPr>
        <w:rPr>
          <w:highlight w:val="magenta"/>
        </w:rPr>
      </w:pPr>
    </w:p>
    <w:p w:rsidR="00CA794F" w:rsidRDefault="00CA794F" w:rsidP="00CA794F">
      <w:pPr>
        <w:rPr>
          <w:highlight w:val="magenta"/>
        </w:rPr>
      </w:pPr>
    </w:p>
    <w:p w:rsidR="00CA794F" w:rsidRDefault="00CA794F" w:rsidP="00CA794F">
      <w:pPr>
        <w:rPr>
          <w:highlight w:val="magenta"/>
        </w:rPr>
      </w:pPr>
    </w:p>
    <w:p w:rsidR="00CA794F" w:rsidRDefault="00CA794F" w:rsidP="00CA794F">
      <w:pPr>
        <w:rPr>
          <w:highlight w:val="magenta"/>
        </w:rPr>
      </w:pPr>
    </w:p>
    <w:p w:rsidR="00CA794F" w:rsidRPr="00AE20CA" w:rsidRDefault="00CA794F" w:rsidP="00CA794F">
      <w:pPr>
        <w:rPr>
          <w:highlight w:val="magenta"/>
        </w:rPr>
        <w:sectPr w:rsidR="00CA794F" w:rsidRPr="00AE20CA" w:rsidSect="00CA794F">
          <w:footerReference w:type="default" r:id="rId19"/>
          <w:pgSz w:w="11906" w:h="16838"/>
          <w:pgMar w:top="1418" w:right="1276" w:bottom="567" w:left="1418" w:header="425" w:footer="425" w:gutter="0"/>
          <w:pgNumType w:start="1"/>
          <w:cols w:space="708"/>
          <w:docGrid w:linePitch="360"/>
        </w:sectPr>
      </w:pPr>
    </w:p>
    <w:bookmarkStart w:id="5" w:name="_Toc373835450" w:displacedByCustomXml="next"/>
    <w:sdt>
      <w:sdtPr>
        <w:rPr>
          <w:rFonts w:asciiTheme="minorHAnsi" w:eastAsiaTheme="minorEastAsia" w:hAnsiTheme="minorHAnsi" w:cstheme="minorBidi"/>
          <w:b w:val="0"/>
          <w:bCs w:val="0"/>
          <w:color w:val="auto"/>
          <w:sz w:val="22"/>
          <w:szCs w:val="22"/>
        </w:rPr>
        <w:id w:val="28811503"/>
        <w:docPartObj>
          <w:docPartGallery w:val="Table of Contents"/>
          <w:docPartUnique/>
        </w:docPartObj>
      </w:sdtPr>
      <w:sdtContent>
        <w:p w:rsidR="00CA794F" w:rsidRDefault="009F4861">
          <w:pPr>
            <w:pStyle w:val="TOCHeading"/>
          </w:pPr>
          <w:r>
            <w:t>Table of Contents</w:t>
          </w:r>
        </w:p>
        <w:p w:rsidR="00D90EED" w:rsidRDefault="001B7ECE">
          <w:pPr>
            <w:pStyle w:val="TOC1"/>
            <w:tabs>
              <w:tab w:val="right" w:leader="dot" w:pos="9202"/>
            </w:tabs>
            <w:rPr>
              <w:noProof/>
            </w:rPr>
          </w:pPr>
          <w:r w:rsidRPr="001B7ECE">
            <w:fldChar w:fldCharType="begin"/>
          </w:r>
          <w:r w:rsidR="009F4861">
            <w:instrText xml:space="preserve"> TOC \o "1-3" \h \z \u </w:instrText>
          </w:r>
          <w:r w:rsidRPr="001B7ECE">
            <w:fldChar w:fldCharType="separate"/>
          </w:r>
          <w:hyperlink w:anchor="_Toc256000001" w:history="1">
            <w:r w:rsidR="009F4861">
              <w:rPr>
                <w:rStyle w:val="Hyperlink"/>
              </w:rPr>
              <w:t>EXECUTIVE SUMMARY</w:t>
            </w:r>
            <w:r w:rsidR="009F4861">
              <w:rPr>
                <w:rStyle w:val="Hyperlink"/>
              </w:rPr>
              <w:tab/>
            </w:r>
            <w:r>
              <w:fldChar w:fldCharType="begin"/>
            </w:r>
            <w:r w:rsidR="009F4861">
              <w:rPr>
                <w:rStyle w:val="Hyperlink"/>
              </w:rPr>
              <w:instrText xml:space="preserve"> PAGEREF _Toc256000001 \h </w:instrText>
            </w:r>
            <w:r>
              <w:fldChar w:fldCharType="separate"/>
            </w:r>
            <w:r w:rsidR="00F62888">
              <w:rPr>
                <w:rStyle w:val="Hyperlink"/>
                <w:noProof/>
              </w:rPr>
              <w:t>1</w:t>
            </w:r>
            <w:r>
              <w:fldChar w:fldCharType="end"/>
            </w:r>
          </w:hyperlink>
        </w:p>
        <w:p w:rsidR="00D90EED" w:rsidRDefault="001B7ECE">
          <w:pPr>
            <w:pStyle w:val="TOC1"/>
            <w:tabs>
              <w:tab w:val="left" w:pos="880"/>
              <w:tab w:val="right" w:leader="dot" w:pos="9202"/>
            </w:tabs>
            <w:rPr>
              <w:noProof/>
            </w:rPr>
          </w:pPr>
          <w:hyperlink w:anchor="_Toc256000004" w:history="1">
            <w:r w:rsidR="009F4861">
              <w:rPr>
                <w:rStyle w:val="Hyperlink"/>
              </w:rPr>
              <w:t>1.</w:t>
            </w:r>
            <w:r w:rsidR="009F4861">
              <w:rPr>
                <w:rStyle w:val="Hyperlink"/>
                <w:noProof/>
              </w:rPr>
              <w:tab/>
            </w:r>
            <w:r w:rsidR="009F4861" w:rsidRPr="00F277D8">
              <w:rPr>
                <w:rStyle w:val="Hyperlink"/>
              </w:rPr>
              <w:t>INTRODUCTION</w:t>
            </w:r>
            <w:r w:rsidR="009F4861">
              <w:rPr>
                <w:rStyle w:val="Hyperlink"/>
              </w:rPr>
              <w:tab/>
            </w:r>
            <w:r>
              <w:fldChar w:fldCharType="begin"/>
            </w:r>
            <w:r w:rsidR="009F4861">
              <w:rPr>
                <w:rStyle w:val="Hyperlink"/>
              </w:rPr>
              <w:instrText xml:space="preserve"> PAGEREF _Toc256000004 \h </w:instrText>
            </w:r>
            <w:r>
              <w:fldChar w:fldCharType="separate"/>
            </w:r>
            <w:r w:rsidR="00F62888">
              <w:rPr>
                <w:rStyle w:val="Hyperlink"/>
                <w:noProof/>
              </w:rPr>
              <w:t>3</w:t>
            </w:r>
            <w:r>
              <w:fldChar w:fldCharType="end"/>
            </w:r>
          </w:hyperlink>
        </w:p>
        <w:p w:rsidR="00D90EED" w:rsidRDefault="001B7ECE">
          <w:pPr>
            <w:pStyle w:val="TOC1"/>
            <w:tabs>
              <w:tab w:val="left" w:pos="1100"/>
              <w:tab w:val="right" w:leader="dot" w:pos="9202"/>
            </w:tabs>
            <w:rPr>
              <w:noProof/>
            </w:rPr>
          </w:pPr>
          <w:hyperlink w:anchor="_Toc256000030" w:history="1">
            <w:r w:rsidR="009F4861">
              <w:rPr>
                <w:rStyle w:val="Hyperlink"/>
              </w:rPr>
              <w:t>1.1.</w:t>
            </w:r>
            <w:r w:rsidR="009F4861">
              <w:rPr>
                <w:rStyle w:val="Hyperlink"/>
                <w:noProof/>
              </w:rPr>
              <w:tab/>
            </w:r>
            <w:r w:rsidR="009F4861" w:rsidRPr="00F277D8">
              <w:rPr>
                <w:rStyle w:val="Hyperlink"/>
              </w:rPr>
              <w:t>Commonwealth environmental water trade</w:t>
            </w:r>
            <w:r w:rsidR="009F4861">
              <w:rPr>
                <w:rStyle w:val="Hyperlink"/>
              </w:rPr>
              <w:tab/>
            </w:r>
            <w:r>
              <w:fldChar w:fldCharType="begin"/>
            </w:r>
            <w:r w:rsidR="009F4861">
              <w:rPr>
                <w:rStyle w:val="Hyperlink"/>
              </w:rPr>
              <w:instrText xml:space="preserve"> PAGEREF _Toc256000030 \h </w:instrText>
            </w:r>
            <w:r>
              <w:fldChar w:fldCharType="separate"/>
            </w:r>
            <w:r w:rsidR="00F62888">
              <w:rPr>
                <w:rStyle w:val="Hyperlink"/>
                <w:noProof/>
              </w:rPr>
              <w:t>4</w:t>
            </w:r>
            <w:r>
              <w:fldChar w:fldCharType="end"/>
            </w:r>
          </w:hyperlink>
        </w:p>
        <w:p w:rsidR="00D90EED" w:rsidRDefault="001B7ECE">
          <w:pPr>
            <w:pStyle w:val="TOC1"/>
            <w:tabs>
              <w:tab w:val="left" w:pos="1100"/>
              <w:tab w:val="right" w:leader="dot" w:pos="9202"/>
            </w:tabs>
            <w:rPr>
              <w:noProof/>
            </w:rPr>
          </w:pPr>
          <w:hyperlink w:anchor="_Toc256000031" w:history="1">
            <w:r w:rsidR="009F4861">
              <w:rPr>
                <w:rStyle w:val="Hyperlink"/>
              </w:rPr>
              <w:t>1.2.</w:t>
            </w:r>
            <w:r w:rsidR="009F4861">
              <w:rPr>
                <w:rStyle w:val="Hyperlink"/>
                <w:noProof/>
              </w:rPr>
              <w:tab/>
            </w:r>
            <w:r w:rsidR="009F4861">
              <w:rPr>
                <w:rStyle w:val="Hyperlink"/>
              </w:rPr>
              <w:t>Compliance with C</w:t>
            </w:r>
            <w:r w:rsidR="009F4861" w:rsidRPr="00B44C56">
              <w:rPr>
                <w:rStyle w:val="Hyperlink"/>
              </w:rPr>
              <w:t xml:space="preserve">ommonwealth and </w:t>
            </w:r>
            <w:r w:rsidR="009F4861">
              <w:rPr>
                <w:rStyle w:val="Hyperlink"/>
              </w:rPr>
              <w:t>S</w:t>
            </w:r>
            <w:r w:rsidR="009F4861" w:rsidRPr="00B44C56">
              <w:rPr>
                <w:rStyle w:val="Hyperlink"/>
              </w:rPr>
              <w:t>tate legislation</w:t>
            </w:r>
            <w:r w:rsidR="009F4861">
              <w:rPr>
                <w:rStyle w:val="Hyperlink"/>
              </w:rPr>
              <w:tab/>
            </w:r>
            <w:r>
              <w:fldChar w:fldCharType="begin"/>
            </w:r>
            <w:r w:rsidR="009F4861">
              <w:rPr>
                <w:rStyle w:val="Hyperlink"/>
              </w:rPr>
              <w:instrText xml:space="preserve"> PAGEREF _Toc256000031 \h </w:instrText>
            </w:r>
            <w:r>
              <w:fldChar w:fldCharType="separate"/>
            </w:r>
            <w:r w:rsidR="00F62888">
              <w:rPr>
                <w:rStyle w:val="Hyperlink"/>
                <w:noProof/>
              </w:rPr>
              <w:t>4</w:t>
            </w:r>
            <w:r>
              <w:fldChar w:fldCharType="end"/>
            </w:r>
          </w:hyperlink>
        </w:p>
        <w:p w:rsidR="00D90EED" w:rsidRDefault="001B7ECE">
          <w:pPr>
            <w:pStyle w:val="TOC1"/>
            <w:tabs>
              <w:tab w:val="left" w:pos="1100"/>
              <w:tab w:val="right" w:leader="dot" w:pos="9202"/>
            </w:tabs>
            <w:rPr>
              <w:noProof/>
            </w:rPr>
          </w:pPr>
          <w:hyperlink w:anchor="_Toc256000032" w:history="1">
            <w:r w:rsidR="009F4861">
              <w:rPr>
                <w:rStyle w:val="Hyperlink"/>
              </w:rPr>
              <w:t>1.3.</w:t>
            </w:r>
            <w:r w:rsidR="009F4861">
              <w:rPr>
                <w:rStyle w:val="Hyperlink"/>
                <w:noProof/>
              </w:rPr>
              <w:tab/>
            </w:r>
            <w:r w:rsidR="009F4861" w:rsidRPr="00B44C56">
              <w:rPr>
                <w:rStyle w:val="Hyperlink"/>
              </w:rPr>
              <w:t>Operating Rules</w:t>
            </w:r>
            <w:r w:rsidR="009F4861">
              <w:rPr>
                <w:rStyle w:val="Hyperlink"/>
              </w:rPr>
              <w:tab/>
            </w:r>
            <w:r>
              <w:fldChar w:fldCharType="begin"/>
            </w:r>
            <w:r w:rsidR="009F4861">
              <w:rPr>
                <w:rStyle w:val="Hyperlink"/>
              </w:rPr>
              <w:instrText xml:space="preserve"> PAGEREF _Toc256000032 \h </w:instrText>
            </w:r>
            <w:r>
              <w:fldChar w:fldCharType="separate"/>
            </w:r>
            <w:r w:rsidR="00F62888">
              <w:rPr>
                <w:rStyle w:val="Hyperlink"/>
                <w:noProof/>
              </w:rPr>
              <w:t>5</w:t>
            </w:r>
            <w:r>
              <w:fldChar w:fldCharType="end"/>
            </w:r>
          </w:hyperlink>
        </w:p>
        <w:p w:rsidR="00D90EED" w:rsidRDefault="001B7ECE">
          <w:pPr>
            <w:pStyle w:val="TOC1"/>
            <w:tabs>
              <w:tab w:val="left" w:pos="1100"/>
              <w:tab w:val="right" w:leader="dot" w:pos="9202"/>
            </w:tabs>
            <w:rPr>
              <w:noProof/>
            </w:rPr>
          </w:pPr>
          <w:hyperlink w:anchor="_Toc256000033" w:history="1">
            <w:r w:rsidR="009F4861">
              <w:rPr>
                <w:rStyle w:val="Hyperlink"/>
              </w:rPr>
              <w:t>1.4.</w:t>
            </w:r>
            <w:r w:rsidR="009F4861">
              <w:rPr>
                <w:rStyle w:val="Hyperlink"/>
                <w:noProof/>
              </w:rPr>
              <w:tab/>
            </w:r>
            <w:r w:rsidR="009F4861" w:rsidRPr="007852E5">
              <w:rPr>
                <w:rStyle w:val="Hyperlink"/>
              </w:rPr>
              <w:t>Procedures and Protocols</w:t>
            </w:r>
            <w:r w:rsidR="009F4861">
              <w:rPr>
                <w:rStyle w:val="Hyperlink"/>
              </w:rPr>
              <w:tab/>
            </w:r>
            <w:r>
              <w:fldChar w:fldCharType="begin"/>
            </w:r>
            <w:r w:rsidR="009F4861">
              <w:rPr>
                <w:rStyle w:val="Hyperlink"/>
              </w:rPr>
              <w:instrText xml:space="preserve"> PAGEREF _Toc256000033 \h </w:instrText>
            </w:r>
            <w:r>
              <w:fldChar w:fldCharType="separate"/>
            </w:r>
            <w:r w:rsidR="00F62888">
              <w:rPr>
                <w:rStyle w:val="Hyperlink"/>
                <w:noProof/>
              </w:rPr>
              <w:t>5</w:t>
            </w:r>
            <w:r>
              <w:fldChar w:fldCharType="end"/>
            </w:r>
          </w:hyperlink>
        </w:p>
        <w:p w:rsidR="00D90EED" w:rsidRDefault="001B7ECE">
          <w:pPr>
            <w:pStyle w:val="TOC1"/>
            <w:tabs>
              <w:tab w:val="left" w:pos="1100"/>
              <w:tab w:val="right" w:leader="dot" w:pos="9202"/>
            </w:tabs>
            <w:rPr>
              <w:noProof/>
            </w:rPr>
          </w:pPr>
          <w:hyperlink w:anchor="_Toc256000034" w:history="1">
            <w:r w:rsidR="009F4861">
              <w:rPr>
                <w:rStyle w:val="Hyperlink"/>
              </w:rPr>
              <w:t>1.4.1.</w:t>
            </w:r>
            <w:r w:rsidR="009F4861">
              <w:rPr>
                <w:rStyle w:val="Hyperlink"/>
                <w:noProof/>
              </w:rPr>
              <w:tab/>
            </w:r>
            <w:r w:rsidR="009F4861" w:rsidRPr="00604262">
              <w:rPr>
                <w:rStyle w:val="Hyperlink"/>
              </w:rPr>
              <w:t>Procedures</w:t>
            </w:r>
            <w:r w:rsidR="009F4861">
              <w:rPr>
                <w:rStyle w:val="Hyperlink"/>
              </w:rPr>
              <w:tab/>
            </w:r>
            <w:r>
              <w:fldChar w:fldCharType="begin"/>
            </w:r>
            <w:r w:rsidR="009F4861">
              <w:rPr>
                <w:rStyle w:val="Hyperlink"/>
              </w:rPr>
              <w:instrText xml:space="preserve"> PAGEREF _Toc256000034 \h </w:instrText>
            </w:r>
            <w:r>
              <w:fldChar w:fldCharType="separate"/>
            </w:r>
            <w:r w:rsidR="00F62888">
              <w:rPr>
                <w:rStyle w:val="Hyperlink"/>
                <w:noProof/>
              </w:rPr>
              <w:t>5</w:t>
            </w:r>
            <w:r>
              <w:fldChar w:fldCharType="end"/>
            </w:r>
          </w:hyperlink>
        </w:p>
        <w:p w:rsidR="00D90EED" w:rsidRDefault="001B7ECE">
          <w:pPr>
            <w:pStyle w:val="TOC1"/>
            <w:tabs>
              <w:tab w:val="left" w:pos="1100"/>
              <w:tab w:val="right" w:leader="dot" w:pos="9202"/>
            </w:tabs>
            <w:rPr>
              <w:noProof/>
            </w:rPr>
          </w:pPr>
          <w:hyperlink w:anchor="_Toc256000035" w:history="1">
            <w:r w:rsidR="009F4861">
              <w:rPr>
                <w:rStyle w:val="Hyperlink"/>
              </w:rPr>
              <w:t>1.4.2.</w:t>
            </w:r>
            <w:r w:rsidR="009F4861">
              <w:rPr>
                <w:rStyle w:val="Hyperlink"/>
                <w:noProof/>
              </w:rPr>
              <w:tab/>
            </w:r>
            <w:r w:rsidR="009F4861">
              <w:rPr>
                <w:rStyle w:val="Hyperlink"/>
              </w:rPr>
              <w:t>Protocols</w:t>
            </w:r>
            <w:r w:rsidR="009F4861">
              <w:rPr>
                <w:rStyle w:val="Hyperlink"/>
              </w:rPr>
              <w:tab/>
            </w:r>
            <w:r>
              <w:fldChar w:fldCharType="begin"/>
            </w:r>
            <w:r w:rsidR="009F4861">
              <w:rPr>
                <w:rStyle w:val="Hyperlink"/>
              </w:rPr>
              <w:instrText xml:space="preserve"> PAGEREF _Toc256000035 \h </w:instrText>
            </w:r>
            <w:r>
              <w:fldChar w:fldCharType="separate"/>
            </w:r>
            <w:r w:rsidR="00F62888">
              <w:rPr>
                <w:rStyle w:val="Hyperlink"/>
                <w:noProof/>
              </w:rPr>
              <w:t>5</w:t>
            </w:r>
            <w:r>
              <w:fldChar w:fldCharType="end"/>
            </w:r>
          </w:hyperlink>
        </w:p>
        <w:p w:rsidR="00D90EED" w:rsidRDefault="001B7ECE">
          <w:pPr>
            <w:pStyle w:val="TOC1"/>
            <w:tabs>
              <w:tab w:val="left" w:pos="1100"/>
              <w:tab w:val="right" w:leader="dot" w:pos="9202"/>
            </w:tabs>
            <w:rPr>
              <w:noProof/>
            </w:rPr>
          </w:pPr>
          <w:hyperlink w:anchor="_Toc256000037" w:history="1">
            <w:r w:rsidR="009F4861">
              <w:rPr>
                <w:rStyle w:val="Hyperlink"/>
              </w:rPr>
              <w:t>1.5.</w:t>
            </w:r>
            <w:r w:rsidR="009F4861">
              <w:rPr>
                <w:rStyle w:val="Hyperlink"/>
                <w:noProof/>
              </w:rPr>
              <w:tab/>
            </w:r>
            <w:r w:rsidR="009F4861">
              <w:rPr>
                <w:rStyle w:val="Hyperlink"/>
              </w:rPr>
              <w:t>Consultation</w:t>
            </w:r>
            <w:r w:rsidR="009F4861">
              <w:rPr>
                <w:rStyle w:val="Hyperlink"/>
              </w:rPr>
              <w:tab/>
            </w:r>
            <w:r>
              <w:fldChar w:fldCharType="begin"/>
            </w:r>
            <w:r w:rsidR="009F4861">
              <w:rPr>
                <w:rStyle w:val="Hyperlink"/>
              </w:rPr>
              <w:instrText xml:space="preserve"> PAGEREF _Toc256000037 \h </w:instrText>
            </w:r>
            <w:r>
              <w:fldChar w:fldCharType="separate"/>
            </w:r>
            <w:r w:rsidR="00F62888">
              <w:rPr>
                <w:rStyle w:val="Hyperlink"/>
                <w:noProof/>
              </w:rPr>
              <w:t>8</w:t>
            </w:r>
            <w:r>
              <w:fldChar w:fldCharType="end"/>
            </w:r>
          </w:hyperlink>
        </w:p>
        <w:p w:rsidR="00D90EED" w:rsidRDefault="001B7ECE">
          <w:pPr>
            <w:pStyle w:val="TOC1"/>
            <w:tabs>
              <w:tab w:val="left" w:pos="880"/>
              <w:tab w:val="right" w:leader="dot" w:pos="9202"/>
            </w:tabs>
            <w:rPr>
              <w:noProof/>
            </w:rPr>
          </w:pPr>
          <w:hyperlink w:anchor="_Toc256000041" w:history="1">
            <w:r w:rsidR="009F4861">
              <w:rPr>
                <w:rStyle w:val="Hyperlink"/>
              </w:rPr>
              <w:t>2.</w:t>
            </w:r>
            <w:r w:rsidR="009F4861">
              <w:rPr>
                <w:rStyle w:val="Hyperlink"/>
                <w:noProof/>
              </w:rPr>
              <w:tab/>
            </w:r>
            <w:r w:rsidR="009F4861" w:rsidRPr="00417D9A">
              <w:rPr>
                <w:rStyle w:val="Hyperlink"/>
              </w:rPr>
              <w:t xml:space="preserve">COMPLIANCE WITH </w:t>
            </w:r>
            <w:r w:rsidR="009F4861">
              <w:rPr>
                <w:rStyle w:val="Hyperlink"/>
              </w:rPr>
              <w:t>COMMONWEALTH AND S</w:t>
            </w:r>
            <w:r w:rsidR="009F4861" w:rsidRPr="00417D9A">
              <w:rPr>
                <w:rStyle w:val="Hyperlink"/>
              </w:rPr>
              <w:t xml:space="preserve">TATE </w:t>
            </w:r>
            <w:r w:rsidR="009F4861">
              <w:rPr>
                <w:rStyle w:val="Hyperlink"/>
              </w:rPr>
              <w:t>LEGISLATION</w:t>
            </w:r>
            <w:r w:rsidR="009F4861">
              <w:rPr>
                <w:rStyle w:val="Hyperlink"/>
              </w:rPr>
              <w:tab/>
            </w:r>
            <w:r>
              <w:fldChar w:fldCharType="begin"/>
            </w:r>
            <w:r w:rsidR="009F4861">
              <w:rPr>
                <w:rStyle w:val="Hyperlink"/>
              </w:rPr>
              <w:instrText xml:space="preserve"> PAGEREF _Toc256000041 \h </w:instrText>
            </w:r>
            <w:r>
              <w:fldChar w:fldCharType="separate"/>
            </w:r>
            <w:r w:rsidR="00F62888">
              <w:rPr>
                <w:rStyle w:val="Hyperlink"/>
                <w:noProof/>
              </w:rPr>
              <w:t>10</w:t>
            </w:r>
            <w:r>
              <w:fldChar w:fldCharType="end"/>
            </w:r>
          </w:hyperlink>
        </w:p>
        <w:p w:rsidR="00D90EED" w:rsidRDefault="001B7ECE">
          <w:pPr>
            <w:pStyle w:val="TOC1"/>
            <w:tabs>
              <w:tab w:val="left" w:pos="1100"/>
              <w:tab w:val="right" w:leader="dot" w:pos="9202"/>
            </w:tabs>
            <w:rPr>
              <w:noProof/>
            </w:rPr>
          </w:pPr>
          <w:hyperlink w:anchor="_Toc256000042" w:history="1">
            <w:r w:rsidR="009F4861">
              <w:rPr>
                <w:rStyle w:val="Hyperlink"/>
              </w:rPr>
              <w:t>2.1.</w:t>
            </w:r>
            <w:r w:rsidR="009F4861">
              <w:rPr>
                <w:rStyle w:val="Hyperlink"/>
                <w:noProof/>
              </w:rPr>
              <w:tab/>
            </w:r>
            <w:r w:rsidR="009F4861">
              <w:rPr>
                <w:rStyle w:val="Hyperlink"/>
              </w:rPr>
              <w:t>The Water Act</w:t>
            </w:r>
            <w:r w:rsidR="009F4861">
              <w:rPr>
                <w:rStyle w:val="Hyperlink"/>
              </w:rPr>
              <w:tab/>
            </w:r>
            <w:r>
              <w:fldChar w:fldCharType="begin"/>
            </w:r>
            <w:r w:rsidR="009F4861">
              <w:rPr>
                <w:rStyle w:val="Hyperlink"/>
              </w:rPr>
              <w:instrText xml:space="preserve"> PAGEREF _Toc256000042 \h </w:instrText>
            </w:r>
            <w:r>
              <w:fldChar w:fldCharType="separate"/>
            </w:r>
            <w:r w:rsidR="00F62888">
              <w:rPr>
                <w:rStyle w:val="Hyperlink"/>
                <w:noProof/>
              </w:rPr>
              <w:t>10</w:t>
            </w:r>
            <w:r>
              <w:fldChar w:fldCharType="end"/>
            </w:r>
          </w:hyperlink>
        </w:p>
        <w:p w:rsidR="00D90EED" w:rsidRDefault="001B7ECE">
          <w:pPr>
            <w:pStyle w:val="TOC1"/>
            <w:tabs>
              <w:tab w:val="left" w:pos="1100"/>
              <w:tab w:val="right" w:leader="dot" w:pos="9202"/>
            </w:tabs>
            <w:rPr>
              <w:noProof/>
            </w:rPr>
          </w:pPr>
          <w:hyperlink w:anchor="_Toc256000043" w:history="1">
            <w:r w:rsidR="009F4861">
              <w:rPr>
                <w:rStyle w:val="Hyperlink"/>
              </w:rPr>
              <w:t>2.1.1.</w:t>
            </w:r>
            <w:r w:rsidR="009F4861">
              <w:rPr>
                <w:rStyle w:val="Hyperlink"/>
                <w:noProof/>
              </w:rPr>
              <w:tab/>
            </w:r>
            <w:r w:rsidR="009F4861" w:rsidRPr="005602F3">
              <w:rPr>
                <w:rStyle w:val="Hyperlink"/>
              </w:rPr>
              <w:t>The Basin Plan</w:t>
            </w:r>
            <w:r w:rsidR="009F4861">
              <w:rPr>
                <w:rStyle w:val="Hyperlink"/>
              </w:rPr>
              <w:tab/>
            </w:r>
            <w:r>
              <w:fldChar w:fldCharType="begin"/>
            </w:r>
            <w:r w:rsidR="009F4861">
              <w:rPr>
                <w:rStyle w:val="Hyperlink"/>
              </w:rPr>
              <w:instrText xml:space="preserve"> PAGEREF _Toc256000043 \h </w:instrText>
            </w:r>
            <w:r>
              <w:fldChar w:fldCharType="separate"/>
            </w:r>
            <w:r w:rsidR="00F62888">
              <w:rPr>
                <w:rStyle w:val="Hyperlink"/>
                <w:noProof/>
              </w:rPr>
              <w:t>11</w:t>
            </w:r>
            <w:r>
              <w:fldChar w:fldCharType="end"/>
            </w:r>
          </w:hyperlink>
        </w:p>
        <w:p w:rsidR="00D90EED" w:rsidRDefault="001B7ECE">
          <w:pPr>
            <w:pStyle w:val="TOC1"/>
            <w:tabs>
              <w:tab w:val="left" w:pos="1100"/>
              <w:tab w:val="right" w:leader="dot" w:pos="9202"/>
            </w:tabs>
            <w:rPr>
              <w:noProof/>
            </w:rPr>
          </w:pPr>
          <w:hyperlink w:anchor="_Toc256000044" w:history="1">
            <w:r w:rsidR="009F4861">
              <w:rPr>
                <w:rStyle w:val="Hyperlink"/>
              </w:rPr>
              <w:t>2.2.</w:t>
            </w:r>
            <w:r w:rsidR="009F4861">
              <w:rPr>
                <w:rStyle w:val="Hyperlink"/>
                <w:noProof/>
              </w:rPr>
              <w:tab/>
            </w:r>
            <w:r w:rsidR="009F4861" w:rsidRPr="00927DD3">
              <w:rPr>
                <w:rStyle w:val="Hyperlink"/>
              </w:rPr>
              <w:t>Public Service Act 1999</w:t>
            </w:r>
            <w:r w:rsidR="009F4861">
              <w:rPr>
                <w:rStyle w:val="Hyperlink"/>
              </w:rPr>
              <w:tab/>
            </w:r>
            <w:r>
              <w:fldChar w:fldCharType="begin"/>
            </w:r>
            <w:r w:rsidR="009F4861">
              <w:rPr>
                <w:rStyle w:val="Hyperlink"/>
              </w:rPr>
              <w:instrText xml:space="preserve"> PAGEREF _Toc256000044 \h </w:instrText>
            </w:r>
            <w:r>
              <w:fldChar w:fldCharType="separate"/>
            </w:r>
            <w:r w:rsidR="00F62888">
              <w:rPr>
                <w:rStyle w:val="Hyperlink"/>
                <w:noProof/>
              </w:rPr>
              <w:t>11</w:t>
            </w:r>
            <w:r>
              <w:fldChar w:fldCharType="end"/>
            </w:r>
          </w:hyperlink>
        </w:p>
        <w:p w:rsidR="00D90EED" w:rsidRDefault="001B7ECE">
          <w:pPr>
            <w:pStyle w:val="TOC1"/>
            <w:tabs>
              <w:tab w:val="left" w:pos="1100"/>
              <w:tab w:val="right" w:leader="dot" w:pos="9202"/>
            </w:tabs>
            <w:rPr>
              <w:noProof/>
            </w:rPr>
          </w:pPr>
          <w:hyperlink w:anchor="_Toc256000045" w:history="1">
            <w:r w:rsidR="009F4861">
              <w:rPr>
                <w:rStyle w:val="Hyperlink"/>
              </w:rPr>
              <w:t>2.2.1.</w:t>
            </w:r>
            <w:r w:rsidR="009F4861">
              <w:rPr>
                <w:rStyle w:val="Hyperlink"/>
                <w:noProof/>
              </w:rPr>
              <w:tab/>
            </w:r>
            <w:r w:rsidR="009F4861" w:rsidRPr="00FA7741">
              <w:rPr>
                <w:rStyle w:val="Hyperlink"/>
              </w:rPr>
              <w:t>APS Values, Employment Principles and Code of Conduct</w:t>
            </w:r>
            <w:r w:rsidR="009F4861">
              <w:rPr>
                <w:rStyle w:val="Hyperlink"/>
              </w:rPr>
              <w:tab/>
            </w:r>
            <w:r>
              <w:fldChar w:fldCharType="begin"/>
            </w:r>
            <w:r w:rsidR="009F4861">
              <w:rPr>
                <w:rStyle w:val="Hyperlink"/>
              </w:rPr>
              <w:instrText xml:space="preserve"> PAGEREF _Toc256000045 \h </w:instrText>
            </w:r>
            <w:r>
              <w:fldChar w:fldCharType="separate"/>
            </w:r>
            <w:r w:rsidR="00F62888">
              <w:rPr>
                <w:rStyle w:val="Hyperlink"/>
                <w:noProof/>
              </w:rPr>
              <w:t>11</w:t>
            </w:r>
            <w:r>
              <w:fldChar w:fldCharType="end"/>
            </w:r>
          </w:hyperlink>
        </w:p>
        <w:p w:rsidR="00D90EED" w:rsidRDefault="001B7ECE">
          <w:pPr>
            <w:pStyle w:val="TOC1"/>
            <w:tabs>
              <w:tab w:val="left" w:pos="1100"/>
              <w:tab w:val="right" w:leader="dot" w:pos="9202"/>
            </w:tabs>
            <w:rPr>
              <w:noProof/>
            </w:rPr>
          </w:pPr>
          <w:hyperlink w:anchor="_Toc256000046" w:history="1">
            <w:r w:rsidR="009F4861">
              <w:rPr>
                <w:rStyle w:val="Hyperlink"/>
              </w:rPr>
              <w:t>2.3.</w:t>
            </w:r>
            <w:r w:rsidR="009F4861">
              <w:rPr>
                <w:rStyle w:val="Hyperlink"/>
                <w:noProof/>
              </w:rPr>
              <w:tab/>
            </w:r>
            <w:r w:rsidR="009F4861" w:rsidRPr="003608C6">
              <w:rPr>
                <w:rStyle w:val="Hyperlink"/>
              </w:rPr>
              <w:t xml:space="preserve">The Financial Management and Accountability Act </w:t>
            </w:r>
            <w:r w:rsidR="009F4861">
              <w:rPr>
                <w:rStyle w:val="Hyperlink"/>
              </w:rPr>
              <w:t>1997 (FMA Act)</w:t>
            </w:r>
            <w:r w:rsidR="009F4861">
              <w:rPr>
                <w:rStyle w:val="Hyperlink"/>
              </w:rPr>
              <w:tab/>
            </w:r>
            <w:r>
              <w:fldChar w:fldCharType="begin"/>
            </w:r>
            <w:r w:rsidR="009F4861">
              <w:rPr>
                <w:rStyle w:val="Hyperlink"/>
              </w:rPr>
              <w:instrText xml:space="preserve"> PAGEREF _Toc256000046 \h </w:instrText>
            </w:r>
            <w:r>
              <w:fldChar w:fldCharType="separate"/>
            </w:r>
            <w:r w:rsidR="00F62888">
              <w:rPr>
                <w:rStyle w:val="Hyperlink"/>
                <w:noProof/>
              </w:rPr>
              <w:t>12</w:t>
            </w:r>
            <w:r>
              <w:fldChar w:fldCharType="end"/>
            </w:r>
          </w:hyperlink>
        </w:p>
        <w:p w:rsidR="00D90EED" w:rsidRDefault="001B7ECE">
          <w:pPr>
            <w:pStyle w:val="TOC1"/>
            <w:tabs>
              <w:tab w:val="left" w:pos="1100"/>
              <w:tab w:val="right" w:leader="dot" w:pos="9202"/>
            </w:tabs>
            <w:rPr>
              <w:noProof/>
            </w:rPr>
          </w:pPr>
          <w:hyperlink w:anchor="_Toc256000047" w:history="1">
            <w:r w:rsidR="009F4861">
              <w:rPr>
                <w:rStyle w:val="Hyperlink"/>
              </w:rPr>
              <w:t>2.3.1.</w:t>
            </w:r>
            <w:r w:rsidR="009F4861">
              <w:rPr>
                <w:rStyle w:val="Hyperlink"/>
                <w:noProof/>
              </w:rPr>
              <w:tab/>
            </w:r>
            <w:r w:rsidR="009F4861" w:rsidRPr="003608C6">
              <w:rPr>
                <w:rStyle w:val="Hyperlink"/>
              </w:rPr>
              <w:t>Commo</w:t>
            </w:r>
            <w:r w:rsidR="009F4861">
              <w:rPr>
                <w:rStyle w:val="Hyperlink"/>
              </w:rPr>
              <w:t>nwealth Procurement Rules (CPR)</w:t>
            </w:r>
            <w:r w:rsidR="009F4861">
              <w:rPr>
                <w:rStyle w:val="Hyperlink"/>
              </w:rPr>
              <w:tab/>
            </w:r>
            <w:r>
              <w:fldChar w:fldCharType="begin"/>
            </w:r>
            <w:r w:rsidR="009F4861">
              <w:rPr>
                <w:rStyle w:val="Hyperlink"/>
              </w:rPr>
              <w:instrText xml:space="preserve"> PAGEREF _Toc256000047 \h </w:instrText>
            </w:r>
            <w:r>
              <w:fldChar w:fldCharType="separate"/>
            </w:r>
            <w:r w:rsidR="00F62888">
              <w:rPr>
                <w:rStyle w:val="Hyperlink"/>
                <w:noProof/>
              </w:rPr>
              <w:t>12</w:t>
            </w:r>
            <w:r>
              <w:fldChar w:fldCharType="end"/>
            </w:r>
          </w:hyperlink>
        </w:p>
        <w:p w:rsidR="00D90EED" w:rsidRDefault="001B7ECE">
          <w:pPr>
            <w:pStyle w:val="TOC1"/>
            <w:tabs>
              <w:tab w:val="left" w:pos="1100"/>
              <w:tab w:val="right" w:leader="dot" w:pos="9202"/>
            </w:tabs>
            <w:rPr>
              <w:noProof/>
            </w:rPr>
          </w:pPr>
          <w:hyperlink w:anchor="_Toc256000048" w:history="1">
            <w:r w:rsidR="009F4861">
              <w:rPr>
                <w:rStyle w:val="Hyperlink"/>
              </w:rPr>
              <w:t>2.4.</w:t>
            </w:r>
            <w:r w:rsidR="009F4861">
              <w:rPr>
                <w:rStyle w:val="Hyperlink"/>
                <w:noProof/>
              </w:rPr>
              <w:tab/>
            </w:r>
            <w:r w:rsidR="009F4861" w:rsidRPr="008D61A7">
              <w:rPr>
                <w:rStyle w:val="Hyperlink"/>
              </w:rPr>
              <w:t>Freedom of Information Act 1982 (</w:t>
            </w:r>
            <w:r w:rsidR="009F4861" w:rsidRPr="00643E62">
              <w:rPr>
                <w:rStyle w:val="Hyperlink"/>
              </w:rPr>
              <w:t>FOI Act)</w:t>
            </w:r>
            <w:r w:rsidR="009F4861">
              <w:rPr>
                <w:rStyle w:val="Hyperlink"/>
              </w:rPr>
              <w:tab/>
            </w:r>
            <w:r>
              <w:fldChar w:fldCharType="begin"/>
            </w:r>
            <w:r w:rsidR="009F4861">
              <w:rPr>
                <w:rStyle w:val="Hyperlink"/>
              </w:rPr>
              <w:instrText xml:space="preserve"> PAGEREF _Toc256000048 \h </w:instrText>
            </w:r>
            <w:r>
              <w:fldChar w:fldCharType="separate"/>
            </w:r>
            <w:r w:rsidR="00F62888">
              <w:rPr>
                <w:rStyle w:val="Hyperlink"/>
                <w:noProof/>
              </w:rPr>
              <w:t>12</w:t>
            </w:r>
            <w:r>
              <w:fldChar w:fldCharType="end"/>
            </w:r>
          </w:hyperlink>
        </w:p>
        <w:p w:rsidR="00D90EED" w:rsidRDefault="001B7ECE">
          <w:pPr>
            <w:pStyle w:val="TOC1"/>
            <w:tabs>
              <w:tab w:val="left" w:pos="1100"/>
              <w:tab w:val="right" w:leader="dot" w:pos="9202"/>
            </w:tabs>
            <w:rPr>
              <w:noProof/>
            </w:rPr>
          </w:pPr>
          <w:hyperlink w:anchor="_Toc256000049" w:history="1">
            <w:r w:rsidR="009F4861">
              <w:rPr>
                <w:rStyle w:val="Hyperlink"/>
              </w:rPr>
              <w:t>2.5.</w:t>
            </w:r>
            <w:r w:rsidR="009F4861">
              <w:rPr>
                <w:rStyle w:val="Hyperlink"/>
                <w:noProof/>
              </w:rPr>
              <w:tab/>
            </w:r>
            <w:r w:rsidR="009F4861" w:rsidRPr="00643E62">
              <w:rPr>
                <w:rStyle w:val="Hyperlink"/>
              </w:rPr>
              <w:t>State</w:t>
            </w:r>
            <w:r w:rsidR="009F4861">
              <w:rPr>
                <w:rStyle w:val="Hyperlink"/>
              </w:rPr>
              <w:t xml:space="preserve"> </w:t>
            </w:r>
            <w:r w:rsidR="009F4861" w:rsidRPr="00643E62">
              <w:rPr>
                <w:rStyle w:val="Hyperlink"/>
              </w:rPr>
              <w:t>water management</w:t>
            </w:r>
            <w:r w:rsidR="009F4861">
              <w:rPr>
                <w:rStyle w:val="Hyperlink"/>
              </w:rPr>
              <w:t xml:space="preserve"> legislation</w:t>
            </w:r>
            <w:r w:rsidR="009F4861">
              <w:rPr>
                <w:rStyle w:val="Hyperlink"/>
              </w:rPr>
              <w:tab/>
            </w:r>
            <w:r>
              <w:fldChar w:fldCharType="begin"/>
            </w:r>
            <w:r w:rsidR="009F4861">
              <w:rPr>
                <w:rStyle w:val="Hyperlink"/>
              </w:rPr>
              <w:instrText xml:space="preserve"> PAGEREF _Toc256000049 \h </w:instrText>
            </w:r>
            <w:r>
              <w:fldChar w:fldCharType="separate"/>
            </w:r>
            <w:r w:rsidR="00F62888">
              <w:rPr>
                <w:rStyle w:val="Hyperlink"/>
                <w:noProof/>
              </w:rPr>
              <w:t>13</w:t>
            </w:r>
            <w:r>
              <w:fldChar w:fldCharType="end"/>
            </w:r>
          </w:hyperlink>
        </w:p>
        <w:p w:rsidR="00D90EED" w:rsidRDefault="001B7ECE">
          <w:pPr>
            <w:pStyle w:val="TOC1"/>
            <w:tabs>
              <w:tab w:val="left" w:pos="880"/>
              <w:tab w:val="right" w:leader="dot" w:pos="9202"/>
            </w:tabs>
            <w:rPr>
              <w:noProof/>
            </w:rPr>
          </w:pPr>
          <w:hyperlink w:anchor="_Toc256000050" w:history="1">
            <w:r w:rsidR="009F4861">
              <w:rPr>
                <w:rStyle w:val="Hyperlink"/>
              </w:rPr>
              <w:t>3.</w:t>
            </w:r>
            <w:r w:rsidR="009F4861">
              <w:rPr>
                <w:rStyle w:val="Hyperlink"/>
                <w:noProof/>
              </w:rPr>
              <w:tab/>
            </w:r>
            <w:r w:rsidR="009F4861" w:rsidRPr="001A17A9">
              <w:rPr>
                <w:rStyle w:val="Hyperlink"/>
              </w:rPr>
              <w:t>OPERATING RULES</w:t>
            </w:r>
            <w:r w:rsidR="009F4861">
              <w:rPr>
                <w:rStyle w:val="Hyperlink"/>
              </w:rPr>
              <w:tab/>
            </w:r>
            <w:r>
              <w:fldChar w:fldCharType="begin"/>
            </w:r>
            <w:r w:rsidR="009F4861">
              <w:rPr>
                <w:rStyle w:val="Hyperlink"/>
              </w:rPr>
              <w:instrText xml:space="preserve"> PAGEREF _Toc256000050 \h </w:instrText>
            </w:r>
            <w:r>
              <w:fldChar w:fldCharType="separate"/>
            </w:r>
            <w:r w:rsidR="00F62888">
              <w:rPr>
                <w:rStyle w:val="Hyperlink"/>
                <w:noProof/>
              </w:rPr>
              <w:t>14</w:t>
            </w:r>
            <w:r>
              <w:fldChar w:fldCharType="end"/>
            </w:r>
          </w:hyperlink>
        </w:p>
        <w:p w:rsidR="00D90EED" w:rsidRDefault="001B7ECE">
          <w:pPr>
            <w:pStyle w:val="TOC1"/>
            <w:tabs>
              <w:tab w:val="left" w:pos="1100"/>
              <w:tab w:val="right" w:leader="dot" w:pos="9202"/>
            </w:tabs>
            <w:rPr>
              <w:noProof/>
            </w:rPr>
          </w:pPr>
          <w:hyperlink w:anchor="_Toc256000052" w:history="1">
            <w:r w:rsidR="009F4861">
              <w:rPr>
                <w:rStyle w:val="Hyperlink"/>
              </w:rPr>
              <w:t>3.1.</w:t>
            </w:r>
            <w:r w:rsidR="009F4861">
              <w:rPr>
                <w:rStyle w:val="Hyperlink"/>
                <w:noProof/>
              </w:rPr>
              <w:tab/>
            </w:r>
            <w:r w:rsidR="009F4861" w:rsidRPr="000C640E">
              <w:rPr>
                <w:rStyle w:val="Hyperlink"/>
              </w:rPr>
              <w:t>Governance</w:t>
            </w:r>
            <w:r w:rsidR="009F4861">
              <w:rPr>
                <w:rStyle w:val="Hyperlink"/>
              </w:rPr>
              <w:tab/>
            </w:r>
            <w:r>
              <w:fldChar w:fldCharType="begin"/>
            </w:r>
            <w:r w:rsidR="009F4861">
              <w:rPr>
                <w:rStyle w:val="Hyperlink"/>
              </w:rPr>
              <w:instrText xml:space="preserve"> PAGEREF _Toc256000052 \h </w:instrText>
            </w:r>
            <w:r>
              <w:fldChar w:fldCharType="separate"/>
            </w:r>
            <w:r w:rsidR="00F62888">
              <w:rPr>
                <w:rStyle w:val="Hyperlink"/>
                <w:noProof/>
              </w:rPr>
              <w:t>14</w:t>
            </w:r>
            <w:r>
              <w:fldChar w:fldCharType="end"/>
            </w:r>
          </w:hyperlink>
        </w:p>
        <w:p w:rsidR="00D90EED" w:rsidRDefault="001B7ECE">
          <w:pPr>
            <w:pStyle w:val="TOC1"/>
            <w:tabs>
              <w:tab w:val="left" w:pos="1100"/>
              <w:tab w:val="right" w:leader="dot" w:pos="9202"/>
            </w:tabs>
            <w:rPr>
              <w:noProof/>
            </w:rPr>
          </w:pPr>
          <w:hyperlink w:anchor="_Toc256000053" w:history="1">
            <w:r w:rsidR="009F4861">
              <w:rPr>
                <w:rStyle w:val="Hyperlink"/>
              </w:rPr>
              <w:t>3.2.</w:t>
            </w:r>
            <w:r w:rsidR="009F4861">
              <w:rPr>
                <w:rStyle w:val="Hyperlink"/>
                <w:noProof/>
              </w:rPr>
              <w:tab/>
            </w:r>
            <w:r w:rsidR="009F4861" w:rsidRPr="00704F56">
              <w:rPr>
                <w:rStyle w:val="Hyperlink"/>
              </w:rPr>
              <w:t>Trad</w:t>
            </w:r>
            <w:r w:rsidR="009F4861">
              <w:rPr>
                <w:rStyle w:val="Hyperlink"/>
              </w:rPr>
              <w:t>e</w:t>
            </w:r>
            <w:r w:rsidR="009F4861" w:rsidRPr="00704F56">
              <w:rPr>
                <w:rStyle w:val="Hyperlink"/>
              </w:rPr>
              <w:t xml:space="preserve"> </w:t>
            </w:r>
            <w:r w:rsidR="009F4861">
              <w:rPr>
                <w:rStyle w:val="Hyperlink"/>
              </w:rPr>
              <w:t>d</w:t>
            </w:r>
            <w:r w:rsidR="009F4861" w:rsidRPr="00704F56">
              <w:rPr>
                <w:rStyle w:val="Hyperlink"/>
              </w:rPr>
              <w:t xml:space="preserve">ecision </w:t>
            </w:r>
            <w:r w:rsidR="009F4861">
              <w:rPr>
                <w:rStyle w:val="Hyperlink"/>
              </w:rPr>
              <w:t>m</w:t>
            </w:r>
            <w:r w:rsidR="009F4861" w:rsidRPr="00704F56">
              <w:rPr>
                <w:rStyle w:val="Hyperlink"/>
              </w:rPr>
              <w:t>aking</w:t>
            </w:r>
            <w:r w:rsidR="009F4861">
              <w:rPr>
                <w:rStyle w:val="Hyperlink"/>
              </w:rPr>
              <w:tab/>
            </w:r>
            <w:r>
              <w:fldChar w:fldCharType="begin"/>
            </w:r>
            <w:r w:rsidR="009F4861">
              <w:rPr>
                <w:rStyle w:val="Hyperlink"/>
              </w:rPr>
              <w:instrText xml:space="preserve"> PAGEREF _Toc256000053 \h </w:instrText>
            </w:r>
            <w:r>
              <w:fldChar w:fldCharType="separate"/>
            </w:r>
            <w:r w:rsidR="00F62888">
              <w:rPr>
                <w:rStyle w:val="Hyperlink"/>
                <w:noProof/>
              </w:rPr>
              <w:t>15</w:t>
            </w:r>
            <w:r>
              <w:fldChar w:fldCharType="end"/>
            </w:r>
          </w:hyperlink>
        </w:p>
        <w:p w:rsidR="00D90EED" w:rsidRDefault="001B7ECE">
          <w:pPr>
            <w:pStyle w:val="TOC1"/>
            <w:tabs>
              <w:tab w:val="left" w:pos="1100"/>
              <w:tab w:val="right" w:leader="dot" w:pos="9202"/>
            </w:tabs>
            <w:rPr>
              <w:noProof/>
            </w:rPr>
          </w:pPr>
          <w:hyperlink w:anchor="_Toc256000054" w:history="1">
            <w:r w:rsidR="009F4861">
              <w:rPr>
                <w:rStyle w:val="Hyperlink"/>
              </w:rPr>
              <w:t>3.3.</w:t>
            </w:r>
            <w:r w:rsidR="009F4861">
              <w:rPr>
                <w:rStyle w:val="Hyperlink"/>
                <w:noProof/>
              </w:rPr>
              <w:tab/>
            </w:r>
            <w:r w:rsidR="009F4861" w:rsidRPr="00704F56">
              <w:rPr>
                <w:rStyle w:val="Hyperlink"/>
              </w:rPr>
              <w:t>Announcements</w:t>
            </w:r>
            <w:r w:rsidR="009F4861">
              <w:rPr>
                <w:rStyle w:val="Hyperlink"/>
              </w:rPr>
              <w:tab/>
            </w:r>
            <w:r>
              <w:fldChar w:fldCharType="begin"/>
            </w:r>
            <w:r w:rsidR="009F4861">
              <w:rPr>
                <w:rStyle w:val="Hyperlink"/>
              </w:rPr>
              <w:instrText xml:space="preserve"> PAGEREF _Toc256000054 \h </w:instrText>
            </w:r>
            <w:r>
              <w:fldChar w:fldCharType="separate"/>
            </w:r>
            <w:r w:rsidR="00F62888">
              <w:rPr>
                <w:rStyle w:val="Hyperlink"/>
                <w:noProof/>
              </w:rPr>
              <w:t>16</w:t>
            </w:r>
            <w:r>
              <w:fldChar w:fldCharType="end"/>
            </w:r>
          </w:hyperlink>
        </w:p>
        <w:p w:rsidR="00D90EED" w:rsidRDefault="001B7ECE">
          <w:pPr>
            <w:pStyle w:val="TOC1"/>
            <w:tabs>
              <w:tab w:val="left" w:pos="1100"/>
              <w:tab w:val="right" w:leader="dot" w:pos="9202"/>
            </w:tabs>
            <w:rPr>
              <w:noProof/>
            </w:rPr>
          </w:pPr>
          <w:hyperlink w:anchor="_Toc256000055" w:history="1">
            <w:r w:rsidR="009F4861">
              <w:rPr>
                <w:rStyle w:val="Hyperlink"/>
              </w:rPr>
              <w:t>3.4.</w:t>
            </w:r>
            <w:r w:rsidR="009F4861">
              <w:rPr>
                <w:rStyle w:val="Hyperlink"/>
                <w:noProof/>
              </w:rPr>
              <w:tab/>
            </w:r>
            <w:r w:rsidR="009F4861">
              <w:rPr>
                <w:rStyle w:val="Hyperlink"/>
              </w:rPr>
              <w:t>Review and a</w:t>
            </w:r>
            <w:r w:rsidR="009F4861" w:rsidRPr="00704F56">
              <w:rPr>
                <w:rStyle w:val="Hyperlink"/>
              </w:rPr>
              <w:t>udit</w:t>
            </w:r>
            <w:r w:rsidR="009F4861">
              <w:rPr>
                <w:rStyle w:val="Hyperlink"/>
              </w:rPr>
              <w:tab/>
            </w:r>
            <w:r>
              <w:fldChar w:fldCharType="begin"/>
            </w:r>
            <w:r w:rsidR="009F4861">
              <w:rPr>
                <w:rStyle w:val="Hyperlink"/>
              </w:rPr>
              <w:instrText xml:space="preserve"> PAGEREF _Toc256000055 \h </w:instrText>
            </w:r>
            <w:r>
              <w:fldChar w:fldCharType="separate"/>
            </w:r>
            <w:r w:rsidR="00F62888">
              <w:rPr>
                <w:rStyle w:val="Hyperlink"/>
                <w:noProof/>
              </w:rPr>
              <w:t>17</w:t>
            </w:r>
            <w:r>
              <w:fldChar w:fldCharType="end"/>
            </w:r>
          </w:hyperlink>
        </w:p>
        <w:p w:rsidR="00D90EED" w:rsidRDefault="001B7ECE">
          <w:r>
            <w:fldChar w:fldCharType="end"/>
          </w:r>
        </w:p>
      </w:sdtContent>
    </w:sdt>
    <w:p w:rsidR="00CA794F" w:rsidRDefault="00CA794F" w:rsidP="00CA794F">
      <w:pPr>
        <w:pStyle w:val="Heading1"/>
        <w:numPr>
          <w:ilvl w:val="0"/>
          <w:numId w:val="13"/>
        </w:numPr>
        <w:sectPr w:rsidR="00CA794F" w:rsidSect="00CA794F">
          <w:footerReference w:type="first" r:id="rId20"/>
          <w:pgSz w:w="11906" w:h="16838"/>
          <w:pgMar w:top="1418" w:right="1276" w:bottom="567" w:left="1418" w:header="425" w:footer="425" w:gutter="0"/>
          <w:cols w:space="708"/>
          <w:docGrid w:linePitch="360"/>
        </w:sectPr>
      </w:pPr>
    </w:p>
    <w:p w:rsidR="00CA794F" w:rsidRPr="00F277D8" w:rsidRDefault="009F4861" w:rsidP="00CA794F">
      <w:pPr>
        <w:pStyle w:val="Heading1"/>
        <w:numPr>
          <w:ilvl w:val="0"/>
          <w:numId w:val="13"/>
        </w:numPr>
      </w:pPr>
      <w:bookmarkStart w:id="6" w:name="_Toc256000004"/>
      <w:bookmarkStart w:id="7" w:name="_Toc256000002"/>
      <w:bookmarkStart w:id="8" w:name="_Toc373865174"/>
      <w:bookmarkStart w:id="9" w:name="_Toc375035176"/>
      <w:r w:rsidRPr="00F277D8">
        <w:lastRenderedPageBreak/>
        <w:t>INTRODUCTION</w:t>
      </w:r>
      <w:bookmarkEnd w:id="6"/>
      <w:bookmarkEnd w:id="7"/>
      <w:bookmarkEnd w:id="8"/>
      <w:bookmarkEnd w:id="9"/>
      <w:bookmarkEnd w:id="5"/>
      <w:r w:rsidRPr="00F277D8">
        <w:t xml:space="preserve"> </w:t>
      </w:r>
    </w:p>
    <w:p w:rsidR="00CA794F" w:rsidRDefault="009F4861" w:rsidP="00CA794F">
      <w:pPr>
        <w:spacing w:after="120"/>
        <w:ind w:firstLine="0"/>
        <w:rPr>
          <w:rFonts w:cs="Calibri"/>
        </w:rPr>
      </w:pPr>
      <w:r w:rsidRPr="009A74BA">
        <w:rPr>
          <w:rFonts w:cs="Calibri"/>
        </w:rPr>
        <w:t xml:space="preserve">Commonwealth environmental water has been acquired for the purpose of protecting or restoring the environmental assets of the Murray-Darling Basin. </w:t>
      </w:r>
      <w:r w:rsidRPr="00B431D7">
        <w:rPr>
          <w:rFonts w:cs="Calibri"/>
        </w:rPr>
        <w:t>U</w:t>
      </w:r>
      <w:r>
        <w:rPr>
          <w:rFonts w:cs="Calibri"/>
        </w:rPr>
        <w:t>n</w:t>
      </w:r>
      <w:r w:rsidRPr="00B431D7">
        <w:rPr>
          <w:rFonts w:cs="Calibri"/>
        </w:rPr>
        <w:t xml:space="preserve">der the </w:t>
      </w:r>
      <w:r w:rsidRPr="00B431D7">
        <w:rPr>
          <w:rFonts w:cs="Calibri"/>
          <w:i/>
        </w:rPr>
        <w:t>Water Act 2007</w:t>
      </w:r>
      <w:r w:rsidRPr="00B431D7">
        <w:rPr>
          <w:rFonts w:cs="Calibri"/>
        </w:rPr>
        <w:t xml:space="preserve"> (the Water Act), the Commonwealth Environmental Water Holder</w:t>
      </w:r>
      <w:r>
        <w:rPr>
          <w:rStyle w:val="FootnoteReference"/>
          <w:rFonts w:cs="Calibri"/>
        </w:rPr>
        <w:footnoteReference w:id="1"/>
      </w:r>
      <w:r w:rsidRPr="00B431D7">
        <w:rPr>
          <w:rFonts w:cs="Calibri"/>
        </w:rPr>
        <w:t xml:space="preserve"> (CEWH) is responsible f</w:t>
      </w:r>
      <w:r>
        <w:rPr>
          <w:rFonts w:cs="Calibri"/>
        </w:rPr>
        <w:t>or management of the Commonwealth environmental water holdin</w:t>
      </w:r>
      <w:r w:rsidRPr="00BC1421">
        <w:rPr>
          <w:rFonts w:cs="Calibri"/>
        </w:rPr>
        <w:t xml:space="preserve">gs. The Commonwealth Environmental Water Office (CEWO) supports this statutory position, </w:t>
      </w:r>
      <w:r>
        <w:rPr>
          <w:rFonts w:cs="Calibri"/>
        </w:rPr>
        <w:t>a</w:t>
      </w:r>
      <w:r w:rsidRPr="00BC1421">
        <w:rPr>
          <w:rFonts w:cs="Calibri"/>
        </w:rPr>
        <w:t>nd sits within the Australian Government Department of the Environment (</w:t>
      </w:r>
      <w:r>
        <w:rPr>
          <w:rFonts w:cs="Calibri"/>
        </w:rPr>
        <w:t>the D</w:t>
      </w:r>
      <w:r w:rsidRPr="00BC1421">
        <w:rPr>
          <w:rFonts w:cs="Calibri"/>
        </w:rPr>
        <w:t xml:space="preserve">epartment). </w:t>
      </w:r>
    </w:p>
    <w:p w:rsidR="00CA794F" w:rsidRDefault="009F4861" w:rsidP="00CA794F">
      <w:pPr>
        <w:spacing w:after="120"/>
        <w:ind w:firstLine="0"/>
        <w:rPr>
          <w:rFonts w:cs="Calibri"/>
        </w:rPr>
      </w:pPr>
      <w:r>
        <w:rPr>
          <w:rFonts w:cs="Calibri"/>
        </w:rPr>
        <w:t xml:space="preserve">As employees of the Australian Public Service (APS), CEWH and CEWO </w:t>
      </w:r>
      <w:proofErr w:type="gramStart"/>
      <w:r>
        <w:rPr>
          <w:rFonts w:cs="Calibri"/>
        </w:rPr>
        <w:t>staff are</w:t>
      </w:r>
      <w:proofErr w:type="gramEnd"/>
      <w:r>
        <w:rPr>
          <w:rFonts w:cs="Calibri"/>
        </w:rPr>
        <w:t xml:space="preserve"> required to comply with a significant range of legislation. In addition to these legislative requirements, a</w:t>
      </w:r>
      <w:r w:rsidRPr="00BC1421">
        <w:rPr>
          <w:rFonts w:cs="Calibri"/>
        </w:rPr>
        <w:t xml:space="preserve">s an organisation within the APS, the CEWO has </w:t>
      </w:r>
      <w:r>
        <w:rPr>
          <w:rFonts w:cs="Calibri"/>
        </w:rPr>
        <w:t>corporate values</w:t>
      </w:r>
      <w:r w:rsidRPr="00BC1421">
        <w:rPr>
          <w:rFonts w:cs="Calibri"/>
        </w:rPr>
        <w:t xml:space="preserve"> that commit </w:t>
      </w:r>
      <w:r>
        <w:rPr>
          <w:rFonts w:cs="Calibri"/>
        </w:rPr>
        <w:t>the CEWH and CEWO staff</w:t>
      </w:r>
      <w:r w:rsidRPr="00BC1421">
        <w:rPr>
          <w:rFonts w:cs="Calibri"/>
        </w:rPr>
        <w:t xml:space="preserve"> to behav</w:t>
      </w:r>
      <w:r>
        <w:rPr>
          <w:rFonts w:cs="Calibri"/>
        </w:rPr>
        <w:t>e</w:t>
      </w:r>
      <w:r w:rsidRPr="00BC1421">
        <w:rPr>
          <w:rFonts w:cs="Calibri"/>
        </w:rPr>
        <w:t>, and be seen to behave, in a responsible and ethical</w:t>
      </w:r>
      <w:r>
        <w:rPr>
          <w:rFonts w:cs="Calibri"/>
        </w:rPr>
        <w:t xml:space="preserve"> manner</w:t>
      </w:r>
      <w:r w:rsidRPr="00BC1421">
        <w:rPr>
          <w:rFonts w:cs="Calibri"/>
        </w:rPr>
        <w:t>. Further to this, the CEWH intends to take a conservative risk based approach to both delivery and trade of Commonwealth environmental water, so unintended impacts do not occur.</w:t>
      </w:r>
      <w:r>
        <w:rPr>
          <w:rFonts w:cs="Calibri"/>
        </w:rPr>
        <w:t xml:space="preserve"> </w:t>
      </w:r>
    </w:p>
    <w:p w:rsidR="00CA794F" w:rsidRDefault="009F4861" w:rsidP="00CA794F">
      <w:pPr>
        <w:spacing w:after="120"/>
        <w:ind w:firstLine="0"/>
      </w:pPr>
      <w:r w:rsidRPr="009A74BA">
        <w:rPr>
          <w:rFonts w:cs="Calibri"/>
        </w:rPr>
        <w:t>T</w:t>
      </w:r>
      <w:r>
        <w:rPr>
          <w:rFonts w:cs="Calibri"/>
        </w:rPr>
        <w:t xml:space="preserve">he primary role of the </w:t>
      </w:r>
      <w:r w:rsidRPr="009A74BA">
        <w:rPr>
          <w:rFonts w:cs="Calibri"/>
        </w:rPr>
        <w:t xml:space="preserve">CEWO is </w:t>
      </w:r>
      <w:r>
        <w:rPr>
          <w:rFonts w:cs="Calibri"/>
        </w:rPr>
        <w:t xml:space="preserve">the </w:t>
      </w:r>
      <w:r w:rsidRPr="009A74BA">
        <w:rPr>
          <w:rFonts w:cs="Calibri"/>
        </w:rPr>
        <w:t xml:space="preserve">delivery of </w:t>
      </w:r>
      <w:r>
        <w:rPr>
          <w:rFonts w:cs="Calibri"/>
        </w:rPr>
        <w:t xml:space="preserve">Commonwealth </w:t>
      </w:r>
      <w:r w:rsidRPr="009A74BA">
        <w:rPr>
          <w:rFonts w:cs="Calibri"/>
        </w:rPr>
        <w:t xml:space="preserve">environmental water. </w:t>
      </w:r>
      <w:r>
        <w:rPr>
          <w:rFonts w:cs="Calibri"/>
        </w:rPr>
        <w:t>T</w:t>
      </w:r>
      <w:r w:rsidRPr="009A74BA">
        <w:rPr>
          <w:rFonts w:cs="Calibri"/>
        </w:rPr>
        <w:t>o ensure maximum environmental outcome</w:t>
      </w:r>
      <w:r>
        <w:rPr>
          <w:rFonts w:cs="Calibri"/>
        </w:rPr>
        <w:t>s</w:t>
      </w:r>
      <w:r w:rsidRPr="009A74BA">
        <w:rPr>
          <w:rFonts w:cs="Calibri"/>
        </w:rPr>
        <w:t xml:space="preserve"> </w:t>
      </w:r>
      <w:r>
        <w:rPr>
          <w:rFonts w:cs="Calibri"/>
        </w:rPr>
        <w:t xml:space="preserve">are </w:t>
      </w:r>
      <w:r w:rsidRPr="009A74BA">
        <w:rPr>
          <w:rFonts w:cs="Calibri"/>
        </w:rPr>
        <w:t xml:space="preserve">achieved </w:t>
      </w:r>
      <w:r>
        <w:rPr>
          <w:rFonts w:cs="Calibri"/>
        </w:rPr>
        <w:t>with</w:t>
      </w:r>
      <w:r w:rsidRPr="009A74BA">
        <w:rPr>
          <w:rFonts w:cs="Calibri"/>
        </w:rPr>
        <w:t xml:space="preserve"> the available water,</w:t>
      </w:r>
      <w:r>
        <w:rPr>
          <w:rFonts w:cs="Calibri"/>
        </w:rPr>
        <w:t xml:space="preserve"> the </w:t>
      </w:r>
      <w:r w:rsidRPr="009A74BA">
        <w:rPr>
          <w:rFonts w:cs="Calibri"/>
        </w:rPr>
        <w:t>Commonwealth environmental water</w:t>
      </w:r>
      <w:r>
        <w:rPr>
          <w:rFonts w:cs="Calibri"/>
        </w:rPr>
        <w:t xml:space="preserve"> portfolio </w:t>
      </w:r>
      <w:r w:rsidRPr="009A74BA">
        <w:rPr>
          <w:rFonts w:cs="Calibri"/>
        </w:rPr>
        <w:t>is actively managed. At any point in time, the options for managing water include deliver</w:t>
      </w:r>
      <w:r>
        <w:rPr>
          <w:rFonts w:cs="Calibri"/>
        </w:rPr>
        <w:t>y</w:t>
      </w:r>
      <w:r w:rsidRPr="009A74BA">
        <w:rPr>
          <w:rFonts w:cs="Calibri"/>
        </w:rPr>
        <w:t xml:space="preserve"> to environmental assets within the current year</w:t>
      </w:r>
      <w:r>
        <w:rPr>
          <w:rFonts w:cs="Calibri"/>
        </w:rPr>
        <w:t>;</w:t>
      </w:r>
      <w:r w:rsidRPr="009A74BA">
        <w:rPr>
          <w:rFonts w:cs="Calibri"/>
        </w:rPr>
        <w:t xml:space="preserve"> carrying over water to future years by leaving it in storage (w</w:t>
      </w:r>
      <w:r>
        <w:rPr>
          <w:rFonts w:cs="Calibri"/>
        </w:rPr>
        <w:t>here possible); or trading. The CEWH</w:t>
      </w:r>
      <w:r w:rsidRPr="009A74BA">
        <w:rPr>
          <w:rFonts w:cs="Calibri"/>
        </w:rPr>
        <w:t xml:space="preserve"> expects </w:t>
      </w:r>
      <w:r>
        <w:rPr>
          <w:rFonts w:cs="Calibri"/>
        </w:rPr>
        <w:t xml:space="preserve">to deliver </w:t>
      </w:r>
      <w:r w:rsidRPr="009A74BA">
        <w:rPr>
          <w:rFonts w:cs="Calibri"/>
        </w:rPr>
        <w:t>the majority of its available water</w:t>
      </w:r>
      <w:r>
        <w:rPr>
          <w:rFonts w:cs="Calibri"/>
        </w:rPr>
        <w:t xml:space="preserve"> to the environment each year. This is reflected by the fact that s</w:t>
      </w:r>
      <w:r w:rsidRPr="00A120E6">
        <w:t xml:space="preserve">ince Commonwealth environmental water became available for use, </w:t>
      </w:r>
      <w:r w:rsidRPr="00D33CEF">
        <w:t xml:space="preserve">over 2,505 GL has been used across the Basin to </w:t>
      </w:r>
      <w:r>
        <w:t xml:space="preserve">the end of the 2012 – </w:t>
      </w:r>
      <w:r w:rsidRPr="00D33CEF">
        <w:t>13</w:t>
      </w:r>
      <w:r>
        <w:t xml:space="preserve"> water year</w:t>
      </w:r>
      <w:r w:rsidRPr="00D33CEF">
        <w:t>, representing 84 percent use of total available water.</w:t>
      </w:r>
      <w:r w:rsidRPr="00A120E6">
        <w:t xml:space="preserve"> </w:t>
      </w:r>
      <w:r>
        <w:t xml:space="preserve">Each year the balance has been carried over for use in future years, in particular early in the next water year before most of the new allocations are available (less than 1 GL has been forfeited because it could not be used or carried over). </w:t>
      </w:r>
      <w:r w:rsidRPr="00D00F0B">
        <w:t>Further information relating to</w:t>
      </w:r>
      <w:r>
        <w:t xml:space="preserve"> Commonwealth environmental water use is available at:</w:t>
      </w:r>
      <w:r w:rsidRPr="000A29AC">
        <w:t xml:space="preserve"> </w:t>
      </w:r>
      <w:hyperlink r:id="rId21" w:history="1">
        <w:r w:rsidRPr="000A29AC">
          <w:rPr>
            <w:rStyle w:val="Hyperlink"/>
          </w:rPr>
          <w:t>Commonwealth environmental water annual use options: Planning Approach</w:t>
        </w:r>
      </w:hyperlink>
      <w:r>
        <w:t xml:space="preserve">. </w:t>
      </w:r>
    </w:p>
    <w:p w:rsidR="00CA794F" w:rsidRPr="00B85B2E" w:rsidRDefault="009F4861" w:rsidP="00CA794F">
      <w:pPr>
        <w:spacing w:after="120"/>
        <w:ind w:firstLine="0"/>
        <w:rPr>
          <w:rFonts w:cs="Calibri"/>
        </w:rPr>
      </w:pPr>
      <w:r>
        <w:rPr>
          <w:rFonts w:cs="Calibri"/>
        </w:rPr>
        <w:t xml:space="preserve">This paper sets out the framework within which the CEWH will trade. </w:t>
      </w:r>
      <w:r w:rsidRPr="00B85B2E">
        <w:rPr>
          <w:rFonts w:cs="Calibri"/>
        </w:rPr>
        <w:t xml:space="preserve">Implementation of </w:t>
      </w:r>
      <w:r>
        <w:t xml:space="preserve">a </w:t>
      </w:r>
      <w:r w:rsidRPr="00B85B2E">
        <w:rPr>
          <w:rFonts w:cs="Calibri"/>
        </w:rPr>
        <w:t>Trading Framework will ensure that CEWH’s trading activities</w:t>
      </w:r>
      <w:r>
        <w:rPr>
          <w:rFonts w:cs="Calibri"/>
        </w:rPr>
        <w:t xml:space="preserve">: </w:t>
      </w:r>
      <w:r w:rsidRPr="00B85B2E">
        <w:rPr>
          <w:rFonts w:cs="Calibri"/>
        </w:rPr>
        <w:t>support enhanced environmental outcomes;</w:t>
      </w:r>
      <w:r>
        <w:rPr>
          <w:rFonts w:cs="Calibri"/>
        </w:rPr>
        <w:t xml:space="preserve"> </w:t>
      </w:r>
      <w:r w:rsidRPr="00B85B2E">
        <w:rPr>
          <w:rFonts w:cs="Calibri"/>
        </w:rPr>
        <w:t>are undertaken in a manner which meets legislative requirements</w:t>
      </w:r>
      <w:r>
        <w:rPr>
          <w:rFonts w:cs="Calibri"/>
        </w:rPr>
        <w:t>;</w:t>
      </w:r>
      <w:r w:rsidRPr="00B85B2E">
        <w:rPr>
          <w:rFonts w:cs="Calibri"/>
        </w:rPr>
        <w:t xml:space="preserve"> are financially responsible, fair, equitable, transparent and accountable</w:t>
      </w:r>
      <w:r>
        <w:rPr>
          <w:rFonts w:cs="Calibri"/>
        </w:rPr>
        <w:t>; and that the</w:t>
      </w:r>
      <w:r w:rsidRPr="00B85B2E">
        <w:rPr>
          <w:rFonts w:cs="Calibri"/>
        </w:rPr>
        <w:t xml:space="preserve"> CEWH and CEWO staff act with integrity and high ethical standards</w:t>
      </w:r>
      <w:r>
        <w:rPr>
          <w:rFonts w:cs="Calibri"/>
        </w:rPr>
        <w:t>.</w:t>
      </w:r>
      <w:r w:rsidRPr="00B85B2E">
        <w:rPr>
          <w:rFonts w:cs="Calibri"/>
        </w:rPr>
        <w:t xml:space="preserve"> </w:t>
      </w:r>
      <w:r w:rsidR="00C03ACD">
        <w:rPr>
          <w:rFonts w:cs="Calibri"/>
        </w:rPr>
        <w:t>In undertaking trade</w:t>
      </w:r>
      <w:r w:rsidR="00DB0467">
        <w:rPr>
          <w:rFonts w:cs="Calibri"/>
        </w:rPr>
        <w:t>,</w:t>
      </w:r>
      <w:r w:rsidR="00C03ACD">
        <w:rPr>
          <w:rFonts w:cs="Calibri"/>
        </w:rPr>
        <w:t xml:space="preserve"> the CEWH will also have regard to social and economic outcomes; will consider any impacts on the market, </w:t>
      </w:r>
      <w:r w:rsidR="00235443">
        <w:rPr>
          <w:rFonts w:cs="Calibri"/>
        </w:rPr>
        <w:t>and adopt strategies to minimi</w:t>
      </w:r>
      <w:r w:rsidR="00281C47">
        <w:rPr>
          <w:rFonts w:cs="Calibri"/>
        </w:rPr>
        <w:t>s</w:t>
      </w:r>
      <w:r w:rsidR="00235443">
        <w:rPr>
          <w:rFonts w:cs="Calibri"/>
        </w:rPr>
        <w:t xml:space="preserve">e </w:t>
      </w:r>
      <w:proofErr w:type="gramStart"/>
      <w:r w:rsidR="00235443">
        <w:rPr>
          <w:rFonts w:cs="Calibri"/>
        </w:rPr>
        <w:t>potential</w:t>
      </w:r>
      <w:r w:rsidR="00BE0177">
        <w:rPr>
          <w:rFonts w:cs="Calibri"/>
        </w:rPr>
        <w:t xml:space="preserve"> </w:t>
      </w:r>
      <w:r w:rsidR="00C03ACD">
        <w:rPr>
          <w:rFonts w:cs="Calibri"/>
        </w:rPr>
        <w:t xml:space="preserve"> impacts</w:t>
      </w:r>
      <w:proofErr w:type="gramEnd"/>
      <w:r w:rsidR="00BE0177">
        <w:rPr>
          <w:rFonts w:cs="Calibri"/>
        </w:rPr>
        <w:t xml:space="preserve"> on third parties</w:t>
      </w:r>
      <w:r w:rsidR="00C03ACD">
        <w:rPr>
          <w:rFonts w:cs="Calibri"/>
        </w:rPr>
        <w:t>.</w:t>
      </w:r>
    </w:p>
    <w:p w:rsidR="00CA794F" w:rsidRDefault="009F4861" w:rsidP="00CA794F">
      <w:pPr>
        <w:pStyle w:val="ListBullet"/>
        <w:spacing w:after="120"/>
        <w:ind w:left="1" w:firstLine="0"/>
        <w:rPr>
          <w:rFonts w:cs="Calibri"/>
        </w:rPr>
      </w:pPr>
      <w:r w:rsidRPr="00BC1421">
        <w:rPr>
          <w:rFonts w:cs="Calibri"/>
        </w:rPr>
        <w:t xml:space="preserve">The </w:t>
      </w:r>
      <w:r>
        <w:rPr>
          <w:rFonts w:cs="Calibri"/>
        </w:rPr>
        <w:t>Commonwealth environmental water T</w:t>
      </w:r>
      <w:r w:rsidRPr="00BC1421">
        <w:rPr>
          <w:rFonts w:cs="Calibri"/>
        </w:rPr>
        <w:t xml:space="preserve">rading </w:t>
      </w:r>
      <w:r>
        <w:rPr>
          <w:rFonts w:cs="Calibri"/>
        </w:rPr>
        <w:t>F</w:t>
      </w:r>
      <w:r w:rsidRPr="00BC1421">
        <w:rPr>
          <w:rFonts w:cs="Calibri"/>
        </w:rPr>
        <w:t xml:space="preserve">ramework </w:t>
      </w:r>
      <w:r>
        <w:rPr>
          <w:rFonts w:cs="Calibri"/>
        </w:rPr>
        <w:t xml:space="preserve">(the Trading Framework) </w:t>
      </w:r>
      <w:r w:rsidRPr="00BC1421">
        <w:rPr>
          <w:rFonts w:cs="Calibri"/>
        </w:rPr>
        <w:t xml:space="preserve">has been informed by responses to the </w:t>
      </w:r>
      <w:r w:rsidRPr="00BC1421">
        <w:rPr>
          <w:i/>
        </w:rPr>
        <w:t>Commonwealth Environmental Water – Trading Arrangements</w:t>
      </w:r>
      <w:r w:rsidRPr="00BC1421">
        <w:t xml:space="preserve"> discussion paper (the Discussion Paper)</w:t>
      </w:r>
      <w:r>
        <w:rPr>
          <w:rFonts w:cs="Calibri"/>
        </w:rPr>
        <w:t>, and addresses many of the concerns raised.</w:t>
      </w:r>
      <w:r w:rsidRPr="00466D21">
        <w:rPr>
          <w:rFonts w:cs="Calibri"/>
        </w:rPr>
        <w:t xml:space="preserve"> </w:t>
      </w:r>
    </w:p>
    <w:p w:rsidR="00CA794F" w:rsidRPr="009E6C4F" w:rsidRDefault="009F4861" w:rsidP="00CA794F">
      <w:pPr>
        <w:shd w:val="clear" w:color="auto" w:fill="FFFFFF" w:themeFill="background1"/>
        <w:spacing w:after="120"/>
        <w:ind w:left="1" w:firstLine="0"/>
        <w:rPr>
          <w:rFonts w:cs="Calibri"/>
        </w:rPr>
      </w:pPr>
      <w:r w:rsidRPr="009E6C4F">
        <w:rPr>
          <w:rFonts w:cs="Calibri"/>
        </w:rPr>
        <w:t xml:space="preserve">There are three elements to the proposed Trading Framework: </w:t>
      </w:r>
    </w:p>
    <w:p w:rsidR="00CA794F" w:rsidRPr="009E6C4F" w:rsidRDefault="009F4861" w:rsidP="00CA794F">
      <w:pPr>
        <w:pStyle w:val="ListNumber"/>
        <w:numPr>
          <w:ilvl w:val="0"/>
          <w:numId w:val="5"/>
        </w:numPr>
        <w:shd w:val="clear" w:color="auto" w:fill="FFFFFF" w:themeFill="background1"/>
        <w:spacing w:after="120"/>
        <w:ind w:left="1" w:firstLine="0"/>
      </w:pPr>
      <w:r>
        <w:t>C</w:t>
      </w:r>
      <w:r w:rsidRPr="009E6C4F">
        <w:t xml:space="preserve">ompliance with Commonwealth and </w:t>
      </w:r>
      <w:r>
        <w:t>state legislative requirements.</w:t>
      </w:r>
    </w:p>
    <w:p w:rsidR="00CA794F" w:rsidRPr="009E6C4F" w:rsidRDefault="009F4861" w:rsidP="00CA794F">
      <w:pPr>
        <w:pStyle w:val="ListNumber"/>
        <w:numPr>
          <w:ilvl w:val="0"/>
          <w:numId w:val="5"/>
        </w:numPr>
        <w:spacing w:after="120"/>
        <w:ind w:left="1" w:firstLine="0"/>
      </w:pPr>
      <w:r>
        <w:t>O</w:t>
      </w:r>
      <w:r w:rsidRPr="009E6C4F">
        <w:t>perating</w:t>
      </w:r>
      <w:r>
        <w:t xml:space="preserve"> Rules.</w:t>
      </w:r>
    </w:p>
    <w:p w:rsidR="00CA794F" w:rsidRDefault="009F4861" w:rsidP="00CA794F">
      <w:pPr>
        <w:pStyle w:val="ListNumber"/>
        <w:numPr>
          <w:ilvl w:val="0"/>
          <w:numId w:val="5"/>
        </w:numPr>
        <w:spacing w:after="120"/>
        <w:ind w:left="1" w:firstLine="0"/>
      </w:pPr>
      <w:r>
        <w:t>Procedures and Protocols.</w:t>
      </w:r>
    </w:p>
    <w:p w:rsidR="00CA794F" w:rsidRDefault="009F4861" w:rsidP="00CA794F">
      <w:pPr>
        <w:pStyle w:val="ListNumber"/>
        <w:numPr>
          <w:ilvl w:val="0"/>
          <w:numId w:val="0"/>
        </w:numPr>
        <w:spacing w:after="120"/>
      </w:pPr>
      <w:r w:rsidRPr="00B64EFD">
        <w:t>Figure 1</w:t>
      </w:r>
      <w:r>
        <w:t xml:space="preserve"> illustrates the </w:t>
      </w:r>
      <w:r w:rsidRPr="00A31C3C">
        <w:t xml:space="preserve">practical application of the </w:t>
      </w:r>
      <w:r>
        <w:t>Trading Framework,</w:t>
      </w:r>
      <w:r w:rsidRPr="00A31C3C">
        <w:t xml:space="preserve"> </w:t>
      </w:r>
      <w:r>
        <w:t xml:space="preserve">as well has how the framework influences the trade process. </w:t>
      </w:r>
    </w:p>
    <w:p w:rsidR="00CA794F" w:rsidRPr="00F14207" w:rsidRDefault="00CA794F" w:rsidP="00CA794F">
      <w:pPr>
        <w:pStyle w:val="ListParagraph"/>
        <w:numPr>
          <w:ilvl w:val="0"/>
          <w:numId w:val="14"/>
        </w:numPr>
        <w:pBdr>
          <w:bottom w:val="single" w:sz="4" w:space="1" w:color="95B3D7" w:themeColor="accent1" w:themeTint="99"/>
        </w:pBdr>
        <w:spacing w:before="200" w:after="80"/>
        <w:contextualSpacing w:val="0"/>
        <w:outlineLvl w:val="2"/>
        <w:rPr>
          <w:rFonts w:ascii="Cambria" w:hAnsi="Cambria"/>
          <w:vanish/>
          <w:color w:val="4F81BD" w:themeColor="accent1"/>
          <w:sz w:val="24"/>
          <w:szCs w:val="24"/>
          <w:highlight w:val="magenta"/>
        </w:rPr>
      </w:pPr>
      <w:bookmarkStart w:id="10" w:name="_Toc372716793"/>
      <w:bookmarkStart w:id="11" w:name="_Toc372717214"/>
      <w:bookmarkStart w:id="12" w:name="_Toc372718806"/>
      <w:bookmarkStart w:id="13" w:name="_Toc372718846"/>
      <w:bookmarkStart w:id="14" w:name="_Toc372719408"/>
      <w:bookmarkStart w:id="15" w:name="_Toc372724370"/>
      <w:bookmarkStart w:id="16" w:name="_Toc372791119"/>
      <w:bookmarkStart w:id="17" w:name="_Toc373235003"/>
      <w:bookmarkStart w:id="18" w:name="_Toc373243802"/>
      <w:bookmarkStart w:id="19" w:name="_Toc373410816"/>
      <w:bookmarkStart w:id="20" w:name="_Toc373495808"/>
      <w:bookmarkStart w:id="21" w:name="_Toc373741153"/>
      <w:bookmarkStart w:id="22" w:name="_Toc373744849"/>
      <w:bookmarkStart w:id="23" w:name="_Toc373746213"/>
      <w:bookmarkStart w:id="24" w:name="_Toc373754693"/>
      <w:bookmarkStart w:id="25" w:name="_Toc373754721"/>
      <w:bookmarkStart w:id="26" w:name="_Toc373835424"/>
      <w:bookmarkStart w:id="27" w:name="_Toc373835451"/>
      <w:bookmarkStart w:id="28" w:name="_Toc373857303"/>
      <w:bookmarkStart w:id="29" w:name="_Toc373858659"/>
      <w:bookmarkStart w:id="30" w:name="_Toc373865175"/>
      <w:bookmarkStart w:id="31" w:name="_Toc37503517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CA794F" w:rsidRPr="00F14207" w:rsidRDefault="00CA794F" w:rsidP="00CA794F">
      <w:pPr>
        <w:pStyle w:val="ListParagraph"/>
        <w:numPr>
          <w:ilvl w:val="0"/>
          <w:numId w:val="14"/>
        </w:numPr>
        <w:pBdr>
          <w:bottom w:val="single" w:sz="4" w:space="1" w:color="95B3D7" w:themeColor="accent1" w:themeTint="99"/>
        </w:pBdr>
        <w:spacing w:before="200" w:after="80"/>
        <w:contextualSpacing w:val="0"/>
        <w:outlineLvl w:val="2"/>
        <w:rPr>
          <w:rFonts w:ascii="Cambria" w:hAnsi="Cambria"/>
          <w:vanish/>
          <w:color w:val="4F81BD" w:themeColor="accent1"/>
          <w:sz w:val="24"/>
          <w:szCs w:val="24"/>
          <w:highlight w:val="magenta"/>
        </w:rPr>
      </w:pPr>
      <w:bookmarkStart w:id="32" w:name="_Toc372716794"/>
      <w:bookmarkStart w:id="33" w:name="_Toc372717215"/>
      <w:bookmarkStart w:id="34" w:name="_Toc372718807"/>
      <w:bookmarkStart w:id="35" w:name="_Toc372718847"/>
      <w:bookmarkStart w:id="36" w:name="_Toc372719409"/>
      <w:bookmarkStart w:id="37" w:name="_Toc372724371"/>
      <w:bookmarkStart w:id="38" w:name="_Toc372791120"/>
      <w:bookmarkStart w:id="39" w:name="_Toc373235004"/>
      <w:bookmarkStart w:id="40" w:name="_Toc373243803"/>
      <w:bookmarkStart w:id="41" w:name="_Toc373410817"/>
      <w:bookmarkStart w:id="42" w:name="_Toc373495809"/>
      <w:bookmarkStart w:id="43" w:name="_Toc373741154"/>
      <w:bookmarkStart w:id="44" w:name="_Toc373744850"/>
      <w:bookmarkStart w:id="45" w:name="_Toc373746214"/>
      <w:bookmarkStart w:id="46" w:name="_Toc373754694"/>
      <w:bookmarkStart w:id="47" w:name="_Toc373754722"/>
      <w:bookmarkStart w:id="48" w:name="_Toc373835425"/>
      <w:bookmarkStart w:id="49" w:name="_Toc373835452"/>
      <w:bookmarkStart w:id="50" w:name="_Toc373857304"/>
      <w:bookmarkStart w:id="51" w:name="_Toc373858660"/>
      <w:bookmarkStart w:id="52" w:name="_Toc373865176"/>
      <w:bookmarkStart w:id="53" w:name="_Toc37503517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A794F" w:rsidRDefault="009F4861" w:rsidP="00CA794F">
      <w:pPr>
        <w:ind w:firstLine="0"/>
      </w:pPr>
      <w:r>
        <w:t>The focus in</w:t>
      </w:r>
      <w:r w:rsidRPr="006B4EA2">
        <w:t xml:space="preserve"> th</w:t>
      </w:r>
      <w:r>
        <w:t>is</w:t>
      </w:r>
      <w:r w:rsidRPr="006B4EA2">
        <w:t xml:space="preserve"> paper is </w:t>
      </w:r>
      <w:r>
        <w:t>on</w:t>
      </w:r>
      <w:r w:rsidRPr="006B4EA2">
        <w:t xml:space="preserve"> regulatory requirements and operating rules</w:t>
      </w:r>
      <w:r>
        <w:t>, which governs the manner in which the CEWH trades</w:t>
      </w:r>
      <w:r w:rsidRPr="006B4EA2">
        <w:t>. Chapter 2 of the paper outlines the legislation that governs the</w:t>
      </w:r>
      <w:r>
        <w:t xml:space="preserve"> CEWH and CEWO staff </w:t>
      </w:r>
      <w:r w:rsidRPr="006B4EA2">
        <w:t>in relation to trade</w:t>
      </w:r>
      <w:r>
        <w:t xml:space="preserve">. </w:t>
      </w:r>
      <w:r w:rsidRPr="006B4EA2">
        <w:t>Chapter 3 outlines the</w:t>
      </w:r>
      <w:r>
        <w:t xml:space="preserve"> operating rules which are additional directives on the CEWH and CEWO staff in relation to trade</w:t>
      </w:r>
      <w:r>
        <w:rPr>
          <w:rFonts w:cs="Calibri"/>
        </w:rPr>
        <w:t>.</w:t>
      </w:r>
      <w:r w:rsidRPr="006B4EA2">
        <w:rPr>
          <w:rFonts w:cs="Calibri"/>
        </w:rPr>
        <w:t xml:space="preserve"> </w:t>
      </w:r>
      <w:r>
        <w:rPr>
          <w:rFonts w:cs="Calibri"/>
        </w:rPr>
        <w:t>T</w:t>
      </w:r>
      <w:r w:rsidRPr="006B4EA2">
        <w:t>hese operating rules</w:t>
      </w:r>
      <w:r w:rsidRPr="006B4EA2">
        <w:rPr>
          <w:rFonts w:cs="Calibri"/>
        </w:rPr>
        <w:t xml:space="preserve"> </w:t>
      </w:r>
      <w:r w:rsidRPr="006B4EA2">
        <w:t>establish the general fra</w:t>
      </w:r>
      <w:r>
        <w:t>mework within which trade will occur</w:t>
      </w:r>
      <w:r w:rsidRPr="006B4EA2">
        <w:t>.</w:t>
      </w:r>
      <w:r>
        <w:t xml:space="preserve"> They support the CEWH and CEWO staff in meeting their legislative requirements, and reflect the CEWO’s </w:t>
      </w:r>
      <w:proofErr w:type="gramStart"/>
      <w:r>
        <w:t>Corporate</w:t>
      </w:r>
      <w:proofErr w:type="gramEnd"/>
      <w:r>
        <w:t xml:space="preserve"> values. In addition, they will </w:t>
      </w:r>
      <w:r w:rsidRPr="00B85B2E">
        <w:rPr>
          <w:rFonts w:cs="Calibri"/>
        </w:rPr>
        <w:t>ensure that CEWH’s trading activities</w:t>
      </w:r>
      <w:r>
        <w:t xml:space="preserve"> is conducted in such a manner that is </w:t>
      </w:r>
      <w:r w:rsidRPr="00B85B2E">
        <w:rPr>
          <w:rFonts w:cs="Calibri"/>
        </w:rPr>
        <w:t>financially responsible, fair, equitable, transparent and accountable</w:t>
      </w:r>
      <w:r>
        <w:rPr>
          <w:rFonts w:cs="Calibri"/>
        </w:rPr>
        <w:t>.</w:t>
      </w:r>
    </w:p>
    <w:p w:rsidR="00CA794F" w:rsidRPr="00F277D8" w:rsidRDefault="009F4861" w:rsidP="00CA794F">
      <w:pPr>
        <w:pStyle w:val="Heading1"/>
        <w:numPr>
          <w:ilvl w:val="1"/>
          <w:numId w:val="13"/>
        </w:numPr>
      </w:pPr>
      <w:bookmarkStart w:id="54" w:name="_Toc256000030"/>
      <w:bookmarkStart w:id="55" w:name="_Toc256000005"/>
      <w:bookmarkStart w:id="56" w:name="_Toc373835454"/>
      <w:bookmarkStart w:id="57" w:name="_Toc373865177"/>
      <w:bookmarkStart w:id="58" w:name="_Toc375035179"/>
      <w:r w:rsidRPr="00F277D8">
        <w:t>Commonwealth environmental water trade</w:t>
      </w:r>
      <w:bookmarkEnd w:id="54"/>
      <w:bookmarkEnd w:id="55"/>
      <w:bookmarkEnd w:id="56"/>
      <w:bookmarkEnd w:id="57"/>
      <w:bookmarkEnd w:id="58"/>
    </w:p>
    <w:p w:rsidR="00CA794F" w:rsidRPr="00B431D7" w:rsidRDefault="009F4861" w:rsidP="00CA794F">
      <w:pPr>
        <w:spacing w:after="120"/>
        <w:ind w:left="360" w:firstLine="0"/>
        <w:rPr>
          <w:rFonts w:cs="Calibri"/>
        </w:rPr>
      </w:pPr>
      <w:r w:rsidRPr="009A74BA">
        <w:rPr>
          <w:rFonts w:cs="Calibri"/>
        </w:rPr>
        <w:t>Trade of Commonwealth environmental water, either allocations</w:t>
      </w:r>
      <w:r w:rsidRPr="0091105D">
        <w:rPr>
          <w:rFonts w:cs="Calibri"/>
        </w:rPr>
        <w:t xml:space="preserve"> </w:t>
      </w:r>
      <w:r>
        <w:rPr>
          <w:rFonts w:cs="Calibri"/>
        </w:rPr>
        <w:t xml:space="preserve">or </w:t>
      </w:r>
      <w:r w:rsidRPr="009A74BA">
        <w:rPr>
          <w:rFonts w:cs="Calibri"/>
        </w:rPr>
        <w:t xml:space="preserve">entitlements, is one of the management tools that </w:t>
      </w:r>
      <w:proofErr w:type="gramStart"/>
      <w:r w:rsidRPr="009A74BA">
        <w:rPr>
          <w:rFonts w:cs="Calibri"/>
        </w:rPr>
        <w:t>provide</w:t>
      </w:r>
      <w:r>
        <w:rPr>
          <w:rFonts w:cs="Calibri"/>
        </w:rPr>
        <w:t>s</w:t>
      </w:r>
      <w:proofErr w:type="gramEnd"/>
      <w:r w:rsidRPr="009A74BA">
        <w:rPr>
          <w:rFonts w:cs="Calibri"/>
        </w:rPr>
        <w:t xml:space="preserve"> the ability to enhance the capacity of the portfolio to meet environmental watering requirements. </w:t>
      </w:r>
      <w:r w:rsidRPr="00B431D7">
        <w:rPr>
          <w:rFonts w:cs="Calibri"/>
        </w:rPr>
        <w:t>Trade can be used to:</w:t>
      </w:r>
    </w:p>
    <w:p w:rsidR="00CA794F" w:rsidRPr="00B431D7" w:rsidRDefault="009F4861" w:rsidP="00CA794F">
      <w:pPr>
        <w:pStyle w:val="ListBullet"/>
        <w:numPr>
          <w:ilvl w:val="0"/>
          <w:numId w:val="11"/>
        </w:numPr>
        <w:spacing w:after="120"/>
        <w:ind w:left="648" w:hanging="357"/>
        <w:rPr>
          <w:rFonts w:cs="Calibri"/>
        </w:rPr>
      </w:pPr>
      <w:r w:rsidRPr="00B431D7">
        <w:rPr>
          <w:rFonts w:cs="Calibri"/>
        </w:rPr>
        <w:t>Manage inter-spatial variability in water availability and environmental water demand across the Basin, for example by selling allocation in one catchment where environmental watering needs have largely been met and purchasing in another catchment where additional environmental water w</w:t>
      </w:r>
      <w:r>
        <w:rPr>
          <w:rFonts w:cs="Calibri"/>
        </w:rPr>
        <w:t>ould be particularly beneficial.</w:t>
      </w:r>
    </w:p>
    <w:p w:rsidR="00CA794F" w:rsidRPr="00B431D7" w:rsidRDefault="009F4861" w:rsidP="00CA794F">
      <w:pPr>
        <w:pStyle w:val="ListBullet"/>
        <w:numPr>
          <w:ilvl w:val="0"/>
          <w:numId w:val="11"/>
        </w:numPr>
        <w:spacing w:after="120"/>
        <w:ind w:left="654"/>
        <w:rPr>
          <w:rFonts w:cs="Calibri"/>
        </w:rPr>
      </w:pPr>
      <w:r w:rsidRPr="00B431D7">
        <w:rPr>
          <w:rFonts w:cs="Calibri"/>
        </w:rPr>
        <w:t>Manage inter-temporal variability, for example by selling allocations when environmental needs have largely been met and/or market conditions are favo</w:t>
      </w:r>
      <w:r>
        <w:rPr>
          <w:rFonts w:cs="Calibri"/>
        </w:rPr>
        <w:t>u</w:t>
      </w:r>
      <w:r w:rsidRPr="00B431D7">
        <w:rPr>
          <w:rFonts w:cs="Calibri"/>
        </w:rPr>
        <w:t>rable and setting aside the proceeds for a later purchase of allocations that will result in a net improv</w:t>
      </w:r>
      <w:r>
        <w:rPr>
          <w:rFonts w:cs="Calibri"/>
        </w:rPr>
        <w:t>ement in environmental outcomes.</w:t>
      </w:r>
    </w:p>
    <w:p w:rsidR="00CA794F" w:rsidRPr="00B431D7" w:rsidRDefault="009F4861" w:rsidP="00CA794F">
      <w:pPr>
        <w:pStyle w:val="ListBullet"/>
        <w:numPr>
          <w:ilvl w:val="0"/>
          <w:numId w:val="11"/>
        </w:numPr>
        <w:spacing w:after="120"/>
        <w:ind w:left="654"/>
        <w:rPr>
          <w:rFonts w:cs="Calibri"/>
        </w:rPr>
      </w:pPr>
      <w:r w:rsidRPr="00B431D7">
        <w:rPr>
          <w:rFonts w:cs="Calibri"/>
        </w:rPr>
        <w:t>Re-balance the portfolio of entitlements based on improvements in the knowledge of environmental watering requirements</w:t>
      </w:r>
      <w:r>
        <w:rPr>
          <w:rFonts w:cs="Calibri"/>
        </w:rPr>
        <w:t>.</w:t>
      </w:r>
    </w:p>
    <w:p w:rsidR="00CA794F" w:rsidRPr="00B431D7" w:rsidRDefault="009F4861" w:rsidP="00CA794F">
      <w:pPr>
        <w:pStyle w:val="ListBullet"/>
        <w:numPr>
          <w:ilvl w:val="0"/>
          <w:numId w:val="11"/>
        </w:numPr>
        <w:spacing w:after="120"/>
        <w:ind w:left="654"/>
        <w:rPr>
          <w:rFonts w:cs="Calibri"/>
        </w:rPr>
      </w:pPr>
      <w:r w:rsidRPr="00B431D7">
        <w:rPr>
          <w:rFonts w:cs="Calibri"/>
        </w:rPr>
        <w:t>Overcome constraints on the delivery of environmental water, for example by selling allocations in one location and using the proceeds to purchase in another location should it not be possible to otherwise transfer the al</w:t>
      </w:r>
      <w:r>
        <w:rPr>
          <w:rFonts w:cs="Calibri"/>
        </w:rPr>
        <w:t>locations between locations.</w:t>
      </w:r>
    </w:p>
    <w:p w:rsidR="00CA794F" w:rsidRDefault="009F4861" w:rsidP="00CA794F">
      <w:pPr>
        <w:pStyle w:val="ListBullet"/>
        <w:numPr>
          <w:ilvl w:val="0"/>
          <w:numId w:val="11"/>
        </w:numPr>
        <w:spacing w:after="120"/>
        <w:ind w:left="654"/>
        <w:rPr>
          <w:rFonts w:cs="Calibri"/>
        </w:rPr>
      </w:pPr>
      <w:r w:rsidRPr="00B431D7">
        <w:rPr>
          <w:rFonts w:cs="Calibri"/>
        </w:rPr>
        <w:t>Realise a return on allocations that are not required for environmental watering within a given water year and cannot be carried over into the following year.</w:t>
      </w:r>
    </w:p>
    <w:p w:rsidR="00CA794F" w:rsidRDefault="009F4861" w:rsidP="00CA794F">
      <w:pPr>
        <w:pStyle w:val="ListBullet"/>
        <w:spacing w:after="120"/>
        <w:ind w:left="360" w:firstLine="0"/>
        <w:rPr>
          <w:rFonts w:cs="Calibri"/>
        </w:rPr>
      </w:pPr>
      <w:r>
        <w:rPr>
          <w:rFonts w:cs="Calibri"/>
        </w:rPr>
        <w:t>In this context, the CEWH</w:t>
      </w:r>
      <w:r w:rsidRPr="009A74BA">
        <w:rPr>
          <w:rFonts w:cs="Calibri"/>
        </w:rPr>
        <w:t xml:space="preserve"> does not expect to </w:t>
      </w:r>
      <w:r w:rsidR="00DF0AF2">
        <w:rPr>
          <w:rFonts w:cs="Calibri"/>
        </w:rPr>
        <w:t>sell or buy</w:t>
      </w:r>
      <w:r w:rsidR="00DF0AF2" w:rsidRPr="009A74BA">
        <w:rPr>
          <w:rFonts w:cs="Calibri"/>
        </w:rPr>
        <w:t xml:space="preserve"> </w:t>
      </w:r>
      <w:r w:rsidRPr="009A74BA">
        <w:rPr>
          <w:rFonts w:cs="Calibri"/>
        </w:rPr>
        <w:t>more than a small proportion of water in any given year</w:t>
      </w:r>
      <w:r>
        <w:rPr>
          <w:rFonts w:cs="Calibri"/>
        </w:rPr>
        <w:t xml:space="preserve">, and the approach to trade will be conservative and managed so that unintended impacts are minimised. </w:t>
      </w:r>
    </w:p>
    <w:tbl>
      <w:tblPr>
        <w:tblStyle w:val="TableGrid"/>
        <w:tblW w:w="0" w:type="auto"/>
        <w:tblLook w:val="04A0"/>
      </w:tblPr>
      <w:tblGrid>
        <w:gridCol w:w="9428"/>
      </w:tblGrid>
      <w:tr w:rsidR="00D90EED" w:rsidTr="00CA794F">
        <w:trPr>
          <w:cnfStyle w:val="100000000000"/>
        </w:trPr>
        <w:tc>
          <w:tcPr>
            <w:tcW w:w="9428" w:type="dxa"/>
          </w:tcPr>
          <w:p w:rsidR="00CA794F" w:rsidRPr="00775BEA" w:rsidRDefault="009F4861" w:rsidP="00CA794F">
            <w:pPr>
              <w:pStyle w:val="ListBullet"/>
              <w:ind w:firstLine="0"/>
              <w:rPr>
                <w:rFonts w:asciiTheme="minorHAnsi" w:hAnsiTheme="minorHAnsi" w:cstheme="minorHAnsi"/>
              </w:rPr>
            </w:pPr>
            <w:r>
              <w:rPr>
                <w:rFonts w:asciiTheme="minorHAnsi" w:hAnsiTheme="minorHAnsi"/>
              </w:rPr>
              <w:t xml:space="preserve">Note: </w:t>
            </w:r>
            <w:r w:rsidRPr="00775BEA">
              <w:rPr>
                <w:rFonts w:asciiTheme="minorHAnsi" w:hAnsiTheme="minorHAnsi"/>
              </w:rPr>
              <w:t>Within this paper, ‘trade’ is used in the sense of a commercial exchange, between two parties, of water allocation or entitlement for some form of consideration (typically monetary). The term is not intended to cover the transfer of water allocations between the accounts of one or more parties performed for the primary purpose of physically delivering water, such as to an environmental asset, or for managing carryover. Th</w:t>
            </w:r>
            <w:r>
              <w:rPr>
                <w:rFonts w:asciiTheme="minorHAnsi" w:hAnsiTheme="minorHAnsi"/>
              </w:rPr>
              <w:t>is</w:t>
            </w:r>
            <w:r w:rsidRPr="00775BEA">
              <w:rPr>
                <w:rFonts w:asciiTheme="minorHAnsi" w:hAnsiTheme="minorHAnsi"/>
              </w:rPr>
              <w:t xml:space="preserve"> differs from </w:t>
            </w:r>
            <w:r>
              <w:rPr>
                <w:rFonts w:asciiTheme="minorHAnsi" w:hAnsiTheme="minorHAnsi"/>
              </w:rPr>
              <w:t>the definition of trade</w:t>
            </w:r>
            <w:r w:rsidRPr="00775BEA">
              <w:rPr>
                <w:rFonts w:asciiTheme="minorHAnsi" w:hAnsiTheme="minorHAnsi"/>
              </w:rPr>
              <w:t xml:space="preserve"> in the Basin Plan’s </w:t>
            </w:r>
            <w:r>
              <w:rPr>
                <w:rFonts w:asciiTheme="minorHAnsi" w:hAnsiTheme="minorHAnsi"/>
              </w:rPr>
              <w:t>t</w:t>
            </w:r>
            <w:r w:rsidRPr="00775BEA">
              <w:rPr>
                <w:rFonts w:asciiTheme="minorHAnsi" w:hAnsiTheme="minorHAnsi"/>
              </w:rPr>
              <w:t xml:space="preserve">rading </w:t>
            </w:r>
            <w:r>
              <w:rPr>
                <w:rFonts w:asciiTheme="minorHAnsi" w:hAnsiTheme="minorHAnsi"/>
              </w:rPr>
              <w:t>r</w:t>
            </w:r>
            <w:r w:rsidRPr="00775BEA">
              <w:rPr>
                <w:rFonts w:asciiTheme="minorHAnsi" w:hAnsiTheme="minorHAnsi"/>
              </w:rPr>
              <w:t>ules, which defines trade as any change in ownership and/or location with or without consideration.</w:t>
            </w:r>
          </w:p>
        </w:tc>
      </w:tr>
    </w:tbl>
    <w:p w:rsidR="00CA794F" w:rsidRPr="00B44C56" w:rsidRDefault="009F4861" w:rsidP="00CA794F">
      <w:pPr>
        <w:pStyle w:val="Heading1"/>
        <w:numPr>
          <w:ilvl w:val="1"/>
          <w:numId w:val="13"/>
        </w:numPr>
      </w:pPr>
      <w:bookmarkStart w:id="59" w:name="_Toc256000031"/>
      <w:bookmarkStart w:id="60" w:name="_Toc256000006"/>
      <w:bookmarkStart w:id="61" w:name="_Toc372791123"/>
      <w:bookmarkStart w:id="62" w:name="_Toc373835455"/>
      <w:bookmarkStart w:id="63" w:name="_Toc373865178"/>
      <w:bookmarkStart w:id="64" w:name="_Toc375035180"/>
      <w:r>
        <w:t>Compliance with C</w:t>
      </w:r>
      <w:r w:rsidRPr="00B44C56">
        <w:t xml:space="preserve">ommonwealth and </w:t>
      </w:r>
      <w:r>
        <w:t>S</w:t>
      </w:r>
      <w:r w:rsidRPr="00B44C56">
        <w:t>tate legislation</w:t>
      </w:r>
      <w:bookmarkEnd w:id="59"/>
      <w:bookmarkEnd w:id="60"/>
      <w:bookmarkEnd w:id="61"/>
      <w:bookmarkEnd w:id="62"/>
      <w:bookmarkEnd w:id="63"/>
      <w:bookmarkEnd w:id="64"/>
    </w:p>
    <w:p w:rsidR="00CA794F" w:rsidRDefault="009F4861" w:rsidP="00CA794F">
      <w:pPr>
        <w:ind w:left="360" w:firstLine="0"/>
        <w:rPr>
          <w:rFonts w:cs="Calibri"/>
        </w:rPr>
      </w:pPr>
      <w:r w:rsidRPr="009E6C4F">
        <w:rPr>
          <w:rFonts w:cs="Calibri"/>
        </w:rPr>
        <w:t xml:space="preserve">As a government entity, there is a wide range of existing legislative requirements </w:t>
      </w:r>
      <w:r>
        <w:rPr>
          <w:rFonts w:cs="Calibri"/>
        </w:rPr>
        <w:t xml:space="preserve">on the CEWH and </w:t>
      </w:r>
      <w:r w:rsidRPr="009E6C4F">
        <w:rPr>
          <w:rFonts w:cs="Calibri"/>
        </w:rPr>
        <w:t>CEWO</w:t>
      </w:r>
      <w:r>
        <w:rPr>
          <w:rFonts w:cs="Calibri"/>
        </w:rPr>
        <w:t xml:space="preserve"> staff</w:t>
      </w:r>
      <w:r w:rsidRPr="009E6C4F">
        <w:rPr>
          <w:rFonts w:cs="Calibri"/>
        </w:rPr>
        <w:t>. This includes</w:t>
      </w:r>
      <w:r>
        <w:rPr>
          <w:rFonts w:cs="Calibri"/>
        </w:rPr>
        <w:t>:</w:t>
      </w:r>
      <w:r w:rsidRPr="009E6C4F">
        <w:rPr>
          <w:rFonts w:cs="Calibri"/>
        </w:rPr>
        <w:t xml:space="preserve"> legislation governing financial management arrangements for Commonwealth agencies</w:t>
      </w:r>
      <w:r>
        <w:rPr>
          <w:rFonts w:cs="Calibri"/>
        </w:rPr>
        <w:t>;</w:t>
      </w:r>
      <w:r w:rsidRPr="009E6C4F">
        <w:rPr>
          <w:rFonts w:cs="Calibri"/>
        </w:rPr>
        <w:t xml:space="preserve"> freedom of information</w:t>
      </w:r>
      <w:r>
        <w:rPr>
          <w:rFonts w:cs="Calibri"/>
        </w:rPr>
        <w:t>;</w:t>
      </w:r>
      <w:r w:rsidRPr="009E6C4F">
        <w:rPr>
          <w:rFonts w:cs="Calibri"/>
        </w:rPr>
        <w:t xml:space="preserve"> and policies relating to </w:t>
      </w:r>
      <w:r>
        <w:rPr>
          <w:rFonts w:cs="Calibri"/>
        </w:rPr>
        <w:t>information</w:t>
      </w:r>
      <w:r w:rsidRPr="009E6C4F">
        <w:rPr>
          <w:rFonts w:cs="Calibri"/>
        </w:rPr>
        <w:t xml:space="preserve"> management, auditing, employee conduct and accountability. </w:t>
      </w:r>
    </w:p>
    <w:p w:rsidR="00CA794F" w:rsidRDefault="009F4861" w:rsidP="00CA794F">
      <w:pPr>
        <w:spacing w:before="120"/>
        <w:ind w:left="360" w:firstLine="0"/>
        <w:rPr>
          <w:rFonts w:cs="Calibri"/>
        </w:rPr>
      </w:pPr>
      <w:r w:rsidRPr="009E6C4F">
        <w:rPr>
          <w:rFonts w:cs="Calibri"/>
        </w:rPr>
        <w:t>Commonwealth legislation applies specifically to the way CEWO operates, including its trading function</w:t>
      </w:r>
      <w:r>
        <w:rPr>
          <w:rFonts w:cs="Calibri"/>
        </w:rPr>
        <w:t>.</w:t>
      </w:r>
      <w:r w:rsidRPr="009E6C4F">
        <w:rPr>
          <w:rFonts w:cs="Calibri"/>
        </w:rPr>
        <w:t xml:space="preserve"> </w:t>
      </w:r>
      <w:r>
        <w:rPr>
          <w:rFonts w:cs="Calibri"/>
        </w:rPr>
        <w:t>S</w:t>
      </w:r>
      <w:r w:rsidRPr="009E6C4F">
        <w:rPr>
          <w:rFonts w:cs="Calibri"/>
        </w:rPr>
        <w:t>tate water management legislation</w:t>
      </w:r>
      <w:r>
        <w:rPr>
          <w:rFonts w:cs="Calibri"/>
        </w:rPr>
        <w:t xml:space="preserve"> </w:t>
      </w:r>
      <w:r w:rsidRPr="009E6C4F">
        <w:rPr>
          <w:rFonts w:cs="Calibri"/>
        </w:rPr>
        <w:t xml:space="preserve">sets out the rules that apply to </w:t>
      </w:r>
      <w:r>
        <w:rPr>
          <w:rFonts w:cs="Calibri"/>
        </w:rPr>
        <w:t xml:space="preserve">all </w:t>
      </w:r>
      <w:r w:rsidRPr="009E6C4F">
        <w:rPr>
          <w:rFonts w:cs="Calibri"/>
        </w:rPr>
        <w:t xml:space="preserve">water </w:t>
      </w:r>
      <w:r w:rsidRPr="009E6C4F">
        <w:rPr>
          <w:rFonts w:cs="Calibri"/>
        </w:rPr>
        <w:lastRenderedPageBreak/>
        <w:t>entitlements</w:t>
      </w:r>
      <w:r>
        <w:rPr>
          <w:rFonts w:cs="Calibri"/>
        </w:rPr>
        <w:t>, including those</w:t>
      </w:r>
      <w:r w:rsidRPr="009E6C4F">
        <w:rPr>
          <w:rFonts w:cs="Calibri"/>
        </w:rPr>
        <w:t xml:space="preserve"> that </w:t>
      </w:r>
      <w:r>
        <w:rPr>
          <w:rFonts w:cs="Calibri"/>
        </w:rPr>
        <w:t>become</w:t>
      </w:r>
      <w:r w:rsidRPr="009E6C4F">
        <w:rPr>
          <w:rFonts w:cs="Calibri"/>
        </w:rPr>
        <w:t xml:space="preserve"> part of the Commonwealth environmental water portfolio.</w:t>
      </w:r>
      <w:r>
        <w:rPr>
          <w:rFonts w:cs="Calibri"/>
        </w:rPr>
        <w:t xml:space="preserve"> </w:t>
      </w:r>
    </w:p>
    <w:p w:rsidR="00CA794F" w:rsidRPr="00B44C56" w:rsidRDefault="009F4861" w:rsidP="00CA794F">
      <w:pPr>
        <w:pStyle w:val="Heading1"/>
        <w:numPr>
          <w:ilvl w:val="1"/>
          <w:numId w:val="13"/>
        </w:numPr>
      </w:pPr>
      <w:bookmarkStart w:id="65" w:name="_Toc256000032"/>
      <w:bookmarkStart w:id="66" w:name="_Toc256000007"/>
      <w:bookmarkStart w:id="67" w:name="_Toc372791124"/>
      <w:bookmarkStart w:id="68" w:name="_Toc373835456"/>
      <w:bookmarkStart w:id="69" w:name="_Toc373865179"/>
      <w:bookmarkStart w:id="70" w:name="_Toc375035181"/>
      <w:r w:rsidRPr="00B44C56">
        <w:t>Operating Rules</w:t>
      </w:r>
      <w:bookmarkEnd w:id="65"/>
      <w:bookmarkEnd w:id="66"/>
      <w:bookmarkEnd w:id="67"/>
      <w:bookmarkEnd w:id="68"/>
      <w:bookmarkEnd w:id="69"/>
      <w:bookmarkEnd w:id="70"/>
    </w:p>
    <w:p w:rsidR="00CA794F" w:rsidRDefault="009F4861" w:rsidP="00CA794F">
      <w:pPr>
        <w:spacing w:after="120"/>
        <w:ind w:left="357" w:firstLine="0"/>
        <w:rPr>
          <w:rFonts w:cs="Calibri"/>
        </w:rPr>
      </w:pPr>
      <w:r>
        <w:rPr>
          <w:rFonts w:cs="Calibri"/>
        </w:rPr>
        <w:t xml:space="preserve">While the CEWH and CEWO </w:t>
      </w:r>
      <w:proofErr w:type="gramStart"/>
      <w:r>
        <w:rPr>
          <w:rFonts w:cs="Calibri"/>
        </w:rPr>
        <w:t>staff are</w:t>
      </w:r>
      <w:proofErr w:type="gramEnd"/>
      <w:r>
        <w:rPr>
          <w:rFonts w:cs="Calibri"/>
        </w:rPr>
        <w:t xml:space="preserve"> </w:t>
      </w:r>
      <w:r w:rsidRPr="009E6C4F">
        <w:rPr>
          <w:rFonts w:cs="Calibri"/>
        </w:rPr>
        <w:t>subject to substantial</w:t>
      </w:r>
      <w:r w:rsidRPr="00384165">
        <w:rPr>
          <w:rFonts w:cs="Calibri"/>
        </w:rPr>
        <w:t xml:space="preserve"> </w:t>
      </w:r>
      <w:r w:rsidRPr="009E6C4F">
        <w:rPr>
          <w:rFonts w:cs="Calibri"/>
        </w:rPr>
        <w:t>Commonwealth and state legislative requirements</w:t>
      </w:r>
      <w:r>
        <w:rPr>
          <w:rFonts w:cs="Calibri"/>
        </w:rPr>
        <w:t xml:space="preserve">, the CEWH believes there is additional </w:t>
      </w:r>
      <w:r w:rsidRPr="009E6C4F">
        <w:rPr>
          <w:rFonts w:cs="Calibri"/>
        </w:rPr>
        <w:t xml:space="preserve">benefit </w:t>
      </w:r>
      <w:r>
        <w:rPr>
          <w:rFonts w:cs="Calibri"/>
        </w:rPr>
        <w:t>in</w:t>
      </w:r>
      <w:r w:rsidRPr="009E6C4F">
        <w:rPr>
          <w:rFonts w:cs="Calibri"/>
        </w:rPr>
        <w:t xml:space="preserve"> implementing </w:t>
      </w:r>
      <w:r>
        <w:rPr>
          <w:rFonts w:cs="Calibri"/>
        </w:rPr>
        <w:t>operating rules</w:t>
      </w:r>
      <w:r w:rsidRPr="009E6C4F">
        <w:rPr>
          <w:rFonts w:cs="Calibri"/>
        </w:rPr>
        <w:t xml:space="preserve"> to </w:t>
      </w:r>
      <w:r>
        <w:rPr>
          <w:rFonts w:cs="Calibri"/>
        </w:rPr>
        <w:t xml:space="preserve">guide its </w:t>
      </w:r>
      <w:r w:rsidRPr="009E6C4F">
        <w:rPr>
          <w:rFonts w:cs="Calibri"/>
        </w:rPr>
        <w:t>water trad</w:t>
      </w:r>
      <w:r>
        <w:rPr>
          <w:rFonts w:cs="Calibri"/>
        </w:rPr>
        <w:t>e activities</w:t>
      </w:r>
      <w:r w:rsidRPr="009E6C4F">
        <w:rPr>
          <w:rFonts w:cs="Calibri"/>
        </w:rPr>
        <w:t xml:space="preserve">. </w:t>
      </w:r>
    </w:p>
    <w:p w:rsidR="00CA794F" w:rsidRDefault="009F4861" w:rsidP="00CA794F">
      <w:pPr>
        <w:spacing w:after="120"/>
        <w:ind w:left="360" w:firstLine="0"/>
        <w:rPr>
          <w:rFonts w:cs="Calibri"/>
        </w:rPr>
      </w:pPr>
      <w:r w:rsidRPr="00BC1421">
        <w:rPr>
          <w:rFonts w:cs="Calibri"/>
        </w:rPr>
        <w:t xml:space="preserve">The operating rules provide </w:t>
      </w:r>
      <w:r>
        <w:rPr>
          <w:rFonts w:cs="Calibri"/>
        </w:rPr>
        <w:t>additional directives</w:t>
      </w:r>
      <w:r w:rsidRPr="00BC1421">
        <w:rPr>
          <w:rFonts w:cs="Calibri"/>
        </w:rPr>
        <w:t xml:space="preserve"> </w:t>
      </w:r>
      <w:r>
        <w:rPr>
          <w:rFonts w:cs="Calibri"/>
        </w:rPr>
        <w:t>to</w:t>
      </w:r>
      <w:r w:rsidRPr="00BC1421">
        <w:rPr>
          <w:rFonts w:cs="Calibri"/>
        </w:rPr>
        <w:t xml:space="preserve"> the CEWH and CEWO staff</w:t>
      </w:r>
      <w:r>
        <w:rPr>
          <w:rFonts w:cs="Calibri"/>
        </w:rPr>
        <w:t xml:space="preserve"> in relation to how it will interact with the water market</w:t>
      </w:r>
      <w:r w:rsidRPr="00BC1421">
        <w:rPr>
          <w:rFonts w:cs="Calibri"/>
        </w:rPr>
        <w:t xml:space="preserve">. These operating rules also support CEWO’s </w:t>
      </w:r>
      <w:r>
        <w:rPr>
          <w:rFonts w:cs="Calibri"/>
        </w:rPr>
        <w:t>corporate values</w:t>
      </w:r>
      <w:r w:rsidRPr="00BC1421">
        <w:t xml:space="preserve">, which require the CEWH and CEWO staff to behave in a way which is </w:t>
      </w:r>
      <w:r>
        <w:t xml:space="preserve">financially </w:t>
      </w:r>
      <w:r w:rsidRPr="00BC1421">
        <w:t>responsible</w:t>
      </w:r>
      <w:r>
        <w:t>,</w:t>
      </w:r>
      <w:r w:rsidRPr="00BC1421">
        <w:t xml:space="preserve"> equitable, transparent and accountable when engaging with the water market.</w:t>
      </w:r>
      <w:r>
        <w:t xml:space="preserve"> </w:t>
      </w:r>
    </w:p>
    <w:p w:rsidR="00CA794F" w:rsidRDefault="009F4861" w:rsidP="00CA794F">
      <w:pPr>
        <w:spacing w:after="120"/>
        <w:ind w:left="357" w:firstLine="0"/>
        <w:rPr>
          <w:rFonts w:cs="Calibri"/>
        </w:rPr>
      </w:pPr>
      <w:r>
        <w:rPr>
          <w:rFonts w:cs="Calibri"/>
        </w:rPr>
        <w:t>While t</w:t>
      </w:r>
      <w:r>
        <w:t xml:space="preserve">he CEWH is not subject to direction from the Minister or Secretary on specific decisions related to water trade, section 109 of the Water Act provides for the Minister to make operating rules relating to trade of Commonwealth environmental water. </w:t>
      </w:r>
      <w:r w:rsidRPr="00437CF8">
        <w:rPr>
          <w:rFonts w:cs="Calibri"/>
        </w:rPr>
        <w:t xml:space="preserve">Three years after the CEWH’s first trade there will be a review of the </w:t>
      </w:r>
      <w:r>
        <w:rPr>
          <w:rFonts w:cs="Calibri"/>
        </w:rPr>
        <w:t>operating rules</w:t>
      </w:r>
      <w:r w:rsidRPr="00437CF8">
        <w:rPr>
          <w:rFonts w:cs="Calibri"/>
        </w:rPr>
        <w:t xml:space="preserve"> to establish </w:t>
      </w:r>
      <w:r>
        <w:rPr>
          <w:rFonts w:cs="Calibri"/>
        </w:rPr>
        <w:t>their</w:t>
      </w:r>
      <w:r w:rsidRPr="00437CF8">
        <w:rPr>
          <w:rFonts w:cs="Calibri"/>
        </w:rPr>
        <w:t xml:space="preserve"> appropriateness and effectiveness. </w:t>
      </w:r>
      <w:r>
        <w:rPr>
          <w:rFonts w:cs="Calibri"/>
        </w:rPr>
        <w:t xml:space="preserve">The review will also establish if there is a need for legislated operating rules. </w:t>
      </w:r>
    </w:p>
    <w:p w:rsidR="00CA794F" w:rsidRDefault="009F4861" w:rsidP="00CA794F">
      <w:pPr>
        <w:ind w:left="360" w:firstLine="0"/>
        <w:rPr>
          <w:rFonts w:cs="Calibri"/>
        </w:rPr>
      </w:pPr>
      <w:r>
        <w:rPr>
          <w:rFonts w:cs="Calibri"/>
        </w:rPr>
        <w:t xml:space="preserve">Legislated operating rules are </w:t>
      </w:r>
      <w:r w:rsidRPr="009E6C4F">
        <w:rPr>
          <w:rFonts w:cs="Calibri"/>
        </w:rPr>
        <w:t>a mechanism for placing a regula</w:t>
      </w:r>
      <w:r>
        <w:rPr>
          <w:rFonts w:cs="Calibri"/>
        </w:rPr>
        <w:t xml:space="preserve">tory obligation on the </w:t>
      </w:r>
      <w:r w:rsidRPr="009E6C4F">
        <w:rPr>
          <w:rFonts w:cs="Calibri"/>
        </w:rPr>
        <w:t xml:space="preserve">CEWH to trade in a certain manner. </w:t>
      </w:r>
      <w:r>
        <w:rPr>
          <w:rFonts w:cs="Calibri"/>
        </w:rPr>
        <w:t xml:space="preserve"> </w:t>
      </w:r>
    </w:p>
    <w:p w:rsidR="00CA794F" w:rsidRPr="007852E5" w:rsidRDefault="009F4861" w:rsidP="00CA794F">
      <w:pPr>
        <w:pStyle w:val="Heading1"/>
        <w:numPr>
          <w:ilvl w:val="1"/>
          <w:numId w:val="13"/>
        </w:numPr>
      </w:pPr>
      <w:bookmarkStart w:id="71" w:name="_Toc372791125"/>
      <w:bookmarkStart w:id="72" w:name="_Toc256000033"/>
      <w:bookmarkStart w:id="73" w:name="_Toc256000008"/>
      <w:bookmarkStart w:id="74" w:name="_Toc373835457"/>
      <w:bookmarkStart w:id="75" w:name="_Toc373865180"/>
      <w:bookmarkStart w:id="76" w:name="_Toc375035182"/>
      <w:r w:rsidRPr="007852E5">
        <w:t>Procedures</w:t>
      </w:r>
      <w:bookmarkEnd w:id="71"/>
      <w:r w:rsidRPr="007852E5">
        <w:t xml:space="preserve"> and Protocols</w:t>
      </w:r>
      <w:bookmarkEnd w:id="72"/>
      <w:bookmarkEnd w:id="73"/>
      <w:bookmarkEnd w:id="74"/>
      <w:bookmarkEnd w:id="75"/>
      <w:bookmarkEnd w:id="76"/>
      <w:r w:rsidRPr="007852E5">
        <w:tab/>
      </w:r>
    </w:p>
    <w:p w:rsidR="00CA794F" w:rsidRDefault="009F4861" w:rsidP="00CA794F">
      <w:pPr>
        <w:pStyle w:val="ListNumber"/>
        <w:numPr>
          <w:ilvl w:val="0"/>
          <w:numId w:val="0"/>
        </w:numPr>
        <w:spacing w:after="120"/>
        <w:ind w:left="360"/>
      </w:pPr>
      <w:r>
        <w:t xml:space="preserve">Procedures and protocols are internal documents and processes which support the CEWH and CEWO staff in complying with </w:t>
      </w:r>
      <w:r w:rsidRPr="009E6C4F">
        <w:t>Commonwealth and state legislative requirements</w:t>
      </w:r>
      <w:r>
        <w:t xml:space="preserve"> and the operating rules. They also assist in promoting CEWO’s </w:t>
      </w:r>
      <w:r>
        <w:rPr>
          <w:rFonts w:cs="Calibri"/>
        </w:rPr>
        <w:t>corporate values</w:t>
      </w:r>
      <w:r>
        <w:t xml:space="preserve"> at each stage of the trading process (Figure 1).  These procedures and protocols will continue to be refined as the CEWO trades, to ensure they are appropriate, effective and efficient. </w:t>
      </w:r>
    </w:p>
    <w:p w:rsidR="00CA794F" w:rsidRPr="00604262" w:rsidRDefault="009F4861" w:rsidP="00CA794F">
      <w:pPr>
        <w:pStyle w:val="Heading1"/>
        <w:numPr>
          <w:ilvl w:val="2"/>
          <w:numId w:val="13"/>
        </w:numPr>
      </w:pPr>
      <w:bookmarkStart w:id="77" w:name="_Toc256000034"/>
      <w:bookmarkStart w:id="78" w:name="_Toc256000009"/>
      <w:bookmarkStart w:id="79" w:name="_Toc373410823"/>
      <w:bookmarkStart w:id="80" w:name="_Toc373495815"/>
      <w:bookmarkStart w:id="81" w:name="_Toc373741160"/>
      <w:bookmarkStart w:id="82" w:name="_Toc373754728"/>
      <w:bookmarkStart w:id="83" w:name="_Toc373835458"/>
      <w:bookmarkStart w:id="84" w:name="_Toc373858665"/>
      <w:bookmarkStart w:id="85" w:name="_Toc373865181"/>
      <w:bookmarkStart w:id="86" w:name="_Toc375035183"/>
      <w:r w:rsidRPr="00604262">
        <w:t>Procedures</w:t>
      </w:r>
      <w:bookmarkEnd w:id="77"/>
      <w:bookmarkEnd w:id="78"/>
      <w:bookmarkEnd w:id="79"/>
      <w:bookmarkEnd w:id="80"/>
      <w:bookmarkEnd w:id="81"/>
      <w:bookmarkEnd w:id="82"/>
      <w:bookmarkEnd w:id="83"/>
      <w:bookmarkEnd w:id="84"/>
      <w:bookmarkEnd w:id="85"/>
      <w:bookmarkEnd w:id="86"/>
      <w:r w:rsidRPr="00604262">
        <w:tab/>
      </w:r>
    </w:p>
    <w:p w:rsidR="00CA794F" w:rsidRPr="00262068" w:rsidRDefault="009F4861" w:rsidP="00CA794F">
      <w:pPr>
        <w:pStyle w:val="ListBullet"/>
        <w:spacing w:after="120"/>
        <w:ind w:left="426" w:firstLine="0"/>
        <w:rPr>
          <w:rFonts w:cs="Calibri"/>
        </w:rPr>
      </w:pPr>
      <w:r w:rsidRPr="00262068">
        <w:rPr>
          <w:rFonts w:cs="Calibri"/>
        </w:rPr>
        <w:t>The procedures support each step of the trade process and cover a number of areas including:</w:t>
      </w:r>
    </w:p>
    <w:p w:rsidR="00CA794F" w:rsidRPr="00604262" w:rsidRDefault="009F4861" w:rsidP="00CA794F">
      <w:pPr>
        <w:pStyle w:val="ListBullet"/>
        <w:numPr>
          <w:ilvl w:val="0"/>
          <w:numId w:val="11"/>
        </w:numPr>
        <w:spacing w:after="120"/>
        <w:ind w:left="672" w:hanging="224"/>
        <w:rPr>
          <w:rFonts w:cs="Calibri"/>
        </w:rPr>
      </w:pPr>
      <w:r>
        <w:rPr>
          <w:rFonts w:cs="Calibri"/>
        </w:rPr>
        <w:t>the i</w:t>
      </w:r>
      <w:r w:rsidRPr="00604262">
        <w:rPr>
          <w:rFonts w:cs="Calibri"/>
        </w:rPr>
        <w:t xml:space="preserve">nvestigation of  trading possibilities; </w:t>
      </w:r>
    </w:p>
    <w:p w:rsidR="00CA794F" w:rsidRPr="00604262" w:rsidRDefault="009F4861" w:rsidP="00CA794F">
      <w:pPr>
        <w:pStyle w:val="ListBullet"/>
        <w:numPr>
          <w:ilvl w:val="0"/>
          <w:numId w:val="11"/>
        </w:numPr>
        <w:spacing w:after="120"/>
        <w:ind w:left="672" w:hanging="224"/>
        <w:rPr>
          <w:rFonts w:cs="Calibri"/>
        </w:rPr>
      </w:pPr>
      <w:r>
        <w:rPr>
          <w:rFonts w:cs="Calibri"/>
        </w:rPr>
        <w:t>t</w:t>
      </w:r>
      <w:r w:rsidRPr="00604262">
        <w:rPr>
          <w:rFonts w:cs="Calibri"/>
        </w:rPr>
        <w:t>he justification and approval to trade;</w:t>
      </w:r>
    </w:p>
    <w:p w:rsidR="00CA794F" w:rsidRPr="00604262" w:rsidRDefault="009F4861" w:rsidP="00CA794F">
      <w:pPr>
        <w:pStyle w:val="ListBullet"/>
        <w:numPr>
          <w:ilvl w:val="0"/>
          <w:numId w:val="11"/>
        </w:numPr>
        <w:spacing w:after="120"/>
        <w:ind w:left="672" w:hanging="224"/>
        <w:rPr>
          <w:rFonts w:cs="Calibri"/>
        </w:rPr>
      </w:pPr>
      <w:r>
        <w:rPr>
          <w:rFonts w:cs="Calibri"/>
        </w:rPr>
        <w:t>d</w:t>
      </w:r>
      <w:r w:rsidRPr="00604262">
        <w:rPr>
          <w:rFonts w:cs="Calibri"/>
        </w:rPr>
        <w:t>evelopment of an appropriate approach to market;</w:t>
      </w:r>
    </w:p>
    <w:p w:rsidR="00CA794F" w:rsidRPr="00604262" w:rsidRDefault="009F4861" w:rsidP="00CA794F">
      <w:pPr>
        <w:pStyle w:val="ListBullet"/>
        <w:numPr>
          <w:ilvl w:val="0"/>
          <w:numId w:val="11"/>
        </w:numPr>
        <w:spacing w:after="120"/>
        <w:ind w:left="672" w:hanging="224"/>
        <w:rPr>
          <w:rFonts w:cs="Calibri"/>
        </w:rPr>
      </w:pPr>
      <w:r>
        <w:rPr>
          <w:rFonts w:cs="Calibri"/>
        </w:rPr>
        <w:t>i</w:t>
      </w:r>
      <w:r w:rsidRPr="00604262">
        <w:rPr>
          <w:rFonts w:cs="Calibri"/>
        </w:rPr>
        <w:t>nternal financial processes;</w:t>
      </w:r>
    </w:p>
    <w:p w:rsidR="00CA794F" w:rsidRPr="00604262" w:rsidRDefault="009F4861" w:rsidP="00CA794F">
      <w:pPr>
        <w:pStyle w:val="ListBullet"/>
        <w:numPr>
          <w:ilvl w:val="0"/>
          <w:numId w:val="11"/>
        </w:numPr>
        <w:spacing w:after="120"/>
        <w:ind w:left="672" w:hanging="224"/>
        <w:rPr>
          <w:rFonts w:cs="Calibri"/>
        </w:rPr>
      </w:pPr>
      <w:r w:rsidRPr="00604262">
        <w:rPr>
          <w:rFonts w:cs="Calibri"/>
        </w:rPr>
        <w:t xml:space="preserve">an </w:t>
      </w:r>
      <w:r w:rsidR="00620943">
        <w:rPr>
          <w:rFonts w:cs="Calibri"/>
        </w:rPr>
        <w:t>e</w:t>
      </w:r>
      <w:r w:rsidR="00620943" w:rsidRPr="00604262">
        <w:rPr>
          <w:rFonts w:cs="Calibri"/>
        </w:rPr>
        <w:t xml:space="preserve">valuation </w:t>
      </w:r>
      <w:r w:rsidRPr="00604262">
        <w:rPr>
          <w:rFonts w:cs="Calibri"/>
        </w:rPr>
        <w:t>plan</w:t>
      </w:r>
      <w:r w:rsidR="00620943">
        <w:rPr>
          <w:rFonts w:cs="Calibri"/>
        </w:rPr>
        <w:t xml:space="preserve"> which details how offers to sell / buy water will be assessed</w:t>
      </w:r>
      <w:r w:rsidRPr="00604262">
        <w:rPr>
          <w:rFonts w:cs="Calibri"/>
        </w:rPr>
        <w:t>;</w:t>
      </w:r>
    </w:p>
    <w:p w:rsidR="00CA794F" w:rsidRPr="00604262" w:rsidRDefault="009F4861" w:rsidP="00CA794F">
      <w:pPr>
        <w:pStyle w:val="ListBullet"/>
        <w:numPr>
          <w:ilvl w:val="0"/>
          <w:numId w:val="11"/>
        </w:numPr>
        <w:spacing w:after="120"/>
        <w:ind w:left="672" w:hanging="224"/>
        <w:rPr>
          <w:rFonts w:cs="Calibri"/>
        </w:rPr>
      </w:pPr>
      <w:r w:rsidRPr="00604262">
        <w:rPr>
          <w:rFonts w:cs="Calibri"/>
        </w:rPr>
        <w:t xml:space="preserve">the approval process; and </w:t>
      </w:r>
    </w:p>
    <w:p w:rsidR="00CA794F" w:rsidRPr="00604262" w:rsidRDefault="009F4861" w:rsidP="00CA794F">
      <w:pPr>
        <w:pStyle w:val="ListBullet"/>
        <w:numPr>
          <w:ilvl w:val="0"/>
          <w:numId w:val="11"/>
        </w:numPr>
        <w:spacing w:after="120"/>
        <w:ind w:left="672" w:hanging="224"/>
        <w:rPr>
          <w:rFonts w:cs="Calibri"/>
        </w:rPr>
      </w:pPr>
      <w:proofErr w:type="gramStart"/>
      <w:r w:rsidRPr="00604262">
        <w:rPr>
          <w:rFonts w:cs="Calibri"/>
        </w:rPr>
        <w:t>public</w:t>
      </w:r>
      <w:proofErr w:type="gramEnd"/>
      <w:r w:rsidRPr="00604262">
        <w:rPr>
          <w:rFonts w:cs="Calibri"/>
        </w:rPr>
        <w:t xml:space="preserve"> announcements and timely release of information.</w:t>
      </w:r>
    </w:p>
    <w:p w:rsidR="00CA794F" w:rsidRDefault="009F4861" w:rsidP="00CA794F">
      <w:pPr>
        <w:pStyle w:val="Heading1"/>
        <w:numPr>
          <w:ilvl w:val="2"/>
          <w:numId w:val="13"/>
        </w:numPr>
      </w:pPr>
      <w:bookmarkStart w:id="87" w:name="_Toc256000035"/>
      <w:bookmarkStart w:id="88" w:name="_Toc256000010"/>
      <w:bookmarkStart w:id="89" w:name="_Toc373410824"/>
      <w:bookmarkStart w:id="90" w:name="_Toc373495816"/>
      <w:bookmarkStart w:id="91" w:name="_Toc373741161"/>
      <w:bookmarkStart w:id="92" w:name="_Toc373754729"/>
      <w:bookmarkStart w:id="93" w:name="_Toc373835459"/>
      <w:bookmarkStart w:id="94" w:name="_Toc373858666"/>
      <w:bookmarkStart w:id="95" w:name="_Toc373865182"/>
      <w:bookmarkStart w:id="96" w:name="_Toc375035184"/>
      <w:r>
        <w:t>Protocols</w:t>
      </w:r>
      <w:bookmarkEnd w:id="87"/>
      <w:bookmarkEnd w:id="88"/>
      <w:bookmarkEnd w:id="89"/>
      <w:bookmarkEnd w:id="90"/>
      <w:bookmarkEnd w:id="91"/>
      <w:bookmarkEnd w:id="92"/>
      <w:bookmarkEnd w:id="93"/>
      <w:bookmarkEnd w:id="94"/>
      <w:bookmarkEnd w:id="95"/>
      <w:bookmarkEnd w:id="96"/>
    </w:p>
    <w:p w:rsidR="00CA794F" w:rsidRDefault="009F4861" w:rsidP="00CA794F">
      <w:pPr>
        <w:pStyle w:val="ListBullet"/>
        <w:spacing w:after="120"/>
        <w:ind w:left="425" w:firstLine="0"/>
      </w:pPr>
      <w:r w:rsidRPr="000E4BC7">
        <w:t>The recently adopted Basin Plan</w:t>
      </w:r>
      <w:r>
        <w:t xml:space="preserve"> </w:t>
      </w:r>
      <w:r w:rsidRPr="000E4BC7">
        <w:t xml:space="preserve">contains water-trading rules </w:t>
      </w:r>
      <w:r>
        <w:t>(discussed further in chapter 2)</w:t>
      </w:r>
      <w:r w:rsidRPr="000E4BC7">
        <w:t xml:space="preserve"> that govern how persons or agencies are to behave, including if they are aware of a water announcement </w:t>
      </w:r>
      <w:r>
        <w:t xml:space="preserve">that has </w:t>
      </w:r>
      <w:r w:rsidRPr="000E4BC7">
        <w:t xml:space="preserve">not </w:t>
      </w:r>
      <w:r>
        <w:t xml:space="preserve">been made </w:t>
      </w:r>
      <w:r w:rsidRPr="000E4BC7">
        <w:t xml:space="preserve">generally available. </w:t>
      </w:r>
      <w:r>
        <w:t xml:space="preserve">It also identifies mechanisms that </w:t>
      </w:r>
      <w:r>
        <w:lastRenderedPageBreak/>
        <w:t xml:space="preserve">agencies can apply in order to help manage this obligation. </w:t>
      </w:r>
      <w:r w:rsidRPr="000E4BC7">
        <w:t>These rules limit the capacity of people or agencies to trade if aware of such information.</w:t>
      </w:r>
      <w:r>
        <w:t xml:space="preserve"> </w:t>
      </w:r>
    </w:p>
    <w:p w:rsidR="00CA794F" w:rsidRDefault="009F4861" w:rsidP="00CA794F">
      <w:pPr>
        <w:pStyle w:val="ListBullet2"/>
        <w:spacing w:after="120"/>
        <w:ind w:left="425" w:firstLine="0"/>
      </w:pPr>
      <w:r>
        <w:t xml:space="preserve">These rules have a number of ramifications for the CEWH and CEWO staff.  The CEWH will have to structure its’ water-trading practices to ensure that the trade rules are not breached. The CEWH and CEWO staff will have to consider whether decisions relating to government policies, programs and </w:t>
      </w:r>
      <w:proofErr w:type="gramStart"/>
      <w:r>
        <w:t>legislation, that</w:t>
      </w:r>
      <w:proofErr w:type="gramEnd"/>
      <w:r>
        <w:t xml:space="preserve"> have not been made generally available, that it has knowledge of, constitute a water announcement. If this is the case, the CEWH must consider whether the price or value of a water access right proposed to be traded could reasonably be expected to be materially affected by the information contained in the water announcement. If the answer to this question is ‘yes’, then the CEWH must not trade until the information has been made generally available.</w:t>
      </w:r>
    </w:p>
    <w:p w:rsidR="00CA794F" w:rsidRDefault="009F4861" w:rsidP="00CA794F">
      <w:pPr>
        <w:pStyle w:val="ListBullet2"/>
        <w:spacing w:after="120"/>
        <w:ind w:left="425" w:firstLine="0"/>
      </w:pPr>
      <w:r>
        <w:t>In addition to complying with the Basin Plan trade rules, the CEWO has c</w:t>
      </w:r>
      <w:r>
        <w:rPr>
          <w:rFonts w:cs="Calibri"/>
        </w:rPr>
        <w:t>orporate values</w:t>
      </w:r>
      <w:r>
        <w:t xml:space="preserve">, which are built on the APS Code of Conduct. These </w:t>
      </w:r>
      <w:r>
        <w:rPr>
          <w:rFonts w:cs="Calibri"/>
        </w:rPr>
        <w:t>corporate values</w:t>
      </w:r>
      <w:r>
        <w:t xml:space="preserve"> requires the CEWH and CEWO staff to avoid engaging in any misleading, deceptive or unconscionable conduct, or to operate on the basis of information that, although it does not contravene the Basin Plan trade rules, could be considered to have been gained by virtue of CEWO’s position as a government agency. </w:t>
      </w:r>
    </w:p>
    <w:p w:rsidR="00CA794F" w:rsidRDefault="009F4861" w:rsidP="00CA794F">
      <w:pPr>
        <w:spacing w:after="120"/>
        <w:ind w:left="425" w:firstLine="0"/>
      </w:pPr>
      <w:r>
        <w:t xml:space="preserve">As a result of these dual requirements, the CEWH has developed Protocols which are available at: </w:t>
      </w:r>
      <w:hyperlink r:id="rId22" w:anchor="protocols" w:tooltip="Commonwealth environmental water Trading Framework" w:history="1">
        <w:r w:rsidR="00C65774">
          <w:rPr>
            <w:rStyle w:val="Hyperlink"/>
          </w:rPr>
          <w:t>Commonwealth Environmental Water Trading Framework</w:t>
        </w:r>
      </w:hyperlink>
      <w:r w:rsidR="00C65774">
        <w:t xml:space="preserve"> </w:t>
      </w:r>
      <w:r>
        <w:t xml:space="preserve">and include: </w:t>
      </w:r>
    </w:p>
    <w:p w:rsidR="00CA794F" w:rsidRPr="0064685D" w:rsidRDefault="009F4861" w:rsidP="00CA794F">
      <w:pPr>
        <w:pStyle w:val="ListBullet"/>
        <w:numPr>
          <w:ilvl w:val="0"/>
          <w:numId w:val="11"/>
        </w:numPr>
        <w:spacing w:after="120"/>
        <w:ind w:left="714" w:hanging="357"/>
        <w:rPr>
          <w:rFonts w:cs="Calibri"/>
        </w:rPr>
      </w:pPr>
      <w:r w:rsidRPr="0064685D">
        <w:rPr>
          <w:rFonts w:cs="Calibri"/>
        </w:rPr>
        <w:t>Chinese wall arrangements;</w:t>
      </w:r>
    </w:p>
    <w:p w:rsidR="00CA794F" w:rsidRPr="0064685D" w:rsidRDefault="009F4861" w:rsidP="00CA794F">
      <w:pPr>
        <w:pStyle w:val="ListBullet"/>
        <w:numPr>
          <w:ilvl w:val="0"/>
          <w:numId w:val="11"/>
        </w:numPr>
        <w:spacing w:after="120"/>
        <w:ind w:left="714" w:hanging="357"/>
        <w:rPr>
          <w:rFonts w:cs="Calibri"/>
        </w:rPr>
      </w:pPr>
      <w:r>
        <w:rPr>
          <w:rFonts w:cs="Calibri"/>
        </w:rPr>
        <w:t>a</w:t>
      </w:r>
      <w:r w:rsidRPr="0064685D">
        <w:rPr>
          <w:rFonts w:cs="Calibri"/>
        </w:rPr>
        <w:t>voiding,</w:t>
      </w:r>
      <w:r>
        <w:rPr>
          <w:rFonts w:cs="Calibri"/>
        </w:rPr>
        <w:t xml:space="preserve"> exposure to inside information and conflicts of interest;</w:t>
      </w:r>
    </w:p>
    <w:p w:rsidR="00CA794F" w:rsidRPr="0064685D" w:rsidRDefault="009F4861" w:rsidP="00CA794F">
      <w:pPr>
        <w:pStyle w:val="ListBullet"/>
        <w:numPr>
          <w:ilvl w:val="0"/>
          <w:numId w:val="11"/>
        </w:numPr>
        <w:spacing w:after="120"/>
        <w:ind w:left="714" w:hanging="357"/>
        <w:rPr>
          <w:rFonts w:cs="Calibri"/>
        </w:rPr>
      </w:pPr>
      <w:r>
        <w:rPr>
          <w:rFonts w:cs="Calibri"/>
        </w:rPr>
        <w:t>disclosing and managing inside information</w:t>
      </w:r>
      <w:r w:rsidRPr="0064685D">
        <w:rPr>
          <w:rFonts w:cs="Calibri"/>
        </w:rPr>
        <w:t xml:space="preserve"> and conflicts of interest</w:t>
      </w:r>
      <w:r>
        <w:rPr>
          <w:rFonts w:cs="Calibri"/>
        </w:rPr>
        <w:t xml:space="preserve"> if they arise </w:t>
      </w:r>
      <w:r w:rsidRPr="0064685D">
        <w:rPr>
          <w:rFonts w:cs="Calibri"/>
        </w:rPr>
        <w:t>;</w:t>
      </w:r>
    </w:p>
    <w:p w:rsidR="00CA794F" w:rsidRPr="0064685D" w:rsidRDefault="009F4861" w:rsidP="00CA794F">
      <w:pPr>
        <w:pStyle w:val="ListBullet"/>
        <w:numPr>
          <w:ilvl w:val="0"/>
          <w:numId w:val="11"/>
        </w:numPr>
        <w:spacing w:after="120"/>
        <w:ind w:left="714" w:hanging="357"/>
        <w:rPr>
          <w:rFonts w:cs="Calibri"/>
        </w:rPr>
      </w:pPr>
      <w:r>
        <w:rPr>
          <w:rFonts w:cs="Calibri"/>
        </w:rPr>
        <w:t>r</w:t>
      </w:r>
      <w:r w:rsidRPr="0064685D">
        <w:rPr>
          <w:rFonts w:cs="Calibri"/>
        </w:rPr>
        <w:t>ecord keeping and information management;</w:t>
      </w:r>
    </w:p>
    <w:p w:rsidR="00CA794F" w:rsidRPr="00BE067D" w:rsidRDefault="009F4861" w:rsidP="00CA794F">
      <w:pPr>
        <w:pStyle w:val="ListBullet"/>
        <w:numPr>
          <w:ilvl w:val="0"/>
          <w:numId w:val="11"/>
        </w:numPr>
        <w:spacing w:after="120"/>
        <w:ind w:left="714" w:hanging="357"/>
        <w:rPr>
          <w:rFonts w:cs="Calibri"/>
        </w:rPr>
      </w:pPr>
      <w:r>
        <w:rPr>
          <w:rFonts w:cs="Calibri"/>
        </w:rPr>
        <w:t xml:space="preserve">being aware of </w:t>
      </w:r>
      <w:r w:rsidRPr="0064685D">
        <w:rPr>
          <w:rFonts w:cs="Calibri"/>
        </w:rPr>
        <w:t>water announcement</w:t>
      </w:r>
      <w:r>
        <w:rPr>
          <w:rFonts w:cs="Calibri"/>
        </w:rPr>
        <w:t xml:space="preserve">s and decisions to trade; </w:t>
      </w:r>
      <w:r>
        <w:t>and</w:t>
      </w:r>
    </w:p>
    <w:p w:rsidR="00CA794F" w:rsidRPr="0064685D" w:rsidRDefault="009F4861" w:rsidP="00CA794F">
      <w:pPr>
        <w:pStyle w:val="ListBullet"/>
        <w:numPr>
          <w:ilvl w:val="0"/>
          <w:numId w:val="11"/>
        </w:numPr>
        <w:spacing w:after="120"/>
        <w:ind w:left="714" w:hanging="357"/>
        <w:rPr>
          <w:rFonts w:cs="Calibri"/>
        </w:rPr>
      </w:pPr>
      <w:proofErr w:type="gramStart"/>
      <w:r>
        <w:rPr>
          <w:rFonts w:cs="Calibri"/>
        </w:rPr>
        <w:t>s</w:t>
      </w:r>
      <w:r w:rsidRPr="0064685D">
        <w:rPr>
          <w:rFonts w:cs="Calibri"/>
        </w:rPr>
        <w:t>anctions</w:t>
      </w:r>
      <w:proofErr w:type="gramEnd"/>
      <w:r w:rsidRPr="0064685D">
        <w:rPr>
          <w:rFonts w:cs="Calibri"/>
        </w:rPr>
        <w:t xml:space="preserve"> for breaches of the APS Code of Conduct.</w:t>
      </w:r>
    </w:p>
    <w:p w:rsidR="00CA794F" w:rsidRPr="008E27CE" w:rsidRDefault="00CA794F" w:rsidP="00CA794F">
      <w:pPr>
        <w:sectPr w:rsidR="00CA794F" w:rsidRPr="008E27CE" w:rsidSect="00CA794F">
          <w:pgSz w:w="11906" w:h="16838"/>
          <w:pgMar w:top="1418" w:right="1276" w:bottom="567" w:left="1418" w:header="425" w:footer="425" w:gutter="0"/>
          <w:cols w:space="708"/>
          <w:docGrid w:linePitch="360"/>
        </w:sectPr>
      </w:pPr>
    </w:p>
    <w:p w:rsidR="00CA794F" w:rsidRPr="00FD125A" w:rsidRDefault="001B7ECE" w:rsidP="00CA794F">
      <w:pPr>
        <w:pStyle w:val="Heading2"/>
        <w:rPr>
          <w:rStyle w:val="IntenseEmphasis"/>
          <w:b w:val="0"/>
          <w:bCs w:val="0"/>
          <w:i w:val="0"/>
          <w:iCs w:val="0"/>
          <w:color w:val="365F91" w:themeColor="accent1" w:themeShade="BF"/>
          <w:sz w:val="24"/>
        </w:rPr>
      </w:pPr>
      <w:bookmarkStart w:id="97" w:name="_Toc256000036"/>
      <w:bookmarkStart w:id="98" w:name="_Toc256000011"/>
      <w:r w:rsidRPr="001B7ECE">
        <w:rPr>
          <w:rStyle w:val="IntenseEmphasis"/>
        </w:rPr>
        <w:lastRenderedPageBreak/>
        <w:pict>
          <v:roundrect id="_x0000_s1051" style="position:absolute;margin-left:-29.95pt;margin-top:29.6pt;width:513.7pt;height:24pt;z-index:251683840" arcsize="10923f" fillcolor="#9bbb59" stroked="f" strokecolor="#f2f2f2" strokeweight="3pt">
            <v:shadow on="t" type="perspective" color="#4e6128" opacity=".5" offset="1pt" offset2="-1pt"/>
            <v:textbox>
              <w:txbxContent>
                <w:p w:rsidR="003B7F34" w:rsidRPr="00E435BD" w:rsidRDefault="003B7F34" w:rsidP="00CA794F">
                  <w:pPr>
                    <w:jc w:val="center"/>
                    <w:rPr>
                      <w:b/>
                    </w:rPr>
                  </w:pPr>
                  <w:r w:rsidRPr="00E435BD">
                    <w:rPr>
                      <w:b/>
                    </w:rPr>
                    <w:t xml:space="preserve">TRADING </w:t>
                  </w:r>
                  <w:r>
                    <w:rPr>
                      <w:b/>
                    </w:rPr>
                    <w:t>FRAMEWORK</w:t>
                  </w:r>
                </w:p>
              </w:txbxContent>
            </v:textbox>
          </v:roundrect>
        </w:pict>
      </w:r>
      <w:bookmarkStart w:id="99" w:name="_Toc372631425"/>
      <w:bookmarkStart w:id="100" w:name="_Toc372631500"/>
      <w:bookmarkStart w:id="101" w:name="_Toc373835460"/>
      <w:bookmarkStart w:id="102" w:name="_Toc373858667"/>
      <w:bookmarkStart w:id="103" w:name="_Toc373865183"/>
      <w:bookmarkStart w:id="104" w:name="_Toc375035185"/>
      <w:r w:rsidR="009F4861" w:rsidRPr="00FD125A">
        <w:rPr>
          <w:rStyle w:val="IntenseEmphasis"/>
        </w:rPr>
        <w:t>Figure 1: Trading Framework and Trading Process</w:t>
      </w:r>
      <w:bookmarkEnd w:id="97"/>
      <w:bookmarkEnd w:id="98"/>
      <w:bookmarkEnd w:id="99"/>
      <w:bookmarkEnd w:id="100"/>
      <w:bookmarkEnd w:id="101"/>
      <w:bookmarkEnd w:id="102"/>
      <w:bookmarkEnd w:id="103"/>
      <w:bookmarkEnd w:id="104"/>
      <w:r w:rsidR="009F4861" w:rsidRPr="00FD125A">
        <w:rPr>
          <w:rStyle w:val="IntenseEmphasis"/>
          <w:b w:val="0"/>
          <w:bCs w:val="0"/>
          <w:i w:val="0"/>
          <w:iCs w:val="0"/>
          <w:color w:val="365F91" w:themeColor="accent1" w:themeShade="BF"/>
          <w:sz w:val="24"/>
        </w:rPr>
        <w:br/>
      </w:r>
    </w:p>
    <w:p w:rsidR="00CA794F" w:rsidRPr="000C640E" w:rsidRDefault="00CA794F" w:rsidP="00CA794F">
      <w:pPr>
        <w:rPr>
          <w:rStyle w:val="IntenseEmphasis"/>
          <w:b w:val="0"/>
        </w:rPr>
      </w:pPr>
    </w:p>
    <w:p w:rsidR="00CA794F" w:rsidRDefault="001B7ECE" w:rsidP="00CA794F">
      <w:pPr>
        <w:spacing w:before="120" w:after="120"/>
        <w:rPr>
          <w:rFonts w:cs="Calibri"/>
        </w:rPr>
      </w:pPr>
      <w:r w:rsidRPr="001B7ECE">
        <w:rPr>
          <w:rStyle w:val="IntenseEmphasis"/>
        </w:rPr>
        <w:pict>
          <v:roundrect id="_x0000_s1035" style="position:absolute;left:0;text-align:left;margin-left:-31.9pt;margin-top:14.8pt;width:285.7pt;height:39pt;z-index:251667456" arcsize="10923f" fillcolor="#d6e3bc" stroked="f" strokecolor="#f2f2f2" strokeweight="3pt">
            <v:shadow on="t" type="perspective" color="#4e6128" opacity=".5" offset="1pt" offset2="-1pt"/>
            <v:textbox>
              <w:txbxContent>
                <w:p w:rsidR="003B7F34" w:rsidRPr="00E435BD" w:rsidRDefault="003B7F34" w:rsidP="00CA794F">
                  <w:pPr>
                    <w:jc w:val="center"/>
                    <w:rPr>
                      <w:b/>
                    </w:rPr>
                  </w:pPr>
                  <w:r w:rsidRPr="00E435BD">
                    <w:rPr>
                      <w:b/>
                    </w:rPr>
                    <w:t>Commonwealth and State legislation</w:t>
                  </w:r>
                </w:p>
              </w:txbxContent>
            </v:textbox>
          </v:roundrect>
        </w:pict>
      </w:r>
      <w:r w:rsidRPr="001B7ECE">
        <w:rPr>
          <w:rStyle w:val="IntenseEmphasis"/>
        </w:rPr>
        <w:pict>
          <v:roundrect id="_x0000_s1036" style="position:absolute;left:0;text-align:left;margin-left:275.95pt;margin-top:15.95pt;width:207.8pt;height:39pt;z-index:251668480" arcsize="10923f" fillcolor="#d6e3bc" stroked="f" strokecolor="#f2f2f2" strokeweight="3pt">
            <v:shadow on="t" type="perspective" color="#243f60" opacity=".5" offset="1pt" offset2="-1pt"/>
            <v:textbox>
              <w:txbxContent>
                <w:p w:rsidR="003B7F34" w:rsidRPr="00E435BD" w:rsidRDefault="003B7F34">
                  <w:pPr>
                    <w:rPr>
                      <w:b/>
                    </w:rPr>
                  </w:pPr>
                  <w:r w:rsidRPr="00E435BD">
                    <w:rPr>
                      <w:b/>
                    </w:rPr>
                    <w:t>Operating Rules</w:t>
                  </w:r>
                </w:p>
              </w:txbxContent>
            </v:textbox>
          </v:roundrect>
        </w:pict>
      </w:r>
    </w:p>
    <w:p w:rsidR="00CA794F" w:rsidRDefault="001B7ECE" w:rsidP="00CA794F">
      <w:pPr>
        <w:spacing w:before="120" w:after="120"/>
        <w:rPr>
          <w:rFonts w:cs="Calibri"/>
        </w:rPr>
      </w:pPr>
      <w:r w:rsidRPr="001B7ECE">
        <w:rPr>
          <w:rFonts w:cs="Calibri"/>
          <w:noProof/>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253.8pt;margin-top:4.05pt;width:22.15pt;height:14.65pt;z-index:251670528" fillcolor="#76923c" stroked="f"/>
        </w:pict>
      </w:r>
    </w:p>
    <w:p w:rsidR="00CA794F" w:rsidRDefault="001B7ECE" w:rsidP="00CA794F">
      <w:pPr>
        <w:spacing w:before="120" w:after="120"/>
        <w:rPr>
          <w:rFonts w:cs="Calibri"/>
        </w:rPr>
      </w:pPr>
      <w:r w:rsidRPr="001B7ECE">
        <w:rPr>
          <w:rFonts w:cs="Calibri"/>
          <w:noProof/>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429.35pt;margin-top:10.1pt;width:28.5pt;height:1in;z-index:251674624" fillcolor="#76923c" stroked="f"/>
        </w:pict>
      </w:r>
      <w:r w:rsidRPr="001B7ECE">
        <w:rPr>
          <w:rFonts w:cs="Calibri"/>
          <w:noProof/>
          <w:lang w:eastAsia="en-AU"/>
        </w:rPr>
        <w:pict>
          <v:shape id="_x0000_s1041" type="#_x0000_t67" style="position:absolute;left:0;text-align:left;margin-left:74.6pt;margin-top:10.1pt;width:28.5pt;height:1in;z-index:251673600" fillcolor="#76923c" stroked="f"/>
        </w:pict>
      </w:r>
      <w:r w:rsidRPr="001B7ECE">
        <w:rPr>
          <w:rFonts w:cs="Calibri"/>
          <w:noProof/>
          <w:lang w:eastAsia="en-AU"/>
        </w:rPr>
        <w:pict>
          <v:shape id="_x0000_s1040" type="#_x0000_t67" style="position:absolute;left:0;text-align:left;margin-left:349.85pt;margin-top:10.1pt;width:12pt;height:18pt;z-index:251672576" fillcolor="#76923c" stroked="f"/>
        </w:pict>
      </w:r>
      <w:r w:rsidRPr="001B7ECE">
        <w:rPr>
          <w:rFonts w:cs="Calibri"/>
          <w:noProof/>
          <w:lang w:eastAsia="en-AU"/>
        </w:rPr>
        <w:pict>
          <v:shape id="_x0000_s1039" type="#_x0000_t67" style="position:absolute;left:0;text-align:left;margin-left:204.35pt;margin-top:10.1pt;width:12pt;height:18pt;z-index:251671552" fillcolor="#76923c" stroked="f"/>
        </w:pict>
      </w:r>
    </w:p>
    <w:p w:rsidR="00CA794F" w:rsidRDefault="001B7ECE" w:rsidP="00CA794F">
      <w:pPr>
        <w:spacing w:before="120" w:after="120"/>
        <w:rPr>
          <w:rFonts w:cs="Calibri"/>
        </w:rPr>
      </w:pPr>
      <w:r>
        <w:rPr>
          <w:rFonts w:cs="Calibri"/>
          <w:noProof/>
          <w:lang w:val="en-AU" w:eastAsia="en-AU" w:bidi="ar-SA"/>
        </w:rPr>
        <w:pict>
          <v:roundrect id="_x0000_s1052" style="position:absolute;left:0;text-align:left;margin-left:126.35pt;margin-top:8.65pt;width:249pt;height:28.5pt;z-index:251684864" arcsize="10923f" fillcolor="#d6e3bc" stroked="f" strokecolor="#f2f2f2" strokeweight="3pt">
            <v:shadow on="t" type="perspective" color="#243f60" opacity=".5" offset="1pt" offset2="-1pt"/>
            <v:textbox>
              <w:txbxContent>
                <w:p w:rsidR="003B7F34" w:rsidRPr="00E435BD" w:rsidRDefault="003B7F34" w:rsidP="00CA794F">
                  <w:pPr>
                    <w:jc w:val="center"/>
                    <w:rPr>
                      <w:b/>
                    </w:rPr>
                  </w:pPr>
                  <w:r w:rsidRPr="00E435BD">
                    <w:rPr>
                      <w:b/>
                    </w:rPr>
                    <w:t>Procedures</w:t>
                  </w:r>
                  <w:r>
                    <w:rPr>
                      <w:b/>
                    </w:rPr>
                    <w:t xml:space="preserve"> and Protocols</w:t>
                  </w:r>
                </w:p>
              </w:txbxContent>
            </v:textbox>
          </v:roundrect>
        </w:pict>
      </w:r>
    </w:p>
    <w:p w:rsidR="00CA794F" w:rsidRDefault="001B7ECE" w:rsidP="00CA794F">
      <w:pPr>
        <w:spacing w:before="120" w:after="120"/>
        <w:rPr>
          <w:rFonts w:cs="Calibri"/>
        </w:rPr>
      </w:pPr>
      <w:r>
        <w:rPr>
          <w:rFonts w:cs="Calibri"/>
          <w:noProof/>
          <w:lang w:val="en-AU" w:eastAsia="en-AU" w:bidi="ar-SA"/>
        </w:rPr>
        <w:pict>
          <v:shape id="_x0000_s1053" type="#_x0000_t67" style="position:absolute;left:0;text-align:left;margin-left:259.5pt;margin-top:17.75pt;width:12pt;height:25.5pt;z-index:251685888" fillcolor="#76923c" stroked="f"/>
        </w:pict>
      </w:r>
    </w:p>
    <w:p w:rsidR="00CA794F" w:rsidRDefault="00CA794F" w:rsidP="00CA794F">
      <w:pPr>
        <w:spacing w:before="120" w:after="120"/>
        <w:rPr>
          <w:rFonts w:cs="Calibri"/>
        </w:rPr>
      </w:pPr>
    </w:p>
    <w:p w:rsidR="00CA794F" w:rsidRDefault="001B7ECE" w:rsidP="00CA794F">
      <w:pPr>
        <w:spacing w:before="120" w:after="120"/>
        <w:rPr>
          <w:rFonts w:cs="Calibri"/>
        </w:rPr>
        <w:sectPr w:rsidR="00CA794F" w:rsidSect="00CA794F">
          <w:pgSz w:w="11906" w:h="16838"/>
          <w:pgMar w:top="1418" w:right="1276" w:bottom="567" w:left="1418" w:header="425" w:footer="425" w:gutter="0"/>
          <w:cols w:space="708"/>
          <w:docGrid w:linePitch="360"/>
        </w:sectPr>
      </w:pPr>
      <w:r w:rsidRPr="001B7ECE">
        <w:rPr>
          <w:rFonts w:cs="Calibri"/>
          <w:noProof/>
          <w:lang w:eastAsia="en-AU"/>
        </w:rPr>
        <w:pict>
          <v:shape id="_x0000_s1046" type="#_x0000_t67" style="position:absolute;left:0;text-align:left;margin-left:221.55pt;margin-top:378pt;width:21.75pt;height:42.7pt;rotation:90;z-index:251678720" fillcolor="#365f91" stroked="f" strokecolor="#f2f2f2" strokeweight="3pt">
            <v:shadow type="perspective" color="#243f60" opacity=".5" offset="1pt" offset2="-1pt"/>
          </v:shape>
        </w:pict>
      </w:r>
      <w:r w:rsidRPr="001B7ECE">
        <w:rPr>
          <w:rFonts w:cs="Calibri"/>
          <w:noProof/>
          <w:lang w:eastAsia="en-AU"/>
        </w:rPr>
        <w:pict>
          <v:shape id="_x0000_s1048" type="#_x0000_t67" style="position:absolute;left:0;text-align:left;margin-left:52.85pt;margin-top:212.85pt;width:21.75pt;height:45.8pt;rotation:180;z-index:251680768" fillcolor="#365f91" stroked="f" strokecolor="#f2f2f2" strokeweight="3pt">
            <v:shadow type="perspective" color="#243f60" opacity=".5" offset="1pt" offset2="-1pt"/>
          </v:shape>
        </w:pict>
      </w:r>
      <w:r w:rsidRPr="001B7ECE">
        <w:rPr>
          <w:rFonts w:cs="Calibri"/>
          <w:noProof/>
          <w:lang w:eastAsia="en-AU"/>
        </w:rPr>
        <w:pict>
          <v:roundrect id="_x0000_s1028" style="position:absolute;left:0;text-align:left;margin-left:-45.4pt;margin-top:148.1pt;width:192.75pt;height:60.45pt;z-index:251660288" arcsize="10923f" fillcolor="#8db3e2" strokecolor="#365f91">
            <v:fill opacity=".5"/>
            <v:textbox>
              <w:txbxContent>
                <w:p w:rsidR="003B7F34" w:rsidRDefault="003B7F34" w:rsidP="00CA794F">
                  <w:pPr>
                    <w:pStyle w:val="ListNumber"/>
                    <w:numPr>
                      <w:ilvl w:val="0"/>
                      <w:numId w:val="0"/>
                    </w:numPr>
                    <w:ind w:left="369" w:hanging="369"/>
                    <w:rPr>
                      <w:sz w:val="20"/>
                    </w:rPr>
                  </w:pPr>
                  <w:r w:rsidRPr="00786B13">
                    <w:rPr>
                      <w:b/>
                    </w:rPr>
                    <w:t xml:space="preserve">7. </w:t>
                  </w:r>
                  <w:r w:rsidRPr="00786B13">
                    <w:rPr>
                      <w:b/>
                    </w:rPr>
                    <w:tab/>
                    <w:t xml:space="preserve">Public announcement of trading outcomes within 30 days of registration </w:t>
                  </w:r>
                </w:p>
              </w:txbxContent>
            </v:textbox>
          </v:roundrect>
        </w:pict>
      </w:r>
      <w:r w:rsidRPr="001B7ECE">
        <w:rPr>
          <w:rFonts w:cs="Calibri"/>
          <w:noProof/>
          <w:lang w:eastAsia="en-AU"/>
        </w:rPr>
        <w:pict>
          <v:shape id="_x0000_s1047" type="#_x0000_t67" style="position:absolute;left:0;text-align:left;margin-left:68.25pt;margin-top:314.05pt;width:21.75pt;height:60.25pt;rotation:9311993fd;z-index:251679744" fillcolor="#365f91" stroked="f" strokecolor="#f2f2f2" strokeweight="3pt">
            <v:shadow type="perspective" color="#243f60" opacity=".5" offset="1pt" offset2="-1pt"/>
          </v:shape>
        </w:pict>
      </w:r>
      <w:r w:rsidRPr="001B7ECE">
        <w:rPr>
          <w:rFonts w:cs="Calibri"/>
          <w:noProof/>
          <w:lang w:eastAsia="en-AU"/>
        </w:rPr>
        <w:pict>
          <v:roundrect id="_x0000_s1030" style="position:absolute;left:0;text-align:left;margin-left:-29.95pt;margin-top:266.15pt;width:192.75pt;height:43.65pt;z-index:251662336" arcsize="10923f" fillcolor="#8db3e2" strokecolor="#365f91">
            <v:fill opacity=".5"/>
            <v:textbox>
              <w:txbxContent>
                <w:p w:rsidR="003B7F34" w:rsidRPr="00950A6A" w:rsidRDefault="003B7F34" w:rsidP="00CA794F">
                  <w:pPr>
                    <w:pStyle w:val="ListNumber"/>
                    <w:numPr>
                      <w:ilvl w:val="0"/>
                      <w:numId w:val="0"/>
                    </w:numPr>
                    <w:ind w:left="369" w:hanging="369"/>
                    <w:rPr>
                      <w:b/>
                    </w:rPr>
                  </w:pPr>
                  <w:r w:rsidRPr="00950A6A">
                    <w:rPr>
                      <w:b/>
                    </w:rPr>
                    <w:t>6.</w:t>
                  </w:r>
                  <w:r w:rsidRPr="00950A6A">
                    <w:rPr>
                      <w:b/>
                    </w:rPr>
                    <w:tab/>
                    <w:t xml:space="preserve">Trade approval, settlement and registration. </w:t>
                  </w:r>
                </w:p>
                <w:p w:rsidR="003B7F34" w:rsidRPr="00950A6A" w:rsidRDefault="003B7F34" w:rsidP="00CA794F">
                  <w:pPr>
                    <w:jc w:val="center"/>
                    <w:rPr>
                      <w:b/>
                    </w:rPr>
                  </w:pPr>
                </w:p>
              </w:txbxContent>
            </v:textbox>
          </v:roundrect>
        </w:pict>
      </w:r>
      <w:r w:rsidRPr="001B7ECE">
        <w:rPr>
          <w:rFonts w:cs="Calibri"/>
          <w:noProof/>
          <w:lang w:eastAsia="en-AU"/>
        </w:rPr>
        <w:pict>
          <v:roundrect id="_x0000_s1033" style="position:absolute;left:0;text-align:left;margin-left:-21.05pt;margin-top:383.95pt;width:207.75pt;height:47.25pt;z-index:251665408" arcsize="10923f" fillcolor="#8db3e2" strokecolor="#365f91">
            <v:fill opacity=".5"/>
            <v:textbox>
              <w:txbxContent>
                <w:p w:rsidR="003B7F34" w:rsidRPr="00D40BBD" w:rsidRDefault="003B7F34" w:rsidP="00CA794F">
                  <w:pPr>
                    <w:pStyle w:val="ListNumber"/>
                    <w:numPr>
                      <w:ilvl w:val="0"/>
                      <w:numId w:val="0"/>
                    </w:numPr>
                    <w:contextualSpacing/>
                    <w:rPr>
                      <w:b/>
                    </w:rPr>
                  </w:pPr>
                  <w:r w:rsidRPr="00D40BBD">
                    <w:rPr>
                      <w:b/>
                    </w:rPr>
                    <w:t>5. Evaluation of offers received</w:t>
                  </w:r>
                </w:p>
                <w:p w:rsidR="003B7F34" w:rsidRPr="00D40BBD" w:rsidRDefault="003B7F34" w:rsidP="00CA794F">
                  <w:pPr>
                    <w:contextualSpacing/>
                    <w:rPr>
                      <w:b/>
                    </w:rPr>
                  </w:pPr>
                </w:p>
              </w:txbxContent>
            </v:textbox>
          </v:roundrect>
        </w:pict>
      </w:r>
      <w:r>
        <w:rPr>
          <w:rFonts w:cs="Calibri"/>
          <w:noProof/>
          <w:lang w:val="en-AU" w:eastAsia="en-AU" w:bidi="ar-SA"/>
        </w:rPr>
        <w:pict>
          <v:shape id="_x0000_s1054" type="#_x0000_t67" style="position:absolute;left:0;text-align:left;margin-left:366.45pt;margin-top:101.35pt;width:21.75pt;height:46.85pt;rotation:-2677187fd;z-index:251686912" fillcolor="#365f91" stroked="f" strokecolor="#f2f2f2" strokeweight="3pt">
            <v:shadow type="perspective" color="#243f60" opacity=".5" offset="1pt" offset2="-1pt"/>
          </v:shape>
        </w:pict>
      </w:r>
      <w:r w:rsidRPr="001B7ECE">
        <w:rPr>
          <w:rFonts w:cs="Calibri"/>
          <w:noProof/>
          <w:lang w:eastAsia="en-AU"/>
        </w:rPr>
        <w:pict>
          <v:roundrect id="_x0000_s1026" style="position:absolute;left:0;text-align:left;margin-left:152.3pt;margin-top:46.4pt;width:197.55pt;height:65.25pt;z-index:251658240" arcsize="10923f" fillcolor="#8db3e2" strokecolor="#365f91">
            <v:fill opacity=".5"/>
            <v:textbox>
              <w:txbxContent>
                <w:p w:rsidR="003B7F34" w:rsidRPr="00433CB6" w:rsidRDefault="003B7F34" w:rsidP="00433CB6">
                  <w:pPr>
                    <w:pStyle w:val="ListNumber"/>
                    <w:numPr>
                      <w:ilvl w:val="0"/>
                      <w:numId w:val="0"/>
                    </w:numPr>
                    <w:ind w:left="369" w:hanging="369"/>
                    <w:rPr>
                      <w:b/>
                    </w:rPr>
                  </w:pPr>
                  <w:r w:rsidRPr="00A75818">
                    <w:rPr>
                      <w:b/>
                    </w:rPr>
                    <w:t>1.</w:t>
                  </w:r>
                  <w:r>
                    <w:rPr>
                      <w:b/>
                    </w:rPr>
                    <w:tab/>
                  </w:r>
                  <w:r w:rsidRPr="00A75818">
                    <w:rPr>
                      <w:b/>
                    </w:rPr>
                    <w:t>Trading opportunity that will enhance capacity to support environmental objectives identified</w:t>
                  </w:r>
                  <w:r w:rsidRPr="00433CB6">
                    <w:rPr>
                      <w:b/>
                    </w:rPr>
                    <w:t>.</w:t>
                  </w:r>
                </w:p>
              </w:txbxContent>
            </v:textbox>
          </v:roundrect>
        </w:pict>
      </w:r>
      <w:r w:rsidRPr="001B7ECE">
        <w:rPr>
          <w:rFonts w:cs="Calibri"/>
          <w:noProof/>
          <w:lang w:eastAsia="en-AU"/>
        </w:rPr>
        <w:pict>
          <v:roundrect id="_x0000_s1037" style="position:absolute;left:0;text-align:left;margin-left:-21.05pt;margin-top:4.4pt;width:513.7pt;height:24pt;z-index:251669504" arcsize="10923f" fillcolor="#4f81bd" stroked="f" strokecolor="#f2f2f2" strokeweight="3pt">
            <v:shadow on="t" type="perspective" color="#3f3151" opacity=".5" offset="1pt" offset2="-1pt"/>
            <v:textbox>
              <w:txbxContent>
                <w:p w:rsidR="003B7F34" w:rsidRPr="00E435BD" w:rsidRDefault="003B7F34" w:rsidP="00CA794F">
                  <w:pPr>
                    <w:jc w:val="center"/>
                    <w:rPr>
                      <w:b/>
                    </w:rPr>
                  </w:pPr>
                  <w:r w:rsidRPr="00E435BD">
                    <w:rPr>
                      <w:b/>
                    </w:rPr>
                    <w:t>TRADING PROCESS</w:t>
                  </w:r>
                </w:p>
              </w:txbxContent>
            </v:textbox>
          </v:roundrect>
        </w:pict>
      </w:r>
      <w:r w:rsidRPr="001B7ECE">
        <w:rPr>
          <w:rFonts w:cs="Calibri"/>
          <w:noProof/>
          <w:lang w:eastAsia="en-AU"/>
        </w:rPr>
        <w:pict>
          <v:roundrect id="_x0000_s1032" style="position:absolute;left:0;text-align:left;margin-left:284.6pt;margin-top:375pt;width:208.05pt;height:57.65pt;z-index:251664384" arcsize="10923f" fillcolor="#8db3e2" strokecolor="#365f91">
            <v:fill opacity=".5"/>
            <v:textbox>
              <w:txbxContent>
                <w:p w:rsidR="003B7F34" w:rsidRPr="003618D6" w:rsidRDefault="003B7F34" w:rsidP="00CA794F">
                  <w:pPr>
                    <w:pStyle w:val="ListNumber"/>
                    <w:numPr>
                      <w:ilvl w:val="0"/>
                      <w:numId w:val="0"/>
                    </w:numPr>
                    <w:ind w:left="369" w:hanging="369"/>
                  </w:pPr>
                  <w:r w:rsidRPr="003618D6">
                    <w:rPr>
                      <w:b/>
                    </w:rPr>
                    <w:t xml:space="preserve">4. </w:t>
                  </w:r>
                  <w:r w:rsidRPr="003618D6">
                    <w:rPr>
                      <w:b/>
                    </w:rPr>
                    <w:tab/>
                    <w:t>Approach to market</w:t>
                  </w:r>
                  <w:r>
                    <w:rPr>
                      <w:b/>
                    </w:rPr>
                    <w:t xml:space="preserve"> via a market mechanism tailored to suit particular circumstances of the trading action.</w:t>
                  </w:r>
                  <w:r w:rsidRPr="003618D6">
                    <w:t xml:space="preserve"> </w:t>
                  </w:r>
                </w:p>
              </w:txbxContent>
            </v:textbox>
          </v:roundrect>
        </w:pict>
      </w:r>
      <w:r w:rsidRPr="001B7ECE">
        <w:rPr>
          <w:rFonts w:cs="Calibri"/>
          <w:noProof/>
          <w:lang w:eastAsia="en-AU"/>
        </w:rPr>
        <w:pict>
          <v:shape id="_x0000_s1045" type="#_x0000_t67" style="position:absolute;left:0;text-align:left;margin-left:384.45pt;margin-top:315.7pt;width:21.75pt;height:50.9pt;rotation:2060738fd;z-index:251677696" fillcolor="#365f91" stroked="f" strokecolor="#f2f2f2" strokeweight="3pt">
            <v:shadow type="perspective" color="#243f60" opacity=".5" offset="1pt" offset2="-1pt"/>
          </v:shape>
        </w:pict>
      </w:r>
      <w:r w:rsidRPr="001B7ECE">
        <w:rPr>
          <w:rFonts w:cs="Calibri"/>
          <w:noProof/>
          <w:lang w:eastAsia="en-AU"/>
        </w:rPr>
        <w:pict>
          <v:roundrect id="_x0000_s1031" style="position:absolute;left:0;text-align:left;margin-left:306pt;margin-top:266.15pt;width:203.55pt;height:45.75pt;z-index:251663360" arcsize="10923f" fillcolor="#8db3e2" strokecolor="#365f91">
            <v:fill opacity=".5"/>
            <v:textbox>
              <w:txbxContent>
                <w:p w:rsidR="003B7F34" w:rsidRPr="003618D6" w:rsidRDefault="003B7F34" w:rsidP="00CA794F">
                  <w:pPr>
                    <w:pStyle w:val="ListNumber"/>
                    <w:numPr>
                      <w:ilvl w:val="0"/>
                      <w:numId w:val="0"/>
                    </w:numPr>
                    <w:ind w:left="369" w:hanging="369"/>
                    <w:rPr>
                      <w:b/>
                    </w:rPr>
                  </w:pPr>
                  <w:r w:rsidRPr="003618D6">
                    <w:rPr>
                      <w:b/>
                    </w:rPr>
                    <w:t xml:space="preserve">3. </w:t>
                  </w:r>
                  <w:r w:rsidRPr="003618D6">
                    <w:rPr>
                      <w:b/>
                    </w:rPr>
                    <w:tab/>
                    <w:t>Public announcement of trading intentions</w:t>
                  </w:r>
                  <w:r>
                    <w:rPr>
                      <w:b/>
                    </w:rPr>
                    <w:t>.</w:t>
                  </w:r>
                </w:p>
                <w:p w:rsidR="003B7F34" w:rsidRPr="003618D6" w:rsidRDefault="003B7F34" w:rsidP="00CA794F">
                  <w:pPr>
                    <w:rPr>
                      <w:b/>
                    </w:rPr>
                  </w:pPr>
                </w:p>
              </w:txbxContent>
            </v:textbox>
          </v:roundrect>
        </w:pict>
      </w:r>
      <w:r w:rsidRPr="001B7ECE">
        <w:rPr>
          <w:rFonts w:cs="Calibri"/>
          <w:noProof/>
          <w:lang w:eastAsia="en-AU"/>
        </w:rPr>
        <w:pict>
          <v:shape id="_x0000_s1044" type="#_x0000_t67" style="position:absolute;left:0;text-align:left;margin-left:397.85pt;margin-top:216.65pt;width:21.75pt;height:42pt;z-index:251676672" fillcolor="#365f91" stroked="f" strokecolor="#f2f2f2" strokeweight="3pt">
            <v:shadow type="perspective" color="#243f60" opacity=".5" offset="1pt" offset2="-1pt"/>
          </v:shape>
        </w:pict>
      </w:r>
      <w:r w:rsidRPr="001B7ECE">
        <w:rPr>
          <w:rFonts w:cs="Calibri"/>
          <w:noProof/>
          <w:lang w:eastAsia="en-AU"/>
        </w:rPr>
        <w:pict>
          <v:roundrect id="_x0000_s1027" style="position:absolute;left:0;text-align:left;margin-left:301.85pt;margin-top:148.2pt;width:202.85pt;height:60.35pt;z-index:251659264" arcsize="10923f" fillcolor="#8db3e2" strokecolor="#365f91">
            <v:fill opacity=".5"/>
            <v:textbox>
              <w:txbxContent>
                <w:p w:rsidR="003B7F34" w:rsidRPr="00A75818" w:rsidRDefault="003B7F34" w:rsidP="00A75818">
                  <w:pPr>
                    <w:pStyle w:val="ListNumber"/>
                    <w:numPr>
                      <w:ilvl w:val="0"/>
                      <w:numId w:val="0"/>
                    </w:numPr>
                    <w:ind w:left="369" w:hanging="369"/>
                    <w:rPr>
                      <w:b/>
                    </w:rPr>
                  </w:pPr>
                  <w:r w:rsidRPr="00A75818">
                    <w:rPr>
                      <w:b/>
                    </w:rPr>
                    <w:t>2.</w:t>
                  </w:r>
                  <w:r w:rsidRPr="00A75818">
                    <w:rPr>
                      <w:b/>
                      <w:sz w:val="20"/>
                    </w:rPr>
                    <w:t xml:space="preserve"> </w:t>
                  </w:r>
                  <w:r w:rsidRPr="00A75818">
                    <w:rPr>
                      <w:b/>
                      <w:sz w:val="20"/>
                    </w:rPr>
                    <w:tab/>
                  </w:r>
                  <w:r w:rsidRPr="00A75818">
                    <w:rPr>
                      <w:b/>
                    </w:rPr>
                    <w:t xml:space="preserve">CEWH trading decision </w:t>
                  </w:r>
                  <w:r>
                    <w:rPr>
                      <w:b/>
                    </w:rPr>
                    <w:t xml:space="preserve">that is </w:t>
                  </w:r>
                  <w:r w:rsidRPr="00A75818">
                    <w:rPr>
                      <w:b/>
                    </w:rPr>
                    <w:t xml:space="preserve">consistent with the requirements of the </w:t>
                  </w:r>
                  <w:r w:rsidRPr="00A75818">
                    <w:rPr>
                      <w:b/>
                      <w:i/>
                    </w:rPr>
                    <w:t>Water Act 2007</w:t>
                  </w:r>
                  <w:r>
                    <w:rPr>
                      <w:b/>
                      <w:i/>
                    </w:rPr>
                    <w:t>.</w:t>
                  </w:r>
                </w:p>
                <w:p w:rsidR="003B7F34" w:rsidRPr="00A75818" w:rsidRDefault="003B7F34" w:rsidP="00CA794F">
                  <w:pPr>
                    <w:rPr>
                      <w:b/>
                    </w:rPr>
                  </w:pPr>
                </w:p>
              </w:txbxContent>
            </v:textbox>
          </v:roundrect>
        </w:pict>
      </w:r>
      <w:r w:rsidRPr="001B7ECE">
        <w:rPr>
          <w:rFonts w:cs="Calibri"/>
          <w:noProof/>
          <w:lang w:eastAsia="en-AU"/>
        </w:rPr>
        <w:pict>
          <v:roundrect id="_x0000_s1043" style="position:absolute;left:0;text-align:left;margin-left:.75pt;margin-top:463.4pt;width:483pt;height:75.45pt;z-index:251675648" arcsize="7348f" fillcolor="#d99594" strokecolor="#4e6128" strokeweight="1pt">
            <v:fill opacity=".5"/>
            <v:textbox>
              <w:txbxContent>
                <w:p w:rsidR="003B7F34" w:rsidRDefault="003B7F34" w:rsidP="00CA794F">
                  <w:pPr>
                    <w:jc w:val="center"/>
                    <w:rPr>
                      <w:b/>
                    </w:rPr>
                  </w:pPr>
                  <w:r>
                    <w:rPr>
                      <w:b/>
                    </w:rPr>
                    <w:t>Monitoring and r</w:t>
                  </w:r>
                  <w:r w:rsidRPr="004A2D05">
                    <w:rPr>
                      <w:b/>
                    </w:rPr>
                    <w:t>eview of trading activities</w:t>
                  </w:r>
                  <w:r>
                    <w:rPr>
                      <w:b/>
                    </w:rPr>
                    <w:t>/outcomes</w:t>
                  </w:r>
                </w:p>
                <w:p w:rsidR="003B7F34" w:rsidRDefault="003B7F34"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w:t>
                  </w:r>
                  <w:proofErr w:type="gramStart"/>
                  <w:r>
                    <w:rPr>
                      <w:i/>
                      <w:sz w:val="20"/>
                    </w:rPr>
                    <w:t>Ongoing review of compliance with departmental risk management and audit requirements.</w:t>
                  </w:r>
                  <w:proofErr w:type="gramEnd"/>
                </w:p>
              </w:txbxContent>
            </v:textbox>
          </v:roundrect>
        </w:pict>
      </w:r>
      <w:r w:rsidRPr="001B7ECE">
        <w:rPr>
          <w:rFonts w:cs="Calibri"/>
          <w:noProof/>
          <w:lang w:eastAsia="en-AU"/>
        </w:rPr>
        <w:pict>
          <v:shape id="_x0000_s1049" type="#_x0000_t67" style="position:absolute;left:0;text-align:left;margin-left:237.75pt;margin-top:422.25pt;width:21.75pt;height:26.65pt;z-index:251681792" fillcolor="#622423" stroked="f" strokecolor="#f2f2f2" strokeweight="3pt">
            <v:shadow type="perspective" color="#243f60" opacity=".5" offset="1pt" offset2="-1pt"/>
          </v:shape>
        </w:pict>
      </w:r>
      <w:r w:rsidRPr="001B7ECE">
        <w:rPr>
          <w:rFonts w:cs="Calibri"/>
          <w:noProof/>
          <w:lang w:eastAsia="en-AU"/>
        </w:rPr>
        <w:pict>
          <v:oval id="_x0000_s1029" style="position:absolute;left:0;text-align:left;margin-left:181.1pt;margin-top:192.75pt;width:111.4pt;height:97.85pt;z-index:251661312" fillcolor="#d99594" strokecolor="#5f497a" strokeweight=".25pt">
            <v:fill opacity=".5"/>
            <v:shadow type="perspective" color="#3f3151" opacity=".5" offset="1pt" offset2="-1pt"/>
            <v:textbox>
              <w:txbxContent>
                <w:p w:rsidR="003B7F34" w:rsidRPr="00AA38F0" w:rsidRDefault="003B7F34" w:rsidP="00CA794F">
                  <w:pPr>
                    <w:ind w:firstLine="0"/>
                    <w:jc w:val="center"/>
                    <w:rPr>
                      <w:b/>
                      <w:sz w:val="16"/>
                      <w:szCs w:val="16"/>
                    </w:rPr>
                  </w:pPr>
                </w:p>
                <w:p w:rsidR="003B7F34" w:rsidRPr="00AA38F0" w:rsidRDefault="003B7F34" w:rsidP="00CA794F">
                  <w:pPr>
                    <w:ind w:firstLine="0"/>
                    <w:jc w:val="center"/>
                  </w:pPr>
                  <w:r w:rsidRPr="00AA38F0">
                    <w:rPr>
                      <w:b/>
                    </w:rPr>
                    <w:t>Process for conducting a trading action</w:t>
                  </w:r>
                </w:p>
              </w:txbxContent>
            </v:textbox>
          </v:oval>
        </w:pict>
      </w:r>
      <w:r w:rsidRPr="001B7ECE">
        <w:rPr>
          <w:rFonts w:cs="Calibri"/>
          <w:noProof/>
          <w:lang w:eastAsia="en-AU"/>
        </w:rPr>
        <w:pict>
          <v:roundrect id="_x0000_s1034" style="position:absolute;left:0;text-align:left;margin-left:36.35pt;margin-top:682.4pt;width:498pt;height:82.5pt;z-index:251666432" arcsize="7348f" fillcolor="#c2d69b" strokecolor="#4e6128" strokeweight="1pt">
            <v:fill opacity=".5"/>
            <v:textbox>
              <w:txbxContent>
                <w:p w:rsidR="003B7F34" w:rsidRDefault="003B7F34" w:rsidP="00CA794F">
                  <w:pPr>
                    <w:jc w:val="center"/>
                    <w:rPr>
                      <w:b/>
                    </w:rPr>
                  </w:pPr>
                  <w:r>
                    <w:rPr>
                      <w:b/>
                    </w:rPr>
                    <w:t>Monitoring and r</w:t>
                  </w:r>
                  <w:r w:rsidRPr="004A2D05">
                    <w:rPr>
                      <w:b/>
                    </w:rPr>
                    <w:t>eview of trading activities</w:t>
                  </w:r>
                  <w:r>
                    <w:rPr>
                      <w:b/>
                    </w:rPr>
                    <w:t>/outcomes</w:t>
                  </w:r>
                </w:p>
                <w:p w:rsidR="003B7F34" w:rsidRDefault="003B7F34"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xml:space="preserve"> etc.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w:t>
                  </w:r>
                  <w:proofErr w:type="gramStart"/>
                  <w:r>
                    <w:rPr>
                      <w:i/>
                      <w:sz w:val="20"/>
                    </w:rPr>
                    <w:t>Ongoing review of compliance with Departmental risk management and audit requirements.</w:t>
                  </w:r>
                  <w:proofErr w:type="gramEnd"/>
                </w:p>
              </w:txbxContent>
            </v:textbox>
          </v:roundrect>
        </w:pict>
      </w:r>
    </w:p>
    <w:p w:rsidR="00CA794F" w:rsidRPr="00F036A4" w:rsidRDefault="009F4861" w:rsidP="00CA794F">
      <w:pPr>
        <w:pStyle w:val="Heading1"/>
        <w:numPr>
          <w:ilvl w:val="1"/>
          <w:numId w:val="13"/>
        </w:numPr>
      </w:pPr>
      <w:bookmarkStart w:id="105" w:name="_Toc256000037"/>
      <w:bookmarkStart w:id="106" w:name="_Toc256000012"/>
      <w:bookmarkStart w:id="107" w:name="_Toc373835461"/>
      <w:bookmarkStart w:id="108" w:name="_Toc373865184"/>
      <w:bookmarkStart w:id="109" w:name="_Toc375035186"/>
      <w:r>
        <w:lastRenderedPageBreak/>
        <w:t>Consultation</w:t>
      </w:r>
      <w:bookmarkEnd w:id="105"/>
      <w:bookmarkEnd w:id="106"/>
      <w:bookmarkEnd w:id="107"/>
      <w:bookmarkEnd w:id="108"/>
      <w:bookmarkEnd w:id="109"/>
    </w:p>
    <w:p w:rsidR="00CA794F" w:rsidRDefault="009F4861" w:rsidP="00CA794F">
      <w:pPr>
        <w:pStyle w:val="ListBullet"/>
        <w:spacing w:after="120"/>
        <w:ind w:left="284" w:firstLine="0"/>
        <w:rPr>
          <w:rFonts w:cs="Calibri"/>
        </w:rPr>
      </w:pPr>
      <w:r>
        <w:t>The</w:t>
      </w:r>
      <w:r w:rsidRPr="00051D98">
        <w:t xml:space="preserve"> </w:t>
      </w:r>
      <w:r>
        <w:t>Trading Fram</w:t>
      </w:r>
      <w:r w:rsidRPr="00F44CAF">
        <w:t>ework has been informed by issues raised by stakeholders</w:t>
      </w:r>
      <w:r>
        <w:t xml:space="preserve"> in response to the</w:t>
      </w:r>
      <w:r w:rsidRPr="00051D98">
        <w:t xml:space="preserve"> </w:t>
      </w:r>
      <w:r w:rsidRPr="007D4DC6">
        <w:rPr>
          <w:i/>
        </w:rPr>
        <w:t>Commonwealth Environmental Water – Trading Arrangements</w:t>
      </w:r>
      <w:r w:rsidRPr="00051D98">
        <w:t xml:space="preserve"> discussion paper (the Discussion Paper) that was released in November 2011.</w:t>
      </w:r>
    </w:p>
    <w:p w:rsidR="00CA794F" w:rsidRDefault="009F4861" w:rsidP="00CA794F">
      <w:pPr>
        <w:pStyle w:val="ListBullet"/>
        <w:spacing w:after="120"/>
        <w:ind w:left="284" w:firstLine="0"/>
        <w:rPr>
          <w:rFonts w:cs="Calibri"/>
        </w:rPr>
      </w:pPr>
      <w:r w:rsidRPr="00EA3A6F">
        <w:rPr>
          <w:rFonts w:cs="Calibri"/>
        </w:rPr>
        <w:t>The Discussion Paper explored a range of issues related to the trade of Commonwealth environmental water. The Discussion Paper outlined CEWO’s broad approach to portfolio management, provided an overview of the legislative and governance framework for trade, included a brief discussion of the benefits of trade and identified several possible approaches to market engagement. In addition, the Discussion Paper posed a number of specific questions which stakeholders were asked to consider.</w:t>
      </w:r>
    </w:p>
    <w:p w:rsidR="00CA794F" w:rsidRDefault="009F4861" w:rsidP="00CA794F">
      <w:pPr>
        <w:pStyle w:val="ListBullet"/>
        <w:spacing w:after="120"/>
        <w:ind w:left="284" w:firstLine="0"/>
        <w:rPr>
          <w:rFonts w:cs="Calibri"/>
        </w:rPr>
      </w:pPr>
      <w:r w:rsidRPr="00EA3A6F">
        <w:rPr>
          <w:rFonts w:cs="Calibri"/>
        </w:rPr>
        <w:t>The Discussion Paper received a high response rate, with 44 submissions received from a range of stakeholders including irrigation industry representatives, state agencies, irrigation infrastructure operators and water market intermediaries. The distribution of submissio</w:t>
      </w:r>
      <w:r>
        <w:rPr>
          <w:rFonts w:cs="Calibri"/>
        </w:rPr>
        <w:t>ns received is summarised below.</w:t>
      </w:r>
    </w:p>
    <w:p w:rsidR="00CA794F" w:rsidRPr="00F277D8" w:rsidRDefault="009F4861" w:rsidP="00CA794F">
      <w:pPr>
        <w:pStyle w:val="Heading2"/>
        <w:rPr>
          <w:rStyle w:val="IntenseEmphasis"/>
        </w:rPr>
      </w:pPr>
      <w:bookmarkStart w:id="110" w:name="_Toc256000039"/>
      <w:bookmarkStart w:id="111" w:name="_Toc256000038"/>
      <w:bookmarkStart w:id="112" w:name="_Toc256000013"/>
      <w:bookmarkStart w:id="113" w:name="_Toc372631426"/>
      <w:bookmarkStart w:id="114" w:name="_Toc372631501"/>
      <w:bookmarkStart w:id="115" w:name="_Toc373835462"/>
      <w:bookmarkStart w:id="116" w:name="_Toc373858669"/>
      <w:bookmarkStart w:id="117" w:name="_Toc373865185"/>
      <w:bookmarkStart w:id="118" w:name="_Toc375035187"/>
      <w:r w:rsidRPr="00F277D8">
        <w:rPr>
          <w:rStyle w:val="IntenseEmphasis"/>
        </w:rPr>
        <w:t>Figure 2:  Distribution of submissions by stakeholder group</w:t>
      </w:r>
      <w:bookmarkEnd w:id="110"/>
      <w:bookmarkEnd w:id="111"/>
      <w:bookmarkEnd w:id="112"/>
      <w:bookmarkEnd w:id="113"/>
      <w:bookmarkEnd w:id="114"/>
      <w:bookmarkEnd w:id="115"/>
      <w:bookmarkEnd w:id="116"/>
      <w:bookmarkEnd w:id="117"/>
      <w:bookmarkEnd w:id="118"/>
    </w:p>
    <w:tbl>
      <w:tblPr>
        <w:tblStyle w:val="LightShading-Accent11"/>
        <w:tblW w:w="0" w:type="auto"/>
        <w:tblInd w:w="392" w:type="dxa"/>
        <w:tblLook w:val="04A0"/>
      </w:tblPr>
      <w:tblGrid>
        <w:gridCol w:w="4481"/>
        <w:gridCol w:w="4481"/>
      </w:tblGrid>
      <w:tr w:rsidR="00D90EED" w:rsidTr="00D90EED">
        <w:trPr>
          <w:cnfStyle w:val="1000000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Stakeholder Group</w:t>
            </w:r>
          </w:p>
        </w:tc>
        <w:tc>
          <w:tcPr>
            <w:tcW w:w="4481" w:type="dxa"/>
          </w:tcPr>
          <w:p w:rsidR="00CA794F" w:rsidRPr="00EA3A6F" w:rsidRDefault="009F4861" w:rsidP="00CA794F">
            <w:pPr>
              <w:spacing w:after="120"/>
              <w:ind w:left="426"/>
              <w:jc w:val="center"/>
              <w:cnfStyle w:val="100000000000"/>
              <w:rPr>
                <w:rFonts w:cstheme="minorHAnsi"/>
              </w:rPr>
            </w:pPr>
            <w:r w:rsidRPr="00EA3A6F">
              <w:rPr>
                <w:rFonts w:cstheme="minorHAnsi"/>
              </w:rPr>
              <w:t>Number of Submissions Received</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Irrigation industry representatives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13</w:t>
            </w:r>
          </w:p>
        </w:tc>
      </w:tr>
      <w:tr w:rsidR="00D90EED" w:rsidTr="00D90EED">
        <w:trPr>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State agencies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9</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Water market intermediaries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9</w:t>
            </w:r>
          </w:p>
        </w:tc>
      </w:tr>
      <w:tr w:rsidR="00D90EED" w:rsidTr="00D90EED">
        <w:trPr>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Irrigation infrastructure operators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4</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Environmental groups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2</w:t>
            </w:r>
          </w:p>
        </w:tc>
      </w:tr>
      <w:tr w:rsidR="00D90EED" w:rsidTr="00D90EED">
        <w:trPr>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Community groups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2</w:t>
            </w:r>
          </w:p>
        </w:tc>
      </w:tr>
      <w:tr w:rsidR="00D90EED" w:rsidTr="00D90EED">
        <w:trPr>
          <w:cnfStyle w:val="000000100000"/>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Local government</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2</w:t>
            </w:r>
          </w:p>
        </w:tc>
      </w:tr>
      <w:tr w:rsidR="00D90EED" w:rsidTr="00D90EED">
        <w:trPr>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Other</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3</w:t>
            </w:r>
          </w:p>
        </w:tc>
      </w:tr>
    </w:tbl>
    <w:p w:rsidR="00CA794F" w:rsidRPr="00643E62" w:rsidRDefault="009F4861" w:rsidP="00CA794F">
      <w:pPr>
        <w:spacing w:before="240" w:after="120"/>
        <w:ind w:left="284" w:firstLine="0"/>
        <w:rPr>
          <w:rFonts w:cs="Calibri"/>
        </w:rPr>
      </w:pPr>
      <w:r w:rsidRPr="00643E62">
        <w:rPr>
          <w:rFonts w:cs="Calibri"/>
        </w:rPr>
        <w:t>The majority of respondents to the Discussion Paper either explicitly supported, or were accepting of, the trade of Commonwealth environmental water. Most submissions indicated that the Discussion Paper was a positive step in developing the CEWO Trading Framework and welcomed the opportunity to participate in the consultation process.</w:t>
      </w:r>
    </w:p>
    <w:p w:rsidR="00CA794F" w:rsidRDefault="009F4861" w:rsidP="00CA794F">
      <w:pPr>
        <w:pStyle w:val="ListBullet"/>
        <w:spacing w:after="120"/>
        <w:ind w:left="284" w:firstLine="0"/>
        <w:rPr>
          <w:rFonts w:cs="Calibri"/>
        </w:rPr>
      </w:pPr>
      <w:r w:rsidRPr="00643E62">
        <w:rPr>
          <w:rFonts w:cs="Calibri"/>
        </w:rPr>
        <w:t>Whilst there was broad general support for trade, most stakeholders identified a number of issues that they would like to see addressed through the development of the Trading Framework:</w:t>
      </w:r>
    </w:p>
    <w:p w:rsidR="00CA794F" w:rsidRPr="00643E62" w:rsidRDefault="009F4861" w:rsidP="00CA794F">
      <w:pPr>
        <w:pStyle w:val="ListBullet"/>
        <w:numPr>
          <w:ilvl w:val="0"/>
          <w:numId w:val="7"/>
        </w:numPr>
        <w:spacing w:after="120"/>
        <w:rPr>
          <w:rFonts w:cs="Calibri"/>
        </w:rPr>
      </w:pPr>
      <w:r w:rsidRPr="00643E62">
        <w:rPr>
          <w:rFonts w:cs="Calibri"/>
        </w:rPr>
        <w:t xml:space="preserve">Nearly 75 per cent of submissions identified the issue of potential market impacts arising from CEWO trading activity as requiring further attention; </w:t>
      </w:r>
    </w:p>
    <w:p w:rsidR="00CA794F" w:rsidRPr="00643E62" w:rsidRDefault="009F4861" w:rsidP="00CA794F">
      <w:pPr>
        <w:pStyle w:val="ListBullet"/>
        <w:numPr>
          <w:ilvl w:val="0"/>
          <w:numId w:val="7"/>
        </w:numPr>
        <w:spacing w:after="120"/>
        <w:rPr>
          <w:rFonts w:cs="Calibri"/>
        </w:rPr>
      </w:pPr>
      <w:r w:rsidRPr="00643E62">
        <w:rPr>
          <w:rFonts w:cs="Calibri"/>
        </w:rPr>
        <w:t>Approximately 65 per cent of submissions identified the need for trading arrangements that were transparent and accountable;</w:t>
      </w:r>
    </w:p>
    <w:p w:rsidR="00CA794F" w:rsidRPr="00643E62" w:rsidRDefault="009F4861" w:rsidP="00CA794F">
      <w:pPr>
        <w:pStyle w:val="ListBullet"/>
        <w:numPr>
          <w:ilvl w:val="0"/>
          <w:numId w:val="7"/>
        </w:numPr>
        <w:spacing w:after="120"/>
        <w:rPr>
          <w:rFonts w:cs="Calibri"/>
        </w:rPr>
      </w:pPr>
      <w:r w:rsidRPr="00643E62">
        <w:rPr>
          <w:rFonts w:cs="Calibri"/>
        </w:rPr>
        <w:t xml:space="preserve">More than 50 per cent of submissions were concerned about potential third party impacts resulting from the trade of Commonwealth environmental water, particularly in relation to impacts on carryover;  </w:t>
      </w:r>
      <w:r>
        <w:rPr>
          <w:rFonts w:cs="Calibri"/>
        </w:rPr>
        <w:t>and</w:t>
      </w:r>
    </w:p>
    <w:p w:rsidR="00CA794F" w:rsidRPr="00643E62" w:rsidRDefault="009F4861" w:rsidP="00CA794F">
      <w:pPr>
        <w:pStyle w:val="ListBullet"/>
        <w:numPr>
          <w:ilvl w:val="0"/>
          <w:numId w:val="7"/>
        </w:numPr>
        <w:spacing w:after="120"/>
        <w:rPr>
          <w:rFonts w:cs="Calibri"/>
        </w:rPr>
      </w:pPr>
      <w:r w:rsidRPr="00643E62">
        <w:rPr>
          <w:rFonts w:cs="Calibri"/>
        </w:rPr>
        <w:t xml:space="preserve">Just under 33 per cent commented on the need for more information about the Basin Plan’s Environmental Watering Plan and portfolio management activities; </w:t>
      </w:r>
    </w:p>
    <w:p w:rsidR="00CA794F" w:rsidRPr="00643E62" w:rsidRDefault="009F4861" w:rsidP="00CA794F">
      <w:pPr>
        <w:pStyle w:val="ListBullet"/>
        <w:numPr>
          <w:ilvl w:val="0"/>
          <w:numId w:val="7"/>
        </w:numPr>
        <w:spacing w:after="120"/>
        <w:rPr>
          <w:rFonts w:cs="Calibri"/>
        </w:rPr>
      </w:pPr>
      <w:r w:rsidRPr="00643E62">
        <w:rPr>
          <w:rFonts w:cs="Calibri"/>
        </w:rPr>
        <w:lastRenderedPageBreak/>
        <w:t>Approximately 15 per cent raised concerns about:</w:t>
      </w:r>
    </w:p>
    <w:p w:rsidR="00CA794F" w:rsidRPr="00643E62" w:rsidRDefault="009F4861" w:rsidP="00CA794F">
      <w:pPr>
        <w:pStyle w:val="ListBullet"/>
        <w:numPr>
          <w:ilvl w:val="1"/>
          <w:numId w:val="7"/>
        </w:numPr>
        <w:spacing w:after="120"/>
        <w:rPr>
          <w:rFonts w:cs="Calibri"/>
        </w:rPr>
      </w:pPr>
      <w:r w:rsidRPr="00643E62">
        <w:rPr>
          <w:rFonts w:cs="Calibri"/>
        </w:rPr>
        <w:t>potential conflicts of interest;</w:t>
      </w:r>
      <w:r>
        <w:rPr>
          <w:rFonts w:cs="Calibri"/>
        </w:rPr>
        <w:t xml:space="preserve"> and</w:t>
      </w:r>
    </w:p>
    <w:p w:rsidR="00CA794F" w:rsidRPr="00643E62" w:rsidRDefault="009F4861" w:rsidP="00CA794F">
      <w:pPr>
        <w:pStyle w:val="ListBullet"/>
        <w:numPr>
          <w:ilvl w:val="1"/>
          <w:numId w:val="7"/>
        </w:numPr>
        <w:spacing w:after="120"/>
        <w:rPr>
          <w:rFonts w:cs="Calibri"/>
        </w:rPr>
      </w:pPr>
      <w:r w:rsidRPr="00643E62">
        <w:rPr>
          <w:rFonts w:cs="Calibri"/>
        </w:rPr>
        <w:t xml:space="preserve">the need for additional controls and monitoring of trading activity; </w:t>
      </w:r>
    </w:p>
    <w:p w:rsidR="00CA794F" w:rsidRPr="00643E62" w:rsidRDefault="009F4861" w:rsidP="00CA794F">
      <w:pPr>
        <w:pStyle w:val="ListBullet"/>
        <w:numPr>
          <w:ilvl w:val="0"/>
          <w:numId w:val="7"/>
        </w:numPr>
        <w:spacing w:after="120"/>
        <w:rPr>
          <w:rFonts w:cs="Calibri"/>
        </w:rPr>
      </w:pPr>
      <w:r w:rsidRPr="00643E62">
        <w:rPr>
          <w:rFonts w:cs="Calibri"/>
        </w:rPr>
        <w:t>Approximately 10 per cent suggested that:</w:t>
      </w:r>
    </w:p>
    <w:p w:rsidR="00CA794F" w:rsidRPr="00643E62" w:rsidRDefault="009F4861" w:rsidP="00CA794F">
      <w:pPr>
        <w:pStyle w:val="ListBullet"/>
        <w:numPr>
          <w:ilvl w:val="1"/>
          <w:numId w:val="7"/>
        </w:numPr>
        <w:spacing w:after="120"/>
        <w:rPr>
          <w:rFonts w:cs="Calibri"/>
        </w:rPr>
      </w:pPr>
      <w:r w:rsidRPr="00643E62">
        <w:rPr>
          <w:rFonts w:cs="Calibri"/>
        </w:rPr>
        <w:t>the Water Act should be amended to provide CEWO with greater flexibility for trading;</w:t>
      </w:r>
      <w:r>
        <w:rPr>
          <w:rFonts w:cs="Calibri"/>
        </w:rPr>
        <w:t xml:space="preserve"> and</w:t>
      </w:r>
      <w:r w:rsidRPr="00643E62">
        <w:rPr>
          <w:rFonts w:cs="Calibri"/>
        </w:rPr>
        <w:t xml:space="preserve">  </w:t>
      </w:r>
    </w:p>
    <w:p w:rsidR="00CA794F" w:rsidRPr="00643E62" w:rsidRDefault="009F4861" w:rsidP="00CA794F">
      <w:pPr>
        <w:pStyle w:val="ListBullet"/>
        <w:numPr>
          <w:ilvl w:val="1"/>
          <w:numId w:val="7"/>
        </w:numPr>
        <w:spacing w:after="120"/>
        <w:rPr>
          <w:rFonts w:cs="Calibri"/>
        </w:rPr>
      </w:pPr>
      <w:proofErr w:type="gramStart"/>
      <w:r w:rsidRPr="00643E62">
        <w:rPr>
          <w:rFonts w:cs="Calibri"/>
        </w:rPr>
        <w:t>socio-economic</w:t>
      </w:r>
      <w:proofErr w:type="gramEnd"/>
      <w:r w:rsidRPr="00643E62">
        <w:rPr>
          <w:rFonts w:cs="Calibri"/>
        </w:rPr>
        <w:t xml:space="preserve"> issues should be considered as part of CEWO trade decisions.</w:t>
      </w:r>
    </w:p>
    <w:p w:rsidR="00CA794F" w:rsidRPr="00643E62" w:rsidRDefault="009F4861" w:rsidP="00CA794F">
      <w:pPr>
        <w:spacing w:after="120"/>
        <w:ind w:left="284" w:firstLine="0"/>
        <w:rPr>
          <w:rFonts w:cs="Calibri"/>
        </w:rPr>
      </w:pPr>
      <w:r w:rsidRPr="00643E62">
        <w:rPr>
          <w:rFonts w:cs="Calibri"/>
        </w:rPr>
        <w:t>In response to feedback received from a number of water market intermediaries</w:t>
      </w:r>
      <w:r>
        <w:rPr>
          <w:rStyle w:val="FootnoteReference"/>
          <w:rFonts w:cs="Calibri"/>
        </w:rPr>
        <w:footnoteReference w:id="2"/>
      </w:r>
      <w:r w:rsidRPr="00643E62">
        <w:rPr>
          <w:rFonts w:cs="Calibri"/>
        </w:rPr>
        <w:t>, an additional Request for Information was issued on 23 February 2012 seeking information on the specific services that intermediaries could provide to support the trade of Commonwealth environmental water. CEWO received seven submissions from water market intermediaries, all of which indicated a willingness to provide services to CEWO. Around half of intermediaries who responded indicated an ability to meet special requirements that the Commonwealth may have. CEWO will continue to investigate the ways in which water market intermediaries can support the future trade of Commonwealth environmental water.</w:t>
      </w:r>
    </w:p>
    <w:p w:rsidR="00CA794F" w:rsidRDefault="00CA794F" w:rsidP="00CA794F">
      <w:pPr>
        <w:pStyle w:val="Heading1"/>
        <w:numPr>
          <w:ilvl w:val="0"/>
          <w:numId w:val="13"/>
        </w:numPr>
        <w:spacing w:after="120"/>
        <w:sectPr w:rsidR="00CA794F" w:rsidSect="00CA794F">
          <w:pgSz w:w="11906" w:h="16838"/>
          <w:pgMar w:top="1418" w:right="1276" w:bottom="567" w:left="1418" w:header="425" w:footer="425" w:gutter="0"/>
          <w:cols w:space="708"/>
          <w:titlePg/>
          <w:docGrid w:linePitch="360"/>
        </w:sectPr>
      </w:pPr>
    </w:p>
    <w:p w:rsidR="00CA794F" w:rsidRDefault="009F4861" w:rsidP="00CA794F">
      <w:pPr>
        <w:pStyle w:val="Heading1"/>
        <w:numPr>
          <w:ilvl w:val="0"/>
          <w:numId w:val="13"/>
        </w:numPr>
        <w:spacing w:after="120"/>
      </w:pPr>
      <w:bookmarkStart w:id="119" w:name="_Toc256000041"/>
      <w:bookmarkStart w:id="120" w:name="_Toc256000015"/>
      <w:bookmarkStart w:id="121" w:name="_Toc373835463"/>
      <w:bookmarkStart w:id="122" w:name="_Toc373865186"/>
      <w:bookmarkStart w:id="123" w:name="_Toc375035188"/>
      <w:r w:rsidRPr="00417D9A">
        <w:lastRenderedPageBreak/>
        <w:t xml:space="preserve">COMPLIANCE WITH </w:t>
      </w:r>
      <w:r>
        <w:t>COMMONWEALTH AND S</w:t>
      </w:r>
      <w:r w:rsidRPr="00417D9A">
        <w:t xml:space="preserve">TATE </w:t>
      </w:r>
      <w:r>
        <w:t>LEGISLATION</w:t>
      </w:r>
      <w:bookmarkEnd w:id="119"/>
      <w:bookmarkEnd w:id="120"/>
      <w:bookmarkEnd w:id="121"/>
      <w:bookmarkEnd w:id="122"/>
      <w:bookmarkEnd w:id="123"/>
    </w:p>
    <w:p w:rsidR="00CA794F" w:rsidRDefault="009F4861" w:rsidP="00CA794F">
      <w:pPr>
        <w:spacing w:after="120"/>
        <w:ind w:firstLine="0"/>
      </w:pPr>
      <w:r>
        <w:t>Legislation is a necessary feature of the administration and accountability of government, and underpins a broad range of government functions.  In addition, a significant body of law governs the operating environment of government agencies in their day-to-day activities.</w:t>
      </w:r>
    </w:p>
    <w:p w:rsidR="00CA794F" w:rsidRPr="00B53D6A" w:rsidRDefault="009F4861" w:rsidP="00CA794F">
      <w:pPr>
        <w:spacing w:after="120"/>
        <w:ind w:firstLine="0"/>
      </w:pPr>
      <w:r w:rsidRPr="00844869">
        <w:rPr>
          <w:rFonts w:cs="Calibri"/>
        </w:rPr>
        <w:t xml:space="preserve">Commonwealth legislation applies specifically to the way </w:t>
      </w:r>
      <w:r>
        <w:rPr>
          <w:rFonts w:cs="Calibri"/>
        </w:rPr>
        <w:t xml:space="preserve">in which the CEWH and </w:t>
      </w:r>
      <w:r w:rsidRPr="00844869">
        <w:rPr>
          <w:rFonts w:cs="Calibri"/>
        </w:rPr>
        <w:t>CEWO operates, including its trading function</w:t>
      </w:r>
      <w:r>
        <w:rPr>
          <w:rFonts w:cs="Calibri"/>
        </w:rPr>
        <w:t>. S</w:t>
      </w:r>
      <w:r w:rsidRPr="00844869">
        <w:rPr>
          <w:rFonts w:cs="Calibri"/>
        </w:rPr>
        <w:t xml:space="preserve">tate water management legislation sets </w:t>
      </w:r>
      <w:r>
        <w:rPr>
          <w:rFonts w:cs="Calibri"/>
        </w:rPr>
        <w:t>out</w:t>
      </w:r>
      <w:r w:rsidRPr="00844869">
        <w:rPr>
          <w:rFonts w:cs="Calibri"/>
        </w:rPr>
        <w:t xml:space="preserve"> the rules that apply to </w:t>
      </w:r>
      <w:r>
        <w:rPr>
          <w:rFonts w:cs="Calibri"/>
        </w:rPr>
        <w:t>all</w:t>
      </w:r>
      <w:r w:rsidRPr="00844869">
        <w:rPr>
          <w:rFonts w:cs="Calibri"/>
        </w:rPr>
        <w:t xml:space="preserve"> </w:t>
      </w:r>
      <w:r>
        <w:rPr>
          <w:rFonts w:cs="Calibri"/>
        </w:rPr>
        <w:t xml:space="preserve">water </w:t>
      </w:r>
      <w:r w:rsidRPr="00B53D6A">
        <w:t>entitlements</w:t>
      </w:r>
      <w:r>
        <w:t>, including those</w:t>
      </w:r>
      <w:r w:rsidRPr="00B53D6A">
        <w:t xml:space="preserve"> that form part of the Commonwealth environmental water holdings.</w:t>
      </w:r>
    </w:p>
    <w:p w:rsidR="00CA794F" w:rsidRDefault="009F4861" w:rsidP="00CA794F">
      <w:pPr>
        <w:spacing w:after="120"/>
        <w:ind w:firstLine="0"/>
        <w:rPr>
          <w:rFonts w:cs="Calibri"/>
        </w:rPr>
      </w:pPr>
      <w:r w:rsidRPr="00B53D6A">
        <w:t>The CEWH and CEWO staff is required to comply with the following legislation and subservient</w:t>
      </w:r>
      <w:r>
        <w:rPr>
          <w:rFonts w:cs="Calibri"/>
        </w:rPr>
        <w:t xml:space="preserve"> regulations:</w:t>
      </w:r>
    </w:p>
    <w:p w:rsidR="00CA794F" w:rsidRDefault="009F4861" w:rsidP="00CA794F">
      <w:pPr>
        <w:pStyle w:val="ListBullet"/>
        <w:numPr>
          <w:ilvl w:val="0"/>
          <w:numId w:val="27"/>
        </w:numPr>
        <w:spacing w:after="240"/>
        <w:rPr>
          <w:rFonts w:cs="Calibri"/>
        </w:rPr>
      </w:pPr>
      <w:r>
        <w:rPr>
          <w:rFonts w:cs="Calibri"/>
        </w:rPr>
        <w:t xml:space="preserve">The </w:t>
      </w:r>
      <w:r w:rsidRPr="00685778">
        <w:rPr>
          <w:rFonts w:cs="Calibri"/>
          <w:i/>
        </w:rPr>
        <w:t>Water Act</w:t>
      </w:r>
      <w:r>
        <w:rPr>
          <w:rFonts w:cs="Calibri"/>
          <w:i/>
        </w:rPr>
        <w:t xml:space="preserve"> 2007</w:t>
      </w:r>
      <w:r>
        <w:rPr>
          <w:rFonts w:cs="Calibri"/>
        </w:rPr>
        <w:t xml:space="preserve"> and Basin Plan;</w:t>
      </w:r>
    </w:p>
    <w:p w:rsidR="00CA794F" w:rsidRDefault="009F4861" w:rsidP="00CA794F">
      <w:pPr>
        <w:pStyle w:val="ListBullet"/>
        <w:numPr>
          <w:ilvl w:val="0"/>
          <w:numId w:val="27"/>
        </w:numPr>
        <w:spacing w:after="120"/>
        <w:rPr>
          <w:rFonts w:cs="Calibri"/>
        </w:rPr>
      </w:pPr>
      <w:r w:rsidRPr="00A50F2B">
        <w:rPr>
          <w:i/>
        </w:rPr>
        <w:t>Public Service Act 1999, Public Service Regulations 1999</w:t>
      </w:r>
      <w:r>
        <w:t xml:space="preserve">, </w:t>
      </w:r>
      <w:r w:rsidRPr="00A50F2B">
        <w:t xml:space="preserve">the </w:t>
      </w:r>
      <w:r w:rsidRPr="003800D5">
        <w:rPr>
          <w:i/>
        </w:rPr>
        <w:t>Australian Public Service</w:t>
      </w:r>
      <w:r w:rsidRPr="00A50F2B">
        <w:t xml:space="preserve"> </w:t>
      </w:r>
      <w:r w:rsidRPr="00A50F2B">
        <w:rPr>
          <w:i/>
        </w:rPr>
        <w:t>Commissioners Directions 2013</w:t>
      </w:r>
      <w:r>
        <w:rPr>
          <w:rFonts w:cs="Calibri"/>
          <w:i/>
        </w:rPr>
        <w:t>,</w:t>
      </w:r>
      <w:r w:rsidRPr="00643E62">
        <w:rPr>
          <w:rFonts w:cs="Calibri"/>
          <w:i/>
        </w:rPr>
        <w:t xml:space="preserve"> </w:t>
      </w:r>
      <w:r>
        <w:rPr>
          <w:rFonts w:cs="Calibri"/>
        </w:rPr>
        <w:t>and the APS Values and Code of Conduct;</w:t>
      </w:r>
    </w:p>
    <w:p w:rsidR="00CA794F" w:rsidRPr="00643E62" w:rsidRDefault="009F4861" w:rsidP="00CA794F">
      <w:pPr>
        <w:pStyle w:val="ListBullet"/>
        <w:numPr>
          <w:ilvl w:val="0"/>
          <w:numId w:val="27"/>
        </w:numPr>
        <w:spacing w:after="120"/>
        <w:rPr>
          <w:rFonts w:cs="Calibri"/>
        </w:rPr>
      </w:pPr>
      <w:r w:rsidRPr="001B3222">
        <w:t>The</w:t>
      </w:r>
      <w:r>
        <w:rPr>
          <w:i/>
        </w:rPr>
        <w:t xml:space="preserve"> </w:t>
      </w:r>
      <w:r w:rsidRPr="00643E62">
        <w:rPr>
          <w:i/>
        </w:rPr>
        <w:t xml:space="preserve">Financial Management and Accountability Act 1997 </w:t>
      </w:r>
      <w:r w:rsidRPr="00643E62">
        <w:t>(FMA Act)</w:t>
      </w:r>
      <w:r>
        <w:t xml:space="preserve"> and the Commonwealth Procurement Rules (CPR);</w:t>
      </w:r>
    </w:p>
    <w:p w:rsidR="00CA794F" w:rsidRPr="003800D5" w:rsidRDefault="009F4861" w:rsidP="00CA794F">
      <w:pPr>
        <w:pStyle w:val="ListBullet"/>
        <w:numPr>
          <w:ilvl w:val="0"/>
          <w:numId w:val="27"/>
        </w:numPr>
        <w:spacing w:after="120"/>
        <w:rPr>
          <w:rFonts w:cs="Calibri"/>
          <w:i/>
        </w:rPr>
      </w:pPr>
      <w:r w:rsidRPr="00643E62">
        <w:rPr>
          <w:rFonts w:cs="Calibri"/>
          <w:i/>
        </w:rPr>
        <w:t>Freedom of Information Act 1982 (</w:t>
      </w:r>
      <w:r w:rsidRPr="00643E62">
        <w:rPr>
          <w:rFonts w:cs="Calibri"/>
        </w:rPr>
        <w:t>FOI Act)</w:t>
      </w:r>
      <w:r>
        <w:rPr>
          <w:rFonts w:cs="Calibri"/>
        </w:rPr>
        <w:t>; and</w:t>
      </w:r>
      <w:r w:rsidRPr="003800D5">
        <w:rPr>
          <w:rFonts w:cs="Calibri"/>
        </w:rPr>
        <w:t xml:space="preserve"> </w:t>
      </w:r>
    </w:p>
    <w:p w:rsidR="00CA794F" w:rsidRPr="00643E62" w:rsidRDefault="009F4861" w:rsidP="00CA794F">
      <w:pPr>
        <w:pStyle w:val="ListBullet"/>
        <w:numPr>
          <w:ilvl w:val="0"/>
          <w:numId w:val="27"/>
        </w:numPr>
        <w:spacing w:after="120"/>
        <w:rPr>
          <w:rFonts w:cs="Calibri"/>
          <w:i/>
        </w:rPr>
      </w:pPr>
      <w:r>
        <w:rPr>
          <w:rFonts w:cs="Calibri"/>
        </w:rPr>
        <w:t xml:space="preserve">Relevant </w:t>
      </w:r>
      <w:r w:rsidRPr="00643E62">
        <w:rPr>
          <w:rFonts w:cs="Calibri"/>
        </w:rPr>
        <w:t>State</w:t>
      </w:r>
      <w:r>
        <w:rPr>
          <w:rFonts w:cs="Calibri"/>
        </w:rPr>
        <w:t xml:space="preserve"> </w:t>
      </w:r>
      <w:r w:rsidRPr="00643E62">
        <w:rPr>
          <w:rFonts w:cs="Calibri"/>
        </w:rPr>
        <w:t>water management legislation</w:t>
      </w:r>
      <w:r>
        <w:rPr>
          <w:rFonts w:cs="Calibri"/>
        </w:rPr>
        <w:t>.</w:t>
      </w:r>
    </w:p>
    <w:p w:rsidR="00CA794F" w:rsidRDefault="009F4861" w:rsidP="00CA794F">
      <w:pPr>
        <w:pStyle w:val="Heading1"/>
        <w:numPr>
          <w:ilvl w:val="1"/>
          <w:numId w:val="13"/>
        </w:numPr>
        <w:spacing w:after="120"/>
      </w:pPr>
      <w:r w:rsidRPr="0022035E">
        <w:t xml:space="preserve"> </w:t>
      </w:r>
      <w:bookmarkStart w:id="124" w:name="_Toc372718817"/>
      <w:bookmarkStart w:id="125" w:name="_Toc372718858"/>
      <w:bookmarkStart w:id="126" w:name="_Toc372719420"/>
      <w:bookmarkStart w:id="127" w:name="_Toc372724382"/>
      <w:bookmarkStart w:id="128" w:name="_Toc372791131"/>
      <w:bookmarkStart w:id="129" w:name="_Toc373235015"/>
      <w:bookmarkStart w:id="130" w:name="_Toc373243814"/>
      <w:bookmarkStart w:id="131" w:name="_Toc373410830"/>
      <w:bookmarkStart w:id="132" w:name="_Toc256000042"/>
      <w:bookmarkStart w:id="133" w:name="_Toc256000016"/>
      <w:bookmarkStart w:id="134" w:name="_Toc373835464"/>
      <w:bookmarkStart w:id="135" w:name="_Toc373865187"/>
      <w:bookmarkStart w:id="136" w:name="_Toc375035189"/>
      <w:bookmarkEnd w:id="124"/>
      <w:bookmarkEnd w:id="125"/>
      <w:bookmarkEnd w:id="126"/>
      <w:bookmarkEnd w:id="127"/>
      <w:bookmarkEnd w:id="128"/>
      <w:bookmarkEnd w:id="129"/>
      <w:bookmarkEnd w:id="130"/>
      <w:bookmarkEnd w:id="131"/>
      <w:r>
        <w:t>The Water Act</w:t>
      </w:r>
      <w:bookmarkEnd w:id="132"/>
      <w:bookmarkEnd w:id="133"/>
      <w:bookmarkEnd w:id="134"/>
      <w:bookmarkEnd w:id="135"/>
      <w:bookmarkEnd w:id="136"/>
    </w:p>
    <w:p w:rsidR="00CA794F" w:rsidRPr="00927DD3" w:rsidRDefault="009F4861" w:rsidP="00CA794F">
      <w:pPr>
        <w:pStyle w:val="ListBullet"/>
        <w:spacing w:after="120"/>
        <w:ind w:left="360" w:firstLine="0"/>
        <w:rPr>
          <w:rFonts w:cs="Calibri"/>
        </w:rPr>
      </w:pPr>
      <w:r>
        <w:rPr>
          <w:rFonts w:cs="Calibri"/>
        </w:rPr>
        <w:t xml:space="preserve">The Water Act and Basin Plan limit the circumstances under which trade can occur, and, the information that can be used when making a trade decision. </w:t>
      </w:r>
      <w:r w:rsidRPr="00643E62">
        <w:rPr>
          <w:rFonts w:cs="Arial"/>
        </w:rPr>
        <w:t>The Water Act is the primary legislation governing the CEWH</w:t>
      </w:r>
      <w:r>
        <w:rPr>
          <w:rFonts w:cs="Arial"/>
        </w:rPr>
        <w:t>;</w:t>
      </w:r>
      <w:r w:rsidRPr="00643E62">
        <w:rPr>
          <w:rFonts w:cs="Arial"/>
        </w:rPr>
        <w:t xml:space="preserve"> it allows for the establishment </w:t>
      </w:r>
      <w:r>
        <w:rPr>
          <w:rFonts w:cs="Arial"/>
        </w:rPr>
        <w:t xml:space="preserve">of </w:t>
      </w:r>
      <w:r w:rsidRPr="00643E62">
        <w:rPr>
          <w:rFonts w:cs="Arial"/>
        </w:rPr>
        <w:t xml:space="preserve">and </w:t>
      </w:r>
      <w:r>
        <w:rPr>
          <w:rFonts w:cs="Arial"/>
        </w:rPr>
        <w:t xml:space="preserve">carrying out of the </w:t>
      </w:r>
      <w:r w:rsidRPr="00643E62">
        <w:rPr>
          <w:rFonts w:cs="Arial"/>
        </w:rPr>
        <w:t>functions of the CEWH</w:t>
      </w:r>
      <w:r>
        <w:rPr>
          <w:rFonts w:cs="Arial"/>
        </w:rPr>
        <w:t xml:space="preserve">. </w:t>
      </w:r>
    </w:p>
    <w:p w:rsidR="00CA794F" w:rsidRDefault="009F4861" w:rsidP="00CA794F">
      <w:pPr>
        <w:pStyle w:val="ListBullet"/>
        <w:spacing w:after="120"/>
        <w:ind w:left="360" w:firstLine="0"/>
        <w:rPr>
          <w:rFonts w:cs="Arial"/>
        </w:rPr>
      </w:pPr>
      <w:r w:rsidRPr="00643E62">
        <w:rPr>
          <w:rFonts w:cs="Calibri"/>
        </w:rPr>
        <w:t xml:space="preserve">Section 105 </w:t>
      </w:r>
      <w:r>
        <w:rPr>
          <w:rFonts w:cs="Calibri"/>
        </w:rPr>
        <w:t>of the Water Act</w:t>
      </w:r>
      <w:r w:rsidRPr="00643E62">
        <w:rPr>
          <w:rFonts w:cs="Calibri"/>
        </w:rPr>
        <w:t xml:space="preserve"> require</w:t>
      </w:r>
      <w:r>
        <w:rPr>
          <w:rFonts w:cs="Calibri"/>
        </w:rPr>
        <w:t>s</w:t>
      </w:r>
      <w:r w:rsidRPr="00643E62">
        <w:rPr>
          <w:rFonts w:cs="Calibri"/>
        </w:rPr>
        <w:t xml:space="preserve"> all decisions relating to use, carryover, or trade of </w:t>
      </w:r>
      <w:r>
        <w:rPr>
          <w:rFonts w:cs="Calibri"/>
        </w:rPr>
        <w:t xml:space="preserve">Commonwealth environmental </w:t>
      </w:r>
      <w:r w:rsidRPr="00643E62">
        <w:rPr>
          <w:rFonts w:cs="Calibri"/>
        </w:rPr>
        <w:t>water made by CEW</w:t>
      </w:r>
      <w:r>
        <w:rPr>
          <w:rFonts w:cs="Calibri"/>
        </w:rPr>
        <w:t>H</w:t>
      </w:r>
      <w:r w:rsidRPr="00643E62">
        <w:rPr>
          <w:rFonts w:cs="Calibri"/>
        </w:rPr>
        <w:t xml:space="preserve"> </w:t>
      </w:r>
      <w:r>
        <w:rPr>
          <w:rFonts w:cs="Calibri"/>
        </w:rPr>
        <w:t>to</w:t>
      </w:r>
      <w:r w:rsidRPr="00643E62">
        <w:rPr>
          <w:rFonts w:cs="Calibri"/>
        </w:rPr>
        <w:t xml:space="preserve"> be justified (and documented) by reference to the objectives of managing the holdings for the purpose of protecting or restoring the environmental assets of the Basin</w:t>
      </w:r>
      <w:r>
        <w:rPr>
          <w:rFonts w:cs="Calibri"/>
        </w:rPr>
        <w:t xml:space="preserve">. </w:t>
      </w:r>
      <w:r w:rsidRPr="00643E62">
        <w:t>Trade is not an end unto itself but rather a tool for enhancing environmental watering capacity</w:t>
      </w:r>
      <w:r>
        <w:t>.</w:t>
      </w:r>
    </w:p>
    <w:p w:rsidR="00CA794F" w:rsidRPr="00B53D6A" w:rsidRDefault="009F4861" w:rsidP="00CA794F">
      <w:pPr>
        <w:pStyle w:val="ListBullet"/>
        <w:spacing w:after="120"/>
        <w:ind w:left="360" w:firstLine="0"/>
        <w:rPr>
          <w:rFonts w:cs="Arial"/>
        </w:rPr>
      </w:pPr>
      <w:r w:rsidRPr="00B53D6A">
        <w:rPr>
          <w:rFonts w:cs="Arial"/>
        </w:rPr>
        <w:t>In relation to trade, the Water Act outlines the powers of the CEWH, which includes under what circumstance trade can be undertaken, and the purpose of the trade. Section 106 ‘ Limitation on disposal of water and Commonwealth environmental water holdings’ states:</w:t>
      </w:r>
    </w:p>
    <w:p w:rsidR="00CA794F" w:rsidRPr="00F30F6D" w:rsidRDefault="009F4861" w:rsidP="00CA794F">
      <w:pPr>
        <w:pStyle w:val="ListBullet"/>
        <w:spacing w:after="120"/>
        <w:ind w:left="360" w:firstLine="0"/>
        <w:rPr>
          <w:rFonts w:cs="Arial"/>
          <w:i/>
        </w:rPr>
      </w:pPr>
      <w:r w:rsidRPr="00F30F6D">
        <w:rPr>
          <w:rFonts w:cs="Arial"/>
          <w:i/>
        </w:rPr>
        <w:t>(1) The Commonwealth Environmental Water Holder may dispose of water and Commonwealth environmental water holdings during a water accounting period if the water or the water holdings:</w:t>
      </w:r>
    </w:p>
    <w:p w:rsidR="00CA794F" w:rsidRPr="00F30F6D" w:rsidRDefault="009F4861" w:rsidP="00CA794F">
      <w:pPr>
        <w:ind w:left="1134" w:firstLine="0"/>
        <w:rPr>
          <w:i/>
        </w:rPr>
      </w:pPr>
      <w:r w:rsidRPr="00F30F6D">
        <w:rPr>
          <w:i/>
        </w:rPr>
        <w:t>(</w:t>
      </w:r>
      <w:proofErr w:type="gramStart"/>
      <w:r w:rsidRPr="00F30F6D">
        <w:rPr>
          <w:i/>
        </w:rPr>
        <w:t>a</w:t>
      </w:r>
      <w:proofErr w:type="gramEnd"/>
      <w:r w:rsidRPr="00F30F6D">
        <w:rPr>
          <w:i/>
        </w:rPr>
        <w:t>) are not required in the water accounting period to meet the objectives of:</w:t>
      </w:r>
    </w:p>
    <w:p w:rsidR="00CA794F" w:rsidRPr="00F30F6D" w:rsidRDefault="009F4861" w:rsidP="00CA794F">
      <w:pPr>
        <w:ind w:left="1843" w:firstLine="0"/>
        <w:rPr>
          <w:i/>
        </w:rPr>
      </w:pPr>
      <w:r w:rsidRPr="00F30F6D">
        <w:rPr>
          <w:i/>
        </w:rPr>
        <w:t>(</w:t>
      </w:r>
      <w:proofErr w:type="spellStart"/>
      <w:r w:rsidRPr="00F30F6D">
        <w:rPr>
          <w:i/>
        </w:rPr>
        <w:t>i</w:t>
      </w:r>
      <w:proofErr w:type="spellEnd"/>
      <w:r w:rsidRPr="00F30F6D">
        <w:rPr>
          <w:i/>
        </w:rPr>
        <w:t xml:space="preserve">) </w:t>
      </w:r>
      <w:proofErr w:type="gramStart"/>
      <w:r w:rsidRPr="00F30F6D">
        <w:rPr>
          <w:i/>
        </w:rPr>
        <w:t>if</w:t>
      </w:r>
      <w:proofErr w:type="gramEnd"/>
      <w:r w:rsidRPr="00F30F6D">
        <w:rPr>
          <w:i/>
        </w:rPr>
        <w:t xml:space="preserve"> the water is in, or the water holdings relate to water in, the Murray</w:t>
      </w:r>
      <w:r w:rsidRPr="00F30F6D">
        <w:rPr>
          <w:rFonts w:ascii="MS Mincho" w:eastAsia="MS Mincho" w:hAnsi="MS Mincho" w:cs="MS Mincho" w:hint="eastAsia"/>
          <w:i/>
        </w:rPr>
        <w:t>‑</w:t>
      </w:r>
      <w:proofErr w:type="spellStart"/>
      <w:r w:rsidRPr="00F30F6D">
        <w:rPr>
          <w:i/>
        </w:rPr>
        <w:t>Darling</w:t>
      </w:r>
      <w:proofErr w:type="spellEnd"/>
      <w:r w:rsidRPr="00F30F6D">
        <w:rPr>
          <w:i/>
        </w:rPr>
        <w:t xml:space="preserve"> Basin—the environmental watering plan; or</w:t>
      </w:r>
    </w:p>
    <w:p w:rsidR="00CA794F" w:rsidRPr="00F30F6D" w:rsidRDefault="009F4861" w:rsidP="00CA794F">
      <w:pPr>
        <w:ind w:left="1843" w:firstLine="0"/>
        <w:rPr>
          <w:i/>
        </w:rPr>
      </w:pPr>
      <w:r w:rsidRPr="00F30F6D">
        <w:rPr>
          <w:i/>
        </w:rPr>
        <w:t>(ii) if the water is in, or the water holdings relate to water in, an area outside the Murray</w:t>
      </w:r>
      <w:r w:rsidRPr="00F30F6D">
        <w:rPr>
          <w:rFonts w:hint="eastAsia"/>
          <w:i/>
        </w:rPr>
        <w:t>‑</w:t>
      </w:r>
      <w:proofErr w:type="spellStart"/>
      <w:r w:rsidRPr="00F30F6D">
        <w:rPr>
          <w:i/>
        </w:rPr>
        <w:t>Darling</w:t>
      </w:r>
      <w:proofErr w:type="spellEnd"/>
      <w:r w:rsidRPr="00F30F6D">
        <w:rPr>
          <w:i/>
        </w:rPr>
        <w:t xml:space="preserve"> Basin—any plans specified in the regulations in relation to that area; or</w:t>
      </w:r>
    </w:p>
    <w:p w:rsidR="00CA794F" w:rsidRPr="00F30F6D" w:rsidRDefault="009F4861" w:rsidP="00CA794F">
      <w:pPr>
        <w:ind w:left="1843" w:firstLine="0"/>
        <w:rPr>
          <w:i/>
        </w:rPr>
      </w:pPr>
      <w:r w:rsidRPr="00F30F6D">
        <w:rPr>
          <w:i/>
        </w:rPr>
        <w:t xml:space="preserve">(iii) </w:t>
      </w:r>
      <w:proofErr w:type="gramStart"/>
      <w:r w:rsidRPr="00F30F6D">
        <w:rPr>
          <w:i/>
        </w:rPr>
        <w:t>any</w:t>
      </w:r>
      <w:proofErr w:type="gramEnd"/>
      <w:r w:rsidRPr="00F30F6D">
        <w:rPr>
          <w:i/>
        </w:rPr>
        <w:t xml:space="preserve"> applicable envi</w:t>
      </w:r>
      <w:r>
        <w:rPr>
          <w:i/>
        </w:rPr>
        <w:t>ronmental watering schedules; and</w:t>
      </w:r>
    </w:p>
    <w:p w:rsidR="00CA794F" w:rsidRPr="00F30F6D" w:rsidRDefault="009F4861" w:rsidP="00CA794F">
      <w:pPr>
        <w:ind w:left="1134" w:firstLine="0"/>
        <w:rPr>
          <w:i/>
        </w:rPr>
      </w:pPr>
      <w:r w:rsidRPr="00F30F6D">
        <w:rPr>
          <w:i/>
        </w:rPr>
        <w:t xml:space="preserve">(b) </w:t>
      </w:r>
      <w:proofErr w:type="gramStart"/>
      <w:r w:rsidRPr="00F30F6D">
        <w:rPr>
          <w:i/>
        </w:rPr>
        <w:t>cannot</w:t>
      </w:r>
      <w:proofErr w:type="gramEnd"/>
      <w:r w:rsidRPr="00F30F6D">
        <w:rPr>
          <w:i/>
        </w:rPr>
        <w:t xml:space="preserve"> be carried over into the next water accounting period.</w:t>
      </w:r>
    </w:p>
    <w:p w:rsidR="00CA794F" w:rsidRPr="00F30F6D" w:rsidRDefault="00CA794F" w:rsidP="00CA794F">
      <w:pPr>
        <w:rPr>
          <w:i/>
        </w:rPr>
      </w:pPr>
    </w:p>
    <w:p w:rsidR="00CA794F" w:rsidRPr="00F30F6D" w:rsidRDefault="009F4861" w:rsidP="00CA794F">
      <w:pPr>
        <w:pStyle w:val="ListBullet"/>
        <w:spacing w:after="120"/>
        <w:ind w:left="360" w:firstLine="0"/>
        <w:rPr>
          <w:rFonts w:cs="Arial"/>
          <w:i/>
        </w:rPr>
      </w:pPr>
      <w:r w:rsidRPr="00F30F6D">
        <w:rPr>
          <w:rFonts w:cs="Arial"/>
          <w:i/>
        </w:rPr>
        <w:lastRenderedPageBreak/>
        <w:t xml:space="preserve">(2) </w:t>
      </w:r>
      <w:r>
        <w:rPr>
          <w:rFonts w:cs="Arial"/>
          <w:i/>
        </w:rPr>
        <w:t xml:space="preserve">However, this section does not apply to a disposal of water or </w:t>
      </w:r>
      <w:r w:rsidRPr="00F30F6D">
        <w:rPr>
          <w:rFonts w:cs="Arial"/>
          <w:i/>
        </w:rPr>
        <w:t xml:space="preserve">Commonwealth environmental water holdings </w:t>
      </w:r>
      <w:r>
        <w:rPr>
          <w:rFonts w:cs="Arial"/>
          <w:i/>
        </w:rPr>
        <w:t xml:space="preserve">if </w:t>
      </w:r>
      <w:r w:rsidRPr="00F30F6D">
        <w:rPr>
          <w:rFonts w:cs="Arial"/>
          <w:i/>
        </w:rPr>
        <w:t xml:space="preserve">water or water holdings </w:t>
      </w:r>
      <w:r>
        <w:rPr>
          <w:rFonts w:cs="Arial"/>
          <w:i/>
        </w:rPr>
        <w:t xml:space="preserve">acquired with the proceeds of the disposal </w:t>
      </w:r>
      <w:r w:rsidRPr="00F30F6D">
        <w:rPr>
          <w:rFonts w:cs="Arial"/>
          <w:i/>
        </w:rPr>
        <w:t>will improve the capacity of the Commonwealth environmental water holdings to be applied to meet the objectives of one or more of the following:</w:t>
      </w:r>
    </w:p>
    <w:p w:rsidR="00CA794F" w:rsidRPr="00F30F6D" w:rsidRDefault="009F4861" w:rsidP="00CA794F">
      <w:pPr>
        <w:ind w:left="1134" w:firstLine="0"/>
        <w:rPr>
          <w:i/>
        </w:rPr>
      </w:pPr>
      <w:r w:rsidRPr="00F30F6D">
        <w:rPr>
          <w:i/>
        </w:rPr>
        <w:t xml:space="preserve">(a) </w:t>
      </w:r>
      <w:proofErr w:type="gramStart"/>
      <w:r w:rsidRPr="00F30F6D">
        <w:rPr>
          <w:i/>
        </w:rPr>
        <w:t>the</w:t>
      </w:r>
      <w:proofErr w:type="gramEnd"/>
      <w:r w:rsidRPr="00F30F6D">
        <w:rPr>
          <w:i/>
        </w:rPr>
        <w:t xml:space="preserve"> environmental watering plan;</w:t>
      </w:r>
    </w:p>
    <w:p w:rsidR="00CA794F" w:rsidRPr="00F30F6D" w:rsidRDefault="009F4861" w:rsidP="00CA794F">
      <w:pPr>
        <w:ind w:left="1134" w:firstLine="0"/>
        <w:rPr>
          <w:i/>
        </w:rPr>
      </w:pPr>
      <w:r w:rsidRPr="00F30F6D">
        <w:rPr>
          <w:i/>
        </w:rPr>
        <w:t xml:space="preserve">(b) </w:t>
      </w:r>
      <w:proofErr w:type="gramStart"/>
      <w:r w:rsidRPr="00F30F6D">
        <w:rPr>
          <w:i/>
        </w:rPr>
        <w:t>a</w:t>
      </w:r>
      <w:proofErr w:type="gramEnd"/>
      <w:r w:rsidRPr="00F30F6D">
        <w:rPr>
          <w:i/>
        </w:rPr>
        <w:t xml:space="preserve"> plan specified in the regulations in relation to an area outside the Murray</w:t>
      </w:r>
      <w:r w:rsidRPr="00F30F6D">
        <w:rPr>
          <w:rFonts w:hint="eastAsia"/>
          <w:i/>
        </w:rPr>
        <w:t>‑</w:t>
      </w:r>
      <w:proofErr w:type="spellStart"/>
      <w:r w:rsidRPr="00F30F6D">
        <w:rPr>
          <w:i/>
        </w:rPr>
        <w:t>Darling</w:t>
      </w:r>
      <w:proofErr w:type="spellEnd"/>
      <w:r w:rsidRPr="00F30F6D">
        <w:rPr>
          <w:i/>
        </w:rPr>
        <w:t xml:space="preserve"> Basin;</w:t>
      </w:r>
    </w:p>
    <w:p w:rsidR="00CA794F" w:rsidRPr="00F30F6D" w:rsidRDefault="009F4861" w:rsidP="00CA794F">
      <w:pPr>
        <w:ind w:left="1134" w:firstLine="0"/>
        <w:rPr>
          <w:i/>
        </w:rPr>
      </w:pPr>
      <w:r w:rsidRPr="00F30F6D">
        <w:rPr>
          <w:i/>
        </w:rPr>
        <w:t xml:space="preserve">(c) </w:t>
      </w:r>
      <w:proofErr w:type="gramStart"/>
      <w:r w:rsidRPr="00F30F6D">
        <w:rPr>
          <w:i/>
        </w:rPr>
        <w:t>protecting</w:t>
      </w:r>
      <w:proofErr w:type="gramEnd"/>
      <w:r w:rsidRPr="00F30F6D">
        <w:rPr>
          <w:i/>
        </w:rPr>
        <w:t xml:space="preserve"> or restoring the environmental assets of an area outside the Murray</w:t>
      </w:r>
      <w:r w:rsidRPr="00F30F6D">
        <w:rPr>
          <w:rFonts w:hint="eastAsia"/>
          <w:i/>
        </w:rPr>
        <w:t>‑</w:t>
      </w:r>
      <w:proofErr w:type="spellStart"/>
      <w:r w:rsidRPr="00F30F6D">
        <w:rPr>
          <w:i/>
        </w:rPr>
        <w:t>Darling</w:t>
      </w:r>
      <w:proofErr w:type="spellEnd"/>
      <w:r w:rsidRPr="00F30F6D">
        <w:rPr>
          <w:i/>
        </w:rPr>
        <w:t xml:space="preserve"> Basin in relation to which those regulations do not specify a plan.</w:t>
      </w:r>
    </w:p>
    <w:p w:rsidR="00CA794F" w:rsidRPr="00EF53FF" w:rsidRDefault="00CA794F" w:rsidP="00CA794F">
      <w:pPr>
        <w:ind w:left="1134" w:firstLine="0"/>
      </w:pPr>
    </w:p>
    <w:p w:rsidR="00CA794F" w:rsidRDefault="009F4861" w:rsidP="00CA794F">
      <w:pPr>
        <w:pStyle w:val="ListBullet"/>
        <w:spacing w:after="120"/>
        <w:ind w:left="360" w:firstLine="0"/>
        <w:rPr>
          <w:rFonts w:cs="Arial"/>
        </w:rPr>
      </w:pPr>
      <w:r>
        <w:rPr>
          <w:rFonts w:cs="Arial"/>
        </w:rPr>
        <w:t xml:space="preserve">The Water Act also provides for the </w:t>
      </w:r>
      <w:r w:rsidRPr="00643E62">
        <w:rPr>
          <w:rFonts w:cs="Calibri"/>
        </w:rPr>
        <w:t>independence of the CEWH from direction</w:t>
      </w:r>
      <w:r>
        <w:rPr>
          <w:rFonts w:cs="Calibri"/>
        </w:rPr>
        <w:t xml:space="preserve"> by either the Minister or Secretary of the Department</w:t>
      </w:r>
      <w:r w:rsidRPr="00643E62">
        <w:rPr>
          <w:rFonts w:cs="Calibri"/>
        </w:rPr>
        <w:t xml:space="preserve"> on </w:t>
      </w:r>
      <w:r>
        <w:rPr>
          <w:rFonts w:cs="Calibri"/>
        </w:rPr>
        <w:t>function</w:t>
      </w:r>
      <w:r w:rsidRPr="00643E62">
        <w:rPr>
          <w:rFonts w:cs="Calibri"/>
        </w:rPr>
        <w:t>s related to trade</w:t>
      </w:r>
      <w:r w:rsidRPr="00643E62">
        <w:rPr>
          <w:rFonts w:cs="Arial"/>
        </w:rPr>
        <w:t>.</w:t>
      </w:r>
    </w:p>
    <w:p w:rsidR="00CA794F" w:rsidRPr="005602F3" w:rsidRDefault="009F4861" w:rsidP="00CA794F">
      <w:pPr>
        <w:pStyle w:val="Heading1"/>
        <w:numPr>
          <w:ilvl w:val="2"/>
          <w:numId w:val="13"/>
        </w:numPr>
        <w:spacing w:after="120"/>
      </w:pPr>
      <w:bookmarkStart w:id="137" w:name="_Toc256000043"/>
      <w:bookmarkStart w:id="138" w:name="_Toc256000017"/>
      <w:bookmarkStart w:id="139" w:name="_Toc373835465"/>
      <w:bookmarkStart w:id="140" w:name="_Toc373858672"/>
      <w:bookmarkStart w:id="141" w:name="_Toc373865188"/>
      <w:bookmarkStart w:id="142" w:name="_Toc375035190"/>
      <w:r w:rsidRPr="005602F3">
        <w:t>The Basin Plan</w:t>
      </w:r>
      <w:bookmarkEnd w:id="137"/>
      <w:bookmarkEnd w:id="138"/>
      <w:bookmarkEnd w:id="139"/>
      <w:bookmarkEnd w:id="140"/>
      <w:bookmarkEnd w:id="141"/>
      <w:bookmarkEnd w:id="142"/>
    </w:p>
    <w:p w:rsidR="00CA794F" w:rsidRDefault="009F4861" w:rsidP="00CA794F">
      <w:pPr>
        <w:pStyle w:val="ListBullet"/>
        <w:spacing w:after="120"/>
        <w:ind w:left="426" w:firstLine="0"/>
        <w:rPr>
          <w:rFonts w:cs="Calibri"/>
        </w:rPr>
      </w:pPr>
      <w:r w:rsidRPr="00643E62">
        <w:t>The Water Act places an obligation on the CEWH “to perform its functions and exercise its powers consistently with and in a manner that gives effect to the Basin Plan</w:t>
      </w:r>
      <w:r w:rsidRPr="00D74649">
        <w:t xml:space="preserve">”. </w:t>
      </w:r>
      <w:r w:rsidRPr="00D74649">
        <w:rPr>
          <w:rFonts w:cs="Arial"/>
        </w:rPr>
        <w:t xml:space="preserve">The Basin Plan places a number of obligations on the use, trade and monitoring of Commonwealth environmental water, as well </w:t>
      </w:r>
      <w:r>
        <w:rPr>
          <w:rFonts w:cs="Arial"/>
        </w:rPr>
        <w:t>as re</w:t>
      </w:r>
      <w:r w:rsidRPr="00D74649">
        <w:rPr>
          <w:rFonts w:cs="Arial"/>
        </w:rPr>
        <w:t xml:space="preserve">porting requirements. </w:t>
      </w:r>
    </w:p>
    <w:p w:rsidR="00CA794F" w:rsidRDefault="009F4861" w:rsidP="00CA794F">
      <w:pPr>
        <w:pStyle w:val="ListBullet"/>
        <w:spacing w:after="120"/>
        <w:ind w:left="426" w:firstLine="0"/>
        <w:rPr>
          <w:rFonts w:cs="Calibri"/>
        </w:rPr>
      </w:pPr>
      <w:r>
        <w:rPr>
          <w:rFonts w:cs="Calibri"/>
        </w:rPr>
        <w:t xml:space="preserve">Chapter 12 of the Basin Plan sets out the water trade rules. Requirements relating to information to be made available are expressly stated in Division 5.  These rules </w:t>
      </w:r>
      <w:r>
        <w:t>govern how persons or agencies are to behave if they are aware of information that has not been made generally available and that could materially affect a person’s decision to trade water.</w:t>
      </w:r>
    </w:p>
    <w:p w:rsidR="00CA794F" w:rsidRPr="00B43C16" w:rsidRDefault="009F4861" w:rsidP="00CA794F">
      <w:pPr>
        <w:pStyle w:val="ListBullet"/>
        <w:spacing w:after="120"/>
        <w:ind w:left="426" w:firstLine="0"/>
        <w:rPr>
          <w:rFonts w:cs="Calibri"/>
        </w:rPr>
      </w:pPr>
      <w:r w:rsidRPr="00B43C16">
        <w:rPr>
          <w:rFonts w:cs="Calibri"/>
        </w:rPr>
        <w:t xml:space="preserve">For the trade of Commonwealth environmental water, the key elements of the </w:t>
      </w:r>
      <w:r w:rsidRPr="00B52C0A">
        <w:t>trade rules</w:t>
      </w:r>
      <w:r w:rsidRPr="00B43C16">
        <w:rPr>
          <w:rFonts w:cs="Calibri"/>
        </w:rPr>
        <w:t xml:space="preserve"> are:</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12.49(1) – Definition of material effect</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12.49(2) – Definition of a water announcement</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12.49(3)(b) – Trading in accordance with a trading strategy</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12.50 – Water announcements to be made generally available</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12.51 – Person not to trade if aware of a water announcement not generally available</w:t>
      </w:r>
      <w:r>
        <w:rPr>
          <w:rFonts w:cs="Calibri"/>
          <w:i/>
        </w:rPr>
        <w:t>; and</w:t>
      </w:r>
    </w:p>
    <w:p w:rsidR="00CA794F" w:rsidRDefault="009F4861" w:rsidP="00CA794F">
      <w:pPr>
        <w:pStyle w:val="ListBullet"/>
        <w:numPr>
          <w:ilvl w:val="0"/>
          <w:numId w:val="26"/>
        </w:numPr>
        <w:spacing w:after="120"/>
        <w:ind w:left="426" w:firstLine="0"/>
        <w:rPr>
          <w:rFonts w:cs="Calibri"/>
          <w:i/>
        </w:rPr>
      </w:pPr>
      <w:r w:rsidRPr="00B43C16">
        <w:rPr>
          <w:rFonts w:cs="Calibri"/>
          <w:i/>
        </w:rPr>
        <w:t xml:space="preserve">12.52 – Chinese </w:t>
      </w:r>
      <w:proofErr w:type="gramStart"/>
      <w:r w:rsidRPr="00B43C16">
        <w:rPr>
          <w:rFonts w:cs="Calibri"/>
          <w:i/>
        </w:rPr>
        <w:t>Wall</w:t>
      </w:r>
      <w:proofErr w:type="gramEnd"/>
      <w:r w:rsidRPr="00B43C16">
        <w:rPr>
          <w:rFonts w:cs="Calibri"/>
          <w:i/>
        </w:rPr>
        <w:t xml:space="preserve"> arrangements for agencies</w:t>
      </w:r>
      <w:r>
        <w:rPr>
          <w:rFonts w:cs="Calibri"/>
          <w:i/>
        </w:rPr>
        <w:t>.</w:t>
      </w:r>
    </w:p>
    <w:p w:rsidR="00CA794F" w:rsidRPr="00785603" w:rsidRDefault="009F4861" w:rsidP="00CA794F">
      <w:pPr>
        <w:pStyle w:val="ListBullet"/>
        <w:spacing w:after="120"/>
        <w:ind w:left="426" w:firstLine="0"/>
        <w:rPr>
          <w:rFonts w:cs="Calibri"/>
        </w:rPr>
      </w:pPr>
      <w:r w:rsidRPr="00785603">
        <w:rPr>
          <w:rFonts w:cs="Calibri"/>
        </w:rPr>
        <w:t xml:space="preserve">Details relating to the implications </w:t>
      </w:r>
      <w:r>
        <w:rPr>
          <w:rFonts w:cs="Calibri"/>
        </w:rPr>
        <w:t xml:space="preserve">and handling </w:t>
      </w:r>
      <w:r w:rsidRPr="00785603">
        <w:rPr>
          <w:rFonts w:cs="Calibri"/>
        </w:rPr>
        <w:t xml:space="preserve">of the Basin Plan trade rules can be found </w:t>
      </w:r>
      <w:r>
        <w:rPr>
          <w:rFonts w:cs="Calibri"/>
        </w:rPr>
        <w:t>in</w:t>
      </w:r>
      <w:r w:rsidRPr="00785603">
        <w:rPr>
          <w:rFonts w:cs="Calibri"/>
        </w:rPr>
        <w:t xml:space="preserve"> Section 1.4.2 of this paper</w:t>
      </w:r>
      <w:r>
        <w:rPr>
          <w:rFonts w:cs="Calibri"/>
        </w:rPr>
        <w:t>.</w:t>
      </w:r>
    </w:p>
    <w:p w:rsidR="00CA794F" w:rsidRDefault="009F4861" w:rsidP="00CA794F">
      <w:pPr>
        <w:pStyle w:val="Heading1"/>
        <w:numPr>
          <w:ilvl w:val="1"/>
          <w:numId w:val="13"/>
        </w:numPr>
        <w:spacing w:after="120"/>
      </w:pPr>
      <w:bookmarkStart w:id="143" w:name="_Toc372716805"/>
      <w:bookmarkStart w:id="144" w:name="_Toc372717226"/>
      <w:bookmarkStart w:id="145" w:name="_Toc256000044"/>
      <w:bookmarkStart w:id="146" w:name="_Toc256000018"/>
      <w:bookmarkStart w:id="147" w:name="_Toc373865189"/>
      <w:bookmarkStart w:id="148" w:name="_Toc375035191"/>
      <w:bookmarkEnd w:id="143"/>
      <w:bookmarkEnd w:id="144"/>
      <w:r w:rsidRPr="00927DD3">
        <w:t>Public Service Act 1999</w:t>
      </w:r>
      <w:bookmarkEnd w:id="145"/>
      <w:bookmarkEnd w:id="146"/>
      <w:bookmarkEnd w:id="147"/>
      <w:bookmarkEnd w:id="148"/>
    </w:p>
    <w:p w:rsidR="00CA794F" w:rsidRDefault="009F4861" w:rsidP="00CA794F">
      <w:pPr>
        <w:ind w:left="360" w:firstLine="0"/>
      </w:pPr>
      <w:r>
        <w:t xml:space="preserve">Together the </w:t>
      </w:r>
      <w:r w:rsidRPr="003800D5">
        <w:rPr>
          <w:i/>
        </w:rPr>
        <w:t>Public Service Act 1999</w:t>
      </w:r>
      <w:r w:rsidRPr="00A50F2B">
        <w:t xml:space="preserve">, </w:t>
      </w:r>
      <w:r w:rsidRPr="003800D5">
        <w:rPr>
          <w:i/>
        </w:rPr>
        <w:t>Public Service Regulations</w:t>
      </w:r>
      <w:r>
        <w:rPr>
          <w:i/>
        </w:rPr>
        <w:t xml:space="preserve"> 1999</w:t>
      </w:r>
      <w:r>
        <w:t>,</w:t>
      </w:r>
      <w:r w:rsidRPr="00A50F2B">
        <w:t xml:space="preserve"> and the </w:t>
      </w:r>
      <w:r w:rsidRPr="003800D5">
        <w:rPr>
          <w:i/>
        </w:rPr>
        <w:t>Australian Public Service Commissioners Directions 2013</w:t>
      </w:r>
      <w:r w:rsidRPr="00A50F2B">
        <w:t xml:space="preserve"> provide</w:t>
      </w:r>
      <w:r>
        <w:t xml:space="preserve"> </w:t>
      </w:r>
      <w:r w:rsidRPr="00A50F2B">
        <w:t>the legislative framework governing APS employment</w:t>
      </w:r>
      <w:r w:rsidRPr="003800D5">
        <w:rPr>
          <w:i/>
        </w:rPr>
        <w:t>. The Public Service Act 1999</w:t>
      </w:r>
      <w:r w:rsidRPr="00A50F2B">
        <w:t xml:space="preserve"> </w:t>
      </w:r>
      <w:r>
        <w:t xml:space="preserve">is the principal act governing the establishment and operation of, and employment in, the Australian Public Service. The Public Service Act </w:t>
      </w:r>
      <w:r w:rsidRPr="00A50F2B">
        <w:t xml:space="preserve">contains the APS Values, Employment Principles and Code of Conduct.  </w:t>
      </w:r>
    </w:p>
    <w:p w:rsidR="00CA794F" w:rsidRPr="00FA7741" w:rsidRDefault="009F4861" w:rsidP="00CA794F">
      <w:pPr>
        <w:pStyle w:val="Heading1"/>
        <w:numPr>
          <w:ilvl w:val="2"/>
          <w:numId w:val="13"/>
        </w:numPr>
        <w:spacing w:after="120"/>
      </w:pPr>
      <w:bookmarkStart w:id="149" w:name="_Toc256000045"/>
      <w:bookmarkStart w:id="150" w:name="_Toc256000019"/>
      <w:bookmarkStart w:id="151" w:name="_Toc373858674"/>
      <w:bookmarkStart w:id="152" w:name="_Toc373865190"/>
      <w:bookmarkStart w:id="153" w:name="_Toc375035192"/>
      <w:r w:rsidRPr="00FA7741">
        <w:t>APS Values, Employment Principles and Code of Conduct</w:t>
      </w:r>
      <w:bookmarkEnd w:id="149"/>
      <w:bookmarkEnd w:id="150"/>
      <w:bookmarkEnd w:id="151"/>
      <w:bookmarkEnd w:id="152"/>
      <w:bookmarkEnd w:id="153"/>
    </w:p>
    <w:p w:rsidR="00CA794F" w:rsidRDefault="009F4861" w:rsidP="00CA794F">
      <w:pPr>
        <w:pStyle w:val="ListBullet2"/>
        <w:spacing w:after="120"/>
        <w:ind w:left="426" w:firstLine="0"/>
      </w:pPr>
      <w:r>
        <w:t xml:space="preserve">APS Values and Employment Principles are the basis of good public administration and are intended to provide the public with confidence in the way public servants exercise authority when meeting government objectives. </w:t>
      </w:r>
    </w:p>
    <w:p w:rsidR="00CA794F" w:rsidRDefault="009F4861" w:rsidP="00CA794F">
      <w:pPr>
        <w:pStyle w:val="ListBullet2"/>
        <w:spacing w:after="120"/>
        <w:ind w:left="426" w:firstLine="0"/>
      </w:pPr>
      <w:r>
        <w:lastRenderedPageBreak/>
        <w:t xml:space="preserve">All APS employees are required to comply with the APS Code of Conduct, which includes behaving in a way that upholds the APS Values and Employment Principles, and the integrity and good reputation of the their agency and the APS. A breach of the Code of Conduct can result in sanctions, ranging from a reprimand to termination of employment. The </w:t>
      </w:r>
      <w:r w:rsidRPr="00B96D06">
        <w:t>APS Code of Conduct</w:t>
      </w:r>
      <w:r>
        <w:t xml:space="preserve"> also </w:t>
      </w:r>
      <w:r w:rsidRPr="00B96D06">
        <w:t>outlines employees’ obligations and responsibilities with regard to conflicts of interest and use of inside information.</w:t>
      </w:r>
    </w:p>
    <w:p w:rsidR="00CA794F" w:rsidRDefault="009F4861" w:rsidP="00CA794F">
      <w:pPr>
        <w:pStyle w:val="ListBullet2"/>
        <w:spacing w:after="120"/>
        <w:ind w:left="369" w:firstLine="0"/>
      </w:pPr>
      <w:r>
        <w:t>The specific components of the APS Code of Conduct that directly relate to behavior of staff in relation to conducting trade of Commonwealth environmental water are:</w:t>
      </w:r>
    </w:p>
    <w:p w:rsidR="00CA794F" w:rsidRDefault="009F4861" w:rsidP="00CA794F">
      <w:pPr>
        <w:pStyle w:val="ListBullet"/>
        <w:numPr>
          <w:ilvl w:val="0"/>
          <w:numId w:val="28"/>
        </w:numPr>
        <w:spacing w:after="200" w:line="276" w:lineRule="auto"/>
        <w:ind w:left="738"/>
      </w:pPr>
      <w:r>
        <w:t xml:space="preserve">staff behave honestly and with integrity in connection with APS employment; </w:t>
      </w:r>
    </w:p>
    <w:p w:rsidR="00CA794F" w:rsidRDefault="009F4861" w:rsidP="00CA794F">
      <w:pPr>
        <w:pStyle w:val="ListBullet"/>
        <w:numPr>
          <w:ilvl w:val="0"/>
          <w:numId w:val="28"/>
        </w:numPr>
        <w:spacing w:after="200" w:line="276" w:lineRule="auto"/>
        <w:ind w:left="738"/>
      </w:pPr>
      <w:r>
        <w:t>staff disclose, and take reasonable steps to avoid, any conflict of interest (real or apparent) in connection with APS employment; and</w:t>
      </w:r>
    </w:p>
    <w:p w:rsidR="00CA794F" w:rsidRDefault="009F4861" w:rsidP="00CA794F">
      <w:pPr>
        <w:pStyle w:val="ListBullet"/>
        <w:numPr>
          <w:ilvl w:val="0"/>
          <w:numId w:val="28"/>
        </w:numPr>
        <w:spacing w:after="200" w:line="276" w:lineRule="auto"/>
        <w:ind w:left="738"/>
      </w:pPr>
      <w:r>
        <w:t>staff not make improper use of:</w:t>
      </w:r>
    </w:p>
    <w:p w:rsidR="00CA794F" w:rsidRDefault="009F4861" w:rsidP="00CA794F">
      <w:pPr>
        <w:pStyle w:val="ListBullet2"/>
        <w:numPr>
          <w:ilvl w:val="1"/>
          <w:numId w:val="28"/>
        </w:numPr>
        <w:spacing w:after="200" w:line="276" w:lineRule="auto"/>
        <w:ind w:left="1106" w:hanging="368"/>
      </w:pPr>
      <w:r>
        <w:t>inside information, or</w:t>
      </w:r>
    </w:p>
    <w:p w:rsidR="00CA794F" w:rsidRDefault="009F4861" w:rsidP="00CA794F">
      <w:pPr>
        <w:pStyle w:val="ListBullet2"/>
        <w:numPr>
          <w:ilvl w:val="1"/>
          <w:numId w:val="28"/>
        </w:numPr>
        <w:spacing w:after="200" w:line="276" w:lineRule="auto"/>
        <w:ind w:left="1106" w:hanging="368"/>
      </w:pPr>
      <w:proofErr w:type="gramStart"/>
      <w:r>
        <w:t>the</w:t>
      </w:r>
      <w:proofErr w:type="gramEnd"/>
      <w:r>
        <w:t xml:space="preserve"> employee's duties, status, power or authority, in order to gain, or seek to gain, a benefit or advantage for the employee or for any other person.</w:t>
      </w:r>
    </w:p>
    <w:p w:rsidR="00CA794F" w:rsidRPr="00643E62" w:rsidRDefault="009F4861" w:rsidP="00CA794F">
      <w:pPr>
        <w:pStyle w:val="Heading1"/>
        <w:numPr>
          <w:ilvl w:val="1"/>
          <w:numId w:val="13"/>
        </w:numPr>
        <w:spacing w:after="120"/>
        <w:rPr>
          <w:rFonts w:cs="Calibri"/>
        </w:rPr>
      </w:pPr>
      <w:bookmarkStart w:id="154" w:name="_Toc256000046"/>
      <w:bookmarkStart w:id="155" w:name="_Toc256000020"/>
      <w:bookmarkStart w:id="156" w:name="_Toc373865191"/>
      <w:bookmarkStart w:id="157" w:name="_Toc375035193"/>
      <w:r w:rsidRPr="003608C6">
        <w:rPr>
          <w:rFonts w:cs="Calibri"/>
        </w:rPr>
        <w:t xml:space="preserve">The Financial Management and Accountability Act </w:t>
      </w:r>
      <w:r>
        <w:rPr>
          <w:rFonts w:cs="Calibri"/>
        </w:rPr>
        <w:t>1997 (FMA Act)</w:t>
      </w:r>
      <w:bookmarkEnd w:id="154"/>
      <w:bookmarkEnd w:id="155"/>
      <w:bookmarkEnd w:id="156"/>
      <w:bookmarkEnd w:id="157"/>
    </w:p>
    <w:p w:rsidR="00CA794F" w:rsidRDefault="009F4861" w:rsidP="00CA794F">
      <w:pPr>
        <w:ind w:left="360" w:firstLine="0"/>
      </w:pPr>
      <w:r w:rsidRPr="003608C6">
        <w:t xml:space="preserve">The </w:t>
      </w:r>
      <w:r>
        <w:t xml:space="preserve">FMA Act </w:t>
      </w:r>
      <w:r w:rsidRPr="003608C6">
        <w:t xml:space="preserve">governs the acquisition and disposal of assets </w:t>
      </w:r>
      <w:r>
        <w:t>and</w:t>
      </w:r>
      <w:r w:rsidRPr="00643E62">
        <w:rPr>
          <w:rFonts w:cs="Calibri"/>
        </w:rPr>
        <w:t xml:space="preserve"> </w:t>
      </w:r>
      <w:r w:rsidRPr="005944F5">
        <w:rPr>
          <w:rFonts w:cs="Calibri"/>
        </w:rPr>
        <w:t xml:space="preserve">sets out the financial management, accountability and audit obligations of </w:t>
      </w:r>
      <w:r>
        <w:rPr>
          <w:rFonts w:cs="Calibri"/>
        </w:rPr>
        <w:t>Commonwealth Government agencies.</w:t>
      </w:r>
      <w:r w:rsidRPr="002D7CC8">
        <w:t xml:space="preserve"> </w:t>
      </w:r>
      <w:r>
        <w:t xml:space="preserve">It also  </w:t>
      </w:r>
      <w:r w:rsidRPr="002D7CC8">
        <w:t xml:space="preserve"> provides for the making of Regulations, which provide more detail about matters addressed in the Act. The Regulations provide for, amongst other things, the issuing of Commonwealth Procurement Rules, Commonwealth Grant Guidelines and Fraud Control Guidelines</w:t>
      </w:r>
      <w:r>
        <w:t>.</w:t>
      </w:r>
    </w:p>
    <w:p w:rsidR="00CA794F" w:rsidRDefault="009F4861" w:rsidP="00CA794F">
      <w:pPr>
        <w:pStyle w:val="Heading1"/>
        <w:numPr>
          <w:ilvl w:val="2"/>
          <w:numId w:val="13"/>
        </w:numPr>
        <w:spacing w:after="120"/>
        <w:rPr>
          <w:rFonts w:cs="Calibri"/>
        </w:rPr>
      </w:pPr>
      <w:bookmarkStart w:id="158" w:name="_Toc256000047"/>
      <w:bookmarkStart w:id="159" w:name="_Toc256000021"/>
      <w:bookmarkStart w:id="160" w:name="_Toc373858677"/>
      <w:bookmarkStart w:id="161" w:name="_Toc373865192"/>
      <w:bookmarkStart w:id="162" w:name="_Toc375035194"/>
      <w:r w:rsidRPr="003608C6">
        <w:rPr>
          <w:rFonts w:cs="Calibri"/>
        </w:rPr>
        <w:t>Commo</w:t>
      </w:r>
      <w:r>
        <w:rPr>
          <w:rFonts w:cs="Calibri"/>
        </w:rPr>
        <w:t>nwealth Procurement Rules (CPR)</w:t>
      </w:r>
      <w:bookmarkEnd w:id="158"/>
      <w:bookmarkEnd w:id="159"/>
      <w:bookmarkEnd w:id="160"/>
      <w:bookmarkEnd w:id="161"/>
      <w:bookmarkEnd w:id="162"/>
    </w:p>
    <w:p w:rsidR="00CA794F" w:rsidRDefault="009F4861" w:rsidP="00CA794F">
      <w:pPr>
        <w:spacing w:after="120"/>
        <w:ind w:left="357" w:firstLine="0"/>
      </w:pPr>
      <w:r>
        <w:t xml:space="preserve">The </w:t>
      </w:r>
      <w:r w:rsidRPr="00D17ACB">
        <w:t>Commonwealth Procurement Rules</w:t>
      </w:r>
      <w:r>
        <w:t xml:space="preserve"> (CPR) </w:t>
      </w:r>
      <w:proofErr w:type="gramStart"/>
      <w:r>
        <w:t>are</w:t>
      </w:r>
      <w:proofErr w:type="gramEnd"/>
      <w:r>
        <w:t xml:space="preserve"> issued under </w:t>
      </w:r>
      <w:r w:rsidRPr="00FC6B53">
        <w:t>Regulation 7</w:t>
      </w:r>
      <w:r>
        <w:t xml:space="preserve"> of the FMA Act, and outline the</w:t>
      </w:r>
      <w:r w:rsidRPr="00D17ACB">
        <w:t xml:space="preserve"> </w:t>
      </w:r>
      <w:r>
        <w:t>k</w:t>
      </w:r>
      <w:r w:rsidRPr="00D17ACB">
        <w:t>ey principles</w:t>
      </w:r>
      <w:r>
        <w:t xml:space="preserve"> and governance arrangements that CEWO must abide by when undertaking procurement. The </w:t>
      </w:r>
      <w:r w:rsidRPr="00643E62">
        <w:rPr>
          <w:rFonts w:cs="Calibri"/>
        </w:rPr>
        <w:t>CPR</w:t>
      </w:r>
      <w:r>
        <w:rPr>
          <w:rFonts w:cs="Calibri"/>
        </w:rPr>
        <w:t>s</w:t>
      </w:r>
      <w:r w:rsidRPr="00643E62">
        <w:rPr>
          <w:rFonts w:cs="Calibri"/>
        </w:rPr>
        <w:t xml:space="preserve"> mandate that CEWO’s affairs be managed</w:t>
      </w:r>
      <w:r>
        <w:rPr>
          <w:rFonts w:cs="Calibri"/>
        </w:rPr>
        <w:t xml:space="preserve"> in a way that:</w:t>
      </w:r>
    </w:p>
    <w:p w:rsidR="00CA794F" w:rsidRDefault="009F4861" w:rsidP="00CA794F">
      <w:pPr>
        <w:pStyle w:val="ListParagraph"/>
        <w:numPr>
          <w:ilvl w:val="0"/>
          <w:numId w:val="29"/>
        </w:numPr>
        <w:spacing w:after="120"/>
        <w:ind w:left="714" w:hanging="357"/>
        <w:contextualSpacing w:val="0"/>
      </w:pPr>
      <w:r>
        <w:t>achieves value for money;</w:t>
      </w:r>
    </w:p>
    <w:p w:rsidR="00CA794F" w:rsidRDefault="009F4861" w:rsidP="00CA794F">
      <w:pPr>
        <w:pStyle w:val="ListParagraph"/>
        <w:numPr>
          <w:ilvl w:val="0"/>
          <w:numId w:val="29"/>
        </w:numPr>
        <w:spacing w:after="120"/>
        <w:ind w:left="714" w:hanging="357"/>
        <w:contextualSpacing w:val="0"/>
      </w:pPr>
      <w:r>
        <w:t>encourages competition;</w:t>
      </w:r>
    </w:p>
    <w:p w:rsidR="00CA794F" w:rsidRDefault="009F4861" w:rsidP="00CA794F">
      <w:pPr>
        <w:pStyle w:val="ListParagraph"/>
        <w:numPr>
          <w:ilvl w:val="0"/>
          <w:numId w:val="29"/>
        </w:numPr>
        <w:spacing w:after="120"/>
        <w:ind w:left="714" w:hanging="357"/>
        <w:contextualSpacing w:val="0"/>
      </w:pPr>
      <w:r>
        <w:t xml:space="preserve">ensures procurement is efficient, effective and ethical; and  </w:t>
      </w:r>
    </w:p>
    <w:p w:rsidR="00CA794F" w:rsidRDefault="009F4861" w:rsidP="00CA794F">
      <w:pPr>
        <w:pStyle w:val="ListParagraph"/>
        <w:numPr>
          <w:ilvl w:val="0"/>
          <w:numId w:val="29"/>
        </w:numPr>
        <w:spacing w:after="120"/>
        <w:ind w:left="714" w:hanging="357"/>
        <w:contextualSpacing w:val="0"/>
      </w:pPr>
      <w:proofErr w:type="gramStart"/>
      <w:r>
        <w:t>is</w:t>
      </w:r>
      <w:proofErr w:type="gramEnd"/>
      <w:r>
        <w:t xml:space="preserve"> accountable and transparent. </w:t>
      </w:r>
    </w:p>
    <w:p w:rsidR="00CA794F" w:rsidRDefault="009F4861" w:rsidP="00CA794F">
      <w:pPr>
        <w:pStyle w:val="Heading1"/>
        <w:numPr>
          <w:ilvl w:val="1"/>
          <w:numId w:val="13"/>
        </w:numPr>
        <w:spacing w:after="120"/>
        <w:rPr>
          <w:rFonts w:cs="Calibri"/>
        </w:rPr>
      </w:pPr>
      <w:bookmarkStart w:id="163" w:name="_Toc256000048"/>
      <w:bookmarkStart w:id="164" w:name="_Toc256000022"/>
      <w:bookmarkStart w:id="165" w:name="_Toc373858678"/>
      <w:bookmarkStart w:id="166" w:name="_Toc373865193"/>
      <w:bookmarkStart w:id="167" w:name="_Toc375035195"/>
      <w:r w:rsidRPr="008D61A7">
        <w:rPr>
          <w:rFonts w:cs="Calibri"/>
        </w:rPr>
        <w:t>Freedom of Information Act 1982 (</w:t>
      </w:r>
      <w:r w:rsidRPr="00643E62">
        <w:rPr>
          <w:rFonts w:cs="Calibri"/>
        </w:rPr>
        <w:t>FOI Act)</w:t>
      </w:r>
      <w:bookmarkEnd w:id="163"/>
      <w:bookmarkEnd w:id="164"/>
      <w:bookmarkEnd w:id="165"/>
      <w:bookmarkEnd w:id="166"/>
      <w:bookmarkEnd w:id="167"/>
    </w:p>
    <w:p w:rsidR="00CA794F" w:rsidRDefault="009F4861" w:rsidP="00CA794F">
      <w:pPr>
        <w:ind w:left="360" w:firstLine="0"/>
        <w:rPr>
          <w:rFonts w:ascii="Cambria" w:hAnsi="Cambria" w:cs="Calibri"/>
          <w:b/>
          <w:bCs/>
          <w:color w:val="365F91" w:themeColor="accent1" w:themeShade="BF"/>
          <w:sz w:val="24"/>
          <w:szCs w:val="24"/>
        </w:rPr>
      </w:pPr>
      <w:r w:rsidRPr="00FA1B84">
        <w:t>The FOI Act promotes government accountability and transparency by providing a legal framework for individuals to request access to government documents. This includes documents containing information about policy-making, administrative decision-making and government service delivery. The FOI Act also requires agencies to publish other specified classes of information online</w:t>
      </w:r>
      <w:r>
        <w:t>.</w:t>
      </w:r>
      <w:bookmarkStart w:id="168" w:name="_Toc373865194"/>
      <w:r>
        <w:rPr>
          <w:rFonts w:cs="Calibri"/>
        </w:rPr>
        <w:br w:type="page"/>
      </w:r>
    </w:p>
    <w:p w:rsidR="00CA794F" w:rsidRDefault="009F4861" w:rsidP="00CA794F">
      <w:pPr>
        <w:pStyle w:val="Heading1"/>
        <w:numPr>
          <w:ilvl w:val="1"/>
          <w:numId w:val="13"/>
        </w:numPr>
        <w:spacing w:after="120"/>
      </w:pPr>
      <w:bookmarkStart w:id="169" w:name="_Toc256000049"/>
      <w:bookmarkStart w:id="170" w:name="_Toc256000023"/>
      <w:bookmarkStart w:id="171" w:name="_Toc375035196"/>
      <w:r w:rsidRPr="00643E62">
        <w:rPr>
          <w:rFonts w:cs="Calibri"/>
        </w:rPr>
        <w:lastRenderedPageBreak/>
        <w:t>State</w:t>
      </w:r>
      <w:r>
        <w:rPr>
          <w:rFonts w:cs="Calibri"/>
        </w:rPr>
        <w:t xml:space="preserve"> </w:t>
      </w:r>
      <w:r w:rsidRPr="00643E62">
        <w:rPr>
          <w:rFonts w:cs="Calibri"/>
        </w:rPr>
        <w:t>water management</w:t>
      </w:r>
      <w:r>
        <w:rPr>
          <w:rFonts w:cs="Calibri"/>
        </w:rPr>
        <w:t xml:space="preserve"> legislation</w:t>
      </w:r>
      <w:bookmarkEnd w:id="168"/>
      <w:bookmarkEnd w:id="169"/>
      <w:bookmarkEnd w:id="170"/>
      <w:bookmarkEnd w:id="171"/>
      <w:r>
        <w:rPr>
          <w:rFonts w:cs="Calibri"/>
        </w:rPr>
        <w:t xml:space="preserve"> </w:t>
      </w:r>
    </w:p>
    <w:p w:rsidR="00CA794F" w:rsidRDefault="009F4861" w:rsidP="00CA794F">
      <w:pPr>
        <w:spacing w:after="120"/>
        <w:ind w:left="357" w:firstLine="0"/>
      </w:pPr>
      <w:r>
        <w:t>State governments have their own water management legislation. In general, these cover:</w:t>
      </w:r>
    </w:p>
    <w:p w:rsidR="00CA794F" w:rsidRPr="007B25D0" w:rsidRDefault="009F4861" w:rsidP="00CA794F">
      <w:pPr>
        <w:pStyle w:val="ListParagraph"/>
        <w:numPr>
          <w:ilvl w:val="0"/>
          <w:numId w:val="30"/>
        </w:numPr>
        <w:spacing w:after="120"/>
        <w:contextualSpacing w:val="0"/>
        <w:rPr>
          <w:sz w:val="21"/>
          <w:szCs w:val="21"/>
        </w:rPr>
      </w:pPr>
      <w:r w:rsidRPr="007B25D0">
        <w:rPr>
          <w:sz w:val="21"/>
          <w:szCs w:val="21"/>
        </w:rPr>
        <w:t>water entitlement and planning frameworks</w:t>
      </w:r>
      <w:r>
        <w:rPr>
          <w:sz w:val="21"/>
          <w:szCs w:val="21"/>
        </w:rPr>
        <w:t>;</w:t>
      </w:r>
    </w:p>
    <w:p w:rsidR="00CA794F" w:rsidRPr="007B25D0" w:rsidRDefault="009F4861" w:rsidP="00CA794F">
      <w:pPr>
        <w:pStyle w:val="ListParagraph"/>
        <w:numPr>
          <w:ilvl w:val="0"/>
          <w:numId w:val="30"/>
        </w:numPr>
        <w:spacing w:after="120"/>
        <w:contextualSpacing w:val="0"/>
        <w:rPr>
          <w:sz w:val="21"/>
          <w:szCs w:val="21"/>
        </w:rPr>
      </w:pPr>
      <w:r>
        <w:t xml:space="preserve">the determination of water allocations each year; and </w:t>
      </w:r>
    </w:p>
    <w:p w:rsidR="00CA794F" w:rsidRDefault="009F4861" w:rsidP="00CA794F">
      <w:pPr>
        <w:pStyle w:val="ListParagraph"/>
        <w:numPr>
          <w:ilvl w:val="0"/>
          <w:numId w:val="30"/>
        </w:numPr>
        <w:spacing w:after="120"/>
        <w:contextualSpacing w:val="0"/>
      </w:pPr>
      <w:proofErr w:type="gramStart"/>
      <w:r w:rsidRPr="007B25D0">
        <w:rPr>
          <w:sz w:val="21"/>
          <w:szCs w:val="21"/>
        </w:rPr>
        <w:t>how</w:t>
      </w:r>
      <w:proofErr w:type="gramEnd"/>
      <w:r w:rsidRPr="007B25D0">
        <w:rPr>
          <w:sz w:val="21"/>
          <w:szCs w:val="21"/>
        </w:rPr>
        <w:t xml:space="preserve"> water is shared, held, used and traded</w:t>
      </w:r>
      <w:r>
        <w:rPr>
          <w:sz w:val="21"/>
          <w:szCs w:val="21"/>
        </w:rPr>
        <w:t>.</w:t>
      </w:r>
      <w:r w:rsidRPr="007B25D0">
        <w:rPr>
          <w:sz w:val="21"/>
          <w:szCs w:val="21"/>
        </w:rPr>
        <w:t xml:space="preserve"> </w:t>
      </w:r>
      <w:r>
        <w:t xml:space="preserve"> </w:t>
      </w:r>
    </w:p>
    <w:p w:rsidR="00CA794F" w:rsidRDefault="009F4861" w:rsidP="00CA794F">
      <w:pPr>
        <w:spacing w:after="120"/>
        <w:ind w:left="357" w:firstLine="0"/>
      </w:pPr>
      <w:r>
        <w:t xml:space="preserve">When water entitlements are purchased for the purpose of </w:t>
      </w:r>
      <w:r w:rsidRPr="00D17ACB">
        <w:t>Commonwealth environmental</w:t>
      </w:r>
      <w:r>
        <w:t xml:space="preserve"> watering they </w:t>
      </w:r>
      <w:r w:rsidRPr="00D17ACB">
        <w:t>retain the same characteristics as existed before their acquisition</w:t>
      </w:r>
      <w:r>
        <w:t xml:space="preserve"> and are governed by the same rules </w:t>
      </w:r>
      <w:r w:rsidRPr="00D17ACB">
        <w:t>that apply to other holders of equivalent water entitlements</w:t>
      </w:r>
      <w:r>
        <w:t xml:space="preserve">. </w:t>
      </w:r>
    </w:p>
    <w:p w:rsidR="00CA794F" w:rsidRDefault="009F4861" w:rsidP="00CA794F">
      <w:pPr>
        <w:ind w:left="360" w:firstLine="0"/>
      </w:pPr>
      <w:r>
        <w:t>As such, the CEWO environmental water portfolio is subject to the same carryover arrangements, fees and charges, allocations, and trade restrictions as any other water market participant</w:t>
      </w:r>
      <w:r w:rsidRPr="00C02C2A">
        <w:t xml:space="preserve"> </w:t>
      </w:r>
      <w:r>
        <w:t>and is not afforded priority over other rights held by other water users. State authorities are responsible for ensuring that these management frameworks are applied equitably and to manage third party impacts associated with these management frameworks.</w:t>
      </w:r>
    </w:p>
    <w:p w:rsidR="00CA794F" w:rsidRDefault="00CA794F" w:rsidP="00CA794F">
      <w:pPr>
        <w:ind w:left="360" w:firstLine="0"/>
        <w:sectPr w:rsidR="00CA794F" w:rsidSect="00CA794F">
          <w:pgSz w:w="11906" w:h="16838"/>
          <w:pgMar w:top="1418" w:right="1276" w:bottom="567" w:left="1418" w:header="425" w:footer="425" w:gutter="0"/>
          <w:cols w:space="708"/>
          <w:titlePg/>
          <w:docGrid w:linePitch="360"/>
        </w:sectPr>
      </w:pPr>
    </w:p>
    <w:p w:rsidR="00CA794F" w:rsidRPr="001A17A9" w:rsidRDefault="009F4861" w:rsidP="00CA794F">
      <w:pPr>
        <w:pStyle w:val="Heading1"/>
        <w:numPr>
          <w:ilvl w:val="0"/>
          <w:numId w:val="13"/>
        </w:numPr>
        <w:spacing w:after="120"/>
      </w:pPr>
      <w:bookmarkStart w:id="172" w:name="_Toc256000050"/>
      <w:bookmarkStart w:id="173" w:name="_Toc256000024"/>
      <w:bookmarkStart w:id="174" w:name="_Toc373835470"/>
      <w:bookmarkStart w:id="175" w:name="_Toc373865195"/>
      <w:bookmarkStart w:id="176" w:name="_Toc375035197"/>
      <w:r w:rsidRPr="001A17A9">
        <w:lastRenderedPageBreak/>
        <w:t>OPERATING RULES</w:t>
      </w:r>
      <w:bookmarkEnd w:id="172"/>
      <w:bookmarkEnd w:id="173"/>
      <w:bookmarkEnd w:id="174"/>
      <w:bookmarkEnd w:id="175"/>
      <w:bookmarkEnd w:id="176"/>
    </w:p>
    <w:p w:rsidR="00CA794F" w:rsidRDefault="009F4861" w:rsidP="00CA794F">
      <w:pPr>
        <w:spacing w:after="120"/>
        <w:ind w:firstLine="0"/>
      </w:pPr>
      <w:r w:rsidRPr="001A17A9">
        <w:rPr>
          <w:rFonts w:cs="Calibri"/>
        </w:rPr>
        <w:t xml:space="preserve">The CEWH and CEWO staff are subject to substantial existing and impending Commonwealth and state legislative requirements </w:t>
      </w:r>
      <w:r>
        <w:rPr>
          <w:rFonts w:cs="Calibri"/>
        </w:rPr>
        <w:t>in relation to trading activities</w:t>
      </w:r>
      <w:r w:rsidRPr="001A17A9">
        <w:rPr>
          <w:rFonts w:cs="Calibri"/>
        </w:rPr>
        <w:t xml:space="preserve"> (chapter 2)</w:t>
      </w:r>
      <w:r>
        <w:rPr>
          <w:rFonts w:cs="Calibri"/>
        </w:rPr>
        <w:t>,</w:t>
      </w:r>
      <w:r w:rsidRPr="001A17A9">
        <w:rPr>
          <w:rFonts w:cs="Calibri"/>
        </w:rPr>
        <w:t xml:space="preserve"> </w:t>
      </w:r>
      <w:r>
        <w:rPr>
          <w:rFonts w:cs="Calibri"/>
        </w:rPr>
        <w:t xml:space="preserve">and </w:t>
      </w:r>
      <w:r w:rsidRPr="001A17A9">
        <w:rPr>
          <w:rFonts w:cs="Calibri"/>
        </w:rPr>
        <w:t>in addition</w:t>
      </w:r>
      <w:r>
        <w:rPr>
          <w:rFonts w:cs="Calibri"/>
        </w:rPr>
        <w:t>,</w:t>
      </w:r>
      <w:r w:rsidRPr="001A17A9">
        <w:rPr>
          <w:rFonts w:cs="Calibri"/>
        </w:rPr>
        <w:t xml:space="preserve"> the CEWH intends to implement operating rules to </w:t>
      </w:r>
      <w:r>
        <w:rPr>
          <w:rFonts w:cs="Calibri"/>
        </w:rPr>
        <w:t>guide it</w:t>
      </w:r>
      <w:r w:rsidRPr="001A17A9">
        <w:rPr>
          <w:rFonts w:cs="Calibri"/>
        </w:rPr>
        <w:t xml:space="preserve">s water trading </w:t>
      </w:r>
      <w:r>
        <w:rPr>
          <w:rFonts w:cs="Calibri"/>
        </w:rPr>
        <w:t>activities</w:t>
      </w:r>
      <w:r w:rsidRPr="001A17A9">
        <w:rPr>
          <w:rFonts w:cs="Calibri"/>
        </w:rPr>
        <w:t xml:space="preserve">.  </w:t>
      </w:r>
      <w:r w:rsidRPr="001A17A9">
        <w:t>The operating</w:t>
      </w:r>
      <w:r>
        <w:t xml:space="preserve"> rules support legislative requirements and reflect the CEWO’s </w:t>
      </w:r>
      <w:r>
        <w:rPr>
          <w:rFonts w:cs="Calibri"/>
        </w:rPr>
        <w:t>corporate values</w:t>
      </w:r>
      <w:r>
        <w:t>. They are also reflective of the conservative approach the CEWH intends to take in relation to the trade of Commonwealth environmental water.</w:t>
      </w:r>
    </w:p>
    <w:p w:rsidR="00CA794F" w:rsidRPr="00643E62" w:rsidRDefault="009F4861" w:rsidP="00CA794F">
      <w:pPr>
        <w:spacing w:after="120"/>
        <w:ind w:firstLine="0"/>
        <w:rPr>
          <w:rFonts w:cs="Calibri"/>
        </w:rPr>
      </w:pPr>
      <w:r w:rsidRPr="00643E62">
        <w:t xml:space="preserve">Figure 1 </w:t>
      </w:r>
      <w:r>
        <w:t xml:space="preserve">(pg 7) </w:t>
      </w:r>
      <w:r w:rsidRPr="00643E62">
        <w:t>demonstrates how the operating rules fit within the trading framework and influence the trade process. T</w:t>
      </w:r>
      <w:r w:rsidRPr="00643E62">
        <w:rPr>
          <w:rFonts w:cs="Calibri"/>
        </w:rPr>
        <w:t xml:space="preserve">here are </w:t>
      </w:r>
      <w:r>
        <w:rPr>
          <w:rFonts w:cs="Calibri"/>
        </w:rPr>
        <w:t>three</w:t>
      </w:r>
      <w:r w:rsidRPr="00643E62">
        <w:rPr>
          <w:rFonts w:cs="Calibri"/>
        </w:rPr>
        <w:t xml:space="preserve"> elements to the proposed operating rules:</w:t>
      </w:r>
    </w:p>
    <w:p w:rsidR="00CA794F" w:rsidRPr="00643E62" w:rsidRDefault="009F4861" w:rsidP="00CA794F">
      <w:pPr>
        <w:pStyle w:val="ListParagraph"/>
        <w:numPr>
          <w:ilvl w:val="0"/>
          <w:numId w:val="12"/>
        </w:numPr>
        <w:spacing w:after="120"/>
        <w:rPr>
          <w:rFonts w:cs="Calibri"/>
        </w:rPr>
      </w:pPr>
      <w:r>
        <w:rPr>
          <w:rFonts w:cs="Calibri"/>
        </w:rPr>
        <w:t>governance;</w:t>
      </w:r>
    </w:p>
    <w:p w:rsidR="00CA794F" w:rsidRPr="00643E62" w:rsidRDefault="009F4861" w:rsidP="00CA794F">
      <w:pPr>
        <w:pStyle w:val="ListParagraph"/>
        <w:numPr>
          <w:ilvl w:val="0"/>
          <w:numId w:val="12"/>
        </w:numPr>
        <w:spacing w:after="120"/>
        <w:rPr>
          <w:rFonts w:cs="Calibri"/>
        </w:rPr>
      </w:pPr>
      <w:r>
        <w:rPr>
          <w:rFonts w:cs="Calibri"/>
        </w:rPr>
        <w:t>t</w:t>
      </w:r>
      <w:r w:rsidRPr="00643E62">
        <w:rPr>
          <w:rFonts w:cs="Calibri"/>
        </w:rPr>
        <w:t>rad</w:t>
      </w:r>
      <w:r>
        <w:rPr>
          <w:rFonts w:cs="Calibri"/>
        </w:rPr>
        <w:t>e</w:t>
      </w:r>
      <w:r w:rsidRPr="00643E62">
        <w:rPr>
          <w:rFonts w:cs="Calibri"/>
        </w:rPr>
        <w:t xml:space="preserve"> </w:t>
      </w:r>
      <w:r>
        <w:rPr>
          <w:rFonts w:cs="Calibri"/>
        </w:rPr>
        <w:t>d</w:t>
      </w:r>
      <w:r w:rsidRPr="00643E62">
        <w:rPr>
          <w:rFonts w:cs="Calibri"/>
        </w:rPr>
        <w:t xml:space="preserve">ecision </w:t>
      </w:r>
      <w:r>
        <w:rPr>
          <w:rFonts w:cs="Calibri"/>
        </w:rPr>
        <w:t>m</w:t>
      </w:r>
      <w:r w:rsidRPr="00643E62">
        <w:rPr>
          <w:rFonts w:cs="Calibri"/>
        </w:rPr>
        <w:t>aking</w:t>
      </w:r>
      <w:r>
        <w:rPr>
          <w:rFonts w:cs="Calibri"/>
        </w:rPr>
        <w:t>; and</w:t>
      </w:r>
    </w:p>
    <w:p w:rsidR="00CA794F" w:rsidRPr="00643E62" w:rsidRDefault="009F4861" w:rsidP="00CA794F">
      <w:pPr>
        <w:pStyle w:val="ListParagraph"/>
        <w:numPr>
          <w:ilvl w:val="0"/>
          <w:numId w:val="12"/>
        </w:numPr>
        <w:spacing w:after="120"/>
        <w:rPr>
          <w:rFonts w:cs="Calibri"/>
        </w:rPr>
      </w:pPr>
      <w:proofErr w:type="gramStart"/>
      <w:r>
        <w:rPr>
          <w:rFonts w:cs="Calibri"/>
        </w:rPr>
        <w:t>a</w:t>
      </w:r>
      <w:r w:rsidRPr="00643E62">
        <w:rPr>
          <w:rFonts w:cs="Calibri"/>
        </w:rPr>
        <w:t>nnouncements</w:t>
      </w:r>
      <w:proofErr w:type="gramEnd"/>
      <w:r>
        <w:rPr>
          <w:rFonts w:cs="Calibri"/>
        </w:rPr>
        <w:t>.</w:t>
      </w:r>
    </w:p>
    <w:p w:rsidR="00CA794F" w:rsidRPr="00643E62" w:rsidRDefault="009F4861" w:rsidP="00CA794F">
      <w:pPr>
        <w:spacing w:after="120"/>
        <w:ind w:firstLine="0"/>
      </w:pPr>
      <w:r>
        <w:rPr>
          <w:rFonts w:cs="Calibri"/>
        </w:rPr>
        <w:t>The operating rules will be trialed for three years</w:t>
      </w:r>
      <w:r w:rsidRPr="00643E62">
        <w:t xml:space="preserve"> from </w:t>
      </w:r>
      <w:r>
        <w:t>the commencement of the CEWH’s first trading action.</w:t>
      </w:r>
      <w:r w:rsidRPr="00643E62">
        <w:t xml:space="preserve"> At </w:t>
      </w:r>
      <w:r>
        <w:t xml:space="preserve">that </w:t>
      </w:r>
      <w:r w:rsidRPr="00643E62">
        <w:t xml:space="preserve">time </w:t>
      </w:r>
      <w:r>
        <w:t>an independent review will be commissioned</w:t>
      </w:r>
      <w:r w:rsidRPr="00643E62">
        <w:t xml:space="preserve"> and advice </w:t>
      </w:r>
      <w:r>
        <w:t xml:space="preserve">will be provided </w:t>
      </w:r>
      <w:r w:rsidRPr="00643E62">
        <w:t xml:space="preserve">to the Minster </w:t>
      </w:r>
      <w:r>
        <w:t xml:space="preserve">on whether </w:t>
      </w:r>
      <w:r w:rsidRPr="00643E62">
        <w:t>there is a need for legislated operating rules. Section 109 of the Water Act allows the Minister to make, by legislative instrument, operat</w:t>
      </w:r>
      <w:r>
        <w:t>ing rules relating to trade of</w:t>
      </w:r>
      <w:r w:rsidRPr="00643E62">
        <w:t xml:space="preserve"> Commonwea</w:t>
      </w:r>
      <w:r>
        <w:t>lth environmental water</w:t>
      </w:r>
      <w:r w:rsidRPr="00643E62">
        <w:t>.</w:t>
      </w:r>
    </w:p>
    <w:p w:rsidR="00CA794F" w:rsidRPr="000C640E" w:rsidRDefault="00CA794F" w:rsidP="00CA794F">
      <w:pPr>
        <w:pStyle w:val="ListParagraph"/>
        <w:pBdr>
          <w:bottom w:val="single" w:sz="4" w:space="0" w:color="95B3D7" w:themeColor="accent1" w:themeTint="99"/>
        </w:pBdr>
        <w:spacing w:before="200" w:after="120"/>
        <w:ind w:left="360" w:firstLine="0"/>
        <w:contextualSpacing w:val="0"/>
        <w:outlineLvl w:val="2"/>
        <w:rPr>
          <w:rFonts w:ascii="Cambria" w:hAnsi="Cambria"/>
          <w:b/>
          <w:vanish/>
          <w:color w:val="4F81BD" w:themeColor="accent1"/>
          <w:sz w:val="24"/>
          <w:szCs w:val="24"/>
        </w:rPr>
      </w:pPr>
      <w:bookmarkStart w:id="177" w:name="_Toc372716811"/>
      <w:bookmarkStart w:id="178" w:name="_Toc372717232"/>
      <w:bookmarkStart w:id="179" w:name="_Toc372718824"/>
      <w:bookmarkStart w:id="180" w:name="_Toc372718865"/>
      <w:bookmarkStart w:id="181" w:name="_Toc372719427"/>
      <w:bookmarkStart w:id="182" w:name="_Toc372724389"/>
      <w:bookmarkStart w:id="183" w:name="_Toc372791138"/>
      <w:bookmarkStart w:id="184" w:name="_Toc373235022"/>
      <w:bookmarkStart w:id="185" w:name="_Toc373243821"/>
      <w:bookmarkStart w:id="186" w:name="_Toc373410839"/>
      <w:bookmarkStart w:id="187" w:name="_Toc373495829"/>
      <w:bookmarkStart w:id="188" w:name="_Toc373741174"/>
      <w:bookmarkStart w:id="189" w:name="_Toc373744870"/>
      <w:bookmarkStart w:id="190" w:name="_Toc373746234"/>
      <w:bookmarkStart w:id="191" w:name="_Toc373754714"/>
      <w:bookmarkStart w:id="192" w:name="_Toc373754742"/>
      <w:bookmarkStart w:id="193" w:name="_Toc373835444"/>
      <w:bookmarkStart w:id="194" w:name="_Toc373835471"/>
      <w:bookmarkStart w:id="195" w:name="_Toc373857324"/>
      <w:bookmarkStart w:id="196" w:name="_Toc373858680"/>
      <w:bookmarkStart w:id="197" w:name="_Toc37386519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CA794F" w:rsidRDefault="009F4861" w:rsidP="00CA794F">
      <w:pPr>
        <w:pStyle w:val="Heading1"/>
        <w:numPr>
          <w:ilvl w:val="1"/>
          <w:numId w:val="13"/>
        </w:numPr>
        <w:spacing w:after="120"/>
      </w:pPr>
      <w:bookmarkStart w:id="198" w:name="_Toc256000052"/>
      <w:bookmarkStart w:id="199" w:name="_Toc256000026"/>
      <w:bookmarkStart w:id="200" w:name="_Toc373835472"/>
      <w:bookmarkStart w:id="201" w:name="_Toc373865197"/>
      <w:bookmarkStart w:id="202" w:name="_Toc375035198"/>
      <w:r w:rsidRPr="000C640E">
        <w:t>Governance</w:t>
      </w:r>
      <w:bookmarkEnd w:id="198"/>
      <w:bookmarkEnd w:id="199"/>
      <w:bookmarkEnd w:id="200"/>
      <w:bookmarkEnd w:id="201"/>
      <w:bookmarkEnd w:id="202"/>
    </w:p>
    <w:p w:rsidR="00CA794F" w:rsidRDefault="009F4861" w:rsidP="00CA794F">
      <w:pPr>
        <w:spacing w:after="120"/>
        <w:ind w:left="360" w:firstLine="0"/>
      </w:pPr>
      <w:r w:rsidRPr="00A23EE9">
        <w:t>These operating rules provide instruction to the CEWH and CEWO staff in relation to the overarching operation</w:t>
      </w:r>
      <w:r>
        <w:t>s</w:t>
      </w:r>
      <w:r w:rsidRPr="00A23EE9">
        <w:t xml:space="preserve"> and behaviours relating to trade of Commonwealth environmental water. </w:t>
      </w:r>
      <w:r>
        <w:t>They support legislation and reflect the CEWH’s intentions in relation to trade.</w:t>
      </w:r>
    </w:p>
    <w:p w:rsidR="00632D5F" w:rsidRDefault="009F4861">
      <w:pPr>
        <w:spacing w:after="120"/>
        <w:ind w:left="360" w:firstLine="0"/>
        <w:rPr>
          <w:rFonts w:cs="Calibri"/>
          <w:b/>
          <w:color w:val="0070C0"/>
          <w:u w:val="single"/>
        </w:rPr>
      </w:pPr>
      <w:r w:rsidRPr="002B1C2D">
        <w:rPr>
          <w:rFonts w:cs="Calibri"/>
          <w:b/>
          <w:color w:val="0070C0"/>
          <w:u w:val="single"/>
        </w:rPr>
        <w:t xml:space="preserve">The CEWH will not trade if aware of a water announcement that </w:t>
      </w:r>
      <w:r w:rsidR="0020440C">
        <w:rPr>
          <w:rFonts w:cs="Calibri"/>
          <w:b/>
          <w:color w:val="0070C0"/>
          <w:u w:val="single"/>
        </w:rPr>
        <w:t>has not been made</w:t>
      </w:r>
      <w:r w:rsidRPr="002B1C2D">
        <w:rPr>
          <w:rFonts w:cs="Calibri"/>
          <w:b/>
          <w:color w:val="0070C0"/>
          <w:u w:val="single"/>
        </w:rPr>
        <w:t xml:space="preserve"> generally available [OR </w:t>
      </w:r>
      <w:r>
        <w:rPr>
          <w:rFonts w:cs="Calibri"/>
          <w:b/>
          <w:color w:val="0070C0"/>
          <w:u w:val="single"/>
        </w:rPr>
        <w:t>1</w:t>
      </w:r>
      <w:r w:rsidRPr="002B1C2D">
        <w:rPr>
          <w:rFonts w:cs="Calibri"/>
          <w:b/>
          <w:color w:val="0070C0"/>
          <w:u w:val="single"/>
        </w:rPr>
        <w:t>]</w:t>
      </w:r>
    </w:p>
    <w:p w:rsidR="00CA794F" w:rsidRDefault="009F4861" w:rsidP="00CA794F">
      <w:pPr>
        <w:spacing w:after="120"/>
        <w:ind w:left="360" w:firstLine="0"/>
      </w:pPr>
      <w:r>
        <w:t>The recently adopted Basin Plan contains water-trading rules that govern how persons or agencies are to behave. The rules include provisions that limit the capacity of people or agencies to trade if:</w:t>
      </w:r>
    </w:p>
    <w:p w:rsidR="00CA794F" w:rsidRDefault="009F4861" w:rsidP="00CA794F">
      <w:pPr>
        <w:pStyle w:val="ListParagraph"/>
        <w:numPr>
          <w:ilvl w:val="0"/>
          <w:numId w:val="25"/>
        </w:numPr>
        <w:spacing w:after="120"/>
      </w:pPr>
      <w:r>
        <w:t>they are aware of a decision made by an agency of the Commonwealth or of a Basin State which would be the subject of a water announcement that has not been made generally available; and</w:t>
      </w:r>
    </w:p>
    <w:p w:rsidR="00CA794F" w:rsidRDefault="009F4861" w:rsidP="00CA794F">
      <w:pPr>
        <w:pStyle w:val="ListParagraph"/>
        <w:numPr>
          <w:ilvl w:val="0"/>
          <w:numId w:val="25"/>
        </w:numPr>
        <w:spacing w:after="120"/>
      </w:pPr>
      <w:proofErr w:type="gramStart"/>
      <w:r>
        <w:t>the</w:t>
      </w:r>
      <w:proofErr w:type="gramEnd"/>
      <w:r>
        <w:t xml:space="preserve"> trading action is in relation to a water access right whose price or value could reasonably be expected to be materially affected if the information were made generally available.</w:t>
      </w:r>
    </w:p>
    <w:p w:rsidR="00CA794F" w:rsidRDefault="009F4861" w:rsidP="00CA794F">
      <w:pPr>
        <w:spacing w:after="120"/>
        <w:ind w:left="426" w:firstLine="0"/>
      </w:pPr>
      <w:r>
        <w:t xml:space="preserve">In addition, the CEWH and CEWO staff are legally required to comply with the APS Values, Employment Principles and Code of </w:t>
      </w:r>
      <w:r w:rsidRPr="00177F08">
        <w:t>Conduct when carrying out the functions of the CEWH</w:t>
      </w:r>
      <w:r>
        <w:t>. Among other things, these values, principles and code of conduct</w:t>
      </w:r>
      <w:r w:rsidRPr="00177F08">
        <w:t xml:space="preserve"> place requirements on staff behavior in relation to </w:t>
      </w:r>
      <w:r>
        <w:t>managing inside</w:t>
      </w:r>
      <w:r w:rsidRPr="00177F08">
        <w:t xml:space="preserve"> information and conflicts of interest. Protocols have been developed to assist the CEWH and CEWO </w:t>
      </w:r>
      <w:proofErr w:type="gramStart"/>
      <w:r w:rsidRPr="00177F08">
        <w:t>staff man</w:t>
      </w:r>
      <w:r>
        <w:t>a</w:t>
      </w:r>
      <w:r w:rsidRPr="00177F08">
        <w:t>ge</w:t>
      </w:r>
      <w:proofErr w:type="gramEnd"/>
      <w:r w:rsidRPr="00177F08">
        <w:t xml:space="preserve"> water trade related information. The protocols</w:t>
      </w:r>
      <w:r>
        <w:t xml:space="preserve"> are available at </w:t>
      </w:r>
      <w:hyperlink r:id="rId23" w:anchor="protocols" w:tooltip="Commonwealth environmental water Trading Framework" w:history="1">
        <w:r w:rsidR="00C65774">
          <w:rPr>
            <w:rStyle w:val="Hyperlink"/>
          </w:rPr>
          <w:t>Commonwealth Environmental Water Trading Framework</w:t>
        </w:r>
      </w:hyperlink>
      <w:r w:rsidR="00C65774">
        <w:t>.</w:t>
      </w:r>
    </w:p>
    <w:p w:rsidR="00CA794F" w:rsidRDefault="009F4861" w:rsidP="00CA794F">
      <w:pPr>
        <w:spacing w:after="120"/>
        <w:ind w:left="426" w:firstLine="0"/>
      </w:pPr>
      <w:r>
        <w:t>This rule will ensure that the CEWH and CEWO staff</w:t>
      </w:r>
      <w:r w:rsidRPr="00A23EE9">
        <w:t xml:space="preserve"> </w:t>
      </w:r>
      <w:r>
        <w:t xml:space="preserve">cannot use their </w:t>
      </w:r>
      <w:r w:rsidRPr="00A23EE9">
        <w:t xml:space="preserve">position </w:t>
      </w:r>
      <w:r>
        <w:t xml:space="preserve">in government </w:t>
      </w:r>
      <w:r w:rsidRPr="00A23EE9">
        <w:t xml:space="preserve">to </w:t>
      </w:r>
      <w:r>
        <w:t xml:space="preserve">take advantage of information which is not generally available. </w:t>
      </w:r>
    </w:p>
    <w:p w:rsidR="00CA794F" w:rsidRDefault="00CA794F" w:rsidP="00CA794F">
      <w:pPr>
        <w:spacing w:after="120"/>
        <w:ind w:left="426" w:firstLine="0"/>
      </w:pPr>
    </w:p>
    <w:p w:rsidR="00CA794F" w:rsidRDefault="00CA794F" w:rsidP="00CA794F">
      <w:pPr>
        <w:spacing w:after="120"/>
        <w:ind w:left="426" w:firstLine="0"/>
      </w:pPr>
    </w:p>
    <w:p w:rsidR="00CA794F" w:rsidRDefault="00CA794F" w:rsidP="00CA794F">
      <w:pPr>
        <w:spacing w:after="120"/>
        <w:ind w:left="426" w:firstLine="0"/>
      </w:pPr>
    </w:p>
    <w:p w:rsidR="00CA794F" w:rsidRPr="002B1C2D" w:rsidRDefault="009F4861" w:rsidP="00CA794F">
      <w:pPr>
        <w:pStyle w:val="ListBullet"/>
        <w:keepNext/>
        <w:tabs>
          <w:tab w:val="left" w:pos="2977"/>
        </w:tabs>
        <w:spacing w:after="120"/>
        <w:ind w:left="426" w:firstLine="0"/>
        <w:jc w:val="both"/>
        <w:rPr>
          <w:b/>
          <w:color w:val="1F497D"/>
          <w:u w:val="single"/>
        </w:rPr>
      </w:pPr>
      <w:r w:rsidRPr="002B1C2D">
        <w:rPr>
          <w:rFonts w:cs="Calibri"/>
          <w:b/>
          <w:color w:val="0070C0"/>
          <w:u w:val="single"/>
        </w:rPr>
        <w:lastRenderedPageBreak/>
        <w:t>All trades will be undertaken using a competitive process</w:t>
      </w:r>
      <w:r>
        <w:rPr>
          <w:rFonts w:cs="Calibri"/>
          <w:b/>
          <w:color w:val="0070C0"/>
          <w:u w:val="single"/>
        </w:rPr>
        <w:t xml:space="preserve"> </w:t>
      </w:r>
      <w:r w:rsidRPr="002B1C2D">
        <w:rPr>
          <w:rFonts w:cs="Calibri"/>
          <w:b/>
          <w:color w:val="0070C0"/>
          <w:u w:val="single"/>
        </w:rPr>
        <w:t>[OR</w:t>
      </w:r>
      <w:r>
        <w:rPr>
          <w:rFonts w:cs="Calibri"/>
          <w:b/>
          <w:color w:val="0070C0"/>
          <w:u w:val="single"/>
        </w:rPr>
        <w:t>2</w:t>
      </w:r>
      <w:r w:rsidRPr="002B1C2D">
        <w:rPr>
          <w:rFonts w:cs="Calibri"/>
          <w:b/>
          <w:color w:val="0070C0"/>
          <w:u w:val="single"/>
        </w:rPr>
        <w:t>]</w:t>
      </w:r>
      <w:bookmarkStart w:id="203" w:name="_Ref371584469"/>
      <w:r>
        <w:rPr>
          <w:b/>
          <w:color w:val="1F497D"/>
          <w:u w:val="single"/>
        </w:rPr>
        <w:t xml:space="preserve"> </w:t>
      </w:r>
      <w:r>
        <w:rPr>
          <w:rStyle w:val="FootnoteReference"/>
          <w:b/>
          <w:color w:val="1F497D"/>
        </w:rPr>
        <w:footnoteReference w:id="3"/>
      </w:r>
      <w:bookmarkEnd w:id="203"/>
    </w:p>
    <w:p w:rsidR="00CA794F" w:rsidRPr="00643E62" w:rsidRDefault="009F4861" w:rsidP="00CA794F">
      <w:pPr>
        <w:pStyle w:val="ListBullet"/>
        <w:spacing w:after="120"/>
        <w:ind w:left="426" w:firstLine="0"/>
      </w:pPr>
      <w:r w:rsidRPr="00643E62">
        <w:t xml:space="preserve">In conducting a trade the CEWH will: </w:t>
      </w:r>
    </w:p>
    <w:p w:rsidR="00CA794F" w:rsidRPr="00643E62" w:rsidRDefault="009F4861" w:rsidP="00CA794F">
      <w:pPr>
        <w:pStyle w:val="ListBullet"/>
        <w:numPr>
          <w:ilvl w:val="0"/>
          <w:numId w:val="9"/>
        </w:numPr>
        <w:spacing w:before="120" w:after="120"/>
        <w:ind w:left="714" w:hanging="357"/>
      </w:pPr>
      <w:r>
        <w:t>e</w:t>
      </w:r>
      <w:r w:rsidRPr="00643E62">
        <w:t>nsure that processes  are consistent  with Commonwealth Procurement Rules and are efficient, effective, economical, appropria</w:t>
      </w:r>
      <w:r>
        <w:t>te, and provide value for money;</w:t>
      </w:r>
    </w:p>
    <w:p w:rsidR="00CA794F" w:rsidRPr="00643E62" w:rsidRDefault="009F4861" w:rsidP="00CA794F">
      <w:pPr>
        <w:pStyle w:val="ListParagraph"/>
        <w:numPr>
          <w:ilvl w:val="0"/>
          <w:numId w:val="9"/>
        </w:numPr>
        <w:spacing w:before="120" w:after="120"/>
        <w:ind w:left="714" w:hanging="357"/>
      </w:pPr>
      <w:proofErr w:type="gramStart"/>
      <w:r>
        <w:t>s</w:t>
      </w:r>
      <w:r w:rsidRPr="00643E62">
        <w:t>eek</w:t>
      </w:r>
      <w:proofErr w:type="gramEnd"/>
      <w:r w:rsidRPr="00643E62">
        <w:t xml:space="preserve"> to promote competition within the water market and opportunity for involvement of</w:t>
      </w:r>
      <w:r w:rsidRPr="00643E62">
        <w:rPr>
          <w:rStyle w:val="CommentReference"/>
          <w:sz w:val="22"/>
          <w:szCs w:val="22"/>
        </w:rPr>
        <w:t> </w:t>
      </w:r>
      <w:r w:rsidRPr="00643E62">
        <w:t>interested parties. This includes announcing trading actions</w:t>
      </w:r>
      <w:r>
        <w:t>;</w:t>
      </w:r>
      <w:r w:rsidRPr="00643E62">
        <w:t xml:space="preserve"> using market engagement mechanisms that encourage wide participation</w:t>
      </w:r>
      <w:r>
        <w:t>;</w:t>
      </w:r>
      <w:r w:rsidRPr="00643E62">
        <w:t xml:space="preserve"> and providing efficient means through which market participants can communicate an offer to buy or sell</w:t>
      </w:r>
      <w:r>
        <w:t>;</w:t>
      </w:r>
      <w:r w:rsidRPr="00643E62">
        <w:t xml:space="preserve"> </w:t>
      </w:r>
      <w:r>
        <w:t>and</w:t>
      </w:r>
    </w:p>
    <w:p w:rsidR="00CA794F" w:rsidRPr="00643E62" w:rsidRDefault="009F4861" w:rsidP="00CA794F">
      <w:pPr>
        <w:pStyle w:val="ListBullet"/>
        <w:numPr>
          <w:ilvl w:val="0"/>
          <w:numId w:val="9"/>
        </w:numPr>
        <w:spacing w:before="120" w:after="120"/>
        <w:ind w:left="714" w:hanging="357"/>
      </w:pPr>
      <w:r>
        <w:t>e</w:t>
      </w:r>
      <w:r w:rsidRPr="00643E62">
        <w:t>nsure that</w:t>
      </w:r>
      <w:r w:rsidRPr="00E54891">
        <w:t xml:space="preserve"> its</w:t>
      </w:r>
      <w:r w:rsidRPr="00643E62">
        <w:t xml:space="preserve"> processes do not unreasonably disadvantage certain categories of market participants (including small and medium enterprises)</w:t>
      </w:r>
      <w:r>
        <w:rPr>
          <w:color w:val="1F497D"/>
        </w:rPr>
        <w:t>;</w:t>
      </w:r>
    </w:p>
    <w:p w:rsidR="00CA794F" w:rsidRDefault="009F4861" w:rsidP="00CA794F">
      <w:pPr>
        <w:pStyle w:val="ListBullet"/>
        <w:spacing w:after="120"/>
        <w:ind w:left="284" w:firstLine="0"/>
      </w:pPr>
      <w:r>
        <w:t xml:space="preserve">For each trading action, the CEWH will approach the market in a way that reflects the nature of the market and the conditions associated with the proposed trade. </w:t>
      </w:r>
      <w:r w:rsidRPr="00F76953">
        <w:t xml:space="preserve">CEWO </w:t>
      </w:r>
      <w:r>
        <w:t xml:space="preserve">staff </w:t>
      </w:r>
      <w:r w:rsidRPr="00F76953">
        <w:t xml:space="preserve">will continue to investigate </w:t>
      </w:r>
      <w:r>
        <w:t xml:space="preserve">different market engagement mechanisms, including </w:t>
      </w:r>
      <w:r w:rsidRPr="00F76953">
        <w:t>the ways in which water market intermediaries can support the trade of Commonwealth environmental water</w:t>
      </w:r>
      <w:r>
        <w:t>.</w:t>
      </w:r>
    </w:p>
    <w:p w:rsidR="00CA794F" w:rsidRDefault="009F4861" w:rsidP="00CA794F">
      <w:pPr>
        <w:pStyle w:val="ListBullet"/>
        <w:spacing w:after="120"/>
        <w:ind w:left="284" w:firstLine="0"/>
      </w:pPr>
      <w:r w:rsidRPr="00643E62">
        <w:t>If the CEWH was to use water market intermediaries to trade</w:t>
      </w:r>
      <w:r>
        <w:t>,</w:t>
      </w:r>
      <w:r w:rsidRPr="00643E62">
        <w:t xml:space="preserve"> the engagement of and use of their services will comply with Commonwealth Procurement Rules. </w:t>
      </w:r>
    </w:p>
    <w:p w:rsidR="00CA794F" w:rsidRPr="00704F56" w:rsidRDefault="009F4861" w:rsidP="00CA794F">
      <w:pPr>
        <w:pStyle w:val="Heading1"/>
        <w:numPr>
          <w:ilvl w:val="1"/>
          <w:numId w:val="13"/>
        </w:numPr>
        <w:spacing w:after="120"/>
      </w:pPr>
      <w:bookmarkStart w:id="204" w:name="_Toc256000053"/>
      <w:bookmarkStart w:id="205" w:name="_Toc256000027"/>
      <w:bookmarkStart w:id="206" w:name="_Toc373835473"/>
      <w:bookmarkStart w:id="207" w:name="_Toc373865198"/>
      <w:bookmarkStart w:id="208" w:name="_Toc375035199"/>
      <w:r w:rsidRPr="00704F56">
        <w:t>Trad</w:t>
      </w:r>
      <w:r>
        <w:t>e</w:t>
      </w:r>
      <w:r w:rsidRPr="00704F56">
        <w:t xml:space="preserve"> </w:t>
      </w:r>
      <w:r>
        <w:t>d</w:t>
      </w:r>
      <w:r w:rsidRPr="00704F56">
        <w:t xml:space="preserve">ecision </w:t>
      </w:r>
      <w:r>
        <w:t>m</w:t>
      </w:r>
      <w:r w:rsidRPr="00704F56">
        <w:t>aking</w:t>
      </w:r>
      <w:bookmarkEnd w:id="204"/>
      <w:bookmarkEnd w:id="205"/>
      <w:bookmarkEnd w:id="206"/>
      <w:bookmarkEnd w:id="207"/>
      <w:bookmarkEnd w:id="208"/>
    </w:p>
    <w:p w:rsidR="00CA794F" w:rsidRPr="002D6EE9" w:rsidRDefault="009F4861" w:rsidP="00CA794F">
      <w:pPr>
        <w:keepNext/>
        <w:spacing w:after="120"/>
        <w:ind w:left="142" w:firstLine="0"/>
        <w:jc w:val="both"/>
      </w:pPr>
      <w:r w:rsidRPr="002D6EE9">
        <w:t>These operating rules</w:t>
      </w:r>
      <w:r>
        <w:t xml:space="preserve"> guide the CEWH and CEWO staff when engaging with the water market and making decisions to trade.</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t xml:space="preserve">Decisions to trade </w:t>
      </w:r>
      <w:r>
        <w:rPr>
          <w:rFonts w:cs="Calibri"/>
          <w:b/>
          <w:color w:val="0070C0"/>
          <w:u w:val="single"/>
        </w:rPr>
        <w:t>will be</w:t>
      </w:r>
      <w:r w:rsidRPr="002B1C2D">
        <w:rPr>
          <w:rFonts w:cs="Calibri"/>
          <w:b/>
          <w:color w:val="0070C0"/>
          <w:u w:val="single"/>
        </w:rPr>
        <w:t xml:space="preserve"> informed by a market assessment [OR</w:t>
      </w:r>
      <w:r>
        <w:rPr>
          <w:rFonts w:cs="Calibri"/>
          <w:b/>
          <w:color w:val="0070C0"/>
          <w:u w:val="single"/>
        </w:rPr>
        <w:t>3</w:t>
      </w:r>
      <w:r w:rsidRPr="002B1C2D">
        <w:rPr>
          <w:rFonts w:cs="Calibri"/>
          <w:b/>
          <w:color w:val="0070C0"/>
          <w:u w:val="single"/>
        </w:rPr>
        <w:t>]</w:t>
      </w:r>
    </w:p>
    <w:p w:rsidR="00CA794F" w:rsidRPr="00643E62" w:rsidRDefault="009F4861" w:rsidP="00CA794F">
      <w:pPr>
        <w:pStyle w:val="ListBullet"/>
        <w:spacing w:before="120" w:after="120"/>
        <w:ind w:left="142" w:firstLine="0"/>
        <w:rPr>
          <w:rFonts w:cs="Arial"/>
        </w:rPr>
      </w:pPr>
      <w:r w:rsidRPr="00643E62">
        <w:t xml:space="preserve">In </w:t>
      </w:r>
      <w:r w:rsidRPr="002D6EE9">
        <w:t>addition to existing legislative</w:t>
      </w:r>
      <w:r w:rsidRPr="00643E62">
        <w:t xml:space="preserve"> requirements, when making trading decisions the CEWH will give reasonable consideration to the matters that include, but are not limited to:</w:t>
      </w:r>
    </w:p>
    <w:p w:rsidR="00CA794F" w:rsidRPr="00643E62" w:rsidRDefault="009F4861" w:rsidP="00CA794F">
      <w:pPr>
        <w:pStyle w:val="ListBullet2"/>
        <w:numPr>
          <w:ilvl w:val="0"/>
          <w:numId w:val="8"/>
        </w:numPr>
        <w:spacing w:before="120" w:after="120"/>
        <w:ind w:left="567"/>
      </w:pPr>
      <w:r>
        <w:t>t</w:t>
      </w:r>
      <w:r w:rsidRPr="00643E62">
        <w:t>he likely supply and demand of water within the relevant market at the expected time of trading, informed by current and historical market information;</w:t>
      </w:r>
      <w:r>
        <w:t xml:space="preserve"> and</w:t>
      </w:r>
    </w:p>
    <w:p w:rsidR="00CA794F" w:rsidRDefault="009F4861" w:rsidP="00CA794F">
      <w:pPr>
        <w:pStyle w:val="ListBullet2"/>
        <w:numPr>
          <w:ilvl w:val="0"/>
          <w:numId w:val="8"/>
        </w:numPr>
        <w:spacing w:before="120" w:after="120"/>
        <w:ind w:left="567"/>
      </w:pPr>
      <w:proofErr w:type="gramStart"/>
      <w:r>
        <w:t>p</w:t>
      </w:r>
      <w:r w:rsidRPr="00643E62">
        <w:t>otential</w:t>
      </w:r>
      <w:proofErr w:type="gramEnd"/>
      <w:r w:rsidRPr="00643E62">
        <w:t xml:space="preserve"> market impacts</w:t>
      </w:r>
      <w:r w:rsidR="003F10A0">
        <w:t xml:space="preserve"> of the proposed trade on the supply and market price of water</w:t>
      </w:r>
      <w:r w:rsidRPr="00643E62">
        <w:t>.</w:t>
      </w:r>
    </w:p>
    <w:p w:rsidR="00CA794F" w:rsidRDefault="009F4861" w:rsidP="00CA794F">
      <w:pPr>
        <w:keepNext/>
        <w:spacing w:after="120"/>
        <w:ind w:left="142" w:firstLine="0"/>
      </w:pPr>
      <w:r w:rsidRPr="001543E5">
        <w:t xml:space="preserve">This information could be used, for example, to inform the break-up of a large purchase or sale into smaller tranches that are traded over a more extended period of time. This approach </w:t>
      </w:r>
      <w:r>
        <w:t>aims</w:t>
      </w:r>
      <w:r w:rsidRPr="001543E5">
        <w:t xml:space="preserve"> to reduce </w:t>
      </w:r>
      <w:r>
        <w:t xml:space="preserve">market impacts by reducing </w:t>
      </w:r>
      <w:r w:rsidRPr="001543E5">
        <w:t xml:space="preserve">the volatility in market prices and </w:t>
      </w:r>
      <w:r>
        <w:t xml:space="preserve">tailoring the </w:t>
      </w:r>
      <w:r w:rsidRPr="001543E5">
        <w:t>volumes available for trade</w:t>
      </w:r>
      <w:r>
        <w:t xml:space="preserve"> to the market circumstances at the time</w:t>
      </w:r>
      <w:r w:rsidRPr="001543E5">
        <w:t>.</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t xml:space="preserve">Price limits to be </w:t>
      </w:r>
      <w:r>
        <w:rPr>
          <w:rFonts w:cs="Calibri"/>
          <w:b/>
          <w:color w:val="0070C0"/>
          <w:u w:val="single"/>
        </w:rPr>
        <w:t>used</w:t>
      </w:r>
      <w:r w:rsidRPr="002B1C2D">
        <w:rPr>
          <w:rFonts w:cs="Calibri"/>
          <w:b/>
          <w:color w:val="0070C0"/>
          <w:u w:val="single"/>
        </w:rPr>
        <w:t xml:space="preserve"> in any trading action [OR</w:t>
      </w:r>
      <w:r>
        <w:rPr>
          <w:rFonts w:cs="Calibri"/>
          <w:b/>
          <w:color w:val="0070C0"/>
          <w:u w:val="single"/>
        </w:rPr>
        <w:t>4</w:t>
      </w:r>
      <w:r w:rsidRPr="002B1C2D">
        <w:rPr>
          <w:rFonts w:cs="Calibri"/>
          <w:b/>
          <w:color w:val="0070C0"/>
          <w:u w:val="single"/>
        </w:rPr>
        <w:t>]</w:t>
      </w:r>
    </w:p>
    <w:p w:rsidR="00CA794F" w:rsidRDefault="009F4861" w:rsidP="00CA794F">
      <w:pPr>
        <w:pStyle w:val="ListBullet"/>
        <w:spacing w:after="120"/>
        <w:ind w:left="142" w:firstLine="0"/>
      </w:pPr>
      <w:r w:rsidRPr="00974EC2">
        <w:t xml:space="preserve">Prior to </w:t>
      </w:r>
      <w:r>
        <w:t>bids or offers being received</w:t>
      </w:r>
      <w:r w:rsidRPr="00974EC2">
        <w:t>,</w:t>
      </w:r>
      <w:r w:rsidRPr="00490F38">
        <w:t xml:space="preserve"> </w:t>
      </w:r>
      <w:r w:rsidRPr="00F462F5">
        <w:t>the</w:t>
      </w:r>
      <w:r w:rsidRPr="00974EC2">
        <w:t xml:space="preserve"> CEW</w:t>
      </w:r>
      <w:r>
        <w:t>H</w:t>
      </w:r>
      <w:r w:rsidRPr="00974EC2">
        <w:t xml:space="preserve"> will identify a price limit, informed by </w:t>
      </w:r>
      <w:r>
        <w:t>current and historical market conditions, based on the above market assessment. The price limit will be reviewed prior to each trading action. Setting such a price limit will:</w:t>
      </w:r>
    </w:p>
    <w:p w:rsidR="00CA794F" w:rsidRDefault="009F4861" w:rsidP="00CA794F">
      <w:pPr>
        <w:pStyle w:val="ListBullet"/>
        <w:numPr>
          <w:ilvl w:val="0"/>
          <w:numId w:val="20"/>
        </w:numPr>
        <w:spacing w:after="120"/>
        <w:ind w:hanging="357"/>
      </w:pPr>
      <w:r>
        <w:t>assist the CEWH in achieving value for money by establishing a</w:t>
      </w:r>
      <w:r w:rsidRPr="00974EC2">
        <w:t xml:space="preserve"> price that the CEW</w:t>
      </w:r>
      <w:r>
        <w:t>H</w:t>
      </w:r>
      <w:r w:rsidRPr="00974EC2">
        <w:t xml:space="preserve"> will not pay above (when buying) or accept below (when selling)</w:t>
      </w:r>
      <w:r>
        <w:t>; and</w:t>
      </w:r>
    </w:p>
    <w:p w:rsidR="00CA794F" w:rsidRDefault="009F4861" w:rsidP="00CA794F">
      <w:pPr>
        <w:pStyle w:val="ListBullet"/>
        <w:numPr>
          <w:ilvl w:val="0"/>
          <w:numId w:val="20"/>
        </w:numPr>
        <w:spacing w:after="120"/>
        <w:ind w:hanging="357"/>
      </w:pPr>
      <w:proofErr w:type="gramStart"/>
      <w:r>
        <w:t>help</w:t>
      </w:r>
      <w:proofErr w:type="gramEnd"/>
      <w:r>
        <w:t xml:space="preserve"> minimise market impacts by being reflective of prevailing market conditions</w:t>
      </w:r>
      <w:r w:rsidR="00102ACA">
        <w:t xml:space="preserve"> and limiting the range in which prices may move</w:t>
      </w:r>
      <w:r>
        <w:t xml:space="preserve">. </w:t>
      </w:r>
    </w:p>
    <w:p w:rsidR="004E73E5" w:rsidRDefault="00BE0177">
      <w:pPr>
        <w:pStyle w:val="ListBullet"/>
        <w:spacing w:after="120"/>
        <w:ind w:left="142" w:firstLine="0"/>
      </w:pPr>
      <w:r>
        <w:t>Depending on the trading mechanism used</w:t>
      </w:r>
      <w:proofErr w:type="gramStart"/>
      <w:r>
        <w:t>,  the</w:t>
      </w:r>
      <w:proofErr w:type="gramEnd"/>
      <w:r>
        <w:t xml:space="preserve"> price limit may not be disc</w:t>
      </w:r>
      <w:r w:rsidR="00102ACA">
        <w:t xml:space="preserve">losed </w:t>
      </w:r>
      <w:r>
        <w:t>to the market; for example, where a competitive tender is used.</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lastRenderedPageBreak/>
        <w:t>Consistent, equitable and transparent assessment of trade offers [OR</w:t>
      </w:r>
      <w:r>
        <w:rPr>
          <w:rFonts w:cs="Calibri"/>
          <w:b/>
          <w:color w:val="0070C0"/>
          <w:u w:val="single"/>
        </w:rPr>
        <w:t>5</w:t>
      </w:r>
      <w:r w:rsidRPr="002B1C2D">
        <w:rPr>
          <w:rFonts w:cs="Calibri"/>
          <w:b/>
          <w:color w:val="0070C0"/>
          <w:u w:val="single"/>
        </w:rPr>
        <w:t>]</w:t>
      </w:r>
    </w:p>
    <w:p w:rsidR="00CA794F" w:rsidRDefault="009F4861" w:rsidP="00CA794F">
      <w:pPr>
        <w:spacing w:before="120" w:after="120"/>
        <w:ind w:left="142" w:firstLine="0"/>
      </w:pPr>
      <w:r>
        <w:t xml:space="preserve">CEWO </w:t>
      </w:r>
      <w:proofErr w:type="gramStart"/>
      <w:r>
        <w:t>staff are</w:t>
      </w:r>
      <w:proofErr w:type="gramEnd"/>
      <w:r>
        <w:t xml:space="preserve"> developing, and will continue to refine, </w:t>
      </w:r>
      <w:r w:rsidRPr="00643E62">
        <w:t>interna</w:t>
      </w:r>
      <w:r>
        <w:t xml:space="preserve">l procedures to </w:t>
      </w:r>
      <w:r w:rsidRPr="00643E62">
        <w:t xml:space="preserve">make certain that </w:t>
      </w:r>
      <w:r>
        <w:t xml:space="preserve">the assessment and </w:t>
      </w:r>
      <w:r w:rsidRPr="00643E62">
        <w:t xml:space="preserve">decisions </w:t>
      </w:r>
      <w:r w:rsidRPr="005262DF">
        <w:t xml:space="preserve">for each individual trade process </w:t>
      </w:r>
      <w:r w:rsidRPr="00643E62">
        <w:t>a</w:t>
      </w:r>
      <w:r>
        <w:t>re</w:t>
      </w:r>
      <w:r w:rsidRPr="00643E62">
        <w:t xml:space="preserve"> rigorous, consistent and equitable. This will include an evaluation plan, approved by the CEWH prior to undertaking a trading action, which outlines the process for evaluating the of</w:t>
      </w:r>
      <w:r>
        <w:t>fers received</w:t>
      </w:r>
      <w:r w:rsidRPr="00643E62">
        <w:t>.</w:t>
      </w:r>
    </w:p>
    <w:p w:rsidR="00CA794F" w:rsidRPr="00704F56" w:rsidRDefault="009F4861" w:rsidP="00CA794F">
      <w:pPr>
        <w:pStyle w:val="Heading1"/>
        <w:numPr>
          <w:ilvl w:val="1"/>
          <w:numId w:val="13"/>
        </w:numPr>
        <w:spacing w:after="120"/>
      </w:pPr>
      <w:bookmarkStart w:id="209" w:name="_Toc256000054"/>
      <w:bookmarkStart w:id="210" w:name="_Toc256000028"/>
      <w:bookmarkStart w:id="211" w:name="_Toc373835474"/>
      <w:bookmarkStart w:id="212" w:name="_Toc373865199"/>
      <w:bookmarkStart w:id="213" w:name="_Toc375035200"/>
      <w:r w:rsidRPr="00704F56">
        <w:t>Announcements</w:t>
      </w:r>
      <w:bookmarkEnd w:id="209"/>
      <w:bookmarkEnd w:id="210"/>
      <w:bookmarkEnd w:id="211"/>
      <w:bookmarkEnd w:id="212"/>
      <w:bookmarkEnd w:id="213"/>
    </w:p>
    <w:p w:rsidR="00CA794F" w:rsidRPr="00643E62" w:rsidRDefault="009F4861" w:rsidP="00CA794F">
      <w:pPr>
        <w:spacing w:before="120" w:after="120"/>
        <w:ind w:left="142" w:firstLine="0"/>
        <w:rPr>
          <w:rFonts w:cs="Calibri"/>
        </w:rPr>
      </w:pPr>
      <w:r>
        <w:rPr>
          <w:rFonts w:cs="Calibri"/>
        </w:rPr>
        <w:t xml:space="preserve">The purpose of public announcements is to ensure transparency and accountability of the CEWO in relation to trade, and inform other market participants of the CEWH’s trading intentions. </w:t>
      </w:r>
      <w:r w:rsidRPr="00643E62">
        <w:rPr>
          <w:rFonts w:cs="Calibri"/>
        </w:rPr>
        <w:t xml:space="preserve">These operating rules </w:t>
      </w:r>
      <w:r>
        <w:rPr>
          <w:rFonts w:cs="Calibri"/>
        </w:rPr>
        <w:t xml:space="preserve">cover announcements relating to </w:t>
      </w:r>
      <w:r w:rsidRPr="00643E62">
        <w:rPr>
          <w:rFonts w:cs="Calibri"/>
        </w:rPr>
        <w:t xml:space="preserve">trading intentions, </w:t>
      </w:r>
      <w:r>
        <w:rPr>
          <w:rFonts w:cs="Calibri"/>
        </w:rPr>
        <w:t xml:space="preserve">decisions </w:t>
      </w:r>
      <w:r w:rsidRPr="00643E62">
        <w:rPr>
          <w:rFonts w:cs="Calibri"/>
        </w:rPr>
        <w:t>and outcomes.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Regular guidance on trading intentions [</w:t>
      </w:r>
      <w:r w:rsidR="00A37210" w:rsidRPr="001F735D">
        <w:rPr>
          <w:rFonts w:cs="Calibri"/>
          <w:b/>
          <w:color w:val="0070C0"/>
          <w:u w:val="single"/>
        </w:rPr>
        <w:t>OR</w:t>
      </w:r>
      <w:r w:rsidR="00102ACA">
        <w:rPr>
          <w:rFonts w:cs="Calibri"/>
          <w:b/>
          <w:color w:val="0070C0"/>
          <w:u w:val="single"/>
        </w:rPr>
        <w:t>6</w:t>
      </w:r>
      <w:r w:rsidRPr="001F735D">
        <w:rPr>
          <w:rFonts w:cs="Calibri"/>
          <w:b/>
          <w:color w:val="0070C0"/>
          <w:u w:val="single"/>
        </w:rPr>
        <w:t>]</w:t>
      </w:r>
    </w:p>
    <w:p w:rsidR="00CA794F" w:rsidRDefault="009F4861" w:rsidP="00CA794F">
      <w:pPr>
        <w:pStyle w:val="ListBullet"/>
        <w:keepNext/>
        <w:spacing w:after="120"/>
        <w:ind w:left="142" w:firstLine="0"/>
      </w:pPr>
      <w:r w:rsidRPr="00643E62">
        <w:t>The CEWH will provide the public with a summary of trading int</w:t>
      </w:r>
      <w:r>
        <w:t xml:space="preserve">entions early in the water year. </w:t>
      </w:r>
      <w:r w:rsidRPr="00643E62">
        <w:t xml:space="preserve">These trading intentions are subject to review and will be updated </w:t>
      </w:r>
      <w:r w:rsidR="00270B02">
        <w:t xml:space="preserve">quarterly, </w:t>
      </w:r>
      <w:r w:rsidR="00E87B39">
        <w:t>or more regularly</w:t>
      </w:r>
      <w:r w:rsidR="00270B02">
        <w:t xml:space="preserve"> as required,</w:t>
      </w:r>
      <w:r w:rsidRPr="00643E62">
        <w:t xml:space="preserve"> to reflect changing conditions.</w:t>
      </w:r>
      <w:r>
        <w:t xml:space="preserve"> If trading intentions change, the CEWH will ensure that this information is made generally available, as is required by the Basin Plan trading rules. T</w:t>
      </w:r>
      <w:r w:rsidRPr="002C76A4">
        <w:t xml:space="preserve">he timely provision and updating of information on the CEWO website will increase the transparency of CEWO operations and reduce uncertainty </w:t>
      </w:r>
      <w:r>
        <w:t>for water market</w:t>
      </w:r>
      <w:r w:rsidRPr="002C76A4">
        <w:t xml:space="preserve"> participants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Trading actions to be announced prior to trade [</w:t>
      </w:r>
      <w:r w:rsidR="00A37210" w:rsidRPr="001F735D">
        <w:rPr>
          <w:rFonts w:cs="Calibri"/>
          <w:b/>
          <w:color w:val="0070C0"/>
          <w:u w:val="single"/>
        </w:rPr>
        <w:t>OR</w:t>
      </w:r>
      <w:r w:rsidR="00102ACA">
        <w:rPr>
          <w:rFonts w:cs="Calibri"/>
          <w:b/>
          <w:color w:val="0070C0"/>
          <w:u w:val="single"/>
        </w:rPr>
        <w:t>7</w:t>
      </w:r>
      <w:r w:rsidRPr="001F735D">
        <w:rPr>
          <w:rFonts w:cs="Calibri"/>
          <w:b/>
          <w:color w:val="0070C0"/>
          <w:u w:val="single"/>
        </w:rPr>
        <w:t>]</w:t>
      </w:r>
    </w:p>
    <w:p w:rsidR="00CA794F" w:rsidRPr="00643E62" w:rsidRDefault="003A1837" w:rsidP="00CA794F">
      <w:pPr>
        <w:pStyle w:val="ListBullet"/>
        <w:spacing w:after="120"/>
        <w:ind w:left="142" w:firstLine="0"/>
      </w:pPr>
      <w:r>
        <w:t xml:space="preserve">At least two days prior to </w:t>
      </w:r>
      <w:r w:rsidR="007C69E1">
        <w:t>undertaking</w:t>
      </w:r>
      <w:r>
        <w:t xml:space="preserve"> a trad</w:t>
      </w:r>
      <w:r w:rsidR="007C69E1">
        <w:t>ing action</w:t>
      </w:r>
      <w:r w:rsidR="009F4861" w:rsidRPr="00643E62">
        <w:t xml:space="preserve">, the CEWH will publicly announce </w:t>
      </w:r>
      <w:r w:rsidR="007C69E1">
        <w:t>its intention to trade</w:t>
      </w:r>
      <w:r w:rsidR="009F4861" w:rsidRPr="00643E62">
        <w:t xml:space="preserve">. The announcement may </w:t>
      </w:r>
      <w:r w:rsidR="009F4861">
        <w:t>include, but is not limited to</w:t>
      </w:r>
      <w:r w:rsidR="009F4861" w:rsidRPr="00643E62">
        <w:t>:</w:t>
      </w:r>
    </w:p>
    <w:p w:rsidR="00CA794F" w:rsidRPr="00643E62" w:rsidRDefault="009F4861" w:rsidP="00CA794F">
      <w:pPr>
        <w:pStyle w:val="ListBullet2"/>
        <w:numPr>
          <w:ilvl w:val="0"/>
          <w:numId w:val="10"/>
        </w:numPr>
        <w:spacing w:after="120"/>
        <w:ind w:left="567" w:hanging="357"/>
      </w:pPr>
      <w:r>
        <w:t>l</w:t>
      </w:r>
      <w:r w:rsidRPr="00643E62">
        <w:t>ocation of the trade;</w:t>
      </w:r>
    </w:p>
    <w:p w:rsidR="00CA794F" w:rsidRPr="00643E62" w:rsidRDefault="009F4861" w:rsidP="00CA794F">
      <w:pPr>
        <w:pStyle w:val="ListBullet2"/>
        <w:numPr>
          <w:ilvl w:val="0"/>
          <w:numId w:val="10"/>
        </w:numPr>
        <w:spacing w:after="120"/>
        <w:ind w:left="567" w:hanging="357"/>
        <w:rPr>
          <w:i/>
          <w:iCs/>
        </w:rPr>
      </w:pPr>
      <w:r>
        <w:t>t</w:t>
      </w:r>
      <w:r w:rsidRPr="00643E62">
        <w:t>ype of water product to be traded;</w:t>
      </w:r>
    </w:p>
    <w:p w:rsidR="00CA794F" w:rsidRPr="00643E62" w:rsidRDefault="009F4861" w:rsidP="00CA794F">
      <w:pPr>
        <w:pStyle w:val="ListBullet2"/>
        <w:numPr>
          <w:ilvl w:val="0"/>
          <w:numId w:val="10"/>
        </w:numPr>
        <w:spacing w:after="120"/>
        <w:ind w:left="567" w:hanging="357"/>
        <w:rPr>
          <w:i/>
          <w:iCs/>
        </w:rPr>
      </w:pPr>
      <w:r w:rsidRPr="00643E62">
        <w:t>proposed volume to be traded (subject to suitable offers);</w:t>
      </w:r>
    </w:p>
    <w:p w:rsidR="00CA794F" w:rsidRPr="006709B5" w:rsidRDefault="009F4861" w:rsidP="00CA794F">
      <w:pPr>
        <w:pStyle w:val="ListBullet2"/>
        <w:numPr>
          <w:ilvl w:val="0"/>
          <w:numId w:val="10"/>
        </w:numPr>
        <w:spacing w:after="120"/>
        <w:ind w:left="567" w:hanging="357"/>
        <w:rPr>
          <w:i/>
          <w:iCs/>
        </w:rPr>
      </w:pPr>
      <w:r>
        <w:t>m</w:t>
      </w:r>
      <w:r w:rsidRPr="00643E62">
        <w:t>arket engagement mechanism to be used for the trade;</w:t>
      </w:r>
    </w:p>
    <w:p w:rsidR="00CA794F" w:rsidRPr="00126A12" w:rsidRDefault="009F4861" w:rsidP="00CA794F">
      <w:pPr>
        <w:pStyle w:val="ListBullet2"/>
        <w:numPr>
          <w:ilvl w:val="0"/>
          <w:numId w:val="10"/>
        </w:numPr>
        <w:spacing w:after="120"/>
        <w:ind w:left="567" w:hanging="357"/>
        <w:rPr>
          <w:i/>
          <w:iCs/>
        </w:rPr>
      </w:pPr>
      <w:r>
        <w:rPr>
          <w:iCs/>
        </w:rPr>
        <w:t>t</w:t>
      </w:r>
      <w:r w:rsidRPr="00126A12">
        <w:rPr>
          <w:iCs/>
        </w:rPr>
        <w:t xml:space="preserve">ime </w:t>
      </w:r>
      <w:r w:rsidRPr="006709B5">
        <w:rPr>
          <w:iCs/>
        </w:rPr>
        <w:t xml:space="preserve">period within which the trade is sought; and </w:t>
      </w:r>
    </w:p>
    <w:p w:rsidR="00CA794F" w:rsidRDefault="009F4861" w:rsidP="00CA794F">
      <w:pPr>
        <w:pStyle w:val="ListBullet2"/>
        <w:numPr>
          <w:ilvl w:val="0"/>
          <w:numId w:val="10"/>
        </w:numPr>
        <w:spacing w:after="120"/>
        <w:ind w:left="567" w:hanging="357"/>
        <w:rPr>
          <w:i/>
          <w:iCs/>
        </w:rPr>
      </w:pPr>
      <w:proofErr w:type="gramStart"/>
      <w:r>
        <w:rPr>
          <w:iCs/>
        </w:rPr>
        <w:t>r</w:t>
      </w:r>
      <w:r w:rsidRPr="006709B5">
        <w:rPr>
          <w:iCs/>
        </w:rPr>
        <w:t>eason</w:t>
      </w:r>
      <w:proofErr w:type="gramEnd"/>
      <w:r w:rsidRPr="006709B5">
        <w:rPr>
          <w:iCs/>
        </w:rPr>
        <w:t xml:space="preserve"> for the trade, referencing the requirements of the Water Act (including whether the trade is under Section 106(1) or 106(2)) and the Basin Plan</w:t>
      </w:r>
      <w:r w:rsidRPr="006709B5">
        <w:rPr>
          <w:i/>
          <w:iCs/>
        </w:rPr>
        <w:t>.</w:t>
      </w:r>
    </w:p>
    <w:p w:rsidR="00CA794F" w:rsidRDefault="009F4861" w:rsidP="00CA794F">
      <w:pPr>
        <w:pStyle w:val="ListBullet"/>
        <w:spacing w:after="120"/>
        <w:ind w:left="142" w:firstLine="0"/>
      </w:pPr>
      <w:r>
        <w:t>The CEWH will make reasonable efforts to ensure that the announcement becomes generally available to interested water market participants.</w:t>
      </w:r>
    </w:p>
    <w:p w:rsidR="00CA794F" w:rsidRDefault="009F4861" w:rsidP="00CA794F">
      <w:pPr>
        <w:pStyle w:val="ListBullet2"/>
        <w:keepNext/>
        <w:spacing w:after="120"/>
        <w:ind w:left="142" w:firstLine="0"/>
        <w:jc w:val="both"/>
        <w:rPr>
          <w:rFonts w:cs="Calibri"/>
          <w:color w:val="1F497D" w:themeColor="text2"/>
          <w:u w:val="single"/>
        </w:rPr>
      </w:pPr>
      <w:r w:rsidRPr="00E400F0">
        <w:rPr>
          <w:rFonts w:cs="Calibri"/>
          <w:b/>
          <w:color w:val="0070C0"/>
          <w:u w:val="single"/>
        </w:rPr>
        <w:t xml:space="preserve"> </w:t>
      </w:r>
      <w:r w:rsidRPr="006709B5">
        <w:rPr>
          <w:rFonts w:cs="Calibri"/>
          <w:b/>
          <w:color w:val="0070C0"/>
          <w:u w:val="single"/>
        </w:rPr>
        <w:t xml:space="preserve">Market </w:t>
      </w:r>
      <w:r>
        <w:rPr>
          <w:rFonts w:cs="Calibri"/>
          <w:b/>
          <w:color w:val="0070C0"/>
          <w:u w:val="single"/>
        </w:rPr>
        <w:t>information to be</w:t>
      </w:r>
      <w:r w:rsidRPr="006709B5">
        <w:rPr>
          <w:rFonts w:cs="Calibri"/>
          <w:b/>
          <w:color w:val="0070C0"/>
          <w:u w:val="single"/>
        </w:rPr>
        <w:t xml:space="preserve"> released prior to each trading action [</w:t>
      </w:r>
      <w:r w:rsidR="00A37210" w:rsidRPr="006709B5">
        <w:rPr>
          <w:rFonts w:cs="Calibri"/>
          <w:b/>
          <w:color w:val="0070C0"/>
          <w:u w:val="single"/>
        </w:rPr>
        <w:t>OR</w:t>
      </w:r>
      <w:r w:rsidR="00102ACA">
        <w:rPr>
          <w:rFonts w:cs="Calibri"/>
          <w:b/>
          <w:color w:val="0070C0"/>
          <w:u w:val="single"/>
        </w:rPr>
        <w:t>8</w:t>
      </w:r>
      <w:r w:rsidRPr="006709B5">
        <w:rPr>
          <w:rFonts w:cs="Calibri"/>
          <w:b/>
          <w:color w:val="0070C0"/>
          <w:u w:val="single"/>
        </w:rPr>
        <w:t>]</w:t>
      </w:r>
      <w:r>
        <w:rPr>
          <w:rStyle w:val="FootnoteReference"/>
          <w:rFonts w:cs="Calibri"/>
          <w:color w:val="1F497D" w:themeColor="text2"/>
          <w:u w:val="single"/>
        </w:rPr>
        <w:footnoteReference w:id="4"/>
      </w:r>
      <w:r w:rsidRPr="006709B5">
        <w:rPr>
          <w:rFonts w:cs="Calibri"/>
          <w:color w:val="1F497D" w:themeColor="text2"/>
          <w:u w:val="single"/>
        </w:rPr>
        <w:t xml:space="preserve"> </w:t>
      </w:r>
    </w:p>
    <w:p w:rsidR="00CA794F" w:rsidRPr="00126A12" w:rsidRDefault="009F4861" w:rsidP="00CA794F">
      <w:pPr>
        <w:pStyle w:val="ListBullet2"/>
        <w:keepNext/>
        <w:spacing w:after="120"/>
        <w:ind w:left="142" w:firstLine="0"/>
        <w:rPr>
          <w:rFonts w:cs="Calibri"/>
          <w:color w:val="1F497D" w:themeColor="text2"/>
          <w:u w:val="single"/>
        </w:rPr>
      </w:pPr>
      <w:r w:rsidRPr="00643E62">
        <w:rPr>
          <w:rFonts w:cs="Calibri"/>
        </w:rPr>
        <w:t xml:space="preserve">The CEWH will release market </w:t>
      </w:r>
      <w:r>
        <w:rPr>
          <w:rFonts w:cs="Calibri"/>
        </w:rPr>
        <w:t>information</w:t>
      </w:r>
      <w:r w:rsidRPr="00643E62">
        <w:rPr>
          <w:rFonts w:cs="Calibri"/>
        </w:rPr>
        <w:t xml:space="preserve"> at the time of announc</w:t>
      </w:r>
      <w:r>
        <w:rPr>
          <w:rFonts w:cs="Calibri"/>
        </w:rPr>
        <w:t>ing</w:t>
      </w:r>
      <w:r w:rsidRPr="00643E62">
        <w:rPr>
          <w:rFonts w:cs="Calibri"/>
        </w:rPr>
        <w:t xml:space="preserve"> a trading action. Provided the information is readily available, the </w:t>
      </w:r>
      <w:r>
        <w:rPr>
          <w:rFonts w:cs="Calibri"/>
        </w:rPr>
        <w:t xml:space="preserve">information </w:t>
      </w:r>
      <w:r w:rsidRPr="00643E62">
        <w:rPr>
          <w:rFonts w:cs="Calibri"/>
        </w:rPr>
        <w:t>will include, but is not limited to:</w:t>
      </w:r>
    </w:p>
    <w:p w:rsidR="00CA794F" w:rsidRPr="00643E62" w:rsidRDefault="009F4861" w:rsidP="00CA794F">
      <w:pPr>
        <w:pStyle w:val="ListBullet2"/>
        <w:numPr>
          <w:ilvl w:val="0"/>
          <w:numId w:val="10"/>
        </w:numPr>
        <w:spacing w:after="120"/>
        <w:ind w:left="567" w:hanging="357"/>
      </w:pPr>
      <w:r>
        <w:t>t</w:t>
      </w:r>
      <w:r w:rsidRPr="005C7A6F">
        <w:t>he proportion of the total entitlements issued that are owned by the Commonwealth</w:t>
      </w:r>
      <w:r w:rsidRPr="00643E62">
        <w:t>;</w:t>
      </w:r>
    </w:p>
    <w:p w:rsidR="00CA794F" w:rsidRPr="00643E62" w:rsidRDefault="009F4861" w:rsidP="00CA794F">
      <w:pPr>
        <w:pStyle w:val="ListBullet2"/>
        <w:numPr>
          <w:ilvl w:val="0"/>
          <w:numId w:val="10"/>
        </w:numPr>
        <w:spacing w:after="120"/>
        <w:ind w:left="567" w:hanging="357"/>
      </w:pPr>
      <w:r>
        <w:t>t</w:t>
      </w:r>
      <w:r w:rsidRPr="005C7A6F">
        <w:t>he proposed volume to be traded compared to historical volumes traded within the catchment</w:t>
      </w:r>
      <w:r w:rsidRPr="00643E62">
        <w:t>;</w:t>
      </w:r>
    </w:p>
    <w:p w:rsidR="0001016E" w:rsidRDefault="0001016E" w:rsidP="00CA794F">
      <w:pPr>
        <w:pStyle w:val="ListBullet2"/>
        <w:numPr>
          <w:ilvl w:val="0"/>
          <w:numId w:val="10"/>
        </w:numPr>
        <w:spacing w:after="120"/>
        <w:ind w:left="567" w:hanging="357"/>
      </w:pPr>
      <w:r>
        <w:t>current and forecast climat</w:t>
      </w:r>
      <w:r w:rsidR="00433E09">
        <w:t>e</w:t>
      </w:r>
      <w:r>
        <w:t xml:space="preserve"> conditions within the catchment;</w:t>
      </w:r>
    </w:p>
    <w:p w:rsidR="00CA794F" w:rsidRPr="00643E62" w:rsidRDefault="009F4861" w:rsidP="00CA794F">
      <w:pPr>
        <w:pStyle w:val="ListBullet2"/>
        <w:numPr>
          <w:ilvl w:val="0"/>
          <w:numId w:val="10"/>
        </w:numPr>
        <w:spacing w:after="120"/>
        <w:ind w:left="567" w:hanging="357"/>
      </w:pPr>
      <w:r>
        <w:t>h</w:t>
      </w:r>
      <w:r w:rsidRPr="005C7A6F">
        <w:t xml:space="preserve">istorical </w:t>
      </w:r>
      <w:r w:rsidR="00791FAB">
        <w:t xml:space="preserve">and current season </w:t>
      </w:r>
      <w:r w:rsidRPr="005C7A6F">
        <w:t>price information and trading patterns</w:t>
      </w:r>
      <w:r w:rsidRPr="00643E62">
        <w:t>;</w:t>
      </w:r>
      <w:r w:rsidRPr="005C7A6F">
        <w:t xml:space="preserve"> </w:t>
      </w:r>
    </w:p>
    <w:p w:rsidR="00CA794F" w:rsidRPr="00643E62" w:rsidRDefault="009F4861" w:rsidP="00CA794F">
      <w:pPr>
        <w:pStyle w:val="ListBullet2"/>
        <w:numPr>
          <w:ilvl w:val="0"/>
          <w:numId w:val="10"/>
        </w:numPr>
        <w:spacing w:after="120"/>
        <w:ind w:left="567" w:hanging="357"/>
      </w:pPr>
      <w:r>
        <w:t>h</w:t>
      </w:r>
      <w:r w:rsidRPr="005C7A6F">
        <w:t xml:space="preserve">istorical </w:t>
      </w:r>
      <w:r w:rsidR="00471331">
        <w:t xml:space="preserve">and current season </w:t>
      </w:r>
      <w:r w:rsidRPr="005C7A6F">
        <w:t xml:space="preserve">level of water use within the catchment; and </w:t>
      </w:r>
    </w:p>
    <w:p w:rsidR="00CA794F" w:rsidRPr="005C7A6F" w:rsidRDefault="009F4861" w:rsidP="00CA794F">
      <w:pPr>
        <w:pStyle w:val="ListBullet2"/>
        <w:numPr>
          <w:ilvl w:val="0"/>
          <w:numId w:val="10"/>
        </w:numPr>
        <w:spacing w:after="120"/>
        <w:ind w:left="567" w:hanging="357"/>
      </w:pPr>
      <w:proofErr w:type="gramStart"/>
      <w:r>
        <w:t>c</w:t>
      </w:r>
      <w:r w:rsidRPr="005C7A6F">
        <w:t>urrent</w:t>
      </w:r>
      <w:proofErr w:type="gramEnd"/>
      <w:r w:rsidRPr="005C7A6F">
        <w:t xml:space="preserve"> water availability. </w:t>
      </w:r>
    </w:p>
    <w:p w:rsidR="00CA794F" w:rsidRPr="001F735D" w:rsidRDefault="009F4861" w:rsidP="00CA794F">
      <w:pPr>
        <w:pStyle w:val="ListBullet"/>
        <w:keepNext/>
        <w:spacing w:after="120"/>
        <w:ind w:left="142" w:firstLine="0"/>
        <w:rPr>
          <w:rFonts w:cs="Calibri"/>
        </w:rPr>
      </w:pPr>
      <w:r w:rsidRPr="001355B7">
        <w:rPr>
          <w:rFonts w:cs="Calibri"/>
        </w:rPr>
        <w:lastRenderedPageBreak/>
        <w:t xml:space="preserve">The provision of this information should provide </w:t>
      </w:r>
      <w:r>
        <w:rPr>
          <w:rFonts w:cs="Calibri"/>
        </w:rPr>
        <w:t>interested parties with confidence that current conditions and impacts have been considered when making a trade decision. It will also inform other parties interested in trading with the CEWH about market conditions.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Public reporting following trading actions [</w:t>
      </w:r>
      <w:r w:rsidR="00A37210" w:rsidRPr="001F735D">
        <w:rPr>
          <w:rFonts w:cs="Calibri"/>
          <w:b/>
          <w:color w:val="0070C0"/>
          <w:u w:val="single"/>
        </w:rPr>
        <w:t>OR</w:t>
      </w:r>
      <w:r w:rsidR="00102ACA">
        <w:rPr>
          <w:rFonts w:cs="Calibri"/>
          <w:b/>
          <w:color w:val="0070C0"/>
          <w:u w:val="single"/>
        </w:rPr>
        <w:t>9</w:t>
      </w:r>
      <w:r w:rsidRPr="001F735D">
        <w:rPr>
          <w:rFonts w:cs="Calibri"/>
          <w:b/>
          <w:color w:val="0070C0"/>
          <w:u w:val="single"/>
        </w:rPr>
        <w:t>]</w:t>
      </w:r>
    </w:p>
    <w:p w:rsidR="00CA794F" w:rsidRPr="00643E62" w:rsidRDefault="009F4861" w:rsidP="00CA794F">
      <w:pPr>
        <w:pStyle w:val="ListBullet"/>
        <w:spacing w:after="120"/>
        <w:ind w:left="142" w:firstLine="0"/>
      </w:pPr>
      <w:r w:rsidRPr="004C0FA0">
        <w:t>To enhance public scrutiny</w:t>
      </w:r>
      <w:r>
        <w:t>,</w:t>
      </w:r>
      <w:r w:rsidRPr="00643E62">
        <w:t xml:space="preserve"> </w:t>
      </w:r>
      <w:r>
        <w:t>w</w:t>
      </w:r>
      <w:r w:rsidRPr="00643E62">
        <w:t xml:space="preserve">ithin 30 days of the registration of the last trade made through a given trading action, the CEWH will make information publicly available (in a way that protects the privacy of trading partners) on its website that includes, but is not limited to: </w:t>
      </w:r>
    </w:p>
    <w:p w:rsidR="00BE63D5" w:rsidRPr="005C7A6F" w:rsidRDefault="00BE63D5" w:rsidP="00CA794F">
      <w:pPr>
        <w:pStyle w:val="ListBullet2"/>
        <w:numPr>
          <w:ilvl w:val="0"/>
          <w:numId w:val="10"/>
        </w:numPr>
        <w:spacing w:after="120"/>
        <w:ind w:left="567" w:hanging="357"/>
      </w:pPr>
      <w:r>
        <w:t xml:space="preserve">actual and weighted </w:t>
      </w:r>
      <w:r w:rsidR="009F4861">
        <w:t>a</w:t>
      </w:r>
      <w:r w:rsidR="009F4861" w:rsidRPr="00643E62">
        <w:t>verage price at which trades occurred;</w:t>
      </w:r>
    </w:p>
    <w:p w:rsidR="00CA794F" w:rsidRPr="005C7A6F" w:rsidRDefault="009F4861" w:rsidP="00CA794F">
      <w:pPr>
        <w:pStyle w:val="ListBullet2"/>
        <w:numPr>
          <w:ilvl w:val="0"/>
          <w:numId w:val="10"/>
        </w:numPr>
        <w:spacing w:after="120"/>
        <w:ind w:left="567" w:hanging="357"/>
      </w:pPr>
      <w:r>
        <w:t>t</w:t>
      </w:r>
      <w:r w:rsidRPr="00643E62">
        <w:t>he volume traded; and</w:t>
      </w:r>
    </w:p>
    <w:p w:rsidR="00CA794F" w:rsidRPr="005C7A6F" w:rsidRDefault="009F4861" w:rsidP="00CA794F">
      <w:pPr>
        <w:pStyle w:val="ListBullet2"/>
        <w:numPr>
          <w:ilvl w:val="0"/>
          <w:numId w:val="10"/>
        </w:numPr>
        <w:spacing w:after="120"/>
        <w:ind w:left="567" w:hanging="357"/>
      </w:pPr>
      <w:proofErr w:type="gramStart"/>
      <w:r>
        <w:t>c</w:t>
      </w:r>
      <w:r w:rsidRPr="00643E62">
        <w:t>onfirmation</w:t>
      </w:r>
      <w:proofErr w:type="gramEnd"/>
      <w:r w:rsidRPr="00643E62">
        <w:t xml:space="preserve"> of details that were announced prior to the trading action being conducted (including a description of any variance).</w:t>
      </w:r>
    </w:p>
    <w:p w:rsidR="00CA794F" w:rsidRDefault="009F4861" w:rsidP="00CA794F">
      <w:pPr>
        <w:pStyle w:val="ListBullet"/>
        <w:spacing w:after="120"/>
        <w:ind w:left="142" w:firstLine="0"/>
      </w:pPr>
      <w:r w:rsidRPr="00643E62">
        <w:t>Alternatively, if there were no successful trades in a given trading action, the CEWH will announce this on its website.</w:t>
      </w:r>
    </w:p>
    <w:p w:rsidR="00CA794F" w:rsidRPr="00643E62" w:rsidRDefault="009F4861" w:rsidP="00CA794F">
      <w:pPr>
        <w:pStyle w:val="ListBullet"/>
        <w:spacing w:after="120"/>
        <w:ind w:left="142" w:firstLine="0"/>
      </w:pPr>
      <w:r w:rsidRPr="00643E62">
        <w:t>A summary of all trading activity undertaken in a given water year will be provided in the CEWO annual report and tabled in parliament.</w:t>
      </w:r>
    </w:p>
    <w:p w:rsidR="00CA794F" w:rsidRPr="00704F56" w:rsidRDefault="009F4861" w:rsidP="00CA794F">
      <w:pPr>
        <w:pStyle w:val="Heading1"/>
        <w:numPr>
          <w:ilvl w:val="1"/>
          <w:numId w:val="13"/>
        </w:numPr>
        <w:spacing w:after="120"/>
      </w:pPr>
      <w:bookmarkStart w:id="214" w:name="_Toc256000055"/>
      <w:bookmarkStart w:id="215" w:name="_Toc256000029"/>
      <w:bookmarkStart w:id="216" w:name="_Toc373835475"/>
      <w:bookmarkStart w:id="217" w:name="_Toc373865200"/>
      <w:bookmarkStart w:id="218" w:name="_Toc375035201"/>
      <w:r>
        <w:t>Review and a</w:t>
      </w:r>
      <w:r w:rsidRPr="00704F56">
        <w:t>udit</w:t>
      </w:r>
      <w:bookmarkEnd w:id="214"/>
      <w:bookmarkEnd w:id="215"/>
      <w:bookmarkEnd w:id="216"/>
      <w:bookmarkEnd w:id="217"/>
      <w:bookmarkEnd w:id="218"/>
    </w:p>
    <w:p w:rsidR="004B59B8" w:rsidRPr="00BF40B7" w:rsidRDefault="004B59B8" w:rsidP="00BF40B7">
      <w:pPr>
        <w:pStyle w:val="Heading1"/>
        <w:numPr>
          <w:ilvl w:val="2"/>
          <w:numId w:val="13"/>
        </w:numPr>
        <w:spacing w:after="120"/>
      </w:pPr>
      <w:r w:rsidRPr="00BF40B7">
        <w:t xml:space="preserve">Independent review of the operating rules </w:t>
      </w:r>
    </w:p>
    <w:p w:rsidR="00CA794F" w:rsidRDefault="009F4861" w:rsidP="00CA794F">
      <w:pPr>
        <w:spacing w:after="120"/>
        <w:ind w:left="142" w:firstLine="0"/>
      </w:pPr>
      <w:r>
        <w:t xml:space="preserve">The </w:t>
      </w:r>
      <w:r w:rsidR="00C17926">
        <w:t>operating rules</w:t>
      </w:r>
      <w:r>
        <w:t xml:space="preserve"> will be refined if necessary as the CEWH becomes more experienced in the water market.  </w:t>
      </w:r>
      <w:r w:rsidRPr="001A4150">
        <w:t xml:space="preserve">The </w:t>
      </w:r>
      <w:r w:rsidR="00A37210">
        <w:t>government</w:t>
      </w:r>
      <w:r w:rsidR="00A37210" w:rsidRPr="001A4150">
        <w:t xml:space="preserve"> </w:t>
      </w:r>
      <w:r w:rsidRPr="001A4150">
        <w:t xml:space="preserve">will </w:t>
      </w:r>
      <w:r>
        <w:t xml:space="preserve">ensure an independent review of the </w:t>
      </w:r>
      <w:r w:rsidR="004B59B8">
        <w:t>operating rules</w:t>
      </w:r>
      <w:r>
        <w:t xml:space="preserve"> within three years of the first CEWH trade to ensure that </w:t>
      </w:r>
      <w:r w:rsidR="004B59B8">
        <w:t xml:space="preserve">they are </w:t>
      </w:r>
      <w:r>
        <w:t>appropriate, effective and efficient.</w:t>
      </w:r>
      <w:r w:rsidRPr="001A4150">
        <w:t xml:space="preserve">  </w:t>
      </w:r>
      <w:r>
        <w:t xml:space="preserve">The review </w:t>
      </w:r>
      <w:r w:rsidRPr="001A4150">
        <w:t>will</w:t>
      </w:r>
      <w:r>
        <w:t>:</w:t>
      </w:r>
    </w:p>
    <w:p w:rsidR="00CA794F" w:rsidRDefault="009F4861" w:rsidP="00CA794F">
      <w:pPr>
        <w:pStyle w:val="ListBullet2"/>
        <w:numPr>
          <w:ilvl w:val="0"/>
          <w:numId w:val="10"/>
        </w:numPr>
        <w:spacing w:after="120"/>
        <w:ind w:left="567" w:hanging="357"/>
      </w:pPr>
      <w:r>
        <w:t>i</w:t>
      </w:r>
      <w:r w:rsidRPr="001A4150">
        <w:t>dentify</w:t>
      </w:r>
      <w:r>
        <w:t xml:space="preserve"> if there is a need for </w:t>
      </w:r>
      <w:r w:rsidRPr="001A4150">
        <w:t xml:space="preserve">any additional </w:t>
      </w:r>
      <w:r w:rsidR="004B59B8">
        <w:t>operating rules</w:t>
      </w:r>
      <w:r>
        <w:t>;</w:t>
      </w:r>
      <w:r w:rsidRPr="001A4150">
        <w:t xml:space="preserve"> </w:t>
      </w:r>
    </w:p>
    <w:p w:rsidR="00CA794F" w:rsidRDefault="009F4861" w:rsidP="00CA794F">
      <w:pPr>
        <w:pStyle w:val="ListBullet2"/>
        <w:numPr>
          <w:ilvl w:val="0"/>
          <w:numId w:val="10"/>
        </w:numPr>
        <w:spacing w:after="120"/>
        <w:ind w:left="567" w:hanging="357"/>
      </w:pPr>
      <w:r>
        <w:t>i</w:t>
      </w:r>
      <w:r w:rsidRPr="001A4150">
        <w:t>dentify</w:t>
      </w:r>
      <w:r>
        <w:t xml:space="preserve"> if</w:t>
      </w:r>
      <w:r w:rsidRPr="001A4150">
        <w:t xml:space="preserve"> changes </w:t>
      </w:r>
      <w:r>
        <w:t xml:space="preserve">need to be made </w:t>
      </w:r>
      <w:r w:rsidRPr="001A4150">
        <w:t xml:space="preserve">to existing </w:t>
      </w:r>
      <w:r w:rsidR="004B59B8">
        <w:t>operating rules</w:t>
      </w:r>
      <w:r>
        <w:t>;</w:t>
      </w:r>
    </w:p>
    <w:p w:rsidR="00CA794F" w:rsidRDefault="009F4861" w:rsidP="00CA794F">
      <w:pPr>
        <w:pStyle w:val="ListBullet2"/>
        <w:numPr>
          <w:ilvl w:val="0"/>
          <w:numId w:val="10"/>
        </w:numPr>
        <w:spacing w:after="120"/>
        <w:ind w:left="567" w:hanging="357"/>
      </w:pPr>
      <w:r>
        <w:t>i</w:t>
      </w:r>
      <w:r w:rsidRPr="001A4150">
        <w:t>dentify</w:t>
      </w:r>
      <w:r>
        <w:t xml:space="preserve"> i</w:t>
      </w:r>
      <w:r w:rsidRPr="001A4150">
        <w:t>f there is a need to m</w:t>
      </w:r>
      <w:r>
        <w:t xml:space="preserve">ake legislated </w:t>
      </w:r>
      <w:r w:rsidR="004B59B8">
        <w:t>operating rules</w:t>
      </w:r>
      <w:r>
        <w:t>; and</w:t>
      </w:r>
    </w:p>
    <w:p w:rsidR="00CA794F" w:rsidRDefault="009F4861" w:rsidP="00CA794F">
      <w:pPr>
        <w:pStyle w:val="ListBullet2"/>
        <w:numPr>
          <w:ilvl w:val="0"/>
          <w:numId w:val="10"/>
        </w:numPr>
        <w:spacing w:after="120"/>
        <w:ind w:left="567" w:hanging="357"/>
      </w:pPr>
      <w:proofErr w:type="gramStart"/>
      <w:r>
        <w:t>assess</w:t>
      </w:r>
      <w:proofErr w:type="gramEnd"/>
      <w:r>
        <w:t xml:space="preserve"> compliance of the CEWH and CEWO staff </w:t>
      </w:r>
      <w:r w:rsidR="001A515A">
        <w:t>with the operating rules</w:t>
      </w:r>
      <w:r>
        <w:t xml:space="preserve">. </w:t>
      </w:r>
    </w:p>
    <w:p w:rsidR="00CA794F" w:rsidRDefault="009F4861" w:rsidP="00CA794F">
      <w:pPr>
        <w:spacing w:after="120"/>
        <w:ind w:left="142" w:firstLine="0"/>
      </w:pPr>
      <w:r>
        <w:t xml:space="preserve">Additionally the review will include assessing </w:t>
      </w:r>
      <w:r w:rsidRPr="001A4150">
        <w:t xml:space="preserve">the effectiveness of arrangements put in place to promote compliance with relevant legislation relating to conflicts of interest, inside information and access to information that is not </w:t>
      </w:r>
      <w:r>
        <w:t>made generally</w:t>
      </w:r>
      <w:r w:rsidRPr="001A4150">
        <w:t xml:space="preserve"> available.  The findings of the review w</w:t>
      </w:r>
      <w:r>
        <w:t>ill be made publicly available.</w:t>
      </w:r>
    </w:p>
    <w:p w:rsidR="00CA794F" w:rsidRDefault="009F4861" w:rsidP="00CA794F">
      <w:pPr>
        <w:spacing w:after="120"/>
        <w:ind w:left="142" w:firstLine="0"/>
      </w:pPr>
      <w:r>
        <w:t>At this time the Minister will be provided with advice on whether there is a need for legislated operating rules as is provided for under section 109 of the Water Act.</w:t>
      </w:r>
    </w:p>
    <w:p w:rsidR="004B59B8" w:rsidRPr="001827B1" w:rsidRDefault="004B59B8" w:rsidP="001827B1">
      <w:pPr>
        <w:pStyle w:val="Heading1"/>
        <w:numPr>
          <w:ilvl w:val="2"/>
          <w:numId w:val="13"/>
        </w:numPr>
        <w:spacing w:after="120"/>
      </w:pPr>
      <w:r w:rsidRPr="001827B1">
        <w:t>Independent assessment of the impacts of trading activity</w:t>
      </w:r>
    </w:p>
    <w:p w:rsidR="00CA794F" w:rsidRDefault="004B59B8" w:rsidP="001827B1">
      <w:pPr>
        <w:ind w:left="142" w:firstLine="0"/>
      </w:pPr>
      <w:r>
        <w:t xml:space="preserve">Within three years of the </w:t>
      </w:r>
      <w:r w:rsidR="0024488B">
        <w:t>first CEWH trade</w:t>
      </w:r>
      <w:r w:rsidR="002705AD">
        <w:t xml:space="preserve">, the </w:t>
      </w:r>
      <w:r>
        <w:t>CEWH</w:t>
      </w:r>
      <w:r w:rsidR="002705AD">
        <w:t xml:space="preserve"> wil</w:t>
      </w:r>
      <w:r w:rsidR="001827B1">
        <w:t>l</w:t>
      </w:r>
      <w:r w:rsidR="002705AD">
        <w:t xml:space="preserve"> commission an independent </w:t>
      </w:r>
      <w:r w:rsidR="007835FC">
        <w:t xml:space="preserve">expert to conduct an assessment of the impacts of its trading on the water market, including consideration of third-party and socio-economic impacts. </w:t>
      </w:r>
      <w:r w:rsidR="007835FC" w:rsidRPr="001A4150">
        <w:t xml:space="preserve">The findings of the </w:t>
      </w:r>
      <w:r w:rsidR="007835FC">
        <w:t>assessment</w:t>
      </w:r>
      <w:r w:rsidR="007835FC" w:rsidRPr="001A4150">
        <w:t xml:space="preserve"> w</w:t>
      </w:r>
      <w:r w:rsidR="007835FC">
        <w:t>ill be made publicly available.</w:t>
      </w:r>
    </w:p>
    <w:p w:rsidR="00CA794F" w:rsidRPr="00EB2976" w:rsidRDefault="009F4861" w:rsidP="00CA794F">
      <w:r>
        <w:t xml:space="preserve"> </w:t>
      </w:r>
    </w:p>
    <w:p w:rsidR="00CA794F" w:rsidRPr="00643E62" w:rsidRDefault="00CA794F" w:rsidP="00CA794F">
      <w:pPr>
        <w:rPr>
          <w:rFonts w:cs="Calibri"/>
        </w:rPr>
      </w:pPr>
    </w:p>
    <w:p w:rsidR="00CA794F" w:rsidRPr="00643E62" w:rsidRDefault="00CA794F">
      <w:pPr>
        <w:rPr>
          <w:rFonts w:cs="Calibri"/>
        </w:rPr>
      </w:pPr>
    </w:p>
    <w:sectPr w:rsidR="00CA794F" w:rsidRPr="00643E62" w:rsidSect="00CA794F">
      <w:pgSz w:w="11906" w:h="16838"/>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F34" w:rsidRDefault="003B7F34" w:rsidP="00D90EED">
      <w:r>
        <w:separator/>
      </w:r>
    </w:p>
  </w:endnote>
  <w:endnote w:type="continuationSeparator" w:id="0">
    <w:p w:rsidR="003B7F34" w:rsidRDefault="003B7F34" w:rsidP="00D90E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Arial Narrow"/>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Regular">
    <w:altName w:val="Corbel"/>
    <w:charset w:val="00"/>
    <w:family w:val="auto"/>
    <w:pitch w:val="variable"/>
    <w:sig w:usb0="00000001" w:usb1="5000206A"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34" w:rsidRDefault="003B7F3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94859"/>
      <w:docPartObj>
        <w:docPartGallery w:val="Page Numbers (Bottom of Page)"/>
        <w:docPartUnique/>
      </w:docPartObj>
    </w:sdtPr>
    <w:sdtContent>
      <w:p w:rsidR="003B7F34" w:rsidRDefault="001B7ECE">
        <w:pPr>
          <w:pStyle w:val="Footer"/>
          <w:jc w:val="center"/>
        </w:pPr>
        <w:r>
          <w:fldChar w:fldCharType="begin"/>
        </w:r>
        <w:r w:rsidR="00457E4A">
          <w:instrText xml:space="preserve"> PAGE   \* MERGEFORMAT </w:instrText>
        </w:r>
        <w:r>
          <w:fldChar w:fldCharType="separate"/>
        </w:r>
        <w:r w:rsidR="003B7F34">
          <w:rPr>
            <w:noProof/>
          </w:rPr>
          <w:t>4</w:t>
        </w:r>
        <w:r>
          <w:fldChar w:fldCharType="end"/>
        </w:r>
      </w:p>
    </w:sdtContent>
  </w:sdt>
  <w:p w:rsidR="003B7F34" w:rsidRDefault="003B7F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4114"/>
      <w:docPartObj>
        <w:docPartGallery w:val="Page Numbers (Bottom of Page)"/>
        <w:docPartUnique/>
      </w:docPartObj>
    </w:sdtPr>
    <w:sdtContent>
      <w:p w:rsidR="003B7F34" w:rsidRDefault="001B7ECE">
        <w:pPr>
          <w:pStyle w:val="Footer"/>
          <w:jc w:val="center"/>
        </w:pPr>
        <w:r>
          <w:fldChar w:fldCharType="begin"/>
        </w:r>
        <w:r w:rsidR="00457E4A">
          <w:instrText xml:space="preserve"> PAGE   \* MERGEFORMAT </w:instrText>
        </w:r>
        <w:r>
          <w:fldChar w:fldCharType="separate"/>
        </w:r>
        <w:r w:rsidR="00C65774">
          <w:rPr>
            <w:noProof/>
          </w:rPr>
          <w:t>1</w:t>
        </w:r>
        <w:r>
          <w:fldChar w:fldCharType="end"/>
        </w:r>
      </w:p>
    </w:sdtContent>
  </w:sdt>
  <w:p w:rsidR="003B7F34" w:rsidRDefault="003B7F3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94896"/>
      <w:docPartObj>
        <w:docPartGallery w:val="Page Numbers (Bottom of Page)"/>
        <w:docPartUnique/>
      </w:docPartObj>
    </w:sdtPr>
    <w:sdtContent>
      <w:p w:rsidR="003B7F34" w:rsidRDefault="001B7ECE">
        <w:pPr>
          <w:pStyle w:val="Footer"/>
          <w:jc w:val="center"/>
        </w:pPr>
        <w:r>
          <w:fldChar w:fldCharType="begin"/>
        </w:r>
        <w:r w:rsidR="00457E4A">
          <w:instrText xml:space="preserve"> PAGE   \* MERGEFORMAT </w:instrText>
        </w:r>
        <w:r>
          <w:fldChar w:fldCharType="separate"/>
        </w:r>
        <w:r w:rsidR="00C65774">
          <w:rPr>
            <w:noProof/>
          </w:rPr>
          <w:t>8</w:t>
        </w:r>
        <w:r>
          <w:fldChar w:fldCharType="end"/>
        </w:r>
      </w:p>
    </w:sdtContent>
  </w:sdt>
  <w:p w:rsidR="003B7F34" w:rsidRDefault="003B7F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F34" w:rsidRDefault="003B7F34" w:rsidP="00CA794F">
      <w:r>
        <w:separator/>
      </w:r>
    </w:p>
  </w:footnote>
  <w:footnote w:type="continuationSeparator" w:id="0">
    <w:p w:rsidR="003B7F34" w:rsidRDefault="003B7F34" w:rsidP="00CA794F">
      <w:r>
        <w:continuationSeparator/>
      </w:r>
    </w:p>
  </w:footnote>
  <w:footnote w:id="1">
    <w:p w:rsidR="003B7F34" w:rsidRPr="0033040D" w:rsidRDefault="003B7F34" w:rsidP="00CA794F">
      <w:pPr>
        <w:pStyle w:val="FootnoteText"/>
        <w:ind w:firstLine="0"/>
        <w:rPr>
          <w:lang w:val="en-AU"/>
        </w:rPr>
      </w:pPr>
      <w:r>
        <w:rPr>
          <w:rStyle w:val="FootnoteReference"/>
        </w:rPr>
        <w:footnoteRef/>
      </w:r>
      <w:r>
        <w:t xml:space="preserve"> </w:t>
      </w:r>
      <w:r w:rsidRPr="008C4D26">
        <w:rPr>
          <w:sz w:val="16"/>
          <w:szCs w:val="16"/>
          <w:lang w:val="en-AU"/>
        </w:rPr>
        <w:t>The CEWH is a statutory position created by the Water Act to manage the Commonwealth’s environmental water holdings. The operating rules apply only to the CEWH. The CEWH is supported by CEWO in performing its functions under the Water Act. The CEWO will undertake its role to assist the CEWH’s compliance with the operating rules.</w:t>
      </w:r>
    </w:p>
  </w:footnote>
  <w:footnote w:id="2">
    <w:p w:rsidR="003B7F34" w:rsidRDefault="003B7F34" w:rsidP="00CA794F">
      <w:pPr>
        <w:pStyle w:val="FootnoteText"/>
      </w:pPr>
      <w:r>
        <w:rPr>
          <w:rStyle w:val="FootnoteReference"/>
        </w:rPr>
        <w:footnoteRef/>
      </w:r>
      <w:r>
        <w:t xml:space="preserve"> </w:t>
      </w:r>
      <w:proofErr w:type="gramStart"/>
      <w:r>
        <w:t>Includes both water brokers and the operators of online water trading platforms.</w:t>
      </w:r>
      <w:proofErr w:type="gramEnd"/>
    </w:p>
  </w:footnote>
  <w:footnote w:id="3">
    <w:p w:rsidR="003B7F34" w:rsidRPr="00A31FAA" w:rsidRDefault="003B7F34"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 w:id="4">
    <w:p w:rsidR="003B7F34" w:rsidRPr="004C5989" w:rsidRDefault="003B7F34"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34" w:rsidRDefault="001B7ECE" w:rsidP="00CA794F">
    <w:pPr>
      <w:pStyle w:val="Classification"/>
    </w:pPr>
    <w:fldSimple w:instr=" DOCPROPERTY SecurityClassification \* MERGEFORMAT ">
      <w:r w:rsidR="00457E4A" w:rsidRPr="00457E4A">
        <w:rPr>
          <w:b/>
          <w:bCs/>
        </w:rPr>
        <w:t>UNCLASSIFIED</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73461FC"/>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3AB6A26"/>
    <w:multiLevelType w:val="hybridMultilevel"/>
    <w:tmpl w:val="F6720626"/>
    <w:lvl w:ilvl="0" w:tplc="1124D142">
      <w:start w:val="1"/>
      <w:numFmt w:val="bullet"/>
      <w:lvlText w:val=""/>
      <w:lvlJc w:val="left"/>
      <w:pPr>
        <w:ind w:left="720" w:hanging="360"/>
      </w:pPr>
      <w:rPr>
        <w:rFonts w:ascii="Symbol" w:hAnsi="Symbol" w:hint="default"/>
      </w:rPr>
    </w:lvl>
    <w:lvl w:ilvl="1" w:tplc="64A6C2BA" w:tentative="1">
      <w:start w:val="1"/>
      <w:numFmt w:val="bullet"/>
      <w:lvlText w:val="o"/>
      <w:lvlJc w:val="left"/>
      <w:pPr>
        <w:ind w:left="1440" w:hanging="360"/>
      </w:pPr>
      <w:rPr>
        <w:rFonts w:ascii="Courier New" w:hAnsi="Courier New" w:cs="Courier New" w:hint="default"/>
      </w:rPr>
    </w:lvl>
    <w:lvl w:ilvl="2" w:tplc="EFF4EBD0" w:tentative="1">
      <w:start w:val="1"/>
      <w:numFmt w:val="bullet"/>
      <w:lvlText w:val=""/>
      <w:lvlJc w:val="left"/>
      <w:pPr>
        <w:ind w:left="2160" w:hanging="360"/>
      </w:pPr>
      <w:rPr>
        <w:rFonts w:ascii="Wingdings" w:hAnsi="Wingdings" w:hint="default"/>
      </w:rPr>
    </w:lvl>
    <w:lvl w:ilvl="3" w:tplc="1EAAC914" w:tentative="1">
      <w:start w:val="1"/>
      <w:numFmt w:val="bullet"/>
      <w:lvlText w:val=""/>
      <w:lvlJc w:val="left"/>
      <w:pPr>
        <w:ind w:left="2880" w:hanging="360"/>
      </w:pPr>
      <w:rPr>
        <w:rFonts w:ascii="Symbol" w:hAnsi="Symbol" w:hint="default"/>
      </w:rPr>
    </w:lvl>
    <w:lvl w:ilvl="4" w:tplc="B024DEA6" w:tentative="1">
      <w:start w:val="1"/>
      <w:numFmt w:val="bullet"/>
      <w:lvlText w:val="o"/>
      <w:lvlJc w:val="left"/>
      <w:pPr>
        <w:ind w:left="3600" w:hanging="360"/>
      </w:pPr>
      <w:rPr>
        <w:rFonts w:ascii="Courier New" w:hAnsi="Courier New" w:cs="Courier New" w:hint="default"/>
      </w:rPr>
    </w:lvl>
    <w:lvl w:ilvl="5" w:tplc="412EE53A" w:tentative="1">
      <w:start w:val="1"/>
      <w:numFmt w:val="bullet"/>
      <w:lvlText w:val=""/>
      <w:lvlJc w:val="left"/>
      <w:pPr>
        <w:ind w:left="4320" w:hanging="360"/>
      </w:pPr>
      <w:rPr>
        <w:rFonts w:ascii="Wingdings" w:hAnsi="Wingdings" w:hint="default"/>
      </w:rPr>
    </w:lvl>
    <w:lvl w:ilvl="6" w:tplc="85989678" w:tentative="1">
      <w:start w:val="1"/>
      <w:numFmt w:val="bullet"/>
      <w:lvlText w:val=""/>
      <w:lvlJc w:val="left"/>
      <w:pPr>
        <w:ind w:left="5040" w:hanging="360"/>
      </w:pPr>
      <w:rPr>
        <w:rFonts w:ascii="Symbol" w:hAnsi="Symbol" w:hint="default"/>
      </w:rPr>
    </w:lvl>
    <w:lvl w:ilvl="7" w:tplc="15581AFA" w:tentative="1">
      <w:start w:val="1"/>
      <w:numFmt w:val="bullet"/>
      <w:lvlText w:val="o"/>
      <w:lvlJc w:val="left"/>
      <w:pPr>
        <w:ind w:left="5760" w:hanging="360"/>
      </w:pPr>
      <w:rPr>
        <w:rFonts w:ascii="Courier New" w:hAnsi="Courier New" w:cs="Courier New" w:hint="default"/>
      </w:rPr>
    </w:lvl>
    <w:lvl w:ilvl="8" w:tplc="3AECC448" w:tentative="1">
      <w:start w:val="1"/>
      <w:numFmt w:val="bullet"/>
      <w:lvlText w:val=""/>
      <w:lvlJc w:val="left"/>
      <w:pPr>
        <w:ind w:left="6480" w:hanging="360"/>
      </w:pPr>
      <w:rPr>
        <w:rFonts w:ascii="Wingdings" w:hAnsi="Wingdings" w:hint="default"/>
      </w:rPr>
    </w:lvl>
  </w:abstractNum>
  <w:abstractNum w:abstractNumId="3">
    <w:nsid w:val="047F251E"/>
    <w:multiLevelType w:val="hybridMultilevel"/>
    <w:tmpl w:val="78282CC4"/>
    <w:lvl w:ilvl="0" w:tplc="4804404E">
      <w:start w:val="1"/>
      <w:numFmt w:val="bullet"/>
      <w:lvlText w:val=""/>
      <w:lvlJc w:val="left"/>
      <w:pPr>
        <w:ind w:left="720" w:hanging="360"/>
      </w:pPr>
      <w:rPr>
        <w:rFonts w:ascii="Symbol" w:hAnsi="Symbol" w:hint="default"/>
      </w:rPr>
    </w:lvl>
    <w:lvl w:ilvl="1" w:tplc="72F810FE" w:tentative="1">
      <w:start w:val="1"/>
      <w:numFmt w:val="bullet"/>
      <w:lvlText w:val="o"/>
      <w:lvlJc w:val="left"/>
      <w:pPr>
        <w:ind w:left="1440" w:hanging="360"/>
      </w:pPr>
      <w:rPr>
        <w:rFonts w:ascii="Courier New" w:hAnsi="Courier New" w:cs="Courier New" w:hint="default"/>
      </w:rPr>
    </w:lvl>
    <w:lvl w:ilvl="2" w:tplc="2D044602" w:tentative="1">
      <w:start w:val="1"/>
      <w:numFmt w:val="bullet"/>
      <w:lvlText w:val=""/>
      <w:lvlJc w:val="left"/>
      <w:pPr>
        <w:ind w:left="2160" w:hanging="360"/>
      </w:pPr>
      <w:rPr>
        <w:rFonts w:ascii="Wingdings" w:hAnsi="Wingdings" w:hint="default"/>
      </w:rPr>
    </w:lvl>
    <w:lvl w:ilvl="3" w:tplc="352A14B2" w:tentative="1">
      <w:start w:val="1"/>
      <w:numFmt w:val="bullet"/>
      <w:lvlText w:val=""/>
      <w:lvlJc w:val="left"/>
      <w:pPr>
        <w:ind w:left="2880" w:hanging="360"/>
      </w:pPr>
      <w:rPr>
        <w:rFonts w:ascii="Symbol" w:hAnsi="Symbol" w:hint="default"/>
      </w:rPr>
    </w:lvl>
    <w:lvl w:ilvl="4" w:tplc="2ECA77E2" w:tentative="1">
      <w:start w:val="1"/>
      <w:numFmt w:val="bullet"/>
      <w:lvlText w:val="o"/>
      <w:lvlJc w:val="left"/>
      <w:pPr>
        <w:ind w:left="3600" w:hanging="360"/>
      </w:pPr>
      <w:rPr>
        <w:rFonts w:ascii="Courier New" w:hAnsi="Courier New" w:cs="Courier New" w:hint="default"/>
      </w:rPr>
    </w:lvl>
    <w:lvl w:ilvl="5" w:tplc="8D1CDCD4" w:tentative="1">
      <w:start w:val="1"/>
      <w:numFmt w:val="bullet"/>
      <w:lvlText w:val=""/>
      <w:lvlJc w:val="left"/>
      <w:pPr>
        <w:ind w:left="4320" w:hanging="360"/>
      </w:pPr>
      <w:rPr>
        <w:rFonts w:ascii="Wingdings" w:hAnsi="Wingdings" w:hint="default"/>
      </w:rPr>
    </w:lvl>
    <w:lvl w:ilvl="6" w:tplc="62B8A1DA" w:tentative="1">
      <w:start w:val="1"/>
      <w:numFmt w:val="bullet"/>
      <w:lvlText w:val=""/>
      <w:lvlJc w:val="left"/>
      <w:pPr>
        <w:ind w:left="5040" w:hanging="360"/>
      </w:pPr>
      <w:rPr>
        <w:rFonts w:ascii="Symbol" w:hAnsi="Symbol" w:hint="default"/>
      </w:rPr>
    </w:lvl>
    <w:lvl w:ilvl="7" w:tplc="B2BEA5C0" w:tentative="1">
      <w:start w:val="1"/>
      <w:numFmt w:val="bullet"/>
      <w:lvlText w:val="o"/>
      <w:lvlJc w:val="left"/>
      <w:pPr>
        <w:ind w:left="5760" w:hanging="360"/>
      </w:pPr>
      <w:rPr>
        <w:rFonts w:ascii="Courier New" w:hAnsi="Courier New" w:cs="Courier New" w:hint="default"/>
      </w:rPr>
    </w:lvl>
    <w:lvl w:ilvl="8" w:tplc="4B44D9BA" w:tentative="1">
      <w:start w:val="1"/>
      <w:numFmt w:val="bullet"/>
      <w:lvlText w:val=""/>
      <w:lvlJc w:val="left"/>
      <w:pPr>
        <w:ind w:left="6480" w:hanging="360"/>
      </w:pPr>
      <w:rPr>
        <w:rFonts w:ascii="Wingdings" w:hAnsi="Wingdings" w:hint="default"/>
      </w:rPr>
    </w:lvl>
  </w:abstractNum>
  <w:abstractNum w:abstractNumId="4">
    <w:nsid w:val="0BBA0E93"/>
    <w:multiLevelType w:val="multilevel"/>
    <w:tmpl w:val="CC4862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B748BC"/>
    <w:multiLevelType w:val="hybridMultilevel"/>
    <w:tmpl w:val="2766DA72"/>
    <w:lvl w:ilvl="0" w:tplc="2CECDE22">
      <w:start w:val="1"/>
      <w:numFmt w:val="bullet"/>
      <w:lvlText w:val=""/>
      <w:lvlJc w:val="left"/>
      <w:pPr>
        <w:ind w:left="720" w:hanging="360"/>
      </w:pPr>
      <w:rPr>
        <w:rFonts w:ascii="Symbol" w:hAnsi="Symbol" w:hint="default"/>
      </w:rPr>
    </w:lvl>
    <w:lvl w:ilvl="1" w:tplc="5D528876" w:tentative="1">
      <w:start w:val="1"/>
      <w:numFmt w:val="bullet"/>
      <w:lvlText w:val="o"/>
      <w:lvlJc w:val="left"/>
      <w:pPr>
        <w:ind w:left="1440" w:hanging="360"/>
      </w:pPr>
      <w:rPr>
        <w:rFonts w:ascii="Courier New" w:hAnsi="Courier New" w:cs="Courier New" w:hint="default"/>
      </w:rPr>
    </w:lvl>
    <w:lvl w:ilvl="2" w:tplc="AEA44BC2" w:tentative="1">
      <w:start w:val="1"/>
      <w:numFmt w:val="bullet"/>
      <w:lvlText w:val=""/>
      <w:lvlJc w:val="left"/>
      <w:pPr>
        <w:ind w:left="2160" w:hanging="360"/>
      </w:pPr>
      <w:rPr>
        <w:rFonts w:ascii="Wingdings" w:hAnsi="Wingdings" w:hint="default"/>
      </w:rPr>
    </w:lvl>
    <w:lvl w:ilvl="3" w:tplc="DE7CF0E8" w:tentative="1">
      <w:start w:val="1"/>
      <w:numFmt w:val="bullet"/>
      <w:lvlText w:val=""/>
      <w:lvlJc w:val="left"/>
      <w:pPr>
        <w:ind w:left="2880" w:hanging="360"/>
      </w:pPr>
      <w:rPr>
        <w:rFonts w:ascii="Symbol" w:hAnsi="Symbol" w:hint="default"/>
      </w:rPr>
    </w:lvl>
    <w:lvl w:ilvl="4" w:tplc="81FC1ED8" w:tentative="1">
      <w:start w:val="1"/>
      <w:numFmt w:val="bullet"/>
      <w:lvlText w:val="o"/>
      <w:lvlJc w:val="left"/>
      <w:pPr>
        <w:ind w:left="3600" w:hanging="360"/>
      </w:pPr>
      <w:rPr>
        <w:rFonts w:ascii="Courier New" w:hAnsi="Courier New" w:cs="Courier New" w:hint="default"/>
      </w:rPr>
    </w:lvl>
    <w:lvl w:ilvl="5" w:tplc="99865260" w:tentative="1">
      <w:start w:val="1"/>
      <w:numFmt w:val="bullet"/>
      <w:lvlText w:val=""/>
      <w:lvlJc w:val="left"/>
      <w:pPr>
        <w:ind w:left="4320" w:hanging="360"/>
      </w:pPr>
      <w:rPr>
        <w:rFonts w:ascii="Wingdings" w:hAnsi="Wingdings" w:hint="default"/>
      </w:rPr>
    </w:lvl>
    <w:lvl w:ilvl="6" w:tplc="9DC868E8" w:tentative="1">
      <w:start w:val="1"/>
      <w:numFmt w:val="bullet"/>
      <w:lvlText w:val=""/>
      <w:lvlJc w:val="left"/>
      <w:pPr>
        <w:ind w:left="5040" w:hanging="360"/>
      </w:pPr>
      <w:rPr>
        <w:rFonts w:ascii="Symbol" w:hAnsi="Symbol" w:hint="default"/>
      </w:rPr>
    </w:lvl>
    <w:lvl w:ilvl="7" w:tplc="00F077A2" w:tentative="1">
      <w:start w:val="1"/>
      <w:numFmt w:val="bullet"/>
      <w:lvlText w:val="o"/>
      <w:lvlJc w:val="left"/>
      <w:pPr>
        <w:ind w:left="5760" w:hanging="360"/>
      </w:pPr>
      <w:rPr>
        <w:rFonts w:ascii="Courier New" w:hAnsi="Courier New" w:cs="Courier New" w:hint="default"/>
      </w:rPr>
    </w:lvl>
    <w:lvl w:ilvl="8" w:tplc="DFEA8E92" w:tentative="1">
      <w:start w:val="1"/>
      <w:numFmt w:val="bullet"/>
      <w:lvlText w:val=""/>
      <w:lvlJc w:val="left"/>
      <w:pPr>
        <w:ind w:left="6480" w:hanging="360"/>
      </w:pPr>
      <w:rPr>
        <w:rFonts w:ascii="Wingdings" w:hAnsi="Wingdings" w:hint="default"/>
      </w:rPr>
    </w:lvl>
  </w:abstractNum>
  <w:abstractNum w:abstractNumId="6">
    <w:nsid w:val="13E01EFF"/>
    <w:multiLevelType w:val="hybridMultilevel"/>
    <w:tmpl w:val="86BC4546"/>
    <w:lvl w:ilvl="0" w:tplc="E2A2EBAC">
      <w:start w:val="1"/>
      <w:numFmt w:val="bullet"/>
      <w:lvlText w:val=""/>
      <w:lvlJc w:val="left"/>
      <w:pPr>
        <w:ind w:left="720" w:hanging="360"/>
      </w:pPr>
      <w:rPr>
        <w:rFonts w:ascii="Symbol" w:hAnsi="Symbol" w:hint="default"/>
      </w:rPr>
    </w:lvl>
    <w:lvl w:ilvl="1" w:tplc="D758082E" w:tentative="1">
      <w:start w:val="1"/>
      <w:numFmt w:val="bullet"/>
      <w:lvlText w:val="o"/>
      <w:lvlJc w:val="left"/>
      <w:pPr>
        <w:ind w:left="1440" w:hanging="360"/>
      </w:pPr>
      <w:rPr>
        <w:rFonts w:ascii="Courier New" w:hAnsi="Courier New" w:cs="Courier New" w:hint="default"/>
      </w:rPr>
    </w:lvl>
    <w:lvl w:ilvl="2" w:tplc="2F760AD2" w:tentative="1">
      <w:start w:val="1"/>
      <w:numFmt w:val="bullet"/>
      <w:lvlText w:val=""/>
      <w:lvlJc w:val="left"/>
      <w:pPr>
        <w:ind w:left="2160" w:hanging="360"/>
      </w:pPr>
      <w:rPr>
        <w:rFonts w:ascii="Wingdings" w:hAnsi="Wingdings" w:hint="default"/>
      </w:rPr>
    </w:lvl>
    <w:lvl w:ilvl="3" w:tplc="806058C8" w:tentative="1">
      <w:start w:val="1"/>
      <w:numFmt w:val="bullet"/>
      <w:lvlText w:val=""/>
      <w:lvlJc w:val="left"/>
      <w:pPr>
        <w:ind w:left="2880" w:hanging="360"/>
      </w:pPr>
      <w:rPr>
        <w:rFonts w:ascii="Symbol" w:hAnsi="Symbol" w:hint="default"/>
      </w:rPr>
    </w:lvl>
    <w:lvl w:ilvl="4" w:tplc="42B45BC6" w:tentative="1">
      <w:start w:val="1"/>
      <w:numFmt w:val="bullet"/>
      <w:lvlText w:val="o"/>
      <w:lvlJc w:val="left"/>
      <w:pPr>
        <w:ind w:left="3600" w:hanging="360"/>
      </w:pPr>
      <w:rPr>
        <w:rFonts w:ascii="Courier New" w:hAnsi="Courier New" w:cs="Courier New" w:hint="default"/>
      </w:rPr>
    </w:lvl>
    <w:lvl w:ilvl="5" w:tplc="1ECA9762" w:tentative="1">
      <w:start w:val="1"/>
      <w:numFmt w:val="bullet"/>
      <w:lvlText w:val=""/>
      <w:lvlJc w:val="left"/>
      <w:pPr>
        <w:ind w:left="4320" w:hanging="360"/>
      </w:pPr>
      <w:rPr>
        <w:rFonts w:ascii="Wingdings" w:hAnsi="Wingdings" w:hint="default"/>
      </w:rPr>
    </w:lvl>
    <w:lvl w:ilvl="6" w:tplc="0D18B7F8" w:tentative="1">
      <w:start w:val="1"/>
      <w:numFmt w:val="bullet"/>
      <w:lvlText w:val=""/>
      <w:lvlJc w:val="left"/>
      <w:pPr>
        <w:ind w:left="5040" w:hanging="360"/>
      </w:pPr>
      <w:rPr>
        <w:rFonts w:ascii="Symbol" w:hAnsi="Symbol" w:hint="default"/>
      </w:rPr>
    </w:lvl>
    <w:lvl w:ilvl="7" w:tplc="3AE6D4D0" w:tentative="1">
      <w:start w:val="1"/>
      <w:numFmt w:val="bullet"/>
      <w:lvlText w:val="o"/>
      <w:lvlJc w:val="left"/>
      <w:pPr>
        <w:ind w:left="5760" w:hanging="360"/>
      </w:pPr>
      <w:rPr>
        <w:rFonts w:ascii="Courier New" w:hAnsi="Courier New" w:cs="Courier New" w:hint="default"/>
      </w:rPr>
    </w:lvl>
    <w:lvl w:ilvl="8" w:tplc="AE1A93C0" w:tentative="1">
      <w:start w:val="1"/>
      <w:numFmt w:val="bullet"/>
      <w:lvlText w:val=""/>
      <w:lvlJc w:val="left"/>
      <w:pPr>
        <w:ind w:left="6480" w:hanging="360"/>
      </w:pPr>
      <w:rPr>
        <w:rFonts w:ascii="Wingdings" w:hAnsi="Wingdings" w:hint="default"/>
      </w:rPr>
    </w:lvl>
  </w:abstractNum>
  <w:abstractNum w:abstractNumId="7">
    <w:nsid w:val="1E4738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745BC2"/>
    <w:multiLevelType w:val="multilevel"/>
    <w:tmpl w:val="E5D8220E"/>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9">
    <w:nsid w:val="1FC45697"/>
    <w:multiLevelType w:val="hybridMultilevel"/>
    <w:tmpl w:val="42E0EA06"/>
    <w:lvl w:ilvl="0" w:tplc="27B22DAC">
      <w:start w:val="1"/>
      <w:numFmt w:val="bullet"/>
      <w:lvlText w:val=""/>
      <w:lvlJc w:val="left"/>
      <w:pPr>
        <w:ind w:left="1080" w:hanging="360"/>
      </w:pPr>
      <w:rPr>
        <w:rFonts w:ascii="Symbol" w:hAnsi="Symbol" w:hint="default"/>
      </w:rPr>
    </w:lvl>
    <w:lvl w:ilvl="1" w:tplc="A8263FBE" w:tentative="1">
      <w:start w:val="1"/>
      <w:numFmt w:val="bullet"/>
      <w:lvlText w:val="o"/>
      <w:lvlJc w:val="left"/>
      <w:pPr>
        <w:ind w:left="1800" w:hanging="360"/>
      </w:pPr>
      <w:rPr>
        <w:rFonts w:ascii="Courier New" w:hAnsi="Courier New" w:cs="Courier New" w:hint="default"/>
      </w:rPr>
    </w:lvl>
    <w:lvl w:ilvl="2" w:tplc="AEC419BC" w:tentative="1">
      <w:start w:val="1"/>
      <w:numFmt w:val="bullet"/>
      <w:lvlText w:val=""/>
      <w:lvlJc w:val="left"/>
      <w:pPr>
        <w:ind w:left="2520" w:hanging="360"/>
      </w:pPr>
      <w:rPr>
        <w:rFonts w:ascii="Wingdings" w:hAnsi="Wingdings" w:hint="default"/>
      </w:rPr>
    </w:lvl>
    <w:lvl w:ilvl="3" w:tplc="C22A67D4" w:tentative="1">
      <w:start w:val="1"/>
      <w:numFmt w:val="bullet"/>
      <w:lvlText w:val=""/>
      <w:lvlJc w:val="left"/>
      <w:pPr>
        <w:ind w:left="3240" w:hanging="360"/>
      </w:pPr>
      <w:rPr>
        <w:rFonts w:ascii="Symbol" w:hAnsi="Symbol" w:hint="default"/>
      </w:rPr>
    </w:lvl>
    <w:lvl w:ilvl="4" w:tplc="A162B410" w:tentative="1">
      <w:start w:val="1"/>
      <w:numFmt w:val="bullet"/>
      <w:lvlText w:val="o"/>
      <w:lvlJc w:val="left"/>
      <w:pPr>
        <w:ind w:left="3960" w:hanging="360"/>
      </w:pPr>
      <w:rPr>
        <w:rFonts w:ascii="Courier New" w:hAnsi="Courier New" w:cs="Courier New" w:hint="default"/>
      </w:rPr>
    </w:lvl>
    <w:lvl w:ilvl="5" w:tplc="738897CA" w:tentative="1">
      <w:start w:val="1"/>
      <w:numFmt w:val="bullet"/>
      <w:lvlText w:val=""/>
      <w:lvlJc w:val="left"/>
      <w:pPr>
        <w:ind w:left="4680" w:hanging="360"/>
      </w:pPr>
      <w:rPr>
        <w:rFonts w:ascii="Wingdings" w:hAnsi="Wingdings" w:hint="default"/>
      </w:rPr>
    </w:lvl>
    <w:lvl w:ilvl="6" w:tplc="B21ED632" w:tentative="1">
      <w:start w:val="1"/>
      <w:numFmt w:val="bullet"/>
      <w:lvlText w:val=""/>
      <w:lvlJc w:val="left"/>
      <w:pPr>
        <w:ind w:left="5400" w:hanging="360"/>
      </w:pPr>
      <w:rPr>
        <w:rFonts w:ascii="Symbol" w:hAnsi="Symbol" w:hint="default"/>
      </w:rPr>
    </w:lvl>
    <w:lvl w:ilvl="7" w:tplc="DA64D842" w:tentative="1">
      <w:start w:val="1"/>
      <w:numFmt w:val="bullet"/>
      <w:lvlText w:val="o"/>
      <w:lvlJc w:val="left"/>
      <w:pPr>
        <w:ind w:left="6120" w:hanging="360"/>
      </w:pPr>
      <w:rPr>
        <w:rFonts w:ascii="Courier New" w:hAnsi="Courier New" w:cs="Courier New" w:hint="default"/>
      </w:rPr>
    </w:lvl>
    <w:lvl w:ilvl="8" w:tplc="F7144F12" w:tentative="1">
      <w:start w:val="1"/>
      <w:numFmt w:val="bullet"/>
      <w:lvlText w:val=""/>
      <w:lvlJc w:val="left"/>
      <w:pPr>
        <w:ind w:left="6840" w:hanging="360"/>
      </w:pPr>
      <w:rPr>
        <w:rFonts w:ascii="Wingdings" w:hAnsi="Wingdings" w:hint="default"/>
      </w:rPr>
    </w:lvl>
  </w:abstractNum>
  <w:abstractNum w:abstractNumId="10">
    <w:nsid w:val="248C3D0B"/>
    <w:multiLevelType w:val="hybridMultilevel"/>
    <w:tmpl w:val="11C88F8A"/>
    <w:lvl w:ilvl="0" w:tplc="6CD6D500">
      <w:start w:val="1"/>
      <w:numFmt w:val="lowerLetter"/>
      <w:lvlText w:val="%1."/>
      <w:lvlJc w:val="left"/>
      <w:pPr>
        <w:ind w:left="360" w:hanging="360"/>
      </w:pPr>
    </w:lvl>
    <w:lvl w:ilvl="1" w:tplc="08C25A22" w:tentative="1">
      <w:start w:val="1"/>
      <w:numFmt w:val="lowerLetter"/>
      <w:lvlText w:val="%2."/>
      <w:lvlJc w:val="left"/>
      <w:pPr>
        <w:ind w:left="1080" w:hanging="360"/>
      </w:pPr>
    </w:lvl>
    <w:lvl w:ilvl="2" w:tplc="5888D76A" w:tentative="1">
      <w:start w:val="1"/>
      <w:numFmt w:val="lowerRoman"/>
      <w:lvlText w:val="%3."/>
      <w:lvlJc w:val="right"/>
      <w:pPr>
        <w:ind w:left="1800" w:hanging="180"/>
      </w:pPr>
    </w:lvl>
    <w:lvl w:ilvl="3" w:tplc="89D66BC0" w:tentative="1">
      <w:start w:val="1"/>
      <w:numFmt w:val="decimal"/>
      <w:lvlText w:val="%4."/>
      <w:lvlJc w:val="left"/>
      <w:pPr>
        <w:ind w:left="2520" w:hanging="360"/>
      </w:pPr>
    </w:lvl>
    <w:lvl w:ilvl="4" w:tplc="479EFD20" w:tentative="1">
      <w:start w:val="1"/>
      <w:numFmt w:val="lowerLetter"/>
      <w:lvlText w:val="%5."/>
      <w:lvlJc w:val="left"/>
      <w:pPr>
        <w:ind w:left="3240" w:hanging="360"/>
      </w:pPr>
    </w:lvl>
    <w:lvl w:ilvl="5" w:tplc="5712BDD8" w:tentative="1">
      <w:start w:val="1"/>
      <w:numFmt w:val="lowerRoman"/>
      <w:lvlText w:val="%6."/>
      <w:lvlJc w:val="right"/>
      <w:pPr>
        <w:ind w:left="3960" w:hanging="180"/>
      </w:pPr>
    </w:lvl>
    <w:lvl w:ilvl="6" w:tplc="7CF087B4" w:tentative="1">
      <w:start w:val="1"/>
      <w:numFmt w:val="decimal"/>
      <w:lvlText w:val="%7."/>
      <w:lvlJc w:val="left"/>
      <w:pPr>
        <w:ind w:left="4680" w:hanging="360"/>
      </w:pPr>
    </w:lvl>
    <w:lvl w:ilvl="7" w:tplc="A7DE9F86" w:tentative="1">
      <w:start w:val="1"/>
      <w:numFmt w:val="lowerLetter"/>
      <w:lvlText w:val="%8."/>
      <w:lvlJc w:val="left"/>
      <w:pPr>
        <w:ind w:left="5400" w:hanging="360"/>
      </w:pPr>
    </w:lvl>
    <w:lvl w:ilvl="8" w:tplc="4C3AD904" w:tentative="1">
      <w:start w:val="1"/>
      <w:numFmt w:val="lowerRoman"/>
      <w:lvlText w:val="%9."/>
      <w:lvlJc w:val="right"/>
      <w:pPr>
        <w:ind w:left="6120" w:hanging="180"/>
      </w:pPr>
    </w:lvl>
  </w:abstractNum>
  <w:abstractNum w:abstractNumId="11">
    <w:nsid w:val="2C061F4C"/>
    <w:multiLevelType w:val="hybridMultilevel"/>
    <w:tmpl w:val="B0122198"/>
    <w:lvl w:ilvl="0" w:tplc="2BB660F2">
      <w:start w:val="1"/>
      <w:numFmt w:val="bullet"/>
      <w:lvlText w:val=""/>
      <w:lvlJc w:val="left"/>
      <w:pPr>
        <w:ind w:left="720" w:hanging="360"/>
      </w:pPr>
      <w:rPr>
        <w:rFonts w:ascii="Symbol" w:hAnsi="Symbol" w:hint="default"/>
      </w:rPr>
    </w:lvl>
    <w:lvl w:ilvl="1" w:tplc="A72275B6" w:tentative="1">
      <w:start w:val="1"/>
      <w:numFmt w:val="bullet"/>
      <w:lvlText w:val="o"/>
      <w:lvlJc w:val="left"/>
      <w:pPr>
        <w:ind w:left="1440" w:hanging="360"/>
      </w:pPr>
      <w:rPr>
        <w:rFonts w:ascii="Courier New" w:hAnsi="Courier New" w:cs="Courier New" w:hint="default"/>
      </w:rPr>
    </w:lvl>
    <w:lvl w:ilvl="2" w:tplc="6810C418" w:tentative="1">
      <w:start w:val="1"/>
      <w:numFmt w:val="bullet"/>
      <w:lvlText w:val=""/>
      <w:lvlJc w:val="left"/>
      <w:pPr>
        <w:ind w:left="2160" w:hanging="360"/>
      </w:pPr>
      <w:rPr>
        <w:rFonts w:ascii="Wingdings" w:hAnsi="Wingdings" w:hint="default"/>
      </w:rPr>
    </w:lvl>
    <w:lvl w:ilvl="3" w:tplc="6B52C15E" w:tentative="1">
      <w:start w:val="1"/>
      <w:numFmt w:val="bullet"/>
      <w:lvlText w:val=""/>
      <w:lvlJc w:val="left"/>
      <w:pPr>
        <w:ind w:left="2880" w:hanging="360"/>
      </w:pPr>
      <w:rPr>
        <w:rFonts w:ascii="Symbol" w:hAnsi="Symbol" w:hint="default"/>
      </w:rPr>
    </w:lvl>
    <w:lvl w:ilvl="4" w:tplc="AB28C392" w:tentative="1">
      <w:start w:val="1"/>
      <w:numFmt w:val="bullet"/>
      <w:lvlText w:val="o"/>
      <w:lvlJc w:val="left"/>
      <w:pPr>
        <w:ind w:left="3600" w:hanging="360"/>
      </w:pPr>
      <w:rPr>
        <w:rFonts w:ascii="Courier New" w:hAnsi="Courier New" w:cs="Courier New" w:hint="default"/>
      </w:rPr>
    </w:lvl>
    <w:lvl w:ilvl="5" w:tplc="7256C2DE" w:tentative="1">
      <w:start w:val="1"/>
      <w:numFmt w:val="bullet"/>
      <w:lvlText w:val=""/>
      <w:lvlJc w:val="left"/>
      <w:pPr>
        <w:ind w:left="4320" w:hanging="360"/>
      </w:pPr>
      <w:rPr>
        <w:rFonts w:ascii="Wingdings" w:hAnsi="Wingdings" w:hint="default"/>
      </w:rPr>
    </w:lvl>
    <w:lvl w:ilvl="6" w:tplc="67360322" w:tentative="1">
      <w:start w:val="1"/>
      <w:numFmt w:val="bullet"/>
      <w:lvlText w:val=""/>
      <w:lvlJc w:val="left"/>
      <w:pPr>
        <w:ind w:left="5040" w:hanging="360"/>
      </w:pPr>
      <w:rPr>
        <w:rFonts w:ascii="Symbol" w:hAnsi="Symbol" w:hint="default"/>
      </w:rPr>
    </w:lvl>
    <w:lvl w:ilvl="7" w:tplc="B2A881CA" w:tentative="1">
      <w:start w:val="1"/>
      <w:numFmt w:val="bullet"/>
      <w:lvlText w:val="o"/>
      <w:lvlJc w:val="left"/>
      <w:pPr>
        <w:ind w:left="5760" w:hanging="360"/>
      </w:pPr>
      <w:rPr>
        <w:rFonts w:ascii="Courier New" w:hAnsi="Courier New" w:cs="Courier New" w:hint="default"/>
      </w:rPr>
    </w:lvl>
    <w:lvl w:ilvl="8" w:tplc="AB2C2582" w:tentative="1">
      <w:start w:val="1"/>
      <w:numFmt w:val="bullet"/>
      <w:lvlText w:val=""/>
      <w:lvlJc w:val="left"/>
      <w:pPr>
        <w:ind w:left="6480" w:hanging="360"/>
      </w:pPr>
      <w:rPr>
        <w:rFonts w:ascii="Wingdings" w:hAnsi="Wingdings" w:hint="default"/>
      </w:rPr>
    </w:lvl>
  </w:abstractNum>
  <w:abstractNum w:abstractNumId="12">
    <w:nsid w:val="30BF4B31"/>
    <w:multiLevelType w:val="hybridMultilevel"/>
    <w:tmpl w:val="A62EE720"/>
    <w:lvl w:ilvl="0" w:tplc="73224714">
      <w:start w:val="1"/>
      <w:numFmt w:val="bullet"/>
      <w:lvlText w:val=""/>
      <w:lvlJc w:val="left"/>
      <w:pPr>
        <w:ind w:left="360" w:hanging="360"/>
      </w:pPr>
      <w:rPr>
        <w:rFonts w:ascii="Symbol" w:hAnsi="Symbol" w:hint="default"/>
      </w:rPr>
    </w:lvl>
    <w:lvl w:ilvl="1" w:tplc="18E44BDC">
      <w:start w:val="1"/>
      <w:numFmt w:val="bullet"/>
      <w:lvlText w:val="o"/>
      <w:lvlJc w:val="left"/>
      <w:pPr>
        <w:ind w:left="1080" w:hanging="360"/>
      </w:pPr>
      <w:rPr>
        <w:rFonts w:ascii="Courier New" w:hAnsi="Courier New" w:cs="Courier New" w:hint="default"/>
      </w:rPr>
    </w:lvl>
    <w:lvl w:ilvl="2" w:tplc="ABC2CC4E" w:tentative="1">
      <w:start w:val="1"/>
      <w:numFmt w:val="bullet"/>
      <w:lvlText w:val=""/>
      <w:lvlJc w:val="left"/>
      <w:pPr>
        <w:ind w:left="1800" w:hanging="360"/>
      </w:pPr>
      <w:rPr>
        <w:rFonts w:ascii="Wingdings" w:hAnsi="Wingdings" w:hint="default"/>
      </w:rPr>
    </w:lvl>
    <w:lvl w:ilvl="3" w:tplc="7D8610B6" w:tentative="1">
      <w:start w:val="1"/>
      <w:numFmt w:val="bullet"/>
      <w:lvlText w:val=""/>
      <w:lvlJc w:val="left"/>
      <w:pPr>
        <w:ind w:left="2520" w:hanging="360"/>
      </w:pPr>
      <w:rPr>
        <w:rFonts w:ascii="Symbol" w:hAnsi="Symbol" w:hint="default"/>
      </w:rPr>
    </w:lvl>
    <w:lvl w:ilvl="4" w:tplc="5CCC794C" w:tentative="1">
      <w:start w:val="1"/>
      <w:numFmt w:val="bullet"/>
      <w:lvlText w:val="o"/>
      <w:lvlJc w:val="left"/>
      <w:pPr>
        <w:ind w:left="3240" w:hanging="360"/>
      </w:pPr>
      <w:rPr>
        <w:rFonts w:ascii="Courier New" w:hAnsi="Courier New" w:cs="Courier New" w:hint="default"/>
      </w:rPr>
    </w:lvl>
    <w:lvl w:ilvl="5" w:tplc="DB2A6040" w:tentative="1">
      <w:start w:val="1"/>
      <w:numFmt w:val="bullet"/>
      <w:lvlText w:val=""/>
      <w:lvlJc w:val="left"/>
      <w:pPr>
        <w:ind w:left="3960" w:hanging="360"/>
      </w:pPr>
      <w:rPr>
        <w:rFonts w:ascii="Wingdings" w:hAnsi="Wingdings" w:hint="default"/>
      </w:rPr>
    </w:lvl>
    <w:lvl w:ilvl="6" w:tplc="D1D21926" w:tentative="1">
      <w:start w:val="1"/>
      <w:numFmt w:val="bullet"/>
      <w:lvlText w:val=""/>
      <w:lvlJc w:val="left"/>
      <w:pPr>
        <w:ind w:left="4680" w:hanging="360"/>
      </w:pPr>
      <w:rPr>
        <w:rFonts w:ascii="Symbol" w:hAnsi="Symbol" w:hint="default"/>
      </w:rPr>
    </w:lvl>
    <w:lvl w:ilvl="7" w:tplc="3D2C1944" w:tentative="1">
      <w:start w:val="1"/>
      <w:numFmt w:val="bullet"/>
      <w:lvlText w:val="o"/>
      <w:lvlJc w:val="left"/>
      <w:pPr>
        <w:ind w:left="5400" w:hanging="360"/>
      </w:pPr>
      <w:rPr>
        <w:rFonts w:ascii="Courier New" w:hAnsi="Courier New" w:cs="Courier New" w:hint="default"/>
      </w:rPr>
    </w:lvl>
    <w:lvl w:ilvl="8" w:tplc="A67EA318" w:tentative="1">
      <w:start w:val="1"/>
      <w:numFmt w:val="bullet"/>
      <w:lvlText w:val=""/>
      <w:lvlJc w:val="left"/>
      <w:pPr>
        <w:ind w:left="6120" w:hanging="360"/>
      </w:pPr>
      <w:rPr>
        <w:rFonts w:ascii="Wingdings" w:hAnsi="Wingdings" w:hint="default"/>
      </w:rPr>
    </w:lvl>
  </w:abstractNum>
  <w:abstractNum w:abstractNumId="1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nsid w:val="3CAD7C82"/>
    <w:multiLevelType w:val="multilevel"/>
    <w:tmpl w:val="490A535A"/>
    <w:lvl w:ilvl="0">
      <w:start w:val="1"/>
      <w:numFmt w:val="bullet"/>
      <w:pStyle w:val="EYBulletedList1"/>
      <w:lvlText w:val="•"/>
      <w:lvlJc w:val="left"/>
      <w:pPr>
        <w:tabs>
          <w:tab w:val="num" w:pos="288"/>
        </w:tabs>
        <w:ind w:left="288" w:hanging="288"/>
      </w:pPr>
      <w:rPr>
        <w:rFonts w:ascii="EYInterstate Light" w:hAnsi="EYInterstate Light" w:hint="default"/>
        <w:b w:val="0"/>
        <w:i w:val="0"/>
        <w:color w:val="auto"/>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6">
    <w:nsid w:val="474E302D"/>
    <w:multiLevelType w:val="multilevel"/>
    <w:tmpl w:val="AFD4C462"/>
    <w:lvl w:ilvl="0">
      <w:start w:val="1"/>
      <w:numFmt w:val="decimal"/>
      <w:pStyle w:val="Heading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B832978"/>
    <w:multiLevelType w:val="hybridMultilevel"/>
    <w:tmpl w:val="4CC452E6"/>
    <w:lvl w:ilvl="0" w:tplc="19D66FD0">
      <w:start w:val="1"/>
      <w:numFmt w:val="bullet"/>
      <w:lvlText w:val=""/>
      <w:lvlJc w:val="left"/>
      <w:pPr>
        <w:ind w:left="717" w:hanging="360"/>
      </w:pPr>
      <w:rPr>
        <w:rFonts w:ascii="Symbol" w:hAnsi="Symbol" w:hint="default"/>
      </w:rPr>
    </w:lvl>
    <w:lvl w:ilvl="1" w:tplc="FF74D1E2" w:tentative="1">
      <w:start w:val="1"/>
      <w:numFmt w:val="bullet"/>
      <w:lvlText w:val="o"/>
      <w:lvlJc w:val="left"/>
      <w:pPr>
        <w:ind w:left="1437" w:hanging="360"/>
      </w:pPr>
      <w:rPr>
        <w:rFonts w:ascii="Courier New" w:hAnsi="Courier New" w:cs="Courier New" w:hint="default"/>
      </w:rPr>
    </w:lvl>
    <w:lvl w:ilvl="2" w:tplc="7F78851A" w:tentative="1">
      <w:start w:val="1"/>
      <w:numFmt w:val="bullet"/>
      <w:lvlText w:val=""/>
      <w:lvlJc w:val="left"/>
      <w:pPr>
        <w:ind w:left="2157" w:hanging="360"/>
      </w:pPr>
      <w:rPr>
        <w:rFonts w:ascii="Wingdings" w:hAnsi="Wingdings" w:hint="default"/>
      </w:rPr>
    </w:lvl>
    <w:lvl w:ilvl="3" w:tplc="B84E1F9C" w:tentative="1">
      <w:start w:val="1"/>
      <w:numFmt w:val="bullet"/>
      <w:lvlText w:val=""/>
      <w:lvlJc w:val="left"/>
      <w:pPr>
        <w:ind w:left="2877" w:hanging="360"/>
      </w:pPr>
      <w:rPr>
        <w:rFonts w:ascii="Symbol" w:hAnsi="Symbol" w:hint="default"/>
      </w:rPr>
    </w:lvl>
    <w:lvl w:ilvl="4" w:tplc="E92276D4" w:tentative="1">
      <w:start w:val="1"/>
      <w:numFmt w:val="bullet"/>
      <w:lvlText w:val="o"/>
      <w:lvlJc w:val="left"/>
      <w:pPr>
        <w:ind w:left="3597" w:hanging="360"/>
      </w:pPr>
      <w:rPr>
        <w:rFonts w:ascii="Courier New" w:hAnsi="Courier New" w:cs="Courier New" w:hint="default"/>
      </w:rPr>
    </w:lvl>
    <w:lvl w:ilvl="5" w:tplc="1A605290" w:tentative="1">
      <w:start w:val="1"/>
      <w:numFmt w:val="bullet"/>
      <w:lvlText w:val=""/>
      <w:lvlJc w:val="left"/>
      <w:pPr>
        <w:ind w:left="4317" w:hanging="360"/>
      </w:pPr>
      <w:rPr>
        <w:rFonts w:ascii="Wingdings" w:hAnsi="Wingdings" w:hint="default"/>
      </w:rPr>
    </w:lvl>
    <w:lvl w:ilvl="6" w:tplc="CEFC4C52" w:tentative="1">
      <w:start w:val="1"/>
      <w:numFmt w:val="bullet"/>
      <w:lvlText w:val=""/>
      <w:lvlJc w:val="left"/>
      <w:pPr>
        <w:ind w:left="5037" w:hanging="360"/>
      </w:pPr>
      <w:rPr>
        <w:rFonts w:ascii="Symbol" w:hAnsi="Symbol" w:hint="default"/>
      </w:rPr>
    </w:lvl>
    <w:lvl w:ilvl="7" w:tplc="571094C4" w:tentative="1">
      <w:start w:val="1"/>
      <w:numFmt w:val="bullet"/>
      <w:lvlText w:val="o"/>
      <w:lvlJc w:val="left"/>
      <w:pPr>
        <w:ind w:left="5757" w:hanging="360"/>
      </w:pPr>
      <w:rPr>
        <w:rFonts w:ascii="Courier New" w:hAnsi="Courier New" w:cs="Courier New" w:hint="default"/>
      </w:rPr>
    </w:lvl>
    <w:lvl w:ilvl="8" w:tplc="BE08C2A2" w:tentative="1">
      <w:start w:val="1"/>
      <w:numFmt w:val="bullet"/>
      <w:lvlText w:val=""/>
      <w:lvlJc w:val="left"/>
      <w:pPr>
        <w:ind w:left="6477" w:hanging="360"/>
      </w:pPr>
      <w:rPr>
        <w:rFonts w:ascii="Wingdings" w:hAnsi="Wingdings" w:hint="default"/>
      </w:rPr>
    </w:lvl>
  </w:abstractNum>
  <w:abstractNum w:abstractNumId="18">
    <w:nsid w:val="54131F78"/>
    <w:multiLevelType w:val="hybridMultilevel"/>
    <w:tmpl w:val="CBCAB886"/>
    <w:lvl w:ilvl="0" w:tplc="AC5A70AA">
      <w:start w:val="1"/>
      <w:numFmt w:val="decimal"/>
      <w:lvlText w:val="%1."/>
      <w:lvlJc w:val="left"/>
      <w:pPr>
        <w:ind w:left="360" w:hanging="360"/>
      </w:pPr>
    </w:lvl>
    <w:lvl w:ilvl="1" w:tplc="A094B6EA" w:tentative="1">
      <w:start w:val="1"/>
      <w:numFmt w:val="lowerLetter"/>
      <w:lvlText w:val="%2."/>
      <w:lvlJc w:val="left"/>
      <w:pPr>
        <w:ind w:left="1080" w:hanging="360"/>
      </w:pPr>
    </w:lvl>
    <w:lvl w:ilvl="2" w:tplc="A3F67DE8" w:tentative="1">
      <w:start w:val="1"/>
      <w:numFmt w:val="lowerRoman"/>
      <w:lvlText w:val="%3."/>
      <w:lvlJc w:val="right"/>
      <w:pPr>
        <w:ind w:left="1800" w:hanging="180"/>
      </w:pPr>
    </w:lvl>
    <w:lvl w:ilvl="3" w:tplc="B5B80B04" w:tentative="1">
      <w:start w:val="1"/>
      <w:numFmt w:val="decimal"/>
      <w:lvlText w:val="%4."/>
      <w:lvlJc w:val="left"/>
      <w:pPr>
        <w:ind w:left="2520" w:hanging="360"/>
      </w:pPr>
    </w:lvl>
    <w:lvl w:ilvl="4" w:tplc="F0AA43BC" w:tentative="1">
      <w:start w:val="1"/>
      <w:numFmt w:val="lowerLetter"/>
      <w:lvlText w:val="%5."/>
      <w:lvlJc w:val="left"/>
      <w:pPr>
        <w:ind w:left="3240" w:hanging="360"/>
      </w:pPr>
    </w:lvl>
    <w:lvl w:ilvl="5" w:tplc="D9A88F6E" w:tentative="1">
      <w:start w:val="1"/>
      <w:numFmt w:val="lowerRoman"/>
      <w:lvlText w:val="%6."/>
      <w:lvlJc w:val="right"/>
      <w:pPr>
        <w:ind w:left="3960" w:hanging="180"/>
      </w:pPr>
    </w:lvl>
    <w:lvl w:ilvl="6" w:tplc="193C8A5E" w:tentative="1">
      <w:start w:val="1"/>
      <w:numFmt w:val="decimal"/>
      <w:lvlText w:val="%7."/>
      <w:lvlJc w:val="left"/>
      <w:pPr>
        <w:ind w:left="4680" w:hanging="360"/>
      </w:pPr>
    </w:lvl>
    <w:lvl w:ilvl="7" w:tplc="9B7C83F8" w:tentative="1">
      <w:start w:val="1"/>
      <w:numFmt w:val="lowerLetter"/>
      <w:lvlText w:val="%8."/>
      <w:lvlJc w:val="left"/>
      <w:pPr>
        <w:ind w:left="5400" w:hanging="360"/>
      </w:pPr>
    </w:lvl>
    <w:lvl w:ilvl="8" w:tplc="67EC3FB2" w:tentative="1">
      <w:start w:val="1"/>
      <w:numFmt w:val="lowerRoman"/>
      <w:lvlText w:val="%9."/>
      <w:lvlJc w:val="right"/>
      <w:pPr>
        <w:ind w:left="6120" w:hanging="180"/>
      </w:pPr>
    </w:lvl>
  </w:abstractNum>
  <w:abstractNum w:abstractNumId="19">
    <w:nsid w:val="5FC5572A"/>
    <w:multiLevelType w:val="hybridMultilevel"/>
    <w:tmpl w:val="00BC9F3E"/>
    <w:lvl w:ilvl="0" w:tplc="79844AD8">
      <w:start w:val="1"/>
      <w:numFmt w:val="decimal"/>
      <w:lvlText w:val="%1."/>
      <w:lvlJc w:val="left"/>
      <w:pPr>
        <w:ind w:left="3600" w:hanging="360"/>
      </w:pPr>
    </w:lvl>
    <w:lvl w:ilvl="1" w:tplc="AE847E76">
      <w:numFmt w:val="bullet"/>
      <w:lvlText w:val="•"/>
      <w:lvlJc w:val="left"/>
      <w:pPr>
        <w:ind w:left="4680" w:hanging="720"/>
      </w:pPr>
      <w:rPr>
        <w:rFonts w:ascii="Calibri" w:hAnsi="Calibri" w:cs="Calibri" w:hint="default"/>
      </w:rPr>
    </w:lvl>
    <w:lvl w:ilvl="2" w:tplc="EB24538A" w:tentative="1">
      <w:start w:val="1"/>
      <w:numFmt w:val="lowerRoman"/>
      <w:lvlText w:val="%3."/>
      <w:lvlJc w:val="right"/>
      <w:pPr>
        <w:ind w:left="5040" w:hanging="180"/>
      </w:pPr>
    </w:lvl>
    <w:lvl w:ilvl="3" w:tplc="46DA72CE" w:tentative="1">
      <w:start w:val="1"/>
      <w:numFmt w:val="decimal"/>
      <w:lvlText w:val="%4."/>
      <w:lvlJc w:val="left"/>
      <w:pPr>
        <w:ind w:left="5760" w:hanging="360"/>
      </w:pPr>
    </w:lvl>
    <w:lvl w:ilvl="4" w:tplc="B7FE258A" w:tentative="1">
      <w:start w:val="1"/>
      <w:numFmt w:val="lowerLetter"/>
      <w:lvlText w:val="%5."/>
      <w:lvlJc w:val="left"/>
      <w:pPr>
        <w:ind w:left="6480" w:hanging="360"/>
      </w:pPr>
    </w:lvl>
    <w:lvl w:ilvl="5" w:tplc="61F43AA6" w:tentative="1">
      <w:start w:val="1"/>
      <w:numFmt w:val="lowerRoman"/>
      <w:lvlText w:val="%6."/>
      <w:lvlJc w:val="right"/>
      <w:pPr>
        <w:ind w:left="7200" w:hanging="180"/>
      </w:pPr>
    </w:lvl>
    <w:lvl w:ilvl="6" w:tplc="71D8DE3A" w:tentative="1">
      <w:start w:val="1"/>
      <w:numFmt w:val="decimal"/>
      <w:lvlText w:val="%7."/>
      <w:lvlJc w:val="left"/>
      <w:pPr>
        <w:ind w:left="7920" w:hanging="360"/>
      </w:pPr>
    </w:lvl>
    <w:lvl w:ilvl="7" w:tplc="E4CC2D20" w:tentative="1">
      <w:start w:val="1"/>
      <w:numFmt w:val="lowerLetter"/>
      <w:lvlText w:val="%8."/>
      <w:lvlJc w:val="left"/>
      <w:pPr>
        <w:ind w:left="8640" w:hanging="360"/>
      </w:pPr>
    </w:lvl>
    <w:lvl w:ilvl="8" w:tplc="87F899DA" w:tentative="1">
      <w:start w:val="1"/>
      <w:numFmt w:val="lowerRoman"/>
      <w:lvlText w:val="%9."/>
      <w:lvlJc w:val="right"/>
      <w:pPr>
        <w:ind w:left="9360" w:hanging="180"/>
      </w:pPr>
    </w:lvl>
  </w:abstractNum>
  <w:abstractNum w:abstractNumId="20">
    <w:nsid w:val="65456429"/>
    <w:multiLevelType w:val="multilevel"/>
    <w:tmpl w:val="E898CC72"/>
    <w:numStyleLink w:val="KeyPoints"/>
  </w:abstractNum>
  <w:abstractNum w:abstractNumId="21">
    <w:nsid w:val="66470D9C"/>
    <w:multiLevelType w:val="multilevel"/>
    <w:tmpl w:val="50D46B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9F66205"/>
    <w:multiLevelType w:val="hybridMultilevel"/>
    <w:tmpl w:val="25D0EC18"/>
    <w:lvl w:ilvl="0" w:tplc="A434EA9E">
      <w:start w:val="1"/>
      <w:numFmt w:val="bullet"/>
      <w:lvlText w:val=""/>
      <w:lvlJc w:val="left"/>
      <w:pPr>
        <w:ind w:left="-3326" w:hanging="360"/>
      </w:pPr>
      <w:rPr>
        <w:rFonts w:ascii="Symbol" w:hAnsi="Symbol" w:hint="default"/>
      </w:rPr>
    </w:lvl>
    <w:lvl w:ilvl="1" w:tplc="2ECA78DC" w:tentative="1">
      <w:start w:val="1"/>
      <w:numFmt w:val="bullet"/>
      <w:lvlText w:val="o"/>
      <w:lvlJc w:val="left"/>
      <w:pPr>
        <w:ind w:left="-2606" w:hanging="360"/>
      </w:pPr>
      <w:rPr>
        <w:rFonts w:ascii="Courier New" w:hAnsi="Courier New" w:cs="Courier New" w:hint="default"/>
      </w:rPr>
    </w:lvl>
    <w:lvl w:ilvl="2" w:tplc="34E8255C" w:tentative="1">
      <w:start w:val="1"/>
      <w:numFmt w:val="bullet"/>
      <w:lvlText w:val=""/>
      <w:lvlJc w:val="left"/>
      <w:pPr>
        <w:ind w:left="-1886" w:hanging="360"/>
      </w:pPr>
      <w:rPr>
        <w:rFonts w:ascii="Wingdings" w:hAnsi="Wingdings" w:hint="default"/>
      </w:rPr>
    </w:lvl>
    <w:lvl w:ilvl="3" w:tplc="C41C0128" w:tentative="1">
      <w:start w:val="1"/>
      <w:numFmt w:val="bullet"/>
      <w:lvlText w:val=""/>
      <w:lvlJc w:val="left"/>
      <w:pPr>
        <w:ind w:left="-1166" w:hanging="360"/>
      </w:pPr>
      <w:rPr>
        <w:rFonts w:ascii="Symbol" w:hAnsi="Symbol" w:hint="default"/>
      </w:rPr>
    </w:lvl>
    <w:lvl w:ilvl="4" w:tplc="CE94AA32" w:tentative="1">
      <w:start w:val="1"/>
      <w:numFmt w:val="bullet"/>
      <w:lvlText w:val="o"/>
      <w:lvlJc w:val="left"/>
      <w:pPr>
        <w:ind w:left="-446" w:hanging="360"/>
      </w:pPr>
      <w:rPr>
        <w:rFonts w:ascii="Courier New" w:hAnsi="Courier New" w:cs="Courier New" w:hint="default"/>
      </w:rPr>
    </w:lvl>
    <w:lvl w:ilvl="5" w:tplc="D3F84F3C" w:tentative="1">
      <w:start w:val="1"/>
      <w:numFmt w:val="bullet"/>
      <w:lvlText w:val=""/>
      <w:lvlJc w:val="left"/>
      <w:pPr>
        <w:ind w:left="274" w:hanging="360"/>
      </w:pPr>
      <w:rPr>
        <w:rFonts w:ascii="Wingdings" w:hAnsi="Wingdings" w:hint="default"/>
      </w:rPr>
    </w:lvl>
    <w:lvl w:ilvl="6" w:tplc="191A79DC" w:tentative="1">
      <w:start w:val="1"/>
      <w:numFmt w:val="bullet"/>
      <w:lvlText w:val=""/>
      <w:lvlJc w:val="left"/>
      <w:pPr>
        <w:ind w:left="994" w:hanging="360"/>
      </w:pPr>
      <w:rPr>
        <w:rFonts w:ascii="Symbol" w:hAnsi="Symbol" w:hint="default"/>
      </w:rPr>
    </w:lvl>
    <w:lvl w:ilvl="7" w:tplc="5A1447F8" w:tentative="1">
      <w:start w:val="1"/>
      <w:numFmt w:val="bullet"/>
      <w:lvlText w:val="o"/>
      <w:lvlJc w:val="left"/>
      <w:pPr>
        <w:ind w:left="1714" w:hanging="360"/>
      </w:pPr>
      <w:rPr>
        <w:rFonts w:ascii="Courier New" w:hAnsi="Courier New" w:cs="Courier New" w:hint="default"/>
      </w:rPr>
    </w:lvl>
    <w:lvl w:ilvl="8" w:tplc="7FA2F8A6" w:tentative="1">
      <w:start w:val="1"/>
      <w:numFmt w:val="bullet"/>
      <w:lvlText w:val=""/>
      <w:lvlJc w:val="left"/>
      <w:pPr>
        <w:ind w:left="2434" w:hanging="360"/>
      </w:pPr>
      <w:rPr>
        <w:rFonts w:ascii="Wingdings" w:hAnsi="Wingdings" w:hint="default"/>
      </w:rPr>
    </w:lvl>
  </w:abstractNum>
  <w:abstractNum w:abstractNumId="23">
    <w:nsid w:val="6B403434"/>
    <w:multiLevelType w:val="hybridMultilevel"/>
    <w:tmpl w:val="BA88A450"/>
    <w:lvl w:ilvl="0" w:tplc="0046FC60">
      <w:start w:val="1"/>
      <w:numFmt w:val="bullet"/>
      <w:lvlText w:val=""/>
      <w:lvlJc w:val="left"/>
      <w:pPr>
        <w:ind w:left="360" w:hanging="360"/>
      </w:pPr>
      <w:rPr>
        <w:rFonts w:ascii="Symbol" w:hAnsi="Symbol" w:hint="default"/>
      </w:rPr>
    </w:lvl>
    <w:lvl w:ilvl="1" w:tplc="B934B096" w:tentative="1">
      <w:start w:val="1"/>
      <w:numFmt w:val="bullet"/>
      <w:lvlText w:val="o"/>
      <w:lvlJc w:val="left"/>
      <w:pPr>
        <w:ind w:left="1080" w:hanging="360"/>
      </w:pPr>
      <w:rPr>
        <w:rFonts w:ascii="Courier New" w:hAnsi="Courier New" w:cs="Courier New" w:hint="default"/>
      </w:rPr>
    </w:lvl>
    <w:lvl w:ilvl="2" w:tplc="D85E2730" w:tentative="1">
      <w:start w:val="1"/>
      <w:numFmt w:val="bullet"/>
      <w:lvlText w:val=""/>
      <w:lvlJc w:val="left"/>
      <w:pPr>
        <w:ind w:left="1800" w:hanging="360"/>
      </w:pPr>
      <w:rPr>
        <w:rFonts w:ascii="Wingdings" w:hAnsi="Wingdings" w:hint="default"/>
      </w:rPr>
    </w:lvl>
    <w:lvl w:ilvl="3" w:tplc="AFD03D88" w:tentative="1">
      <w:start w:val="1"/>
      <w:numFmt w:val="bullet"/>
      <w:lvlText w:val=""/>
      <w:lvlJc w:val="left"/>
      <w:pPr>
        <w:ind w:left="2520" w:hanging="360"/>
      </w:pPr>
      <w:rPr>
        <w:rFonts w:ascii="Symbol" w:hAnsi="Symbol" w:hint="default"/>
      </w:rPr>
    </w:lvl>
    <w:lvl w:ilvl="4" w:tplc="1A348EBE" w:tentative="1">
      <w:start w:val="1"/>
      <w:numFmt w:val="bullet"/>
      <w:lvlText w:val="o"/>
      <w:lvlJc w:val="left"/>
      <w:pPr>
        <w:ind w:left="3240" w:hanging="360"/>
      </w:pPr>
      <w:rPr>
        <w:rFonts w:ascii="Courier New" w:hAnsi="Courier New" w:cs="Courier New" w:hint="default"/>
      </w:rPr>
    </w:lvl>
    <w:lvl w:ilvl="5" w:tplc="9876604E" w:tentative="1">
      <w:start w:val="1"/>
      <w:numFmt w:val="bullet"/>
      <w:lvlText w:val=""/>
      <w:lvlJc w:val="left"/>
      <w:pPr>
        <w:ind w:left="3960" w:hanging="360"/>
      </w:pPr>
      <w:rPr>
        <w:rFonts w:ascii="Wingdings" w:hAnsi="Wingdings" w:hint="default"/>
      </w:rPr>
    </w:lvl>
    <w:lvl w:ilvl="6" w:tplc="0BF2919C" w:tentative="1">
      <w:start w:val="1"/>
      <w:numFmt w:val="bullet"/>
      <w:lvlText w:val=""/>
      <w:lvlJc w:val="left"/>
      <w:pPr>
        <w:ind w:left="4680" w:hanging="360"/>
      </w:pPr>
      <w:rPr>
        <w:rFonts w:ascii="Symbol" w:hAnsi="Symbol" w:hint="default"/>
      </w:rPr>
    </w:lvl>
    <w:lvl w:ilvl="7" w:tplc="740C4A6A" w:tentative="1">
      <w:start w:val="1"/>
      <w:numFmt w:val="bullet"/>
      <w:lvlText w:val="o"/>
      <w:lvlJc w:val="left"/>
      <w:pPr>
        <w:ind w:left="5400" w:hanging="360"/>
      </w:pPr>
      <w:rPr>
        <w:rFonts w:ascii="Courier New" w:hAnsi="Courier New" w:cs="Courier New" w:hint="default"/>
      </w:rPr>
    </w:lvl>
    <w:lvl w:ilvl="8" w:tplc="17AEF51E" w:tentative="1">
      <w:start w:val="1"/>
      <w:numFmt w:val="bullet"/>
      <w:lvlText w:val=""/>
      <w:lvlJc w:val="left"/>
      <w:pPr>
        <w:ind w:left="6120" w:hanging="360"/>
      </w:pPr>
      <w:rPr>
        <w:rFonts w:ascii="Wingdings" w:hAnsi="Wingdings" w:hint="default"/>
      </w:rPr>
    </w:lvl>
  </w:abstractNum>
  <w:abstractNum w:abstractNumId="24">
    <w:nsid w:val="6BB97945"/>
    <w:multiLevelType w:val="hybridMultilevel"/>
    <w:tmpl w:val="DAD26230"/>
    <w:lvl w:ilvl="0" w:tplc="1A28CEF4">
      <w:start w:val="1"/>
      <w:numFmt w:val="decimal"/>
      <w:lvlText w:val="%1."/>
      <w:lvlJc w:val="left"/>
      <w:pPr>
        <w:ind w:left="765" w:hanging="360"/>
      </w:pPr>
      <w:rPr>
        <w:rFonts w:hint="default"/>
      </w:rPr>
    </w:lvl>
    <w:lvl w:ilvl="1" w:tplc="00D08802">
      <w:start w:val="1"/>
      <w:numFmt w:val="bullet"/>
      <w:lvlText w:val="o"/>
      <w:lvlJc w:val="left"/>
      <w:pPr>
        <w:ind w:left="1485" w:hanging="360"/>
      </w:pPr>
      <w:rPr>
        <w:rFonts w:ascii="Courier New" w:hAnsi="Courier New" w:cs="Courier New" w:hint="default"/>
      </w:rPr>
    </w:lvl>
    <w:lvl w:ilvl="2" w:tplc="3F502B70">
      <w:start w:val="1"/>
      <w:numFmt w:val="bullet"/>
      <w:lvlText w:val=""/>
      <w:lvlJc w:val="left"/>
      <w:pPr>
        <w:ind w:left="2205" w:hanging="360"/>
      </w:pPr>
      <w:rPr>
        <w:rFonts w:ascii="Wingdings" w:hAnsi="Wingdings" w:hint="default"/>
      </w:rPr>
    </w:lvl>
    <w:lvl w:ilvl="3" w:tplc="CFD0E938" w:tentative="1">
      <w:start w:val="1"/>
      <w:numFmt w:val="bullet"/>
      <w:lvlText w:val=""/>
      <w:lvlJc w:val="left"/>
      <w:pPr>
        <w:ind w:left="2925" w:hanging="360"/>
      </w:pPr>
      <w:rPr>
        <w:rFonts w:ascii="Symbol" w:hAnsi="Symbol" w:hint="default"/>
      </w:rPr>
    </w:lvl>
    <w:lvl w:ilvl="4" w:tplc="A23A1CB8" w:tentative="1">
      <w:start w:val="1"/>
      <w:numFmt w:val="bullet"/>
      <w:lvlText w:val="o"/>
      <w:lvlJc w:val="left"/>
      <w:pPr>
        <w:ind w:left="3645" w:hanging="360"/>
      </w:pPr>
      <w:rPr>
        <w:rFonts w:ascii="Courier New" w:hAnsi="Courier New" w:cs="Courier New" w:hint="default"/>
      </w:rPr>
    </w:lvl>
    <w:lvl w:ilvl="5" w:tplc="3D567D82" w:tentative="1">
      <w:start w:val="1"/>
      <w:numFmt w:val="bullet"/>
      <w:lvlText w:val=""/>
      <w:lvlJc w:val="left"/>
      <w:pPr>
        <w:ind w:left="4365" w:hanging="360"/>
      </w:pPr>
      <w:rPr>
        <w:rFonts w:ascii="Wingdings" w:hAnsi="Wingdings" w:hint="default"/>
      </w:rPr>
    </w:lvl>
    <w:lvl w:ilvl="6" w:tplc="5A54C84E" w:tentative="1">
      <w:start w:val="1"/>
      <w:numFmt w:val="bullet"/>
      <w:lvlText w:val=""/>
      <w:lvlJc w:val="left"/>
      <w:pPr>
        <w:ind w:left="5085" w:hanging="360"/>
      </w:pPr>
      <w:rPr>
        <w:rFonts w:ascii="Symbol" w:hAnsi="Symbol" w:hint="default"/>
      </w:rPr>
    </w:lvl>
    <w:lvl w:ilvl="7" w:tplc="D958C836" w:tentative="1">
      <w:start w:val="1"/>
      <w:numFmt w:val="bullet"/>
      <w:lvlText w:val="o"/>
      <w:lvlJc w:val="left"/>
      <w:pPr>
        <w:ind w:left="5805" w:hanging="360"/>
      </w:pPr>
      <w:rPr>
        <w:rFonts w:ascii="Courier New" w:hAnsi="Courier New" w:cs="Courier New" w:hint="default"/>
      </w:rPr>
    </w:lvl>
    <w:lvl w:ilvl="8" w:tplc="79A41050" w:tentative="1">
      <w:start w:val="1"/>
      <w:numFmt w:val="bullet"/>
      <w:lvlText w:val=""/>
      <w:lvlJc w:val="left"/>
      <w:pPr>
        <w:ind w:left="6525" w:hanging="360"/>
      </w:pPr>
      <w:rPr>
        <w:rFonts w:ascii="Wingdings" w:hAnsi="Wingdings" w:hint="default"/>
      </w:rPr>
    </w:lvl>
  </w:abstractNum>
  <w:abstractNum w:abstractNumId="25">
    <w:nsid w:val="73851936"/>
    <w:multiLevelType w:val="hybridMultilevel"/>
    <w:tmpl w:val="378A2D14"/>
    <w:lvl w:ilvl="0" w:tplc="D9169A76">
      <w:start w:val="1"/>
      <w:numFmt w:val="bullet"/>
      <w:lvlText w:val=""/>
      <w:lvlJc w:val="left"/>
      <w:pPr>
        <w:ind w:left="720" w:hanging="360"/>
      </w:pPr>
      <w:rPr>
        <w:rFonts w:ascii="Symbol" w:hAnsi="Symbol" w:hint="default"/>
      </w:rPr>
    </w:lvl>
    <w:lvl w:ilvl="1" w:tplc="1786E176">
      <w:start w:val="1"/>
      <w:numFmt w:val="bullet"/>
      <w:lvlText w:val="o"/>
      <w:lvlJc w:val="left"/>
      <w:pPr>
        <w:ind w:left="1440" w:hanging="360"/>
      </w:pPr>
      <w:rPr>
        <w:rFonts w:ascii="Courier New" w:hAnsi="Courier New" w:cs="Courier New" w:hint="default"/>
      </w:rPr>
    </w:lvl>
    <w:lvl w:ilvl="2" w:tplc="0B24E668" w:tentative="1">
      <w:start w:val="1"/>
      <w:numFmt w:val="bullet"/>
      <w:lvlText w:val=""/>
      <w:lvlJc w:val="left"/>
      <w:pPr>
        <w:ind w:left="2160" w:hanging="360"/>
      </w:pPr>
      <w:rPr>
        <w:rFonts w:ascii="Wingdings" w:hAnsi="Wingdings" w:hint="default"/>
      </w:rPr>
    </w:lvl>
    <w:lvl w:ilvl="3" w:tplc="BD90C694" w:tentative="1">
      <w:start w:val="1"/>
      <w:numFmt w:val="bullet"/>
      <w:lvlText w:val=""/>
      <w:lvlJc w:val="left"/>
      <w:pPr>
        <w:ind w:left="2880" w:hanging="360"/>
      </w:pPr>
      <w:rPr>
        <w:rFonts w:ascii="Symbol" w:hAnsi="Symbol" w:hint="default"/>
      </w:rPr>
    </w:lvl>
    <w:lvl w:ilvl="4" w:tplc="CFE2BEB6" w:tentative="1">
      <w:start w:val="1"/>
      <w:numFmt w:val="bullet"/>
      <w:lvlText w:val="o"/>
      <w:lvlJc w:val="left"/>
      <w:pPr>
        <w:ind w:left="3600" w:hanging="360"/>
      </w:pPr>
      <w:rPr>
        <w:rFonts w:ascii="Courier New" w:hAnsi="Courier New" w:cs="Courier New" w:hint="default"/>
      </w:rPr>
    </w:lvl>
    <w:lvl w:ilvl="5" w:tplc="E1B8059C" w:tentative="1">
      <w:start w:val="1"/>
      <w:numFmt w:val="bullet"/>
      <w:lvlText w:val=""/>
      <w:lvlJc w:val="left"/>
      <w:pPr>
        <w:ind w:left="4320" w:hanging="360"/>
      </w:pPr>
      <w:rPr>
        <w:rFonts w:ascii="Wingdings" w:hAnsi="Wingdings" w:hint="default"/>
      </w:rPr>
    </w:lvl>
    <w:lvl w:ilvl="6" w:tplc="91E8DB3A" w:tentative="1">
      <w:start w:val="1"/>
      <w:numFmt w:val="bullet"/>
      <w:lvlText w:val=""/>
      <w:lvlJc w:val="left"/>
      <w:pPr>
        <w:ind w:left="5040" w:hanging="360"/>
      </w:pPr>
      <w:rPr>
        <w:rFonts w:ascii="Symbol" w:hAnsi="Symbol" w:hint="default"/>
      </w:rPr>
    </w:lvl>
    <w:lvl w:ilvl="7" w:tplc="CEAE9C7C" w:tentative="1">
      <w:start w:val="1"/>
      <w:numFmt w:val="bullet"/>
      <w:lvlText w:val="o"/>
      <w:lvlJc w:val="left"/>
      <w:pPr>
        <w:ind w:left="5760" w:hanging="360"/>
      </w:pPr>
      <w:rPr>
        <w:rFonts w:ascii="Courier New" w:hAnsi="Courier New" w:cs="Courier New" w:hint="default"/>
      </w:rPr>
    </w:lvl>
    <w:lvl w:ilvl="8" w:tplc="E0526DCE" w:tentative="1">
      <w:start w:val="1"/>
      <w:numFmt w:val="bullet"/>
      <w:lvlText w:val=""/>
      <w:lvlJc w:val="left"/>
      <w:pPr>
        <w:ind w:left="6480" w:hanging="360"/>
      </w:pPr>
      <w:rPr>
        <w:rFonts w:ascii="Wingdings" w:hAnsi="Wingdings" w:hint="default"/>
      </w:rPr>
    </w:lvl>
  </w:abstractNum>
  <w:abstractNum w:abstractNumId="26">
    <w:nsid w:val="73A37718"/>
    <w:multiLevelType w:val="multilevel"/>
    <w:tmpl w:val="58B6C74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auto"/>
        <w:sz w:val="16"/>
        <w:szCs w:val="24"/>
      </w:rPr>
    </w:lvl>
    <w:lvl w:ilvl="1">
      <w:start w:val="1"/>
      <w:numFmt w:val="bullet"/>
      <w:pStyle w:val="EYTablebullet2"/>
      <w:lvlText w:val="•"/>
      <w:lvlJc w:val="left"/>
      <w:pPr>
        <w:tabs>
          <w:tab w:val="num" w:pos="568"/>
        </w:tabs>
        <w:ind w:left="572" w:hanging="288"/>
      </w:pPr>
      <w:rPr>
        <w:rFonts w:ascii="EYInterstate Light" w:hAnsi="EYInterstate Light" w:hint="default"/>
        <w:b w:val="0"/>
        <w:i w:val="0"/>
        <w:color w:val="auto"/>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7">
    <w:nsid w:val="75A801B1"/>
    <w:multiLevelType w:val="hybridMultilevel"/>
    <w:tmpl w:val="473E8052"/>
    <w:lvl w:ilvl="0" w:tplc="27DC933A">
      <w:start w:val="1"/>
      <w:numFmt w:val="bullet"/>
      <w:lvlText w:val=""/>
      <w:lvlJc w:val="left"/>
      <w:pPr>
        <w:ind w:left="360" w:hanging="360"/>
      </w:pPr>
      <w:rPr>
        <w:rFonts w:ascii="Symbol" w:hAnsi="Symbol" w:hint="default"/>
      </w:rPr>
    </w:lvl>
    <w:lvl w:ilvl="1" w:tplc="8EBA14D0">
      <w:start w:val="1"/>
      <w:numFmt w:val="bullet"/>
      <w:lvlText w:val="o"/>
      <w:lvlJc w:val="left"/>
      <w:pPr>
        <w:ind w:left="1080" w:hanging="360"/>
      </w:pPr>
      <w:rPr>
        <w:rFonts w:ascii="Courier New" w:hAnsi="Courier New" w:cs="Courier New" w:hint="default"/>
      </w:rPr>
    </w:lvl>
    <w:lvl w:ilvl="2" w:tplc="C0620122">
      <w:start w:val="1"/>
      <w:numFmt w:val="decimal"/>
      <w:lvlText w:val="%3."/>
      <w:lvlJc w:val="left"/>
      <w:pPr>
        <w:tabs>
          <w:tab w:val="num" w:pos="2160"/>
        </w:tabs>
        <w:ind w:left="2160" w:hanging="360"/>
      </w:pPr>
    </w:lvl>
    <w:lvl w:ilvl="3" w:tplc="CA4C462E">
      <w:start w:val="1"/>
      <w:numFmt w:val="decimal"/>
      <w:lvlText w:val="%4."/>
      <w:lvlJc w:val="left"/>
      <w:pPr>
        <w:tabs>
          <w:tab w:val="num" w:pos="2880"/>
        </w:tabs>
        <w:ind w:left="2880" w:hanging="360"/>
      </w:pPr>
    </w:lvl>
    <w:lvl w:ilvl="4" w:tplc="E57C7006">
      <w:start w:val="1"/>
      <w:numFmt w:val="decimal"/>
      <w:lvlText w:val="%5."/>
      <w:lvlJc w:val="left"/>
      <w:pPr>
        <w:tabs>
          <w:tab w:val="num" w:pos="3600"/>
        </w:tabs>
        <w:ind w:left="3600" w:hanging="360"/>
      </w:pPr>
    </w:lvl>
    <w:lvl w:ilvl="5" w:tplc="35BE18A6">
      <w:start w:val="1"/>
      <w:numFmt w:val="decimal"/>
      <w:lvlText w:val="%6."/>
      <w:lvlJc w:val="left"/>
      <w:pPr>
        <w:tabs>
          <w:tab w:val="num" w:pos="4320"/>
        </w:tabs>
        <w:ind w:left="4320" w:hanging="360"/>
      </w:pPr>
    </w:lvl>
    <w:lvl w:ilvl="6" w:tplc="E0D8815E">
      <w:start w:val="1"/>
      <w:numFmt w:val="decimal"/>
      <w:lvlText w:val="%7."/>
      <w:lvlJc w:val="left"/>
      <w:pPr>
        <w:tabs>
          <w:tab w:val="num" w:pos="5040"/>
        </w:tabs>
        <w:ind w:left="5040" w:hanging="360"/>
      </w:pPr>
    </w:lvl>
    <w:lvl w:ilvl="7" w:tplc="5704A98E">
      <w:start w:val="1"/>
      <w:numFmt w:val="decimal"/>
      <w:lvlText w:val="%8."/>
      <w:lvlJc w:val="left"/>
      <w:pPr>
        <w:tabs>
          <w:tab w:val="num" w:pos="5760"/>
        </w:tabs>
        <w:ind w:left="5760" w:hanging="360"/>
      </w:pPr>
    </w:lvl>
    <w:lvl w:ilvl="8" w:tplc="47920BBC">
      <w:start w:val="1"/>
      <w:numFmt w:val="decimal"/>
      <w:lvlText w:val="%9."/>
      <w:lvlJc w:val="left"/>
      <w:pPr>
        <w:tabs>
          <w:tab w:val="num" w:pos="6480"/>
        </w:tabs>
        <w:ind w:left="6480" w:hanging="360"/>
      </w:pPr>
    </w:lvl>
  </w:abstractNum>
  <w:abstractNum w:abstractNumId="28">
    <w:nsid w:val="761C5108"/>
    <w:multiLevelType w:val="hybridMultilevel"/>
    <w:tmpl w:val="E0640A0C"/>
    <w:lvl w:ilvl="0" w:tplc="CB2AC066">
      <w:start w:val="1"/>
      <w:numFmt w:val="bullet"/>
      <w:lvlText w:val=""/>
      <w:lvlJc w:val="left"/>
      <w:pPr>
        <w:ind w:left="862" w:hanging="360"/>
      </w:pPr>
      <w:rPr>
        <w:rFonts w:ascii="Symbol" w:hAnsi="Symbol" w:hint="default"/>
      </w:rPr>
    </w:lvl>
    <w:lvl w:ilvl="1" w:tplc="A9406CF4" w:tentative="1">
      <w:start w:val="1"/>
      <w:numFmt w:val="bullet"/>
      <w:lvlText w:val="o"/>
      <w:lvlJc w:val="left"/>
      <w:pPr>
        <w:ind w:left="1582" w:hanging="360"/>
      </w:pPr>
      <w:rPr>
        <w:rFonts w:ascii="Courier New" w:hAnsi="Courier New" w:cs="Courier New" w:hint="default"/>
      </w:rPr>
    </w:lvl>
    <w:lvl w:ilvl="2" w:tplc="64CA3662" w:tentative="1">
      <w:start w:val="1"/>
      <w:numFmt w:val="bullet"/>
      <w:lvlText w:val=""/>
      <w:lvlJc w:val="left"/>
      <w:pPr>
        <w:ind w:left="2302" w:hanging="360"/>
      </w:pPr>
      <w:rPr>
        <w:rFonts w:ascii="Wingdings" w:hAnsi="Wingdings" w:hint="default"/>
      </w:rPr>
    </w:lvl>
    <w:lvl w:ilvl="3" w:tplc="C1988E40" w:tentative="1">
      <w:start w:val="1"/>
      <w:numFmt w:val="bullet"/>
      <w:lvlText w:val=""/>
      <w:lvlJc w:val="left"/>
      <w:pPr>
        <w:ind w:left="3022" w:hanging="360"/>
      </w:pPr>
      <w:rPr>
        <w:rFonts w:ascii="Symbol" w:hAnsi="Symbol" w:hint="default"/>
      </w:rPr>
    </w:lvl>
    <w:lvl w:ilvl="4" w:tplc="BD1A44FE" w:tentative="1">
      <w:start w:val="1"/>
      <w:numFmt w:val="bullet"/>
      <w:lvlText w:val="o"/>
      <w:lvlJc w:val="left"/>
      <w:pPr>
        <w:ind w:left="3742" w:hanging="360"/>
      </w:pPr>
      <w:rPr>
        <w:rFonts w:ascii="Courier New" w:hAnsi="Courier New" w:cs="Courier New" w:hint="default"/>
      </w:rPr>
    </w:lvl>
    <w:lvl w:ilvl="5" w:tplc="3314128A" w:tentative="1">
      <w:start w:val="1"/>
      <w:numFmt w:val="bullet"/>
      <w:lvlText w:val=""/>
      <w:lvlJc w:val="left"/>
      <w:pPr>
        <w:ind w:left="4462" w:hanging="360"/>
      </w:pPr>
      <w:rPr>
        <w:rFonts w:ascii="Wingdings" w:hAnsi="Wingdings" w:hint="default"/>
      </w:rPr>
    </w:lvl>
    <w:lvl w:ilvl="6" w:tplc="8CF294D0" w:tentative="1">
      <w:start w:val="1"/>
      <w:numFmt w:val="bullet"/>
      <w:lvlText w:val=""/>
      <w:lvlJc w:val="left"/>
      <w:pPr>
        <w:ind w:left="5182" w:hanging="360"/>
      </w:pPr>
      <w:rPr>
        <w:rFonts w:ascii="Symbol" w:hAnsi="Symbol" w:hint="default"/>
      </w:rPr>
    </w:lvl>
    <w:lvl w:ilvl="7" w:tplc="772E8420" w:tentative="1">
      <w:start w:val="1"/>
      <w:numFmt w:val="bullet"/>
      <w:lvlText w:val="o"/>
      <w:lvlJc w:val="left"/>
      <w:pPr>
        <w:ind w:left="5902" w:hanging="360"/>
      </w:pPr>
      <w:rPr>
        <w:rFonts w:ascii="Courier New" w:hAnsi="Courier New" w:cs="Courier New" w:hint="default"/>
      </w:rPr>
    </w:lvl>
    <w:lvl w:ilvl="8" w:tplc="4530D86E" w:tentative="1">
      <w:start w:val="1"/>
      <w:numFmt w:val="bullet"/>
      <w:lvlText w:val=""/>
      <w:lvlJc w:val="left"/>
      <w:pPr>
        <w:ind w:left="6622" w:hanging="360"/>
      </w:pPr>
      <w:rPr>
        <w:rFonts w:ascii="Wingdings" w:hAnsi="Wingdings" w:hint="default"/>
      </w:rPr>
    </w:lvl>
  </w:abstractNum>
  <w:abstractNum w:abstractNumId="29">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nsid w:val="798F30D8"/>
    <w:multiLevelType w:val="multilevel"/>
    <w:tmpl w:val="7B6C7702"/>
    <w:lvl w:ilvl="0">
      <w:start w:val="1"/>
      <w:numFmt w:val="decimal"/>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7DA7431D"/>
    <w:multiLevelType w:val="hybridMultilevel"/>
    <w:tmpl w:val="EC369686"/>
    <w:lvl w:ilvl="0" w:tplc="B06245B2">
      <w:start w:val="1"/>
      <w:numFmt w:val="bullet"/>
      <w:lvlText w:val=""/>
      <w:lvlJc w:val="left"/>
      <w:pPr>
        <w:ind w:left="1080" w:hanging="360"/>
      </w:pPr>
      <w:rPr>
        <w:rFonts w:ascii="Symbol" w:hAnsi="Symbol" w:hint="default"/>
      </w:rPr>
    </w:lvl>
    <w:lvl w:ilvl="1" w:tplc="0BC86B7E" w:tentative="1">
      <w:start w:val="1"/>
      <w:numFmt w:val="bullet"/>
      <w:lvlText w:val="o"/>
      <w:lvlJc w:val="left"/>
      <w:pPr>
        <w:ind w:left="1800" w:hanging="360"/>
      </w:pPr>
      <w:rPr>
        <w:rFonts w:ascii="Courier New" w:hAnsi="Courier New" w:cs="Courier New" w:hint="default"/>
      </w:rPr>
    </w:lvl>
    <w:lvl w:ilvl="2" w:tplc="1E58751C" w:tentative="1">
      <w:start w:val="1"/>
      <w:numFmt w:val="bullet"/>
      <w:lvlText w:val=""/>
      <w:lvlJc w:val="left"/>
      <w:pPr>
        <w:ind w:left="2520" w:hanging="360"/>
      </w:pPr>
      <w:rPr>
        <w:rFonts w:ascii="Wingdings" w:hAnsi="Wingdings" w:hint="default"/>
      </w:rPr>
    </w:lvl>
    <w:lvl w:ilvl="3" w:tplc="1FD6DFC2" w:tentative="1">
      <w:start w:val="1"/>
      <w:numFmt w:val="bullet"/>
      <w:lvlText w:val=""/>
      <w:lvlJc w:val="left"/>
      <w:pPr>
        <w:ind w:left="3240" w:hanging="360"/>
      </w:pPr>
      <w:rPr>
        <w:rFonts w:ascii="Symbol" w:hAnsi="Symbol" w:hint="default"/>
      </w:rPr>
    </w:lvl>
    <w:lvl w:ilvl="4" w:tplc="D99854BC" w:tentative="1">
      <w:start w:val="1"/>
      <w:numFmt w:val="bullet"/>
      <w:lvlText w:val="o"/>
      <w:lvlJc w:val="left"/>
      <w:pPr>
        <w:ind w:left="3960" w:hanging="360"/>
      </w:pPr>
      <w:rPr>
        <w:rFonts w:ascii="Courier New" w:hAnsi="Courier New" w:cs="Courier New" w:hint="default"/>
      </w:rPr>
    </w:lvl>
    <w:lvl w:ilvl="5" w:tplc="22BC0682" w:tentative="1">
      <w:start w:val="1"/>
      <w:numFmt w:val="bullet"/>
      <w:lvlText w:val=""/>
      <w:lvlJc w:val="left"/>
      <w:pPr>
        <w:ind w:left="4680" w:hanging="360"/>
      </w:pPr>
      <w:rPr>
        <w:rFonts w:ascii="Wingdings" w:hAnsi="Wingdings" w:hint="default"/>
      </w:rPr>
    </w:lvl>
    <w:lvl w:ilvl="6" w:tplc="F8F09B38" w:tentative="1">
      <w:start w:val="1"/>
      <w:numFmt w:val="bullet"/>
      <w:lvlText w:val=""/>
      <w:lvlJc w:val="left"/>
      <w:pPr>
        <w:ind w:left="5400" w:hanging="360"/>
      </w:pPr>
      <w:rPr>
        <w:rFonts w:ascii="Symbol" w:hAnsi="Symbol" w:hint="default"/>
      </w:rPr>
    </w:lvl>
    <w:lvl w:ilvl="7" w:tplc="2BF82DEA" w:tentative="1">
      <w:start w:val="1"/>
      <w:numFmt w:val="bullet"/>
      <w:lvlText w:val="o"/>
      <w:lvlJc w:val="left"/>
      <w:pPr>
        <w:ind w:left="6120" w:hanging="360"/>
      </w:pPr>
      <w:rPr>
        <w:rFonts w:ascii="Courier New" w:hAnsi="Courier New" w:cs="Courier New" w:hint="default"/>
      </w:rPr>
    </w:lvl>
    <w:lvl w:ilvl="8" w:tplc="E9E222C8" w:tentative="1">
      <w:start w:val="1"/>
      <w:numFmt w:val="bullet"/>
      <w:lvlText w:val=""/>
      <w:lvlJc w:val="left"/>
      <w:pPr>
        <w:ind w:left="6840" w:hanging="360"/>
      </w:pPr>
      <w:rPr>
        <w:rFonts w:ascii="Wingdings" w:hAnsi="Wingdings" w:hint="default"/>
      </w:rPr>
    </w:lvl>
  </w:abstractNum>
  <w:num w:numId="1">
    <w:abstractNumId w:val="29"/>
  </w:num>
  <w:num w:numId="2">
    <w:abstractNumId w:val="1"/>
  </w:num>
  <w:num w:numId="3">
    <w:abstractNumId w:val="13"/>
  </w:num>
  <w:num w:numId="4">
    <w:abstractNumId w:val="20"/>
    <w:lvlOverride w:ilvl="0">
      <w:lvl w:ilvl="0">
        <w:start w:val="1"/>
        <w:numFmt w:val="decimal"/>
        <w:pStyle w:val="ListNumber"/>
        <w:lvlText w:val="%1."/>
        <w:lvlJc w:val="left"/>
        <w:pPr>
          <w:ind w:left="369" w:hanging="369"/>
        </w:pPr>
        <w:rPr>
          <w:rFonts w:ascii="Arial" w:hAnsi="Arial" w:hint="default"/>
          <w:sz w:val="22"/>
        </w:rPr>
      </w:lvl>
    </w:lvlOverride>
  </w:num>
  <w:num w:numId="5">
    <w:abstractNumId w:val="19"/>
  </w:num>
  <w:num w:numId="6">
    <w:abstractNumId w:val="16"/>
  </w:num>
  <w:num w:numId="7">
    <w:abstractNumId w:val="25"/>
  </w:num>
  <w:num w:numId="8">
    <w:abstractNumId w:val="22"/>
  </w:num>
  <w:num w:numId="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18"/>
  </w:num>
  <w:num w:numId="13">
    <w:abstractNumId w:val="4"/>
  </w:num>
  <w:num w:numId="14">
    <w:abstractNumId w:val="7"/>
  </w:num>
  <w:num w:numId="15">
    <w:abstractNumId w:val="21"/>
  </w:num>
  <w:num w:numId="16">
    <w:abstractNumId w:val="9"/>
  </w:num>
  <w:num w:numId="17">
    <w:abstractNumId w:val="24"/>
  </w:num>
  <w:num w:numId="18">
    <w:abstractNumId w:val="2"/>
  </w:num>
  <w:num w:numId="19">
    <w:abstractNumId w:val="11"/>
  </w:num>
  <w:num w:numId="20">
    <w:abstractNumId w:val="28"/>
  </w:num>
  <w:num w:numId="21">
    <w:abstractNumId w:val="14"/>
  </w:num>
  <w:num w:numId="22">
    <w:abstractNumId w:val="15"/>
  </w:num>
  <w:num w:numId="23">
    <w:abstractNumId w:val="30"/>
  </w:num>
  <w:num w:numId="24">
    <w:abstractNumId w:val="26"/>
  </w:num>
  <w:num w:numId="25">
    <w:abstractNumId w:val="3"/>
  </w:num>
  <w:num w:numId="26">
    <w:abstractNumId w:val="23"/>
  </w:num>
  <w:num w:numId="27">
    <w:abstractNumId w:val="12"/>
  </w:num>
  <w:num w:numId="28">
    <w:abstractNumId w:val="8"/>
    <w:lvlOverride w:ilvl="0">
      <w:lvl w:ilvl="0">
        <w:start w:val="1"/>
        <w:numFmt w:val="bullet"/>
        <w:lvlText w:val=""/>
        <w:lvlJc w:val="left"/>
        <w:pPr>
          <w:ind w:left="369" w:hanging="369"/>
        </w:pPr>
        <w:rPr>
          <w:rFonts w:ascii="Symbol" w:hAnsi="Symbol" w:hint="default"/>
        </w:rPr>
      </w:lvl>
    </w:lvlOverride>
  </w:num>
  <w:num w:numId="29">
    <w:abstractNumId w:val="17"/>
  </w:num>
  <w:num w:numId="30">
    <w:abstractNumId w:val="31"/>
  </w:num>
  <w:num w:numId="31">
    <w:abstractNumId w:val="10"/>
  </w:num>
  <w:num w:numId="32">
    <w:abstractNumId w:val="20"/>
    <w:lvlOverride w:ilvl="0">
      <w:lvl w:ilvl="0">
        <w:start w:val="1"/>
        <w:numFmt w:val="decimal"/>
        <w:pStyle w:val="ListNumber"/>
        <w:lvlText w:val="%1."/>
        <w:lvlJc w:val="left"/>
        <w:pPr>
          <w:ind w:left="369" w:hanging="369"/>
        </w:pPr>
        <w:rPr>
          <w:rFonts w:ascii="Arial" w:hAnsi="Arial" w:hint="default"/>
          <w:sz w:val="22"/>
        </w:rPr>
      </w:lvl>
    </w:lvlOverride>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5224"/>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D90EED"/>
    <w:rsid w:val="00000E8D"/>
    <w:rsid w:val="0001016E"/>
    <w:rsid w:val="00076617"/>
    <w:rsid w:val="00102ACA"/>
    <w:rsid w:val="00152514"/>
    <w:rsid w:val="00157BF5"/>
    <w:rsid w:val="001827B1"/>
    <w:rsid w:val="00185EDC"/>
    <w:rsid w:val="00190259"/>
    <w:rsid w:val="001A515A"/>
    <w:rsid w:val="001B369E"/>
    <w:rsid w:val="001B7ECE"/>
    <w:rsid w:val="0020440C"/>
    <w:rsid w:val="0020441B"/>
    <w:rsid w:val="00235443"/>
    <w:rsid w:val="0024488B"/>
    <w:rsid w:val="002705AD"/>
    <w:rsid w:val="00270B02"/>
    <w:rsid w:val="00281C47"/>
    <w:rsid w:val="002B107B"/>
    <w:rsid w:val="003225BF"/>
    <w:rsid w:val="003618D6"/>
    <w:rsid w:val="003A1837"/>
    <w:rsid w:val="003A4798"/>
    <w:rsid w:val="003B7F34"/>
    <w:rsid w:val="003F10A0"/>
    <w:rsid w:val="00433CB6"/>
    <w:rsid w:val="00433E09"/>
    <w:rsid w:val="00457E4A"/>
    <w:rsid w:val="00471331"/>
    <w:rsid w:val="00471D4C"/>
    <w:rsid w:val="004725FF"/>
    <w:rsid w:val="004841D5"/>
    <w:rsid w:val="004948C1"/>
    <w:rsid w:val="004B59B8"/>
    <w:rsid w:val="004E73E5"/>
    <w:rsid w:val="005D5DC3"/>
    <w:rsid w:val="00620943"/>
    <w:rsid w:val="00632D5F"/>
    <w:rsid w:val="006804C5"/>
    <w:rsid w:val="006C45A6"/>
    <w:rsid w:val="00732442"/>
    <w:rsid w:val="00736D91"/>
    <w:rsid w:val="00757013"/>
    <w:rsid w:val="00763761"/>
    <w:rsid w:val="007835FC"/>
    <w:rsid w:val="00786B13"/>
    <w:rsid w:val="0079120B"/>
    <w:rsid w:val="00791FAB"/>
    <w:rsid w:val="007C69E1"/>
    <w:rsid w:val="007D19F0"/>
    <w:rsid w:val="00834C76"/>
    <w:rsid w:val="00836BED"/>
    <w:rsid w:val="0087670F"/>
    <w:rsid w:val="008A2B60"/>
    <w:rsid w:val="009229A1"/>
    <w:rsid w:val="00950A6A"/>
    <w:rsid w:val="00964B4C"/>
    <w:rsid w:val="0097780D"/>
    <w:rsid w:val="009A530A"/>
    <w:rsid w:val="009F47F9"/>
    <w:rsid w:val="009F4861"/>
    <w:rsid w:val="00A17AFC"/>
    <w:rsid w:val="00A37210"/>
    <w:rsid w:val="00A75818"/>
    <w:rsid w:val="00AA38F0"/>
    <w:rsid w:val="00B455C0"/>
    <w:rsid w:val="00B47706"/>
    <w:rsid w:val="00B7706C"/>
    <w:rsid w:val="00B83AD7"/>
    <w:rsid w:val="00BE0177"/>
    <w:rsid w:val="00BE63D5"/>
    <w:rsid w:val="00BE7A99"/>
    <w:rsid w:val="00BF40B7"/>
    <w:rsid w:val="00C03ACD"/>
    <w:rsid w:val="00C062E1"/>
    <w:rsid w:val="00C14D2D"/>
    <w:rsid w:val="00C17926"/>
    <w:rsid w:val="00C25695"/>
    <w:rsid w:val="00C53AD4"/>
    <w:rsid w:val="00C65774"/>
    <w:rsid w:val="00CA794F"/>
    <w:rsid w:val="00CB3916"/>
    <w:rsid w:val="00D40BBD"/>
    <w:rsid w:val="00D90EED"/>
    <w:rsid w:val="00D93DE7"/>
    <w:rsid w:val="00DB0467"/>
    <w:rsid w:val="00DC47A7"/>
    <w:rsid w:val="00DF0AF2"/>
    <w:rsid w:val="00E037FB"/>
    <w:rsid w:val="00E53BCA"/>
    <w:rsid w:val="00E81B61"/>
    <w:rsid w:val="00E87B39"/>
    <w:rsid w:val="00F14550"/>
    <w:rsid w:val="00F41172"/>
    <w:rsid w:val="00F62888"/>
    <w:rsid w:val="00FE5AD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3FC"/>
  </w:style>
  <w:style w:type="paragraph" w:styleId="Heading1">
    <w:name w:val="heading 1"/>
    <w:aliases w:val="PP Head 1"/>
    <w:basedOn w:val="Normal"/>
    <w:next w:val="Normal"/>
    <w:link w:val="Heading1Char"/>
    <w:uiPriority w:val="9"/>
    <w:qFormat/>
    <w:rsid w:val="00F943FC"/>
    <w:pPr>
      <w:pBdr>
        <w:bottom w:val="single" w:sz="12" w:space="1" w:color="365F91" w:themeColor="accent1" w:themeShade="BF"/>
      </w:pBdr>
      <w:spacing w:before="600" w:after="80"/>
      <w:ind w:firstLine="0"/>
      <w:outlineLvl w:val="0"/>
    </w:pPr>
    <w:rPr>
      <w:rFonts w:ascii="Cambria" w:hAnsi="Cambria"/>
      <w:b/>
      <w:bCs/>
      <w:color w:val="365F91" w:themeColor="accent1" w:themeShade="BF"/>
      <w:sz w:val="24"/>
      <w:szCs w:val="24"/>
    </w:rPr>
  </w:style>
  <w:style w:type="paragraph" w:styleId="Heading2">
    <w:name w:val="heading 2"/>
    <w:aliases w:val="PP Head 11"/>
    <w:basedOn w:val="Normal"/>
    <w:next w:val="Normal"/>
    <w:link w:val="Heading2Char"/>
    <w:uiPriority w:val="9"/>
    <w:unhideWhenUsed/>
    <w:qFormat/>
    <w:rsid w:val="00F943FC"/>
    <w:pPr>
      <w:pBdr>
        <w:bottom w:val="single" w:sz="8" w:space="1" w:color="4F81BD" w:themeColor="accent1"/>
      </w:pBdr>
      <w:spacing w:before="200" w:after="80"/>
      <w:ind w:firstLine="0"/>
      <w:outlineLvl w:val="1"/>
    </w:pPr>
    <w:rPr>
      <w:rFonts w:ascii="Cambria" w:hAnsi="Cambria"/>
      <w:color w:val="365F91" w:themeColor="accent1" w:themeShade="BF"/>
      <w:sz w:val="24"/>
      <w:szCs w:val="24"/>
    </w:rPr>
  </w:style>
  <w:style w:type="paragraph" w:styleId="Heading3">
    <w:name w:val="heading 3"/>
    <w:aliases w:val="PP Head 3"/>
    <w:basedOn w:val="Normal"/>
    <w:next w:val="Normal"/>
    <w:link w:val="Heading3Char"/>
    <w:uiPriority w:val="9"/>
    <w:unhideWhenUsed/>
    <w:qFormat/>
    <w:rsid w:val="000C640E"/>
    <w:pPr>
      <w:numPr>
        <w:ilvl w:val="1"/>
        <w:numId w:val="15"/>
      </w:numPr>
      <w:pBdr>
        <w:bottom w:val="single" w:sz="4" w:space="0" w:color="95B3D7" w:themeColor="accent1" w:themeTint="99"/>
      </w:pBdr>
      <w:spacing w:before="200" w:after="80"/>
      <w:outlineLvl w:val="2"/>
    </w:pPr>
    <w:rPr>
      <w:rFonts w:ascii="Cambria" w:hAnsi="Cambria"/>
      <w:b/>
      <w:color w:val="4F81BD" w:themeColor="accent1"/>
      <w:sz w:val="24"/>
      <w:szCs w:val="24"/>
    </w:rPr>
  </w:style>
  <w:style w:type="paragraph" w:styleId="Heading4">
    <w:name w:val="heading 4"/>
    <w:basedOn w:val="Normal"/>
    <w:next w:val="Normal"/>
    <w:link w:val="Heading4Char"/>
    <w:uiPriority w:val="9"/>
    <w:unhideWhenUsed/>
    <w:qFormat/>
    <w:rsid w:val="00F943FC"/>
    <w:pPr>
      <w:pBdr>
        <w:bottom w:val="single" w:sz="4" w:space="2" w:color="B8CCE4" w:themeColor="accent1" w:themeTint="66"/>
      </w:pBdr>
      <w:spacing w:before="200" w:after="80"/>
      <w:ind w:firstLine="0"/>
      <w:outlineLvl w:val="3"/>
    </w:pPr>
    <w:rPr>
      <w:rFonts w:ascii="Cambria" w:hAnsi="Cambria"/>
      <w:i/>
      <w:iCs/>
      <w:color w:val="4F81BD" w:themeColor="accent1"/>
      <w:sz w:val="24"/>
      <w:szCs w:val="24"/>
    </w:rPr>
  </w:style>
  <w:style w:type="paragraph" w:styleId="Heading5">
    <w:name w:val="heading 5"/>
    <w:basedOn w:val="Normal"/>
    <w:next w:val="Normal"/>
    <w:link w:val="Heading5Char"/>
    <w:uiPriority w:val="9"/>
    <w:unhideWhenUsed/>
    <w:qFormat/>
    <w:rsid w:val="00F943FC"/>
    <w:pPr>
      <w:spacing w:before="200" w:after="80"/>
      <w:ind w:firstLine="0"/>
      <w:outlineLvl w:val="4"/>
    </w:pPr>
    <w:rPr>
      <w:rFonts w:ascii="Cambria" w:hAnsi="Cambria"/>
      <w:color w:val="4F81BD" w:themeColor="accent1"/>
    </w:rPr>
  </w:style>
  <w:style w:type="paragraph" w:styleId="Heading6">
    <w:name w:val="heading 6"/>
    <w:basedOn w:val="Normal"/>
    <w:next w:val="Normal"/>
    <w:link w:val="Heading6Char"/>
    <w:uiPriority w:val="9"/>
    <w:semiHidden/>
    <w:unhideWhenUsed/>
    <w:qFormat/>
    <w:rsid w:val="00F943FC"/>
    <w:pPr>
      <w:spacing w:before="280" w:after="100"/>
      <w:ind w:firstLine="0"/>
      <w:outlineLvl w:val="5"/>
    </w:pPr>
    <w:rPr>
      <w:rFonts w:ascii="Cambria" w:hAnsi="Cambria"/>
      <w:i/>
      <w:iCs/>
      <w:color w:val="4F81BD" w:themeColor="accent1"/>
    </w:rPr>
  </w:style>
  <w:style w:type="paragraph" w:styleId="Heading7">
    <w:name w:val="heading 7"/>
    <w:basedOn w:val="Normal"/>
    <w:next w:val="Normal"/>
    <w:link w:val="Heading7Char"/>
    <w:uiPriority w:val="9"/>
    <w:semiHidden/>
    <w:unhideWhenUsed/>
    <w:qFormat/>
    <w:rsid w:val="00F943FC"/>
    <w:pPr>
      <w:spacing w:before="320" w:after="100"/>
      <w:ind w:firstLine="0"/>
      <w:outlineLvl w:val="6"/>
    </w:pPr>
    <w:rPr>
      <w:rFonts w:ascii="Cambria" w:hAnsi="Cambria"/>
      <w:b/>
      <w:bCs/>
      <w:color w:val="9BBB59" w:themeColor="accent3"/>
      <w:sz w:val="20"/>
      <w:szCs w:val="20"/>
    </w:rPr>
  </w:style>
  <w:style w:type="paragraph" w:styleId="Heading8">
    <w:name w:val="heading 8"/>
    <w:basedOn w:val="Normal"/>
    <w:next w:val="Normal"/>
    <w:link w:val="Heading8Char"/>
    <w:uiPriority w:val="9"/>
    <w:semiHidden/>
    <w:unhideWhenUsed/>
    <w:qFormat/>
    <w:rsid w:val="00F943FC"/>
    <w:pPr>
      <w:spacing w:before="320" w:after="100"/>
      <w:ind w:firstLine="0"/>
      <w:outlineLvl w:val="7"/>
    </w:pPr>
    <w:rPr>
      <w:rFonts w:ascii="Cambria" w:hAnsi="Cambria"/>
      <w:b/>
      <w:bCs/>
      <w:i/>
      <w:iCs/>
      <w:color w:val="9BBB59" w:themeColor="accent3"/>
      <w:sz w:val="20"/>
      <w:szCs w:val="20"/>
    </w:rPr>
  </w:style>
  <w:style w:type="paragraph" w:styleId="Heading9">
    <w:name w:val="heading 9"/>
    <w:basedOn w:val="Normal"/>
    <w:next w:val="Normal"/>
    <w:link w:val="Heading9Char"/>
    <w:uiPriority w:val="9"/>
    <w:semiHidden/>
    <w:unhideWhenUsed/>
    <w:qFormat/>
    <w:rsid w:val="00F943FC"/>
    <w:pPr>
      <w:spacing w:before="320" w:after="100"/>
      <w:ind w:firstLine="0"/>
      <w:outlineLvl w:val="8"/>
    </w:pPr>
    <w:rPr>
      <w:rFonts w:ascii="Cambria" w:hAnsi="Cambria"/>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lang w:eastAsia="en-AU"/>
    </w:rPr>
  </w:style>
  <w:style w:type="character" w:customStyle="1" w:styleId="Heading1Char">
    <w:name w:val="Heading 1 Char"/>
    <w:aliases w:val="PP Head 1 Char"/>
    <w:basedOn w:val="DefaultParagraphFont"/>
    <w:link w:val="Heading1"/>
    <w:uiPriority w:val="9"/>
    <w:rsid w:val="00F943FC"/>
    <w:rPr>
      <w:rFonts w:ascii="Cambria" w:hAnsi="Cambria"/>
      <w:b/>
      <w:bCs/>
      <w:color w:val="365F91" w:themeColor="accent1" w:themeShade="BF"/>
      <w:sz w:val="24"/>
      <w:szCs w:val="24"/>
    </w:rPr>
  </w:style>
  <w:style w:type="character" w:customStyle="1" w:styleId="Heading2Char">
    <w:name w:val="Heading 2 Char"/>
    <w:aliases w:val="PP Head 11 Char"/>
    <w:basedOn w:val="DefaultParagraphFont"/>
    <w:link w:val="Heading2"/>
    <w:uiPriority w:val="9"/>
    <w:rsid w:val="00F943FC"/>
    <w:rPr>
      <w:rFonts w:ascii="Cambria" w:hAnsi="Cambria"/>
      <w:color w:val="365F91" w:themeColor="accent1" w:themeShade="BF"/>
      <w:sz w:val="24"/>
      <w:szCs w:val="24"/>
    </w:rPr>
  </w:style>
  <w:style w:type="character" w:customStyle="1" w:styleId="Heading3Char">
    <w:name w:val="Heading 3 Char"/>
    <w:aliases w:val="PP Head 3 Char"/>
    <w:basedOn w:val="DefaultParagraphFont"/>
    <w:link w:val="Heading3"/>
    <w:uiPriority w:val="9"/>
    <w:rsid w:val="000C640E"/>
    <w:rPr>
      <w:rFonts w:ascii="Cambria" w:hAnsi="Cambria"/>
      <w:b/>
      <w:color w:val="4F81BD" w:themeColor="accent1"/>
      <w:sz w:val="24"/>
      <w:szCs w:val="24"/>
    </w:rPr>
  </w:style>
  <w:style w:type="character" w:customStyle="1" w:styleId="Heading4Char">
    <w:name w:val="Heading 4 Char"/>
    <w:basedOn w:val="DefaultParagraphFont"/>
    <w:link w:val="Heading4"/>
    <w:uiPriority w:val="9"/>
    <w:rsid w:val="00F943FC"/>
    <w:rPr>
      <w:rFonts w:ascii="Cambria" w:hAnsi="Cambria"/>
      <w:i/>
      <w:iCs/>
      <w:color w:val="4F81BD" w:themeColor="accent1"/>
      <w:sz w:val="24"/>
      <w:szCs w:val="24"/>
    </w:rPr>
  </w:style>
  <w:style w:type="paragraph" w:styleId="ListBullet">
    <w:name w:val="List Bullet"/>
    <w:aliases w:val="PP List Bullet"/>
    <w:basedOn w:val="Normal"/>
    <w:uiPriority w:val="99"/>
    <w:unhideWhenUsed/>
    <w:qFormat/>
    <w:rsid w:val="00091608"/>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rFonts w:cs="Arial"/>
      <w:color w:val="FF0000"/>
      <w:sz w:val="28"/>
      <w:szCs w:val="28"/>
      <w:lang w:eastAsia="en-AU"/>
    </w:rPr>
  </w:style>
  <w:style w:type="paragraph" w:styleId="ListParagraph">
    <w:name w:val="List Paragraph"/>
    <w:basedOn w:val="Normal"/>
    <w:uiPriority w:val="34"/>
    <w:qFormat/>
    <w:rsid w:val="00F943FC"/>
    <w:pPr>
      <w:ind w:left="720"/>
      <w:contextualSpacing/>
    </w:pPr>
  </w:style>
  <w:style w:type="character" w:styleId="BookTitle">
    <w:name w:val="Book Title"/>
    <w:basedOn w:val="DefaultParagraphFont"/>
    <w:uiPriority w:val="33"/>
    <w:qFormat/>
    <w:rsid w:val="00F943FC"/>
    <w:rPr>
      <w:rFonts w:ascii="Cambria" w:hAnsi="Cambria"/>
      <w:b/>
      <w:bCs/>
      <w:i/>
      <w:iCs/>
      <w:color w:val="auto"/>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aliases w:val="none"/>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rsid w:val="005A126E"/>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rsid w:val="007843C8"/>
    <w:rPr>
      <w:rFonts w:cs="Times New Roman"/>
      <w:color w:val="0000FF"/>
      <w:u w:val="single"/>
    </w:rPr>
  </w:style>
  <w:style w:type="paragraph" w:styleId="FootnoteText">
    <w:name w:val="footnote text"/>
    <w:basedOn w:val="Normal"/>
    <w:link w:val="FootnoteTextChar"/>
    <w:uiPriority w:val="99"/>
    <w:semiHidden/>
    <w:unhideWhenUsed/>
    <w:rsid w:val="007843C8"/>
    <w:pPr>
      <w:spacing w:before="200"/>
    </w:pPr>
    <w:rPr>
      <w:sz w:val="20"/>
      <w:szCs w:val="20"/>
    </w:rPr>
  </w:style>
  <w:style w:type="character" w:customStyle="1" w:styleId="FootnoteTextChar">
    <w:name w:val="Footnote Text Char"/>
    <w:basedOn w:val="DefaultParagraphFont"/>
    <w:link w:val="FootnoteText"/>
    <w:uiPriority w:val="99"/>
    <w:semiHidden/>
    <w:rsid w:val="007843C8"/>
    <w:rPr>
      <w:lang w:val="en-US" w:eastAsia="en-US" w:bidi="en-US"/>
    </w:rPr>
  </w:style>
  <w:style w:type="character" w:styleId="FootnoteReference">
    <w:name w:val="footnote reference"/>
    <w:basedOn w:val="DefaultParagraphFont"/>
    <w:uiPriority w:val="99"/>
    <w:unhideWhenUsed/>
    <w:rsid w:val="007843C8"/>
    <w:rPr>
      <w:vertAlign w:val="superscript"/>
    </w:rPr>
  </w:style>
  <w:style w:type="paragraph" w:styleId="Caption">
    <w:name w:val="caption"/>
    <w:aliases w:val="PP Caption"/>
    <w:basedOn w:val="Normal"/>
    <w:next w:val="Normal"/>
    <w:uiPriority w:val="35"/>
    <w:unhideWhenUsed/>
    <w:qFormat/>
    <w:rsid w:val="00F943FC"/>
    <w:rPr>
      <w:b/>
      <w:bCs/>
      <w:sz w:val="18"/>
      <w:szCs w:val="18"/>
    </w:rPr>
  </w:style>
  <w:style w:type="character" w:styleId="SubtleReference">
    <w:name w:val="Subtle Reference"/>
    <w:uiPriority w:val="31"/>
    <w:qFormat/>
    <w:rsid w:val="00F943FC"/>
    <w:rPr>
      <w:color w:val="auto"/>
      <w:u w:val="single" w:color="9BBB59"/>
    </w:rPr>
  </w:style>
  <w:style w:type="table" w:customStyle="1" w:styleId="LightShading-Accent11">
    <w:name w:val="Light Shading - Accent 11"/>
    <w:basedOn w:val="TableNormal"/>
    <w:uiPriority w:val="60"/>
    <w:rsid w:val="006D230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733726"/>
    <w:rPr>
      <w:sz w:val="16"/>
      <w:szCs w:val="16"/>
    </w:rPr>
  </w:style>
  <w:style w:type="paragraph" w:styleId="CommentText">
    <w:name w:val="annotation text"/>
    <w:basedOn w:val="Normal"/>
    <w:link w:val="CommentTextChar"/>
    <w:uiPriority w:val="99"/>
    <w:semiHidden/>
    <w:unhideWhenUsed/>
    <w:rsid w:val="00733726"/>
    <w:rPr>
      <w:sz w:val="20"/>
      <w:szCs w:val="20"/>
    </w:rPr>
  </w:style>
  <w:style w:type="character" w:customStyle="1" w:styleId="CommentTextChar">
    <w:name w:val="Comment Text Char"/>
    <w:basedOn w:val="DefaultParagraphFont"/>
    <w:link w:val="CommentText"/>
    <w:uiPriority w:val="99"/>
    <w:semiHidden/>
    <w:rsid w:val="00733726"/>
    <w:rPr>
      <w:lang w:eastAsia="en-US"/>
    </w:rPr>
  </w:style>
  <w:style w:type="paragraph" w:styleId="CommentSubject">
    <w:name w:val="annotation subject"/>
    <w:basedOn w:val="CommentText"/>
    <w:next w:val="CommentText"/>
    <w:link w:val="CommentSubjectChar"/>
    <w:uiPriority w:val="99"/>
    <w:semiHidden/>
    <w:unhideWhenUsed/>
    <w:rsid w:val="00733726"/>
    <w:rPr>
      <w:b/>
      <w:bCs/>
    </w:rPr>
  </w:style>
  <w:style w:type="character" w:customStyle="1" w:styleId="CommentSubjectChar">
    <w:name w:val="Comment Subject Char"/>
    <w:basedOn w:val="CommentTextChar"/>
    <w:link w:val="CommentSubject"/>
    <w:uiPriority w:val="99"/>
    <w:semiHidden/>
    <w:rsid w:val="00733726"/>
    <w:rPr>
      <w:b/>
      <w:bCs/>
    </w:rPr>
  </w:style>
  <w:style w:type="character" w:customStyle="1" w:styleId="Heading5Char">
    <w:name w:val="Heading 5 Char"/>
    <w:basedOn w:val="DefaultParagraphFont"/>
    <w:link w:val="Heading5"/>
    <w:uiPriority w:val="9"/>
    <w:rsid w:val="00F943FC"/>
    <w:rPr>
      <w:rFonts w:ascii="Cambria" w:hAnsi="Cambria"/>
      <w:color w:val="4F81BD" w:themeColor="accent1"/>
    </w:rPr>
  </w:style>
  <w:style w:type="character" w:customStyle="1" w:styleId="Heading6Char">
    <w:name w:val="Heading 6 Char"/>
    <w:basedOn w:val="DefaultParagraphFont"/>
    <w:link w:val="Heading6"/>
    <w:uiPriority w:val="9"/>
    <w:semiHidden/>
    <w:rsid w:val="00F943FC"/>
    <w:rPr>
      <w:rFonts w:ascii="Cambria" w:hAnsi="Cambria"/>
      <w:i/>
      <w:iCs/>
      <w:color w:val="4F81BD" w:themeColor="accent1"/>
    </w:rPr>
  </w:style>
  <w:style w:type="character" w:customStyle="1" w:styleId="Heading7Char">
    <w:name w:val="Heading 7 Char"/>
    <w:basedOn w:val="DefaultParagraphFont"/>
    <w:link w:val="Heading7"/>
    <w:uiPriority w:val="9"/>
    <w:semiHidden/>
    <w:rsid w:val="00F943FC"/>
    <w:rPr>
      <w:rFonts w:ascii="Cambria" w:hAnsi="Cambria"/>
      <w:b/>
      <w:bCs/>
      <w:color w:val="9BBB59" w:themeColor="accent3"/>
      <w:sz w:val="20"/>
      <w:szCs w:val="20"/>
    </w:rPr>
  </w:style>
  <w:style w:type="character" w:customStyle="1" w:styleId="Heading8Char">
    <w:name w:val="Heading 8 Char"/>
    <w:basedOn w:val="DefaultParagraphFont"/>
    <w:link w:val="Heading8"/>
    <w:uiPriority w:val="9"/>
    <w:semiHidden/>
    <w:rsid w:val="00F943FC"/>
    <w:rPr>
      <w:rFonts w:ascii="Cambria" w:hAnsi="Cambria"/>
      <w:b/>
      <w:bCs/>
      <w:i/>
      <w:iCs/>
      <w:color w:val="9BBB59" w:themeColor="accent3"/>
      <w:sz w:val="20"/>
      <w:szCs w:val="20"/>
    </w:rPr>
  </w:style>
  <w:style w:type="character" w:customStyle="1" w:styleId="Heading9Char">
    <w:name w:val="Heading 9 Char"/>
    <w:basedOn w:val="DefaultParagraphFont"/>
    <w:link w:val="Heading9"/>
    <w:uiPriority w:val="9"/>
    <w:semiHidden/>
    <w:rsid w:val="00F943FC"/>
    <w:rPr>
      <w:rFonts w:ascii="Cambria" w:hAnsi="Cambria"/>
      <w:i/>
      <w:iCs/>
      <w:color w:val="9BBB59" w:themeColor="accent3"/>
      <w:sz w:val="20"/>
      <w:szCs w:val="20"/>
    </w:rPr>
  </w:style>
  <w:style w:type="paragraph" w:styleId="TOCHeading">
    <w:name w:val="TOC Heading"/>
    <w:basedOn w:val="Heading1"/>
    <w:next w:val="Normal"/>
    <w:uiPriority w:val="39"/>
    <w:unhideWhenUsed/>
    <w:qFormat/>
    <w:rsid w:val="00F943FC"/>
    <w:pPr>
      <w:outlineLvl w:val="9"/>
    </w:pPr>
  </w:style>
  <w:style w:type="paragraph" w:styleId="TOC1">
    <w:name w:val="toc 1"/>
    <w:basedOn w:val="Normal"/>
    <w:next w:val="Normal"/>
    <w:autoRedefine/>
    <w:uiPriority w:val="39"/>
    <w:unhideWhenUsed/>
    <w:rsid w:val="007B7360"/>
    <w:pPr>
      <w:spacing w:after="100"/>
    </w:pPr>
    <w:rPr>
      <w:b/>
    </w:rPr>
  </w:style>
  <w:style w:type="paragraph" w:styleId="TOC2">
    <w:name w:val="toc 2"/>
    <w:basedOn w:val="Normal"/>
    <w:next w:val="Normal"/>
    <w:autoRedefine/>
    <w:uiPriority w:val="39"/>
    <w:unhideWhenUsed/>
    <w:rsid w:val="00854752"/>
    <w:pPr>
      <w:tabs>
        <w:tab w:val="right" w:leader="dot" w:pos="9202"/>
      </w:tabs>
      <w:spacing w:after="100"/>
      <w:ind w:left="220"/>
    </w:pPr>
    <w:rPr>
      <w:b/>
      <w:bCs/>
      <w:i/>
      <w:iCs/>
      <w:noProof/>
    </w:rPr>
  </w:style>
  <w:style w:type="paragraph" w:styleId="TOC3">
    <w:name w:val="toc 3"/>
    <w:basedOn w:val="Normal"/>
    <w:next w:val="Normal"/>
    <w:autoRedefine/>
    <w:uiPriority w:val="39"/>
    <w:unhideWhenUsed/>
    <w:rsid w:val="0061684F"/>
    <w:pPr>
      <w:spacing w:after="100"/>
      <w:ind w:left="440"/>
    </w:pPr>
  </w:style>
  <w:style w:type="paragraph" w:customStyle="1" w:styleId="Heading11">
    <w:name w:val="Heading 11"/>
    <w:basedOn w:val="Heading5"/>
    <w:link w:val="heading1Char0"/>
    <w:qFormat/>
    <w:rsid w:val="00107463"/>
    <w:pPr>
      <w:numPr>
        <w:numId w:val="6"/>
      </w:numPr>
      <w:pBdr>
        <w:bottom w:val="single" w:sz="6" w:space="0" w:color="4F81BD" w:themeColor="accent1"/>
      </w:pBdr>
    </w:pPr>
    <w:rPr>
      <w:b/>
    </w:rPr>
  </w:style>
  <w:style w:type="character" w:customStyle="1" w:styleId="heading1Char0">
    <w:name w:val="heading 1 Char"/>
    <w:basedOn w:val="Heading5Char"/>
    <w:link w:val="Heading11"/>
    <w:rsid w:val="00107463"/>
    <w:rPr>
      <w:b/>
    </w:rPr>
  </w:style>
  <w:style w:type="paragraph" w:styleId="Title">
    <w:name w:val="Title"/>
    <w:basedOn w:val="Normal"/>
    <w:next w:val="Normal"/>
    <w:link w:val="TitleChar"/>
    <w:uiPriority w:val="10"/>
    <w:qFormat/>
    <w:rsid w:val="00F943FC"/>
    <w:pPr>
      <w:pBdr>
        <w:top w:val="single" w:sz="8" w:space="10" w:color="A7BFDE" w:themeColor="accent1" w:themeTint="7F"/>
        <w:bottom w:val="single" w:sz="24" w:space="15" w:color="9BBB59" w:themeColor="accent3"/>
      </w:pBdr>
      <w:ind w:firstLine="0"/>
      <w:jc w:val="center"/>
    </w:pPr>
    <w:rPr>
      <w:rFonts w:ascii="Cambria" w:hAnsi="Cambria"/>
      <w:i/>
      <w:iCs/>
      <w:color w:val="243F60" w:themeColor="accent1" w:themeShade="7F"/>
      <w:sz w:val="60"/>
      <w:szCs w:val="60"/>
    </w:rPr>
  </w:style>
  <w:style w:type="character" w:customStyle="1" w:styleId="TitleChar">
    <w:name w:val="Title Char"/>
    <w:basedOn w:val="DefaultParagraphFont"/>
    <w:link w:val="Title"/>
    <w:uiPriority w:val="10"/>
    <w:rsid w:val="00F943FC"/>
    <w:rPr>
      <w:rFonts w:ascii="Cambria" w:hAnsi="Cambria"/>
      <w:i/>
      <w:iCs/>
      <w:color w:val="243F60" w:themeColor="accent1" w:themeShade="7F"/>
      <w:sz w:val="60"/>
      <w:szCs w:val="60"/>
    </w:rPr>
  </w:style>
  <w:style w:type="paragraph" w:styleId="Subtitle">
    <w:name w:val="Subtitle"/>
    <w:basedOn w:val="Normal"/>
    <w:next w:val="Normal"/>
    <w:link w:val="SubtitleChar"/>
    <w:uiPriority w:val="11"/>
    <w:qFormat/>
    <w:rsid w:val="00F943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943FC"/>
    <w:rPr>
      <w:rFonts w:ascii="Calibri"/>
      <w:i/>
      <w:iCs/>
      <w:sz w:val="24"/>
      <w:szCs w:val="24"/>
    </w:rPr>
  </w:style>
  <w:style w:type="character" w:styleId="Strong">
    <w:name w:val="Strong"/>
    <w:basedOn w:val="DefaultParagraphFont"/>
    <w:uiPriority w:val="22"/>
    <w:qFormat/>
    <w:rsid w:val="00F943FC"/>
    <w:rPr>
      <w:b/>
      <w:bCs/>
      <w:spacing w:val="0"/>
    </w:rPr>
  </w:style>
  <w:style w:type="character" w:styleId="Emphasis">
    <w:name w:val="Emphasis"/>
    <w:uiPriority w:val="20"/>
    <w:qFormat/>
    <w:rsid w:val="00F943FC"/>
    <w:rPr>
      <w:b/>
      <w:bCs/>
      <w:i/>
      <w:iCs/>
      <w:color w:val="5A5A5A" w:themeColor="text1" w:themeTint="A5"/>
    </w:rPr>
  </w:style>
  <w:style w:type="paragraph" w:styleId="NoSpacing">
    <w:name w:val="No Spacing"/>
    <w:basedOn w:val="Normal"/>
    <w:link w:val="NoSpacingChar"/>
    <w:uiPriority w:val="1"/>
    <w:qFormat/>
    <w:rsid w:val="00F943FC"/>
    <w:pPr>
      <w:ind w:firstLine="0"/>
    </w:pPr>
  </w:style>
  <w:style w:type="character" w:customStyle="1" w:styleId="NoSpacingChar">
    <w:name w:val="No Spacing Char"/>
    <w:basedOn w:val="DefaultParagraphFont"/>
    <w:link w:val="NoSpacing"/>
    <w:uiPriority w:val="1"/>
    <w:rsid w:val="00F943FC"/>
  </w:style>
  <w:style w:type="paragraph" w:styleId="Quote">
    <w:name w:val="Quote"/>
    <w:basedOn w:val="Normal"/>
    <w:next w:val="Normal"/>
    <w:link w:val="QuoteChar"/>
    <w:uiPriority w:val="29"/>
    <w:qFormat/>
    <w:rsid w:val="00F943FC"/>
    <w:rPr>
      <w:rFonts w:ascii="Cambria" w:hAnsi="Cambria"/>
      <w:i/>
      <w:iCs/>
      <w:color w:val="5A5A5A" w:themeColor="text1" w:themeTint="A5"/>
    </w:rPr>
  </w:style>
  <w:style w:type="character" w:customStyle="1" w:styleId="QuoteChar">
    <w:name w:val="Quote Char"/>
    <w:basedOn w:val="DefaultParagraphFont"/>
    <w:link w:val="Quote"/>
    <w:uiPriority w:val="29"/>
    <w:rsid w:val="00F943FC"/>
    <w:rPr>
      <w:rFonts w:ascii="Cambria" w:hAnsi="Cambria"/>
      <w:i/>
      <w:iCs/>
      <w:color w:val="5A5A5A" w:themeColor="text1" w:themeTint="A5"/>
    </w:rPr>
  </w:style>
  <w:style w:type="paragraph" w:styleId="IntenseQuote">
    <w:name w:val="Intense Quote"/>
    <w:basedOn w:val="Normal"/>
    <w:next w:val="Normal"/>
    <w:link w:val="IntenseQuoteChar"/>
    <w:uiPriority w:val="30"/>
    <w:qFormat/>
    <w:rsid w:val="00F943F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Cambria" w:hAnsi="Cambria"/>
      <w:i/>
      <w:iCs/>
      <w:color w:val="FFFFFF" w:themeColor="background1"/>
      <w:sz w:val="24"/>
      <w:szCs w:val="24"/>
    </w:rPr>
  </w:style>
  <w:style w:type="character" w:customStyle="1" w:styleId="IntenseQuoteChar">
    <w:name w:val="Intense Quote Char"/>
    <w:basedOn w:val="DefaultParagraphFont"/>
    <w:link w:val="IntenseQuote"/>
    <w:uiPriority w:val="30"/>
    <w:rsid w:val="00F943FC"/>
    <w:rPr>
      <w:rFonts w:ascii="Cambria" w:hAnsi="Cambria"/>
      <w:i/>
      <w:iCs/>
      <w:color w:val="FFFFFF" w:themeColor="background1"/>
      <w:sz w:val="24"/>
      <w:szCs w:val="24"/>
      <w:shd w:val="clear" w:color="auto" w:fill="4F81BD" w:themeFill="accent1"/>
    </w:rPr>
  </w:style>
  <w:style w:type="character" w:styleId="SubtleEmphasis">
    <w:name w:val="Subtle Emphasis"/>
    <w:uiPriority w:val="19"/>
    <w:qFormat/>
    <w:rsid w:val="00F943FC"/>
    <w:rPr>
      <w:i/>
      <w:iCs/>
      <w:color w:val="5A5A5A" w:themeColor="text1" w:themeTint="A5"/>
    </w:rPr>
  </w:style>
  <w:style w:type="character" w:styleId="IntenseEmphasis">
    <w:name w:val="Intense Emphasis"/>
    <w:uiPriority w:val="21"/>
    <w:qFormat/>
    <w:rsid w:val="00F943FC"/>
    <w:rPr>
      <w:b/>
      <w:bCs/>
      <w:i/>
      <w:iCs/>
      <w:color w:val="4F81BD" w:themeColor="accent1"/>
      <w:sz w:val="22"/>
      <w:szCs w:val="22"/>
    </w:rPr>
  </w:style>
  <w:style w:type="character" w:styleId="IntenseReference">
    <w:name w:val="Intense Reference"/>
    <w:basedOn w:val="DefaultParagraphFont"/>
    <w:uiPriority w:val="32"/>
    <w:qFormat/>
    <w:rsid w:val="00F943FC"/>
    <w:rPr>
      <w:b/>
      <w:bCs/>
      <w:color w:val="76923C" w:themeColor="accent3" w:themeShade="BF"/>
      <w:u w:val="single" w:color="9BBB59"/>
    </w:rPr>
  </w:style>
  <w:style w:type="paragraph" w:customStyle="1" w:styleId="Default">
    <w:name w:val="Default"/>
    <w:rsid w:val="00A5548C"/>
    <w:pPr>
      <w:autoSpaceDE w:val="0"/>
      <w:autoSpaceDN w:val="0"/>
      <w:adjustRightInd w:val="0"/>
      <w:ind w:firstLine="0"/>
    </w:pPr>
    <w:rPr>
      <w:rFonts w:ascii="Arial" w:hAnsi="Arial" w:cs="Arial"/>
      <w:color w:val="000000"/>
      <w:sz w:val="24"/>
      <w:szCs w:val="24"/>
      <w:lang w:val="en-AU" w:bidi="ar-SA"/>
    </w:rPr>
  </w:style>
  <w:style w:type="paragraph" w:styleId="EndnoteText">
    <w:name w:val="endnote text"/>
    <w:basedOn w:val="Normal"/>
    <w:link w:val="EndnoteTextChar"/>
    <w:uiPriority w:val="99"/>
    <w:semiHidden/>
    <w:unhideWhenUsed/>
    <w:rsid w:val="005262DF"/>
    <w:rPr>
      <w:sz w:val="20"/>
      <w:szCs w:val="20"/>
    </w:rPr>
  </w:style>
  <w:style w:type="character" w:customStyle="1" w:styleId="EndnoteTextChar">
    <w:name w:val="Endnote Text Char"/>
    <w:basedOn w:val="DefaultParagraphFont"/>
    <w:link w:val="EndnoteText"/>
    <w:uiPriority w:val="99"/>
    <w:semiHidden/>
    <w:rsid w:val="005262DF"/>
    <w:rPr>
      <w:sz w:val="20"/>
      <w:szCs w:val="20"/>
    </w:rPr>
  </w:style>
  <w:style w:type="character" w:styleId="EndnoteReference">
    <w:name w:val="endnote reference"/>
    <w:basedOn w:val="DefaultParagraphFont"/>
    <w:uiPriority w:val="99"/>
    <w:semiHidden/>
    <w:unhideWhenUsed/>
    <w:rsid w:val="005262DF"/>
    <w:rPr>
      <w:vertAlign w:val="superscript"/>
    </w:rPr>
  </w:style>
  <w:style w:type="paragraph" w:customStyle="1" w:styleId="EYBulletedList1">
    <w:name w:val="EY Bulleted List 1"/>
    <w:rsid w:val="00D613E2"/>
    <w:pPr>
      <w:numPr>
        <w:numId w:val="22"/>
      </w:numPr>
      <w:spacing w:after="120"/>
      <w:ind w:left="289" w:hanging="289"/>
    </w:pPr>
    <w:rPr>
      <w:rFonts w:ascii="EYInterstate Light" w:hAnsi="EYInterstate Light"/>
      <w:kern w:val="12"/>
      <w:sz w:val="20"/>
      <w:szCs w:val="24"/>
      <w:lang w:bidi="ar-SA"/>
    </w:rPr>
  </w:style>
  <w:style w:type="paragraph" w:customStyle="1" w:styleId="EYBulletedList2">
    <w:name w:val="EY Bulleted List 2"/>
    <w:rsid w:val="00D613E2"/>
    <w:pPr>
      <w:numPr>
        <w:ilvl w:val="1"/>
        <w:numId w:val="22"/>
      </w:numPr>
    </w:pPr>
    <w:rPr>
      <w:rFonts w:ascii="EYInterstate Light" w:hAnsi="EYInterstate Light"/>
      <w:kern w:val="12"/>
      <w:sz w:val="20"/>
      <w:szCs w:val="24"/>
      <w:lang w:bidi="ar-SA"/>
    </w:rPr>
  </w:style>
  <w:style w:type="paragraph" w:customStyle="1" w:styleId="EYBulletedList3">
    <w:name w:val="EY Bulleted List 3"/>
    <w:rsid w:val="00D613E2"/>
    <w:pPr>
      <w:numPr>
        <w:ilvl w:val="2"/>
        <w:numId w:val="22"/>
      </w:numPr>
    </w:pPr>
    <w:rPr>
      <w:rFonts w:ascii="EYInterstate Light" w:hAnsi="EYInterstate Light"/>
      <w:kern w:val="12"/>
      <w:sz w:val="20"/>
      <w:szCs w:val="24"/>
      <w:lang w:bidi="ar-SA"/>
    </w:rPr>
  </w:style>
  <w:style w:type="paragraph" w:customStyle="1" w:styleId="EYNumber">
    <w:name w:val="EY Number"/>
    <w:basedOn w:val="Normal"/>
    <w:rsid w:val="00D613E2"/>
    <w:pPr>
      <w:numPr>
        <w:numId w:val="21"/>
      </w:numPr>
    </w:pPr>
    <w:rPr>
      <w:rFonts w:ascii="EYInterstate Light" w:hAnsi="EYInterstate Light"/>
      <w:kern w:val="12"/>
      <w:sz w:val="20"/>
      <w:szCs w:val="24"/>
      <w:lang w:bidi="ar-SA"/>
    </w:rPr>
  </w:style>
  <w:style w:type="paragraph" w:customStyle="1" w:styleId="EYLetter">
    <w:name w:val="EY Letter"/>
    <w:basedOn w:val="EYNumber"/>
    <w:rsid w:val="00D613E2"/>
    <w:pPr>
      <w:numPr>
        <w:ilvl w:val="1"/>
      </w:numPr>
    </w:pPr>
  </w:style>
  <w:style w:type="paragraph" w:customStyle="1" w:styleId="EYRoman">
    <w:name w:val="EY Roman"/>
    <w:basedOn w:val="EYNumber"/>
    <w:rsid w:val="00D613E2"/>
    <w:pPr>
      <w:numPr>
        <w:ilvl w:val="2"/>
      </w:numPr>
    </w:pPr>
  </w:style>
  <w:style w:type="paragraph" w:customStyle="1" w:styleId="EYBodytextwithparaspace">
    <w:name w:val="EY Body text (with para space)"/>
    <w:basedOn w:val="Normal"/>
    <w:link w:val="EYBodytextwithparaspaceChar"/>
    <w:qFormat/>
    <w:rsid w:val="00D613E2"/>
    <w:pPr>
      <w:numPr>
        <w:ilvl w:val="4"/>
        <w:numId w:val="23"/>
      </w:numPr>
      <w:spacing w:after="240"/>
    </w:pPr>
    <w:rPr>
      <w:rFonts w:ascii="EYInterstate Light" w:hAnsi="EYInterstate Light"/>
      <w:kern w:val="12"/>
      <w:sz w:val="20"/>
      <w:szCs w:val="24"/>
      <w:lang w:bidi="ar-SA"/>
    </w:rPr>
  </w:style>
  <w:style w:type="character" w:customStyle="1" w:styleId="EYBodytextwithparaspaceChar">
    <w:name w:val="EY Body text (with para space) Char"/>
    <w:basedOn w:val="DefaultParagraphFont"/>
    <w:link w:val="EYBodytextwithparaspace"/>
    <w:rsid w:val="00D613E2"/>
    <w:rPr>
      <w:rFonts w:ascii="EYInterstate Light" w:eastAsia="Times New Roman" w:hAnsi="EYInterstate Light" w:cs="Times New Roman"/>
      <w:kern w:val="12"/>
      <w:sz w:val="20"/>
      <w:szCs w:val="24"/>
      <w:lang w:bidi="ar-SA"/>
    </w:rPr>
  </w:style>
  <w:style w:type="paragraph" w:customStyle="1" w:styleId="EYTablebullet1">
    <w:name w:val="EY Table bullet 1"/>
    <w:basedOn w:val="Normal"/>
    <w:link w:val="EYTablebullet1Char"/>
    <w:rsid w:val="00D613E2"/>
    <w:pPr>
      <w:numPr>
        <w:numId w:val="24"/>
      </w:numPr>
      <w:spacing w:before="20" w:after="20"/>
    </w:pPr>
    <w:rPr>
      <w:rFonts w:ascii="EYInterstate Light" w:hAnsi="EYInterstate Light"/>
      <w:sz w:val="16"/>
      <w:szCs w:val="24"/>
      <w:lang w:bidi="ar-SA"/>
    </w:rPr>
  </w:style>
  <w:style w:type="paragraph" w:customStyle="1" w:styleId="EYTablebullet2">
    <w:name w:val="EY Table bullet 2"/>
    <w:basedOn w:val="EYTablebullet1"/>
    <w:rsid w:val="00D613E2"/>
    <w:pPr>
      <w:numPr>
        <w:ilvl w:val="1"/>
      </w:numPr>
      <w:tabs>
        <w:tab w:val="clear" w:pos="568"/>
        <w:tab w:val="num" w:pos="643"/>
      </w:tabs>
      <w:ind w:left="643" w:hanging="360"/>
    </w:pPr>
  </w:style>
  <w:style w:type="character" w:customStyle="1" w:styleId="EYTablebullet1Char">
    <w:name w:val="EY Table bullet 1 Char"/>
    <w:basedOn w:val="DefaultParagraphFont"/>
    <w:link w:val="EYTablebullet1"/>
    <w:rsid w:val="00D613E2"/>
    <w:rPr>
      <w:rFonts w:ascii="EYInterstate Light" w:eastAsia="Times New Roman" w:hAnsi="EYInterstate Light" w:cs="Times New Roman"/>
      <w:sz w:val="16"/>
      <w:szCs w:val="24"/>
      <w:lang w:bidi="ar-SA"/>
    </w:rPr>
  </w:style>
  <w:style w:type="paragraph" w:customStyle="1" w:styleId="EYTableText">
    <w:name w:val="EY Table Text"/>
    <w:basedOn w:val="Normal"/>
    <w:rsid w:val="00C1355B"/>
    <w:pPr>
      <w:spacing w:before="20" w:after="20"/>
      <w:ind w:firstLine="0"/>
    </w:pPr>
    <w:rPr>
      <w:rFonts w:ascii="EYInterstate Light" w:hAnsi="EYInterstate Light"/>
      <w:sz w:val="16"/>
      <w:szCs w:val="24"/>
      <w:lang w:bidi="ar-SA"/>
    </w:rPr>
  </w:style>
  <w:style w:type="paragraph" w:customStyle="1" w:styleId="EYTableHeading">
    <w:name w:val="EY Table Heading"/>
    <w:basedOn w:val="EYTableText"/>
    <w:rsid w:val="00C1355B"/>
    <w:pPr>
      <w:spacing w:before="60" w:after="60"/>
    </w:pPr>
    <w:rPr>
      <w:rFonts w:ascii="EYInterstate Regular" w:hAnsi="EYInterstate Regular"/>
      <w:color w:val="808080"/>
    </w:rPr>
  </w:style>
  <w:style w:type="paragraph" w:customStyle="1" w:styleId="body">
    <w:name w:val="body"/>
    <w:basedOn w:val="Normal"/>
    <w:next w:val="Normal"/>
    <w:uiPriority w:val="99"/>
    <w:rsid w:val="002620A0"/>
    <w:pPr>
      <w:widowControl w:val="0"/>
      <w:suppressAutoHyphens/>
      <w:autoSpaceDE w:val="0"/>
      <w:autoSpaceDN w:val="0"/>
      <w:adjustRightInd w:val="0"/>
      <w:spacing w:after="113" w:line="240" w:lineRule="atLeast"/>
      <w:ind w:firstLine="0"/>
      <w:textAlignment w:val="center"/>
    </w:pPr>
    <w:rPr>
      <w:rFonts w:ascii="ArialMT" w:hAnsi="ArialMT" w:cs="ArialMT"/>
      <w:color w:val="000000"/>
      <w:spacing w:val="-2"/>
      <w:sz w:val="20"/>
      <w:szCs w:val="20"/>
      <w:lang w:val="en-GB" w:bidi="ar-SA"/>
    </w:rPr>
  </w:style>
  <w:style w:type="paragraph" w:customStyle="1" w:styleId="Para0">
    <w:name w:val="Para 0"/>
    <w:basedOn w:val="Normal"/>
    <w:link w:val="Para0Char"/>
    <w:qFormat/>
    <w:rsid w:val="00B85B3B"/>
    <w:pPr>
      <w:spacing w:after="220" w:line="300" w:lineRule="auto"/>
      <w:ind w:firstLine="0"/>
      <w:jc w:val="both"/>
    </w:pPr>
    <w:rPr>
      <w:rFonts w:ascii="Arial" w:hAnsi="Arial"/>
      <w:color w:val="000000"/>
      <w:sz w:val="20"/>
      <w:szCs w:val="20"/>
      <w:lang w:val="en-GB" w:bidi="ar-SA"/>
    </w:rPr>
  </w:style>
  <w:style w:type="character" w:customStyle="1" w:styleId="Para0Char">
    <w:name w:val="Para 0 Char"/>
    <w:basedOn w:val="DefaultParagraphFont"/>
    <w:link w:val="Para0"/>
    <w:locked/>
    <w:rsid w:val="00B85B3B"/>
    <w:rPr>
      <w:rFonts w:ascii="Arial" w:eastAsia="Times New Roman" w:hAnsi="Arial" w:cs="Times New Roman"/>
      <w:color w:val="000000"/>
      <w:sz w:val="20"/>
      <w:szCs w:val="20"/>
      <w:lang w:val="en-GB" w:bidi="ar-SA"/>
    </w:rPr>
  </w:style>
  <w:style w:type="paragraph" w:styleId="NormalWeb">
    <w:name w:val="Normal (Web)"/>
    <w:basedOn w:val="Normal"/>
    <w:uiPriority w:val="99"/>
    <w:semiHidden/>
    <w:unhideWhenUsed/>
    <w:rsid w:val="005944F5"/>
    <w:pPr>
      <w:spacing w:before="100" w:beforeAutospacing="1" w:after="100" w:afterAutospacing="1"/>
      <w:ind w:firstLine="0"/>
    </w:pPr>
    <w:rPr>
      <w:rFonts w:ascii="Times New Roman" w:hAnsi="Times New Roman"/>
      <w:sz w:val="24"/>
      <w:szCs w:val="24"/>
      <w:lang w:val="en-AU" w:eastAsia="en-AU" w:bidi="ar-SA"/>
    </w:rPr>
  </w:style>
  <w:style w:type="character" w:styleId="HTMLAcronym">
    <w:name w:val="HTML Acronym"/>
    <w:basedOn w:val="DefaultParagraphFont"/>
    <w:uiPriority w:val="99"/>
    <w:semiHidden/>
    <w:unhideWhenUsed/>
    <w:rsid w:val="00FA1B84"/>
  </w:style>
  <w:style w:type="character" w:styleId="FollowedHyperlink">
    <w:name w:val="FollowedHyperlink"/>
    <w:basedOn w:val="DefaultParagraphFont"/>
    <w:uiPriority w:val="99"/>
    <w:semiHidden/>
    <w:unhideWhenUsed/>
    <w:rsid w:val="007570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7454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public.affairs@environment.gov.au" TargetMode="External"/><Relationship Id="rId3" Type="http://schemas.openxmlformats.org/officeDocument/2006/relationships/customXml" Target="../customXml/item3.xml"/><Relationship Id="rId21" Type="http://schemas.openxmlformats.org/officeDocument/2006/relationships/hyperlink" Target="http://www.environment.gov.au/resource/commonwealth-environmental-water-annual-use-options-planning-approach"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www.environment.gov.au/node/19004"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environment.gov.au/node/19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CC323501D49839438A620F9AEB6AE46A" ma:contentTypeVersion="23" ma:contentTypeDescription="SPIRE Document" ma:contentTypeScope="" ma:versionID="d3ebdae91029ae193b0c99e4ad7d5883">
  <xsd:schema xmlns:xsd="http://www.w3.org/2001/XMLSchema" xmlns:xs="http://www.w3.org/2001/XMLSchema" xmlns:p="http://schemas.microsoft.com/office/2006/metadata/properties" xmlns:ns2="5af92df4-ae3d-4772-abff-92e7cba13994" targetNamespace="http://schemas.microsoft.com/office/2006/metadata/properties" ma:root="true" ma:fieldsID="c2beb88a0ffaa365aa800a1486f25af4"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0">
      <xsd:simpleType>
        <xsd:restriction base="dms:Note">
          <xsd:maxLength value="255"/>
        </xsd:restriction>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EA73B-04D8-45B5-BC0B-87E627F1C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5af92df4-ae3d-4772-abff-92e7cba13994"/>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4C06FA82-D33B-493E-BE33-E14D9E7E8827}">
  <ds:schemaRefs>
    <ds:schemaRef ds:uri="http://schemas.microsoft.com/office/2006/metadata/customXsn"/>
  </ds:schemaRefs>
</ds:datastoreItem>
</file>

<file path=customXml/itemProps5.xml><?xml version="1.0" encoding="utf-8"?>
<ds:datastoreItem xmlns:ds="http://schemas.openxmlformats.org/officeDocument/2006/customXml" ds:itemID="{D37E6DB2-B8D6-4609-8244-8DA5AAD9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5892</Words>
  <Characters>33589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Trading Framework</vt:lpstr>
    </vt:vector>
  </TitlesOfParts>
  <Company>DEWHA</Company>
  <LinksUpToDate>false</LinksUpToDate>
  <CharactersWithSpaces>39403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Trading Framework</dc:title>
  <dc:subject>COMMONWEALTH ENVIRONMENTAL WATER TRADING FRAMEWORK</dc:subject>
  <dc:creator>A14072</dc:creator>
  <cp:lastModifiedBy>Rebecca Durack</cp:lastModifiedBy>
  <cp:revision>3</cp:revision>
  <cp:lastPrinted>2014-01-16T22:44:00Z</cp:lastPrinted>
  <dcterms:created xsi:type="dcterms:W3CDTF">2014-01-17T07:02:00Z</dcterms:created>
  <dcterms:modified xsi:type="dcterms:W3CDTF">2014-01-17T08:17:00Z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AssignedOrgUnitLevel1">
    <vt:lpwstr>Policy &amp; Portfolio Management Branch</vt:lpwstr>
  </property>
  <property fmtid="{D5CDD505-2E9C-101B-9397-08002B2CF9AE}" pid="4" name="AssignedOrgUnitLevel2">
    <vt:lpwstr/>
  </property>
  <property fmtid="{D5CDD505-2E9C-101B-9397-08002B2CF9AE}" pid="5" name="AssignedOrgUnitLevel3">
    <vt:lpwstr/>
  </property>
  <property fmtid="{D5CDD505-2E9C-101B-9397-08002B2CF9AE}" pid="6" name="AssignedTo">
    <vt:lpwstr>COSTELLO, Steve</vt:lpwstr>
  </property>
  <property fmtid="{D5CDD505-2E9C-101B-9397-08002B2CF9AE}" pid="7" name="AssociatedGroups">
    <vt:lpwstr>Commonwealth Environmental Water Office (CEWO)</vt:lpwstr>
  </property>
  <property fmtid="{D5CDD505-2E9C-101B-9397-08002B2CF9AE}" pid="8" name="Caveat">
    <vt:lpwstr/>
  </property>
  <property fmtid="{D5CDD505-2E9C-101B-9397-08002B2CF9AE}" pid="9" name="ClearanceActualDate">
    <vt:lpwstr>17 December 2013</vt:lpwstr>
  </property>
  <property fmtid="{D5CDD505-2E9C-101B-9397-08002B2CF9AE}" pid="10" name="ClearanceDueDate">
    <vt:lpwstr/>
  </property>
  <property fmtid="{D5CDD505-2E9C-101B-9397-08002B2CF9AE}" pid="11" name="ContentTypeId">
    <vt:lpwstr>0x010100DB29C2AB6EB75541991FB3E24043BFB600CC323501D49839438A620F9AEB6AE46A</vt:lpwstr>
  </property>
  <property fmtid="{D5CDD505-2E9C-101B-9397-08002B2CF9AE}" pid="12" name="CoordinatingGroup">
    <vt:lpwstr>Commonwealth Environmental Water Office (CEWO)</vt:lpwstr>
  </property>
  <property fmtid="{D5CDD505-2E9C-101B-9397-08002B2CF9AE}" pid="13" name="CurrentUser">
    <vt:lpwstr>COSTELLO, Steve</vt:lpwstr>
  </property>
  <property fmtid="{D5CDD505-2E9C-101B-9397-08002B2CF9AE}" pid="14" name="DLM">
    <vt:lpwstr/>
  </property>
  <property fmtid="{D5CDD505-2E9C-101B-9397-08002B2CF9AE}" pid="15" name="Electorates">
    <vt:lpwstr> </vt:lpwstr>
  </property>
  <property fmtid="{D5CDD505-2E9C-101B-9397-08002B2CF9AE}" pid="16" name="FileNumber">
    <vt:lpwstr/>
  </property>
  <property fmtid="{D5CDD505-2E9C-101B-9397-08002B2CF9AE}" pid="17" name="GroupResponsible">
    <vt:lpwstr>Commonwealth Environmental Water Office (CEWO)</vt:lpwstr>
  </property>
  <property fmtid="{D5CDD505-2E9C-101B-9397-08002B2CF9AE}" pid="18" name="HandlingProtocol">
    <vt:lpwstr>Standard</vt:lpwstr>
  </property>
  <property fmtid="{D5CDD505-2E9C-101B-9397-08002B2CF9AE}" pid="19" name="IconOverlay">
    <vt:lpwstr/>
  </property>
  <property fmtid="{D5CDD505-2E9C-101B-9397-08002B2CF9AE}" pid="20" name="IncludeInPackage">
    <vt:bool>true</vt:bool>
  </property>
  <property fmtid="{D5CDD505-2E9C-101B-9397-08002B2CF9AE}" pid="21" name="InformationMinister">
    <vt:lpwstr> </vt:lpwstr>
  </property>
  <property fmtid="{D5CDD505-2E9C-101B-9397-08002B2CF9AE}" pid="22" name="IsPrimary">
    <vt:bool>true</vt:bool>
  </property>
  <property fmtid="{D5CDD505-2E9C-101B-9397-08002B2CF9AE}" pid="23" name="IterationNumber">
    <vt:lpwstr>1</vt:lpwstr>
  </property>
  <property fmtid="{D5CDD505-2E9C-101B-9397-08002B2CF9AE}" pid="24" name="LastActionedBy">
    <vt:lpwstr>COSTELLO, Steve</vt:lpwstr>
  </property>
  <property fmtid="{D5CDD505-2E9C-101B-9397-08002B2CF9AE}" pid="25" name="LastActionedDate">
    <vt:lpwstr>17 December 2013</vt:lpwstr>
  </property>
  <property fmtid="{D5CDD505-2E9C-101B-9397-08002B2CF9AE}" pid="26" name="LastClearingOfficer">
    <vt:lpwstr>Steve Costello</vt:lpwstr>
  </property>
  <property fmtid="{D5CDD505-2E9C-101B-9397-08002B2CF9AE}" pid="27" name="Ministers">
    <vt:lpwstr>Simon Birmingham</vt:lpwstr>
  </property>
  <property fmtid="{D5CDD505-2E9C-101B-9397-08002B2CF9AE}" pid="28" name="MOActionActualDate">
    <vt:lpwstr/>
  </property>
  <property fmtid="{D5CDD505-2E9C-101B-9397-08002B2CF9AE}" pid="29" name="MOActionDueDate">
    <vt:lpwstr/>
  </property>
  <property fmtid="{D5CDD505-2E9C-101B-9397-08002B2CF9AE}" pid="30" name="NominatedUser">
    <vt:lpwstr>COSTELLO, Steve</vt:lpwstr>
  </property>
  <property fmtid="{D5CDD505-2E9C-101B-9397-08002B2CF9AE}" pid="31" name="PdrAcl">
    <vt:lpwstr>Commonwealth Environmental Water Office (CEWO), Commonwealth Environmental Water Office (CEWO), Parliamentary Coordinator MS, DLO, Ministerial Staff - Coalition 2013, Business Administrator, Limited Distribution MS</vt:lpwstr>
  </property>
  <property fmtid="{D5CDD505-2E9C-101B-9397-08002B2CF9AE}" pid="32" name="PdrId">
    <vt:lpwstr>MS13-001234</vt:lpwstr>
  </property>
  <property fmtid="{D5CDD505-2E9C-101B-9397-08002B2CF9AE}" pid="33" name="Principal">
    <vt:lpwstr>Parliamentary Secretary</vt:lpwstr>
  </property>
  <property fmtid="{D5CDD505-2E9C-101B-9397-08002B2CF9AE}" pid="34" name="ProcessingInstructions">
    <vt:lpwstr>For revisions as discussed</vt:lpwstr>
  </property>
  <property fmtid="{D5CDD505-2E9C-101B-9397-08002B2CF9AE}" pid="35" name="QualityCheckActualDate">
    <vt:lpwstr/>
  </property>
  <property fmtid="{D5CDD505-2E9C-101B-9397-08002B2CF9AE}" pid="36" name="QualityCheckDueDate">
    <vt:lpwstr/>
  </property>
  <property fmtid="{D5CDD505-2E9C-101B-9397-08002B2CF9AE}" pid="37" name="ReasonForRedrafting">
    <vt:lpwstr/>
  </property>
  <property fmtid="{D5CDD505-2E9C-101B-9397-08002B2CF9AE}" pid="38" name="ReasonForSensitivity">
    <vt:lpwstr/>
  </property>
  <property fmtid="{D5CDD505-2E9C-101B-9397-08002B2CF9AE}" pid="39" name="ReasonForSuspension">
    <vt:lpwstr/>
  </property>
  <property fmtid="{D5CDD505-2E9C-101B-9397-08002B2CF9AE}" pid="40" name="RecordPoint_ActiveItemListId">
    <vt:lpwstr>{20095ca7-a7eb-4d23-983d-5611084bd5c9}</vt:lpwstr>
  </property>
  <property fmtid="{D5CDD505-2E9C-101B-9397-08002B2CF9AE}" pid="41" name="RecordPoint_ActiveItemMoved">
    <vt:lpwstr/>
  </property>
  <property fmtid="{D5CDD505-2E9C-101B-9397-08002B2CF9AE}" pid="42" name="RecordPoint_ActiveItemSiteId">
    <vt:lpwstr>{a8f0bc9d-7c61-4d87-8154-4194e40ae5d3}</vt:lpwstr>
  </property>
  <property fmtid="{D5CDD505-2E9C-101B-9397-08002B2CF9AE}" pid="43" name="RecordPoint_ActiveItemUniqueId">
    <vt:lpwstr>{28a13aca-28e3-42b1-bb01-d47af2a3d4bf}</vt:lpwstr>
  </property>
  <property fmtid="{D5CDD505-2E9C-101B-9397-08002B2CF9AE}" pid="44" name="RecordPoint_ActiveItemWebId">
    <vt:lpwstr>{9a0bcb63-6c24-4e19-9c67-3258acb71df9}</vt:lpwstr>
  </property>
  <property fmtid="{D5CDD505-2E9C-101B-9397-08002B2CF9AE}" pid="45" name="RecordPoint_RecordFormat">
    <vt:lpwstr/>
  </property>
  <property fmtid="{D5CDD505-2E9C-101B-9397-08002B2CF9AE}" pid="46" name="RecordPoint_SubmissionCompleted">
    <vt:lpwstr>2014-01-17T11:43:50.8304095+11:00</vt:lpwstr>
  </property>
  <property fmtid="{D5CDD505-2E9C-101B-9397-08002B2CF9AE}" pid="47" name="RecordPoint_SubmissionDate">
    <vt:lpwstr/>
  </property>
  <property fmtid="{D5CDD505-2E9C-101B-9397-08002B2CF9AE}" pid="48" name="RecordPoint_WorkflowType">
    <vt:lpwstr>ActiveSubmitStub</vt:lpwstr>
  </property>
  <property fmtid="{D5CDD505-2E9C-101B-9397-08002B2CF9AE}" pid="49" name="RegisteredDate">
    <vt:lpwstr>16 December 2013</vt:lpwstr>
  </property>
  <property fmtid="{D5CDD505-2E9C-101B-9397-08002B2CF9AE}" pid="50" name="RequestedAction">
    <vt:lpwstr>For Information</vt:lpwstr>
  </property>
  <property fmtid="{D5CDD505-2E9C-101B-9397-08002B2CF9AE}" pid="51" name="ResponsibleMinister">
    <vt:lpwstr>Simon Birmingham</vt:lpwstr>
  </property>
  <property fmtid="{D5CDD505-2E9C-101B-9397-08002B2CF9AE}" pid="52" name="RetainAsNationalArchive">
    <vt:lpwstr>True</vt:lpwstr>
  </property>
  <property fmtid="{D5CDD505-2E9C-101B-9397-08002B2CF9AE}" pid="53" name="SecurityClassification">
    <vt:lpwstr>UNCLASSIFIED</vt:lpwstr>
  </property>
  <property fmtid="{D5CDD505-2E9C-101B-9397-08002B2CF9AE}" pid="54" name="SignedDate">
    <vt:lpwstr/>
  </property>
  <property fmtid="{D5CDD505-2E9C-101B-9397-08002B2CF9AE}" pid="55" name="Status">
    <vt:lpwstr>Editing</vt:lpwstr>
  </property>
  <property fmtid="{D5CDD505-2E9C-101B-9397-08002B2CF9AE}" pid="56" name="Subject">
    <vt:lpwstr>COMMONWEALTH ENVIRONMENTAL WATER TRADING FRAMEWORK</vt:lpwstr>
  </property>
  <property fmtid="{D5CDD505-2E9C-101B-9397-08002B2CF9AE}" pid="57" name="Superseded">
    <vt:lpwstr>True</vt:lpwstr>
  </property>
  <property fmtid="{D5CDD505-2E9C-101B-9397-08002B2CF9AE}" pid="58" name="TaskSeqNo">
    <vt:lpwstr>0</vt:lpwstr>
  </property>
  <property fmtid="{D5CDD505-2E9C-101B-9397-08002B2CF9AE}" pid="59" name="TemplateSubType">
    <vt:lpwstr>Comprehensive With Letter</vt:lpwstr>
  </property>
  <property fmtid="{D5CDD505-2E9C-101B-9397-08002B2CF9AE}" pid="60" name="TemplateType">
    <vt:lpwstr>Information Submission</vt:lpwstr>
  </property>
  <property fmtid="{D5CDD505-2E9C-101B-9397-08002B2CF9AE}" pid="61" name="TrustedGroups">
    <vt:lpwstr>Parliamentary Coordinator MS, DLO, Ministerial Staff - Coalition 2013, Business Administrator, Limited Distribution MS</vt:lpwstr>
  </property>
  <property fmtid="{D5CDD505-2E9C-101B-9397-08002B2CF9AE}" pid="62" name="Zone">
    <vt:lpwstr>Edit</vt:lpwstr>
  </property>
</Properties>
</file>