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6DA" w:rsidRDefault="00DB3178" w:rsidP="0011122D">
      <w:pPr>
        <w:pStyle w:val="Spacer"/>
        <w:tabs>
          <w:tab w:val="left" w:pos="5160"/>
        </w:tabs>
      </w:pPr>
      <w:r>
        <w:rPr>
          <w:noProof/>
          <w:lang w:eastAsia="en-AU"/>
        </w:rPr>
        <w:pict>
          <v:shapetype id="_x0000_t202" coordsize="21600,21600" o:spt="202" path="m,l,21600r21600,l21600,xe">
            <v:stroke joinstyle="miter"/>
            <v:path gradientshapeok="t" o:connecttype="rect"/>
          </v:shapetype>
          <v:shape id="_x0000_s1027" type="#_x0000_t202" style="position:absolute;margin-left:370.7pt;margin-top:147.75pt;width:172.3pt;height:440.35pt;z-index:251673600;mso-position-horizontal-relative:text;mso-position-vertical-relative:text" fillcolor="#d4edff [340]" stroked="f" strokecolor="#007883 [2405]" strokeweight="2.5pt">
            <v:shadow color="#868686"/>
            <v:textbox style="mso-next-textbox:#_x0000_s1027">
              <w:txbxContent>
                <w:p w:rsidR="0020479D" w:rsidRDefault="0020479D" w:rsidP="003F7618">
                  <w:pPr>
                    <w:pStyle w:val="Heading2"/>
                    <w:numPr>
                      <w:ilvl w:val="0"/>
                      <w:numId w:val="0"/>
                    </w:numPr>
                  </w:pPr>
                  <w:r w:rsidRPr="00FC4C2F">
                    <w:t xml:space="preserve">Trade </w:t>
                  </w:r>
                  <w:r>
                    <w:t>in the Goulburn a win-win</w:t>
                  </w:r>
                </w:p>
                <w:p w:rsidR="0020479D" w:rsidRDefault="0020479D" w:rsidP="00263011">
                  <w:r>
                    <w:t xml:space="preserve">We recently completed our </w:t>
                  </w:r>
                  <w:r w:rsidRPr="008D21E5">
                    <w:t xml:space="preserve">first trade of Commonwealth environmental water in the southern Murray Darling Basin </w:t>
                  </w:r>
                  <w:r>
                    <w:t xml:space="preserve">with some </w:t>
                  </w:r>
                  <w:r w:rsidRPr="008D21E5">
                    <w:t xml:space="preserve">22.864 </w:t>
                  </w:r>
                  <w:proofErr w:type="spellStart"/>
                  <w:r w:rsidRPr="008D21E5">
                    <w:t>gigalitres</w:t>
                  </w:r>
                  <w:proofErr w:type="spellEnd"/>
                  <w:r w:rsidRPr="008D21E5">
                    <w:t xml:space="preserve"> of Commonwealth environmental water </w:t>
                  </w:r>
                  <w:r w:rsidRPr="00923961">
                    <w:t>allocations sold for a return of $6.458 million</w:t>
                  </w:r>
                  <w:r>
                    <w:t>.</w:t>
                  </w:r>
                </w:p>
                <w:p w:rsidR="0020479D" w:rsidRDefault="0020479D" w:rsidP="00263011"/>
                <w:p w:rsidR="0020479D" w:rsidRDefault="0020479D" w:rsidP="003F7618">
                  <w:r w:rsidRPr="00F46407">
                    <w:rPr>
                      <w:noProof/>
                      <w:lang w:eastAsia="en-AU"/>
                    </w:rPr>
                    <w:drawing>
                      <wp:inline distT="0" distB="0" distL="0" distR="0">
                        <wp:extent cx="2005330" cy="1418154"/>
                        <wp:effectExtent l="19050" t="0" r="0" b="0"/>
                        <wp:docPr id="9" name="Picture 3" descr="Infographic - Trad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 Trade.jpg"/>
                                <pic:cNvPicPr/>
                              </pic:nvPicPr>
                              <pic:blipFill>
                                <a:blip r:embed="rId8"/>
                                <a:stretch>
                                  <a:fillRect/>
                                </a:stretch>
                              </pic:blipFill>
                              <pic:spPr>
                                <a:xfrm>
                                  <a:off x="0" y="0"/>
                                  <a:ext cx="2005330" cy="1418154"/>
                                </a:xfrm>
                                <a:prstGeom prst="rect">
                                  <a:avLst/>
                                </a:prstGeom>
                              </pic:spPr>
                            </pic:pic>
                          </a:graphicData>
                        </a:graphic>
                      </wp:inline>
                    </w:drawing>
                  </w:r>
                </w:p>
                <w:p w:rsidR="0020479D" w:rsidRDefault="0020479D" w:rsidP="00263011"/>
                <w:p w:rsidR="0020479D" w:rsidRDefault="0020479D" w:rsidP="00263011">
                  <w:r>
                    <w:t>We are currently undertaking a formal evaluation of our processes, in consultation with trade participants.</w:t>
                  </w:r>
                  <w:r w:rsidRPr="00DB0C59">
                    <w:t xml:space="preserve"> </w:t>
                  </w:r>
                  <w:r>
                    <w:t xml:space="preserve">However, we do know that this </w:t>
                  </w:r>
                  <w:r w:rsidRPr="00DB0C59">
                    <w:t xml:space="preserve">trade </w:t>
                  </w:r>
                  <w:r>
                    <w:t xml:space="preserve">did not </w:t>
                  </w:r>
                  <w:r w:rsidRPr="00DB0C59">
                    <w:t xml:space="preserve">negatively </w:t>
                  </w:r>
                  <w:r>
                    <w:t xml:space="preserve">affect </w:t>
                  </w:r>
                  <w:r w:rsidRPr="00DB0C59">
                    <w:t xml:space="preserve">other sellers </w:t>
                  </w:r>
                  <w:r>
                    <w:t xml:space="preserve">in the market – there was </w:t>
                  </w:r>
                  <w:r w:rsidRPr="00DB0C59">
                    <w:t>more than 320 Victorian Goulburn and Murray regulated river allocation</w:t>
                  </w:r>
                  <w:r>
                    <w:t>s</w:t>
                  </w:r>
                  <w:r w:rsidRPr="00DB0C59">
                    <w:t xml:space="preserve"> trade</w:t>
                  </w:r>
                  <w:r>
                    <w:t>d</w:t>
                  </w:r>
                  <w:r w:rsidRPr="00DB0C59">
                    <w:t xml:space="preserve"> (totalling 26 GL at a VWAP of $281 per ML)</w:t>
                  </w:r>
                  <w:r>
                    <w:t xml:space="preserve"> at the same time as the </w:t>
                  </w:r>
                  <w:r w:rsidRPr="00923961">
                    <w:t>Commonwealth</w:t>
                  </w:r>
                  <w:r>
                    <w:t xml:space="preserve"> trade</w:t>
                  </w:r>
                  <w:r w:rsidRPr="00DB0C59">
                    <w:t>.</w:t>
                  </w:r>
                </w:p>
                <w:p w:rsidR="0020479D" w:rsidRDefault="0020479D" w:rsidP="00263011"/>
                <w:p w:rsidR="0020479D" w:rsidRPr="00324CD5" w:rsidRDefault="0020479D" w:rsidP="003F7618">
                  <w:r>
                    <w:t xml:space="preserve">Refer to current trade actions on </w:t>
                  </w:r>
                  <w:hyperlink r:id="rId9" w:history="1">
                    <w:r w:rsidRPr="00163200">
                      <w:rPr>
                        <w:rStyle w:val="Hyperlink"/>
                      </w:rPr>
                      <w:t>our web site</w:t>
                    </w:r>
                  </w:hyperlink>
                  <w:r>
                    <w:t xml:space="preserve"> </w:t>
                  </w:r>
                </w:p>
              </w:txbxContent>
            </v:textbox>
            <w10:wrap type="square"/>
          </v:shape>
        </w:pict>
      </w:r>
      <w:r w:rsidR="00E04356">
        <w:rPr>
          <w:noProof/>
          <w:lang w:eastAsia="en-AU"/>
        </w:rPr>
        <w:drawing>
          <wp:anchor distT="0" distB="0" distL="114300" distR="114300" simplePos="0" relativeHeight="251681792" behindDoc="0" locked="0" layoutInCell="1" allowOverlap="1">
            <wp:simplePos x="0" y="0"/>
            <wp:positionH relativeFrom="column">
              <wp:posOffset>3784438</wp:posOffset>
            </wp:positionH>
            <wp:positionV relativeFrom="paragraph">
              <wp:posOffset>707597</wp:posOffset>
            </wp:positionV>
            <wp:extent cx="974631" cy="1010093"/>
            <wp:effectExtent l="19050" t="0" r="0" b="0"/>
            <wp:wrapNone/>
            <wp:docPr id="49" name="Picture 9" descr="C:\Users\a16374\AppData\Local\Microsoft\Windows\Temporary Internet Files\Content.IE5\CXWK4OFR\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6374\AppData\Local\Microsoft\Windows\Temporary Internet Files\Content.IE5\CXWK4OFR\sheikh-tuhin-Christmas[1].png"/>
                    <pic:cNvPicPr>
                      <a:picLocks noChangeAspect="1" noChangeArrowheads="1"/>
                    </pic:cNvPicPr>
                  </pic:nvPicPr>
                  <pic:blipFill>
                    <a:blip r:embed="rId10" cstate="print"/>
                    <a:srcRect/>
                    <a:stretch>
                      <a:fillRect/>
                    </a:stretch>
                  </pic:blipFill>
                  <pic:spPr bwMode="auto">
                    <a:xfrm>
                      <a:off x="0" y="0"/>
                      <a:ext cx="974631" cy="1010093"/>
                    </a:xfrm>
                    <a:prstGeom prst="rect">
                      <a:avLst/>
                    </a:prstGeom>
                    <a:noFill/>
                    <a:ln w="9525">
                      <a:noFill/>
                      <a:miter lim="800000"/>
                      <a:headEnd/>
                      <a:tailEnd/>
                    </a:ln>
                  </pic:spPr>
                </pic:pic>
              </a:graphicData>
            </a:graphic>
          </wp:anchor>
        </w:drawing>
      </w:r>
      <w:r w:rsidR="0011122D">
        <w:tab/>
      </w:r>
    </w:p>
    <w:p w:rsidR="009460DC" w:rsidRDefault="002A7161" w:rsidP="009460DC">
      <w:pPr>
        <w:pStyle w:val="Heading1"/>
        <w:framePr w:wrap="notBeside"/>
      </w:pPr>
      <w:r>
        <w:t>Commonwealth Environmental Water Holder Update</w:t>
      </w:r>
    </w:p>
    <w:p w:rsidR="009460DC" w:rsidRPr="009460DC" w:rsidRDefault="002A7161" w:rsidP="009460DC">
      <w:pPr>
        <w:pStyle w:val="HeadingTwo"/>
        <w:framePr w:wrap="notBeside"/>
      </w:pPr>
      <w:r>
        <w:t>Summer 2015-2016</w:t>
      </w:r>
    </w:p>
    <w:p w:rsidR="003F7618" w:rsidRPr="0011122D" w:rsidRDefault="00FA53C4" w:rsidP="0011122D">
      <w:pPr>
        <w:pStyle w:val="Introduction"/>
      </w:pPr>
      <w:r w:rsidRPr="0011122D">
        <w:t xml:space="preserve">As the year draws to a close I would like to take </w:t>
      </w:r>
      <w:r w:rsidR="003F7618" w:rsidRPr="0011122D">
        <w:t>this</w:t>
      </w:r>
      <w:r w:rsidR="00263011">
        <w:rPr>
          <w:noProof/>
          <w:lang w:eastAsia="en-AU"/>
        </w:rPr>
        <w:t xml:space="preserve"> </w:t>
      </w:r>
      <w:r w:rsidR="003F7618" w:rsidRPr="0011122D">
        <w:t xml:space="preserve">opportunity to wish you and your family a happy festive season, and encourage everyone to stay </w:t>
      </w:r>
      <w:r w:rsidR="003A7E9C">
        <w:t>safe around our waterways this s</w:t>
      </w:r>
      <w:r w:rsidR="003F7618" w:rsidRPr="0011122D">
        <w:t xml:space="preserve">ummer. </w:t>
      </w:r>
    </w:p>
    <w:p w:rsidR="00324CD5" w:rsidRPr="0011122D" w:rsidRDefault="00324CD5" w:rsidP="0011122D">
      <w:r w:rsidRPr="0011122D">
        <w:t xml:space="preserve">On behalf of our State and local delivery partners I would particularly like to thank all the community representatives that have put time and effort into working with us throughout the year. Your knowledge of the system is proving essential to our efforts to protect and </w:t>
      </w:r>
      <w:proofErr w:type="gramStart"/>
      <w:r w:rsidRPr="0011122D">
        <w:t>restore</w:t>
      </w:r>
      <w:proofErr w:type="gramEnd"/>
      <w:r w:rsidRPr="0011122D">
        <w:t xml:space="preserve"> the rivers floodplains and wetlands particularly in those parts of the system experiencing dry and drought conditions. </w:t>
      </w:r>
    </w:p>
    <w:p w:rsidR="00324CD5" w:rsidRPr="0011122D" w:rsidRDefault="00324CD5" w:rsidP="0011122D">
      <w:r w:rsidRPr="0011122D">
        <w:t xml:space="preserve">My decisions about how best to manage the Commonwealth's water portfolio are influenced by a number of factors including availability (allocations) the best available science and the insights and experiences of people living and working in the Basin, who know their rivers intimately. </w:t>
      </w:r>
    </w:p>
    <w:p w:rsidR="00324CD5" w:rsidRPr="0011122D" w:rsidRDefault="00324CD5" w:rsidP="0011122D">
      <w:r w:rsidRPr="0011122D">
        <w:t>Like other water users, environmental water h</w:t>
      </w:r>
      <w:r w:rsidR="00656050">
        <w:t>olders and managers must adjust</w:t>
      </w:r>
      <w:r w:rsidRPr="0011122D">
        <w:t xml:space="preserve"> </w:t>
      </w:r>
      <w:r w:rsidR="00656050">
        <w:t xml:space="preserve">their </w:t>
      </w:r>
      <w:r w:rsidRPr="0011122D">
        <w:t xml:space="preserve">water management strategies </w:t>
      </w:r>
      <w:r w:rsidR="00656050">
        <w:t xml:space="preserve">during </w:t>
      </w:r>
      <w:r w:rsidRPr="0011122D">
        <w:t>dry times when allocations are reduced because there is less water available in the system.</w:t>
      </w:r>
    </w:p>
    <w:p w:rsidR="00324CD5" w:rsidRPr="0011122D" w:rsidRDefault="00324CD5" w:rsidP="0011122D">
      <w:r w:rsidRPr="0011122D">
        <w:t>This year, we have made the most of the Commonwealth’s holdings by using a combination of water delivery, carryover, and a small trade of allocations, to maximise environmental outcomes.</w:t>
      </w:r>
    </w:p>
    <w:p w:rsidR="00324CD5" w:rsidRPr="0011122D" w:rsidRDefault="00324CD5" w:rsidP="0011122D">
      <w:r w:rsidRPr="0011122D">
        <w:t>The dry outlook for the 2015-16 water year meant it was prudent that we used carry over to ensure environmental needs could continue to be met and we have continued to make water available to supplement environmental flows generated by our States and local delivery partners. Meanwhile,</w:t>
      </w:r>
      <w:r w:rsidR="00656050">
        <w:t xml:space="preserve"> the</w:t>
      </w:r>
      <w:r w:rsidRPr="0011122D">
        <w:t xml:space="preserve"> trade of temporary water has also proven to be a useful management tool. </w:t>
      </w:r>
    </w:p>
    <w:p w:rsidR="00372ED7" w:rsidRDefault="00324CD5">
      <w:r w:rsidRPr="0011122D">
        <w:t>To date we have traded temporary water twice in the North and more recently in the South.  These trades have been a win-win for the environment and for those irrigators who took the opportunity to buy much needed water for their farms. Sale proceeds are set aside to allow us to maximise environmental outcomes within the Murray-Darling Basin.</w:t>
      </w:r>
      <w:r w:rsidR="00372ED7">
        <w:br w:type="page"/>
      </w:r>
    </w:p>
    <w:p w:rsidR="00E04356" w:rsidRDefault="00DB3178" w:rsidP="00A45343">
      <w:r>
        <w:rPr>
          <w:noProof/>
          <w:lang w:eastAsia="en-AU"/>
        </w:rPr>
        <w:lastRenderedPageBreak/>
        <w:pict>
          <v:shape id="_x0000_s1026" type="#_x0000_t202" style="position:absolute;margin-left:369.4pt;margin-top:8.05pt;width:172.5pt;height:570.6pt;z-index:251671552;mso-position-horizontal-relative:text;mso-position-vertical-relative:text" fillcolor="#d4edff [340]" stroked="f" strokecolor="#00a1af [3205]" strokeweight="2.5pt">
            <v:shadow color="#868686"/>
            <v:textbox style="mso-next-textbox:#_x0000_s1026">
              <w:txbxContent>
                <w:p w:rsidR="0020479D" w:rsidRDefault="0020479D" w:rsidP="00AC6581">
                  <w:pPr>
                    <w:pStyle w:val="Heading2"/>
                  </w:pPr>
                  <w:r>
                    <w:t xml:space="preserve">See </w:t>
                  </w:r>
                  <w:hyperlink r:id="rId11" w:history="1">
                    <w:r w:rsidRPr="00CB44A3">
                      <w:rPr>
                        <w:rStyle w:val="Hyperlink"/>
                      </w:rPr>
                      <w:t>our webpage</w:t>
                    </w:r>
                  </w:hyperlink>
                  <w:r>
                    <w:t xml:space="preserve"> for the latest information about </w:t>
                  </w:r>
                  <w:r w:rsidRPr="00040C2C">
                    <w:t>Commonwealth environmental water in Basin storages</w:t>
                  </w:r>
                  <w:r>
                    <w:t>, a</w:t>
                  </w:r>
                  <w:r w:rsidRPr="00040C2C">
                    <w:t>llocations and carryover</w:t>
                  </w:r>
                  <w:r>
                    <w:t xml:space="preserve"> and w</w:t>
                  </w:r>
                  <w:r w:rsidRPr="00040C2C">
                    <w:t>ater use</w:t>
                  </w:r>
                </w:p>
                <w:p w:rsidR="0020479D" w:rsidRPr="00925680" w:rsidRDefault="0020479D" w:rsidP="00925680"/>
                <w:p w:rsidR="0020479D" w:rsidRPr="00040C2C" w:rsidRDefault="0020479D" w:rsidP="00AC6581">
                  <w:r>
                    <w:rPr>
                      <w:noProof/>
                      <w:lang w:eastAsia="en-AU"/>
                    </w:rPr>
                    <w:drawing>
                      <wp:inline distT="0" distB="0" distL="0" distR="0">
                        <wp:extent cx="2007870" cy="1419860"/>
                        <wp:effectExtent l="19050" t="0" r="0" b="0"/>
                        <wp:docPr id="4" name="Picture 3" descr="Allocations and Carryover in Basin catchments (as at 30 Novemb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ions and Carryover in Basin catchments (as at 30 November 2015).jpg"/>
                                <pic:cNvPicPr/>
                              </pic:nvPicPr>
                              <pic:blipFill>
                                <a:blip r:embed="rId12"/>
                                <a:stretch>
                                  <a:fillRect/>
                                </a:stretch>
                              </pic:blipFill>
                              <pic:spPr>
                                <a:xfrm>
                                  <a:off x="0" y="0"/>
                                  <a:ext cx="2007870" cy="1419860"/>
                                </a:xfrm>
                                <a:prstGeom prst="rect">
                                  <a:avLst/>
                                </a:prstGeom>
                              </pic:spPr>
                            </pic:pic>
                          </a:graphicData>
                        </a:graphic>
                      </wp:inline>
                    </w:drawing>
                  </w:r>
                </w:p>
                <w:p w:rsidR="0020479D" w:rsidRDefault="0020479D" w:rsidP="00A45343">
                  <w:pPr>
                    <w:pStyle w:val="Heading2"/>
                  </w:pPr>
                </w:p>
                <w:p w:rsidR="0020479D" w:rsidRPr="00B85077" w:rsidRDefault="0020479D" w:rsidP="00A45343">
                  <w:pPr>
                    <w:pStyle w:val="Heading2"/>
                  </w:pPr>
                  <w:r w:rsidRPr="00B85077">
                    <w:t>Community consultation</w:t>
                  </w:r>
                </w:p>
                <w:p w:rsidR="0020479D" w:rsidRDefault="0020479D" w:rsidP="00FB27EC">
                  <w:r w:rsidRPr="00B85077">
                    <w:t xml:space="preserve">I welcome opportunities to discuss the Commonwealth’s involvement in environmental water and its management. If you are interested and/or potentially affected by our planning and decision-making, you can get in touch with me or members of </w:t>
                  </w:r>
                  <w:hyperlink r:id="rId13" w:history="1">
                    <w:r w:rsidRPr="00FB27EC">
                      <w:rPr>
                        <w:rStyle w:val="Hyperlink"/>
                      </w:rPr>
                      <w:t>my team</w:t>
                    </w:r>
                  </w:hyperlink>
                  <w:r w:rsidRPr="00B85077">
                    <w:t>.</w:t>
                  </w:r>
                  <w:r>
                    <w:t xml:space="preserve"> </w:t>
                  </w:r>
                </w:p>
                <w:p w:rsidR="0020479D" w:rsidRDefault="0020479D" w:rsidP="00A45343"/>
                <w:p w:rsidR="0020479D" w:rsidRDefault="0020479D" w:rsidP="00FB27EC">
                  <w:pPr>
                    <w:jc w:val="both"/>
                  </w:pPr>
                  <w:r>
                    <w:rPr>
                      <w:noProof/>
                      <w:lang w:eastAsia="en-AU"/>
                    </w:rPr>
                    <w:drawing>
                      <wp:inline distT="0" distB="0" distL="0" distR="0">
                        <wp:extent cx="2036845" cy="1527997"/>
                        <wp:effectExtent l="0" t="247650" r="0" b="243653"/>
                        <wp:docPr id="14" name="Picture 13" descr="20150826_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6_155531.jpg"/>
                                <pic:cNvPicPr/>
                              </pic:nvPicPr>
                              <pic:blipFill>
                                <a:blip r:embed="rId14"/>
                                <a:stretch>
                                  <a:fillRect/>
                                </a:stretch>
                              </pic:blipFill>
                              <pic:spPr>
                                <a:xfrm rot="5400000">
                                  <a:off x="0" y="0"/>
                                  <a:ext cx="2045259" cy="1534309"/>
                                </a:xfrm>
                                <a:prstGeom prst="rect">
                                  <a:avLst/>
                                </a:prstGeom>
                              </pic:spPr>
                            </pic:pic>
                          </a:graphicData>
                        </a:graphic>
                      </wp:inline>
                    </w:drawing>
                  </w:r>
                </w:p>
                <w:p w:rsidR="0020479D" w:rsidRDefault="0020479D" w:rsidP="00FB27EC">
                  <w:pPr>
                    <w:pStyle w:val="ImageCreditsHeading"/>
                  </w:pPr>
                  <w:r>
                    <w:t xml:space="preserve">Commonwealth Environmental Water Holder David </w:t>
                  </w:r>
                  <w:proofErr w:type="spellStart"/>
                  <w:r>
                    <w:t>Papps</w:t>
                  </w:r>
                  <w:proofErr w:type="spellEnd"/>
                  <w:r>
                    <w:t xml:space="preserve"> with </w:t>
                  </w:r>
                  <w:proofErr w:type="spellStart"/>
                  <w:r>
                    <w:t>Mutti</w:t>
                  </w:r>
                  <w:proofErr w:type="spellEnd"/>
                  <w:r>
                    <w:t xml:space="preserve"> </w:t>
                  </w:r>
                  <w:proofErr w:type="spellStart"/>
                  <w:r>
                    <w:t>Mutti</w:t>
                  </w:r>
                  <w:proofErr w:type="spellEnd"/>
                  <w:r>
                    <w:t xml:space="preserve"> Elder Barry Pearce, August 2015</w:t>
                  </w:r>
                </w:p>
                <w:p w:rsidR="0020479D" w:rsidRDefault="0020479D" w:rsidP="00A45343"/>
              </w:txbxContent>
            </v:textbox>
            <w10:wrap type="square"/>
          </v:shape>
        </w:pict>
      </w:r>
    </w:p>
    <w:p w:rsidR="00A45343" w:rsidRDefault="00A45343" w:rsidP="00A45343">
      <w:r>
        <w:t>Scientists working on our Long Term Intervention Monitoring Projects are continuing to report evidence of fish, vegetation and wildlife outcomes in key locations that have received environmental water. I</w:t>
      </w:r>
      <w:r w:rsidRPr="00FA4484">
        <w:t xml:space="preserve">nformation about our Long Term Intervention </w:t>
      </w:r>
      <w:r>
        <w:t>Monitoring Project is available</w:t>
      </w:r>
      <w:r w:rsidR="00CB44A3">
        <w:t xml:space="preserve"> at</w:t>
      </w:r>
      <w:r>
        <w:t xml:space="preserve"> </w:t>
      </w:r>
      <w:hyperlink r:id="rId15" w:history="1">
        <w:r w:rsidRPr="00416FC1">
          <w:rPr>
            <w:rStyle w:val="Hyperlink"/>
          </w:rPr>
          <w:t>www.environment.gov.au/water/cewo/monitoring/ltim-project</w:t>
        </w:r>
      </w:hyperlink>
    </w:p>
    <w:p w:rsidR="00B80FBF" w:rsidRDefault="00A45343" w:rsidP="00C17AFE">
      <w:pPr>
        <w:pStyle w:val="Heading2"/>
      </w:pPr>
      <w:r>
        <w:rPr>
          <w:noProof/>
          <w:lang w:eastAsia="en-AU"/>
        </w:rPr>
        <w:drawing>
          <wp:anchor distT="0" distB="0" distL="114300" distR="114300" simplePos="0" relativeHeight="251674624" behindDoc="0" locked="0" layoutInCell="1" allowOverlap="1">
            <wp:simplePos x="0" y="0"/>
            <wp:positionH relativeFrom="column">
              <wp:posOffset>3097530</wp:posOffset>
            </wp:positionH>
            <wp:positionV relativeFrom="paragraph">
              <wp:posOffset>238760</wp:posOffset>
            </wp:positionV>
            <wp:extent cx="1476375" cy="1314450"/>
            <wp:effectExtent l="19050" t="0" r="9525" b="0"/>
            <wp:wrapSquare wrapText="bothSides"/>
            <wp:docPr id="30" name="Picture 28" descr="White Necked Heron display _Gibson's Way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Necked Heron display _Gibson's Way_edited.JPG"/>
                    <pic:cNvPicPr/>
                  </pic:nvPicPr>
                  <pic:blipFill>
                    <a:blip r:embed="rId16" cstate="print"/>
                    <a:stretch>
                      <a:fillRect/>
                    </a:stretch>
                  </pic:blipFill>
                  <pic:spPr>
                    <a:xfrm>
                      <a:off x="0" y="0"/>
                      <a:ext cx="1476375" cy="1314450"/>
                    </a:xfrm>
                    <a:prstGeom prst="rect">
                      <a:avLst/>
                    </a:prstGeom>
                  </pic:spPr>
                </pic:pic>
              </a:graphicData>
            </a:graphic>
          </wp:anchor>
        </w:drawing>
      </w:r>
      <w:r w:rsidR="00B0419C">
        <w:t>Macquarie Marshes</w:t>
      </w:r>
      <w:r w:rsidR="006E7854">
        <w:t xml:space="preserve"> Bird Count </w:t>
      </w:r>
    </w:p>
    <w:p w:rsidR="006E7854" w:rsidRDefault="006E7854" w:rsidP="00B80FBF">
      <w:r>
        <w:t xml:space="preserve">The Macquarie Marshes is </w:t>
      </w:r>
      <w:r w:rsidR="009F64D6">
        <w:t xml:space="preserve">an </w:t>
      </w:r>
      <w:r>
        <w:t xml:space="preserve">internationally recognised bird </w:t>
      </w:r>
      <w:r w:rsidR="009F64D6">
        <w:t>habitat</w:t>
      </w:r>
      <w:r w:rsidR="0020479D">
        <w:t xml:space="preserve"> that has received environmental water from </w:t>
      </w:r>
      <w:r w:rsidR="00672F04">
        <w:t xml:space="preserve">both </w:t>
      </w:r>
      <w:r w:rsidR="0020479D">
        <w:t>New South Wales and the Commonwealth during 2015</w:t>
      </w:r>
      <w:r>
        <w:t xml:space="preserve">. Every year </w:t>
      </w:r>
      <w:r w:rsidRPr="00645CB6">
        <w:t>wetland ecologists, environmental water managers and local Rangers from NSW Nati</w:t>
      </w:r>
      <w:r>
        <w:t>onal Parks and Wildlife Service converge to take part in a bird count</w:t>
      </w:r>
      <w:r w:rsidR="00E40F38" w:rsidRPr="00E40F38">
        <w:t xml:space="preserve"> </w:t>
      </w:r>
      <w:r w:rsidR="00E40F38">
        <w:t xml:space="preserve">at the </w:t>
      </w:r>
      <w:proofErr w:type="spellStart"/>
      <w:r w:rsidR="00E40F38">
        <w:t>Ramsar</w:t>
      </w:r>
      <w:proofErr w:type="spellEnd"/>
      <w:r w:rsidR="00E40F38">
        <w:t xml:space="preserve"> site</w:t>
      </w:r>
      <w:r>
        <w:t xml:space="preserve">. This year, there were over </w:t>
      </w:r>
      <w:r w:rsidRPr="00645CB6">
        <w:t xml:space="preserve">130 </w:t>
      </w:r>
      <w:r>
        <w:t xml:space="preserve">different </w:t>
      </w:r>
      <w:r w:rsidRPr="00645CB6">
        <w:t xml:space="preserve">woodland and wetland bird species </w:t>
      </w:r>
      <w:r>
        <w:t xml:space="preserve">identified including </w:t>
      </w:r>
      <w:r w:rsidRPr="00645CB6">
        <w:t xml:space="preserve">several threatened species </w:t>
      </w:r>
      <w:r>
        <w:t>such as Australasian bitterns and the Painted Snipe.</w:t>
      </w:r>
    </w:p>
    <w:p w:rsidR="00B0419C" w:rsidRPr="00A45343" w:rsidRDefault="00DB3178" w:rsidP="00A32ED2">
      <w:pPr>
        <w:pStyle w:val="ImageCreditsBody"/>
        <w:rPr>
          <w:sz w:val="18"/>
        </w:rPr>
      </w:pPr>
      <w:r w:rsidRPr="00DB3178">
        <w:rPr>
          <w:noProof/>
          <w:lang w:eastAsia="en-AU"/>
        </w:rPr>
        <w:pict>
          <v:shape id="_x0000_s1035" type="#_x0000_t202" style="position:absolute;margin-left:240.65pt;margin-top:7.1pt;width:120.9pt;height:25.8pt;z-index:251689984" stroked="f">
            <v:textbox>
              <w:txbxContent>
                <w:p w:rsidR="0020479D" w:rsidRDefault="0020479D" w:rsidP="009F64D6">
                  <w:pPr>
                    <w:pStyle w:val="ImageCreditsBody"/>
                  </w:pPr>
                  <w:r>
                    <w:t>White Necked Herron, Macquarie Marshes October 2015</w:t>
                  </w:r>
                </w:p>
              </w:txbxContent>
            </v:textbox>
            <w10:wrap type="square"/>
          </v:shape>
        </w:pict>
      </w:r>
    </w:p>
    <w:p w:rsidR="006E7854" w:rsidRDefault="00B0419C" w:rsidP="006E7854">
      <w:pPr>
        <w:pStyle w:val="Heading2"/>
      </w:pPr>
      <w:r>
        <w:t xml:space="preserve">Fish </w:t>
      </w:r>
      <w:r w:rsidR="006E7854">
        <w:t>Monitoring in the Lachlan</w:t>
      </w:r>
      <w:r>
        <w:t xml:space="preserve"> and Edward-Wakool</w:t>
      </w:r>
    </w:p>
    <w:p w:rsidR="00A32ED2" w:rsidRDefault="00B0419C" w:rsidP="00A32ED2">
      <w:pPr>
        <w:rPr>
          <w:noProof/>
          <w:lang w:eastAsia="en-AU"/>
        </w:rPr>
      </w:pPr>
      <w:r>
        <w:rPr>
          <w:noProof/>
          <w:lang w:eastAsia="en-AU"/>
        </w:rPr>
        <w:drawing>
          <wp:anchor distT="0" distB="0" distL="114300" distR="114300" simplePos="0" relativeHeight="251676672" behindDoc="0" locked="0" layoutInCell="1" allowOverlap="1">
            <wp:simplePos x="0" y="0"/>
            <wp:positionH relativeFrom="column">
              <wp:posOffset>3100705</wp:posOffset>
            </wp:positionH>
            <wp:positionV relativeFrom="paragraph">
              <wp:posOffset>22225</wp:posOffset>
            </wp:positionV>
            <wp:extent cx="1430020" cy="1198880"/>
            <wp:effectExtent l="19050" t="0" r="0" b="0"/>
            <wp:wrapSquare wrapText="bothSides"/>
            <wp:docPr id="32" name="Picture 2" descr="C:\Users\a16374\AppData\Local\Microsoft\Windows\Temporary Internet Files\Content.Word\Brewster Weirpool perchlets Nov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6374\AppData\Local\Microsoft\Windows\Temporary Internet Files\Content.Word\Brewster Weirpool perchlets Nov 15 (2).jpg"/>
                    <pic:cNvPicPr>
                      <a:picLocks noChangeAspect="1" noChangeArrowheads="1"/>
                    </pic:cNvPicPr>
                  </pic:nvPicPr>
                  <pic:blipFill>
                    <a:blip r:embed="rId17" cstate="print"/>
                    <a:srcRect/>
                    <a:stretch>
                      <a:fillRect/>
                    </a:stretch>
                  </pic:blipFill>
                  <pic:spPr bwMode="auto">
                    <a:xfrm>
                      <a:off x="0" y="0"/>
                      <a:ext cx="1430020" cy="1198880"/>
                    </a:xfrm>
                    <a:prstGeom prst="rect">
                      <a:avLst/>
                    </a:prstGeom>
                    <a:noFill/>
                    <a:ln w="9525">
                      <a:noFill/>
                      <a:miter lim="800000"/>
                      <a:headEnd/>
                      <a:tailEnd/>
                    </a:ln>
                  </pic:spPr>
                </pic:pic>
              </a:graphicData>
            </a:graphic>
          </wp:anchor>
        </w:drawing>
      </w:r>
      <w:r w:rsidR="006E7854">
        <w:t xml:space="preserve">Recent monitoring of larval fish in the Lachlan system has shown evidence of successful spawning of the Flat-headed </w:t>
      </w:r>
      <w:proofErr w:type="spellStart"/>
      <w:r w:rsidR="006E7854">
        <w:t>Gudgeon</w:t>
      </w:r>
      <w:proofErr w:type="spellEnd"/>
      <w:r w:rsidR="006E7854">
        <w:t xml:space="preserve"> and the nationally vulnerable Murray cod. </w:t>
      </w:r>
      <w:r w:rsidR="00A32ED2">
        <w:t xml:space="preserve">Monitoring also confirmed that a population of </w:t>
      </w:r>
      <w:r w:rsidR="00A32ED2" w:rsidRPr="0028797E">
        <w:t xml:space="preserve">endangered </w:t>
      </w:r>
      <w:r w:rsidR="00A32ED2">
        <w:t xml:space="preserve">Olive </w:t>
      </w:r>
      <w:proofErr w:type="spellStart"/>
      <w:r w:rsidR="00A32ED2" w:rsidRPr="00730906">
        <w:t>Perchlet</w:t>
      </w:r>
      <w:proofErr w:type="spellEnd"/>
      <w:r w:rsidR="00A32ED2">
        <w:t xml:space="preserve"> continues to call the central Lachlan home.</w:t>
      </w:r>
      <w:r w:rsidR="00A32ED2" w:rsidRPr="00A32ED2">
        <w:rPr>
          <w:noProof/>
          <w:lang w:eastAsia="en-AU"/>
        </w:rPr>
        <w:t xml:space="preserve"> </w:t>
      </w:r>
    </w:p>
    <w:p w:rsidR="00163200" w:rsidRDefault="00DB3178" w:rsidP="00A32ED2">
      <w:r>
        <w:rPr>
          <w:noProof/>
          <w:lang w:eastAsia="en-AU"/>
        </w:rPr>
        <w:pict>
          <v:shape id="_x0000_s1029" type="#_x0000_t202" style="position:absolute;margin-left:240.65pt;margin-top:25.25pt;width:120.9pt;height:25.8pt;z-index:251684864" stroked="f">
            <v:textbox>
              <w:txbxContent>
                <w:p w:rsidR="0020479D" w:rsidRDefault="0020479D" w:rsidP="00B0419C">
                  <w:pPr>
                    <w:pStyle w:val="ImageCreditsBody"/>
                  </w:pPr>
                  <w:r>
                    <w:t xml:space="preserve">Olive </w:t>
                  </w:r>
                  <w:proofErr w:type="spellStart"/>
                  <w:r>
                    <w:t>Perchlet</w:t>
                  </w:r>
                  <w:proofErr w:type="spellEnd"/>
                  <w:r>
                    <w:t>, Lachlan River, November 2015</w:t>
                  </w:r>
                </w:p>
              </w:txbxContent>
            </v:textbox>
            <w10:wrap type="square"/>
          </v:shape>
        </w:pict>
      </w:r>
      <w:r w:rsidR="00B0419C">
        <w:t>In the Edward-Wakool, m</w:t>
      </w:r>
      <w:r w:rsidR="00B0419C" w:rsidRPr="003D143D">
        <w:t xml:space="preserve">onitoring </w:t>
      </w:r>
      <w:r w:rsidR="00B0419C">
        <w:t xml:space="preserve">again found River Blackfish in the upper Wakool River indicating this area may contain important habitat for these fish. </w:t>
      </w:r>
      <w:r w:rsidR="00B0419C" w:rsidRPr="00B6124C">
        <w:t>Obscure Galaxias</w:t>
      </w:r>
      <w:r w:rsidR="00B0419C">
        <w:t xml:space="preserve"> were also found again in </w:t>
      </w:r>
      <w:proofErr w:type="spellStart"/>
      <w:r w:rsidR="00B0419C">
        <w:t>Yallakool</w:t>
      </w:r>
      <w:proofErr w:type="spellEnd"/>
      <w:r w:rsidR="00B0419C">
        <w:t xml:space="preserve"> Creek (</w:t>
      </w:r>
      <w:r w:rsidR="00B0419C" w:rsidRPr="007030F6">
        <w:t xml:space="preserve">first </w:t>
      </w:r>
      <w:r w:rsidR="00B0419C">
        <w:t>found in the area in 2014) suggesting a population may be established in the creek</w:t>
      </w:r>
    </w:p>
    <w:p w:rsidR="00E40F38" w:rsidRDefault="00C17AFE" w:rsidP="00A45343">
      <w:pPr>
        <w:pStyle w:val="Heading2"/>
        <w:numPr>
          <w:ilvl w:val="0"/>
          <w:numId w:val="0"/>
        </w:numPr>
      </w:pPr>
      <w:r>
        <w:rPr>
          <w:noProof/>
          <w:lang w:eastAsia="en-AU"/>
        </w:rPr>
        <w:drawing>
          <wp:anchor distT="0" distB="0" distL="114300" distR="114300" simplePos="0" relativeHeight="251677696" behindDoc="0" locked="0" layoutInCell="1" allowOverlap="1">
            <wp:simplePos x="0" y="0"/>
            <wp:positionH relativeFrom="column">
              <wp:posOffset>3097530</wp:posOffset>
            </wp:positionH>
            <wp:positionV relativeFrom="paragraph">
              <wp:posOffset>227965</wp:posOffset>
            </wp:positionV>
            <wp:extent cx="1476375" cy="1209675"/>
            <wp:effectExtent l="19050" t="0" r="9525" b="0"/>
            <wp:wrapSquare wrapText="bothSides"/>
            <wp:docPr id="34" name="Picture 32" descr="bellfrog tad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frog tadpoles.JPG"/>
                    <pic:cNvPicPr/>
                  </pic:nvPicPr>
                  <pic:blipFill>
                    <a:blip r:embed="rId18" cstate="print"/>
                    <a:stretch>
                      <a:fillRect/>
                    </a:stretch>
                  </pic:blipFill>
                  <pic:spPr>
                    <a:xfrm>
                      <a:off x="0" y="0"/>
                      <a:ext cx="1476375" cy="1209675"/>
                    </a:xfrm>
                    <a:prstGeom prst="rect">
                      <a:avLst/>
                    </a:prstGeom>
                  </pic:spPr>
                </pic:pic>
              </a:graphicData>
            </a:graphic>
          </wp:anchor>
        </w:drawing>
      </w:r>
      <w:r w:rsidR="00E40F38">
        <w:t>T</w:t>
      </w:r>
      <w:r w:rsidR="00B0419C">
        <w:t>he first record of S</w:t>
      </w:r>
      <w:r w:rsidR="00E40F38" w:rsidRPr="00516196">
        <w:t xml:space="preserve">outhern bell frog in the mid-Murrumbidgee wetlands </w:t>
      </w:r>
    </w:p>
    <w:p w:rsidR="00E40F38" w:rsidRDefault="006E7854" w:rsidP="00B80FBF">
      <w:r>
        <w:t xml:space="preserve">Monitoring in the lower Murrumbidgee </w:t>
      </w:r>
      <w:r w:rsidR="00E40F38">
        <w:t>has found</w:t>
      </w:r>
      <w:r>
        <w:t xml:space="preserve"> evidence that the nationally endangered Southern Bell Frog </w:t>
      </w:r>
      <w:r w:rsidR="00CB44A3">
        <w:t xml:space="preserve">is </w:t>
      </w:r>
      <w:r>
        <w:t xml:space="preserve">successfully </w:t>
      </w:r>
      <w:r w:rsidR="00CB44A3">
        <w:t>breeding.</w:t>
      </w:r>
      <w:r w:rsidR="00CB44A3" w:rsidRPr="00516196">
        <w:t xml:space="preserve"> This</w:t>
      </w:r>
      <w:r w:rsidRPr="00516196">
        <w:t xml:space="preserve"> year adult, tadpole and juvenile frogs have been detected through the Long Term Intervention Monitoring Program across the </w:t>
      </w:r>
      <w:proofErr w:type="spellStart"/>
      <w:r w:rsidRPr="00516196">
        <w:t>Lowbidgee</w:t>
      </w:r>
      <w:proofErr w:type="spellEnd"/>
      <w:r w:rsidRPr="00516196">
        <w:t xml:space="preserve">, mid-Murrumbidgee and Yanco Creek system wetlands following Commonwealth environmental watering. </w:t>
      </w:r>
    </w:p>
    <w:p w:rsidR="006E7854" w:rsidRDefault="00DB3178" w:rsidP="00B80FBF">
      <w:r>
        <w:rPr>
          <w:noProof/>
          <w:lang w:eastAsia="en-AU"/>
        </w:rPr>
        <w:pict>
          <v:shape id="_x0000_s1030" type="#_x0000_t202" style="position:absolute;margin-left:245.15pt;margin-top:11.8pt;width:117.5pt;height:25.8pt;z-index:251685888" stroked="f">
            <v:textbox>
              <w:txbxContent>
                <w:p w:rsidR="0020479D" w:rsidRDefault="0020479D" w:rsidP="00B0419C">
                  <w:pPr>
                    <w:pStyle w:val="ImageCreditsBody"/>
                  </w:pPr>
                  <w:r>
                    <w:t>Southern bell frog tadpoles, Murrumbidgee, November 2015</w:t>
                  </w:r>
                </w:p>
              </w:txbxContent>
            </v:textbox>
            <w10:wrap type="square"/>
          </v:shape>
        </w:pict>
      </w:r>
      <w:r w:rsidR="006E7854">
        <w:t>.</w:t>
      </w:r>
    </w:p>
    <w:p w:rsidR="00372ED7" w:rsidRDefault="00372ED7">
      <w:pPr>
        <w:rPr>
          <w:rFonts w:asciiTheme="majorHAnsi" w:eastAsiaTheme="majorEastAsia" w:hAnsiTheme="majorHAnsi" w:cstheme="majorBidi"/>
          <w:b/>
          <w:bCs/>
          <w:color w:val="002B49" w:themeColor="accent1"/>
        </w:rPr>
      </w:pPr>
      <w:r>
        <w:br w:type="page"/>
      </w:r>
    </w:p>
    <w:p w:rsidR="00372ED7" w:rsidRPr="00D113A9" w:rsidRDefault="00DB3178" w:rsidP="00BE2B72">
      <w:pPr>
        <w:pStyle w:val="Heading2"/>
        <w:numPr>
          <w:ilvl w:val="0"/>
          <w:numId w:val="0"/>
        </w:numPr>
        <w:spacing w:before="240"/>
      </w:pPr>
      <w:r>
        <w:rPr>
          <w:noProof/>
          <w:lang w:eastAsia="en-AU"/>
        </w:rPr>
        <w:lastRenderedPageBreak/>
        <w:pict>
          <v:shape id="_x0000_s1028" type="#_x0000_t202" style="position:absolute;margin-left:389pt;margin-top:10.2pt;width:156.6pt;height:594.9pt;z-index:251683840;mso-position-horizontal-relative:text;mso-position-vertical-relative:text" fillcolor="#d4edff [340]" stroked="f" strokecolor="#00a1af [3205]" strokeweight="2.5pt">
            <v:shadow color="#868686"/>
            <v:textbox style="mso-next-textbox:#_x0000_s1028">
              <w:txbxContent>
                <w:p w:rsidR="0020479D" w:rsidRPr="003828C7" w:rsidRDefault="0020479D" w:rsidP="00A714B4">
                  <w:pPr>
                    <w:pStyle w:val="Heading2"/>
                    <w:rPr>
                      <w:sz w:val="16"/>
                      <w:szCs w:val="16"/>
                    </w:rPr>
                  </w:pPr>
                  <w:r w:rsidRPr="003828C7">
                    <w:rPr>
                      <w:sz w:val="16"/>
                      <w:szCs w:val="16"/>
                    </w:rPr>
                    <w:t>‘Whole of system’ watering</w:t>
                  </w:r>
                </w:p>
                <w:p w:rsidR="0020479D" w:rsidRPr="003828C7" w:rsidRDefault="0020479D" w:rsidP="00A714B4">
                  <w:pPr>
                    <w:rPr>
                      <w:sz w:val="16"/>
                      <w:szCs w:val="16"/>
                    </w:rPr>
                  </w:pPr>
                  <w:r w:rsidRPr="003828C7">
                    <w:rPr>
                      <w:sz w:val="16"/>
                      <w:szCs w:val="16"/>
                    </w:rPr>
                    <w:t xml:space="preserve">Using natural inflow patterns as a 'cue' and coordinating with water delivered by The Living Murray as well as other environmental and operational water deliveries has ensured that the majority of the flows have continued moving through the Murray system, contributing to outcomes in the Edward-Wakool River and all the way to the Lower Lakes and Coorong. </w:t>
                  </w:r>
                </w:p>
                <w:p w:rsidR="0020479D" w:rsidRPr="003828C7" w:rsidRDefault="0020479D" w:rsidP="00A714B4">
                  <w:pPr>
                    <w:rPr>
                      <w:sz w:val="16"/>
                      <w:szCs w:val="16"/>
                    </w:rPr>
                  </w:pPr>
                  <w:r w:rsidRPr="003828C7">
                    <w:rPr>
                      <w:sz w:val="16"/>
                      <w:szCs w:val="16"/>
                    </w:rPr>
                    <w:t>‘Whole of system’ watering includes:</w:t>
                  </w:r>
                </w:p>
                <w:p w:rsidR="0020479D" w:rsidRPr="003828C7" w:rsidRDefault="0020479D" w:rsidP="00A714B4">
                  <w:pPr>
                    <w:pStyle w:val="ListBullet"/>
                    <w:rPr>
                      <w:sz w:val="16"/>
                      <w:szCs w:val="16"/>
                    </w:rPr>
                  </w:pPr>
                  <w:r w:rsidRPr="003828C7">
                    <w:rPr>
                      <w:sz w:val="16"/>
                      <w:szCs w:val="16"/>
                    </w:rPr>
                    <w:t xml:space="preserve">River Murray channel from Hume Dam including Coorong, Lower Lakes and Murray Mouth </w:t>
                  </w:r>
                </w:p>
                <w:p w:rsidR="0020479D" w:rsidRPr="003828C7" w:rsidRDefault="0020479D" w:rsidP="00A714B4">
                  <w:pPr>
                    <w:pStyle w:val="ListBullet"/>
                    <w:rPr>
                      <w:sz w:val="16"/>
                      <w:szCs w:val="16"/>
                    </w:rPr>
                  </w:pPr>
                  <w:r w:rsidRPr="003828C7">
                    <w:rPr>
                      <w:sz w:val="16"/>
                      <w:szCs w:val="16"/>
                    </w:rPr>
                    <w:t xml:space="preserve">Barmah </w:t>
                  </w:r>
                  <w:proofErr w:type="spellStart"/>
                  <w:r w:rsidRPr="003828C7">
                    <w:rPr>
                      <w:sz w:val="16"/>
                      <w:szCs w:val="16"/>
                    </w:rPr>
                    <w:t>Millewa</w:t>
                  </w:r>
                  <w:proofErr w:type="spellEnd"/>
                  <w:r w:rsidRPr="003828C7">
                    <w:rPr>
                      <w:sz w:val="16"/>
                      <w:szCs w:val="16"/>
                    </w:rPr>
                    <w:t xml:space="preserve"> Forest (both VIC and NSW) primarily </w:t>
                  </w:r>
                  <w:proofErr w:type="spellStart"/>
                  <w:r w:rsidRPr="003828C7">
                    <w:rPr>
                      <w:sz w:val="16"/>
                      <w:szCs w:val="16"/>
                    </w:rPr>
                    <w:t>Millewa</w:t>
                  </w:r>
                  <w:proofErr w:type="spellEnd"/>
                  <w:r w:rsidRPr="003828C7">
                    <w:rPr>
                      <w:sz w:val="16"/>
                      <w:szCs w:val="16"/>
                    </w:rPr>
                    <w:t xml:space="preserve"> Forest near Deniliquin during late winter,  spring and into summer</w:t>
                  </w:r>
                </w:p>
                <w:p w:rsidR="0020479D" w:rsidRPr="003828C7" w:rsidRDefault="0020479D" w:rsidP="00A714B4">
                  <w:pPr>
                    <w:pStyle w:val="ListBullet"/>
                    <w:rPr>
                      <w:sz w:val="16"/>
                      <w:szCs w:val="16"/>
                    </w:rPr>
                  </w:pPr>
                  <w:r w:rsidRPr="003828C7">
                    <w:rPr>
                      <w:sz w:val="16"/>
                      <w:szCs w:val="16"/>
                    </w:rPr>
                    <w:t xml:space="preserve">Locks 2 and 5 </w:t>
                  </w:r>
                  <w:r>
                    <w:rPr>
                      <w:sz w:val="16"/>
                      <w:szCs w:val="16"/>
                    </w:rPr>
                    <w:t>weir pool raising</w:t>
                  </w:r>
                </w:p>
                <w:p w:rsidR="0020479D" w:rsidRDefault="0020479D" w:rsidP="00A714B4">
                  <w:pPr>
                    <w:pStyle w:val="ListBullet"/>
                    <w:rPr>
                      <w:sz w:val="16"/>
                      <w:szCs w:val="16"/>
                    </w:rPr>
                  </w:pPr>
                  <w:r w:rsidRPr="003828C7">
                    <w:rPr>
                      <w:sz w:val="16"/>
                      <w:szCs w:val="16"/>
                    </w:rPr>
                    <w:t xml:space="preserve">Locks 7, 8, 9 and 15 weir pool raising (wetland inundation and flows to </w:t>
                  </w:r>
                  <w:proofErr w:type="spellStart"/>
                  <w:r w:rsidRPr="003828C7">
                    <w:rPr>
                      <w:sz w:val="16"/>
                      <w:szCs w:val="16"/>
                    </w:rPr>
                    <w:t>Potterwalkagee</w:t>
                  </w:r>
                  <w:proofErr w:type="spellEnd"/>
                  <w:r w:rsidRPr="003828C7">
                    <w:rPr>
                      <w:sz w:val="16"/>
                      <w:szCs w:val="16"/>
                    </w:rPr>
                    <w:t xml:space="preserve"> Ck, Lindsay River and </w:t>
                  </w:r>
                  <w:proofErr w:type="spellStart"/>
                  <w:r w:rsidRPr="003828C7">
                    <w:rPr>
                      <w:sz w:val="16"/>
                      <w:szCs w:val="16"/>
                    </w:rPr>
                    <w:t>Mullaroo</w:t>
                  </w:r>
                  <w:proofErr w:type="spellEnd"/>
                  <w:r w:rsidRPr="003828C7">
                    <w:rPr>
                      <w:sz w:val="16"/>
                      <w:szCs w:val="16"/>
                    </w:rPr>
                    <w:t xml:space="preserve"> Ck) and lowering</w:t>
                  </w:r>
                </w:p>
                <w:p w:rsidR="0020479D" w:rsidRPr="003828C7" w:rsidRDefault="0020479D" w:rsidP="00A714B4">
                  <w:pPr>
                    <w:pStyle w:val="ListBullet"/>
                    <w:rPr>
                      <w:sz w:val="16"/>
                      <w:szCs w:val="16"/>
                    </w:rPr>
                  </w:pPr>
                  <w:r w:rsidRPr="003828C7">
                    <w:rPr>
                      <w:sz w:val="16"/>
                      <w:szCs w:val="16"/>
                    </w:rPr>
                    <w:t xml:space="preserve">Hattah Lakes, Mildura </w:t>
                  </w:r>
                </w:p>
                <w:p w:rsidR="0020479D" w:rsidRDefault="0020479D" w:rsidP="00A714B4">
                  <w:pPr>
                    <w:pStyle w:val="ListBullet"/>
                    <w:rPr>
                      <w:sz w:val="16"/>
                      <w:szCs w:val="16"/>
                    </w:rPr>
                  </w:pPr>
                  <w:r w:rsidRPr="0003477F">
                    <w:rPr>
                      <w:sz w:val="16"/>
                      <w:szCs w:val="16"/>
                    </w:rPr>
                    <w:t xml:space="preserve">Steven’s Weir lowering and permanent and ephemeral creeks and </w:t>
                  </w:r>
                  <w:proofErr w:type="spellStart"/>
                  <w:r w:rsidRPr="0003477F">
                    <w:rPr>
                      <w:sz w:val="16"/>
                      <w:szCs w:val="16"/>
                    </w:rPr>
                    <w:t>Werai</w:t>
                  </w:r>
                  <w:proofErr w:type="spellEnd"/>
                  <w:r w:rsidRPr="0003477F">
                    <w:rPr>
                      <w:sz w:val="16"/>
                      <w:szCs w:val="16"/>
                    </w:rPr>
                    <w:t xml:space="preserve"> Forest, near Deniliquin </w:t>
                  </w:r>
                </w:p>
                <w:p w:rsidR="0020479D" w:rsidRPr="0003477F" w:rsidRDefault="0020479D" w:rsidP="00A714B4">
                  <w:pPr>
                    <w:pStyle w:val="ListBullet"/>
                    <w:rPr>
                      <w:sz w:val="16"/>
                      <w:szCs w:val="16"/>
                    </w:rPr>
                  </w:pPr>
                  <w:r w:rsidRPr="0003477F">
                    <w:rPr>
                      <w:sz w:val="16"/>
                      <w:szCs w:val="16"/>
                    </w:rPr>
                    <w:t>Various wetlands of South Australia</w:t>
                  </w:r>
                </w:p>
                <w:p w:rsidR="0020479D" w:rsidRDefault="0020479D" w:rsidP="00A714B4">
                  <w:pPr>
                    <w:rPr>
                      <w:sz w:val="16"/>
                      <w:szCs w:val="16"/>
                    </w:rPr>
                  </w:pPr>
                </w:p>
                <w:p w:rsidR="0020479D" w:rsidRPr="00C959A3" w:rsidRDefault="0020479D" w:rsidP="00A714B4">
                  <w:pPr>
                    <w:rPr>
                      <w:sz w:val="16"/>
                      <w:szCs w:val="16"/>
                    </w:rPr>
                  </w:pPr>
                  <w:r w:rsidRPr="00C959A3">
                    <w:rPr>
                      <w:sz w:val="16"/>
                      <w:szCs w:val="16"/>
                    </w:rPr>
                    <w:t xml:space="preserve">Meanwhile, Commonwealth water continues to be made available for use in Victorian catchments (Gunbower Creek and </w:t>
                  </w:r>
                  <w:proofErr w:type="spellStart"/>
                  <w:r w:rsidRPr="00C959A3">
                    <w:rPr>
                      <w:sz w:val="16"/>
                      <w:szCs w:val="16"/>
                    </w:rPr>
                    <w:t>Mallee</w:t>
                  </w:r>
                  <w:proofErr w:type="spellEnd"/>
                  <w:r w:rsidRPr="00C959A3">
                    <w:rPr>
                      <w:sz w:val="16"/>
                      <w:szCs w:val="16"/>
                    </w:rPr>
                    <w:t xml:space="preserve"> Wetlands, and Goulburn, Campaspe, Loddon and Ovens Rivers) throughout the year in collaboration with the Victorian Environmental Water Holder and local catchment management authorities. </w:t>
                  </w:r>
                </w:p>
                <w:p w:rsidR="0020479D" w:rsidRDefault="0020479D" w:rsidP="00A714B4"/>
              </w:txbxContent>
            </v:textbox>
            <w10:wrap type="square"/>
          </v:shape>
        </w:pict>
      </w:r>
      <w:r w:rsidR="00202B8D">
        <w:t>O</w:t>
      </w:r>
      <w:r w:rsidR="006E7854">
        <w:t xml:space="preserve">utcomes from the multi-site watering event along the River Murray </w:t>
      </w:r>
    </w:p>
    <w:p w:rsidR="006E7854" w:rsidRDefault="0022640C" w:rsidP="00B80FBF">
      <w:r>
        <w:rPr>
          <w:noProof/>
          <w:lang w:eastAsia="en-AU"/>
        </w:rPr>
        <w:drawing>
          <wp:anchor distT="0" distB="0" distL="114300" distR="114300" simplePos="0" relativeHeight="251679744" behindDoc="0" locked="0" layoutInCell="1" allowOverlap="1">
            <wp:simplePos x="0" y="0"/>
            <wp:positionH relativeFrom="column">
              <wp:posOffset>2841625</wp:posOffset>
            </wp:positionH>
            <wp:positionV relativeFrom="paragraph">
              <wp:posOffset>37465</wp:posOffset>
            </wp:positionV>
            <wp:extent cx="1887220" cy="1345565"/>
            <wp:effectExtent l="19050" t="0" r="0" b="0"/>
            <wp:wrapSquare wrapText="bothSides"/>
            <wp:docPr id="47" name="Picture 45" descr="BITTERN BYfrankzed www.flickr.com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TERN BYfrankzed www.flickr.comphotos.jpg"/>
                    <pic:cNvPicPr/>
                  </pic:nvPicPr>
                  <pic:blipFill>
                    <a:blip r:embed="rId19" cstate="print"/>
                    <a:stretch>
                      <a:fillRect/>
                    </a:stretch>
                  </pic:blipFill>
                  <pic:spPr>
                    <a:xfrm>
                      <a:off x="0" y="0"/>
                      <a:ext cx="1887220" cy="1345565"/>
                    </a:xfrm>
                    <a:prstGeom prst="rect">
                      <a:avLst/>
                    </a:prstGeom>
                  </pic:spPr>
                </pic:pic>
              </a:graphicData>
            </a:graphic>
          </wp:anchor>
        </w:drawing>
      </w:r>
      <w:r w:rsidR="006E7854" w:rsidRPr="007B1BA2">
        <w:t xml:space="preserve">A ‘whole of system’ watering </w:t>
      </w:r>
      <w:r w:rsidR="006E7854">
        <w:t>action has</w:t>
      </w:r>
      <w:r w:rsidR="006E7854" w:rsidRPr="007B1BA2">
        <w:t xml:space="preserve"> be</w:t>
      </w:r>
      <w:r w:rsidR="006E7854">
        <w:t>en</w:t>
      </w:r>
      <w:r w:rsidR="006E7854" w:rsidRPr="007B1BA2">
        <w:t xml:space="preserve"> delivered </w:t>
      </w:r>
      <w:r w:rsidR="006E7854">
        <w:t xml:space="preserve">to the River Murray since </w:t>
      </w:r>
      <w:r w:rsidR="00C548C2">
        <w:t>June 2015</w:t>
      </w:r>
      <w:r w:rsidR="006E7854">
        <w:t xml:space="preserve">. </w:t>
      </w:r>
      <w:r w:rsidR="006E7854" w:rsidRPr="007B1BA2">
        <w:t xml:space="preserve">The Commonwealth water being </w:t>
      </w:r>
      <w:r w:rsidR="006E7854">
        <w:t xml:space="preserve">used for this event was </w:t>
      </w:r>
      <w:r w:rsidR="006E7854" w:rsidRPr="00DF6822">
        <w:t xml:space="preserve">mostly </w:t>
      </w:r>
      <w:r w:rsidR="006E7854">
        <w:t>carry</w:t>
      </w:r>
      <w:r w:rsidR="006E7854" w:rsidRPr="007B1BA2">
        <w:t xml:space="preserve"> over from 2014-15</w:t>
      </w:r>
      <w:r w:rsidR="006E7854">
        <w:t xml:space="preserve">, </w:t>
      </w:r>
      <w:r w:rsidR="006E7854" w:rsidRPr="007B1BA2">
        <w:t>as water allocations for 2015-16 in the New South Wales Murray have been low.</w:t>
      </w:r>
    </w:p>
    <w:p w:rsidR="006E7854" w:rsidRDefault="00DB3178" w:rsidP="00B80FBF">
      <w:r>
        <w:rPr>
          <w:noProof/>
          <w:lang w:eastAsia="en-AU"/>
        </w:rPr>
        <w:pict>
          <v:shape id="_x0000_s1031" type="#_x0000_t202" style="position:absolute;margin-left:216.5pt;margin-top:36.35pt;width:148.55pt;height:14.25pt;z-index:251686912" stroked="f">
            <v:textbox>
              <w:txbxContent>
                <w:p w:rsidR="0020479D" w:rsidRDefault="0020479D" w:rsidP="0022640C">
                  <w:pPr>
                    <w:pStyle w:val="ImageCreditsBody"/>
                  </w:pPr>
                  <w:r>
                    <w:t>Australasian Bittern</w:t>
                  </w:r>
                </w:p>
              </w:txbxContent>
            </v:textbox>
            <w10:wrap type="square"/>
          </v:shape>
        </w:pict>
      </w:r>
      <w:r w:rsidR="00D36CEC">
        <w:rPr>
          <w:noProof/>
          <w:lang w:eastAsia="en-AU"/>
        </w:rPr>
        <w:drawing>
          <wp:anchor distT="0" distB="0" distL="114300" distR="114300" simplePos="0" relativeHeight="251678720" behindDoc="0" locked="0" layoutInCell="1" allowOverlap="1">
            <wp:simplePos x="0" y="0"/>
            <wp:positionH relativeFrom="column">
              <wp:posOffset>2783840</wp:posOffset>
            </wp:positionH>
            <wp:positionV relativeFrom="paragraph">
              <wp:posOffset>1354455</wp:posOffset>
            </wp:positionV>
            <wp:extent cx="1863725" cy="1282700"/>
            <wp:effectExtent l="19050" t="0" r="3175" b="0"/>
            <wp:wrapSquare wrapText="bothSides"/>
            <wp:docPr id="44" name="Picture 42" descr="Arthur Rylah Institute pic golden pe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Rylah Institute pic golden perch.tif"/>
                    <pic:cNvPicPr/>
                  </pic:nvPicPr>
                  <pic:blipFill>
                    <a:blip r:embed="rId20" cstate="print"/>
                    <a:stretch>
                      <a:fillRect/>
                    </a:stretch>
                  </pic:blipFill>
                  <pic:spPr>
                    <a:xfrm>
                      <a:off x="0" y="0"/>
                      <a:ext cx="1863725" cy="1282700"/>
                    </a:xfrm>
                    <a:prstGeom prst="rect">
                      <a:avLst/>
                    </a:prstGeom>
                  </pic:spPr>
                </pic:pic>
              </a:graphicData>
            </a:graphic>
          </wp:anchor>
        </w:drawing>
      </w:r>
      <w:r w:rsidR="006E7854">
        <w:t xml:space="preserve">Some of this water was directed into the </w:t>
      </w:r>
      <w:r w:rsidR="006E7854" w:rsidRPr="007B1BA2">
        <w:t xml:space="preserve">Barmah </w:t>
      </w:r>
      <w:r w:rsidR="00C548C2">
        <w:t xml:space="preserve">and </w:t>
      </w:r>
      <w:proofErr w:type="spellStart"/>
      <w:r w:rsidR="006E7854" w:rsidRPr="007B1BA2">
        <w:t>Millewa</w:t>
      </w:r>
      <w:proofErr w:type="spellEnd"/>
      <w:r w:rsidR="006E7854" w:rsidRPr="007B1BA2">
        <w:t xml:space="preserve"> Fores</w:t>
      </w:r>
      <w:r w:rsidR="006E7854">
        <w:t>t</w:t>
      </w:r>
      <w:r w:rsidR="00C548C2">
        <w:t>s</w:t>
      </w:r>
      <w:r w:rsidR="006E7854">
        <w:t xml:space="preserve"> (both are part of </w:t>
      </w:r>
      <w:proofErr w:type="spellStart"/>
      <w:r w:rsidR="006E7854">
        <w:t>Ramsar</w:t>
      </w:r>
      <w:proofErr w:type="spellEnd"/>
      <w:r w:rsidR="006E7854">
        <w:t xml:space="preserve"> sites), contributing to </w:t>
      </w:r>
      <w:r w:rsidR="006E7854" w:rsidRPr="007B1BA2">
        <w:t xml:space="preserve">the growth of </w:t>
      </w:r>
      <w:proofErr w:type="spellStart"/>
      <w:r w:rsidR="006E7854" w:rsidRPr="007B1BA2">
        <w:t>moira</w:t>
      </w:r>
      <w:proofErr w:type="spellEnd"/>
      <w:r w:rsidR="006E7854" w:rsidRPr="007B1BA2">
        <w:t xml:space="preserve"> grass </w:t>
      </w:r>
      <w:r w:rsidR="006E7854">
        <w:t>and supporting</w:t>
      </w:r>
      <w:r w:rsidR="006E7854" w:rsidRPr="007B1BA2">
        <w:t xml:space="preserve"> the breeding of</w:t>
      </w:r>
      <w:r w:rsidR="006E7854">
        <w:t xml:space="preserve"> over one</w:t>
      </w:r>
      <w:r w:rsidR="006E7854" w:rsidRPr="00847431">
        <w:t xml:space="preserve"> </w:t>
      </w:r>
      <w:r w:rsidR="006E7854">
        <w:t xml:space="preserve">thousand pairs of water birds including </w:t>
      </w:r>
      <w:r w:rsidR="006E7854" w:rsidRPr="007B1BA2">
        <w:t xml:space="preserve">white and straw-necked ibis, spoonbills, </w:t>
      </w:r>
      <w:r w:rsidR="006E7854">
        <w:t xml:space="preserve">eastern great egrets, nankeen night herons, </w:t>
      </w:r>
      <w:r w:rsidR="006E7854" w:rsidRPr="007B1BA2">
        <w:t xml:space="preserve">darters and little pied cormorants. </w:t>
      </w:r>
      <w:r w:rsidR="006E7854">
        <w:t>Additionally a</w:t>
      </w:r>
      <w:r w:rsidR="006E7854" w:rsidRPr="007B1BA2">
        <w:t xml:space="preserve"> significant proportion of the </w:t>
      </w:r>
      <w:r w:rsidR="006E7854">
        <w:t xml:space="preserve">global </w:t>
      </w:r>
      <w:r w:rsidR="006E7854" w:rsidRPr="007B1BA2">
        <w:t xml:space="preserve">population of Australasian Bitterns and Little Bitterns are inhabiting, and likely breeding, in </w:t>
      </w:r>
      <w:r w:rsidR="006E7854">
        <w:t>the forest</w:t>
      </w:r>
      <w:r w:rsidR="006E7854" w:rsidRPr="007B1BA2">
        <w:t>.</w:t>
      </w:r>
      <w:r w:rsidR="006E7854" w:rsidRPr="00410EB5">
        <w:t xml:space="preserve"> </w:t>
      </w:r>
    </w:p>
    <w:p w:rsidR="00D36CEC" w:rsidRDefault="00DB3178" w:rsidP="00D36CEC">
      <w:r>
        <w:rPr>
          <w:noProof/>
          <w:lang w:eastAsia="en-AU"/>
        </w:rPr>
        <w:pict>
          <v:shape id="_x0000_s1033" type="#_x0000_t202" style="position:absolute;margin-left:216.5pt;margin-top:105.5pt;width:148.55pt;height:14.25pt;z-index:251688960" stroked="f">
            <v:textbox>
              <w:txbxContent>
                <w:p w:rsidR="0020479D" w:rsidRDefault="0020479D" w:rsidP="008A3F1B">
                  <w:pPr>
                    <w:pStyle w:val="ImageCreditsBody"/>
                  </w:pPr>
                  <w:r>
                    <w:t>Golden perch eggs</w:t>
                  </w:r>
                </w:p>
              </w:txbxContent>
            </v:textbox>
            <w10:wrap type="square"/>
          </v:shape>
        </w:pict>
      </w:r>
      <w:r w:rsidR="00D36CEC" w:rsidRPr="007B1BA2">
        <w:t xml:space="preserve">This </w:t>
      </w:r>
      <w:r w:rsidR="00D36CEC">
        <w:t xml:space="preserve">watering action has also contributed to </w:t>
      </w:r>
      <w:r w:rsidR="00D36CEC" w:rsidRPr="007B1BA2">
        <w:t xml:space="preserve">the spawning of </w:t>
      </w:r>
      <w:r w:rsidR="00D36CEC">
        <w:t xml:space="preserve">the iconic </w:t>
      </w:r>
      <w:r w:rsidR="00D36CEC" w:rsidRPr="007B1BA2">
        <w:t xml:space="preserve">golden </w:t>
      </w:r>
      <w:r w:rsidR="00D36CEC">
        <w:t xml:space="preserve">perch and the </w:t>
      </w:r>
      <w:r w:rsidR="00D36CEC" w:rsidRPr="007B1BA2">
        <w:t>critically</w:t>
      </w:r>
      <w:r w:rsidR="00D36CEC">
        <w:t xml:space="preserve"> endangered </w:t>
      </w:r>
      <w:r w:rsidR="00D36CEC" w:rsidRPr="007B1BA2">
        <w:t xml:space="preserve">silver </w:t>
      </w:r>
      <w:r w:rsidR="00D36CEC">
        <w:t xml:space="preserve">perch </w:t>
      </w:r>
      <w:r w:rsidR="00D36CEC" w:rsidRPr="007B1BA2">
        <w:t>(</w:t>
      </w:r>
      <w:r w:rsidR="00D36CEC">
        <w:t xml:space="preserve">EPBC Act) in the Murray region. By increasing the </w:t>
      </w:r>
      <w:r w:rsidR="00D36CEC" w:rsidRPr="007B1BA2">
        <w:t>River Murray</w:t>
      </w:r>
      <w:r w:rsidR="00D36CEC">
        <w:t>’s c</w:t>
      </w:r>
      <w:r w:rsidR="00D36CEC" w:rsidRPr="007B1BA2">
        <w:t>onnectivity,</w:t>
      </w:r>
      <w:r w:rsidR="00D36CEC">
        <w:t xml:space="preserve"> environmental water is enabling fish movement via constructed fish ways </w:t>
      </w:r>
      <w:r w:rsidR="00D36CEC" w:rsidRPr="007B1BA2">
        <w:t xml:space="preserve">throughout the </w:t>
      </w:r>
      <w:r w:rsidR="00D36CEC">
        <w:t xml:space="preserve">entire </w:t>
      </w:r>
      <w:r w:rsidR="00D36CEC" w:rsidRPr="007B1BA2">
        <w:t>length of</w:t>
      </w:r>
      <w:r w:rsidR="00D36CEC">
        <w:t xml:space="preserve"> the river</w:t>
      </w:r>
      <w:r w:rsidR="00D36CEC" w:rsidRPr="007B1BA2">
        <w:t>. </w:t>
      </w:r>
      <w:r w:rsidR="00D36CEC">
        <w:t>This is</w:t>
      </w:r>
      <w:r w:rsidR="00D36CEC" w:rsidRPr="00BF5A20">
        <w:t xml:space="preserve"> good news for the Basin’s 430 000 recreational anglers who are depending on us to restore fish stocks. </w:t>
      </w:r>
    </w:p>
    <w:p w:rsidR="00B16BD4" w:rsidRPr="00B16BD4" w:rsidRDefault="00B16BD4" w:rsidP="00B16BD4">
      <w:pPr>
        <w:pStyle w:val="Heading2"/>
      </w:pPr>
      <w:r w:rsidRPr="00B16BD4">
        <w:t>Maintaining barrage flow over summer is critical to protect water quality and estuarine habitat for native fish populations in the Coorong.</w:t>
      </w:r>
    </w:p>
    <w:p w:rsidR="00B16BD4" w:rsidRDefault="00B16BD4" w:rsidP="00B80FBF">
      <w:r w:rsidRPr="00B16BD4">
        <w:t>Above average and average rainfall in recent years and delivery of significant volumes of environmental water have improved conditions in the Lower Lakes and Coorong. However, the Coorong</w:t>
      </w:r>
      <w:r w:rsidR="007B0278">
        <w:t>’s recovery</w:t>
      </w:r>
      <w:r w:rsidRPr="00B16BD4">
        <w:t xml:space="preserve"> remains a priority</w:t>
      </w:r>
      <w:r>
        <w:t xml:space="preserve"> because</w:t>
      </w:r>
      <w:r w:rsidR="007B0278">
        <w:t xml:space="preserve"> </w:t>
      </w:r>
      <w:r>
        <w:t>i</w:t>
      </w:r>
      <w:r w:rsidRPr="00B16BD4">
        <w:t xml:space="preserve">ncreasing salinity levels over summer present a risk of long-term </w:t>
      </w:r>
      <w:r w:rsidR="007B0278">
        <w:t xml:space="preserve">ecological </w:t>
      </w:r>
      <w:r w:rsidRPr="00B16BD4">
        <w:t xml:space="preserve">damage. </w:t>
      </w:r>
    </w:p>
    <w:p w:rsidR="008A3F1B" w:rsidRDefault="008A3F1B" w:rsidP="002C4FFD">
      <w:r>
        <w:rPr>
          <w:noProof/>
          <w:lang w:eastAsia="en-AU"/>
        </w:rPr>
        <w:drawing>
          <wp:anchor distT="0" distB="0" distL="114300" distR="114300" simplePos="0" relativeHeight="251682816" behindDoc="1" locked="0" layoutInCell="1" allowOverlap="1">
            <wp:simplePos x="0" y="0"/>
            <wp:positionH relativeFrom="column">
              <wp:posOffset>2593274</wp:posOffset>
            </wp:positionH>
            <wp:positionV relativeFrom="paragraph">
              <wp:posOffset>866481</wp:posOffset>
            </wp:positionV>
            <wp:extent cx="2137296" cy="1487606"/>
            <wp:effectExtent l="19050" t="0" r="0" b="0"/>
            <wp:wrapSquare wrapText="bothSides"/>
            <wp:docPr id="6" name="Picture 1" descr="\\pvac01file02\water$\Environment\Environmental Water\CEWH\Photos\2015\20150821 - CLLMM - Michelle Campbell\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Photos\2015\20150821 - CLLMM - Michelle Campbell\IMG_4338.JPG"/>
                    <pic:cNvPicPr>
                      <a:picLocks noChangeAspect="1" noChangeArrowheads="1"/>
                    </pic:cNvPicPr>
                  </pic:nvPicPr>
                  <pic:blipFill>
                    <a:blip r:embed="rId21" cstate="print"/>
                    <a:srcRect/>
                    <a:stretch>
                      <a:fillRect/>
                    </a:stretch>
                  </pic:blipFill>
                  <pic:spPr bwMode="auto">
                    <a:xfrm>
                      <a:off x="0" y="0"/>
                      <a:ext cx="2137296" cy="1487606"/>
                    </a:xfrm>
                    <a:prstGeom prst="rect">
                      <a:avLst/>
                    </a:prstGeom>
                    <a:noFill/>
                    <a:ln w="9525">
                      <a:noFill/>
                      <a:miter lim="800000"/>
                      <a:headEnd/>
                      <a:tailEnd/>
                    </a:ln>
                  </pic:spPr>
                </pic:pic>
              </a:graphicData>
            </a:graphic>
          </wp:anchor>
        </w:drawing>
      </w:r>
      <w:r w:rsidR="00330844">
        <w:t xml:space="preserve">Providing </w:t>
      </w:r>
      <w:r w:rsidR="00330844" w:rsidRPr="00B16BD4">
        <w:t>environmental flow into the Coorong while maintaining agreed minimum lake levels</w:t>
      </w:r>
      <w:r w:rsidR="00330844">
        <w:t xml:space="preserve"> remains a priority for </w:t>
      </w:r>
      <w:r w:rsidR="00B16BD4">
        <w:t>t</w:t>
      </w:r>
      <w:r w:rsidR="00B16BD4" w:rsidRPr="00B16BD4">
        <w:t>he Commonwealth Environmental Water Holder</w:t>
      </w:r>
      <w:r w:rsidR="00330844">
        <w:t xml:space="preserve"> in 2015-16. As such, the Water Holder has</w:t>
      </w:r>
      <w:r w:rsidR="00B16BD4" w:rsidRPr="00B16BD4">
        <w:t xml:space="preserve"> entered into a Watering Schedule with South Australian Department of Environment Water and Natural Resources</w:t>
      </w:r>
      <w:r w:rsidR="00330844">
        <w:t>. This schedule includes</w:t>
      </w:r>
      <w:r w:rsidR="00256229">
        <w:t xml:space="preserve"> </w:t>
      </w:r>
      <w:r w:rsidR="00B16BD4" w:rsidRPr="00B16BD4">
        <w:t xml:space="preserve">up to 150 GL of additional Commonwealth environmental water </w:t>
      </w:r>
      <w:r w:rsidR="00256229" w:rsidRPr="00B16BD4">
        <w:t>available for</w:t>
      </w:r>
      <w:r w:rsidR="00B16BD4" w:rsidRPr="00B16BD4">
        <w:t xml:space="preserve"> </w:t>
      </w:r>
      <w:r w:rsidR="00330844">
        <w:t xml:space="preserve">the </w:t>
      </w:r>
      <w:r w:rsidR="00B16BD4" w:rsidRPr="00B16BD4">
        <w:t xml:space="preserve">underwriting Lower Lakes above 0.50 m AHD so that continuous barrage flow can be maintained into the Coorong </w:t>
      </w:r>
      <w:r w:rsidR="00256229" w:rsidRPr="00B16BD4">
        <w:t>between January and June 2016</w:t>
      </w:r>
      <w:r w:rsidR="00B16BD4" w:rsidRPr="00B16BD4">
        <w:t>.</w:t>
      </w:r>
      <w:r w:rsidR="00460D73">
        <w:t xml:space="preserve"> </w:t>
      </w:r>
      <w:r w:rsidR="00330844">
        <w:t>This is in addition to</w:t>
      </w:r>
      <w:r w:rsidR="005F7103">
        <w:t xml:space="preserve"> </w:t>
      </w:r>
      <w:r w:rsidR="00330844">
        <w:t xml:space="preserve">the </w:t>
      </w:r>
      <w:r w:rsidR="00330844" w:rsidRPr="00B16BD4">
        <w:t xml:space="preserve">555 </w:t>
      </w:r>
      <w:proofErr w:type="spellStart"/>
      <w:r w:rsidR="00330844">
        <w:t>Gigalitres</w:t>
      </w:r>
      <w:proofErr w:type="spellEnd"/>
      <w:r w:rsidR="00330844" w:rsidRPr="00B16BD4">
        <w:t xml:space="preserve"> of Commonwealth environmental water delivered to maintain barrage flow </w:t>
      </w:r>
      <w:r w:rsidR="00330844">
        <w:t xml:space="preserve">to </w:t>
      </w:r>
      <w:r w:rsidR="00330844" w:rsidRPr="00B16BD4">
        <w:t xml:space="preserve">the </w:t>
      </w:r>
      <w:r w:rsidR="00330844">
        <w:t>Lower Lakes to 30 November 2015.</w:t>
      </w:r>
    </w:p>
    <w:p w:rsidR="002C4FFD" w:rsidRDefault="00DB3178" w:rsidP="002C4FFD">
      <w:r>
        <w:rPr>
          <w:noProof/>
          <w:lang w:eastAsia="en-AU"/>
        </w:rPr>
        <w:pict>
          <v:shape id="_x0000_s1032" type="#_x0000_t202" style="position:absolute;margin-left:205.2pt;margin-top:55.55pt;width:172.65pt;height:14.25pt;z-index:251687936" stroked="f">
            <v:textbox>
              <w:txbxContent>
                <w:p w:rsidR="0020479D" w:rsidRDefault="0020479D" w:rsidP="0022640C">
                  <w:pPr>
                    <w:pStyle w:val="ImageCreditsBody"/>
                  </w:pPr>
                  <w:r>
                    <w:t>The Barrages, Lower Lakes, August 2015</w:t>
                  </w:r>
                </w:p>
              </w:txbxContent>
            </v:textbox>
            <w10:wrap type="square"/>
          </v:shape>
        </w:pict>
      </w:r>
      <w:r w:rsidR="008A3F1B">
        <w:rPr>
          <w:noProof/>
          <w:lang w:eastAsia="en-AU"/>
        </w:rPr>
        <w:t>It is the responsibility of S</w:t>
      </w:r>
      <w:proofErr w:type="spellStart"/>
      <w:r w:rsidR="00460D73" w:rsidRPr="00B16BD4">
        <w:t>outh</w:t>
      </w:r>
      <w:proofErr w:type="spellEnd"/>
      <w:r w:rsidR="00460D73" w:rsidRPr="00B16BD4">
        <w:t xml:space="preserve"> Australian Department of Environment Water and Natural Resources </w:t>
      </w:r>
      <w:r w:rsidR="008A3F1B">
        <w:t xml:space="preserve">to </w:t>
      </w:r>
      <w:r w:rsidR="00460D73" w:rsidRPr="00B16BD4">
        <w:t>operate the barrages and manage water in a seasonally appr</w:t>
      </w:r>
      <w:r w:rsidR="008A3F1B">
        <w:t xml:space="preserve">opriate way consistent with the </w:t>
      </w:r>
      <w:r w:rsidR="00460D73" w:rsidRPr="00B16BD4">
        <w:t>agreed objectives</w:t>
      </w:r>
      <w:r w:rsidR="0022640C">
        <w:t>.</w:t>
      </w:r>
    </w:p>
    <w:p w:rsidR="002C4FFD" w:rsidRDefault="002C4FFD">
      <w:r>
        <w:br w:type="page"/>
      </w:r>
    </w:p>
    <w:p w:rsidR="00042334" w:rsidRDefault="005E3507" w:rsidP="00480FCF">
      <w:pPr>
        <w:pStyle w:val="Heading2"/>
        <w:numPr>
          <w:ilvl w:val="0"/>
          <w:numId w:val="0"/>
        </w:numPr>
        <w:spacing w:after="40"/>
      </w:pPr>
      <w:r>
        <w:t>F</w:t>
      </w:r>
      <w:r w:rsidR="00202B8D" w:rsidRPr="00D74881">
        <w:t>lows set to occur over summer</w:t>
      </w:r>
    </w:p>
    <w:p w:rsidR="00040C2C" w:rsidRPr="003F7618" w:rsidRDefault="00042334" w:rsidP="001C5311">
      <w:pPr>
        <w:pStyle w:val="Heading2"/>
        <w:spacing w:before="80"/>
      </w:pPr>
      <w:r w:rsidRPr="003F7618">
        <w:t xml:space="preserve">Murrumbidgee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042334" w:rsidRPr="00B47B81" w:rsidTr="00480FCF">
        <w:trPr>
          <w:trHeight w:val="178"/>
        </w:trPr>
        <w:tc>
          <w:tcPr>
            <w:tcW w:w="2835" w:type="dxa"/>
            <w:vAlign w:val="center"/>
          </w:tcPr>
          <w:p w:rsidR="00042334" w:rsidRPr="003F7618" w:rsidRDefault="00042334" w:rsidP="006F3FD2">
            <w:pPr>
              <w:pStyle w:val="Heading2"/>
              <w:spacing w:before="0" w:after="0" w:line="240" w:lineRule="auto"/>
              <w:rPr>
                <w:sz w:val="16"/>
                <w:szCs w:val="16"/>
              </w:rPr>
            </w:pPr>
            <w:r w:rsidRPr="003F7618">
              <w:rPr>
                <w:sz w:val="16"/>
                <w:szCs w:val="16"/>
              </w:rPr>
              <w:t xml:space="preserve">Location </w:t>
            </w:r>
          </w:p>
        </w:tc>
        <w:tc>
          <w:tcPr>
            <w:tcW w:w="3119" w:type="dxa"/>
            <w:vAlign w:val="center"/>
          </w:tcPr>
          <w:p w:rsidR="00042334" w:rsidRPr="003F7618" w:rsidRDefault="00042334" w:rsidP="006F3FD2">
            <w:pPr>
              <w:pStyle w:val="Heading2"/>
              <w:spacing w:before="0" w:after="0" w:line="240" w:lineRule="auto"/>
              <w:rPr>
                <w:sz w:val="16"/>
                <w:szCs w:val="16"/>
              </w:rPr>
            </w:pPr>
            <w:r w:rsidRPr="003F7618">
              <w:rPr>
                <w:sz w:val="16"/>
                <w:szCs w:val="16"/>
              </w:rPr>
              <w:t xml:space="preserve">River Operator </w:t>
            </w:r>
          </w:p>
        </w:tc>
        <w:tc>
          <w:tcPr>
            <w:tcW w:w="4819" w:type="dxa"/>
            <w:vAlign w:val="center"/>
          </w:tcPr>
          <w:p w:rsidR="00042334" w:rsidRPr="003F7618" w:rsidRDefault="00042334" w:rsidP="006F3FD2">
            <w:pPr>
              <w:pStyle w:val="Heading2"/>
              <w:spacing w:before="0" w:after="0" w:line="240" w:lineRule="auto"/>
              <w:rPr>
                <w:sz w:val="16"/>
                <w:szCs w:val="16"/>
              </w:rPr>
            </w:pPr>
            <w:r w:rsidRPr="003F7618">
              <w:rPr>
                <w:sz w:val="16"/>
                <w:szCs w:val="16"/>
              </w:rPr>
              <w:t xml:space="preserve">Real time river information </w:t>
            </w:r>
          </w:p>
        </w:tc>
      </w:tr>
      <w:tr w:rsidR="00042334" w:rsidRPr="00B47B81" w:rsidTr="00480FCF">
        <w:trPr>
          <w:trHeight w:val="262"/>
        </w:trPr>
        <w:tc>
          <w:tcPr>
            <w:tcW w:w="2835" w:type="dxa"/>
            <w:vAlign w:val="center"/>
          </w:tcPr>
          <w:p w:rsidR="00042334" w:rsidRPr="003F7618" w:rsidRDefault="00042334" w:rsidP="006F3FD2">
            <w:pPr>
              <w:spacing w:after="0" w:line="240" w:lineRule="auto"/>
              <w:rPr>
                <w:sz w:val="16"/>
                <w:szCs w:val="16"/>
              </w:rPr>
            </w:pPr>
            <w:proofErr w:type="spellStart"/>
            <w:r w:rsidRPr="003F7618">
              <w:rPr>
                <w:sz w:val="16"/>
                <w:szCs w:val="16"/>
              </w:rPr>
              <w:t>Yarrada</w:t>
            </w:r>
            <w:proofErr w:type="spellEnd"/>
            <w:r w:rsidRPr="003F7618">
              <w:rPr>
                <w:sz w:val="16"/>
                <w:szCs w:val="16"/>
              </w:rPr>
              <w:t xml:space="preserve"> Lagoon</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2" w:history="1">
              <w:r w:rsidR="00042334" w:rsidRPr="003F7618">
                <w:rPr>
                  <w:sz w:val="16"/>
                  <w:szCs w:val="16"/>
                </w:rPr>
                <w:t>http://realtimedata.water.nsw.gov.au/water.stm</w:t>
              </w:r>
            </w:hyperlink>
            <w:r w:rsidR="00042334" w:rsidRPr="003F7618">
              <w:rPr>
                <w:sz w:val="16"/>
                <w:szCs w:val="16"/>
              </w:rPr>
              <w:t xml:space="preserve"> </w:t>
            </w:r>
          </w:p>
        </w:tc>
      </w:tr>
      <w:tr w:rsidR="00042334" w:rsidRPr="00B47B81" w:rsidTr="00480FCF">
        <w:trPr>
          <w:trHeight w:val="279"/>
        </w:trPr>
        <w:tc>
          <w:tcPr>
            <w:tcW w:w="2835" w:type="dxa"/>
            <w:vAlign w:val="center"/>
          </w:tcPr>
          <w:p w:rsidR="00042334" w:rsidRPr="003F7618" w:rsidRDefault="00042334" w:rsidP="006F3FD2">
            <w:pPr>
              <w:spacing w:after="0" w:line="240" w:lineRule="auto"/>
              <w:rPr>
                <w:sz w:val="16"/>
                <w:szCs w:val="16"/>
              </w:rPr>
            </w:pPr>
            <w:proofErr w:type="spellStart"/>
            <w:r w:rsidRPr="003F7618">
              <w:rPr>
                <w:sz w:val="16"/>
                <w:szCs w:val="16"/>
              </w:rPr>
              <w:t>Juanbung</w:t>
            </w:r>
            <w:proofErr w:type="spellEnd"/>
            <w:r w:rsidRPr="003F7618">
              <w:rPr>
                <w:sz w:val="16"/>
                <w:szCs w:val="16"/>
              </w:rPr>
              <w:t xml:space="preserve"> Wetlands</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3" w:history="1">
              <w:r w:rsidR="00042334" w:rsidRPr="003F7618">
                <w:rPr>
                  <w:sz w:val="16"/>
                  <w:szCs w:val="16"/>
                </w:rPr>
                <w:t>http://realtimedata.water.nsw.gov.au/water.stm</w:t>
              </w:r>
            </w:hyperlink>
          </w:p>
        </w:tc>
      </w:tr>
      <w:tr w:rsidR="00042334" w:rsidRPr="00B47B81" w:rsidTr="00480FCF">
        <w:trPr>
          <w:trHeight w:val="270"/>
        </w:trPr>
        <w:tc>
          <w:tcPr>
            <w:tcW w:w="2835" w:type="dxa"/>
            <w:vAlign w:val="center"/>
          </w:tcPr>
          <w:p w:rsidR="00042334" w:rsidRPr="003F7618" w:rsidRDefault="00042334" w:rsidP="006F3FD2">
            <w:pPr>
              <w:spacing w:after="0" w:line="240" w:lineRule="auto"/>
              <w:rPr>
                <w:sz w:val="16"/>
                <w:szCs w:val="16"/>
              </w:rPr>
            </w:pPr>
            <w:r w:rsidRPr="003F7618">
              <w:rPr>
                <w:sz w:val="16"/>
                <w:szCs w:val="16"/>
              </w:rPr>
              <w:t>North Redbank Wetlands</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4" w:history="1">
              <w:r w:rsidR="00042334" w:rsidRPr="003F7618">
                <w:rPr>
                  <w:sz w:val="16"/>
                  <w:szCs w:val="16"/>
                </w:rPr>
                <w:t>http://realtimedata.water.nsw.gov.au/water.stm</w:t>
              </w:r>
            </w:hyperlink>
          </w:p>
        </w:tc>
      </w:tr>
      <w:tr w:rsidR="00042334" w:rsidRPr="00B47B81" w:rsidTr="00480FCF">
        <w:trPr>
          <w:trHeight w:val="273"/>
        </w:trPr>
        <w:tc>
          <w:tcPr>
            <w:tcW w:w="2835" w:type="dxa"/>
            <w:vAlign w:val="center"/>
          </w:tcPr>
          <w:p w:rsidR="00042334" w:rsidRPr="003F7618" w:rsidRDefault="00042334" w:rsidP="006F3FD2">
            <w:pPr>
              <w:spacing w:after="0" w:line="240" w:lineRule="auto"/>
              <w:rPr>
                <w:sz w:val="16"/>
                <w:szCs w:val="16"/>
              </w:rPr>
            </w:pPr>
            <w:proofErr w:type="spellStart"/>
            <w:r w:rsidRPr="003F7618">
              <w:rPr>
                <w:sz w:val="16"/>
                <w:szCs w:val="16"/>
              </w:rPr>
              <w:t>Yanga</w:t>
            </w:r>
            <w:proofErr w:type="spellEnd"/>
            <w:r w:rsidRPr="003F7618">
              <w:rPr>
                <w:sz w:val="16"/>
                <w:szCs w:val="16"/>
              </w:rPr>
              <w:t xml:space="preserve"> N.P.</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5" w:history="1">
              <w:r w:rsidR="00042334" w:rsidRPr="003F7618">
                <w:rPr>
                  <w:sz w:val="16"/>
                  <w:szCs w:val="16"/>
                </w:rPr>
                <w:t>http://realtimedata.water.nsw.gov.au/water.stm</w:t>
              </w:r>
            </w:hyperlink>
          </w:p>
        </w:tc>
      </w:tr>
      <w:tr w:rsidR="00042334" w:rsidRPr="00B47B81" w:rsidTr="00480FCF">
        <w:trPr>
          <w:trHeight w:val="278"/>
        </w:trPr>
        <w:tc>
          <w:tcPr>
            <w:tcW w:w="2835" w:type="dxa"/>
            <w:vAlign w:val="center"/>
          </w:tcPr>
          <w:p w:rsidR="00042334" w:rsidRPr="003F7618" w:rsidRDefault="00042334" w:rsidP="006F3FD2">
            <w:pPr>
              <w:spacing w:after="0" w:line="240" w:lineRule="auto"/>
              <w:rPr>
                <w:sz w:val="16"/>
                <w:szCs w:val="16"/>
              </w:rPr>
            </w:pPr>
            <w:proofErr w:type="spellStart"/>
            <w:r w:rsidRPr="003F7618">
              <w:rPr>
                <w:sz w:val="16"/>
                <w:szCs w:val="16"/>
              </w:rPr>
              <w:t>Eulimbah</w:t>
            </w:r>
            <w:proofErr w:type="spellEnd"/>
            <w:r w:rsidRPr="003F7618">
              <w:rPr>
                <w:sz w:val="16"/>
                <w:szCs w:val="16"/>
              </w:rPr>
              <w:t xml:space="preserve"> Wetlands</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6" w:history="1">
              <w:r w:rsidR="00042334" w:rsidRPr="003F7618">
                <w:rPr>
                  <w:sz w:val="16"/>
                  <w:szCs w:val="16"/>
                </w:rPr>
                <w:t>http://realtimedata.water.nsw.gov.au/water.stm</w:t>
              </w:r>
            </w:hyperlink>
          </w:p>
        </w:tc>
      </w:tr>
      <w:tr w:rsidR="00042334" w:rsidRPr="00B47B81" w:rsidTr="00480FCF">
        <w:trPr>
          <w:trHeight w:val="281"/>
        </w:trPr>
        <w:tc>
          <w:tcPr>
            <w:tcW w:w="2835" w:type="dxa"/>
            <w:vAlign w:val="center"/>
          </w:tcPr>
          <w:p w:rsidR="00042334" w:rsidRPr="003F7618" w:rsidRDefault="00042334" w:rsidP="006F3FD2">
            <w:pPr>
              <w:spacing w:after="0" w:line="240" w:lineRule="auto"/>
              <w:rPr>
                <w:sz w:val="16"/>
                <w:szCs w:val="16"/>
              </w:rPr>
            </w:pPr>
            <w:proofErr w:type="spellStart"/>
            <w:r w:rsidRPr="003F7618">
              <w:rPr>
                <w:sz w:val="16"/>
                <w:szCs w:val="16"/>
              </w:rPr>
              <w:t>Waldaira</w:t>
            </w:r>
            <w:proofErr w:type="spellEnd"/>
            <w:r w:rsidRPr="003F7618">
              <w:rPr>
                <w:sz w:val="16"/>
                <w:szCs w:val="16"/>
              </w:rPr>
              <w:t xml:space="preserve"> Lagoon, Junction Wetlands</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Water NSW</w:t>
            </w:r>
          </w:p>
        </w:tc>
        <w:tc>
          <w:tcPr>
            <w:tcW w:w="4819" w:type="dxa"/>
            <w:vAlign w:val="center"/>
          </w:tcPr>
          <w:p w:rsidR="00042334" w:rsidRPr="003F7618" w:rsidRDefault="00DB3178" w:rsidP="006F3FD2">
            <w:pPr>
              <w:spacing w:after="0" w:line="240" w:lineRule="auto"/>
              <w:rPr>
                <w:sz w:val="16"/>
                <w:szCs w:val="16"/>
              </w:rPr>
            </w:pPr>
            <w:hyperlink r:id="rId27" w:history="1">
              <w:r w:rsidR="00042334" w:rsidRPr="003F7618">
                <w:rPr>
                  <w:sz w:val="16"/>
                  <w:szCs w:val="16"/>
                </w:rPr>
                <w:t>http://realtimedata.water.nsw.gov.au/water.stm</w:t>
              </w:r>
            </w:hyperlink>
          </w:p>
        </w:tc>
      </w:tr>
    </w:tbl>
    <w:p w:rsidR="00042334" w:rsidRPr="003F7618" w:rsidRDefault="00C548C2" w:rsidP="006F3FD2">
      <w:pPr>
        <w:pStyle w:val="Heading2"/>
        <w:spacing w:before="0" w:after="0"/>
      </w:pPr>
      <w:r>
        <w:t xml:space="preserve">Mid </w:t>
      </w:r>
      <w:r w:rsidR="00042334" w:rsidRPr="003F7618">
        <w:t>Murray</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042334" w:rsidRPr="003F7618" w:rsidTr="00480FCF">
        <w:trPr>
          <w:trHeight w:val="303"/>
        </w:trPr>
        <w:tc>
          <w:tcPr>
            <w:tcW w:w="2835" w:type="dxa"/>
            <w:vAlign w:val="center"/>
          </w:tcPr>
          <w:p w:rsidR="00042334" w:rsidRPr="003F7618" w:rsidRDefault="00042334" w:rsidP="006F3FD2">
            <w:pPr>
              <w:spacing w:after="0" w:line="240" w:lineRule="auto"/>
              <w:rPr>
                <w:sz w:val="16"/>
                <w:szCs w:val="16"/>
              </w:rPr>
            </w:pPr>
            <w:r w:rsidRPr="003F7618">
              <w:rPr>
                <w:sz w:val="16"/>
                <w:szCs w:val="16"/>
              </w:rPr>
              <w:t>Gunbower Creek</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Goulburn-Murray Water</w:t>
            </w:r>
          </w:p>
        </w:tc>
        <w:tc>
          <w:tcPr>
            <w:tcW w:w="4819" w:type="dxa"/>
            <w:vAlign w:val="center"/>
          </w:tcPr>
          <w:p w:rsidR="00042334" w:rsidRPr="003F7618" w:rsidRDefault="00DB3178" w:rsidP="006F3FD2">
            <w:pPr>
              <w:spacing w:after="0" w:line="240" w:lineRule="auto"/>
              <w:rPr>
                <w:sz w:val="16"/>
                <w:szCs w:val="16"/>
              </w:rPr>
            </w:pPr>
            <w:hyperlink r:id="rId28" w:anchor="ST@G409ACM" w:history="1">
              <w:r w:rsidR="00827608" w:rsidRPr="00480FCF">
                <w:rPr>
                  <w:rStyle w:val="Hyperlink"/>
                  <w:sz w:val="16"/>
                  <w:szCs w:val="16"/>
                </w:rPr>
                <w:t>https://waterline.g-mwater.com.au/waterstatus/#ST@G409ACM</w:t>
              </w:r>
            </w:hyperlink>
          </w:p>
        </w:tc>
      </w:tr>
      <w:tr w:rsidR="00480FCF" w:rsidRPr="003F7618" w:rsidTr="00480FCF">
        <w:trPr>
          <w:trHeight w:val="303"/>
        </w:trPr>
        <w:tc>
          <w:tcPr>
            <w:tcW w:w="2835" w:type="dxa"/>
            <w:vAlign w:val="center"/>
          </w:tcPr>
          <w:p w:rsidR="00480FCF" w:rsidRPr="003F7618" w:rsidRDefault="00480FCF" w:rsidP="00480FCF">
            <w:pPr>
              <w:spacing w:after="0" w:line="240" w:lineRule="auto"/>
              <w:rPr>
                <w:sz w:val="16"/>
                <w:szCs w:val="16"/>
              </w:rPr>
            </w:pPr>
            <w:r w:rsidRPr="003F7618">
              <w:rPr>
                <w:sz w:val="16"/>
                <w:szCs w:val="16"/>
              </w:rPr>
              <w:t>Reed Beds Swamp (</w:t>
            </w:r>
            <w:proofErr w:type="spellStart"/>
            <w:r w:rsidRPr="003F7618">
              <w:rPr>
                <w:sz w:val="16"/>
                <w:szCs w:val="16"/>
              </w:rPr>
              <w:t>Millewa</w:t>
            </w:r>
            <w:proofErr w:type="spellEnd"/>
            <w:r w:rsidRPr="003F7618">
              <w:rPr>
                <w:sz w:val="16"/>
                <w:szCs w:val="16"/>
              </w:rPr>
              <w:t xml:space="preserve"> Forest)</w:t>
            </w:r>
          </w:p>
        </w:tc>
        <w:tc>
          <w:tcPr>
            <w:tcW w:w="3119" w:type="dxa"/>
            <w:vAlign w:val="center"/>
          </w:tcPr>
          <w:p w:rsidR="00480FCF" w:rsidRPr="003F7618" w:rsidRDefault="00480FCF" w:rsidP="00480FCF">
            <w:pPr>
              <w:spacing w:after="0" w:line="240" w:lineRule="auto"/>
              <w:rPr>
                <w:sz w:val="16"/>
                <w:szCs w:val="16"/>
              </w:rPr>
            </w:pPr>
            <w:r w:rsidRPr="003F7618">
              <w:rPr>
                <w:sz w:val="16"/>
                <w:szCs w:val="16"/>
              </w:rPr>
              <w:t>Water NSW</w:t>
            </w:r>
          </w:p>
        </w:tc>
        <w:tc>
          <w:tcPr>
            <w:tcW w:w="4819" w:type="dxa"/>
            <w:vAlign w:val="center"/>
          </w:tcPr>
          <w:p w:rsidR="00480FCF" w:rsidRPr="003F7618" w:rsidRDefault="00480FCF" w:rsidP="00480FCF">
            <w:pPr>
              <w:spacing w:after="0" w:line="240" w:lineRule="auto"/>
              <w:rPr>
                <w:sz w:val="16"/>
                <w:szCs w:val="16"/>
              </w:rPr>
            </w:pPr>
            <w:r w:rsidRPr="003F7618">
              <w:rPr>
                <w:sz w:val="16"/>
                <w:szCs w:val="16"/>
              </w:rPr>
              <w:t>N/A</w:t>
            </w:r>
          </w:p>
        </w:tc>
      </w:tr>
    </w:tbl>
    <w:p w:rsidR="00042334" w:rsidRPr="003F7618" w:rsidRDefault="00042334" w:rsidP="006F3FD2">
      <w:pPr>
        <w:pStyle w:val="Heading2"/>
        <w:numPr>
          <w:ilvl w:val="0"/>
          <w:numId w:val="0"/>
        </w:numPr>
        <w:spacing w:before="0" w:after="0"/>
      </w:pPr>
      <w:r w:rsidRPr="003F7618">
        <w:t>Goulburn-Broken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042334" w:rsidRPr="003F7618" w:rsidTr="001C5311">
        <w:trPr>
          <w:trHeight w:val="227"/>
        </w:trPr>
        <w:tc>
          <w:tcPr>
            <w:tcW w:w="2835" w:type="dxa"/>
            <w:vAlign w:val="center"/>
          </w:tcPr>
          <w:p w:rsidR="00042334" w:rsidRPr="003F7618" w:rsidRDefault="00042334" w:rsidP="006F3FD2">
            <w:pPr>
              <w:spacing w:after="0" w:line="240" w:lineRule="auto"/>
              <w:rPr>
                <w:sz w:val="16"/>
                <w:szCs w:val="16"/>
              </w:rPr>
            </w:pPr>
            <w:r w:rsidRPr="003F7618">
              <w:rPr>
                <w:sz w:val="16"/>
                <w:szCs w:val="16"/>
              </w:rPr>
              <w:t>Lower Broken Creek</w:t>
            </w:r>
          </w:p>
        </w:tc>
        <w:tc>
          <w:tcPr>
            <w:tcW w:w="3119" w:type="dxa"/>
            <w:vAlign w:val="center"/>
          </w:tcPr>
          <w:p w:rsidR="00042334" w:rsidRPr="003F7618" w:rsidRDefault="00042334" w:rsidP="006F3FD2">
            <w:pPr>
              <w:spacing w:after="0" w:line="240" w:lineRule="auto"/>
              <w:rPr>
                <w:sz w:val="16"/>
                <w:szCs w:val="16"/>
              </w:rPr>
            </w:pPr>
            <w:r w:rsidRPr="003F7618">
              <w:rPr>
                <w:sz w:val="16"/>
                <w:szCs w:val="16"/>
              </w:rPr>
              <w:t>Goulburn-Murray Water</w:t>
            </w:r>
          </w:p>
        </w:tc>
        <w:tc>
          <w:tcPr>
            <w:tcW w:w="4819" w:type="dxa"/>
            <w:vAlign w:val="center"/>
          </w:tcPr>
          <w:p w:rsidR="00827608" w:rsidRPr="003F7618" w:rsidRDefault="00DB3178" w:rsidP="006F3FD2">
            <w:pPr>
              <w:spacing w:after="0" w:line="240" w:lineRule="auto"/>
              <w:rPr>
                <w:sz w:val="16"/>
                <w:szCs w:val="16"/>
              </w:rPr>
            </w:pPr>
            <w:hyperlink r:id="rId29" w:anchor="ST@G404210D" w:history="1">
              <w:r w:rsidR="00827608" w:rsidRPr="00480FCF">
                <w:rPr>
                  <w:rStyle w:val="Hyperlink"/>
                  <w:sz w:val="16"/>
                  <w:szCs w:val="16"/>
                </w:rPr>
                <w:t>https://waterline.g-mwater.com.au/waterstatus/#ST@G404210D</w:t>
              </w:r>
            </w:hyperlink>
          </w:p>
        </w:tc>
      </w:tr>
    </w:tbl>
    <w:p w:rsidR="00480FCF" w:rsidRPr="003F7618" w:rsidRDefault="00480FCF" w:rsidP="00480FCF">
      <w:pPr>
        <w:pStyle w:val="Heading2"/>
        <w:numPr>
          <w:ilvl w:val="0"/>
          <w:numId w:val="0"/>
        </w:numPr>
        <w:spacing w:before="0" w:after="0"/>
      </w:pPr>
      <w:r>
        <w:t>South Australia</w:t>
      </w:r>
      <w:r w:rsidR="00C548C2">
        <w:t>n Murray</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480FCF" w:rsidRPr="003F7618" w:rsidTr="00480FCF">
        <w:trPr>
          <w:trHeight w:val="557"/>
        </w:trPr>
        <w:tc>
          <w:tcPr>
            <w:tcW w:w="2835" w:type="dxa"/>
            <w:vAlign w:val="center"/>
          </w:tcPr>
          <w:p w:rsidR="00480FCF" w:rsidRPr="003F7618" w:rsidRDefault="00480FCF" w:rsidP="00480FCF">
            <w:pPr>
              <w:spacing w:after="0" w:line="240" w:lineRule="auto"/>
              <w:rPr>
                <w:sz w:val="16"/>
                <w:szCs w:val="16"/>
              </w:rPr>
            </w:pPr>
            <w:r w:rsidRPr="003F7618">
              <w:rPr>
                <w:sz w:val="16"/>
                <w:szCs w:val="16"/>
              </w:rPr>
              <w:t>South Australian River Murray</w:t>
            </w:r>
          </w:p>
        </w:tc>
        <w:tc>
          <w:tcPr>
            <w:tcW w:w="3119" w:type="dxa"/>
            <w:vAlign w:val="center"/>
          </w:tcPr>
          <w:p w:rsidR="00480FCF" w:rsidRPr="003F7618" w:rsidRDefault="00480FCF" w:rsidP="00480FCF">
            <w:pPr>
              <w:spacing w:after="0" w:line="240" w:lineRule="auto"/>
              <w:rPr>
                <w:sz w:val="16"/>
                <w:szCs w:val="16"/>
              </w:rPr>
            </w:pPr>
            <w:r w:rsidRPr="003F7618">
              <w:rPr>
                <w:sz w:val="16"/>
                <w:szCs w:val="16"/>
              </w:rPr>
              <w:t xml:space="preserve">Murray-Darling Basin Authority River Murray Operations &amp;South Australian Department of Environment, Water and Natural Resources </w:t>
            </w:r>
          </w:p>
        </w:tc>
        <w:tc>
          <w:tcPr>
            <w:tcW w:w="4819" w:type="dxa"/>
            <w:vAlign w:val="center"/>
          </w:tcPr>
          <w:p w:rsidR="00480FCF" w:rsidRPr="003F7618" w:rsidRDefault="00DB3178" w:rsidP="00480FCF">
            <w:pPr>
              <w:spacing w:after="0" w:line="240" w:lineRule="auto"/>
              <w:rPr>
                <w:sz w:val="16"/>
                <w:szCs w:val="16"/>
              </w:rPr>
            </w:pPr>
            <w:hyperlink r:id="rId30" w:history="1">
              <w:r w:rsidR="00480FCF" w:rsidRPr="003F7618">
                <w:rPr>
                  <w:sz w:val="16"/>
                  <w:szCs w:val="16"/>
                </w:rPr>
                <w:t>http://livedata.mdba.gov.au/</w:t>
              </w:r>
            </w:hyperlink>
            <w:r w:rsidR="00480FCF" w:rsidRPr="003F7618">
              <w:rPr>
                <w:sz w:val="16"/>
                <w:szCs w:val="16"/>
              </w:rPr>
              <w:t xml:space="preserve"> </w:t>
            </w:r>
          </w:p>
        </w:tc>
      </w:tr>
      <w:tr w:rsidR="00480FCF" w:rsidRPr="003F7618" w:rsidTr="001C5311">
        <w:trPr>
          <w:trHeight w:val="227"/>
        </w:trPr>
        <w:tc>
          <w:tcPr>
            <w:tcW w:w="2835" w:type="dxa"/>
            <w:vAlign w:val="center"/>
          </w:tcPr>
          <w:p w:rsidR="00480FCF" w:rsidRPr="003F7618" w:rsidRDefault="00480FCF" w:rsidP="00480FCF">
            <w:pPr>
              <w:spacing w:after="0" w:line="240" w:lineRule="auto"/>
              <w:rPr>
                <w:sz w:val="16"/>
                <w:szCs w:val="16"/>
              </w:rPr>
            </w:pPr>
            <w:r w:rsidRPr="003F7618">
              <w:rPr>
                <w:sz w:val="16"/>
                <w:szCs w:val="16"/>
              </w:rPr>
              <w:t>Various South Australian Wetlands</w:t>
            </w:r>
          </w:p>
        </w:tc>
        <w:tc>
          <w:tcPr>
            <w:tcW w:w="3119" w:type="dxa"/>
            <w:vAlign w:val="center"/>
          </w:tcPr>
          <w:p w:rsidR="00480FCF" w:rsidRPr="003F7618" w:rsidRDefault="00480FCF" w:rsidP="00480FCF">
            <w:pPr>
              <w:spacing w:after="0" w:line="240" w:lineRule="auto"/>
              <w:rPr>
                <w:sz w:val="16"/>
                <w:szCs w:val="16"/>
              </w:rPr>
            </w:pPr>
            <w:r w:rsidRPr="003F7618">
              <w:rPr>
                <w:sz w:val="16"/>
                <w:szCs w:val="16"/>
              </w:rPr>
              <w:t>N/A</w:t>
            </w:r>
          </w:p>
        </w:tc>
        <w:tc>
          <w:tcPr>
            <w:tcW w:w="4819" w:type="dxa"/>
            <w:vAlign w:val="center"/>
          </w:tcPr>
          <w:p w:rsidR="00480FCF" w:rsidRPr="003F7618" w:rsidRDefault="00480FCF" w:rsidP="00480FCF">
            <w:pPr>
              <w:spacing w:after="0" w:line="240" w:lineRule="auto"/>
              <w:rPr>
                <w:sz w:val="16"/>
                <w:szCs w:val="16"/>
              </w:rPr>
            </w:pPr>
            <w:r w:rsidRPr="003F7618">
              <w:rPr>
                <w:sz w:val="16"/>
                <w:szCs w:val="16"/>
              </w:rPr>
              <w:t>N/A</w:t>
            </w:r>
          </w:p>
        </w:tc>
      </w:tr>
    </w:tbl>
    <w:p w:rsidR="00480FCF" w:rsidRPr="00480FCF" w:rsidRDefault="00480FCF" w:rsidP="00554D5A">
      <w:pPr>
        <w:spacing w:after="0"/>
        <w:rPr>
          <w:sz w:val="8"/>
          <w:szCs w:val="8"/>
        </w:rPr>
      </w:pPr>
    </w:p>
    <w:p w:rsidR="00BE2B72" w:rsidRDefault="00A6227F" w:rsidP="00480FCF">
      <w:pPr>
        <w:spacing w:after="60"/>
      </w:pPr>
      <w:r>
        <w:t>W</w:t>
      </w:r>
      <w:r w:rsidRPr="004141D7">
        <w:t xml:space="preserve">e continue to use water to enhance flows in the </w:t>
      </w:r>
      <w:r>
        <w:t>u</w:t>
      </w:r>
      <w:r w:rsidRPr="004141D7">
        <w:t xml:space="preserve">nregulated </w:t>
      </w:r>
      <w:r>
        <w:t>r</w:t>
      </w:r>
      <w:r w:rsidRPr="004141D7">
        <w:t>ivers</w:t>
      </w:r>
      <w:r>
        <w:t xml:space="preserve"> of the Northern Basin </w:t>
      </w:r>
      <w:r w:rsidRPr="004141D7">
        <w:t xml:space="preserve">to ensure native vegetation, fish and birds are able to withstand the prospect of </w:t>
      </w:r>
      <w:r>
        <w:t xml:space="preserve">further </w:t>
      </w:r>
      <w:r w:rsidRPr="004141D7">
        <w:t>dry conditions, by using environmental water to support in-channel, wetland and lo</w:t>
      </w:r>
      <w:r>
        <w:t>w elevation floodplain habitat. However, water</w:t>
      </w:r>
      <w:r w:rsidR="003F7618">
        <w:t xml:space="preserve"> use is contingent on flow triggers (that </w:t>
      </w:r>
      <w:r>
        <w:t>cannot</w:t>
      </w:r>
      <w:r w:rsidR="003F7618">
        <w:t xml:space="preserve"> be predicted or may not occur).</w:t>
      </w:r>
    </w:p>
    <w:p w:rsidR="00B129F4" w:rsidRPr="003F7618" w:rsidRDefault="00B129F4" w:rsidP="00554D5A">
      <w:pPr>
        <w:pStyle w:val="Heading2"/>
        <w:spacing w:before="0" w:after="0"/>
      </w:pPr>
      <w:r w:rsidRPr="003F7618">
        <w:t xml:space="preserve">Gwydir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129F4" w:rsidRPr="003F7618" w:rsidTr="00480FCF">
        <w:trPr>
          <w:trHeight w:val="176"/>
        </w:trPr>
        <w:tc>
          <w:tcPr>
            <w:tcW w:w="2835" w:type="dxa"/>
            <w:vAlign w:val="center"/>
          </w:tcPr>
          <w:p w:rsidR="00B129F4" w:rsidRPr="003F7618" w:rsidRDefault="00B129F4" w:rsidP="006F3FD2">
            <w:pPr>
              <w:pStyle w:val="Heading2"/>
              <w:spacing w:before="0"/>
              <w:rPr>
                <w:sz w:val="16"/>
                <w:szCs w:val="16"/>
              </w:rPr>
            </w:pPr>
            <w:r w:rsidRPr="003F7618">
              <w:rPr>
                <w:sz w:val="16"/>
                <w:szCs w:val="16"/>
              </w:rPr>
              <w:t xml:space="preserve">Location </w:t>
            </w:r>
          </w:p>
        </w:tc>
        <w:tc>
          <w:tcPr>
            <w:tcW w:w="3119" w:type="dxa"/>
            <w:vAlign w:val="center"/>
          </w:tcPr>
          <w:p w:rsidR="00B129F4" w:rsidRPr="003F7618" w:rsidRDefault="00B129F4" w:rsidP="006F3FD2">
            <w:pPr>
              <w:pStyle w:val="Heading2"/>
              <w:spacing w:before="0"/>
              <w:rPr>
                <w:sz w:val="16"/>
                <w:szCs w:val="16"/>
              </w:rPr>
            </w:pPr>
            <w:r w:rsidRPr="003F7618">
              <w:rPr>
                <w:sz w:val="16"/>
                <w:szCs w:val="16"/>
              </w:rPr>
              <w:t xml:space="preserve">River Operator </w:t>
            </w:r>
          </w:p>
        </w:tc>
        <w:tc>
          <w:tcPr>
            <w:tcW w:w="4819" w:type="dxa"/>
            <w:vAlign w:val="center"/>
          </w:tcPr>
          <w:p w:rsidR="00B129F4" w:rsidRPr="003F7618" w:rsidRDefault="00B129F4" w:rsidP="006F3FD2">
            <w:pPr>
              <w:pStyle w:val="Heading2"/>
              <w:spacing w:before="0"/>
              <w:rPr>
                <w:sz w:val="16"/>
                <w:szCs w:val="16"/>
              </w:rPr>
            </w:pPr>
            <w:r w:rsidRPr="003F7618">
              <w:rPr>
                <w:sz w:val="16"/>
                <w:szCs w:val="16"/>
              </w:rPr>
              <w:t xml:space="preserve">Real time river information </w:t>
            </w:r>
          </w:p>
        </w:tc>
      </w:tr>
      <w:tr w:rsidR="0020479D" w:rsidRPr="003F7618" w:rsidTr="0020479D">
        <w:trPr>
          <w:trHeight w:val="126"/>
        </w:trPr>
        <w:tc>
          <w:tcPr>
            <w:tcW w:w="2835" w:type="dxa"/>
            <w:shd w:val="clear" w:color="auto" w:fill="auto"/>
            <w:vAlign w:val="center"/>
          </w:tcPr>
          <w:p w:rsidR="0020479D" w:rsidRPr="003F7618" w:rsidRDefault="0020479D" w:rsidP="00AA122A">
            <w:pPr>
              <w:spacing w:after="0" w:line="240" w:lineRule="auto"/>
              <w:rPr>
                <w:sz w:val="16"/>
                <w:szCs w:val="16"/>
              </w:rPr>
            </w:pPr>
            <w:r w:rsidRPr="003F7618">
              <w:rPr>
                <w:sz w:val="16"/>
                <w:szCs w:val="16"/>
              </w:rPr>
              <w:t>Gwydir Wetlands</w:t>
            </w:r>
          </w:p>
        </w:tc>
        <w:tc>
          <w:tcPr>
            <w:tcW w:w="3119" w:type="dxa"/>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WaterNSW</w:t>
            </w:r>
            <w:proofErr w:type="spellEnd"/>
          </w:p>
        </w:tc>
        <w:tc>
          <w:tcPr>
            <w:tcW w:w="4819" w:type="dxa"/>
            <w:shd w:val="clear" w:color="auto" w:fill="auto"/>
          </w:tcPr>
          <w:p w:rsidR="0020479D" w:rsidRPr="00BD37CF" w:rsidRDefault="00DB3178" w:rsidP="00AA122A">
            <w:pPr>
              <w:spacing w:after="0" w:line="240" w:lineRule="auto"/>
              <w:rPr>
                <w:sz w:val="16"/>
                <w:szCs w:val="16"/>
              </w:rPr>
            </w:pPr>
            <w:hyperlink r:id="rId31" w:history="1">
              <w:r w:rsidR="0020479D" w:rsidRPr="00BD37CF">
                <w:rPr>
                  <w:sz w:val="16"/>
                  <w:szCs w:val="16"/>
                </w:rPr>
                <w:t>http://realtimedata.water.nsw.gov.au/water.stm</w:t>
              </w:r>
            </w:hyperlink>
          </w:p>
        </w:tc>
      </w:tr>
      <w:tr w:rsidR="0020479D" w:rsidRPr="003F7618" w:rsidTr="0020479D">
        <w:trPr>
          <w:trHeight w:val="181"/>
        </w:trPr>
        <w:tc>
          <w:tcPr>
            <w:tcW w:w="2835" w:type="dxa"/>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Mallowa</w:t>
            </w:r>
            <w:proofErr w:type="spellEnd"/>
            <w:r w:rsidRPr="003F7618">
              <w:rPr>
                <w:sz w:val="16"/>
                <w:szCs w:val="16"/>
              </w:rPr>
              <w:t xml:space="preserve"> Creek</w:t>
            </w:r>
          </w:p>
        </w:tc>
        <w:tc>
          <w:tcPr>
            <w:tcW w:w="3119" w:type="dxa"/>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WaterNSW</w:t>
            </w:r>
            <w:proofErr w:type="spellEnd"/>
          </w:p>
        </w:tc>
        <w:tc>
          <w:tcPr>
            <w:tcW w:w="4819" w:type="dxa"/>
            <w:shd w:val="clear" w:color="auto" w:fill="auto"/>
          </w:tcPr>
          <w:p w:rsidR="0020479D" w:rsidRPr="00BD37CF" w:rsidRDefault="00DB3178" w:rsidP="00AA122A">
            <w:pPr>
              <w:spacing w:after="0" w:line="240" w:lineRule="auto"/>
              <w:rPr>
                <w:sz w:val="16"/>
                <w:szCs w:val="16"/>
              </w:rPr>
            </w:pPr>
            <w:hyperlink r:id="rId32" w:history="1">
              <w:r w:rsidR="0020479D" w:rsidRPr="00BD37CF">
                <w:rPr>
                  <w:sz w:val="16"/>
                  <w:szCs w:val="16"/>
                </w:rPr>
                <w:t>http://realtimedata.water.nsw.gov.au/water.stm</w:t>
              </w:r>
            </w:hyperlink>
          </w:p>
        </w:tc>
      </w:tr>
      <w:tr w:rsidR="0020479D" w:rsidRPr="003F7618" w:rsidTr="0020479D">
        <w:trPr>
          <w:trHeight w:val="181"/>
        </w:trPr>
        <w:tc>
          <w:tcPr>
            <w:tcW w:w="2835" w:type="dxa"/>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Mehi</w:t>
            </w:r>
            <w:proofErr w:type="spellEnd"/>
            <w:r w:rsidRPr="003F7618">
              <w:rPr>
                <w:sz w:val="16"/>
                <w:szCs w:val="16"/>
              </w:rPr>
              <w:t xml:space="preserve"> River</w:t>
            </w:r>
          </w:p>
        </w:tc>
        <w:tc>
          <w:tcPr>
            <w:tcW w:w="3119" w:type="dxa"/>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WaterNSW</w:t>
            </w:r>
            <w:proofErr w:type="spellEnd"/>
          </w:p>
        </w:tc>
        <w:tc>
          <w:tcPr>
            <w:tcW w:w="4819" w:type="dxa"/>
            <w:shd w:val="clear" w:color="auto" w:fill="auto"/>
          </w:tcPr>
          <w:p w:rsidR="0020479D" w:rsidRPr="00BD37CF" w:rsidRDefault="00DB3178" w:rsidP="00AA122A">
            <w:pPr>
              <w:spacing w:after="0" w:line="240" w:lineRule="auto"/>
              <w:rPr>
                <w:sz w:val="16"/>
                <w:szCs w:val="16"/>
              </w:rPr>
            </w:pPr>
            <w:hyperlink r:id="rId33" w:history="1">
              <w:r w:rsidR="0020479D" w:rsidRPr="00BD37CF">
                <w:rPr>
                  <w:sz w:val="16"/>
                  <w:szCs w:val="16"/>
                </w:rPr>
                <w:t>http://realtimedata.water.nsw.gov.au/water.stm</w:t>
              </w:r>
            </w:hyperlink>
          </w:p>
        </w:tc>
      </w:tr>
      <w:tr w:rsidR="0020479D" w:rsidRPr="003F7618" w:rsidTr="0020479D">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0479D" w:rsidRPr="003F7618" w:rsidRDefault="0020479D" w:rsidP="00AA122A">
            <w:pPr>
              <w:spacing w:after="0" w:line="240" w:lineRule="auto"/>
              <w:rPr>
                <w:sz w:val="16"/>
                <w:szCs w:val="16"/>
              </w:rPr>
            </w:pPr>
            <w:r w:rsidRPr="003F7618">
              <w:rPr>
                <w:sz w:val="16"/>
                <w:szCs w:val="16"/>
              </w:rPr>
              <w:t>Carole Creek</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0479D" w:rsidRPr="003F7618" w:rsidRDefault="0020479D" w:rsidP="00AA122A">
            <w:pPr>
              <w:spacing w:after="0" w:line="240" w:lineRule="auto"/>
              <w:rPr>
                <w:sz w:val="16"/>
                <w:szCs w:val="16"/>
              </w:rPr>
            </w:pPr>
            <w:proofErr w:type="spellStart"/>
            <w:r w:rsidRPr="003F7618">
              <w:rPr>
                <w:sz w:val="16"/>
                <w:szCs w:val="16"/>
              </w:rPr>
              <w:t>WaterNSW</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20479D" w:rsidRPr="00BD37CF" w:rsidRDefault="00DB3178" w:rsidP="00AA122A">
            <w:pPr>
              <w:spacing w:after="0" w:line="240" w:lineRule="auto"/>
              <w:rPr>
                <w:sz w:val="16"/>
                <w:szCs w:val="16"/>
              </w:rPr>
            </w:pPr>
            <w:hyperlink r:id="rId34" w:history="1">
              <w:r w:rsidR="0020479D" w:rsidRPr="00BD37CF">
                <w:rPr>
                  <w:sz w:val="16"/>
                  <w:szCs w:val="16"/>
                </w:rPr>
                <w:t>http://realtimedata.water.nsw.gov.au/water.stm</w:t>
              </w:r>
            </w:hyperlink>
          </w:p>
        </w:tc>
      </w:tr>
    </w:tbl>
    <w:p w:rsidR="00B129F4" w:rsidRPr="003F7618" w:rsidRDefault="00B129F4" w:rsidP="00554D5A">
      <w:pPr>
        <w:pStyle w:val="Heading2"/>
        <w:spacing w:before="0" w:after="0"/>
      </w:pPr>
      <w:r w:rsidRPr="003F7618">
        <w:t>Macquarie</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129F4" w:rsidRPr="003F7618" w:rsidTr="00480FCF">
        <w:trPr>
          <w:trHeight w:val="187"/>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129F4" w:rsidRPr="003F7618" w:rsidRDefault="00B129F4" w:rsidP="00554D5A">
            <w:pPr>
              <w:spacing w:after="0" w:line="240" w:lineRule="auto"/>
              <w:rPr>
                <w:sz w:val="16"/>
                <w:szCs w:val="16"/>
              </w:rPr>
            </w:pPr>
            <w:r w:rsidRPr="003F7618">
              <w:rPr>
                <w:sz w:val="16"/>
                <w:szCs w:val="16"/>
              </w:rPr>
              <w:t>Macquarie River Channel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129F4" w:rsidRPr="003F7618" w:rsidRDefault="00B129F4" w:rsidP="00AA122A">
            <w:pPr>
              <w:spacing w:after="0" w:line="240" w:lineRule="auto"/>
              <w:rPr>
                <w:sz w:val="16"/>
                <w:szCs w:val="16"/>
              </w:rPr>
            </w:pPr>
            <w:proofErr w:type="spellStart"/>
            <w:r w:rsidRPr="003F7618">
              <w:rPr>
                <w:sz w:val="16"/>
                <w:szCs w:val="16"/>
              </w:rPr>
              <w:t>WaterNSW</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B129F4" w:rsidRPr="00BD37CF" w:rsidRDefault="00DB3178" w:rsidP="00AA122A">
            <w:pPr>
              <w:spacing w:after="0" w:line="240" w:lineRule="auto"/>
              <w:rPr>
                <w:sz w:val="16"/>
                <w:szCs w:val="16"/>
              </w:rPr>
            </w:pPr>
            <w:hyperlink r:id="rId35" w:history="1">
              <w:r w:rsidR="0020479D" w:rsidRPr="00BD37CF">
                <w:rPr>
                  <w:sz w:val="16"/>
                  <w:szCs w:val="16"/>
                </w:rPr>
                <w:t>http://realtimedata.water.nsw.gov.au/water.stm</w:t>
              </w:r>
            </w:hyperlink>
          </w:p>
        </w:tc>
      </w:tr>
    </w:tbl>
    <w:p w:rsidR="00B129F4" w:rsidRPr="003F7618" w:rsidRDefault="00AA122A" w:rsidP="00554D5A">
      <w:pPr>
        <w:pStyle w:val="Heading2"/>
        <w:spacing w:before="0" w:after="0"/>
        <w:rPr>
          <w:rFonts w:ascii="Calibri Light" w:hAnsi="Calibri Light"/>
        </w:rPr>
      </w:pPr>
      <w:r w:rsidRPr="003F7618">
        <w:t>Barwon-Darling</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AA122A" w:rsidRPr="003F7618" w:rsidTr="00480FCF">
        <w:trPr>
          <w:trHeight w:val="178"/>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3F7618" w:rsidRDefault="00AA122A" w:rsidP="00AA122A">
            <w:pPr>
              <w:pStyle w:val="ImageCreditsBody"/>
              <w:spacing w:after="0"/>
              <w:rPr>
                <w:sz w:val="16"/>
                <w:szCs w:val="16"/>
              </w:rPr>
            </w:pPr>
            <w:r w:rsidRPr="003F7618">
              <w:rPr>
                <w:sz w:val="16"/>
                <w:szCs w:val="16"/>
              </w:rPr>
              <w:t>Barwon-Darling River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3F7618" w:rsidRDefault="00AA122A" w:rsidP="00AA122A">
            <w:pPr>
              <w:pStyle w:val="ImageCreditsBody"/>
              <w:spacing w:after="0"/>
              <w:rPr>
                <w:sz w:val="16"/>
                <w:szCs w:val="16"/>
              </w:rPr>
            </w:pPr>
            <w:r w:rsidRPr="003F7618">
              <w:rPr>
                <w:sz w:val="16"/>
                <w:szCs w:val="16"/>
              </w:rPr>
              <w:t>NSW DPI Water</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BD37CF" w:rsidRDefault="00DB3178" w:rsidP="00BD37CF">
            <w:pPr>
              <w:spacing w:after="0" w:line="240" w:lineRule="auto"/>
              <w:rPr>
                <w:sz w:val="16"/>
                <w:szCs w:val="16"/>
              </w:rPr>
            </w:pPr>
            <w:hyperlink r:id="rId36" w:history="1">
              <w:r w:rsidR="0020479D" w:rsidRPr="00BD37CF">
                <w:rPr>
                  <w:sz w:val="16"/>
                  <w:szCs w:val="16"/>
                </w:rPr>
                <w:t>http://realtimedata.water.nsw.gov.au/water.stm</w:t>
              </w:r>
            </w:hyperlink>
          </w:p>
        </w:tc>
      </w:tr>
    </w:tbl>
    <w:p w:rsidR="00AA122A" w:rsidRPr="003F7618" w:rsidRDefault="00AA122A" w:rsidP="00554D5A">
      <w:pPr>
        <w:pStyle w:val="Heading2"/>
        <w:spacing w:before="0" w:after="0"/>
        <w:rPr>
          <w:rFonts w:ascii="Calibri Light" w:hAnsi="Calibri Light"/>
        </w:rPr>
      </w:pPr>
      <w:r w:rsidRPr="003F7618">
        <w:t>Namoi</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AA122A" w:rsidRPr="003F7618" w:rsidTr="00480FCF">
        <w:trPr>
          <w:trHeight w:val="18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3F7618" w:rsidRDefault="00AA122A" w:rsidP="00AA122A">
            <w:pPr>
              <w:pStyle w:val="ImageCreditsBody"/>
              <w:spacing w:after="0"/>
              <w:rPr>
                <w:sz w:val="16"/>
                <w:szCs w:val="16"/>
              </w:rPr>
            </w:pPr>
            <w:r w:rsidRPr="003F7618">
              <w:rPr>
                <w:sz w:val="16"/>
                <w:szCs w:val="16"/>
              </w:rPr>
              <w:t>Namoi River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3F7618" w:rsidRDefault="00AA122A" w:rsidP="00AA122A">
            <w:pPr>
              <w:pStyle w:val="ImageCreditsBody"/>
              <w:spacing w:after="0"/>
              <w:rPr>
                <w:sz w:val="16"/>
                <w:szCs w:val="16"/>
              </w:rPr>
            </w:pPr>
            <w:proofErr w:type="spellStart"/>
            <w:r w:rsidRPr="003F7618">
              <w:rPr>
                <w:sz w:val="16"/>
                <w:szCs w:val="16"/>
              </w:rPr>
              <w:t>WaterNSW</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AA122A" w:rsidRPr="00BD37CF" w:rsidRDefault="00DB3178" w:rsidP="00BD37CF">
            <w:pPr>
              <w:spacing w:after="0" w:line="240" w:lineRule="auto"/>
              <w:rPr>
                <w:sz w:val="16"/>
                <w:szCs w:val="16"/>
              </w:rPr>
            </w:pPr>
            <w:hyperlink r:id="rId37" w:history="1">
              <w:r w:rsidR="0020479D" w:rsidRPr="00BD37CF">
                <w:rPr>
                  <w:sz w:val="16"/>
                  <w:szCs w:val="16"/>
                </w:rPr>
                <w:t>http://realtimedata.water.nsw.gov.au/water.stm</w:t>
              </w:r>
            </w:hyperlink>
          </w:p>
        </w:tc>
      </w:tr>
    </w:tbl>
    <w:p w:rsidR="00B47B81" w:rsidRPr="003F7618" w:rsidRDefault="00B47B81" w:rsidP="000A01DA">
      <w:pPr>
        <w:pStyle w:val="Heading2"/>
        <w:spacing w:before="0" w:after="0"/>
        <w:rPr>
          <w:rFonts w:ascii="Calibri Light" w:hAnsi="Calibri Light"/>
        </w:rPr>
      </w:pPr>
      <w:r w:rsidRPr="003F7618">
        <w:t>Warrego</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47B81" w:rsidRPr="003F7618" w:rsidTr="001C5311">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proofErr w:type="spellStart"/>
            <w:r w:rsidRPr="003F7618">
              <w:rPr>
                <w:sz w:val="16"/>
                <w:szCs w:val="16"/>
              </w:rPr>
              <w:t>Toorale</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NSW DPI Water</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BD37CF" w:rsidRDefault="00DB3178" w:rsidP="00BD37CF">
            <w:pPr>
              <w:spacing w:after="0" w:line="240" w:lineRule="auto"/>
              <w:rPr>
                <w:sz w:val="16"/>
                <w:szCs w:val="16"/>
              </w:rPr>
            </w:pPr>
            <w:hyperlink r:id="rId38" w:history="1">
              <w:r w:rsidR="0020479D" w:rsidRPr="00BD37CF">
                <w:rPr>
                  <w:sz w:val="16"/>
                  <w:szCs w:val="16"/>
                </w:rPr>
                <w:t>http://realtimedata.water.nsw.gov.au/water.stm</w:t>
              </w:r>
            </w:hyperlink>
          </w:p>
        </w:tc>
      </w:tr>
    </w:tbl>
    <w:p w:rsidR="00B47B81" w:rsidRPr="003F7618" w:rsidRDefault="00B47B81" w:rsidP="000A01DA">
      <w:pPr>
        <w:pStyle w:val="Heading2"/>
        <w:spacing w:before="0" w:after="0"/>
      </w:pPr>
      <w:r w:rsidRPr="003F7618">
        <w:t>Border Rivers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47B81" w:rsidRPr="003F7618" w:rsidTr="00480FCF">
        <w:trPr>
          <w:trHeight w:val="392"/>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Dum</w:t>
            </w:r>
            <w:r w:rsidR="00672F04">
              <w:rPr>
                <w:sz w:val="16"/>
                <w:szCs w:val="16"/>
              </w:rPr>
              <w:t>a</w:t>
            </w:r>
            <w:r w:rsidRPr="003F7618">
              <w:rPr>
                <w:sz w:val="16"/>
                <w:szCs w:val="16"/>
              </w:rPr>
              <w:t>resq, Severn (Qld), Macintyre River, Macintyre Brook</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 xml:space="preserve">Border Rivers </w:t>
            </w:r>
            <w:r w:rsidR="00925680">
              <w:rPr>
                <w:sz w:val="16"/>
                <w:szCs w:val="16"/>
              </w:rPr>
              <w:t>Commission/</w:t>
            </w:r>
            <w:proofErr w:type="spellStart"/>
            <w:r w:rsidRPr="003F7618">
              <w:rPr>
                <w:sz w:val="16"/>
                <w:szCs w:val="16"/>
              </w:rPr>
              <w:t>SunWater</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BD37CF" w:rsidRDefault="00DB3178" w:rsidP="00B47B81">
            <w:pPr>
              <w:pStyle w:val="ImageCreditsBody"/>
              <w:spacing w:after="0"/>
              <w:rPr>
                <w:sz w:val="16"/>
                <w:szCs w:val="16"/>
              </w:rPr>
            </w:pPr>
            <w:hyperlink r:id="rId39" w:history="1">
              <w:r w:rsidR="00B47B81" w:rsidRPr="00BD37CF">
                <w:rPr>
                  <w:rStyle w:val="Hyperlink"/>
                  <w:sz w:val="16"/>
                  <w:szCs w:val="16"/>
                </w:rPr>
                <w:t>https://water-monitoring.information.qld.gov.au/host.htm</w:t>
              </w:r>
            </w:hyperlink>
            <w:r w:rsidR="00B47B81" w:rsidRPr="00BD37CF">
              <w:rPr>
                <w:sz w:val="16"/>
                <w:szCs w:val="16"/>
              </w:rPr>
              <w:t xml:space="preserve"> </w:t>
            </w:r>
          </w:p>
        </w:tc>
      </w:tr>
    </w:tbl>
    <w:p w:rsidR="00B47B81" w:rsidRPr="003F7618" w:rsidRDefault="00B47B81" w:rsidP="000A01DA">
      <w:pPr>
        <w:pStyle w:val="Heading2"/>
        <w:numPr>
          <w:ilvl w:val="0"/>
          <w:numId w:val="0"/>
        </w:numPr>
        <w:spacing w:before="0" w:after="0"/>
        <w:rPr>
          <w:rFonts w:ascii="Calibri Light" w:hAnsi="Calibri Light"/>
        </w:rPr>
      </w:pPr>
      <w:r w:rsidRPr="003F7618">
        <w:t>Warrego (Qld)</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47B81" w:rsidRPr="003F7618" w:rsidTr="001C5311">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Upper Warrego River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QDNRM</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BD37CF" w:rsidRDefault="00672F04" w:rsidP="00BD37CF">
            <w:pPr>
              <w:spacing w:after="0" w:line="240" w:lineRule="auto"/>
              <w:rPr>
                <w:sz w:val="16"/>
                <w:szCs w:val="16"/>
              </w:rPr>
            </w:pPr>
            <w:r w:rsidRPr="00BD37CF">
              <w:rPr>
                <w:sz w:val="16"/>
                <w:szCs w:val="16"/>
              </w:rPr>
              <w:t>https://water-monitoring.information.qld.gov.au/host.htm</w:t>
            </w:r>
          </w:p>
        </w:tc>
      </w:tr>
    </w:tbl>
    <w:p w:rsidR="00B47B81" w:rsidRPr="003F7618" w:rsidRDefault="00B47B81" w:rsidP="007B0278">
      <w:pPr>
        <w:pStyle w:val="Heading2"/>
        <w:numPr>
          <w:ilvl w:val="0"/>
          <w:numId w:val="0"/>
        </w:numPr>
        <w:spacing w:before="0" w:after="0"/>
      </w:pPr>
      <w:r w:rsidRPr="003F7618">
        <w:t>Moonie</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B47B81" w:rsidRPr="003F7618" w:rsidTr="001C5311">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Moonie River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3F7618" w:rsidRDefault="00B47B81" w:rsidP="00B47B81">
            <w:pPr>
              <w:pStyle w:val="ImageCreditsBody"/>
              <w:spacing w:after="0"/>
              <w:rPr>
                <w:sz w:val="16"/>
                <w:szCs w:val="16"/>
              </w:rPr>
            </w:pPr>
            <w:r w:rsidRPr="003F7618">
              <w:rPr>
                <w:sz w:val="16"/>
                <w:szCs w:val="16"/>
              </w:rPr>
              <w:t>QDNRM</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B47B81" w:rsidRPr="00BD37CF" w:rsidRDefault="00DB3178" w:rsidP="00B47B81">
            <w:pPr>
              <w:pStyle w:val="ImageCreditsBody"/>
              <w:spacing w:after="0"/>
              <w:rPr>
                <w:sz w:val="16"/>
                <w:szCs w:val="16"/>
              </w:rPr>
            </w:pPr>
            <w:hyperlink r:id="rId40" w:history="1">
              <w:r w:rsidR="00672F04" w:rsidRPr="00BD37CF">
                <w:rPr>
                  <w:rStyle w:val="Hyperlink"/>
                  <w:sz w:val="16"/>
                  <w:szCs w:val="16"/>
                </w:rPr>
                <w:t>https://water-monitoring.information.qld.gov.au/host.htm</w:t>
              </w:r>
            </w:hyperlink>
          </w:p>
        </w:tc>
      </w:tr>
    </w:tbl>
    <w:p w:rsidR="00B47B81" w:rsidRPr="003F7618" w:rsidRDefault="00B47B81" w:rsidP="007B0278">
      <w:pPr>
        <w:pStyle w:val="Heading2"/>
        <w:spacing w:before="0" w:after="0"/>
      </w:pPr>
      <w:r w:rsidRPr="003F7618">
        <w:t>Condamine Balonne</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119"/>
        <w:gridCol w:w="4819"/>
      </w:tblGrid>
      <w:tr w:rsidR="00672F04" w:rsidRPr="003F7618" w:rsidTr="00C1231D">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0D5D" w:rsidRDefault="00672F04">
            <w:pPr>
              <w:pStyle w:val="ImageCreditsBody"/>
              <w:spacing w:after="0"/>
              <w:rPr>
                <w:sz w:val="16"/>
                <w:szCs w:val="16"/>
              </w:rPr>
            </w:pPr>
            <w:r w:rsidRPr="003F7618">
              <w:rPr>
                <w:sz w:val="16"/>
                <w:szCs w:val="16"/>
              </w:rPr>
              <w:t>Culgoa, Narr</w:t>
            </w:r>
            <w:r>
              <w:rPr>
                <w:sz w:val="16"/>
                <w:szCs w:val="16"/>
              </w:rPr>
              <w:t>a</w:t>
            </w:r>
            <w:r w:rsidRPr="003F7618">
              <w:rPr>
                <w:sz w:val="16"/>
                <w:szCs w:val="16"/>
              </w:rPr>
              <w:t xml:space="preserve">n, </w:t>
            </w:r>
            <w:proofErr w:type="spellStart"/>
            <w:r w:rsidRPr="003F7618">
              <w:rPr>
                <w:sz w:val="16"/>
                <w:szCs w:val="16"/>
              </w:rPr>
              <w:t>B</w:t>
            </w:r>
            <w:r>
              <w:rPr>
                <w:sz w:val="16"/>
                <w:szCs w:val="16"/>
              </w:rPr>
              <w:t>i</w:t>
            </w:r>
            <w:r w:rsidRPr="003F7618">
              <w:rPr>
                <w:sz w:val="16"/>
                <w:szCs w:val="16"/>
              </w:rPr>
              <w:t>rrie</w:t>
            </w:r>
            <w:proofErr w:type="spellEnd"/>
            <w:r w:rsidRPr="003F7618">
              <w:rPr>
                <w:sz w:val="16"/>
                <w:szCs w:val="16"/>
              </w:rPr>
              <w:t>, Bok</w:t>
            </w:r>
            <w:r>
              <w:rPr>
                <w:sz w:val="16"/>
                <w:szCs w:val="16"/>
              </w:rPr>
              <w:t>hara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72F04" w:rsidRPr="003F7618" w:rsidRDefault="00672F04" w:rsidP="00B47B81">
            <w:pPr>
              <w:pStyle w:val="ImageCreditsBody"/>
              <w:spacing w:after="0"/>
              <w:rPr>
                <w:sz w:val="16"/>
                <w:szCs w:val="16"/>
              </w:rPr>
            </w:pPr>
            <w:r w:rsidRPr="003F7618">
              <w:rPr>
                <w:sz w:val="16"/>
                <w:szCs w:val="16"/>
              </w:rPr>
              <w:t xml:space="preserve">QDNRM, </w:t>
            </w:r>
            <w:proofErr w:type="spellStart"/>
            <w:r w:rsidRPr="003F7618">
              <w:rPr>
                <w:sz w:val="16"/>
                <w:szCs w:val="16"/>
              </w:rPr>
              <w:t>SunWater</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72F04" w:rsidRPr="00BD37CF" w:rsidRDefault="00DB3178" w:rsidP="00B47B81">
            <w:pPr>
              <w:pStyle w:val="ImageCreditsBody"/>
              <w:spacing w:after="0"/>
              <w:rPr>
                <w:sz w:val="16"/>
                <w:szCs w:val="16"/>
              </w:rPr>
            </w:pPr>
            <w:hyperlink r:id="rId41" w:history="1">
              <w:r w:rsidR="00672F04" w:rsidRPr="00BD37CF">
                <w:rPr>
                  <w:rStyle w:val="Hyperlink"/>
                  <w:sz w:val="16"/>
                  <w:szCs w:val="16"/>
                </w:rPr>
                <w:t>https://water-monitoring.information.qld.gov.au/host.htm</w:t>
              </w:r>
            </w:hyperlink>
          </w:p>
        </w:tc>
      </w:tr>
      <w:tr w:rsidR="00672F04" w:rsidRPr="003F7618" w:rsidTr="00C1231D">
        <w:trPr>
          <w:trHeight w:val="18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72F04" w:rsidRPr="003F7618" w:rsidRDefault="00672F04" w:rsidP="00B47B81">
            <w:pPr>
              <w:pStyle w:val="ImageCreditsBody"/>
              <w:spacing w:after="0"/>
              <w:rPr>
                <w:sz w:val="16"/>
                <w:szCs w:val="16"/>
              </w:rPr>
            </w:pPr>
            <w:proofErr w:type="spellStart"/>
            <w:r w:rsidRPr="003F7618">
              <w:rPr>
                <w:sz w:val="16"/>
                <w:szCs w:val="16"/>
              </w:rPr>
              <w:t>Nebine</w:t>
            </w:r>
            <w:proofErr w:type="spellEnd"/>
            <w:r w:rsidRPr="003F7618">
              <w:rPr>
                <w:sz w:val="16"/>
                <w:szCs w:val="16"/>
              </w:rPr>
              <w:t xml:space="preserve"> River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72F04" w:rsidRPr="003F7618" w:rsidRDefault="00672F04" w:rsidP="00B47B81">
            <w:pPr>
              <w:pStyle w:val="ImageCreditsBody"/>
              <w:spacing w:after="0"/>
              <w:rPr>
                <w:sz w:val="16"/>
                <w:szCs w:val="16"/>
              </w:rPr>
            </w:pPr>
            <w:r w:rsidRPr="003F7618">
              <w:rPr>
                <w:sz w:val="16"/>
                <w:szCs w:val="16"/>
              </w:rPr>
              <w:t>QDNRM</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72F04" w:rsidRPr="00BD37CF" w:rsidRDefault="00DB3178" w:rsidP="00B47B81">
            <w:pPr>
              <w:pStyle w:val="ImageCreditsBody"/>
              <w:spacing w:after="0"/>
              <w:rPr>
                <w:sz w:val="16"/>
                <w:szCs w:val="16"/>
              </w:rPr>
            </w:pPr>
            <w:hyperlink r:id="rId42" w:history="1">
              <w:r w:rsidR="00672F04" w:rsidRPr="00BD37CF">
                <w:rPr>
                  <w:rStyle w:val="Hyperlink"/>
                  <w:sz w:val="16"/>
                  <w:szCs w:val="16"/>
                </w:rPr>
                <w:t>https://water-monitoring.information.qld.gov.au/host.htm</w:t>
              </w:r>
            </w:hyperlink>
          </w:p>
        </w:tc>
      </w:tr>
    </w:tbl>
    <w:p w:rsidR="001B57B9" w:rsidRPr="001C5311" w:rsidRDefault="001B57B9" w:rsidP="006E6919">
      <w:pPr>
        <w:rPr>
          <w:sz w:val="2"/>
          <w:szCs w:val="2"/>
        </w:rPr>
      </w:pPr>
    </w:p>
    <w:sectPr w:rsidR="001B57B9" w:rsidRPr="001C5311" w:rsidSect="000A01DA">
      <w:headerReference w:type="even" r:id="rId43"/>
      <w:headerReference w:type="default" r:id="rId44"/>
      <w:footerReference w:type="even" r:id="rId45"/>
      <w:footerReference w:type="default" r:id="rId46"/>
      <w:headerReference w:type="first" r:id="rId47"/>
      <w:footerReference w:type="first" r:id="rId48"/>
      <w:pgSz w:w="11906" w:h="16838" w:code="9"/>
      <w:pgMar w:top="2268" w:right="849" w:bottom="851" w:left="567" w:header="1871" w:footer="2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79D" w:rsidRPr="00B90C60" w:rsidRDefault="0020479D" w:rsidP="00B90C60">
      <w:r>
        <w:separator/>
      </w:r>
    </w:p>
  </w:endnote>
  <w:endnote w:type="continuationSeparator" w:id="0">
    <w:p w:rsidR="0020479D" w:rsidRPr="00B90C60" w:rsidRDefault="0020479D" w:rsidP="00B90C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36" w:rsidRDefault="00D41F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9D" w:rsidRDefault="0020479D" w:rsidP="007D04F9">
    <w:pPr>
      <w:pStyle w:val="Footer"/>
    </w:pPr>
    <w:r>
      <w:rPr>
        <w:noProof/>
        <w:lang w:eastAsia="en-AU"/>
      </w:rPr>
      <w:drawing>
        <wp:anchor distT="0" distB="0" distL="114300" distR="114300" simplePos="0" relativeHeight="251706880" behindDoc="0" locked="1" layoutInCell="1" allowOverlap="1">
          <wp:simplePos x="0" y="0"/>
          <wp:positionH relativeFrom="page">
            <wp:align>left</wp:align>
          </wp:positionH>
          <wp:positionV relativeFrom="page">
            <wp:align>bottom</wp:align>
          </wp:positionV>
          <wp:extent cx="7560000" cy="1213200"/>
          <wp:effectExtent l="0" t="0" r="3175" b="6350"/>
          <wp:wrapTopAndBottom/>
          <wp:docPr id="5" name="Picture 5" descr="twitter@theCEWH&#10;www.flickr.com/photos/envirogov/sets&#10;www.environment.gov.au/water/cewo&#10;Logo: Australian Crest&#10;Australian Government. Commonwealth Environment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al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213200"/>
                  </a:xfrm>
                  <a:prstGeom prst="rect">
                    <a:avLst/>
                  </a:prstGeom>
                </pic:spPr>
              </pic:pic>
            </a:graphicData>
          </a:graphic>
        </wp:anchor>
      </w:drawing>
    </w:r>
  </w:p>
  <w:p w:rsidR="0020479D" w:rsidRDefault="002047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9D" w:rsidRDefault="0020479D">
    <w:pPr>
      <w:pStyle w:val="Footer"/>
    </w:pPr>
    <w:r>
      <w:rPr>
        <w:noProof/>
        <w:lang w:eastAsia="en-AU"/>
      </w:rPr>
      <w:drawing>
        <wp:anchor distT="0" distB="0" distL="114300" distR="114300" simplePos="0" relativeHeight="251656704" behindDoc="0" locked="1" layoutInCell="1" allowOverlap="1">
          <wp:simplePos x="0" y="0"/>
          <wp:positionH relativeFrom="page">
            <wp:align>left</wp:align>
          </wp:positionH>
          <wp:positionV relativeFrom="page">
            <wp:align>bottom</wp:align>
          </wp:positionV>
          <wp:extent cx="7560000" cy="1213200"/>
          <wp:effectExtent l="0" t="0" r="3175" b="6350"/>
          <wp:wrapTopAndBottom/>
          <wp:docPr id="3" name="Picture 3" descr="twitter@theCEWH&#10;www.flickr.com/photos/envirogov/sets&#10;www.environment.gov.au/water/cewo&#10;Logo: Australian Crest&#10;Australian Government. Commonwealth Environment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al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2132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79D" w:rsidRPr="00B90C60" w:rsidRDefault="0020479D" w:rsidP="00B90C60">
      <w:r>
        <w:separator/>
      </w:r>
    </w:p>
  </w:footnote>
  <w:footnote w:type="continuationSeparator" w:id="0">
    <w:p w:rsidR="0020479D" w:rsidRPr="00B90C60" w:rsidRDefault="0020479D" w:rsidP="00B90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36" w:rsidRDefault="00D41F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9D" w:rsidRDefault="0020479D">
    <w:pPr>
      <w:pStyle w:val="Header"/>
    </w:pPr>
    <w:r>
      <w:rPr>
        <w:noProof/>
        <w:lang w:eastAsia="en-AU"/>
      </w:rPr>
      <w:drawing>
        <wp:anchor distT="0" distB="0" distL="114300" distR="114300" simplePos="0" relativeHeight="251632128" behindDoc="0" locked="0" layoutInCell="1" allowOverlap="1">
          <wp:simplePos x="0" y="0"/>
          <wp:positionH relativeFrom="page">
            <wp:posOffset>13855</wp:posOffset>
          </wp:positionH>
          <wp:positionV relativeFrom="page">
            <wp:posOffset>0</wp:posOffset>
          </wp:positionV>
          <wp:extent cx="7544788" cy="1080000"/>
          <wp:effectExtent l="0" t="0" r="0" b="6350"/>
          <wp:wrapTopAndBottom/>
          <wp:docPr id="2" name="Picture 2" descr="Header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ern back page 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4788" cy="1080000"/>
                  </a:xfrm>
                  <a:prstGeom prst="rect">
                    <a:avLst/>
                  </a:prstGeom>
                </pic:spPr>
              </pic:pic>
            </a:graphicData>
          </a:graphic>
        </wp:anchor>
      </w:drawing>
    </w:r>
    <w:fldSimple w:instr=" STYLEREF  &quot;Heading 1,Main Heading&quot;  \* MERGEFORMAT ">
      <w:r w:rsidR="00D41F36" w:rsidRPr="00D41F36">
        <w:rPr>
          <w:b w:val="0"/>
          <w:bCs/>
          <w:noProof/>
          <w:lang w:val="en-US"/>
        </w:rPr>
        <w:t xml:space="preserve">Commonwealth Environmental Water Holder </w:t>
      </w:r>
      <w:r w:rsidR="00D41F36">
        <w:rPr>
          <w:noProof/>
        </w:rPr>
        <w:t>Update</w:t>
      </w:r>
    </w:fldSimple>
    <w:r w:rsidR="00DB3178">
      <w:rPr>
        <w:noProof/>
        <w:lang w:eastAsia="en-AU"/>
      </w:rPr>
      <w:pict>
        <v:line id="Straight Connector 7" o:spid="_x0000_s2049" alt="Title: Thin grey divider line" style="position:absolute;z-index:-251634176;visibility:visible;mso-position-horizontal-relative:margin;mso-position-vertical-relative:page;mso-width-relative:margin" from="0,113.4pt" to="538.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" strokecolor="#4d4d4f [3215]" strokeweight=".5pt">
          <w10:wrap anchorx="margin"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9D" w:rsidRDefault="00DB3178">
    <w:pPr>
      <w:pStyle w:val="Header"/>
    </w:pPr>
    <w:r>
      <w:rPr>
        <w:noProof/>
        <w:lang w:eastAsia="en-AU"/>
      </w:rPr>
      <w:pict>
        <v:line id="Straight Connector 6" o:spid="_x0000_s2050" alt="Title: Thin grey divider line" style="position:absolute;z-index:-251584000;visibility:visible;mso-position-horizontal-relative:margin;mso-position-vertical-relative:page;mso-width-relative:margin" from="-.35pt,252pt" to="538.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" strokecolor="#4d4d4f [3215]" strokeweight=".5pt">
          <w10:wrap anchorx="margin" anchory="page"/>
        </v:line>
      </w:pict>
    </w:r>
    <w:r w:rsidR="0020479D">
      <w:rPr>
        <w:noProof/>
        <w:lang w:eastAsia="en-AU"/>
      </w:rPr>
      <w:drawing>
        <wp:anchor distT="0" distB="1188085" distL="114300" distR="114300" simplePos="0" relativeHeight="251606528" behindDoc="0" locked="1" layoutInCell="1" allowOverlap="0">
          <wp:simplePos x="0" y="0"/>
          <wp:positionH relativeFrom="page">
            <wp:align>left</wp:align>
          </wp:positionH>
          <wp:positionV relativeFrom="page">
            <wp:align>top</wp:align>
          </wp:positionV>
          <wp:extent cx="7555230" cy="2159635"/>
          <wp:effectExtent l="0" t="0" r="7620" b="0"/>
          <wp:wrapTopAndBottom/>
          <wp:docPr id="1" name="Picture 1" descr="Header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ern front page 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5430" cy="2160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DEE0AC0"/>
    <w:lvl w:ilvl="0">
      <w:start w:val="1"/>
      <w:numFmt w:val="decimal"/>
      <w:pStyle w:val="ListNumber4"/>
      <w:lvlText w:val="%1)"/>
      <w:lvlJc w:val="left"/>
      <w:pPr>
        <w:ind w:left="1209" w:hanging="360"/>
      </w:pPr>
    </w:lvl>
  </w:abstractNum>
  <w:abstractNum w:abstractNumId="2">
    <w:nsid w:val="FFFFFF7E"/>
    <w:multiLevelType w:val="singleLevel"/>
    <w:tmpl w:val="E8D6DD70"/>
    <w:lvl w:ilvl="0">
      <w:start w:val="1"/>
      <w:numFmt w:val="decimal"/>
      <w:lvlText w:val="%1."/>
      <w:lvlJc w:val="left"/>
      <w:pPr>
        <w:tabs>
          <w:tab w:val="num" w:pos="926"/>
        </w:tabs>
        <w:ind w:left="926" w:hanging="360"/>
      </w:pPr>
    </w:lvl>
  </w:abstractNum>
  <w:abstractNum w:abstractNumId="3">
    <w:nsid w:val="FFFFFF7F"/>
    <w:multiLevelType w:val="singleLevel"/>
    <w:tmpl w:val="4C1654D2"/>
    <w:lvl w:ilvl="0">
      <w:start w:val="1"/>
      <w:numFmt w:val="decimal"/>
      <w:lvlText w:val="%1."/>
      <w:lvlJc w:val="left"/>
      <w:pPr>
        <w:tabs>
          <w:tab w:val="num" w:pos="643"/>
        </w:tabs>
        <w:ind w:left="643" w:hanging="360"/>
      </w:pPr>
    </w:lvl>
  </w:abstractNum>
  <w:abstractNum w:abstractNumId="4">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498D310"/>
    <w:lvl w:ilvl="0">
      <w:start w:val="1"/>
      <w:numFmt w:val="bullet"/>
      <w:lvlText w:val=""/>
      <w:lvlJc w:val="left"/>
      <w:pPr>
        <w:ind w:left="1209" w:hanging="360"/>
      </w:pPr>
      <w:rPr>
        <w:rFonts w:ascii="Wingdings" w:hAnsi="Wingdings" w:hint="default"/>
      </w:rPr>
    </w:lvl>
  </w:abstractNum>
  <w:abstractNum w:abstractNumId="6">
    <w:nsid w:val="FFFFFF82"/>
    <w:multiLevelType w:val="singleLevel"/>
    <w:tmpl w:val="42D20488"/>
    <w:lvl w:ilvl="0">
      <w:start w:val="1"/>
      <w:numFmt w:val="bullet"/>
      <w:lvlText w:val="–"/>
      <w:lvlJc w:val="left"/>
      <w:pPr>
        <w:ind w:left="926" w:hanging="360"/>
      </w:pPr>
      <w:rPr>
        <w:rFonts w:ascii="TheSans Veolia W2 ExtraLight" w:hAnsi="TheSans Veolia W2 ExtraLight" w:hint="default"/>
      </w:rPr>
    </w:lvl>
  </w:abstractNum>
  <w:abstractNum w:abstractNumId="7">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92ED90"/>
    <w:lvl w:ilvl="0">
      <w:start w:val="1"/>
      <w:numFmt w:val="decimal"/>
      <w:lvlText w:val="%1."/>
      <w:lvlJc w:val="left"/>
      <w:pPr>
        <w:tabs>
          <w:tab w:val="num" w:pos="360"/>
        </w:tabs>
        <w:ind w:left="360" w:hanging="360"/>
      </w:pPr>
    </w:lvl>
  </w:abstractNum>
  <w:abstractNum w:abstractNumId="9">
    <w:nsid w:val="FFFFFF89"/>
    <w:multiLevelType w:val="singleLevel"/>
    <w:tmpl w:val="9046657A"/>
    <w:lvl w:ilvl="0">
      <w:start w:val="1"/>
      <w:numFmt w:val="bullet"/>
      <w:lvlText w:val=""/>
      <w:lvlJc w:val="left"/>
      <w:pPr>
        <w:ind w:left="717" w:hanging="360"/>
      </w:pPr>
      <w:rPr>
        <w:rFonts w:ascii="Symbol" w:hAnsi="Symbol" w:hint="default"/>
        <w:color w:val="D7181E"/>
      </w:rPr>
    </w:lvl>
  </w:abstractNum>
  <w:abstractNum w:abstractNumId="10">
    <w:nsid w:val="13C50E71"/>
    <w:multiLevelType w:val="multilevel"/>
    <w:tmpl w:val="8FAE6826"/>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5936B19"/>
    <w:multiLevelType w:val="hybridMultilevel"/>
    <w:tmpl w:val="CB46B1BC"/>
    <w:lvl w:ilvl="0" w:tplc="C3F40460">
      <w:start w:val="1"/>
      <w:numFmt w:val="bullet"/>
      <w:lvlText w:val=""/>
      <w:lvlJc w:val="left"/>
      <w:pPr>
        <w:ind w:left="828" w:hanging="360"/>
      </w:pPr>
      <w:rPr>
        <w:rFonts w:ascii="Symbol" w:hAnsi="Symbol" w:hint="default"/>
        <w:color w:val="4D4D4F" w:themeColor="text1"/>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408564EA"/>
    <w:multiLevelType w:val="multilevel"/>
    <w:tmpl w:val="87F2F9E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upperLetter"/>
      <w:suff w:val="space"/>
      <w:lvlText w:val="Appendix %5:"/>
      <w:lvlJc w:val="left"/>
      <w:pPr>
        <w:ind w:left="3544" w:firstLine="0"/>
      </w:pPr>
      <w:rPr>
        <w:rFonts w:hint="default"/>
      </w:rPr>
    </w:lvl>
    <w:lvl w:ilvl="5">
      <w:start w:val="1"/>
      <w:numFmt w:val="decimal"/>
      <w:lvlText w:val="%6"/>
      <w:lvlJc w:val="left"/>
      <w:pPr>
        <w:ind w:left="357" w:hanging="357"/>
      </w:pPr>
      <w:rPr>
        <w:rFonts w:hint="default"/>
      </w:rPr>
    </w:lvl>
    <w:lvl w:ilvl="6">
      <w:start w:val="1"/>
      <w:numFmt w:val="lowerLetter"/>
      <w:lvlText w:val="%7."/>
      <w:lvlJc w:val="left"/>
      <w:pPr>
        <w:ind w:left="720" w:hanging="363"/>
      </w:pPr>
      <w:rPr>
        <w:rFonts w:hint="default"/>
      </w:rPr>
    </w:lvl>
    <w:lvl w:ilvl="7">
      <w:start w:val="1"/>
      <w:numFmt w:val="lowerRoman"/>
      <w:lvlText w:val="%8)"/>
      <w:lvlJc w:val="left"/>
      <w:pPr>
        <w:ind w:left="1077" w:hanging="357"/>
      </w:pPr>
      <w:rPr>
        <w:rFonts w:hint="default"/>
      </w:rPr>
    </w:lvl>
    <w:lvl w:ilvl="8">
      <w:start w:val="1"/>
      <w:numFmt w:val="decimal"/>
      <w:lvlText w:val="%9)"/>
      <w:lvlJc w:val="left"/>
      <w:pPr>
        <w:tabs>
          <w:tab w:val="num" w:pos="1435"/>
        </w:tabs>
        <w:ind w:left="1435" w:hanging="358"/>
      </w:pPr>
      <w:rPr>
        <w:rFonts w:hint="default"/>
      </w:rPr>
    </w:lvl>
  </w:abstractNum>
  <w:abstractNum w:abstractNumId="15">
    <w:nsid w:val="440839EF"/>
    <w:multiLevelType w:val="hybridMultilevel"/>
    <w:tmpl w:val="35C2DF18"/>
    <w:lvl w:ilvl="0" w:tplc="C2A6D20A">
      <w:start w:val="1"/>
      <w:numFmt w:val="bullet"/>
      <w:lvlText w:val=""/>
      <w:lvlJc w:val="left"/>
      <w:pPr>
        <w:ind w:left="1077" w:hanging="360"/>
      </w:pPr>
      <w:rPr>
        <w:rFonts w:ascii="Symbol" w:hAnsi="Symbol" w:hint="default"/>
        <w:color w:val="4D4D4F"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nsid w:val="45336824"/>
    <w:multiLevelType w:val="multilevel"/>
    <w:tmpl w:val="464EB3FE"/>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8">
    <w:nsid w:val="4F320991"/>
    <w:multiLevelType w:val="multilevel"/>
    <w:tmpl w:val="052EF328"/>
    <w:styleLink w:val="CustomList"/>
    <w:lvl w:ilvl="0">
      <w:start w:val="1"/>
      <w:numFmt w:val="bullet"/>
      <w:lvlText w:val=""/>
      <w:lvlJc w:val="left"/>
      <w:pPr>
        <w:ind w:left="717" w:hanging="360"/>
      </w:pPr>
      <w:rPr>
        <w:rFonts w:ascii="Symbol" w:hAnsi="Symbol" w:hint="default"/>
        <w:color w:val="00A1AF"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nsid w:val="610B3966"/>
    <w:multiLevelType w:val="multilevel"/>
    <w:tmpl w:val="5056580C"/>
    <w:lvl w:ilvl="0">
      <w:start w:val="1"/>
      <w:numFmt w:val="bullet"/>
      <w:pStyle w:val="ListBullet"/>
      <w:lvlText w:val=""/>
      <w:lvlJc w:val="left"/>
      <w:pPr>
        <w:ind w:left="720" w:hanging="363"/>
      </w:pPr>
      <w:rPr>
        <w:rFonts w:ascii="Symbol" w:hAnsi="Symbol" w:hint="default"/>
        <w:color w:val="auto"/>
      </w:rPr>
    </w:lvl>
    <w:lvl w:ilvl="1">
      <w:start w:val="1"/>
      <w:numFmt w:val="bullet"/>
      <w:pStyle w:val="ListBullet2"/>
      <w:lvlText w:val="o"/>
      <w:lvlJc w:val="left"/>
      <w:pPr>
        <w:ind w:left="1077" w:hanging="357"/>
      </w:pPr>
      <w:rPr>
        <w:rFonts w:ascii="Courier New" w:hAnsi="Courier New" w:hint="default"/>
        <w:color w:val="auto"/>
      </w:rPr>
    </w:lvl>
    <w:lvl w:ilvl="2">
      <w:start w:val="1"/>
      <w:numFmt w:val="bullet"/>
      <w:pStyle w:val="ListBullet3"/>
      <w:lvlText w:val=""/>
      <w:lvlJc w:val="left"/>
      <w:pPr>
        <w:ind w:left="1435" w:hanging="358"/>
      </w:pPr>
      <w:rPr>
        <w:rFonts w:ascii="Symbol" w:hAnsi="Symbol" w:hint="default"/>
        <w:color w:val="auto"/>
      </w:rPr>
    </w:lvl>
    <w:lvl w:ilvl="3">
      <w:start w:val="1"/>
      <w:numFmt w:val="bullet"/>
      <w:pStyle w:val="ListBullet4"/>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space"/>
      <w:lvlText w:val="Note:"/>
      <w:lvlJc w:val="left"/>
      <w:pPr>
        <w:ind w:left="0" w:firstLine="0"/>
      </w:pPr>
      <w:rPr>
        <w:rFonts w:hint="default"/>
        <w:b/>
        <w:i w:val="0"/>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64363A73"/>
    <w:multiLevelType w:val="multilevel"/>
    <w:tmpl w:val="8A4608A4"/>
    <w:lvl w:ilvl="0">
      <w:start w:val="1"/>
      <w:numFmt w:val="none"/>
      <w:pStyle w:val="Heading1"/>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pStyle w:val="Heading3"/>
      <w:suff w:val="nothing"/>
      <w:lvlText w:val="%1"/>
      <w:lvlJc w:val="left"/>
      <w:pPr>
        <w:ind w:left="0" w:firstLine="0"/>
      </w:pPr>
      <w:rPr>
        <w:rFonts w:hint="default"/>
      </w:rPr>
    </w:lvl>
    <w:lvl w:ilvl="3">
      <w:start w:val="1"/>
      <w:numFmt w:val="none"/>
      <w:pStyle w:val="Heading4"/>
      <w:suff w:val="nothing"/>
      <w:lvlText w:val="%4"/>
      <w:lvlJc w:val="left"/>
      <w:pPr>
        <w:ind w:left="0" w:firstLine="0"/>
      </w:pPr>
      <w:rPr>
        <w:rFonts w:hint="default"/>
      </w:rPr>
    </w:lvl>
    <w:lvl w:ilvl="4">
      <w:start w:val="1"/>
      <w:numFmt w:val="none"/>
      <w:pStyle w:val="AppendixHeading"/>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2">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2E921FA"/>
    <w:multiLevelType w:val="multilevel"/>
    <w:tmpl w:val="76EA8A18"/>
    <w:lvl w:ilvl="0">
      <w:start w:val="1"/>
      <w:numFmt w:val="decimal"/>
      <w:suff w:val="space"/>
      <w:lvlText w:val="Note %1: "/>
      <w:lvlJc w:val="left"/>
      <w:pPr>
        <w:ind w:left="0" w:firstLine="0"/>
      </w:pPr>
      <w:rPr>
        <w:rFonts w:ascii="Arial" w:hAnsi="Arial" w:cs="Arial" w:hint="default"/>
        <w:b/>
        <w:bCs w:val="0"/>
        <w:i w:val="0"/>
        <w:iCs w:val="0"/>
        <w:caps w:val="0"/>
        <w:smallCaps w:val="0"/>
        <w:strike w:val="0"/>
        <w:dstrike w:val="0"/>
        <w:vanish w:val="0"/>
        <w:color w:val="FFFFFF" w:themeColor="background1"/>
        <w:spacing w:val="0"/>
        <w:kern w:val="0"/>
        <w:position w:val="0"/>
        <w:u w:val="none"/>
        <w:vertAlign w:val="baseline"/>
      </w:rPr>
    </w:lvl>
    <w:lvl w:ilvl="1">
      <w:start w:val="1"/>
      <w:numFmt w:val="upperLetter"/>
      <w:suff w:val="space"/>
      <w:lvlText w:val="Notes %1%2: "/>
      <w:lvlJc w:val="left"/>
      <w:pPr>
        <w:ind w:left="0" w:firstLine="0"/>
      </w:pPr>
      <w:rPr>
        <w:rFonts w:ascii="Arial" w:hAnsi="Arial"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2"/>
  </w:num>
  <w:num w:numId="2">
    <w:abstractNumId w:val="13"/>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3"/>
  </w:num>
  <w:num w:numId="17">
    <w:abstractNumId w:val="6"/>
  </w:num>
  <w:num w:numId="18">
    <w:abstractNumId w:val="5"/>
  </w:num>
  <w:num w:numId="19">
    <w:abstractNumId w:val="1"/>
  </w:num>
  <w:num w:numId="20">
    <w:abstractNumId w:val="15"/>
  </w:num>
  <w:num w:numId="21">
    <w:abstractNumId w:val="4"/>
  </w:num>
  <w:num w:numId="22">
    <w:abstractNumId w:val="0"/>
  </w:num>
  <w:num w:numId="23">
    <w:abstractNumId w:val="1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6"/>
  </w:num>
  <w:num w:numId="31">
    <w:abstractNumId w:val="24"/>
  </w:num>
  <w:num w:numId="32">
    <w:abstractNumId w:val="21"/>
  </w:num>
  <w:num w:numId="33">
    <w:abstractNumId w:val="21"/>
  </w:num>
  <w:num w:numId="34">
    <w:abstractNumId w:val="21"/>
  </w:num>
  <w:num w:numId="35">
    <w:abstractNumId w:val="21"/>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displayBackgroundShape/>
  <w:proofState w:spelling="clean" w:grammar="clean"/>
  <w:stylePaneFormatFilter w:val="D004"/>
  <w:documentProtection w:edit="readOnly"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1209C"/>
    <w:rsid w:val="00003D0E"/>
    <w:rsid w:val="00005D98"/>
    <w:rsid w:val="00027919"/>
    <w:rsid w:val="0003477F"/>
    <w:rsid w:val="0003506B"/>
    <w:rsid w:val="00036F9E"/>
    <w:rsid w:val="00040C2C"/>
    <w:rsid w:val="000413B3"/>
    <w:rsid w:val="00041516"/>
    <w:rsid w:val="00042334"/>
    <w:rsid w:val="000654E6"/>
    <w:rsid w:val="0008244F"/>
    <w:rsid w:val="00086F71"/>
    <w:rsid w:val="00095109"/>
    <w:rsid w:val="000A01DA"/>
    <w:rsid w:val="000A490E"/>
    <w:rsid w:val="000B5DCC"/>
    <w:rsid w:val="000F45CC"/>
    <w:rsid w:val="00104539"/>
    <w:rsid w:val="0011122D"/>
    <w:rsid w:val="00120CF3"/>
    <w:rsid w:val="00123576"/>
    <w:rsid w:val="00124B21"/>
    <w:rsid w:val="0015780B"/>
    <w:rsid w:val="00163200"/>
    <w:rsid w:val="001653B6"/>
    <w:rsid w:val="001665EE"/>
    <w:rsid w:val="00171A13"/>
    <w:rsid w:val="00180D57"/>
    <w:rsid w:val="0018235E"/>
    <w:rsid w:val="00193D46"/>
    <w:rsid w:val="001B57B9"/>
    <w:rsid w:val="001C5311"/>
    <w:rsid w:val="001C5D4A"/>
    <w:rsid w:val="001D3184"/>
    <w:rsid w:val="001E0F51"/>
    <w:rsid w:val="001F6E1A"/>
    <w:rsid w:val="00202B8D"/>
    <w:rsid w:val="0020479D"/>
    <w:rsid w:val="0021209C"/>
    <w:rsid w:val="002247A8"/>
    <w:rsid w:val="0022640C"/>
    <w:rsid w:val="00240126"/>
    <w:rsid w:val="00252E6A"/>
    <w:rsid w:val="00254AB6"/>
    <w:rsid w:val="00254FD7"/>
    <w:rsid w:val="00256229"/>
    <w:rsid w:val="00263011"/>
    <w:rsid w:val="00286EAD"/>
    <w:rsid w:val="00290812"/>
    <w:rsid w:val="0029389B"/>
    <w:rsid w:val="00297319"/>
    <w:rsid w:val="002A7161"/>
    <w:rsid w:val="002B7504"/>
    <w:rsid w:val="002C0D97"/>
    <w:rsid w:val="002C4FFD"/>
    <w:rsid w:val="002C7065"/>
    <w:rsid w:val="002C7F4A"/>
    <w:rsid w:val="002F4EBA"/>
    <w:rsid w:val="002F558D"/>
    <w:rsid w:val="00301352"/>
    <w:rsid w:val="00303D18"/>
    <w:rsid w:val="003130CA"/>
    <w:rsid w:val="00324CD5"/>
    <w:rsid w:val="00327F24"/>
    <w:rsid w:val="00330844"/>
    <w:rsid w:val="00331C0E"/>
    <w:rsid w:val="0035681C"/>
    <w:rsid w:val="00371F54"/>
    <w:rsid w:val="00372ED7"/>
    <w:rsid w:val="003777B2"/>
    <w:rsid w:val="003828C7"/>
    <w:rsid w:val="00383A95"/>
    <w:rsid w:val="003A7E9C"/>
    <w:rsid w:val="003D27CB"/>
    <w:rsid w:val="003F0F0D"/>
    <w:rsid w:val="003F0FE5"/>
    <w:rsid w:val="003F43D6"/>
    <w:rsid w:val="003F7618"/>
    <w:rsid w:val="0040173E"/>
    <w:rsid w:val="00413158"/>
    <w:rsid w:val="00423292"/>
    <w:rsid w:val="00460D73"/>
    <w:rsid w:val="00480570"/>
    <w:rsid w:val="00480FCF"/>
    <w:rsid w:val="004B2892"/>
    <w:rsid w:val="004B2D38"/>
    <w:rsid w:val="004B3267"/>
    <w:rsid w:val="004B584E"/>
    <w:rsid w:val="004D48FF"/>
    <w:rsid w:val="004E2269"/>
    <w:rsid w:val="00507ADD"/>
    <w:rsid w:val="00512309"/>
    <w:rsid w:val="00526172"/>
    <w:rsid w:val="0054526E"/>
    <w:rsid w:val="005476B5"/>
    <w:rsid w:val="0055179E"/>
    <w:rsid w:val="005537A4"/>
    <w:rsid w:val="00554AAF"/>
    <w:rsid w:val="00554D5A"/>
    <w:rsid w:val="00563E93"/>
    <w:rsid w:val="00572601"/>
    <w:rsid w:val="00580982"/>
    <w:rsid w:val="005A17B2"/>
    <w:rsid w:val="005A3F63"/>
    <w:rsid w:val="005A66BD"/>
    <w:rsid w:val="005B073E"/>
    <w:rsid w:val="005B227F"/>
    <w:rsid w:val="005C0FD3"/>
    <w:rsid w:val="005D5FAE"/>
    <w:rsid w:val="005E3507"/>
    <w:rsid w:val="005F29B7"/>
    <w:rsid w:val="005F7103"/>
    <w:rsid w:val="00603C1B"/>
    <w:rsid w:val="00605574"/>
    <w:rsid w:val="00606EAB"/>
    <w:rsid w:val="00606EB5"/>
    <w:rsid w:val="00610D5D"/>
    <w:rsid w:val="00617FDA"/>
    <w:rsid w:val="00636B8B"/>
    <w:rsid w:val="006427FE"/>
    <w:rsid w:val="00656050"/>
    <w:rsid w:val="00672F04"/>
    <w:rsid w:val="0069375D"/>
    <w:rsid w:val="0069574E"/>
    <w:rsid w:val="006C0441"/>
    <w:rsid w:val="006E0260"/>
    <w:rsid w:val="006E6919"/>
    <w:rsid w:val="006E7854"/>
    <w:rsid w:val="006F145A"/>
    <w:rsid w:val="006F248C"/>
    <w:rsid w:val="006F27CB"/>
    <w:rsid w:val="006F3FD2"/>
    <w:rsid w:val="006F4330"/>
    <w:rsid w:val="006F5865"/>
    <w:rsid w:val="00700AEA"/>
    <w:rsid w:val="00717B71"/>
    <w:rsid w:val="00737D9E"/>
    <w:rsid w:val="00757F63"/>
    <w:rsid w:val="007645AE"/>
    <w:rsid w:val="00764992"/>
    <w:rsid w:val="00764A77"/>
    <w:rsid w:val="007B0278"/>
    <w:rsid w:val="007C2CC2"/>
    <w:rsid w:val="007C79AA"/>
    <w:rsid w:val="007D04F9"/>
    <w:rsid w:val="007E5F7A"/>
    <w:rsid w:val="007F578E"/>
    <w:rsid w:val="00815EB3"/>
    <w:rsid w:val="00827608"/>
    <w:rsid w:val="00836481"/>
    <w:rsid w:val="00845843"/>
    <w:rsid w:val="00870BC6"/>
    <w:rsid w:val="00885A14"/>
    <w:rsid w:val="0088689B"/>
    <w:rsid w:val="008A3F1B"/>
    <w:rsid w:val="008A72D2"/>
    <w:rsid w:val="008B3C23"/>
    <w:rsid w:val="008B6868"/>
    <w:rsid w:val="008C6A43"/>
    <w:rsid w:val="008D080C"/>
    <w:rsid w:val="008E1657"/>
    <w:rsid w:val="00902171"/>
    <w:rsid w:val="00906799"/>
    <w:rsid w:val="009163D3"/>
    <w:rsid w:val="00924152"/>
    <w:rsid w:val="00925680"/>
    <w:rsid w:val="0093194D"/>
    <w:rsid w:val="00932C45"/>
    <w:rsid w:val="00934C3F"/>
    <w:rsid w:val="0094093A"/>
    <w:rsid w:val="009460DC"/>
    <w:rsid w:val="00952D4C"/>
    <w:rsid w:val="009608C7"/>
    <w:rsid w:val="009979F4"/>
    <w:rsid w:val="009A45B2"/>
    <w:rsid w:val="009B0269"/>
    <w:rsid w:val="009D7944"/>
    <w:rsid w:val="009E2F59"/>
    <w:rsid w:val="009F1140"/>
    <w:rsid w:val="009F64D6"/>
    <w:rsid w:val="00A20C42"/>
    <w:rsid w:val="00A32ED2"/>
    <w:rsid w:val="00A33802"/>
    <w:rsid w:val="00A44816"/>
    <w:rsid w:val="00A45343"/>
    <w:rsid w:val="00A6227F"/>
    <w:rsid w:val="00A62D31"/>
    <w:rsid w:val="00A714B4"/>
    <w:rsid w:val="00A97E3B"/>
    <w:rsid w:val="00AA122A"/>
    <w:rsid w:val="00AA5D57"/>
    <w:rsid w:val="00AA7266"/>
    <w:rsid w:val="00AB26FE"/>
    <w:rsid w:val="00AC6581"/>
    <w:rsid w:val="00AF129F"/>
    <w:rsid w:val="00B0419C"/>
    <w:rsid w:val="00B129F4"/>
    <w:rsid w:val="00B12DC9"/>
    <w:rsid w:val="00B13F84"/>
    <w:rsid w:val="00B15ABA"/>
    <w:rsid w:val="00B16BD4"/>
    <w:rsid w:val="00B27D61"/>
    <w:rsid w:val="00B42B2F"/>
    <w:rsid w:val="00B44C00"/>
    <w:rsid w:val="00B47B81"/>
    <w:rsid w:val="00B716D1"/>
    <w:rsid w:val="00B71DFE"/>
    <w:rsid w:val="00B80FBF"/>
    <w:rsid w:val="00B900EA"/>
    <w:rsid w:val="00B90C60"/>
    <w:rsid w:val="00B91069"/>
    <w:rsid w:val="00B921E5"/>
    <w:rsid w:val="00B97F81"/>
    <w:rsid w:val="00BD0EE3"/>
    <w:rsid w:val="00BD37CF"/>
    <w:rsid w:val="00BD501B"/>
    <w:rsid w:val="00BD6118"/>
    <w:rsid w:val="00BE2B72"/>
    <w:rsid w:val="00BF1C4D"/>
    <w:rsid w:val="00C00FDA"/>
    <w:rsid w:val="00C17AFE"/>
    <w:rsid w:val="00C548C2"/>
    <w:rsid w:val="00C636DA"/>
    <w:rsid w:val="00C63824"/>
    <w:rsid w:val="00C72271"/>
    <w:rsid w:val="00C959A3"/>
    <w:rsid w:val="00CA12DF"/>
    <w:rsid w:val="00CB4238"/>
    <w:rsid w:val="00CB44A3"/>
    <w:rsid w:val="00CC049C"/>
    <w:rsid w:val="00CC34EB"/>
    <w:rsid w:val="00CE2E48"/>
    <w:rsid w:val="00D021F7"/>
    <w:rsid w:val="00D078A2"/>
    <w:rsid w:val="00D12EB7"/>
    <w:rsid w:val="00D36CEC"/>
    <w:rsid w:val="00D36F0A"/>
    <w:rsid w:val="00D41F36"/>
    <w:rsid w:val="00D461C2"/>
    <w:rsid w:val="00D61AAE"/>
    <w:rsid w:val="00DA4C48"/>
    <w:rsid w:val="00DA727D"/>
    <w:rsid w:val="00DB3178"/>
    <w:rsid w:val="00DB53A7"/>
    <w:rsid w:val="00DC2723"/>
    <w:rsid w:val="00DD170F"/>
    <w:rsid w:val="00DD609E"/>
    <w:rsid w:val="00DE0A8A"/>
    <w:rsid w:val="00DF6E54"/>
    <w:rsid w:val="00E01E23"/>
    <w:rsid w:val="00E04228"/>
    <w:rsid w:val="00E04356"/>
    <w:rsid w:val="00E04BBC"/>
    <w:rsid w:val="00E159D7"/>
    <w:rsid w:val="00E17CD7"/>
    <w:rsid w:val="00E21653"/>
    <w:rsid w:val="00E40F38"/>
    <w:rsid w:val="00E418DC"/>
    <w:rsid w:val="00E640D8"/>
    <w:rsid w:val="00E84A6B"/>
    <w:rsid w:val="00E96DEA"/>
    <w:rsid w:val="00EA48AE"/>
    <w:rsid w:val="00ED44B2"/>
    <w:rsid w:val="00EF2A15"/>
    <w:rsid w:val="00EF5BFD"/>
    <w:rsid w:val="00F128EF"/>
    <w:rsid w:val="00F14028"/>
    <w:rsid w:val="00F17424"/>
    <w:rsid w:val="00F34D63"/>
    <w:rsid w:val="00F45721"/>
    <w:rsid w:val="00F46407"/>
    <w:rsid w:val="00F76C98"/>
    <w:rsid w:val="00F80750"/>
    <w:rsid w:val="00F832C9"/>
    <w:rsid w:val="00F85F59"/>
    <w:rsid w:val="00F86DD4"/>
    <w:rsid w:val="00F97CFE"/>
    <w:rsid w:val="00FA53C4"/>
    <w:rsid w:val="00FB27EC"/>
    <w:rsid w:val="00FB4CF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color w:val="4D4D4F" w:themeColor="text1"/>
        <w:sz w:val="18"/>
        <w:szCs w:val="18"/>
        <w:lang w:val="en-AU" w:eastAsia="en-US" w:bidi="ar-SA"/>
      </w:rPr>
    </w:rPrDefault>
    <w:pPrDefault>
      <w:pPr>
        <w:spacing w:after="113" w:line="264" w:lineRule="auto"/>
      </w:pPr>
    </w:pPrDefault>
  </w:docDefaults>
  <w:latentStyles w:defLockedState="1" w:defUIPriority="99" w:defSemiHidden="1" w:defUnhideWhenUsed="0" w:defQFormat="0" w:count="267">
    <w:lsdException w:name="Normal" w:locked="0" w:semiHidden="0" w:uiPriority="0" w:qFormat="1"/>
    <w:lsdException w:name="heading 1" w:semiHidden="0" w:uiPriority="2" w:qFormat="1"/>
    <w:lsdException w:name="heading 2" w:uiPriority="3" w:unhideWhenUsed="1" w:qFormat="1"/>
    <w:lsdException w:name="heading 3" w:uiPriority="3" w:unhideWhenUsed="1" w:qFormat="1"/>
    <w:lsdException w:name="heading 4" w:locked="0" w:uiPriority="3" w:unhideWhenUsed="1"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locked="0" w:semiHidden="0"/>
    <w:lsdException w:name="annotation text" w:unhideWhenUsed="1"/>
    <w:lsdException w:name="header" w:locked="0" w:semiHidden="0"/>
    <w:lsdException w:name="footer" w:locked="0"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locked="0" w:semiHidden="0"/>
    <w:lsdException w:name="annotation reference" w:unhideWhenUsed="1"/>
    <w:lsdException w:name="line number" w:unhideWhenUsed="1"/>
    <w:lsdException w:name="page number" w:unhideWhenUsed="1"/>
    <w:lsdException w:name="endnote reference" w:locked="0" w:semiHidden="0"/>
    <w:lsdException w:name="endnote text" w:locked="0" w:semiHidden="0"/>
    <w:lsdException w:name="table of authorities" w:unhideWhenUsed="1"/>
    <w:lsdException w:name="macro" w:unhideWhenUsed="1"/>
    <w:lsdException w:name="toa heading" w:unhideWhenUsed="1"/>
    <w:lsdException w:name="List" w:unhideWhenUsed="1"/>
    <w:lsdException w:name="List Bullet" w:semiHidden="0" w:qFormat="1"/>
    <w:lsdException w:name="List Number" w:semiHidden="0" w:uiPriority="9" w:qFormat="1"/>
    <w:lsdException w:name="List 2" w:unhideWhenUsed="1"/>
    <w:lsdException w:name="List 3" w:unhideWhenUsed="1"/>
    <w:lsdException w:name="List 4" w:unhideWhenUsed="1"/>
    <w:lsdException w:name="List 5" w:unhideWhenUsed="1"/>
    <w:lsdException w:name="List Bullet 2" w:semiHidden="0" w:qFormat="1"/>
    <w:lsdException w:name="List Bullet 3" w:semiHidden="0" w:qFormat="1"/>
    <w:lsdException w:name="List Bullet 4" w:semiHidden="0" w:qFormat="1"/>
    <w:lsdException w:name="List Number 2" w:semiHidden="0" w:uiPriority="9" w:qFormat="1"/>
    <w:lsdException w:name="List Number 3" w:semiHidden="0" w:uiPriority="9" w:qFormat="1"/>
    <w:lsdException w:name="List Number 4" w:semiHidden="0" w:uiPriority="16"/>
    <w:lsdException w:name="Title" w:uiPriority="10"/>
    <w:lsdException w:name="Closing" w:unhideWhenUsed="1"/>
    <w:lsdException w:name="Signature" w:unhideWhenUsed="1"/>
    <w:lsdException w:name="Default Paragraph Font" w:locked="0"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unhideWhenUsed="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0" w:unhideWhenUsed="1"/>
    <w:lsdException w:name="FollowedHyperlink" w:locked="0"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locked="0" w:unhideWhenUsed="1"/>
    <w:lsdException w:name="HTML Bottom of Form" w:locked="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latentStyles>
  <w:style w:type="paragraph" w:default="1" w:styleId="Normal">
    <w:name w:val="Normal"/>
    <w:unhideWhenUsed/>
    <w:qFormat/>
    <w:rsid w:val="00605574"/>
  </w:style>
  <w:style w:type="paragraph" w:styleId="Heading1">
    <w:name w:val="heading 1"/>
    <w:aliases w:val="Main Heading"/>
    <w:basedOn w:val="Normal"/>
    <w:next w:val="HeadingTwo"/>
    <w:link w:val="Heading1Char"/>
    <w:uiPriority w:val="2"/>
    <w:qFormat/>
    <w:rsid w:val="009460DC"/>
    <w:pPr>
      <w:keepNext/>
      <w:keepLines/>
      <w:framePr w:w="10773" w:h="1418" w:hRule="exact" w:wrap="notBeside" w:vAnchor="page" w:hAnchor="margin" w:y="3630"/>
      <w:numPr>
        <w:numId w:val="14"/>
      </w:numPr>
      <w:spacing w:after="57" w:line="440" w:lineRule="exact"/>
      <w:ind w:right="3969"/>
      <w:outlineLvl w:val="0"/>
    </w:pPr>
    <w:rPr>
      <w:rFonts w:eastAsiaTheme="majorEastAsia" w:cstheme="majorBidi"/>
      <w:b/>
      <w:bCs/>
      <w:color w:val="002B49" w:themeColor="accent1"/>
      <w:sz w:val="40"/>
      <w:szCs w:val="28"/>
    </w:rPr>
  </w:style>
  <w:style w:type="paragraph" w:styleId="Heading2">
    <w:name w:val="heading 2"/>
    <w:aliases w:val="Subheading"/>
    <w:basedOn w:val="Heading3"/>
    <w:next w:val="Normal"/>
    <w:link w:val="Heading2Char"/>
    <w:uiPriority w:val="3"/>
    <w:qFormat/>
    <w:rsid w:val="00764A77"/>
    <w:pPr>
      <w:spacing w:before="180" w:after="60"/>
      <w:outlineLvl w:val="1"/>
    </w:pPr>
  </w:style>
  <w:style w:type="paragraph" w:styleId="Heading3">
    <w:name w:val="heading 3"/>
    <w:basedOn w:val="Normal"/>
    <w:next w:val="Normal"/>
    <w:link w:val="Heading3Char"/>
    <w:uiPriority w:val="3"/>
    <w:semiHidden/>
    <w:qFormat/>
    <w:rsid w:val="00027919"/>
    <w:pPr>
      <w:keepNext/>
      <w:keepLines/>
      <w:numPr>
        <w:ilvl w:val="2"/>
        <w:numId w:val="14"/>
      </w:numPr>
      <w:outlineLvl w:val="2"/>
    </w:pPr>
    <w:rPr>
      <w:rFonts w:asciiTheme="majorHAnsi" w:eastAsiaTheme="majorEastAsia" w:hAnsiTheme="majorHAnsi" w:cstheme="majorBidi"/>
      <w:b/>
      <w:bCs/>
      <w:color w:val="002B49" w:themeColor="accent1"/>
    </w:rPr>
  </w:style>
  <w:style w:type="paragraph" w:styleId="Heading4">
    <w:name w:val="heading 4"/>
    <w:basedOn w:val="Normal"/>
    <w:next w:val="Normal"/>
    <w:link w:val="Heading4Char"/>
    <w:uiPriority w:val="3"/>
    <w:semiHidden/>
    <w:qFormat/>
    <w:rsid w:val="00120CF3"/>
    <w:pPr>
      <w:keepNext/>
      <w:keepLines/>
      <w:numPr>
        <w:ilvl w:val="3"/>
        <w:numId w:val="14"/>
      </w:numPr>
      <w:spacing w:before="113" w:after="57"/>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001524" w:themeColor="accent1" w:themeShade="7F"/>
    </w:rPr>
  </w:style>
  <w:style w:type="paragraph" w:styleId="Heading6">
    <w:name w:val="heading 6"/>
    <w:basedOn w:val="Normal"/>
    <w:next w:val="Normal"/>
    <w:link w:val="Heading6Char"/>
    <w:uiPriority w:val="9"/>
    <w:semiHidden/>
    <w:unhideWhenUsed/>
    <w:qFormat/>
    <w:locked/>
    <w:rsid w:val="00F80750"/>
    <w:pPr>
      <w:keepNext/>
      <w:keepLines/>
      <w:spacing w:before="200" w:after="0"/>
      <w:outlineLvl w:val="5"/>
    </w:pPr>
    <w:rPr>
      <w:rFonts w:asciiTheme="majorHAnsi" w:eastAsiaTheme="majorEastAsia" w:hAnsiTheme="majorHAnsi" w:cstheme="majorBidi"/>
      <w:i/>
      <w:iCs/>
      <w:color w:val="001524" w:themeColor="accent1" w:themeShade="7F"/>
    </w:rPr>
  </w:style>
  <w:style w:type="paragraph" w:styleId="Heading7">
    <w:name w:val="heading 7"/>
    <w:basedOn w:val="Normal"/>
    <w:next w:val="Normal"/>
    <w:link w:val="Heading7Char"/>
    <w:uiPriority w:val="9"/>
    <w:semiHidden/>
    <w:unhideWhenUsed/>
    <w:qFormat/>
    <w:locked/>
    <w:rsid w:val="00F80750"/>
    <w:pPr>
      <w:keepNext/>
      <w:keepLines/>
      <w:spacing w:before="200" w:after="0"/>
      <w:outlineLvl w:val="6"/>
    </w:pPr>
    <w:rPr>
      <w:rFonts w:asciiTheme="majorHAnsi" w:eastAsiaTheme="majorEastAsia" w:hAnsiTheme="majorHAnsi" w:cstheme="majorBidi"/>
      <w:i/>
      <w:iCs/>
      <w:color w:val="78787B"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after="0"/>
      <w:outlineLvl w:val="7"/>
    </w:pPr>
    <w:rPr>
      <w:rFonts w:asciiTheme="majorHAnsi" w:eastAsiaTheme="majorEastAsia" w:hAnsiTheme="majorHAnsi" w:cstheme="majorBidi"/>
      <w:color w:val="78787B"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after="0"/>
      <w:outlineLvl w:val="8"/>
    </w:pPr>
    <w:rPr>
      <w:rFonts w:asciiTheme="majorHAnsi" w:eastAsiaTheme="majorEastAsia" w:hAnsiTheme="majorHAnsi" w:cstheme="majorBidi"/>
      <w:i/>
      <w:iCs/>
      <w:color w:val="7878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2"/>
    <w:rsid w:val="006F4330"/>
    <w:rPr>
      <w:rFonts w:eastAsiaTheme="majorEastAsia" w:cstheme="majorBidi"/>
      <w:b/>
      <w:bCs/>
      <w:color w:val="002B49" w:themeColor="accent1"/>
      <w:sz w:val="40"/>
      <w:szCs w:val="28"/>
    </w:rPr>
  </w:style>
  <w:style w:type="character" w:customStyle="1" w:styleId="Heading2Char">
    <w:name w:val="Heading 2 Char"/>
    <w:aliases w:val="Subheading Char"/>
    <w:basedOn w:val="DefaultParagraphFont"/>
    <w:link w:val="Heading2"/>
    <w:uiPriority w:val="3"/>
    <w:rsid w:val="00764A77"/>
    <w:rPr>
      <w:rFonts w:asciiTheme="majorHAnsi" w:eastAsiaTheme="majorEastAsia" w:hAnsiTheme="majorHAnsi" w:cstheme="majorBidi"/>
      <w:b/>
      <w:bCs/>
      <w:color w:val="002B49" w:themeColor="accent1"/>
    </w:rPr>
  </w:style>
  <w:style w:type="character" w:customStyle="1" w:styleId="Heading3Char">
    <w:name w:val="Heading 3 Char"/>
    <w:basedOn w:val="DefaultParagraphFont"/>
    <w:link w:val="Heading3"/>
    <w:uiPriority w:val="3"/>
    <w:semiHidden/>
    <w:rsid w:val="006F4330"/>
    <w:rPr>
      <w:rFonts w:asciiTheme="majorHAnsi" w:eastAsiaTheme="majorEastAsia" w:hAnsiTheme="majorHAnsi" w:cstheme="majorBidi"/>
      <w:b/>
      <w:bCs/>
      <w:color w:val="002B49" w:themeColor="accent1"/>
    </w:rPr>
  </w:style>
  <w:style w:type="paragraph" w:customStyle="1" w:styleId="ImageCreditsHeading">
    <w:name w:val="Image Credits Heading"/>
    <w:basedOn w:val="Normal"/>
    <w:next w:val="ImageCreditsBody"/>
    <w:uiPriority w:val="5"/>
    <w:qFormat/>
    <w:rsid w:val="0094093A"/>
    <w:rPr>
      <w:b/>
      <w:sz w:val="14"/>
    </w:rPr>
  </w:style>
  <w:style w:type="paragraph" w:customStyle="1" w:styleId="BodyBold">
    <w:name w:val="Body Bold"/>
    <w:basedOn w:val="Normal"/>
    <w:uiPriority w:val="6"/>
    <w:qFormat/>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basedOn w:val="Normal"/>
    <w:uiPriority w:val="9"/>
    <w:semiHidden/>
    <w:qFormat/>
    <w:rsid w:val="00B90C60"/>
    <w:pPr>
      <w:spacing w:after="0" w:line="432" w:lineRule="atLeast"/>
    </w:pPr>
    <w:rPr>
      <w:b/>
      <w:color w:val="00A1AF" w:themeColor="accent2"/>
      <w:spacing w:val="-10"/>
      <w:sz w:val="36"/>
    </w:rPr>
  </w:style>
  <w:style w:type="character" w:customStyle="1" w:styleId="BoldCharacter">
    <w:name w:val="Bold Character"/>
    <w:basedOn w:val="DefaultParagraphFont"/>
    <w:uiPriority w:val="6"/>
    <w:qFormat/>
    <w:rsid w:val="003F0F0D"/>
    <w:rPr>
      <w:b/>
      <w:noProof w:val="0"/>
      <w:lang w:val="en-AU"/>
    </w:rPr>
  </w:style>
  <w:style w:type="character" w:customStyle="1" w:styleId="ItalicCharacter">
    <w:name w:val="Italic Character"/>
    <w:basedOn w:val="DefaultParagraphFont"/>
    <w:uiPriority w:val="6"/>
    <w:qFormat/>
    <w:rsid w:val="003F0F0D"/>
    <w:rPr>
      <w:i/>
      <w:noProof w:val="0"/>
      <w:lang w:val="en-AU"/>
    </w:rPr>
  </w:style>
  <w:style w:type="paragraph" w:customStyle="1" w:styleId="Italic">
    <w:name w:val="Italic"/>
    <w:basedOn w:val="Normal"/>
    <w:uiPriority w:val="6"/>
    <w:qFormat/>
    <w:rsid w:val="008D080C"/>
    <w:rPr>
      <w:i/>
    </w:rPr>
  </w:style>
  <w:style w:type="paragraph" w:customStyle="1" w:styleId="ImageCreditsBody">
    <w:name w:val="Image Credits Body"/>
    <w:basedOn w:val="ImageCreditsHeading"/>
    <w:uiPriority w:val="5"/>
    <w:qFormat/>
    <w:rsid w:val="00DD609E"/>
    <w:pPr>
      <w:spacing w:line="240" w:lineRule="auto"/>
    </w:pPr>
    <w:rPr>
      <w:b w:val="0"/>
    </w:rPr>
  </w:style>
  <w:style w:type="character" w:customStyle="1" w:styleId="Heading4Char">
    <w:name w:val="Heading 4 Char"/>
    <w:basedOn w:val="DefaultParagraphFont"/>
    <w:link w:val="Heading4"/>
    <w:uiPriority w:val="3"/>
    <w:semiHidden/>
    <w:rsid w:val="00423292"/>
    <w:rPr>
      <w:rFonts w:asciiTheme="majorHAnsi" w:eastAsiaTheme="majorEastAsia" w:hAnsiTheme="majorHAnsi" w:cstheme="majorBidi"/>
      <w:b/>
      <w:bCs/>
      <w:iCs/>
    </w:rPr>
  </w:style>
  <w:style w:type="paragraph" w:styleId="ListBullet">
    <w:name w:val="List Bullet"/>
    <w:basedOn w:val="Normal"/>
    <w:uiPriority w:val="99"/>
    <w:qFormat/>
    <w:rsid w:val="00301352"/>
    <w:pPr>
      <w:numPr>
        <w:numId w:val="28"/>
      </w:numPr>
    </w:pPr>
  </w:style>
  <w:style w:type="paragraph" w:styleId="ListBullet2">
    <w:name w:val="List Bullet 2"/>
    <w:basedOn w:val="ListBullet"/>
    <w:uiPriority w:val="99"/>
    <w:qFormat/>
    <w:rsid w:val="00301352"/>
    <w:pPr>
      <w:numPr>
        <w:ilvl w:val="1"/>
      </w:numPr>
    </w:pPr>
  </w:style>
  <w:style w:type="paragraph" w:styleId="ListNumber">
    <w:name w:val="List Number"/>
    <w:basedOn w:val="Normal"/>
    <w:uiPriority w:val="9"/>
    <w:qFormat/>
    <w:rsid w:val="00E84A6B"/>
    <w:pPr>
      <w:numPr>
        <w:ilvl w:val="6"/>
        <w:numId w:val="14"/>
      </w:numPr>
    </w:pPr>
  </w:style>
  <w:style w:type="paragraph" w:styleId="ListNumber2">
    <w:name w:val="List Number 2"/>
    <w:basedOn w:val="Normal"/>
    <w:uiPriority w:val="9"/>
    <w:qFormat/>
    <w:rsid w:val="00E84A6B"/>
    <w:pPr>
      <w:numPr>
        <w:ilvl w:val="7"/>
        <w:numId w:val="14"/>
      </w:numPr>
    </w:pPr>
  </w:style>
  <w:style w:type="numbering" w:customStyle="1" w:styleId="Lists">
    <w:name w:val="Lists"/>
    <w:uiPriority w:val="99"/>
    <w:locked/>
    <w:rsid w:val="00CB4238"/>
    <w:pPr>
      <w:numPr>
        <w:numId w:val="10"/>
      </w:numPr>
    </w:pPr>
  </w:style>
  <w:style w:type="paragraph" w:styleId="ListNumber3">
    <w:name w:val="List Number 3"/>
    <w:basedOn w:val="Normal"/>
    <w:uiPriority w:val="9"/>
    <w:qFormat/>
    <w:rsid w:val="00EA48AE"/>
    <w:pPr>
      <w:numPr>
        <w:ilvl w:val="8"/>
        <w:numId w:val="14"/>
      </w:numPr>
    </w:pPr>
  </w:style>
  <w:style w:type="paragraph" w:customStyle="1" w:styleId="Introduction">
    <w:name w:val="Introduction"/>
    <w:basedOn w:val="Normal"/>
    <w:uiPriority w:val="4"/>
    <w:qFormat/>
    <w:rsid w:val="001B57B9"/>
    <w:pPr>
      <w:spacing w:after="227" w:line="300" w:lineRule="exact"/>
    </w:pPr>
    <w:rPr>
      <w:sz w:val="26"/>
    </w:rPr>
  </w:style>
  <w:style w:type="table" w:customStyle="1" w:styleId="HiddenTable">
    <w:name w:val="Hidden Table"/>
    <w:basedOn w:val="TableNormal"/>
    <w:uiPriority w:val="99"/>
    <w:rsid w:val="00041516"/>
    <w:pPr>
      <w:spacing w:after="57"/>
    </w:pPr>
    <w:tblPr>
      <w:tblInd w:w="0" w:type="dxa"/>
      <w:tblCellMar>
        <w:top w:w="0" w:type="dxa"/>
        <w:left w:w="0" w:type="dxa"/>
        <w:bottom w:w="0" w:type="dxa"/>
        <w:right w:w="0" w:type="dxa"/>
      </w:tblCellMar>
    </w:tblPr>
  </w:style>
  <w:style w:type="paragraph" w:customStyle="1" w:styleId="InsertImage">
    <w:name w:val="Insert Image"/>
    <w:basedOn w:val="Normal"/>
    <w:next w:val="Caption"/>
    <w:semiHidden/>
    <w:qFormat/>
    <w:locked/>
    <w:rsid w:val="00EA48AE"/>
    <w:pPr>
      <w:spacing w:line="240" w:lineRule="auto"/>
    </w:p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737D9E"/>
    <w:pPr>
      <w:tabs>
        <w:tab w:val="left" w:pos="440"/>
        <w:tab w:val="right" w:leader="dot" w:pos="7655"/>
      </w:tabs>
      <w:spacing w:before="57" w:after="57"/>
    </w:pPr>
    <w:rPr>
      <w:spacing w:val="-20"/>
    </w:rPr>
  </w:style>
  <w:style w:type="paragraph" w:styleId="TOCHeading">
    <w:name w:val="TOC Heading"/>
    <w:basedOn w:val="Heading1"/>
    <w:next w:val="Normal"/>
    <w:uiPriority w:val="39"/>
    <w:semiHidden/>
    <w:rsid w:val="00737D9E"/>
    <w:pPr>
      <w:framePr w:wrap="notBeside"/>
      <w:numPr>
        <w:numId w:val="0"/>
      </w:numPr>
      <w:outlineLvl w:val="9"/>
    </w:pPr>
    <w:rPr>
      <w:b w:val="0"/>
      <w:spacing w:val="-20"/>
    </w:rPr>
  </w:style>
  <w:style w:type="paragraph" w:styleId="Footer">
    <w:name w:val="footer"/>
    <w:basedOn w:val="Normal"/>
    <w:link w:val="FooterChar"/>
    <w:uiPriority w:val="99"/>
    <w:rsid w:val="00423292"/>
    <w:pPr>
      <w:tabs>
        <w:tab w:val="center" w:pos="4513"/>
        <w:tab w:val="right" w:pos="9026"/>
      </w:tabs>
      <w:spacing w:line="200" w:lineRule="exact"/>
    </w:pPr>
    <w:rPr>
      <w:rFonts w:asciiTheme="majorHAnsi" w:hAnsiTheme="majorHAnsi"/>
      <w:color w:val="777777"/>
    </w:rPr>
  </w:style>
  <w:style w:type="character" w:customStyle="1" w:styleId="FooterChar">
    <w:name w:val="Footer Char"/>
    <w:basedOn w:val="DefaultParagraphFont"/>
    <w:link w:val="Footer"/>
    <w:uiPriority w:val="99"/>
    <w:rsid w:val="00423292"/>
    <w:rPr>
      <w:rFonts w:asciiTheme="majorHAnsi" w:hAnsiTheme="majorHAnsi"/>
      <w:color w:val="777777"/>
    </w:rPr>
  </w:style>
  <w:style w:type="paragraph" w:styleId="ListBullet3">
    <w:name w:val="List Bullet 3"/>
    <w:basedOn w:val="Normal"/>
    <w:uiPriority w:val="99"/>
    <w:qFormat/>
    <w:rsid w:val="00301352"/>
    <w:pPr>
      <w:numPr>
        <w:ilvl w:val="2"/>
        <w:numId w:val="28"/>
      </w:numPr>
      <w:contextualSpacing/>
    </w:pPr>
  </w:style>
  <w:style w:type="paragraph" w:styleId="ListBullet4">
    <w:name w:val="List Bullet 4"/>
    <w:basedOn w:val="Normal"/>
    <w:uiPriority w:val="99"/>
    <w:qFormat/>
    <w:rsid w:val="00301352"/>
    <w:pPr>
      <w:numPr>
        <w:ilvl w:val="3"/>
        <w:numId w:val="28"/>
      </w:numPr>
      <w:contextualSpacing/>
    </w:pPr>
  </w:style>
  <w:style w:type="table" w:styleId="TableGrid">
    <w:name w:val="Table Grid"/>
    <w:basedOn w:val="TableNormal"/>
    <w:uiPriority w:val="59"/>
    <w:locked/>
    <w:rsid w:val="00413158"/>
    <w:pPr>
      <w:spacing w:before="57" w:line="240" w:lineRule="auto"/>
      <w:ind w:left="108" w:right="108"/>
    </w:pPr>
    <w:rPr>
      <w:sz w:val="17"/>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tcMar>
        <w:left w:w="0" w:type="dxa"/>
        <w:right w:w="0" w:type="dxa"/>
      </w:tcMar>
    </w:tcPr>
    <w:tblStylePr w:type="firstRow">
      <w:pPr>
        <w:wordWrap/>
        <w:spacing w:beforeLines="0" w:beforeAutospacing="0"/>
        <w:jc w:val="left"/>
      </w:pPr>
      <w:rPr>
        <w:rFonts w:asciiTheme="majorHAnsi" w:hAnsiTheme="majorHAnsi"/>
        <w:b/>
        <w:caps/>
        <w:smallCaps w:val="0"/>
        <w:sz w:val="20"/>
      </w:rPr>
      <w:tblPr/>
      <w:trPr>
        <w:tblHeader/>
      </w:trPr>
    </w:tblStylePr>
    <w:tblStylePr w:type="lastRow">
      <w:rPr>
        <w:b/>
      </w:rPr>
    </w:tblStylePr>
    <w:tblStylePr w:type="firstCol">
      <w:rPr>
        <w:b/>
        <w:caps/>
        <w:smallCaps w:val="0"/>
        <w:sz w:val="20"/>
      </w:rPr>
    </w:tblStylePr>
    <w:tblStylePr w:type="lastCol">
      <w:pPr>
        <w:jc w:val="right"/>
      </w:pPr>
    </w:tblStylePr>
  </w:style>
  <w:style w:type="paragraph" w:styleId="Caption">
    <w:name w:val="caption"/>
    <w:basedOn w:val="Normal"/>
    <w:next w:val="Normal"/>
    <w:uiPriority w:val="35"/>
    <w:qFormat/>
    <w:rsid w:val="0035681C"/>
    <w:pPr>
      <w:spacing w:before="113" w:after="240"/>
    </w:pPr>
    <w:rPr>
      <w:b/>
      <w:bCs/>
    </w:rPr>
  </w:style>
  <w:style w:type="paragraph" w:styleId="Header">
    <w:name w:val="header"/>
    <w:basedOn w:val="Normal"/>
    <w:link w:val="HeaderChar"/>
    <w:uiPriority w:val="99"/>
    <w:rsid w:val="0094093A"/>
    <w:pPr>
      <w:tabs>
        <w:tab w:val="center" w:pos="4513"/>
        <w:tab w:val="right" w:pos="9026"/>
      </w:tabs>
      <w:spacing w:after="0" w:line="240" w:lineRule="auto"/>
    </w:pPr>
    <w:rPr>
      <w:b/>
      <w:color w:val="002B49" w:themeColor="accent1"/>
    </w:rPr>
  </w:style>
  <w:style w:type="character" w:customStyle="1" w:styleId="HeaderChar">
    <w:name w:val="Header Char"/>
    <w:basedOn w:val="DefaultParagraphFont"/>
    <w:link w:val="Header"/>
    <w:uiPriority w:val="99"/>
    <w:rsid w:val="0094093A"/>
    <w:rPr>
      <w:b/>
      <w:color w:val="002B49" w:themeColor="accent1"/>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customStyle="1" w:styleId="Spacer">
    <w:name w:val="Spacer"/>
    <w:basedOn w:val="Normal"/>
    <w:semiHidden/>
    <w:locked/>
    <w:rsid w:val="00870BC6"/>
    <w:pPr>
      <w:spacing w:after="0" w:line="240" w:lineRule="auto"/>
    </w:pPr>
    <w:rPr>
      <w:sz w:val="2"/>
    </w:rPr>
  </w:style>
  <w:style w:type="paragraph" w:styleId="ListNumber4">
    <w:name w:val="List Number 4"/>
    <w:basedOn w:val="Normal"/>
    <w:uiPriority w:val="9"/>
    <w:semiHidden/>
    <w:locked/>
    <w:rsid w:val="00DA4C48"/>
    <w:pPr>
      <w:numPr>
        <w:numId w:val="19"/>
      </w:numPr>
      <w:ind w:left="1434" w:hanging="357"/>
      <w:contextualSpacing/>
    </w:pPr>
  </w:style>
  <w:style w:type="paragraph" w:customStyle="1" w:styleId="HeadingTwo">
    <w:name w:val="Heading Two"/>
    <w:basedOn w:val="Heading1"/>
    <w:next w:val="Introduction"/>
    <w:uiPriority w:val="3"/>
    <w:qFormat/>
    <w:rsid w:val="009460DC"/>
    <w:pPr>
      <w:framePr w:wrap="notBeside"/>
      <w:spacing w:line="400" w:lineRule="exact"/>
    </w:pPr>
    <w:rPr>
      <w:b w:val="0"/>
      <w:color w:val="00A1AF" w:themeColor="accent2"/>
      <w:sz w:val="28"/>
    </w:rPr>
  </w:style>
  <w:style w:type="character" w:styleId="Hyperlink">
    <w:name w:val="Hyperlink"/>
    <w:basedOn w:val="DefaultParagraphFont"/>
    <w:uiPriority w:val="99"/>
    <w:rsid w:val="006427FE"/>
    <w:rPr>
      <w:noProof w:val="0"/>
      <w:color w:val="5F5F5F" w:themeColor="hyperlink"/>
      <w:u w:val="single"/>
      <w:lang w:val="en-AU"/>
    </w:rPr>
  </w:style>
  <w:style w:type="numbering" w:customStyle="1" w:styleId="CustomList">
    <w:name w:val="Custom List"/>
    <w:uiPriority w:val="99"/>
    <w:rsid w:val="00301352"/>
    <w:pPr>
      <w:numPr>
        <w:numId w:val="24"/>
      </w:numPr>
    </w:p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2B49" w:themeColor="accent1"/>
        <w:left w:val="single" w:sz="2" w:space="10" w:color="002B49" w:themeColor="accent1"/>
        <w:bottom w:val="single" w:sz="2" w:space="10" w:color="002B49" w:themeColor="accent1"/>
        <w:right w:val="single" w:sz="2" w:space="10" w:color="002B49" w:themeColor="accent1"/>
      </w:pBdr>
      <w:ind w:left="1152" w:right="1152"/>
    </w:pPr>
    <w:rPr>
      <w:rFonts w:asciiTheme="minorHAnsi" w:eastAsiaTheme="minorEastAsia" w:hAnsiTheme="minorHAnsi"/>
      <w:i/>
      <w:iCs/>
      <w:color w:val="002B49" w:themeColor="accent1"/>
    </w:rPr>
  </w:style>
  <w:style w:type="paragraph" w:styleId="BodyText">
    <w:name w:val="Body Text"/>
    <w:basedOn w:val="Normal"/>
    <w:link w:val="BodyTextChar"/>
    <w:uiPriority w:val="99"/>
    <w:semiHidden/>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customStyle="1" w:styleId="ColorfulGrid1">
    <w:name w:val="Colorful Grid1"/>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C" w:themeFill="text1" w:themeFillTint="33"/>
    </w:tcPr>
    <w:tblStylePr w:type="firstRow">
      <w:rPr>
        <w:b/>
        <w:bCs/>
      </w:rPr>
      <w:tblPr/>
      <w:tcPr>
        <w:shd w:val="clear" w:color="auto" w:fill="B7B7B9" w:themeFill="text1" w:themeFillTint="66"/>
      </w:tcPr>
    </w:tblStylePr>
    <w:tblStylePr w:type="lastRow">
      <w:rPr>
        <w:b/>
        <w:bCs/>
        <w:color w:val="4D4D4F" w:themeColor="text1"/>
      </w:rPr>
      <w:tblPr/>
      <w:tcPr>
        <w:shd w:val="clear" w:color="auto" w:fill="B7B7B9" w:themeFill="text1" w:themeFillTint="66"/>
      </w:tcPr>
    </w:tblStylePr>
    <w:tblStylePr w:type="firstCol">
      <w:rPr>
        <w:color w:val="FFFFFF" w:themeColor="background1"/>
      </w:rPr>
      <w:tblPr/>
      <w:tcPr>
        <w:shd w:val="clear" w:color="auto" w:fill="39393B" w:themeFill="text1" w:themeFillShade="BF"/>
      </w:tcPr>
    </w:tblStylePr>
    <w:tblStylePr w:type="lastCol">
      <w:rPr>
        <w:color w:val="FFFFFF" w:themeColor="background1"/>
      </w:rPr>
      <w:tblPr/>
      <w:tcPr>
        <w:shd w:val="clear" w:color="auto" w:fill="39393B" w:themeFill="text1" w:themeFillShade="BF"/>
      </w:tcPr>
    </w:tblStylePr>
    <w:tblStylePr w:type="band1Vert">
      <w:tblPr/>
      <w:tcPr>
        <w:shd w:val="clear" w:color="auto" w:fill="A5A5A8" w:themeFill="text1" w:themeFillTint="7F"/>
      </w:tcPr>
    </w:tblStylePr>
    <w:tblStylePr w:type="band1Horz">
      <w:tblPr/>
      <w:tcPr>
        <w:shd w:val="clear" w:color="auto" w:fill="A5A5A8"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7DAFF" w:themeFill="accent1" w:themeFillTint="33"/>
    </w:tcPr>
    <w:tblStylePr w:type="firstRow">
      <w:rPr>
        <w:b/>
        <w:bCs/>
      </w:rPr>
      <w:tblPr/>
      <w:tcPr>
        <w:shd w:val="clear" w:color="auto" w:fill="50B6FF" w:themeFill="accent1" w:themeFillTint="66"/>
      </w:tcPr>
    </w:tblStylePr>
    <w:tblStylePr w:type="lastRow">
      <w:rPr>
        <w:b/>
        <w:bCs/>
        <w:color w:val="4D4D4F" w:themeColor="text1"/>
      </w:rPr>
      <w:tblPr/>
      <w:tcPr>
        <w:shd w:val="clear" w:color="auto" w:fill="50B6FF" w:themeFill="accent1" w:themeFillTint="66"/>
      </w:tcPr>
    </w:tblStylePr>
    <w:tblStylePr w:type="firstCol">
      <w:rPr>
        <w:color w:val="FFFFFF" w:themeColor="background1"/>
      </w:rPr>
      <w:tblPr/>
      <w:tcPr>
        <w:shd w:val="clear" w:color="auto" w:fill="002036" w:themeFill="accent1" w:themeFillShade="BF"/>
      </w:tcPr>
    </w:tblStylePr>
    <w:tblStylePr w:type="lastCol">
      <w:rPr>
        <w:color w:val="FFFFFF" w:themeColor="background1"/>
      </w:rPr>
      <w:tblPr/>
      <w:tcPr>
        <w:shd w:val="clear" w:color="auto" w:fill="002036" w:themeFill="accent1" w:themeFillShade="BF"/>
      </w:tcPr>
    </w:tblStylePr>
    <w:tblStylePr w:type="band1Vert">
      <w:tblPr/>
      <w:tcPr>
        <w:shd w:val="clear" w:color="auto" w:fill="25A5FF" w:themeFill="accent1" w:themeFillTint="7F"/>
      </w:tcPr>
    </w:tblStylePr>
    <w:tblStylePr w:type="band1Horz">
      <w:tblPr/>
      <w:tcPr>
        <w:shd w:val="clear" w:color="auto" w:fill="25A5FF"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9FF" w:themeFill="accent2" w:themeFillTint="33"/>
    </w:tcPr>
    <w:tblStylePr w:type="firstRow">
      <w:rPr>
        <w:b/>
        <w:bCs/>
      </w:rPr>
      <w:tblPr/>
      <w:tcPr>
        <w:shd w:val="clear" w:color="auto" w:fill="79F3FF" w:themeFill="accent2" w:themeFillTint="66"/>
      </w:tcPr>
    </w:tblStylePr>
    <w:tblStylePr w:type="lastRow">
      <w:rPr>
        <w:b/>
        <w:bCs/>
        <w:color w:val="4D4D4F" w:themeColor="text1"/>
      </w:rPr>
      <w:tblPr/>
      <w:tcPr>
        <w:shd w:val="clear" w:color="auto" w:fill="79F3FF" w:themeFill="accent2" w:themeFillTint="66"/>
      </w:tcPr>
    </w:tblStylePr>
    <w:tblStylePr w:type="firstCol">
      <w:rPr>
        <w:color w:val="FFFFFF" w:themeColor="background1"/>
      </w:rPr>
      <w:tblPr/>
      <w:tcPr>
        <w:shd w:val="clear" w:color="auto" w:fill="007883" w:themeFill="accent2" w:themeFillShade="BF"/>
      </w:tcPr>
    </w:tblStylePr>
    <w:tblStylePr w:type="lastCol">
      <w:rPr>
        <w:color w:val="FFFFFF" w:themeColor="background1"/>
      </w:rPr>
      <w:tblPr/>
      <w:tcPr>
        <w:shd w:val="clear" w:color="auto" w:fill="007883" w:themeFill="accent2" w:themeFillShade="BF"/>
      </w:tcPr>
    </w:tblStylePr>
    <w:tblStylePr w:type="band1Vert">
      <w:tblPr/>
      <w:tcPr>
        <w:shd w:val="clear" w:color="auto" w:fill="58F1FF" w:themeFill="accent2" w:themeFillTint="7F"/>
      </w:tcPr>
    </w:tblStylePr>
    <w:tblStylePr w:type="band1Horz">
      <w:tblPr/>
      <w:tcPr>
        <w:shd w:val="clear" w:color="auto" w:fill="58F1FF"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4D4D4F"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4D4D4F"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4D4D4F"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4D4D4F"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ColorfulList1">
    <w:name w:val="Colorful List1"/>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DEDED" w:themeFill="text1" w:themeFillTint="19"/>
    </w:tcPr>
    <w:tblStylePr w:type="firstRow">
      <w:rPr>
        <w:b/>
        <w:bCs/>
        <w:color w:val="FFFFFF" w:themeColor="background1"/>
      </w:rPr>
      <w:tblPr/>
      <w:tcPr>
        <w:tcBorders>
          <w:bottom w:val="single" w:sz="12" w:space="0" w:color="FFFFFF" w:themeColor="background1"/>
        </w:tcBorders>
        <w:shd w:val="clear" w:color="auto" w:fill="00808C" w:themeFill="accent2" w:themeFillShade="CC"/>
      </w:tcPr>
    </w:tblStylePr>
    <w:tblStylePr w:type="lastRow">
      <w:rPr>
        <w:b/>
        <w:bCs/>
        <w:color w:val="00808C" w:themeColor="accent2"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3" w:themeFill="text1" w:themeFillTint="3F"/>
      </w:tcPr>
    </w:tblStylePr>
    <w:tblStylePr w:type="band1Horz">
      <w:tblPr/>
      <w:tcPr>
        <w:shd w:val="clear" w:color="auto" w:fill="DBDBD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D4EDFF" w:themeFill="accent1" w:themeFillTint="19"/>
    </w:tcPr>
    <w:tblStylePr w:type="firstRow">
      <w:rPr>
        <w:b/>
        <w:bCs/>
        <w:color w:val="FFFFFF" w:themeColor="background1"/>
      </w:rPr>
      <w:tblPr/>
      <w:tcPr>
        <w:tcBorders>
          <w:bottom w:val="single" w:sz="12" w:space="0" w:color="FFFFFF" w:themeColor="background1"/>
        </w:tcBorders>
        <w:shd w:val="clear" w:color="auto" w:fill="00808C" w:themeFill="accent2" w:themeFillShade="CC"/>
      </w:tcPr>
    </w:tblStylePr>
    <w:tblStylePr w:type="lastRow">
      <w:rPr>
        <w:b/>
        <w:bCs/>
        <w:color w:val="00808C" w:themeColor="accent2"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3D2FF" w:themeFill="accent1" w:themeFillTint="3F"/>
      </w:tcPr>
    </w:tblStylePr>
    <w:tblStylePr w:type="band1Horz">
      <w:tblPr/>
      <w:tcPr>
        <w:shd w:val="clear" w:color="auto" w:fill="A7DAFF"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DEFCFF" w:themeFill="accent2" w:themeFillTint="19"/>
    </w:tcPr>
    <w:tblStylePr w:type="firstRow">
      <w:rPr>
        <w:b/>
        <w:bCs/>
        <w:color w:val="FFFFFF" w:themeColor="background1"/>
      </w:rPr>
      <w:tblPr/>
      <w:tcPr>
        <w:tcBorders>
          <w:bottom w:val="single" w:sz="12" w:space="0" w:color="FFFFFF" w:themeColor="background1"/>
        </w:tcBorders>
        <w:shd w:val="clear" w:color="auto" w:fill="00808C" w:themeFill="accent2" w:themeFillShade="CC"/>
      </w:tcPr>
    </w:tblStylePr>
    <w:tblStylePr w:type="lastRow">
      <w:rPr>
        <w:b/>
        <w:bCs/>
        <w:color w:val="00808C" w:themeColor="accent2"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8FF" w:themeFill="accent2" w:themeFillTint="3F"/>
      </w:tcPr>
    </w:tblStylePr>
    <w:tblStylePr w:type="band1Horz">
      <w:tblPr/>
      <w:tcPr>
        <w:shd w:val="clear" w:color="auto" w:fill="BCF9FF"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4D4D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customStyle="1" w:styleId="ColorfulShading1">
    <w:name w:val="Colorful Shading1"/>
    <w:basedOn w:val="TableNormal"/>
    <w:uiPriority w:val="71"/>
    <w:locked/>
    <w:rsid w:val="00F80750"/>
    <w:pPr>
      <w:spacing w:after="0" w:line="240" w:lineRule="auto"/>
    </w:pPr>
    <w:tblPr>
      <w:tblStyleRowBandSize w:val="1"/>
      <w:tblStyleColBandSize w:val="1"/>
      <w:tblInd w:w="0" w:type="dxa"/>
      <w:tblBorders>
        <w:top w:val="single" w:sz="24" w:space="0" w:color="00A1AF" w:themeColor="accent2"/>
        <w:left w:val="single" w:sz="4" w:space="0" w:color="4D4D4F" w:themeColor="text1"/>
        <w:bottom w:val="single" w:sz="4" w:space="0" w:color="4D4D4F" w:themeColor="text1"/>
        <w:right w:val="single" w:sz="4" w:space="0" w:color="4D4D4F"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text1" w:themeFillTint="19"/>
    </w:tcPr>
    <w:tblStylePr w:type="firstRow">
      <w:rPr>
        <w:b/>
        <w:bCs/>
      </w:rPr>
      <w:tblPr/>
      <w:tcPr>
        <w:tcBorders>
          <w:top w:val="nil"/>
          <w:left w:val="nil"/>
          <w:bottom w:val="single" w:sz="24" w:space="0" w:color="00A1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F" w:themeFill="text1" w:themeFillShade="99"/>
      </w:tcPr>
    </w:tblStylePr>
    <w:tblStylePr w:type="firstCol">
      <w:rPr>
        <w:color w:val="FFFFFF" w:themeColor="background1"/>
      </w:rPr>
      <w:tblPr/>
      <w:tcPr>
        <w:tcBorders>
          <w:top w:val="nil"/>
          <w:left w:val="nil"/>
          <w:bottom w:val="nil"/>
          <w:right w:val="nil"/>
          <w:insideH w:val="single" w:sz="4" w:space="0" w:color="2E2E2F" w:themeColor="text1" w:themeShade="99"/>
          <w:insideV w:val="nil"/>
        </w:tcBorders>
        <w:shd w:val="clear" w:color="auto" w:fill="2E2E2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9393B" w:themeFill="text1" w:themeFillShade="BF"/>
      </w:tcPr>
    </w:tblStylePr>
    <w:tblStylePr w:type="band1Vert">
      <w:tblPr/>
      <w:tcPr>
        <w:shd w:val="clear" w:color="auto" w:fill="B7B7B9" w:themeFill="text1" w:themeFillTint="66"/>
      </w:tcPr>
    </w:tblStylePr>
    <w:tblStylePr w:type="band1Horz">
      <w:tblPr/>
      <w:tcPr>
        <w:shd w:val="clear" w:color="auto" w:fill="A5A5A8" w:themeFill="text1" w:themeFillTint="7F"/>
      </w:tcPr>
    </w:tblStylePr>
    <w:tblStylePr w:type="neCell">
      <w:rPr>
        <w:color w:val="4D4D4F" w:themeColor="text1"/>
      </w:rPr>
    </w:tblStylePr>
    <w:tblStylePr w:type="nwCell">
      <w:rPr>
        <w:color w:val="4D4D4F"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Ind w:w="0" w:type="dxa"/>
      <w:tblBorders>
        <w:top w:val="single" w:sz="24" w:space="0" w:color="00A1AF" w:themeColor="accent2"/>
        <w:left w:val="single" w:sz="4" w:space="0" w:color="002B49" w:themeColor="accent1"/>
        <w:bottom w:val="single" w:sz="4" w:space="0" w:color="002B49" w:themeColor="accent1"/>
        <w:right w:val="single" w:sz="4" w:space="0" w:color="002B4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DFF" w:themeFill="accent1" w:themeFillTint="19"/>
    </w:tcPr>
    <w:tblStylePr w:type="firstRow">
      <w:rPr>
        <w:b/>
        <w:bCs/>
      </w:rPr>
      <w:tblPr/>
      <w:tcPr>
        <w:tcBorders>
          <w:top w:val="nil"/>
          <w:left w:val="nil"/>
          <w:bottom w:val="single" w:sz="24" w:space="0" w:color="00A1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2B" w:themeFill="accent1" w:themeFillShade="99"/>
      </w:tcPr>
    </w:tblStylePr>
    <w:tblStylePr w:type="firstCol">
      <w:rPr>
        <w:color w:val="FFFFFF" w:themeColor="background1"/>
      </w:rPr>
      <w:tblPr/>
      <w:tcPr>
        <w:tcBorders>
          <w:top w:val="nil"/>
          <w:left w:val="nil"/>
          <w:bottom w:val="nil"/>
          <w:right w:val="nil"/>
          <w:insideH w:val="single" w:sz="4" w:space="0" w:color="00192B" w:themeColor="accent1" w:themeShade="99"/>
          <w:insideV w:val="nil"/>
        </w:tcBorders>
        <w:shd w:val="clear" w:color="auto" w:fill="0019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92B" w:themeFill="accent1" w:themeFillShade="99"/>
      </w:tcPr>
    </w:tblStylePr>
    <w:tblStylePr w:type="band1Vert">
      <w:tblPr/>
      <w:tcPr>
        <w:shd w:val="clear" w:color="auto" w:fill="50B6FF" w:themeFill="accent1" w:themeFillTint="66"/>
      </w:tcPr>
    </w:tblStylePr>
    <w:tblStylePr w:type="band1Horz">
      <w:tblPr/>
      <w:tcPr>
        <w:shd w:val="clear" w:color="auto" w:fill="25A5FF" w:themeFill="accent1" w:themeFillTint="7F"/>
      </w:tcPr>
    </w:tblStylePr>
    <w:tblStylePr w:type="neCell">
      <w:rPr>
        <w:color w:val="4D4D4F" w:themeColor="text1"/>
      </w:rPr>
    </w:tblStylePr>
    <w:tblStylePr w:type="nwCell">
      <w:rPr>
        <w:color w:val="4D4D4F"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Ind w:w="0" w:type="dxa"/>
      <w:tblBorders>
        <w:top w:val="single" w:sz="24" w:space="0" w:color="00A1AF" w:themeColor="accent2"/>
        <w:left w:val="single" w:sz="4" w:space="0" w:color="00A1AF" w:themeColor="accent2"/>
        <w:bottom w:val="single" w:sz="4" w:space="0" w:color="00A1AF" w:themeColor="accent2"/>
        <w:right w:val="single" w:sz="4" w:space="0" w:color="00A1A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CFF" w:themeFill="accent2" w:themeFillTint="19"/>
    </w:tcPr>
    <w:tblStylePr w:type="firstRow">
      <w:rPr>
        <w:b/>
        <w:bCs/>
      </w:rPr>
      <w:tblPr/>
      <w:tcPr>
        <w:tcBorders>
          <w:top w:val="nil"/>
          <w:left w:val="nil"/>
          <w:bottom w:val="single" w:sz="24" w:space="0" w:color="00A1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069" w:themeFill="accent2" w:themeFillShade="99"/>
      </w:tcPr>
    </w:tblStylePr>
    <w:tblStylePr w:type="firstCol">
      <w:rPr>
        <w:color w:val="FFFFFF" w:themeColor="background1"/>
      </w:rPr>
      <w:tblPr/>
      <w:tcPr>
        <w:tcBorders>
          <w:top w:val="nil"/>
          <w:left w:val="nil"/>
          <w:bottom w:val="nil"/>
          <w:right w:val="nil"/>
          <w:insideH w:val="single" w:sz="4" w:space="0" w:color="006069" w:themeColor="accent2" w:themeShade="99"/>
          <w:insideV w:val="nil"/>
        </w:tcBorders>
        <w:shd w:val="clear" w:color="auto" w:fill="00606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069" w:themeFill="accent2" w:themeFillShade="99"/>
      </w:tcPr>
    </w:tblStylePr>
    <w:tblStylePr w:type="band1Vert">
      <w:tblPr/>
      <w:tcPr>
        <w:shd w:val="clear" w:color="auto" w:fill="79F3FF" w:themeFill="accent2" w:themeFillTint="66"/>
      </w:tcPr>
    </w:tblStylePr>
    <w:tblStylePr w:type="band1Horz">
      <w:tblPr/>
      <w:tcPr>
        <w:shd w:val="clear" w:color="auto" w:fill="58F1FF" w:themeFill="accent2" w:themeFillTint="7F"/>
      </w:tcPr>
    </w:tblStylePr>
    <w:tblStylePr w:type="neCell">
      <w:rPr>
        <w:color w:val="4D4D4F" w:themeColor="text1"/>
      </w:rPr>
    </w:tblStylePr>
    <w:tblStylePr w:type="nwCell">
      <w:rPr>
        <w:color w:val="4D4D4F"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Ind w:w="0" w:type="dxa"/>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Ind w:w="0" w:type="dxa"/>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4D4D4F" w:themeColor="text1"/>
      </w:rPr>
    </w:tblStylePr>
    <w:tblStylePr w:type="nwCell">
      <w:rPr>
        <w:color w:val="4D4D4F"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4D4D4F" w:themeColor="text1"/>
      </w:rPr>
    </w:tblStylePr>
    <w:tblStylePr w:type="nwCell">
      <w:rPr>
        <w:color w:val="4D4D4F"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Ind w:w="0" w:type="dxa"/>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4D4D4F" w:themeColor="text1"/>
      </w:rPr>
    </w:tblStylePr>
    <w:tblStylePr w:type="nwCell">
      <w:rPr>
        <w:color w:val="4D4D4F"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customStyle="1" w:styleId="DarkList1">
    <w:name w:val="Dark List1"/>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F" w:themeFill="text1"/>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26262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9393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9393B" w:themeFill="text1" w:themeFillShade="BF"/>
      </w:tcPr>
    </w:tblStylePr>
    <w:tblStylePr w:type="band1Vert">
      <w:tblPr/>
      <w:tcPr>
        <w:tcBorders>
          <w:top w:val="nil"/>
          <w:left w:val="nil"/>
          <w:bottom w:val="nil"/>
          <w:right w:val="nil"/>
          <w:insideH w:val="nil"/>
          <w:insideV w:val="nil"/>
        </w:tcBorders>
        <w:shd w:val="clear" w:color="auto" w:fill="39393B" w:themeFill="text1" w:themeFillShade="BF"/>
      </w:tcPr>
    </w:tblStylePr>
    <w:tblStylePr w:type="band1Horz">
      <w:tblPr/>
      <w:tcPr>
        <w:tcBorders>
          <w:top w:val="nil"/>
          <w:left w:val="nil"/>
          <w:bottom w:val="nil"/>
          <w:right w:val="nil"/>
          <w:insideH w:val="nil"/>
          <w:insideV w:val="nil"/>
        </w:tcBorders>
        <w:shd w:val="clear" w:color="auto" w:fill="39393B"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2B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0015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0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036" w:themeFill="accent1" w:themeFillShade="BF"/>
      </w:tcPr>
    </w:tblStylePr>
    <w:tblStylePr w:type="band1Vert">
      <w:tblPr/>
      <w:tcPr>
        <w:tcBorders>
          <w:top w:val="nil"/>
          <w:left w:val="nil"/>
          <w:bottom w:val="nil"/>
          <w:right w:val="nil"/>
          <w:insideH w:val="nil"/>
          <w:insideV w:val="nil"/>
        </w:tcBorders>
        <w:shd w:val="clear" w:color="auto" w:fill="002036" w:themeFill="accent1" w:themeFillShade="BF"/>
      </w:tcPr>
    </w:tblStylePr>
    <w:tblStylePr w:type="band1Horz">
      <w:tblPr/>
      <w:tcPr>
        <w:tcBorders>
          <w:top w:val="nil"/>
          <w:left w:val="nil"/>
          <w:bottom w:val="nil"/>
          <w:right w:val="nil"/>
          <w:insideH w:val="nil"/>
          <w:insideV w:val="nil"/>
        </w:tcBorders>
        <w:shd w:val="clear" w:color="auto" w:fill="002036"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1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004F5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8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883" w:themeFill="accent2" w:themeFillShade="BF"/>
      </w:tcPr>
    </w:tblStylePr>
    <w:tblStylePr w:type="band1Vert">
      <w:tblPr/>
      <w:tcPr>
        <w:tcBorders>
          <w:top w:val="nil"/>
          <w:left w:val="nil"/>
          <w:bottom w:val="nil"/>
          <w:right w:val="nil"/>
          <w:insideH w:val="nil"/>
          <w:insideV w:val="nil"/>
        </w:tcBorders>
        <w:shd w:val="clear" w:color="auto" w:fill="007883" w:themeFill="accent2" w:themeFillShade="BF"/>
      </w:tcPr>
    </w:tblStylePr>
    <w:tblStylePr w:type="band1Horz">
      <w:tblPr/>
      <w:tcPr>
        <w:tcBorders>
          <w:top w:val="nil"/>
          <w:left w:val="nil"/>
          <w:bottom w:val="nil"/>
          <w:right w:val="nil"/>
          <w:insideH w:val="nil"/>
          <w:insideV w:val="nil"/>
        </w:tcBorders>
        <w:shd w:val="clear" w:color="auto" w:fill="007883"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D4D4F"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001524" w:themeColor="accent1" w:themeShade="7F"/>
      <w:lang w:val="en-AU"/>
    </w:rPr>
  </w:style>
  <w:style w:type="character" w:customStyle="1" w:styleId="Heading6Char">
    <w:name w:val="Heading 6 Char"/>
    <w:basedOn w:val="DefaultParagraphFont"/>
    <w:link w:val="Heading6"/>
    <w:uiPriority w:val="9"/>
    <w:semiHidden/>
    <w:rsid w:val="00F80750"/>
    <w:rPr>
      <w:rFonts w:asciiTheme="majorHAnsi" w:eastAsiaTheme="majorEastAsia" w:hAnsiTheme="majorHAnsi" w:cstheme="majorBidi"/>
      <w:i/>
      <w:iCs/>
      <w:noProof w:val="0"/>
      <w:color w:val="001524" w:themeColor="accent1" w:themeShade="7F"/>
      <w:lang w:val="en-AU"/>
    </w:rPr>
  </w:style>
  <w:style w:type="character" w:customStyle="1" w:styleId="Heading7Char">
    <w:name w:val="Heading 7 Char"/>
    <w:basedOn w:val="DefaultParagraphFont"/>
    <w:link w:val="Heading7"/>
    <w:uiPriority w:val="9"/>
    <w:semiHidden/>
    <w:rsid w:val="00F80750"/>
    <w:rPr>
      <w:rFonts w:asciiTheme="majorHAnsi" w:eastAsiaTheme="majorEastAsia" w:hAnsiTheme="majorHAnsi" w:cstheme="majorBidi"/>
      <w:i/>
      <w:iCs/>
      <w:noProof w:val="0"/>
      <w:color w:val="78787B" w:themeColor="text1" w:themeTint="BF"/>
      <w:lang w:val="en-AU"/>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78787B"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78787B"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2B4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02B49" w:themeColor="accent1"/>
      </w:pBdr>
      <w:spacing w:before="200" w:after="280"/>
      <w:ind w:left="936" w:right="936"/>
    </w:pPr>
    <w:rPr>
      <w:b/>
      <w:bCs/>
      <w:i/>
      <w:iCs/>
      <w:color w:val="002B49" w:themeColor="accent1"/>
    </w:rPr>
  </w:style>
  <w:style w:type="character" w:customStyle="1" w:styleId="IntenseQuoteChar">
    <w:name w:val="Intense Quote Char"/>
    <w:basedOn w:val="DefaultParagraphFont"/>
    <w:link w:val="IntenseQuote"/>
    <w:uiPriority w:val="30"/>
    <w:semiHidden/>
    <w:rsid w:val="00F80750"/>
    <w:rPr>
      <w:b/>
      <w:bCs/>
      <w:i/>
      <w:iCs/>
      <w:noProof w:val="0"/>
      <w:color w:val="002B49" w:themeColor="accent1"/>
      <w:lang w:val="en-AU"/>
    </w:rPr>
  </w:style>
  <w:style w:type="character" w:styleId="IntenseReference">
    <w:name w:val="Intense Reference"/>
    <w:basedOn w:val="DefaultParagraphFont"/>
    <w:uiPriority w:val="32"/>
    <w:semiHidden/>
    <w:qFormat/>
    <w:locked/>
    <w:rsid w:val="00F80750"/>
    <w:rPr>
      <w:b/>
      <w:bCs/>
      <w:smallCaps/>
      <w:noProof w:val="0"/>
      <w:color w:val="00A1AF" w:themeColor="accent2"/>
      <w:spacing w:val="5"/>
      <w:u w:val="single"/>
      <w:lang w:val="en-AU"/>
    </w:rPr>
  </w:style>
  <w:style w:type="table" w:customStyle="1" w:styleId="LightGrid1">
    <w:name w:val="Light Grid1"/>
    <w:basedOn w:val="TableNormal"/>
    <w:uiPriority w:val="62"/>
    <w:locked/>
    <w:rsid w:val="00F80750"/>
    <w:pPr>
      <w:spacing w:after="0" w:line="240" w:lineRule="auto"/>
    </w:p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insideH w:val="single" w:sz="8" w:space="0" w:color="4D4D4F" w:themeColor="text1"/>
        <w:insideV w:val="single" w:sz="8" w:space="0" w:color="4D4D4F"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F" w:themeColor="text1"/>
          <w:left w:val="single" w:sz="8" w:space="0" w:color="4D4D4F" w:themeColor="text1"/>
          <w:bottom w:val="single" w:sz="18" w:space="0" w:color="4D4D4F" w:themeColor="text1"/>
          <w:right w:val="single" w:sz="8" w:space="0" w:color="4D4D4F" w:themeColor="text1"/>
          <w:insideH w:val="nil"/>
          <w:insideV w:val="single" w:sz="8" w:space="0" w:color="4D4D4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F" w:themeColor="text1"/>
          <w:left w:val="single" w:sz="8" w:space="0" w:color="4D4D4F" w:themeColor="text1"/>
          <w:bottom w:val="single" w:sz="8" w:space="0" w:color="4D4D4F" w:themeColor="text1"/>
          <w:right w:val="single" w:sz="8" w:space="0" w:color="4D4D4F" w:themeColor="text1"/>
          <w:insideH w:val="nil"/>
          <w:insideV w:val="single" w:sz="8" w:space="0" w:color="4D4D4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tblStylePr w:type="band1Vert">
      <w:tblPr/>
      <w:tcPr>
        <w:tcBorders>
          <w:top w:val="single" w:sz="8" w:space="0" w:color="4D4D4F" w:themeColor="text1"/>
          <w:left w:val="single" w:sz="8" w:space="0" w:color="4D4D4F" w:themeColor="text1"/>
          <w:bottom w:val="single" w:sz="8" w:space="0" w:color="4D4D4F" w:themeColor="text1"/>
          <w:right w:val="single" w:sz="8" w:space="0" w:color="4D4D4F" w:themeColor="text1"/>
        </w:tcBorders>
        <w:shd w:val="clear" w:color="auto" w:fill="D2D2D3" w:themeFill="text1" w:themeFillTint="3F"/>
      </w:tcPr>
    </w:tblStylePr>
    <w:tblStylePr w:type="band1Horz">
      <w:tblPr/>
      <w:tcPr>
        <w:tcBorders>
          <w:top w:val="single" w:sz="8" w:space="0" w:color="4D4D4F" w:themeColor="text1"/>
          <w:left w:val="single" w:sz="8" w:space="0" w:color="4D4D4F" w:themeColor="text1"/>
          <w:bottom w:val="single" w:sz="8" w:space="0" w:color="4D4D4F" w:themeColor="text1"/>
          <w:right w:val="single" w:sz="8" w:space="0" w:color="4D4D4F" w:themeColor="text1"/>
          <w:insideV w:val="single" w:sz="8" w:space="0" w:color="4D4D4F" w:themeColor="text1"/>
        </w:tcBorders>
        <w:shd w:val="clear" w:color="auto" w:fill="D2D2D3" w:themeFill="text1" w:themeFillTint="3F"/>
      </w:tcPr>
    </w:tblStylePr>
    <w:tblStylePr w:type="band2Horz">
      <w:tblPr/>
      <w:tcPr>
        <w:tcBorders>
          <w:top w:val="single" w:sz="8" w:space="0" w:color="4D4D4F" w:themeColor="text1"/>
          <w:left w:val="single" w:sz="8" w:space="0" w:color="4D4D4F" w:themeColor="text1"/>
          <w:bottom w:val="single" w:sz="8" w:space="0" w:color="4D4D4F" w:themeColor="text1"/>
          <w:right w:val="single" w:sz="8" w:space="0" w:color="4D4D4F" w:themeColor="text1"/>
          <w:insideV w:val="single" w:sz="8" w:space="0" w:color="4D4D4F" w:themeColor="text1"/>
        </w:tcBorders>
      </w:tcPr>
    </w:tblStylePr>
  </w:style>
  <w:style w:type="table" w:customStyle="1" w:styleId="LightGrid-Accent11">
    <w:name w:val="Light Grid - Accent 11"/>
    <w:basedOn w:val="TableNormal"/>
    <w:uiPriority w:val="62"/>
    <w:locked/>
    <w:rsid w:val="00F80750"/>
    <w:pPr>
      <w:spacing w:after="0" w:line="240" w:lineRule="auto"/>
    </w:pPr>
    <w:tblPr>
      <w:tblStyleRowBandSize w:val="1"/>
      <w:tblStyleColBandSize w:val="1"/>
      <w:tblInd w:w="0" w:type="dxa"/>
      <w:tblBorders>
        <w:top w:val="single" w:sz="8" w:space="0" w:color="002B49" w:themeColor="accent1"/>
        <w:left w:val="single" w:sz="8" w:space="0" w:color="002B49" w:themeColor="accent1"/>
        <w:bottom w:val="single" w:sz="8" w:space="0" w:color="002B49" w:themeColor="accent1"/>
        <w:right w:val="single" w:sz="8" w:space="0" w:color="002B49" w:themeColor="accent1"/>
        <w:insideH w:val="single" w:sz="8" w:space="0" w:color="002B49" w:themeColor="accent1"/>
        <w:insideV w:val="single" w:sz="8" w:space="0" w:color="002B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B49" w:themeColor="accent1"/>
          <w:left w:val="single" w:sz="8" w:space="0" w:color="002B49" w:themeColor="accent1"/>
          <w:bottom w:val="single" w:sz="18" w:space="0" w:color="002B49" w:themeColor="accent1"/>
          <w:right w:val="single" w:sz="8" w:space="0" w:color="002B49" w:themeColor="accent1"/>
          <w:insideH w:val="nil"/>
          <w:insideV w:val="single" w:sz="8" w:space="0" w:color="002B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49" w:themeColor="accent1"/>
          <w:left w:val="single" w:sz="8" w:space="0" w:color="002B49" w:themeColor="accent1"/>
          <w:bottom w:val="single" w:sz="8" w:space="0" w:color="002B49" w:themeColor="accent1"/>
          <w:right w:val="single" w:sz="8" w:space="0" w:color="002B49" w:themeColor="accent1"/>
          <w:insideH w:val="nil"/>
          <w:insideV w:val="single" w:sz="8" w:space="0" w:color="002B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49" w:themeColor="accent1"/>
          <w:left w:val="single" w:sz="8" w:space="0" w:color="002B49" w:themeColor="accent1"/>
          <w:bottom w:val="single" w:sz="8" w:space="0" w:color="002B49" w:themeColor="accent1"/>
          <w:right w:val="single" w:sz="8" w:space="0" w:color="002B49" w:themeColor="accent1"/>
        </w:tcBorders>
      </w:tcPr>
    </w:tblStylePr>
    <w:tblStylePr w:type="band1Vert">
      <w:tblPr/>
      <w:tcPr>
        <w:tcBorders>
          <w:top w:val="single" w:sz="8" w:space="0" w:color="002B49" w:themeColor="accent1"/>
          <w:left w:val="single" w:sz="8" w:space="0" w:color="002B49" w:themeColor="accent1"/>
          <w:bottom w:val="single" w:sz="8" w:space="0" w:color="002B49" w:themeColor="accent1"/>
          <w:right w:val="single" w:sz="8" w:space="0" w:color="002B49" w:themeColor="accent1"/>
        </w:tcBorders>
        <w:shd w:val="clear" w:color="auto" w:fill="93D2FF" w:themeFill="accent1" w:themeFillTint="3F"/>
      </w:tcPr>
    </w:tblStylePr>
    <w:tblStylePr w:type="band1Horz">
      <w:tblPr/>
      <w:tcPr>
        <w:tcBorders>
          <w:top w:val="single" w:sz="8" w:space="0" w:color="002B49" w:themeColor="accent1"/>
          <w:left w:val="single" w:sz="8" w:space="0" w:color="002B49" w:themeColor="accent1"/>
          <w:bottom w:val="single" w:sz="8" w:space="0" w:color="002B49" w:themeColor="accent1"/>
          <w:right w:val="single" w:sz="8" w:space="0" w:color="002B49" w:themeColor="accent1"/>
          <w:insideV w:val="single" w:sz="8" w:space="0" w:color="002B49" w:themeColor="accent1"/>
        </w:tcBorders>
        <w:shd w:val="clear" w:color="auto" w:fill="93D2FF" w:themeFill="accent1" w:themeFillTint="3F"/>
      </w:tcPr>
    </w:tblStylePr>
    <w:tblStylePr w:type="band2Horz">
      <w:tblPr/>
      <w:tcPr>
        <w:tcBorders>
          <w:top w:val="single" w:sz="8" w:space="0" w:color="002B49" w:themeColor="accent1"/>
          <w:left w:val="single" w:sz="8" w:space="0" w:color="002B49" w:themeColor="accent1"/>
          <w:bottom w:val="single" w:sz="8" w:space="0" w:color="002B49" w:themeColor="accent1"/>
          <w:right w:val="single" w:sz="8" w:space="0" w:color="002B49" w:themeColor="accent1"/>
          <w:insideV w:val="single" w:sz="8" w:space="0" w:color="002B49"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Ind w:w="0" w:type="dxa"/>
      <w:tblBorders>
        <w:top w:val="single" w:sz="8" w:space="0" w:color="00A1AF" w:themeColor="accent2"/>
        <w:left w:val="single" w:sz="8" w:space="0" w:color="00A1AF" w:themeColor="accent2"/>
        <w:bottom w:val="single" w:sz="8" w:space="0" w:color="00A1AF" w:themeColor="accent2"/>
        <w:right w:val="single" w:sz="8" w:space="0" w:color="00A1AF" w:themeColor="accent2"/>
        <w:insideH w:val="single" w:sz="8" w:space="0" w:color="00A1AF" w:themeColor="accent2"/>
        <w:insideV w:val="single" w:sz="8" w:space="0" w:color="00A1A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1AF" w:themeColor="accent2"/>
          <w:left w:val="single" w:sz="8" w:space="0" w:color="00A1AF" w:themeColor="accent2"/>
          <w:bottom w:val="single" w:sz="18" w:space="0" w:color="00A1AF" w:themeColor="accent2"/>
          <w:right w:val="single" w:sz="8" w:space="0" w:color="00A1AF" w:themeColor="accent2"/>
          <w:insideH w:val="nil"/>
          <w:insideV w:val="single" w:sz="8" w:space="0" w:color="00A1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1AF" w:themeColor="accent2"/>
          <w:left w:val="single" w:sz="8" w:space="0" w:color="00A1AF" w:themeColor="accent2"/>
          <w:bottom w:val="single" w:sz="8" w:space="0" w:color="00A1AF" w:themeColor="accent2"/>
          <w:right w:val="single" w:sz="8" w:space="0" w:color="00A1AF" w:themeColor="accent2"/>
          <w:insideH w:val="nil"/>
          <w:insideV w:val="single" w:sz="8" w:space="0" w:color="00A1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1AF" w:themeColor="accent2"/>
          <w:left w:val="single" w:sz="8" w:space="0" w:color="00A1AF" w:themeColor="accent2"/>
          <w:bottom w:val="single" w:sz="8" w:space="0" w:color="00A1AF" w:themeColor="accent2"/>
          <w:right w:val="single" w:sz="8" w:space="0" w:color="00A1AF" w:themeColor="accent2"/>
        </w:tcBorders>
      </w:tcPr>
    </w:tblStylePr>
    <w:tblStylePr w:type="band1Vert">
      <w:tblPr/>
      <w:tcPr>
        <w:tcBorders>
          <w:top w:val="single" w:sz="8" w:space="0" w:color="00A1AF" w:themeColor="accent2"/>
          <w:left w:val="single" w:sz="8" w:space="0" w:color="00A1AF" w:themeColor="accent2"/>
          <w:bottom w:val="single" w:sz="8" w:space="0" w:color="00A1AF" w:themeColor="accent2"/>
          <w:right w:val="single" w:sz="8" w:space="0" w:color="00A1AF" w:themeColor="accent2"/>
        </w:tcBorders>
        <w:shd w:val="clear" w:color="auto" w:fill="ACF8FF" w:themeFill="accent2" w:themeFillTint="3F"/>
      </w:tcPr>
    </w:tblStylePr>
    <w:tblStylePr w:type="band1Horz">
      <w:tblPr/>
      <w:tcPr>
        <w:tcBorders>
          <w:top w:val="single" w:sz="8" w:space="0" w:color="00A1AF" w:themeColor="accent2"/>
          <w:left w:val="single" w:sz="8" w:space="0" w:color="00A1AF" w:themeColor="accent2"/>
          <w:bottom w:val="single" w:sz="8" w:space="0" w:color="00A1AF" w:themeColor="accent2"/>
          <w:right w:val="single" w:sz="8" w:space="0" w:color="00A1AF" w:themeColor="accent2"/>
          <w:insideV w:val="single" w:sz="8" w:space="0" w:color="00A1AF" w:themeColor="accent2"/>
        </w:tcBorders>
        <w:shd w:val="clear" w:color="auto" w:fill="ACF8FF" w:themeFill="accent2" w:themeFillTint="3F"/>
      </w:tcPr>
    </w:tblStylePr>
    <w:tblStylePr w:type="band2Horz">
      <w:tblPr/>
      <w:tcPr>
        <w:tcBorders>
          <w:top w:val="single" w:sz="8" w:space="0" w:color="00A1AF" w:themeColor="accent2"/>
          <w:left w:val="single" w:sz="8" w:space="0" w:color="00A1AF" w:themeColor="accent2"/>
          <w:bottom w:val="single" w:sz="8" w:space="0" w:color="00A1AF" w:themeColor="accent2"/>
          <w:right w:val="single" w:sz="8" w:space="0" w:color="00A1AF" w:themeColor="accent2"/>
          <w:insideV w:val="single" w:sz="8" w:space="0" w:color="00A1AF"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customStyle="1" w:styleId="LightList1">
    <w:name w:val="Light List1"/>
    <w:basedOn w:val="TableNormal"/>
    <w:uiPriority w:val="61"/>
    <w:locked/>
    <w:rsid w:val="00F80750"/>
    <w:pPr>
      <w:spacing w:after="0" w:line="240" w:lineRule="auto"/>
    </w:p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F" w:themeFill="text1"/>
      </w:tcPr>
    </w:tblStylePr>
    <w:tblStylePr w:type="lastRow">
      <w:pPr>
        <w:spacing w:before="0" w:after="0" w:line="240" w:lineRule="auto"/>
      </w:pPr>
      <w:rPr>
        <w:b/>
        <w:bCs/>
      </w:rPr>
      <w:tblPr/>
      <w:tcPr>
        <w:tcBorders>
          <w:top w:val="double" w:sz="6" w:space="0" w:color="4D4D4F" w:themeColor="text1"/>
          <w:left w:val="single" w:sz="8" w:space="0" w:color="4D4D4F" w:themeColor="text1"/>
          <w:bottom w:val="single" w:sz="8" w:space="0" w:color="4D4D4F" w:themeColor="text1"/>
          <w:right w:val="single" w:sz="8" w:space="0" w:color="4D4D4F" w:themeColor="text1"/>
        </w:tcBorders>
      </w:tcPr>
    </w:tblStylePr>
    <w:tblStylePr w:type="firstCol">
      <w:rPr>
        <w:b/>
        <w:bCs/>
      </w:rPr>
    </w:tblStylePr>
    <w:tblStylePr w:type="lastCol">
      <w:rPr>
        <w:b/>
        <w:bCs/>
      </w:rPr>
    </w:tblStylePr>
    <w:tblStylePr w:type="band1Vert">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tblStylePr w:type="band1Horz">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style>
  <w:style w:type="table" w:customStyle="1" w:styleId="LightList-Accent11">
    <w:name w:val="Light List - Accent 11"/>
    <w:basedOn w:val="TableNormal"/>
    <w:uiPriority w:val="61"/>
    <w:locked/>
    <w:rsid w:val="00F80750"/>
    <w:pPr>
      <w:spacing w:after="0" w:line="240" w:lineRule="auto"/>
    </w:pPr>
    <w:tblPr>
      <w:tblStyleRowBandSize w:val="1"/>
      <w:tblStyleColBandSize w:val="1"/>
      <w:tblInd w:w="0" w:type="dxa"/>
      <w:tblBorders>
        <w:top w:val="single" w:sz="8" w:space="0" w:color="002B49" w:themeColor="accent1"/>
        <w:left w:val="single" w:sz="8" w:space="0" w:color="002B49" w:themeColor="accent1"/>
        <w:bottom w:val="single" w:sz="8" w:space="0" w:color="002B49" w:themeColor="accent1"/>
        <w:right w:val="single" w:sz="8" w:space="0" w:color="002B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B49" w:themeFill="accent1"/>
      </w:tcPr>
    </w:tblStylePr>
    <w:tblStylePr w:type="lastRow">
      <w:pPr>
        <w:spacing w:before="0" w:after="0" w:line="240" w:lineRule="auto"/>
      </w:pPr>
      <w:rPr>
        <w:b/>
        <w:bCs/>
      </w:rPr>
      <w:tblPr/>
      <w:tcPr>
        <w:tcBorders>
          <w:top w:val="double" w:sz="6" w:space="0" w:color="002B49" w:themeColor="accent1"/>
          <w:left w:val="single" w:sz="8" w:space="0" w:color="002B49" w:themeColor="accent1"/>
          <w:bottom w:val="single" w:sz="8" w:space="0" w:color="002B49" w:themeColor="accent1"/>
          <w:right w:val="single" w:sz="8" w:space="0" w:color="002B49" w:themeColor="accent1"/>
        </w:tcBorders>
      </w:tcPr>
    </w:tblStylePr>
    <w:tblStylePr w:type="firstCol">
      <w:rPr>
        <w:b/>
        <w:bCs/>
      </w:rPr>
    </w:tblStylePr>
    <w:tblStylePr w:type="lastCol">
      <w:rPr>
        <w:b/>
        <w:bCs/>
      </w:rPr>
    </w:tblStylePr>
    <w:tblStylePr w:type="band1Vert">
      <w:tblPr/>
      <w:tcPr>
        <w:tcBorders>
          <w:top w:val="single" w:sz="8" w:space="0" w:color="002B49" w:themeColor="accent1"/>
          <w:left w:val="single" w:sz="8" w:space="0" w:color="002B49" w:themeColor="accent1"/>
          <w:bottom w:val="single" w:sz="8" w:space="0" w:color="002B49" w:themeColor="accent1"/>
          <w:right w:val="single" w:sz="8" w:space="0" w:color="002B49" w:themeColor="accent1"/>
        </w:tcBorders>
      </w:tcPr>
    </w:tblStylePr>
    <w:tblStylePr w:type="band1Horz">
      <w:tblPr/>
      <w:tcPr>
        <w:tcBorders>
          <w:top w:val="single" w:sz="8" w:space="0" w:color="002B49" w:themeColor="accent1"/>
          <w:left w:val="single" w:sz="8" w:space="0" w:color="002B49" w:themeColor="accent1"/>
          <w:bottom w:val="single" w:sz="8" w:space="0" w:color="002B49" w:themeColor="accent1"/>
          <w:right w:val="single" w:sz="8" w:space="0" w:color="002B49"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Ind w:w="0" w:type="dxa"/>
      <w:tblBorders>
        <w:top w:val="single" w:sz="8" w:space="0" w:color="00A1AF" w:themeColor="accent2"/>
        <w:left w:val="single" w:sz="8" w:space="0" w:color="00A1AF" w:themeColor="accent2"/>
        <w:bottom w:val="single" w:sz="8" w:space="0" w:color="00A1AF" w:themeColor="accent2"/>
        <w:right w:val="single" w:sz="8" w:space="0" w:color="00A1A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1AF" w:themeFill="accent2"/>
      </w:tcPr>
    </w:tblStylePr>
    <w:tblStylePr w:type="lastRow">
      <w:pPr>
        <w:spacing w:before="0" w:after="0" w:line="240" w:lineRule="auto"/>
      </w:pPr>
      <w:rPr>
        <w:b/>
        <w:bCs/>
      </w:rPr>
      <w:tblPr/>
      <w:tcPr>
        <w:tcBorders>
          <w:top w:val="double" w:sz="6" w:space="0" w:color="00A1AF" w:themeColor="accent2"/>
          <w:left w:val="single" w:sz="8" w:space="0" w:color="00A1AF" w:themeColor="accent2"/>
          <w:bottom w:val="single" w:sz="8" w:space="0" w:color="00A1AF" w:themeColor="accent2"/>
          <w:right w:val="single" w:sz="8" w:space="0" w:color="00A1AF" w:themeColor="accent2"/>
        </w:tcBorders>
      </w:tcPr>
    </w:tblStylePr>
    <w:tblStylePr w:type="firstCol">
      <w:rPr>
        <w:b/>
        <w:bCs/>
      </w:rPr>
    </w:tblStylePr>
    <w:tblStylePr w:type="lastCol">
      <w:rPr>
        <w:b/>
        <w:bCs/>
      </w:rPr>
    </w:tblStylePr>
    <w:tblStylePr w:type="band1Vert">
      <w:tblPr/>
      <w:tcPr>
        <w:tcBorders>
          <w:top w:val="single" w:sz="8" w:space="0" w:color="00A1AF" w:themeColor="accent2"/>
          <w:left w:val="single" w:sz="8" w:space="0" w:color="00A1AF" w:themeColor="accent2"/>
          <w:bottom w:val="single" w:sz="8" w:space="0" w:color="00A1AF" w:themeColor="accent2"/>
          <w:right w:val="single" w:sz="8" w:space="0" w:color="00A1AF" w:themeColor="accent2"/>
        </w:tcBorders>
      </w:tcPr>
    </w:tblStylePr>
    <w:tblStylePr w:type="band1Horz">
      <w:tblPr/>
      <w:tcPr>
        <w:tcBorders>
          <w:top w:val="single" w:sz="8" w:space="0" w:color="00A1AF" w:themeColor="accent2"/>
          <w:left w:val="single" w:sz="8" w:space="0" w:color="00A1AF" w:themeColor="accent2"/>
          <w:bottom w:val="single" w:sz="8" w:space="0" w:color="00A1AF" w:themeColor="accent2"/>
          <w:right w:val="single" w:sz="8" w:space="0" w:color="00A1AF"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customStyle="1" w:styleId="LightShading1">
    <w:name w:val="Light Shading1"/>
    <w:basedOn w:val="TableNormal"/>
    <w:uiPriority w:val="60"/>
    <w:locked/>
    <w:rsid w:val="00E418DC"/>
    <w:pPr>
      <w:spacing w:before="57" w:line="240" w:lineRule="auto"/>
      <w:ind w:left="108" w:right="108"/>
      <w:jc w:val="right"/>
    </w:pPr>
    <w:rPr>
      <w:color w:val="39393B" w:themeColor="text1" w:themeShade="BF"/>
      <w:sz w:val="17"/>
    </w:rPr>
    <w:tblPr>
      <w:tblStyleRowBandSize w:val="1"/>
      <w:tblStyleColBandSize w:val="1"/>
      <w:tblInd w:w="0" w:type="dxa"/>
      <w:tblBorders>
        <w:top w:val="single" w:sz="8" w:space="0" w:color="4D4D4F" w:themeColor="text1"/>
        <w:bottom w:val="single" w:sz="8" w:space="0" w:color="4D4D4F" w:themeColor="text1"/>
      </w:tblBorders>
      <w:tblCellMar>
        <w:top w:w="0" w:type="dxa"/>
        <w:left w:w="0" w:type="dxa"/>
        <w:bottom w:w="0" w:type="dxa"/>
        <w:right w:w="0" w:type="dxa"/>
      </w:tblCellMar>
    </w:tblPr>
    <w:tblStylePr w:type="firstRow">
      <w:pPr>
        <w:wordWrap/>
        <w:spacing w:beforeLines="0" w:beforeAutospacing="0" w:after="0" w:afterAutospacing="0" w:line="240" w:lineRule="auto"/>
        <w:jc w:val="left"/>
      </w:pPr>
      <w:rPr>
        <w:rFonts w:asciiTheme="majorHAnsi" w:hAnsiTheme="majorHAnsi"/>
        <w:b/>
        <w:bCs/>
        <w:color w:val="FFFFFF" w:themeColor="background1"/>
        <w:sz w:val="20"/>
      </w:rPr>
      <w:tblPr/>
      <w:trPr>
        <w:tblHeader/>
      </w:trPr>
      <w:tcPr>
        <w:shd w:val="clear" w:color="auto" w:fill="5F5F5F" w:themeFill="accent5"/>
      </w:tcPr>
    </w:tblStylePr>
    <w:tblStylePr w:type="lastRow">
      <w:pPr>
        <w:wordWrap/>
        <w:spacing w:beforeLines="0" w:beforeAutospacing="0" w:afterLines="0" w:afterAutospacing="0" w:line="240" w:lineRule="auto"/>
      </w:pPr>
      <w:rPr>
        <w:b/>
        <w:bCs/>
      </w:rPr>
      <w:tblPr/>
      <w:tcPr>
        <w:shd w:val="clear" w:color="auto" w:fill="002B49" w:themeFill="accent1"/>
      </w:tcPr>
    </w:tblStylePr>
    <w:tblStylePr w:type="firstCol">
      <w:pPr>
        <w:jc w:val="left"/>
      </w:pPr>
      <w:rPr>
        <w:b/>
        <w:bCs/>
      </w:rPr>
      <w:tblPr/>
      <w:tcPr>
        <w:shd w:val="clear" w:color="auto" w:fill="002B49" w:themeFill="accent1"/>
      </w:tcPr>
    </w:tblStylePr>
    <w:tblStylePr w:type="lastCol">
      <w:rPr>
        <w:b/>
        <w:bCs/>
      </w:rPr>
    </w:tblStylePr>
    <w:tblStylePr w:type="band1Vert">
      <w:tblPr/>
      <w:tcPr>
        <w:shd w:val="clear" w:color="auto" w:fill="002B49" w:themeFill="accent1"/>
      </w:tcPr>
    </w:tblStylePr>
    <w:tblStylePr w:type="band2Vert">
      <w:tblPr/>
      <w:tcPr>
        <w:shd w:val="clear" w:color="auto" w:fill="002B49" w:themeFill="accent1"/>
      </w:tcPr>
    </w:tblStylePr>
    <w:tblStylePr w:type="band1Horz">
      <w:tblPr/>
      <w:tcPr>
        <w:shd w:val="clear" w:color="auto" w:fill="002B49" w:themeFill="accent1"/>
      </w:tcPr>
    </w:tblStylePr>
    <w:tblStylePr w:type="band2Horz">
      <w:tblPr/>
      <w:tcPr>
        <w:shd w:val="clear" w:color="auto" w:fill="002B49" w:themeFill="accent1"/>
      </w:tcPr>
    </w:tblStylePr>
  </w:style>
  <w:style w:type="table" w:customStyle="1" w:styleId="LightShading-Accent11">
    <w:name w:val="Light Shading - Accent 11"/>
    <w:basedOn w:val="TableNormal"/>
    <w:uiPriority w:val="60"/>
    <w:locked/>
    <w:rsid w:val="00F80750"/>
    <w:pPr>
      <w:spacing w:after="0" w:line="240" w:lineRule="auto"/>
    </w:pPr>
    <w:rPr>
      <w:color w:val="002036" w:themeColor="accent1" w:themeShade="BF"/>
    </w:rPr>
    <w:tblPr>
      <w:tblStyleRowBandSize w:val="1"/>
      <w:tblStyleColBandSize w:val="1"/>
      <w:tblInd w:w="0" w:type="dxa"/>
      <w:tblBorders>
        <w:top w:val="single" w:sz="8" w:space="0" w:color="002B49" w:themeColor="accent1"/>
        <w:bottom w:val="single" w:sz="8" w:space="0" w:color="002B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B49" w:themeColor="accent1"/>
          <w:left w:val="nil"/>
          <w:bottom w:val="single" w:sz="8" w:space="0" w:color="002B49" w:themeColor="accent1"/>
          <w:right w:val="nil"/>
          <w:insideH w:val="nil"/>
          <w:insideV w:val="nil"/>
        </w:tcBorders>
      </w:tcPr>
    </w:tblStylePr>
    <w:tblStylePr w:type="lastRow">
      <w:pPr>
        <w:spacing w:before="0" w:after="0" w:line="240" w:lineRule="auto"/>
      </w:pPr>
      <w:rPr>
        <w:b/>
        <w:bCs/>
      </w:rPr>
      <w:tblPr/>
      <w:tcPr>
        <w:tcBorders>
          <w:top w:val="single" w:sz="8" w:space="0" w:color="002B49" w:themeColor="accent1"/>
          <w:left w:val="nil"/>
          <w:bottom w:val="single" w:sz="8" w:space="0" w:color="002B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3D2FF" w:themeFill="accent1" w:themeFillTint="3F"/>
      </w:tcPr>
    </w:tblStylePr>
    <w:tblStylePr w:type="band1Horz">
      <w:tblPr/>
      <w:tcPr>
        <w:tcBorders>
          <w:left w:val="nil"/>
          <w:right w:val="nil"/>
          <w:insideH w:val="nil"/>
          <w:insideV w:val="nil"/>
        </w:tcBorders>
        <w:shd w:val="clear" w:color="auto" w:fill="93D2FF" w:themeFill="accent1" w:themeFillTint="3F"/>
      </w:tcPr>
    </w:tblStylePr>
  </w:style>
  <w:style w:type="table" w:styleId="LightShading-Accent2">
    <w:name w:val="Light Shading Accent 2"/>
    <w:basedOn w:val="TableNormal"/>
    <w:uiPriority w:val="60"/>
    <w:locked/>
    <w:rsid w:val="00F80750"/>
    <w:pPr>
      <w:spacing w:after="0" w:line="240" w:lineRule="auto"/>
    </w:pPr>
    <w:rPr>
      <w:color w:val="007883" w:themeColor="accent2" w:themeShade="BF"/>
    </w:rPr>
    <w:tblPr>
      <w:tblStyleRowBandSize w:val="1"/>
      <w:tblStyleColBandSize w:val="1"/>
      <w:tblInd w:w="0" w:type="dxa"/>
      <w:tblBorders>
        <w:top w:val="single" w:sz="8" w:space="0" w:color="00A1AF" w:themeColor="accent2"/>
        <w:bottom w:val="single" w:sz="8" w:space="0" w:color="00A1A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1AF" w:themeColor="accent2"/>
          <w:left w:val="nil"/>
          <w:bottom w:val="single" w:sz="8" w:space="0" w:color="00A1AF" w:themeColor="accent2"/>
          <w:right w:val="nil"/>
          <w:insideH w:val="nil"/>
          <w:insideV w:val="nil"/>
        </w:tcBorders>
      </w:tcPr>
    </w:tblStylePr>
    <w:tblStylePr w:type="lastRow">
      <w:pPr>
        <w:spacing w:before="0" w:after="0" w:line="240" w:lineRule="auto"/>
      </w:pPr>
      <w:rPr>
        <w:b/>
        <w:bCs/>
      </w:rPr>
      <w:tblPr/>
      <w:tcPr>
        <w:tcBorders>
          <w:top w:val="single" w:sz="8" w:space="0" w:color="00A1AF" w:themeColor="accent2"/>
          <w:left w:val="nil"/>
          <w:bottom w:val="single" w:sz="8" w:space="0" w:color="00A1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8FF" w:themeFill="accent2" w:themeFillTint="3F"/>
      </w:tcPr>
    </w:tblStylePr>
    <w:tblStylePr w:type="band1Horz">
      <w:tblPr/>
      <w:tcPr>
        <w:tcBorders>
          <w:left w:val="nil"/>
          <w:right w:val="nil"/>
          <w:insideH w:val="nil"/>
          <w:insideV w:val="nil"/>
        </w:tcBorders>
        <w:shd w:val="clear" w:color="auto" w:fill="ACF8FF"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spacing w:after="120"/>
      <w:ind w:left="283"/>
      <w:contextualSpacing/>
    </w:pPr>
  </w:style>
  <w:style w:type="paragraph" w:styleId="ListContinue2">
    <w:name w:val="List Continue 2"/>
    <w:basedOn w:val="Normal"/>
    <w:uiPriority w:val="99"/>
    <w:semiHidden/>
    <w:unhideWhenUsed/>
    <w:locked/>
    <w:rsid w:val="00F80750"/>
    <w:pPr>
      <w:spacing w:after="120"/>
      <w:ind w:left="566"/>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customStyle="1" w:styleId="MediumGrid11">
    <w:name w:val="Medium Grid 11"/>
    <w:basedOn w:val="TableNormal"/>
    <w:uiPriority w:val="67"/>
    <w:locked/>
    <w:rsid w:val="00F80750"/>
    <w:pPr>
      <w:spacing w:after="0" w:line="240" w:lineRule="auto"/>
    </w:pPr>
    <w:tblPr>
      <w:tblStyleRowBandSize w:val="1"/>
      <w:tblStyleColBandSize w:val="1"/>
      <w:tblInd w:w="0" w:type="dxa"/>
      <w:tblBorders>
        <w:top w:val="single" w:sz="8" w:space="0" w:color="78787B" w:themeColor="text1" w:themeTint="BF"/>
        <w:left w:val="single" w:sz="8" w:space="0" w:color="78787B" w:themeColor="text1" w:themeTint="BF"/>
        <w:bottom w:val="single" w:sz="8" w:space="0" w:color="78787B" w:themeColor="text1" w:themeTint="BF"/>
        <w:right w:val="single" w:sz="8" w:space="0" w:color="78787B" w:themeColor="text1" w:themeTint="BF"/>
        <w:insideH w:val="single" w:sz="8" w:space="0" w:color="78787B" w:themeColor="text1" w:themeTint="BF"/>
        <w:insideV w:val="single" w:sz="8" w:space="0" w:color="78787B" w:themeColor="text1" w:themeTint="BF"/>
      </w:tblBorders>
      <w:tblCellMar>
        <w:top w:w="0" w:type="dxa"/>
        <w:left w:w="108" w:type="dxa"/>
        <w:bottom w:w="0" w:type="dxa"/>
        <w:right w:w="108" w:type="dxa"/>
      </w:tblCellMar>
    </w:tblPr>
    <w:tcPr>
      <w:shd w:val="clear" w:color="auto" w:fill="D2D2D3" w:themeFill="text1" w:themeFillTint="3F"/>
    </w:tcPr>
    <w:tblStylePr w:type="firstRow">
      <w:rPr>
        <w:b/>
        <w:bCs/>
      </w:rPr>
    </w:tblStylePr>
    <w:tblStylePr w:type="lastRow">
      <w:rPr>
        <w:b/>
        <w:bCs/>
      </w:rPr>
      <w:tblPr/>
      <w:tcPr>
        <w:tcBorders>
          <w:top w:val="single" w:sz="18" w:space="0" w:color="78787B" w:themeColor="text1" w:themeTint="BF"/>
        </w:tcBorders>
      </w:tcPr>
    </w:tblStylePr>
    <w:tblStylePr w:type="firstCol">
      <w:rPr>
        <w:b/>
        <w:bCs/>
      </w:rPr>
    </w:tblStylePr>
    <w:tblStylePr w:type="lastCol">
      <w:rPr>
        <w:b/>
        <w:bCs/>
      </w:rPr>
    </w:tblStylePr>
    <w:tblStylePr w:type="band1Vert">
      <w:tblPr/>
      <w:tcPr>
        <w:shd w:val="clear" w:color="auto" w:fill="A5A5A8" w:themeFill="text1" w:themeFillTint="7F"/>
      </w:tcPr>
    </w:tblStylePr>
    <w:tblStylePr w:type="band1Horz">
      <w:tblPr/>
      <w:tcPr>
        <w:shd w:val="clear" w:color="auto" w:fill="A5A5A8"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Ind w:w="0" w:type="dxa"/>
      <w:tblBorders>
        <w:top w:val="single" w:sz="8" w:space="0" w:color="006BB6" w:themeColor="accent1" w:themeTint="BF"/>
        <w:left w:val="single" w:sz="8" w:space="0" w:color="006BB6" w:themeColor="accent1" w:themeTint="BF"/>
        <w:bottom w:val="single" w:sz="8" w:space="0" w:color="006BB6" w:themeColor="accent1" w:themeTint="BF"/>
        <w:right w:val="single" w:sz="8" w:space="0" w:color="006BB6" w:themeColor="accent1" w:themeTint="BF"/>
        <w:insideH w:val="single" w:sz="8" w:space="0" w:color="006BB6" w:themeColor="accent1" w:themeTint="BF"/>
        <w:insideV w:val="single" w:sz="8" w:space="0" w:color="006BB6" w:themeColor="accent1" w:themeTint="BF"/>
      </w:tblBorders>
      <w:tblCellMar>
        <w:top w:w="0" w:type="dxa"/>
        <w:left w:w="108" w:type="dxa"/>
        <w:bottom w:w="0" w:type="dxa"/>
        <w:right w:w="108" w:type="dxa"/>
      </w:tblCellMar>
    </w:tblPr>
    <w:tcPr>
      <w:shd w:val="clear" w:color="auto" w:fill="93D2FF" w:themeFill="accent1" w:themeFillTint="3F"/>
    </w:tcPr>
    <w:tblStylePr w:type="firstRow">
      <w:rPr>
        <w:b/>
        <w:bCs/>
      </w:rPr>
    </w:tblStylePr>
    <w:tblStylePr w:type="lastRow">
      <w:rPr>
        <w:b/>
        <w:bCs/>
      </w:rPr>
      <w:tblPr/>
      <w:tcPr>
        <w:tcBorders>
          <w:top w:val="single" w:sz="18" w:space="0" w:color="006BB6" w:themeColor="accent1" w:themeTint="BF"/>
        </w:tcBorders>
      </w:tcPr>
    </w:tblStylePr>
    <w:tblStylePr w:type="firstCol">
      <w:rPr>
        <w:b/>
        <w:bCs/>
      </w:rPr>
    </w:tblStylePr>
    <w:tblStylePr w:type="lastCol">
      <w:rPr>
        <w:b/>
        <w:bCs/>
      </w:rPr>
    </w:tblStylePr>
    <w:tblStylePr w:type="band1Vert">
      <w:tblPr/>
      <w:tcPr>
        <w:shd w:val="clear" w:color="auto" w:fill="25A5FF" w:themeFill="accent1" w:themeFillTint="7F"/>
      </w:tcPr>
    </w:tblStylePr>
    <w:tblStylePr w:type="band1Horz">
      <w:tblPr/>
      <w:tcPr>
        <w:shd w:val="clear" w:color="auto" w:fill="25A5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Ind w:w="0" w:type="dxa"/>
      <w:tblBorders>
        <w:top w:val="single" w:sz="8" w:space="0" w:color="04EAFF" w:themeColor="accent2" w:themeTint="BF"/>
        <w:left w:val="single" w:sz="8" w:space="0" w:color="04EAFF" w:themeColor="accent2" w:themeTint="BF"/>
        <w:bottom w:val="single" w:sz="8" w:space="0" w:color="04EAFF" w:themeColor="accent2" w:themeTint="BF"/>
        <w:right w:val="single" w:sz="8" w:space="0" w:color="04EAFF" w:themeColor="accent2" w:themeTint="BF"/>
        <w:insideH w:val="single" w:sz="8" w:space="0" w:color="04EAFF" w:themeColor="accent2" w:themeTint="BF"/>
        <w:insideV w:val="single" w:sz="8" w:space="0" w:color="04EAFF" w:themeColor="accent2" w:themeTint="BF"/>
      </w:tblBorders>
      <w:tblCellMar>
        <w:top w:w="0" w:type="dxa"/>
        <w:left w:w="108" w:type="dxa"/>
        <w:bottom w:w="0" w:type="dxa"/>
        <w:right w:w="108" w:type="dxa"/>
      </w:tblCellMar>
    </w:tblPr>
    <w:tcPr>
      <w:shd w:val="clear" w:color="auto" w:fill="ACF8FF" w:themeFill="accent2" w:themeFillTint="3F"/>
    </w:tcPr>
    <w:tblStylePr w:type="firstRow">
      <w:rPr>
        <w:b/>
        <w:bCs/>
      </w:rPr>
    </w:tblStylePr>
    <w:tblStylePr w:type="lastRow">
      <w:rPr>
        <w:b/>
        <w:bCs/>
      </w:rPr>
      <w:tblPr/>
      <w:tcPr>
        <w:tcBorders>
          <w:top w:val="single" w:sz="18" w:space="0" w:color="04EAFF" w:themeColor="accent2" w:themeTint="BF"/>
        </w:tcBorders>
      </w:tcPr>
    </w:tblStylePr>
    <w:tblStylePr w:type="firstCol">
      <w:rPr>
        <w:b/>
        <w:bCs/>
      </w:rPr>
    </w:tblStylePr>
    <w:tblStylePr w:type="lastCol">
      <w:rPr>
        <w:b/>
        <w:bCs/>
      </w:rPr>
    </w:tblStylePr>
    <w:tblStylePr w:type="band1Vert">
      <w:tblPr/>
      <w:tcPr>
        <w:shd w:val="clear" w:color="auto" w:fill="58F1FF" w:themeFill="accent2" w:themeFillTint="7F"/>
      </w:tcPr>
    </w:tblStylePr>
    <w:tblStylePr w:type="band1Horz">
      <w:tblPr/>
      <w:tcPr>
        <w:shd w:val="clear" w:color="auto" w:fill="58F1FF"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CellMar>
        <w:top w:w="0" w:type="dxa"/>
        <w:left w:w="108" w:type="dxa"/>
        <w:bottom w:w="0" w:type="dxa"/>
        <w:right w:w="108" w:type="dxa"/>
      </w:tblCellMar>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CellMar>
        <w:top w:w="0" w:type="dxa"/>
        <w:left w:w="108" w:type="dxa"/>
        <w:bottom w:w="0" w:type="dxa"/>
        <w:right w:w="108" w:type="dxa"/>
      </w:tblCellMar>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CellMar>
        <w:top w:w="0" w:type="dxa"/>
        <w:left w:w="108" w:type="dxa"/>
        <w:bottom w:w="0" w:type="dxa"/>
        <w:right w:w="108" w:type="dxa"/>
      </w:tblCellMar>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MediumGrid21">
    <w:name w:val="Medium Grid 2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insideH w:val="single" w:sz="8" w:space="0" w:color="4D4D4F" w:themeColor="text1"/>
        <w:insideV w:val="single" w:sz="8" w:space="0" w:color="4D4D4F" w:themeColor="text1"/>
      </w:tblBorders>
      <w:tblCellMar>
        <w:top w:w="0" w:type="dxa"/>
        <w:left w:w="108" w:type="dxa"/>
        <w:bottom w:w="0" w:type="dxa"/>
        <w:right w:w="108" w:type="dxa"/>
      </w:tblCellMar>
    </w:tblPr>
    <w:tcPr>
      <w:shd w:val="clear" w:color="auto" w:fill="D2D2D3" w:themeFill="text1" w:themeFillTint="3F"/>
    </w:tcPr>
    <w:tblStylePr w:type="firstRow">
      <w:rPr>
        <w:b/>
        <w:bCs/>
        <w:color w:val="4D4D4F" w:themeColor="text1"/>
      </w:rPr>
      <w:tblPr/>
      <w:tcPr>
        <w:shd w:val="clear" w:color="auto" w:fill="EDEDED" w:themeFill="text1"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DBDBDC" w:themeFill="text1" w:themeFillTint="33"/>
      </w:tcPr>
    </w:tblStylePr>
    <w:tblStylePr w:type="band1Vert">
      <w:tblPr/>
      <w:tcPr>
        <w:shd w:val="clear" w:color="auto" w:fill="A5A5A8" w:themeFill="text1" w:themeFillTint="7F"/>
      </w:tcPr>
    </w:tblStylePr>
    <w:tblStylePr w:type="band1Horz">
      <w:tblPr/>
      <w:tcPr>
        <w:tcBorders>
          <w:insideH w:val="single" w:sz="6" w:space="0" w:color="4D4D4F" w:themeColor="text1"/>
          <w:insideV w:val="single" w:sz="6" w:space="0" w:color="4D4D4F" w:themeColor="text1"/>
        </w:tcBorders>
        <w:shd w:val="clear" w:color="auto" w:fill="A5A5A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2B49" w:themeColor="accent1"/>
        <w:left w:val="single" w:sz="8" w:space="0" w:color="002B49" w:themeColor="accent1"/>
        <w:bottom w:val="single" w:sz="8" w:space="0" w:color="002B49" w:themeColor="accent1"/>
        <w:right w:val="single" w:sz="8" w:space="0" w:color="002B49" w:themeColor="accent1"/>
        <w:insideH w:val="single" w:sz="8" w:space="0" w:color="002B49" w:themeColor="accent1"/>
        <w:insideV w:val="single" w:sz="8" w:space="0" w:color="002B49" w:themeColor="accent1"/>
      </w:tblBorders>
      <w:tblCellMar>
        <w:top w:w="0" w:type="dxa"/>
        <w:left w:w="108" w:type="dxa"/>
        <w:bottom w:w="0" w:type="dxa"/>
        <w:right w:w="108" w:type="dxa"/>
      </w:tblCellMar>
    </w:tblPr>
    <w:tcPr>
      <w:shd w:val="clear" w:color="auto" w:fill="93D2FF" w:themeFill="accent1" w:themeFillTint="3F"/>
    </w:tcPr>
    <w:tblStylePr w:type="firstRow">
      <w:rPr>
        <w:b/>
        <w:bCs/>
        <w:color w:val="4D4D4F" w:themeColor="text1"/>
      </w:rPr>
      <w:tblPr/>
      <w:tcPr>
        <w:shd w:val="clear" w:color="auto" w:fill="D4EDFF" w:themeFill="accent1"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A7DAFF" w:themeFill="accent1" w:themeFillTint="33"/>
      </w:tcPr>
    </w:tblStylePr>
    <w:tblStylePr w:type="band1Vert">
      <w:tblPr/>
      <w:tcPr>
        <w:shd w:val="clear" w:color="auto" w:fill="25A5FF" w:themeFill="accent1" w:themeFillTint="7F"/>
      </w:tcPr>
    </w:tblStylePr>
    <w:tblStylePr w:type="band1Horz">
      <w:tblPr/>
      <w:tcPr>
        <w:tcBorders>
          <w:insideH w:val="single" w:sz="6" w:space="0" w:color="002B49" w:themeColor="accent1"/>
          <w:insideV w:val="single" w:sz="6" w:space="0" w:color="002B49" w:themeColor="accent1"/>
        </w:tcBorders>
        <w:shd w:val="clear" w:color="auto" w:fill="25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A1AF" w:themeColor="accent2"/>
        <w:left w:val="single" w:sz="8" w:space="0" w:color="00A1AF" w:themeColor="accent2"/>
        <w:bottom w:val="single" w:sz="8" w:space="0" w:color="00A1AF" w:themeColor="accent2"/>
        <w:right w:val="single" w:sz="8" w:space="0" w:color="00A1AF" w:themeColor="accent2"/>
        <w:insideH w:val="single" w:sz="8" w:space="0" w:color="00A1AF" w:themeColor="accent2"/>
        <w:insideV w:val="single" w:sz="8" w:space="0" w:color="00A1AF" w:themeColor="accent2"/>
      </w:tblBorders>
      <w:tblCellMar>
        <w:top w:w="0" w:type="dxa"/>
        <w:left w:w="108" w:type="dxa"/>
        <w:bottom w:w="0" w:type="dxa"/>
        <w:right w:w="108" w:type="dxa"/>
      </w:tblCellMar>
    </w:tblPr>
    <w:tcPr>
      <w:shd w:val="clear" w:color="auto" w:fill="ACF8FF" w:themeFill="accent2" w:themeFillTint="3F"/>
    </w:tcPr>
    <w:tblStylePr w:type="firstRow">
      <w:rPr>
        <w:b/>
        <w:bCs/>
        <w:color w:val="4D4D4F" w:themeColor="text1"/>
      </w:rPr>
      <w:tblPr/>
      <w:tcPr>
        <w:shd w:val="clear" w:color="auto" w:fill="DEFCFF" w:themeFill="accent2"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BCF9FF" w:themeFill="accent2" w:themeFillTint="33"/>
      </w:tcPr>
    </w:tblStylePr>
    <w:tblStylePr w:type="band1Vert">
      <w:tblPr/>
      <w:tcPr>
        <w:shd w:val="clear" w:color="auto" w:fill="58F1FF" w:themeFill="accent2" w:themeFillTint="7F"/>
      </w:tcPr>
    </w:tblStylePr>
    <w:tblStylePr w:type="band1Horz">
      <w:tblPr/>
      <w:tcPr>
        <w:tcBorders>
          <w:insideH w:val="single" w:sz="6" w:space="0" w:color="00A1AF" w:themeColor="accent2"/>
          <w:insideV w:val="single" w:sz="6" w:space="0" w:color="00A1AF" w:themeColor="accent2"/>
        </w:tcBorders>
        <w:shd w:val="clear" w:color="auto" w:fill="58F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cPr>
      <w:shd w:val="clear" w:color="auto" w:fill="E5E5E5" w:themeFill="accent3" w:themeFillTint="3F"/>
    </w:tcPr>
    <w:tblStylePr w:type="firstRow">
      <w:rPr>
        <w:b/>
        <w:bCs/>
        <w:color w:val="4D4D4F" w:themeColor="text1"/>
      </w:rPr>
      <w:tblPr/>
      <w:tcPr>
        <w:shd w:val="clear" w:color="auto" w:fill="F4F4F4" w:themeFill="accent3"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cPr>
      <w:shd w:val="clear" w:color="auto" w:fill="DFDFDF" w:themeFill="accent4" w:themeFillTint="3F"/>
    </w:tcPr>
    <w:tblStylePr w:type="firstRow">
      <w:rPr>
        <w:b/>
        <w:bCs/>
        <w:color w:val="4D4D4F" w:themeColor="text1"/>
      </w:rPr>
      <w:tblPr/>
      <w:tcPr>
        <w:shd w:val="clear" w:color="auto" w:fill="F2F2F2" w:themeFill="accent4"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cPr>
      <w:shd w:val="clear" w:color="auto" w:fill="D7D7D7" w:themeFill="accent5" w:themeFillTint="3F"/>
    </w:tcPr>
    <w:tblStylePr w:type="firstRow">
      <w:rPr>
        <w:b/>
        <w:bCs/>
        <w:color w:val="4D4D4F" w:themeColor="text1"/>
      </w:rPr>
      <w:tblPr/>
      <w:tcPr>
        <w:shd w:val="clear" w:color="auto" w:fill="EFEFEF" w:themeFill="accent5"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cPr>
      <w:shd w:val="clear" w:color="auto" w:fill="D3D3D3" w:themeFill="accent6" w:themeFillTint="3F"/>
    </w:tcPr>
    <w:tblStylePr w:type="firstRow">
      <w:rPr>
        <w:b/>
        <w:bCs/>
        <w:color w:val="4D4D4F" w:themeColor="text1"/>
      </w:rPr>
      <w:tblPr/>
      <w:tcPr>
        <w:shd w:val="clear" w:color="auto" w:fill="EDEDED" w:themeFill="accent6" w:themeFillTint="19"/>
      </w:tcPr>
    </w:tblStylePr>
    <w:tblStylePr w:type="lastRow">
      <w:rPr>
        <w:b/>
        <w:bCs/>
        <w:color w:val="4D4D4F" w:themeColor="text1"/>
      </w:rPr>
      <w:tblPr/>
      <w:tcPr>
        <w:tcBorders>
          <w:top w:val="single" w:sz="12" w:space="0" w:color="4D4D4F" w:themeColor="text1"/>
          <w:left w:val="nil"/>
          <w:bottom w:val="nil"/>
          <w:right w:val="nil"/>
          <w:insideH w:val="nil"/>
          <w:insideV w:val="nil"/>
        </w:tcBorders>
        <w:shd w:val="clear" w:color="auto" w:fill="FFFFFF" w:themeFill="background1"/>
      </w:tcPr>
    </w:tblStylePr>
    <w:tblStylePr w:type="firstCol">
      <w:rPr>
        <w:b/>
        <w:bCs/>
        <w:color w:val="4D4D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D4D4F"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2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A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A8"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3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5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5A5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1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1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1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1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1FF"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customStyle="1" w:styleId="MediumList11">
    <w:name w:val="Medium List 11"/>
    <w:basedOn w:val="TableNormal"/>
    <w:uiPriority w:val="65"/>
    <w:locked/>
    <w:rsid w:val="00F80750"/>
    <w:pPr>
      <w:spacing w:after="0" w:line="240" w:lineRule="auto"/>
    </w:pPr>
    <w:tblPr>
      <w:tblStyleRowBandSize w:val="1"/>
      <w:tblStyleColBandSize w:val="1"/>
      <w:tblInd w:w="0" w:type="dxa"/>
      <w:tblBorders>
        <w:top w:val="single" w:sz="8" w:space="0" w:color="4D4D4F" w:themeColor="text1"/>
        <w:bottom w:val="single" w:sz="8" w:space="0" w:color="4D4D4F"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F" w:themeColor="text1"/>
        </w:tcBorders>
      </w:tcPr>
    </w:tblStylePr>
    <w:tblStylePr w:type="lastRow">
      <w:rPr>
        <w:b/>
        <w:bCs/>
        <w:color w:val="4D4D4F" w:themeColor="text2"/>
      </w:rPr>
      <w:tblPr/>
      <w:tcPr>
        <w:tcBorders>
          <w:top w:val="single" w:sz="8" w:space="0" w:color="4D4D4F" w:themeColor="text1"/>
          <w:bottom w:val="single" w:sz="8" w:space="0" w:color="4D4D4F" w:themeColor="text1"/>
        </w:tcBorders>
      </w:tcPr>
    </w:tblStylePr>
    <w:tblStylePr w:type="firstCol">
      <w:rPr>
        <w:b/>
        <w:bCs/>
      </w:rPr>
    </w:tblStylePr>
    <w:tblStylePr w:type="lastCol">
      <w:rPr>
        <w:b/>
        <w:bCs/>
      </w:rPr>
      <w:tblPr/>
      <w:tcPr>
        <w:tcBorders>
          <w:top w:val="single" w:sz="8" w:space="0" w:color="4D4D4F" w:themeColor="text1"/>
          <w:bottom w:val="single" w:sz="8" w:space="0" w:color="4D4D4F" w:themeColor="text1"/>
        </w:tcBorders>
      </w:tcPr>
    </w:tblStylePr>
    <w:tblStylePr w:type="band1Vert">
      <w:tblPr/>
      <w:tcPr>
        <w:shd w:val="clear" w:color="auto" w:fill="D2D2D3" w:themeFill="text1" w:themeFillTint="3F"/>
      </w:tcPr>
    </w:tblStylePr>
    <w:tblStylePr w:type="band1Horz">
      <w:tblPr/>
      <w:tcPr>
        <w:shd w:val="clear" w:color="auto" w:fill="D2D2D3" w:themeFill="text1" w:themeFillTint="3F"/>
      </w:tcPr>
    </w:tblStylePr>
  </w:style>
  <w:style w:type="table" w:customStyle="1" w:styleId="MediumList1-Accent11">
    <w:name w:val="Medium List 1 - Accent 11"/>
    <w:basedOn w:val="TableNormal"/>
    <w:uiPriority w:val="65"/>
    <w:locked/>
    <w:rsid w:val="00F80750"/>
    <w:pPr>
      <w:spacing w:after="0" w:line="240" w:lineRule="auto"/>
    </w:pPr>
    <w:tblPr>
      <w:tblStyleRowBandSize w:val="1"/>
      <w:tblStyleColBandSize w:val="1"/>
      <w:tblInd w:w="0" w:type="dxa"/>
      <w:tblBorders>
        <w:top w:val="single" w:sz="8" w:space="0" w:color="002B49" w:themeColor="accent1"/>
        <w:bottom w:val="single" w:sz="8" w:space="0" w:color="002B4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2B49" w:themeColor="accent1"/>
        </w:tcBorders>
      </w:tcPr>
    </w:tblStylePr>
    <w:tblStylePr w:type="lastRow">
      <w:rPr>
        <w:b/>
        <w:bCs/>
        <w:color w:val="4D4D4F" w:themeColor="text2"/>
      </w:rPr>
      <w:tblPr/>
      <w:tcPr>
        <w:tcBorders>
          <w:top w:val="single" w:sz="8" w:space="0" w:color="002B49" w:themeColor="accent1"/>
          <w:bottom w:val="single" w:sz="8" w:space="0" w:color="002B49" w:themeColor="accent1"/>
        </w:tcBorders>
      </w:tcPr>
    </w:tblStylePr>
    <w:tblStylePr w:type="firstCol">
      <w:rPr>
        <w:b/>
        <w:bCs/>
      </w:rPr>
    </w:tblStylePr>
    <w:tblStylePr w:type="lastCol">
      <w:rPr>
        <w:b/>
        <w:bCs/>
      </w:rPr>
      <w:tblPr/>
      <w:tcPr>
        <w:tcBorders>
          <w:top w:val="single" w:sz="8" w:space="0" w:color="002B49" w:themeColor="accent1"/>
          <w:bottom w:val="single" w:sz="8" w:space="0" w:color="002B49" w:themeColor="accent1"/>
        </w:tcBorders>
      </w:tcPr>
    </w:tblStylePr>
    <w:tblStylePr w:type="band1Vert">
      <w:tblPr/>
      <w:tcPr>
        <w:shd w:val="clear" w:color="auto" w:fill="93D2FF" w:themeFill="accent1" w:themeFillTint="3F"/>
      </w:tcPr>
    </w:tblStylePr>
    <w:tblStylePr w:type="band1Horz">
      <w:tblPr/>
      <w:tcPr>
        <w:shd w:val="clear" w:color="auto" w:fill="93D2FF"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Ind w:w="0" w:type="dxa"/>
      <w:tblBorders>
        <w:top w:val="single" w:sz="8" w:space="0" w:color="00A1AF" w:themeColor="accent2"/>
        <w:bottom w:val="single" w:sz="8" w:space="0" w:color="00A1A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A1AF" w:themeColor="accent2"/>
        </w:tcBorders>
      </w:tcPr>
    </w:tblStylePr>
    <w:tblStylePr w:type="lastRow">
      <w:rPr>
        <w:b/>
        <w:bCs/>
        <w:color w:val="4D4D4F" w:themeColor="text2"/>
      </w:rPr>
      <w:tblPr/>
      <w:tcPr>
        <w:tcBorders>
          <w:top w:val="single" w:sz="8" w:space="0" w:color="00A1AF" w:themeColor="accent2"/>
          <w:bottom w:val="single" w:sz="8" w:space="0" w:color="00A1AF" w:themeColor="accent2"/>
        </w:tcBorders>
      </w:tcPr>
    </w:tblStylePr>
    <w:tblStylePr w:type="firstCol">
      <w:rPr>
        <w:b/>
        <w:bCs/>
      </w:rPr>
    </w:tblStylePr>
    <w:tblStylePr w:type="lastCol">
      <w:rPr>
        <w:b/>
        <w:bCs/>
      </w:rPr>
      <w:tblPr/>
      <w:tcPr>
        <w:tcBorders>
          <w:top w:val="single" w:sz="8" w:space="0" w:color="00A1AF" w:themeColor="accent2"/>
          <w:bottom w:val="single" w:sz="8" w:space="0" w:color="00A1AF" w:themeColor="accent2"/>
        </w:tcBorders>
      </w:tcPr>
    </w:tblStylePr>
    <w:tblStylePr w:type="band1Vert">
      <w:tblPr/>
      <w:tcPr>
        <w:shd w:val="clear" w:color="auto" w:fill="ACF8FF" w:themeFill="accent2" w:themeFillTint="3F"/>
      </w:tcPr>
    </w:tblStylePr>
    <w:tblStylePr w:type="band1Horz">
      <w:tblPr/>
      <w:tcPr>
        <w:shd w:val="clear" w:color="auto" w:fill="ACF8FF"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4D4D4F"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4D4D4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4D4D4F"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4D4D4F"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customStyle="1" w:styleId="MediumList21">
    <w:name w:val="Medium List 2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F" w:themeColor="text1"/>
          <w:right w:val="nil"/>
          <w:insideH w:val="nil"/>
          <w:insideV w:val="nil"/>
        </w:tcBorders>
        <w:shd w:val="clear" w:color="auto" w:fill="FFFFFF" w:themeFill="background1"/>
      </w:tcPr>
    </w:tblStylePr>
    <w:tblStylePr w:type="lastRow">
      <w:tblPr/>
      <w:tcPr>
        <w:tcBorders>
          <w:top w:val="single" w:sz="8" w:space="0" w:color="4D4D4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F" w:themeColor="text1"/>
          <w:insideH w:val="nil"/>
          <w:insideV w:val="nil"/>
        </w:tcBorders>
        <w:shd w:val="clear" w:color="auto" w:fill="FFFFFF" w:themeFill="background1"/>
      </w:tcPr>
    </w:tblStylePr>
    <w:tblStylePr w:type="lastCol">
      <w:tblPr/>
      <w:tcPr>
        <w:tcBorders>
          <w:top w:val="nil"/>
          <w:left w:val="single" w:sz="8" w:space="0" w:color="4D4D4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3" w:themeFill="text1" w:themeFillTint="3F"/>
      </w:tcPr>
    </w:tblStylePr>
    <w:tblStylePr w:type="band1Horz">
      <w:tblPr/>
      <w:tcPr>
        <w:tcBorders>
          <w:top w:val="nil"/>
          <w:bottom w:val="nil"/>
          <w:insideH w:val="nil"/>
          <w:insideV w:val="nil"/>
        </w:tcBorders>
        <w:shd w:val="clear" w:color="auto" w:fill="D2D2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2B49" w:themeColor="accent1"/>
        <w:left w:val="single" w:sz="8" w:space="0" w:color="002B49" w:themeColor="accent1"/>
        <w:bottom w:val="single" w:sz="8" w:space="0" w:color="002B49" w:themeColor="accent1"/>
        <w:right w:val="single" w:sz="8" w:space="0" w:color="002B4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2B49" w:themeColor="accent1"/>
          <w:right w:val="nil"/>
          <w:insideH w:val="nil"/>
          <w:insideV w:val="nil"/>
        </w:tcBorders>
        <w:shd w:val="clear" w:color="auto" w:fill="FFFFFF" w:themeFill="background1"/>
      </w:tcPr>
    </w:tblStylePr>
    <w:tblStylePr w:type="lastRow">
      <w:tblPr/>
      <w:tcPr>
        <w:tcBorders>
          <w:top w:val="single" w:sz="8" w:space="0" w:color="002B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49" w:themeColor="accent1"/>
          <w:insideH w:val="nil"/>
          <w:insideV w:val="nil"/>
        </w:tcBorders>
        <w:shd w:val="clear" w:color="auto" w:fill="FFFFFF" w:themeFill="background1"/>
      </w:tcPr>
    </w:tblStylePr>
    <w:tblStylePr w:type="lastCol">
      <w:tblPr/>
      <w:tcPr>
        <w:tcBorders>
          <w:top w:val="nil"/>
          <w:left w:val="single" w:sz="8" w:space="0" w:color="002B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3D2FF" w:themeFill="accent1" w:themeFillTint="3F"/>
      </w:tcPr>
    </w:tblStylePr>
    <w:tblStylePr w:type="band1Horz">
      <w:tblPr/>
      <w:tcPr>
        <w:tcBorders>
          <w:top w:val="nil"/>
          <w:bottom w:val="nil"/>
          <w:insideH w:val="nil"/>
          <w:insideV w:val="nil"/>
        </w:tcBorders>
        <w:shd w:val="clear" w:color="auto" w:fill="93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A1AF" w:themeColor="accent2"/>
        <w:left w:val="single" w:sz="8" w:space="0" w:color="00A1AF" w:themeColor="accent2"/>
        <w:bottom w:val="single" w:sz="8" w:space="0" w:color="00A1AF" w:themeColor="accent2"/>
        <w:right w:val="single" w:sz="8" w:space="0" w:color="00A1A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A1AF" w:themeColor="accent2"/>
          <w:right w:val="nil"/>
          <w:insideH w:val="nil"/>
          <w:insideV w:val="nil"/>
        </w:tcBorders>
        <w:shd w:val="clear" w:color="auto" w:fill="FFFFFF" w:themeFill="background1"/>
      </w:tcPr>
    </w:tblStylePr>
    <w:tblStylePr w:type="lastRow">
      <w:tblPr/>
      <w:tcPr>
        <w:tcBorders>
          <w:top w:val="single" w:sz="8" w:space="0" w:color="00A1A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1AF" w:themeColor="accent2"/>
          <w:insideH w:val="nil"/>
          <w:insideV w:val="nil"/>
        </w:tcBorders>
        <w:shd w:val="clear" w:color="auto" w:fill="FFFFFF" w:themeFill="background1"/>
      </w:tcPr>
    </w:tblStylePr>
    <w:tblStylePr w:type="lastCol">
      <w:tblPr/>
      <w:tcPr>
        <w:tcBorders>
          <w:top w:val="nil"/>
          <w:left w:val="single" w:sz="8" w:space="0" w:color="00A1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8FF" w:themeFill="accent2" w:themeFillTint="3F"/>
      </w:tcPr>
    </w:tblStylePr>
    <w:tblStylePr w:type="band1Horz">
      <w:tblPr/>
      <w:tcPr>
        <w:tcBorders>
          <w:top w:val="nil"/>
          <w:bottom w:val="nil"/>
          <w:insideH w:val="nil"/>
          <w:insideV w:val="nil"/>
        </w:tcBorders>
        <w:shd w:val="clear" w:color="auto" w:fill="ACF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locked/>
    <w:rsid w:val="00F80750"/>
    <w:pPr>
      <w:spacing w:after="0" w:line="240" w:lineRule="auto"/>
    </w:pPr>
    <w:tblPr>
      <w:tblStyleRowBandSize w:val="1"/>
      <w:tblStyleColBandSize w:val="1"/>
      <w:tblInd w:w="0" w:type="dxa"/>
      <w:tblBorders>
        <w:top w:val="single" w:sz="8" w:space="0" w:color="78787B" w:themeColor="text1" w:themeTint="BF"/>
        <w:left w:val="single" w:sz="8" w:space="0" w:color="78787B" w:themeColor="text1" w:themeTint="BF"/>
        <w:bottom w:val="single" w:sz="8" w:space="0" w:color="78787B" w:themeColor="text1" w:themeTint="BF"/>
        <w:right w:val="single" w:sz="8" w:space="0" w:color="78787B" w:themeColor="text1" w:themeTint="BF"/>
        <w:insideH w:val="single" w:sz="8" w:space="0" w:color="78787B"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787B" w:themeColor="text1" w:themeTint="BF"/>
          <w:left w:val="single" w:sz="8" w:space="0" w:color="78787B" w:themeColor="text1" w:themeTint="BF"/>
          <w:bottom w:val="single" w:sz="8" w:space="0" w:color="78787B" w:themeColor="text1" w:themeTint="BF"/>
          <w:right w:val="single" w:sz="8" w:space="0" w:color="78787B" w:themeColor="text1" w:themeTint="BF"/>
          <w:insideH w:val="nil"/>
          <w:insideV w:val="nil"/>
        </w:tcBorders>
        <w:shd w:val="clear" w:color="auto" w:fill="4D4D4F" w:themeFill="text1"/>
      </w:tcPr>
    </w:tblStylePr>
    <w:tblStylePr w:type="lastRow">
      <w:pPr>
        <w:spacing w:before="0" w:after="0" w:line="240" w:lineRule="auto"/>
      </w:pPr>
      <w:rPr>
        <w:b/>
        <w:bCs/>
      </w:rPr>
      <w:tblPr/>
      <w:tcPr>
        <w:tcBorders>
          <w:top w:val="double" w:sz="6" w:space="0" w:color="78787B" w:themeColor="text1" w:themeTint="BF"/>
          <w:left w:val="single" w:sz="8" w:space="0" w:color="78787B" w:themeColor="text1" w:themeTint="BF"/>
          <w:bottom w:val="single" w:sz="8" w:space="0" w:color="78787B" w:themeColor="text1" w:themeTint="BF"/>
          <w:right w:val="single" w:sz="8" w:space="0" w:color="78787B" w:themeColor="text1" w:themeTint="BF"/>
          <w:insideH w:val="nil"/>
          <w:insideV w:val="nil"/>
        </w:tcBorders>
      </w:tcPr>
    </w:tblStylePr>
    <w:tblStylePr w:type="firstCol">
      <w:rPr>
        <w:b/>
        <w:bCs/>
      </w:rPr>
    </w:tblStylePr>
    <w:tblStylePr w:type="lastCol">
      <w:rPr>
        <w:b/>
        <w:bCs/>
      </w:rPr>
    </w:tblStylePr>
    <w:tblStylePr w:type="band1Vert">
      <w:tblPr/>
      <w:tcPr>
        <w:shd w:val="clear" w:color="auto" w:fill="D2D2D3" w:themeFill="text1" w:themeFillTint="3F"/>
      </w:tcPr>
    </w:tblStylePr>
    <w:tblStylePr w:type="band1Horz">
      <w:tblPr/>
      <w:tcPr>
        <w:tcBorders>
          <w:insideH w:val="nil"/>
          <w:insideV w:val="nil"/>
        </w:tcBorders>
        <w:shd w:val="clear" w:color="auto" w:fill="D2D2D3"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F80750"/>
    <w:pPr>
      <w:spacing w:after="0" w:line="240" w:lineRule="auto"/>
    </w:pPr>
    <w:tblPr>
      <w:tblStyleRowBandSize w:val="1"/>
      <w:tblStyleColBandSize w:val="1"/>
      <w:tblInd w:w="0" w:type="dxa"/>
      <w:tblBorders>
        <w:top w:val="single" w:sz="8" w:space="0" w:color="006BB6" w:themeColor="accent1" w:themeTint="BF"/>
        <w:left w:val="single" w:sz="8" w:space="0" w:color="006BB6" w:themeColor="accent1" w:themeTint="BF"/>
        <w:bottom w:val="single" w:sz="8" w:space="0" w:color="006BB6" w:themeColor="accent1" w:themeTint="BF"/>
        <w:right w:val="single" w:sz="8" w:space="0" w:color="006BB6" w:themeColor="accent1" w:themeTint="BF"/>
        <w:insideH w:val="single" w:sz="8" w:space="0" w:color="006BB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6BB6" w:themeColor="accent1" w:themeTint="BF"/>
          <w:left w:val="single" w:sz="8" w:space="0" w:color="006BB6" w:themeColor="accent1" w:themeTint="BF"/>
          <w:bottom w:val="single" w:sz="8" w:space="0" w:color="006BB6" w:themeColor="accent1" w:themeTint="BF"/>
          <w:right w:val="single" w:sz="8" w:space="0" w:color="006BB6" w:themeColor="accent1" w:themeTint="BF"/>
          <w:insideH w:val="nil"/>
          <w:insideV w:val="nil"/>
        </w:tcBorders>
        <w:shd w:val="clear" w:color="auto" w:fill="002B49" w:themeFill="accent1"/>
      </w:tcPr>
    </w:tblStylePr>
    <w:tblStylePr w:type="lastRow">
      <w:pPr>
        <w:spacing w:before="0" w:after="0" w:line="240" w:lineRule="auto"/>
      </w:pPr>
      <w:rPr>
        <w:b/>
        <w:bCs/>
      </w:rPr>
      <w:tblPr/>
      <w:tcPr>
        <w:tcBorders>
          <w:top w:val="double" w:sz="6" w:space="0" w:color="006BB6" w:themeColor="accent1" w:themeTint="BF"/>
          <w:left w:val="single" w:sz="8" w:space="0" w:color="006BB6" w:themeColor="accent1" w:themeTint="BF"/>
          <w:bottom w:val="single" w:sz="8" w:space="0" w:color="006BB6" w:themeColor="accent1" w:themeTint="BF"/>
          <w:right w:val="single" w:sz="8" w:space="0" w:color="006B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93D2FF" w:themeFill="accent1" w:themeFillTint="3F"/>
      </w:tcPr>
    </w:tblStylePr>
    <w:tblStylePr w:type="band1Horz">
      <w:tblPr/>
      <w:tcPr>
        <w:tcBorders>
          <w:insideH w:val="nil"/>
          <w:insideV w:val="nil"/>
        </w:tcBorders>
        <w:shd w:val="clear" w:color="auto" w:fill="93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Ind w:w="0" w:type="dxa"/>
      <w:tblBorders>
        <w:top w:val="single" w:sz="8" w:space="0" w:color="04EAFF" w:themeColor="accent2" w:themeTint="BF"/>
        <w:left w:val="single" w:sz="8" w:space="0" w:color="04EAFF" w:themeColor="accent2" w:themeTint="BF"/>
        <w:bottom w:val="single" w:sz="8" w:space="0" w:color="04EAFF" w:themeColor="accent2" w:themeTint="BF"/>
        <w:right w:val="single" w:sz="8" w:space="0" w:color="04EAFF" w:themeColor="accent2" w:themeTint="BF"/>
        <w:insideH w:val="single" w:sz="8" w:space="0" w:color="04EA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4EAFF" w:themeColor="accent2" w:themeTint="BF"/>
          <w:left w:val="single" w:sz="8" w:space="0" w:color="04EAFF" w:themeColor="accent2" w:themeTint="BF"/>
          <w:bottom w:val="single" w:sz="8" w:space="0" w:color="04EAFF" w:themeColor="accent2" w:themeTint="BF"/>
          <w:right w:val="single" w:sz="8" w:space="0" w:color="04EAFF" w:themeColor="accent2" w:themeTint="BF"/>
          <w:insideH w:val="nil"/>
          <w:insideV w:val="nil"/>
        </w:tcBorders>
        <w:shd w:val="clear" w:color="auto" w:fill="00A1AF" w:themeFill="accent2"/>
      </w:tcPr>
    </w:tblStylePr>
    <w:tblStylePr w:type="lastRow">
      <w:pPr>
        <w:spacing w:before="0" w:after="0" w:line="240" w:lineRule="auto"/>
      </w:pPr>
      <w:rPr>
        <w:b/>
        <w:bCs/>
      </w:rPr>
      <w:tblPr/>
      <w:tcPr>
        <w:tcBorders>
          <w:top w:val="double" w:sz="6" w:space="0" w:color="04EAFF" w:themeColor="accent2" w:themeTint="BF"/>
          <w:left w:val="single" w:sz="8" w:space="0" w:color="04EAFF" w:themeColor="accent2" w:themeTint="BF"/>
          <w:bottom w:val="single" w:sz="8" w:space="0" w:color="04EAFF" w:themeColor="accent2" w:themeTint="BF"/>
          <w:right w:val="single" w:sz="8" w:space="0" w:color="04E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8FF" w:themeFill="accent2" w:themeFillTint="3F"/>
      </w:tcPr>
    </w:tblStylePr>
    <w:tblStylePr w:type="band1Horz">
      <w:tblPr/>
      <w:tcPr>
        <w:tcBorders>
          <w:insideH w:val="nil"/>
          <w:insideV w:val="nil"/>
        </w:tcBorders>
        <w:shd w:val="clear" w:color="auto" w:fill="ACF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F" w:themeFill="text1"/>
      </w:tcPr>
    </w:tblStylePr>
    <w:tblStylePr w:type="lastCol">
      <w:rPr>
        <w:b/>
        <w:bCs/>
        <w:color w:val="FFFFFF" w:themeColor="background1"/>
      </w:rPr>
      <w:tblPr/>
      <w:tcPr>
        <w:tcBorders>
          <w:left w:val="nil"/>
          <w:right w:val="nil"/>
          <w:insideH w:val="nil"/>
          <w:insideV w:val="nil"/>
        </w:tcBorders>
        <w:shd w:val="clear" w:color="auto" w:fill="4D4D4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B49" w:themeFill="accent1"/>
      </w:tcPr>
    </w:tblStylePr>
    <w:tblStylePr w:type="lastCol">
      <w:rPr>
        <w:b/>
        <w:bCs/>
        <w:color w:val="FFFFFF" w:themeColor="background1"/>
      </w:rPr>
      <w:tblPr/>
      <w:tcPr>
        <w:tcBorders>
          <w:left w:val="nil"/>
          <w:right w:val="nil"/>
          <w:insideH w:val="nil"/>
          <w:insideV w:val="nil"/>
        </w:tcBorders>
        <w:shd w:val="clear" w:color="auto" w:fill="002B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1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1AF" w:themeFill="accent2"/>
      </w:tcPr>
    </w:tblStylePr>
    <w:tblStylePr w:type="lastCol">
      <w:rPr>
        <w:b/>
        <w:bCs/>
        <w:color w:val="FFFFFF" w:themeColor="background1"/>
      </w:rPr>
      <w:tblPr/>
      <w:tcPr>
        <w:tcBorders>
          <w:left w:val="nil"/>
          <w:right w:val="nil"/>
          <w:insideH w:val="nil"/>
          <w:insideV w:val="nil"/>
        </w:tcBorders>
        <w:shd w:val="clear" w:color="auto" w:fill="00A1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sz w:val="24"/>
      <w:szCs w:val="24"/>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4D4D4F"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rsid w:val="00120CF3"/>
    <w:rPr>
      <w:rFonts w:asciiTheme="minorHAnsi" w:hAnsiTheme="minorHAnsi"/>
      <w:b/>
      <w:bCs/>
      <w:noProof w:val="0"/>
      <w:sz w:val="22"/>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002B49" w:themeColor="accent1"/>
      <w:spacing w:val="15"/>
      <w:sz w:val="24"/>
      <w:szCs w:val="24"/>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002B49"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A5A5A8" w:themeColor="text1" w:themeTint="7F"/>
      <w:lang w:val="en-AU"/>
    </w:rPr>
  </w:style>
  <w:style w:type="character" w:styleId="SubtleReference">
    <w:name w:val="Subtle Reference"/>
    <w:basedOn w:val="DefaultParagraphFont"/>
    <w:uiPriority w:val="31"/>
    <w:semiHidden/>
    <w:qFormat/>
    <w:locked/>
    <w:rsid w:val="00F80750"/>
    <w:rPr>
      <w:smallCaps/>
      <w:noProof w:val="0"/>
      <w:color w:val="00A1AF" w:themeColor="accent2"/>
      <w:u w:val="single"/>
      <w:lang w:val="en-AU"/>
    </w:rPr>
  </w:style>
  <w:style w:type="table" w:styleId="Table3Deffects1">
    <w:name w:val="Table 3D effects 1"/>
    <w:basedOn w:val="TableNormal"/>
    <w:uiPriority w:val="99"/>
    <w:semiHidden/>
    <w:unhideWhenUsed/>
    <w:locked/>
    <w:rsid w:val="00F8075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locked/>
    <w:rsid w:val="00F8075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rsid w:val="00737D9E"/>
    <w:pPr>
      <w:spacing w:after="97"/>
      <w:ind w:left="193"/>
    </w:pPr>
  </w:style>
  <w:style w:type="paragraph" w:styleId="TOC3">
    <w:name w:val="toc 3"/>
    <w:basedOn w:val="Normal"/>
    <w:next w:val="Normal"/>
    <w:autoRedefine/>
    <w:uiPriority w:val="39"/>
    <w:rsid w:val="00737D9E"/>
    <w:pPr>
      <w:spacing w:after="97"/>
      <w:ind w:left="380"/>
    </w:p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AppendixHeading">
    <w:name w:val="Appendix Heading"/>
    <w:basedOn w:val="Heading1"/>
    <w:uiPriority w:val="4"/>
    <w:semiHidden/>
    <w:qFormat/>
    <w:rsid w:val="00301352"/>
    <w:pPr>
      <w:framePr w:wrap="notBeside"/>
      <w:numPr>
        <w:ilvl w:val="4"/>
      </w:numPr>
      <w:spacing w:before="280" w:after="280"/>
    </w:pPr>
    <w:rPr>
      <w:rFonts w:asciiTheme="majorHAnsi" w:hAnsiTheme="majorHAnsi"/>
    </w:rPr>
  </w:style>
  <w:style w:type="paragraph" w:customStyle="1" w:styleId="Copyright">
    <w:name w:val="Copyright"/>
    <w:basedOn w:val="Normal"/>
    <w:uiPriority w:val="7"/>
    <w:semiHidden/>
    <w:qFormat/>
    <w:rsid w:val="00737D9E"/>
    <w:rPr>
      <w:sz w:val="16"/>
    </w:rPr>
  </w:style>
  <w:style w:type="paragraph" w:customStyle="1" w:styleId="BreakoutHeading">
    <w:name w:val="Breakout Heading"/>
    <w:basedOn w:val="Normal"/>
    <w:next w:val="Normal"/>
    <w:uiPriority w:val="15"/>
    <w:qFormat/>
    <w:rsid w:val="007F578E"/>
    <w:pPr>
      <w:spacing w:before="180" w:after="60"/>
    </w:pPr>
    <w:rPr>
      <w:b/>
      <w:color w:val="002B49" w:themeColor="accent1"/>
    </w:rPr>
  </w:style>
</w:styles>
</file>

<file path=word/webSettings.xml><?xml version="1.0" encoding="utf-8"?>
<w:webSettings xmlns:r="http://schemas.openxmlformats.org/officeDocument/2006/relationships" xmlns:w="http://schemas.openxmlformats.org/wordprocessingml/2006/main">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3828949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water/cewo/local-engagement" TargetMode="External"/><Relationship Id="rId18" Type="http://schemas.openxmlformats.org/officeDocument/2006/relationships/image" Target="media/image7.jpeg"/><Relationship Id="rId26" Type="http://schemas.openxmlformats.org/officeDocument/2006/relationships/hyperlink" Target="http://realtimedata.water.nsw.gov.au/water.stm" TargetMode="External"/><Relationship Id="rId39" Type="http://schemas.openxmlformats.org/officeDocument/2006/relationships/hyperlink" Target="https://water-monitoring.information.qld.gov.au/host.htm"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realtimedata.water.nsw.gov.au/water.stm" TargetMode="External"/><Relationship Id="rId42" Type="http://schemas.openxmlformats.org/officeDocument/2006/relationships/hyperlink" Target="https://water-monitoring.information.qld.gov.au/host.htm"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www.environment.gov.au/water/cewo/trade"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realtimedata.water.nsw.gov.au/water.stm" TargetMode="External"/><Relationship Id="rId33" Type="http://schemas.openxmlformats.org/officeDocument/2006/relationships/hyperlink" Target="http://realtimedata.water.nsw.gov.au/water.stm" TargetMode="External"/><Relationship Id="rId38" Type="http://schemas.openxmlformats.org/officeDocument/2006/relationships/hyperlink" Target="http://realtimedata.water.nsw.gov.au/water.stm"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tiff"/><Relationship Id="rId29" Type="http://schemas.openxmlformats.org/officeDocument/2006/relationships/hyperlink" Target="https://waterline.g-mwater.com.au/waterstatus/" TargetMode="External"/><Relationship Id="rId41" Type="http://schemas.openxmlformats.org/officeDocument/2006/relationships/hyperlink" Target="https://water-monitoring.information.qld.gov.au/host.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about-commonwealth-environmental-water" TargetMode="External"/><Relationship Id="rId24" Type="http://schemas.openxmlformats.org/officeDocument/2006/relationships/hyperlink" Target="http://realtimedata.water.nsw.gov.au/water.stm" TargetMode="External"/><Relationship Id="rId32" Type="http://schemas.openxmlformats.org/officeDocument/2006/relationships/hyperlink" Target="http://realtimedata.water.nsw.gov.au/water.stm" TargetMode="External"/><Relationship Id="rId37" Type="http://schemas.openxmlformats.org/officeDocument/2006/relationships/hyperlink" Target="http://realtimedata.water.nsw.gov.au/water.stm" TargetMode="External"/><Relationship Id="rId40" Type="http://schemas.openxmlformats.org/officeDocument/2006/relationships/hyperlink" Target="https://water-monitoring.information.qld.gov.au/host.ht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nvironment.gov.au/water/cewo/monitoring/ltim-project" TargetMode="External"/><Relationship Id="rId23" Type="http://schemas.openxmlformats.org/officeDocument/2006/relationships/hyperlink" Target="http://realtimedata.water.nsw.gov.au/water.stm" TargetMode="External"/><Relationship Id="rId28" Type="http://schemas.openxmlformats.org/officeDocument/2006/relationships/hyperlink" Target="https://waterline.g-mwater.com.au/waterstatus/" TargetMode="External"/><Relationship Id="rId36" Type="http://schemas.openxmlformats.org/officeDocument/2006/relationships/hyperlink" Target="http://realtimedata.water.nsw.gov.au/water.st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realtimedata.water.nsw.gov.au/water.stm"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environment.gov.au/water/cewo" TargetMode="External"/><Relationship Id="rId14" Type="http://schemas.openxmlformats.org/officeDocument/2006/relationships/image" Target="media/image4.jpeg"/><Relationship Id="rId22" Type="http://schemas.openxmlformats.org/officeDocument/2006/relationships/hyperlink" Target="http://realtimedata.water.nsw.gov.au/water.stm" TargetMode="External"/><Relationship Id="rId27" Type="http://schemas.openxmlformats.org/officeDocument/2006/relationships/hyperlink" Target="http://realtimedata.water.nsw.gov.au/water.stm" TargetMode="External"/><Relationship Id="rId30" Type="http://schemas.openxmlformats.org/officeDocument/2006/relationships/hyperlink" Target="http://livedata.mdba.gov.au/" TargetMode="External"/><Relationship Id="rId35" Type="http://schemas.openxmlformats.org/officeDocument/2006/relationships/hyperlink" Target="http://realtimedata.water.nsw.gov.au/water.stm"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CEWH">
      <a:dk1>
        <a:srgbClr val="4D4D4F"/>
      </a:dk1>
      <a:lt1>
        <a:sysClr val="window" lastClr="FFFFFF"/>
      </a:lt1>
      <a:dk2>
        <a:srgbClr val="4D4D4F"/>
      </a:dk2>
      <a:lt2>
        <a:srgbClr val="F8F8F8"/>
      </a:lt2>
      <a:accent1>
        <a:srgbClr val="002B49"/>
      </a:accent1>
      <a:accent2>
        <a:srgbClr val="00A1AF"/>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1613</Words>
  <Characters>9200</Characters>
  <Application>Microsoft Office Word</Application>
  <DocSecurity>4</DocSecurity>
  <Lines>76</Lines>
  <Paragraphs>21</Paragraphs>
  <ScaleCrop>false</ScaleCrop>
  <LinksUpToDate>false</LinksUpToDate>
  <CharactersWithSpaces>10792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Holder Update Summer 2015-2016</dc:title>
  <dc:creator/>
  <cp:lastModifiedBy/>
  <cp:revision>1</cp:revision>
  <dcterms:created xsi:type="dcterms:W3CDTF">2015-12-23T00:09:00Z</dcterms:created>
  <dcterms:modified xsi:type="dcterms:W3CDTF">2015-12-23T00:09:00Z</dcterms:modified>
</cp:coreProperties>
</file>